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10.odttf" ContentType="application/vnd.openxmlformats-officedocument.obfuscatedFont"/>
  <Override PartName="/word/fonts/font1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nts/font5.odttf" ContentType="application/vnd.openxmlformats-officedocument.obfuscatedFont"/>
  <Override PartName="/word/fonts/font6.odttf" ContentType="application/vnd.openxmlformats-officedocument.obfuscatedFont"/>
  <Override PartName="/word/fonts/font7.odttf" ContentType="application/vnd.openxmlformats-officedocument.obfuscatedFont"/>
  <Override PartName="/word/fonts/font8.odttf" ContentType="application/vnd.openxmlformats-officedocument.obfuscatedFont"/>
  <Override PartName="/word/fonts/font9.odttf" ContentType="application/vnd.openxmlformats-officedocument.obfuscatedFont"/>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A6E4EEA">
      <w:pPr>
        <w:spacing w:before="120" w:after="120" w:line="360" w:lineRule="auto"/>
        <w:jc w:val="center"/>
        <w:rPr>
          <w:rFonts w:hint="eastAsia" w:ascii="Arial" w:hAnsi="Arial" w:eastAsia="黑体"/>
          <w:b/>
          <w:bCs/>
          <w:color w:val="000000"/>
          <w:sz w:val="84"/>
          <w:szCs w:val="24"/>
          <w:lang w:val="en-US" w:eastAsia="zh-CN"/>
        </w:rPr>
      </w:pPr>
      <w:r>
        <w:rPr>
          <w:rFonts w:hint="eastAsia" w:ascii="Arial" w:hAnsi="Arial" w:eastAsia="黑体"/>
          <w:b/>
          <w:bCs/>
          <w:color w:val="000000"/>
          <w:sz w:val="84"/>
          <w:szCs w:val="24"/>
          <w:lang w:val="en-US" w:eastAsia="zh-CN"/>
        </w:rPr>
        <w:t xml:space="preserve"> </w:t>
      </w:r>
    </w:p>
    <w:p w14:paraId="16336FEF">
      <w:pPr>
        <w:adjustRightInd w:val="0"/>
        <w:spacing w:before="120" w:after="120" w:line="360" w:lineRule="auto"/>
        <w:jc w:val="center"/>
        <w:textAlignment w:val="baseline"/>
        <w:rPr>
          <w:rFonts w:hint="eastAsia" w:ascii="Arial" w:hAnsi="Arial" w:eastAsia="宋体" w:cs="Times New Roman"/>
          <w:b/>
          <w:bCs/>
          <w:color w:val="000000"/>
          <w:sz w:val="72"/>
          <w:szCs w:val="56"/>
          <w:lang w:val="en-US" w:eastAsia="zh-CN"/>
        </w:rPr>
      </w:pPr>
      <w:r>
        <w:rPr>
          <w:rFonts w:hint="eastAsia" w:ascii="Arial" w:hAnsi="Arial" w:eastAsia="黑体" w:cs="Times New Roman"/>
          <w:b/>
          <w:bCs/>
          <w:color w:val="auto"/>
          <w:kern w:val="0"/>
          <w:sz w:val="84"/>
          <w:szCs w:val="24"/>
          <w:lang w:val="en-US" w:eastAsia="zh-CN"/>
        </w:rPr>
        <w:t>招　标　文　件</w:t>
      </w:r>
    </w:p>
    <w:p w14:paraId="5D33B163">
      <w:pPr>
        <w:spacing w:before="120" w:after="120" w:line="360" w:lineRule="auto"/>
        <w:ind w:firstLine="2249"/>
        <w:jc w:val="left"/>
        <w:rPr>
          <w:rFonts w:hint="eastAsia" w:ascii="Arial" w:hAnsi="Arial"/>
          <w:b/>
          <w:bCs/>
          <w:color w:val="000000"/>
          <w:sz w:val="32"/>
          <w:szCs w:val="24"/>
        </w:rPr>
      </w:pPr>
    </w:p>
    <w:p w14:paraId="1E7CB3DC">
      <w:pPr>
        <w:spacing w:before="120" w:after="120" w:line="360" w:lineRule="auto"/>
        <w:jc w:val="center"/>
        <w:rPr>
          <w:rFonts w:hint="eastAsia" w:ascii="Arial" w:hAnsi="Arial" w:eastAsia="宋体" w:cs="Times New Roman"/>
          <w:b/>
          <w:bCs/>
          <w:color w:val="000000"/>
          <w:sz w:val="32"/>
          <w:szCs w:val="24"/>
          <w:lang w:val="en-US" w:eastAsia="zh-CN"/>
        </w:rPr>
      </w:pPr>
      <w:r>
        <w:rPr>
          <w:rFonts w:hint="eastAsia" w:ascii="Arial" w:hAnsi="Arial" w:eastAsia="宋体" w:cs="Times New Roman"/>
          <w:b/>
          <w:bCs/>
          <w:color w:val="000000"/>
          <w:sz w:val="32"/>
          <w:szCs w:val="24"/>
          <w:lang w:val="en-US" w:eastAsia="zh-CN"/>
        </w:rPr>
        <w:t xml:space="preserve">    </w:t>
      </w:r>
    </w:p>
    <w:p w14:paraId="01BA0D10">
      <w:pPr>
        <w:spacing w:before="120" w:after="120" w:line="360" w:lineRule="auto"/>
        <w:jc w:val="center"/>
        <w:rPr>
          <w:rFonts w:hint="eastAsia" w:ascii="Arial" w:hAnsi="Arial" w:eastAsia="宋体" w:cs="Times New Roman"/>
          <w:b/>
          <w:bCs/>
          <w:color w:val="000000"/>
          <w:sz w:val="32"/>
          <w:szCs w:val="24"/>
          <w:lang w:eastAsia="zh-CN"/>
        </w:rPr>
      </w:pPr>
      <w:r>
        <w:rPr>
          <w:rFonts w:hint="eastAsia" w:ascii="Arial" w:hAnsi="Arial" w:eastAsia="宋体" w:cs="Times New Roman"/>
          <w:b/>
          <w:bCs/>
          <w:color w:val="000000"/>
          <w:sz w:val="32"/>
          <w:szCs w:val="24"/>
        </w:rPr>
        <w:t>项目名称：</w:t>
      </w:r>
      <w:r>
        <w:rPr>
          <w:rFonts w:hint="eastAsia" w:ascii="Arial" w:hAnsi="Arial" w:cs="Times New Roman"/>
          <w:b/>
          <w:bCs/>
          <w:color w:val="000000"/>
          <w:sz w:val="32"/>
          <w:szCs w:val="24"/>
          <w:lang w:eastAsia="zh-CN"/>
        </w:rPr>
        <w:t>阜宁县人民医院救护车采购项目</w:t>
      </w:r>
    </w:p>
    <w:p w14:paraId="3ADF6755">
      <w:pPr>
        <w:spacing w:before="120" w:after="120" w:line="360" w:lineRule="auto"/>
        <w:jc w:val="center"/>
        <w:rPr>
          <w:rFonts w:hint="eastAsia" w:ascii="Arial" w:hAnsi="Arial" w:eastAsia="宋体" w:cs="Times New Roman"/>
          <w:b/>
          <w:bCs/>
          <w:color w:val="0000FF"/>
          <w:sz w:val="32"/>
          <w:szCs w:val="24"/>
        </w:rPr>
      </w:pPr>
      <w:r>
        <w:rPr>
          <w:rFonts w:hint="eastAsia" w:ascii="Arial" w:hAnsi="Arial" w:eastAsia="宋体" w:cs="Times New Roman"/>
          <w:b/>
          <w:bCs/>
          <w:color w:val="000000"/>
          <w:sz w:val="32"/>
          <w:szCs w:val="24"/>
        </w:rPr>
        <w:t>项目编号：</w:t>
      </w:r>
      <w:r>
        <w:rPr>
          <w:rFonts w:hint="eastAsia" w:ascii="Arial" w:hAnsi="Arial" w:cs="Times New Roman"/>
          <w:b/>
          <w:bCs/>
          <w:color w:val="000000"/>
          <w:sz w:val="32"/>
          <w:szCs w:val="24"/>
          <w:lang w:eastAsia="zh-CN"/>
        </w:rPr>
        <w:t>JSZC-320923-SWGC-G2026-0106</w:t>
      </w:r>
    </w:p>
    <w:p w14:paraId="0C134DEE">
      <w:pPr>
        <w:ind w:left="2100" w:hanging="2100"/>
        <w:rPr>
          <w:rFonts w:hint="eastAsia" w:ascii="Times New Roman" w:hAnsi="Times New Roman"/>
          <w:b/>
          <w:color w:val="000000"/>
          <w:sz w:val="30"/>
          <w:szCs w:val="30"/>
        </w:rPr>
      </w:pPr>
      <w:r>
        <w:rPr>
          <w:rFonts w:hint="eastAsia" w:ascii="Times New Roman" w:hAnsi="Times New Roman"/>
          <w:color w:val="000000"/>
          <w:szCs w:val="21"/>
        </w:rPr>
        <w:t xml:space="preserve">           </w:t>
      </w:r>
      <w:r>
        <w:rPr>
          <w:rFonts w:hint="eastAsia" w:ascii="Times New Roman" w:hAnsi="Times New Roman"/>
          <w:b/>
          <w:color w:val="000000"/>
          <w:sz w:val="30"/>
          <w:szCs w:val="30"/>
        </w:rPr>
        <w:t xml:space="preserve">  </w:t>
      </w:r>
    </w:p>
    <w:p w14:paraId="487E86C0">
      <w:pPr>
        <w:pStyle w:val="313"/>
        <w:rPr>
          <w:rFonts w:hint="eastAsia"/>
          <w:color w:val="000000"/>
        </w:rPr>
      </w:pPr>
    </w:p>
    <w:p w14:paraId="63936DC3">
      <w:pPr>
        <w:spacing w:line="360" w:lineRule="auto"/>
        <w:jc w:val="left"/>
        <w:rPr>
          <w:rFonts w:hint="eastAsia" w:ascii="宋体" w:hAnsi="宋体"/>
          <w:color w:val="000000"/>
          <w:sz w:val="24"/>
          <w:szCs w:val="24"/>
        </w:rPr>
      </w:pPr>
    </w:p>
    <w:p w14:paraId="4DE3CE0D">
      <w:pPr>
        <w:spacing w:line="360" w:lineRule="auto"/>
        <w:jc w:val="left"/>
        <w:rPr>
          <w:rFonts w:hint="eastAsia" w:ascii="宋体" w:hAnsi="宋体"/>
          <w:color w:val="000000"/>
          <w:sz w:val="24"/>
          <w:szCs w:val="24"/>
        </w:rPr>
      </w:pPr>
    </w:p>
    <w:p w14:paraId="04BA78BB">
      <w:pPr>
        <w:spacing w:line="360" w:lineRule="auto"/>
        <w:jc w:val="left"/>
        <w:rPr>
          <w:rFonts w:hint="eastAsia" w:ascii="宋体" w:hAnsi="宋体"/>
          <w:color w:val="000000"/>
          <w:sz w:val="24"/>
          <w:szCs w:val="24"/>
        </w:rPr>
      </w:pPr>
    </w:p>
    <w:p w14:paraId="25F01024">
      <w:pPr>
        <w:spacing w:line="360" w:lineRule="auto"/>
        <w:jc w:val="left"/>
        <w:rPr>
          <w:rFonts w:hint="eastAsia" w:ascii="宋体" w:hAnsi="宋体"/>
          <w:color w:val="000000"/>
          <w:sz w:val="24"/>
          <w:szCs w:val="24"/>
        </w:rPr>
      </w:pPr>
    </w:p>
    <w:p w14:paraId="08770ECC">
      <w:pPr>
        <w:spacing w:line="360" w:lineRule="auto"/>
        <w:jc w:val="left"/>
        <w:rPr>
          <w:rFonts w:hint="eastAsia" w:ascii="宋体" w:hAnsi="宋体"/>
          <w:color w:val="000000"/>
          <w:sz w:val="24"/>
          <w:szCs w:val="24"/>
        </w:rPr>
      </w:pPr>
    </w:p>
    <w:p w14:paraId="5E2A2AD7">
      <w:pPr>
        <w:spacing w:before="120" w:after="120" w:line="360" w:lineRule="auto"/>
        <w:jc w:val="center"/>
        <w:rPr>
          <w:rFonts w:hint="eastAsia" w:ascii="宋体" w:hAnsi="宋体"/>
          <w:bCs/>
          <w:color w:val="000000"/>
          <w:sz w:val="32"/>
          <w:szCs w:val="24"/>
          <w:highlight w:val="none"/>
        </w:rPr>
      </w:pPr>
      <w:r>
        <w:rPr>
          <w:rFonts w:hint="eastAsia" w:ascii="宋体" w:hAnsi="宋体"/>
          <w:bCs/>
          <w:color w:val="000000"/>
          <w:sz w:val="32"/>
          <w:szCs w:val="24"/>
          <w:highlight w:val="none"/>
        </w:rPr>
        <w:t>采   购  人：</w:t>
      </w:r>
      <w:r>
        <w:rPr>
          <w:rFonts w:hint="eastAsia" w:ascii="宋体" w:hAnsi="宋体"/>
          <w:bCs/>
          <w:color w:val="000000"/>
          <w:sz w:val="32"/>
          <w:szCs w:val="24"/>
          <w:highlight w:val="none"/>
          <w:lang w:val="en-US" w:eastAsia="zh-CN"/>
        </w:rPr>
        <w:t>阜宁县人民医院</w:t>
      </w:r>
    </w:p>
    <w:p w14:paraId="6323DB7F">
      <w:pPr>
        <w:spacing w:before="120" w:after="120" w:line="360" w:lineRule="auto"/>
        <w:jc w:val="center"/>
        <w:rPr>
          <w:rFonts w:hint="eastAsia" w:ascii="宋体" w:hAnsi="宋体"/>
          <w:bCs/>
          <w:color w:val="000000"/>
          <w:sz w:val="32"/>
          <w:szCs w:val="24"/>
          <w:highlight w:val="none"/>
          <w:lang w:eastAsia="zh-CN"/>
        </w:rPr>
      </w:pPr>
      <w:r>
        <w:rPr>
          <w:rFonts w:hint="eastAsia" w:ascii="宋体" w:hAnsi="宋体"/>
          <w:bCs/>
          <w:color w:val="000000"/>
          <w:sz w:val="32"/>
          <w:szCs w:val="24"/>
          <w:highlight w:val="none"/>
        </w:rPr>
        <w:t>采购代理机构：</w:t>
      </w:r>
      <w:r>
        <w:rPr>
          <w:rFonts w:hint="eastAsia" w:ascii="宋体" w:hAnsi="宋体"/>
          <w:bCs/>
          <w:color w:val="000000"/>
          <w:sz w:val="32"/>
          <w:szCs w:val="24"/>
          <w:highlight w:val="none"/>
          <w:lang w:eastAsia="zh-CN"/>
        </w:rPr>
        <w:t>江苏苏维工程管理有限公司</w:t>
      </w:r>
    </w:p>
    <w:p w14:paraId="5F015F59">
      <w:pPr>
        <w:spacing w:before="120" w:after="120" w:line="360" w:lineRule="auto"/>
        <w:jc w:val="center"/>
        <w:rPr>
          <w:rFonts w:hint="eastAsia" w:ascii="Arial" w:hAnsi="Arial"/>
          <w:b/>
          <w:bCs/>
          <w:color w:val="000000"/>
          <w:sz w:val="32"/>
          <w:szCs w:val="24"/>
          <w:lang w:val="en-US" w:eastAsia="zh-CN"/>
        </w:rPr>
      </w:pPr>
    </w:p>
    <w:p w14:paraId="655B9754">
      <w:pPr>
        <w:spacing w:before="120" w:after="120" w:line="360" w:lineRule="auto"/>
        <w:jc w:val="center"/>
        <w:rPr>
          <w:rFonts w:hint="eastAsia" w:ascii="Arial" w:hAnsi="Arial"/>
          <w:b/>
          <w:bCs/>
          <w:color w:val="000000" w:themeColor="text1"/>
          <w:sz w:val="32"/>
          <w:szCs w:val="24"/>
          <w14:textFill>
            <w14:solidFill>
              <w14:schemeClr w14:val="tx1"/>
            </w14:solidFill>
          </w14:textFill>
        </w:rPr>
      </w:pPr>
      <w:r>
        <w:rPr>
          <w:rFonts w:hint="eastAsia" w:ascii="Arial" w:hAnsi="Arial"/>
          <w:b/>
          <w:bCs/>
          <w:color w:val="000000" w:themeColor="text1"/>
          <w:sz w:val="32"/>
          <w:szCs w:val="24"/>
          <w:lang w:val="en-US" w:eastAsia="zh-CN"/>
          <w14:textFill>
            <w14:solidFill>
              <w14:schemeClr w14:val="tx1"/>
            </w14:solidFill>
          </w14:textFill>
        </w:rPr>
        <w:t>2026年9月3日</w:t>
      </w:r>
    </w:p>
    <w:p w14:paraId="14B6CF91">
      <w:pPr>
        <w:spacing w:before="120" w:after="120" w:line="360" w:lineRule="auto"/>
        <w:jc w:val="left"/>
        <w:rPr>
          <w:rFonts w:hint="eastAsia" w:ascii="Arial" w:hAnsi="Arial"/>
          <w:color w:val="000000"/>
          <w:sz w:val="24"/>
          <w:szCs w:val="24"/>
          <w:u w:val="single"/>
        </w:rPr>
      </w:pPr>
      <w:r>
        <w:rPr>
          <w:rFonts w:hint="eastAsia" w:ascii="Arial" w:hAnsi="Arial"/>
          <w:color w:val="000000"/>
          <w:sz w:val="24"/>
          <w:szCs w:val="24"/>
        </w:rPr>
        <w:t xml:space="preserve">                        </w:t>
      </w:r>
    </w:p>
    <w:p w14:paraId="34F11E52">
      <w:pPr>
        <w:spacing w:before="120" w:after="120" w:line="360" w:lineRule="auto"/>
        <w:jc w:val="center"/>
        <w:rPr>
          <w:rFonts w:hint="eastAsia" w:ascii="Arial" w:hAnsi="Arial"/>
          <w:color w:val="000000"/>
          <w:sz w:val="24"/>
          <w:szCs w:val="24"/>
        </w:rPr>
      </w:pPr>
    </w:p>
    <w:p w14:paraId="4D01E2D0">
      <w:pPr>
        <w:spacing w:line="480" w:lineRule="auto"/>
        <w:jc w:val="center"/>
        <w:outlineLvl w:val="0"/>
        <w:rPr>
          <w:rFonts w:hint="eastAsia" w:ascii="黑体" w:hAnsi="Arial" w:eastAsia="黑体"/>
          <w:b/>
          <w:color w:val="000000"/>
          <w:sz w:val="44"/>
          <w:szCs w:val="21"/>
        </w:rPr>
        <w:sectPr>
          <w:headerReference r:id="rId4" w:type="first"/>
          <w:headerReference r:id="rId3" w:type="default"/>
          <w:footerReference r:id="rId5" w:type="default"/>
          <w:footerReference r:id="rId6" w:type="even"/>
          <w:pgSz w:w="11906" w:h="16838"/>
          <w:pgMar w:top="1304" w:right="1304" w:bottom="1304" w:left="1304" w:header="851" w:footer="907" w:gutter="0"/>
          <w:pgNumType w:start="0"/>
          <w:cols w:space="1701" w:num="1"/>
          <w:titlePg/>
          <w:docGrid w:linePitch="360" w:charSpace="0"/>
        </w:sectPr>
      </w:pPr>
      <w:bookmarkStart w:id="0" w:name="_Toc120614210"/>
      <w:bookmarkStart w:id="1" w:name="_Toc479757206"/>
      <w:bookmarkStart w:id="2" w:name="_Toc20823272"/>
      <w:bookmarkStart w:id="3" w:name="_Toc523127445"/>
      <w:bookmarkStart w:id="4" w:name="_Toc16938516"/>
      <w:bookmarkStart w:id="5" w:name="_Toc513029200"/>
    </w:p>
    <w:p w14:paraId="2536B360">
      <w:pPr>
        <w:spacing w:line="480" w:lineRule="auto"/>
        <w:jc w:val="center"/>
        <w:outlineLvl w:val="0"/>
        <w:rPr>
          <w:rFonts w:hint="eastAsia" w:ascii="黑体" w:hAnsi="Arial" w:eastAsia="黑体"/>
          <w:b/>
          <w:color w:val="000000"/>
          <w:sz w:val="44"/>
          <w:szCs w:val="21"/>
        </w:rPr>
      </w:pPr>
      <w:r>
        <w:rPr>
          <w:rFonts w:hint="eastAsia" w:ascii="黑体" w:hAnsi="Arial" w:eastAsia="黑体"/>
          <w:b/>
          <w:color w:val="000000"/>
          <w:sz w:val="44"/>
          <w:szCs w:val="21"/>
        </w:rPr>
        <w:t>总  目  录</w:t>
      </w:r>
    </w:p>
    <w:p w14:paraId="2BA1CC50">
      <w:pPr>
        <w:spacing w:line="480" w:lineRule="auto"/>
        <w:rPr>
          <w:rFonts w:hint="eastAsia" w:ascii="仿宋_GB2312" w:hAnsi="Arial" w:eastAsia="仿宋_GB2312"/>
          <w:b/>
          <w:color w:val="000000"/>
          <w:sz w:val="28"/>
          <w:szCs w:val="21"/>
        </w:rPr>
      </w:pPr>
    </w:p>
    <w:p w14:paraId="6F0AB5F9">
      <w:pPr>
        <w:numPr>
          <w:ilvl w:val="0"/>
          <w:numId w:val="4"/>
        </w:numPr>
        <w:spacing w:line="480" w:lineRule="auto"/>
        <w:outlineLvl w:val="0"/>
        <w:rPr>
          <w:rFonts w:hint="eastAsia" w:ascii="黑体" w:hAnsi="Showcard Gothic" w:eastAsia="黑体"/>
          <w:color w:val="000000"/>
          <w:sz w:val="32"/>
          <w:szCs w:val="21"/>
        </w:rPr>
      </w:pPr>
      <w:r>
        <w:rPr>
          <w:rFonts w:hint="eastAsia" w:ascii="黑体" w:hAnsi="宋体" w:eastAsia="黑体"/>
          <w:color w:val="000000"/>
          <w:sz w:val="36"/>
          <w:szCs w:val="21"/>
          <w:lang w:eastAsia="zh-CN"/>
        </w:rPr>
        <w:t>招标公告</w:t>
      </w:r>
      <w:r>
        <w:rPr>
          <w:rFonts w:hint="eastAsia" w:ascii="黑体" w:hAnsi="Showcard Gothic" w:eastAsia="黑体"/>
          <w:color w:val="000000"/>
          <w:sz w:val="36"/>
          <w:szCs w:val="21"/>
        </w:rPr>
        <w:t xml:space="preserve">…………………………………… </w:t>
      </w:r>
    </w:p>
    <w:p w14:paraId="0F8377EE">
      <w:pPr>
        <w:numPr>
          <w:ilvl w:val="0"/>
          <w:numId w:val="4"/>
        </w:numPr>
        <w:spacing w:line="480" w:lineRule="auto"/>
        <w:outlineLvl w:val="0"/>
        <w:rPr>
          <w:rFonts w:hint="eastAsia" w:ascii="黑体" w:hAnsi="Showcard Gothic" w:eastAsia="黑体"/>
          <w:color w:val="000000"/>
          <w:sz w:val="36"/>
          <w:szCs w:val="21"/>
        </w:rPr>
      </w:pPr>
      <w:r>
        <w:rPr>
          <w:rFonts w:hint="eastAsia" w:ascii="黑体" w:hAnsi="宋体" w:eastAsia="黑体"/>
          <w:bCs/>
          <w:color w:val="000000"/>
          <w:sz w:val="36"/>
          <w:szCs w:val="36"/>
        </w:rPr>
        <w:t>投标人须知</w:t>
      </w:r>
      <w:r>
        <w:rPr>
          <w:rFonts w:hint="eastAsia" w:ascii="黑体" w:hAnsi="Showcard Gothic" w:eastAsia="黑体"/>
          <w:color w:val="000000"/>
          <w:sz w:val="36"/>
          <w:szCs w:val="36"/>
        </w:rPr>
        <w:t>…</w:t>
      </w:r>
      <w:r>
        <w:rPr>
          <w:rFonts w:hint="eastAsia" w:ascii="黑体" w:hAnsi="Showcard Gothic" w:eastAsia="黑体"/>
          <w:color w:val="000000"/>
          <w:sz w:val="36"/>
          <w:szCs w:val="21"/>
        </w:rPr>
        <w:t xml:space="preserve">………………………………  </w:t>
      </w:r>
    </w:p>
    <w:p w14:paraId="33B8DEC5">
      <w:pPr>
        <w:numPr>
          <w:ilvl w:val="0"/>
          <w:numId w:val="4"/>
        </w:numPr>
        <w:spacing w:line="480" w:lineRule="auto"/>
        <w:outlineLvl w:val="0"/>
        <w:rPr>
          <w:rFonts w:hint="eastAsia" w:ascii="黑体" w:hAnsi="Showcard Gothic" w:eastAsia="黑体"/>
          <w:color w:val="000000"/>
          <w:sz w:val="36"/>
          <w:szCs w:val="21"/>
        </w:rPr>
      </w:pPr>
      <w:r>
        <w:rPr>
          <w:rFonts w:hint="eastAsia" w:ascii="黑体" w:hAnsi="宋体" w:eastAsia="黑体"/>
          <w:color w:val="000000"/>
          <w:sz w:val="36"/>
          <w:szCs w:val="21"/>
        </w:rPr>
        <w:t>合同文本</w:t>
      </w:r>
      <w:r>
        <w:rPr>
          <w:rFonts w:hint="eastAsia" w:ascii="黑体" w:hAnsi="Showcard Gothic" w:eastAsia="黑体"/>
          <w:color w:val="000000"/>
          <w:sz w:val="36"/>
          <w:szCs w:val="21"/>
        </w:rPr>
        <w:t>……………………………………</w:t>
      </w:r>
    </w:p>
    <w:p w14:paraId="6463E128">
      <w:pPr>
        <w:numPr>
          <w:ilvl w:val="0"/>
          <w:numId w:val="4"/>
        </w:numPr>
        <w:spacing w:line="480" w:lineRule="auto"/>
        <w:outlineLvl w:val="0"/>
        <w:rPr>
          <w:rFonts w:hint="eastAsia" w:ascii="黑体" w:hAnsi="Showcard Gothic" w:eastAsia="黑体"/>
          <w:color w:val="000000"/>
          <w:sz w:val="36"/>
          <w:szCs w:val="21"/>
        </w:rPr>
      </w:pPr>
      <w:r>
        <w:rPr>
          <w:rFonts w:hint="eastAsia" w:ascii="黑体" w:hAnsi="宋体" w:eastAsia="黑体"/>
          <w:color w:val="000000"/>
          <w:sz w:val="36"/>
          <w:szCs w:val="21"/>
        </w:rPr>
        <w:t>采购需求</w:t>
      </w:r>
      <w:r>
        <w:rPr>
          <w:rFonts w:hint="eastAsia" w:ascii="黑体" w:hAnsi="Showcard Gothic" w:eastAsia="黑体"/>
          <w:color w:val="000000"/>
          <w:sz w:val="36"/>
          <w:szCs w:val="21"/>
        </w:rPr>
        <w:t>……………………………………</w:t>
      </w:r>
    </w:p>
    <w:p w14:paraId="34A58352">
      <w:pPr>
        <w:numPr>
          <w:ilvl w:val="0"/>
          <w:numId w:val="4"/>
        </w:numPr>
        <w:spacing w:line="480" w:lineRule="auto"/>
        <w:outlineLvl w:val="0"/>
        <w:rPr>
          <w:rFonts w:hint="eastAsia" w:ascii="黑体" w:hAnsi="Showcard Gothic" w:eastAsia="黑体"/>
          <w:color w:val="000000"/>
          <w:sz w:val="36"/>
          <w:szCs w:val="21"/>
        </w:rPr>
      </w:pPr>
      <w:r>
        <w:rPr>
          <w:rFonts w:hint="eastAsia" w:ascii="黑体" w:hAnsi="宋体" w:eastAsia="黑体"/>
          <w:bCs/>
          <w:color w:val="000000"/>
          <w:sz w:val="36"/>
          <w:szCs w:val="36"/>
        </w:rPr>
        <w:t>评标方法与评标标准</w:t>
      </w:r>
      <w:r>
        <w:rPr>
          <w:rFonts w:hint="eastAsia" w:ascii="黑体" w:hAnsi="Showcard Gothic" w:eastAsia="黑体"/>
          <w:color w:val="000000"/>
          <w:sz w:val="36"/>
          <w:szCs w:val="21"/>
        </w:rPr>
        <w:t>………………………</w:t>
      </w:r>
    </w:p>
    <w:p w14:paraId="71CDB14B">
      <w:pPr>
        <w:numPr>
          <w:ilvl w:val="0"/>
          <w:numId w:val="4"/>
        </w:numPr>
        <w:spacing w:line="480" w:lineRule="auto"/>
        <w:outlineLvl w:val="0"/>
        <w:rPr>
          <w:rFonts w:hint="eastAsia" w:ascii="黑体" w:hAnsi="Showcard Gothic" w:eastAsia="黑体"/>
          <w:color w:val="000000"/>
          <w:sz w:val="36"/>
          <w:szCs w:val="21"/>
        </w:rPr>
      </w:pPr>
      <w:r>
        <w:rPr>
          <w:rFonts w:hint="eastAsia" w:ascii="黑体" w:hAnsi="宋体" w:eastAsia="黑体"/>
          <w:color w:val="000000"/>
          <w:sz w:val="36"/>
          <w:szCs w:val="21"/>
        </w:rPr>
        <w:t>投标文件格式</w:t>
      </w:r>
      <w:r>
        <w:rPr>
          <w:rFonts w:hint="eastAsia" w:ascii="黑体" w:hAnsi="Showcard Gothic" w:eastAsia="黑体"/>
          <w:color w:val="000000"/>
          <w:sz w:val="36"/>
          <w:szCs w:val="21"/>
        </w:rPr>
        <w:t>………………………………</w:t>
      </w:r>
    </w:p>
    <w:p w14:paraId="662EA4F8">
      <w:pPr>
        <w:rPr>
          <w:rFonts w:hint="eastAsia" w:ascii="Times New Roman" w:hAnsi="Times New Roman"/>
          <w:color w:val="000000"/>
          <w:szCs w:val="21"/>
        </w:rPr>
      </w:pPr>
    </w:p>
    <w:p w14:paraId="5B7E18E9">
      <w:pPr>
        <w:rPr>
          <w:rFonts w:hint="eastAsia" w:ascii="Times New Roman" w:hAnsi="Times New Roman"/>
          <w:color w:val="000000"/>
          <w:szCs w:val="21"/>
        </w:rPr>
      </w:pPr>
    </w:p>
    <w:p w14:paraId="5389616E">
      <w:pPr>
        <w:rPr>
          <w:rFonts w:hint="eastAsia" w:ascii="Times New Roman" w:hAnsi="Times New Roman"/>
          <w:color w:val="000000"/>
          <w:szCs w:val="21"/>
        </w:rPr>
      </w:pPr>
    </w:p>
    <w:p w14:paraId="1F7CA64D">
      <w:pPr>
        <w:rPr>
          <w:rFonts w:hint="eastAsia" w:ascii="Times New Roman" w:hAnsi="Times New Roman"/>
          <w:color w:val="000000"/>
          <w:szCs w:val="21"/>
        </w:rPr>
      </w:pPr>
    </w:p>
    <w:p w14:paraId="0C770E39">
      <w:pPr>
        <w:rPr>
          <w:rFonts w:hint="eastAsia" w:ascii="Times New Roman" w:hAnsi="Times New Roman"/>
          <w:color w:val="000000"/>
          <w:szCs w:val="21"/>
        </w:rPr>
      </w:pPr>
    </w:p>
    <w:p w14:paraId="05F1D749">
      <w:pPr>
        <w:rPr>
          <w:rFonts w:hint="eastAsia" w:ascii="Times New Roman" w:hAnsi="Times New Roman"/>
          <w:color w:val="000000"/>
          <w:szCs w:val="21"/>
        </w:rPr>
      </w:pPr>
    </w:p>
    <w:p w14:paraId="2ACF23E0">
      <w:pPr>
        <w:rPr>
          <w:rFonts w:hint="eastAsia" w:ascii="Times New Roman" w:hAnsi="Times New Roman"/>
          <w:color w:val="000000"/>
          <w:szCs w:val="21"/>
        </w:rPr>
      </w:pPr>
    </w:p>
    <w:p w14:paraId="51FDF09A">
      <w:pPr>
        <w:rPr>
          <w:rFonts w:hint="eastAsia" w:ascii="Times New Roman" w:hAnsi="Times New Roman"/>
          <w:color w:val="000000"/>
          <w:szCs w:val="21"/>
        </w:rPr>
      </w:pPr>
    </w:p>
    <w:p w14:paraId="7E6B108B">
      <w:pPr>
        <w:rPr>
          <w:rFonts w:hint="eastAsia" w:ascii="Times New Roman" w:hAnsi="Times New Roman"/>
          <w:color w:val="000000"/>
          <w:szCs w:val="21"/>
        </w:rPr>
      </w:pPr>
    </w:p>
    <w:p w14:paraId="717BED39">
      <w:pPr>
        <w:rPr>
          <w:rFonts w:hint="eastAsia" w:ascii="Times New Roman" w:hAnsi="Times New Roman"/>
          <w:color w:val="000000"/>
          <w:szCs w:val="21"/>
        </w:rPr>
      </w:pPr>
    </w:p>
    <w:p w14:paraId="3959D447">
      <w:pPr>
        <w:rPr>
          <w:rFonts w:hint="eastAsia" w:ascii="Times New Roman" w:hAnsi="Times New Roman"/>
          <w:color w:val="000000"/>
          <w:szCs w:val="21"/>
        </w:rPr>
      </w:pPr>
    </w:p>
    <w:p w14:paraId="22E38AE0">
      <w:pPr>
        <w:rPr>
          <w:rFonts w:hint="eastAsia" w:ascii="Times New Roman" w:hAnsi="Times New Roman"/>
          <w:color w:val="000000"/>
          <w:szCs w:val="21"/>
        </w:rPr>
      </w:pPr>
    </w:p>
    <w:p w14:paraId="5B09212E">
      <w:pPr>
        <w:rPr>
          <w:rFonts w:hint="eastAsia" w:ascii="Times New Roman" w:hAnsi="Times New Roman"/>
          <w:color w:val="000000"/>
          <w:szCs w:val="21"/>
        </w:rPr>
      </w:pPr>
    </w:p>
    <w:p w14:paraId="7FF72272">
      <w:pPr>
        <w:rPr>
          <w:rFonts w:hint="eastAsia" w:ascii="Times New Roman" w:hAnsi="Times New Roman"/>
          <w:color w:val="000000"/>
          <w:szCs w:val="21"/>
        </w:rPr>
      </w:pPr>
    </w:p>
    <w:p w14:paraId="37059932">
      <w:pPr>
        <w:rPr>
          <w:rFonts w:hint="eastAsia" w:ascii="Times New Roman" w:hAnsi="Times New Roman"/>
          <w:color w:val="000000"/>
          <w:szCs w:val="21"/>
        </w:rPr>
      </w:pPr>
    </w:p>
    <w:p w14:paraId="4F84852B">
      <w:pPr>
        <w:rPr>
          <w:rFonts w:hint="eastAsia" w:ascii="Times New Roman" w:hAnsi="Times New Roman"/>
          <w:color w:val="000000"/>
          <w:szCs w:val="21"/>
        </w:rPr>
      </w:pPr>
    </w:p>
    <w:p w14:paraId="1179121A">
      <w:pPr>
        <w:rPr>
          <w:rFonts w:hint="eastAsia" w:ascii="Times New Roman" w:hAnsi="Times New Roman"/>
          <w:color w:val="000000"/>
          <w:szCs w:val="21"/>
        </w:rPr>
      </w:pPr>
    </w:p>
    <w:p w14:paraId="00C8FD84">
      <w:pPr>
        <w:rPr>
          <w:rFonts w:hint="eastAsia" w:ascii="Times New Roman" w:hAnsi="Times New Roman"/>
          <w:color w:val="000000"/>
          <w:szCs w:val="21"/>
        </w:rPr>
      </w:pPr>
    </w:p>
    <w:p w14:paraId="2ABF1D0C">
      <w:pPr>
        <w:rPr>
          <w:rFonts w:hint="eastAsia" w:ascii="Times New Roman" w:hAnsi="Times New Roman"/>
          <w:color w:val="000000"/>
          <w:szCs w:val="21"/>
        </w:rPr>
      </w:pPr>
    </w:p>
    <w:p w14:paraId="1609DC44">
      <w:pPr>
        <w:rPr>
          <w:rFonts w:hint="eastAsia" w:ascii="Times New Roman" w:hAnsi="Times New Roman"/>
          <w:color w:val="000000"/>
          <w:szCs w:val="21"/>
        </w:rPr>
      </w:pPr>
    </w:p>
    <w:p w14:paraId="54B6D5A1">
      <w:pPr>
        <w:rPr>
          <w:rFonts w:hint="eastAsia" w:ascii="Times New Roman" w:hAnsi="Times New Roman"/>
          <w:color w:val="000000"/>
          <w:szCs w:val="21"/>
        </w:rPr>
      </w:pPr>
    </w:p>
    <w:p w14:paraId="72A6C78F">
      <w:pPr>
        <w:rPr>
          <w:rFonts w:hint="eastAsia" w:ascii="Times New Roman" w:hAnsi="Times New Roman"/>
          <w:color w:val="000000"/>
          <w:szCs w:val="21"/>
        </w:rPr>
      </w:pPr>
    </w:p>
    <w:p w14:paraId="458E9E35">
      <w:pPr>
        <w:rPr>
          <w:rFonts w:hint="eastAsia" w:ascii="Times New Roman" w:hAnsi="Times New Roman"/>
          <w:color w:val="000000"/>
          <w:szCs w:val="21"/>
        </w:rPr>
      </w:pPr>
    </w:p>
    <w:p w14:paraId="114B2A40">
      <w:pPr>
        <w:pStyle w:val="254"/>
        <w:rPr>
          <w:rFonts w:hint="eastAsia"/>
        </w:rPr>
      </w:pPr>
    </w:p>
    <w:p w14:paraId="78C81A04">
      <w:pPr>
        <w:rPr>
          <w:rFonts w:hint="eastAsia" w:ascii="Times New Roman" w:hAnsi="Times New Roman"/>
          <w:color w:val="000000"/>
          <w:szCs w:val="21"/>
        </w:rPr>
      </w:pPr>
    </w:p>
    <w:p w14:paraId="7A38B23F">
      <w:pPr>
        <w:pStyle w:val="254"/>
        <w:rPr>
          <w:rFonts w:hint="eastAsia"/>
        </w:rPr>
      </w:pPr>
    </w:p>
    <w:p w14:paraId="045207F8">
      <w:pPr>
        <w:keepNext/>
        <w:keepLines w:val="0"/>
        <w:pageBreakBefore w:val="0"/>
        <w:widowControl w:val="0"/>
        <w:spacing w:line="640" w:lineRule="exact"/>
        <w:jc w:val="center"/>
        <w:outlineLvl w:val="0"/>
        <w:rPr>
          <w:rFonts w:hint="eastAsia" w:ascii="黑体" w:hAnsi="Times New Roman" w:eastAsia="黑体"/>
          <w:bCs/>
          <w:color w:val="000000"/>
          <w:sz w:val="36"/>
          <w:szCs w:val="36"/>
          <w:lang w:eastAsia="zh-CN"/>
        </w:rPr>
      </w:pPr>
      <w:r>
        <w:rPr>
          <w:rFonts w:hint="eastAsia" w:ascii="黑体" w:hAnsi="Times New Roman" w:eastAsia="黑体"/>
          <w:color w:val="000000"/>
          <w:sz w:val="36"/>
          <w:szCs w:val="36"/>
        </w:rPr>
        <w:t xml:space="preserve">第一章  </w:t>
      </w:r>
      <w:bookmarkEnd w:id="0"/>
      <w:r>
        <w:rPr>
          <w:rFonts w:hint="eastAsia" w:ascii="黑体" w:hAnsi="Times New Roman" w:eastAsia="黑体"/>
          <w:color w:val="000000"/>
          <w:sz w:val="36"/>
          <w:szCs w:val="36"/>
          <w:lang w:eastAsia="zh-CN"/>
        </w:rPr>
        <w:t>招标公告</w:t>
      </w:r>
    </w:p>
    <w:p w14:paraId="273B8A8B">
      <w:pPr>
        <w:keepNext w:val="0"/>
        <w:keepLines w:val="0"/>
        <w:pageBreakBefore w:val="0"/>
        <w:widowControl w:val="0"/>
        <w:pBdr>
          <w:top w:val="single" w:color="000000" w:sz="4" w:space="1"/>
          <w:left w:val="single" w:color="000000" w:sz="4" w:space="4"/>
          <w:bottom w:val="single" w:color="000000" w:sz="4" w:space="1"/>
          <w:right w:val="single" w:color="000000" w:sz="4" w:space="4"/>
        </w:pBdr>
        <w:spacing w:line="480" w:lineRule="exact"/>
        <w:ind w:firstLine="480"/>
        <w:rPr>
          <w:rFonts w:ascii="宋体" w:hAnsi="宋体"/>
          <w:color w:val="000000"/>
          <w:sz w:val="21"/>
          <w:szCs w:val="21"/>
        </w:rPr>
      </w:pPr>
      <w:r>
        <w:rPr>
          <w:rFonts w:hint="eastAsia" w:ascii="宋体" w:hAnsi="宋体"/>
          <w:color w:val="000000"/>
          <w:sz w:val="21"/>
          <w:szCs w:val="21"/>
        </w:rPr>
        <w:t>项目概况</w:t>
      </w:r>
    </w:p>
    <w:p w14:paraId="7C94E434">
      <w:pPr>
        <w:keepNext w:val="0"/>
        <w:keepLines w:val="0"/>
        <w:pageBreakBefore w:val="0"/>
        <w:widowControl w:val="0"/>
        <w:pBdr>
          <w:top w:val="single" w:color="000000" w:sz="4" w:space="1"/>
          <w:left w:val="single" w:color="000000" w:sz="4" w:space="4"/>
          <w:bottom w:val="single" w:color="000000" w:sz="4" w:space="1"/>
          <w:right w:val="single" w:color="000000" w:sz="4" w:space="4"/>
        </w:pBdr>
        <w:spacing w:line="480" w:lineRule="exact"/>
        <w:ind w:firstLine="480"/>
        <w:rPr>
          <w:rFonts w:hint="eastAsia" w:ascii="宋体" w:hAnsi="宋体"/>
          <w:color w:val="000000"/>
          <w:sz w:val="21"/>
          <w:szCs w:val="21"/>
        </w:rPr>
      </w:pPr>
      <w:r>
        <w:rPr>
          <w:rFonts w:hint="eastAsia" w:ascii="宋体" w:hAnsi="宋体" w:eastAsia="宋体" w:cs="Times New Roman"/>
          <w:color w:val="000000"/>
          <w:sz w:val="21"/>
          <w:szCs w:val="21"/>
          <w:u w:val="single"/>
          <w:lang w:eastAsia="zh-CN"/>
        </w:rPr>
        <w:t xml:space="preserve"> </w:t>
      </w:r>
      <w:r>
        <w:rPr>
          <w:rFonts w:hint="eastAsia" w:ascii="宋体" w:hAnsi="宋体" w:cs="Times New Roman"/>
          <w:color w:val="000000"/>
          <w:sz w:val="21"/>
          <w:szCs w:val="21"/>
          <w:u w:val="single"/>
          <w:lang w:eastAsia="zh-CN"/>
        </w:rPr>
        <w:t>阜宁县人民医院救护车采购项目</w:t>
      </w:r>
      <w:r>
        <w:rPr>
          <w:rFonts w:hint="eastAsia" w:ascii="宋体" w:hAnsi="宋体"/>
          <w:color w:val="000000"/>
          <w:sz w:val="21"/>
          <w:szCs w:val="21"/>
        </w:rPr>
        <w:t>招标项目的潜在投标人可在</w:t>
      </w:r>
      <w:r>
        <w:rPr>
          <w:rFonts w:hint="eastAsia" w:ascii="宋体" w:hAnsi="宋体"/>
          <w:color w:val="000000"/>
          <w:sz w:val="21"/>
          <w:szCs w:val="21"/>
          <w:u w:val="single"/>
          <w:lang w:val="en-US" w:eastAsia="zh-CN"/>
        </w:rPr>
        <w:t>江苏省政府采购网</w:t>
      </w:r>
      <w:r>
        <w:rPr>
          <w:rFonts w:hint="eastAsia" w:ascii="宋体" w:hAnsi="宋体" w:cs="宋体"/>
          <w:color w:val="000000"/>
          <w:sz w:val="21"/>
          <w:szCs w:val="20"/>
          <w:highlight w:val="none"/>
          <w:u w:val="single"/>
        </w:rPr>
        <w:t>“政府采购一体化平台（苏采云）”</w:t>
      </w:r>
      <w:r>
        <w:rPr>
          <w:rFonts w:hint="eastAsia" w:ascii="宋体" w:hAnsi="宋体" w:cs="宋体"/>
          <w:color w:val="000000"/>
          <w:sz w:val="21"/>
          <w:szCs w:val="20"/>
          <w:highlight w:val="none"/>
          <w:u w:val="none"/>
          <w:lang w:val="en-US" w:eastAsia="zh-CN"/>
        </w:rPr>
        <w:t>获取</w:t>
      </w:r>
      <w:r>
        <w:rPr>
          <w:rFonts w:hint="eastAsia" w:ascii="宋体" w:hAnsi="宋体"/>
          <w:color w:val="000000"/>
          <w:sz w:val="21"/>
          <w:szCs w:val="21"/>
        </w:rPr>
        <w:t>招标文件，并于</w:t>
      </w:r>
      <w:r>
        <w:rPr>
          <w:rFonts w:hint="eastAsia" w:ascii="宋体" w:hAnsi="宋体"/>
          <w:color w:val="000000"/>
          <w:sz w:val="21"/>
          <w:szCs w:val="21"/>
          <w:u w:val="single"/>
          <w:lang w:val="en-US" w:eastAsia="zh-CN"/>
        </w:rPr>
        <w:t>2026年9月24日</w:t>
      </w:r>
      <w:r>
        <w:rPr>
          <w:rFonts w:hint="eastAsia" w:ascii="宋体" w:hAnsi="宋体"/>
          <w:bCs/>
          <w:color w:val="000000"/>
          <w:sz w:val="21"/>
          <w:szCs w:val="21"/>
          <w:u w:val="single"/>
          <w:lang w:val="en-US" w:eastAsia="zh-CN"/>
        </w:rPr>
        <w:t>09</w:t>
      </w:r>
      <w:r>
        <w:rPr>
          <w:rFonts w:hint="eastAsia" w:ascii="宋体" w:hAnsi="宋体"/>
          <w:bCs/>
          <w:color w:val="000000"/>
          <w:sz w:val="21"/>
          <w:szCs w:val="21"/>
          <w:u w:val="single"/>
        </w:rPr>
        <w:t>点</w:t>
      </w:r>
      <w:r>
        <w:rPr>
          <w:rFonts w:hint="eastAsia" w:ascii="宋体" w:hAnsi="宋体"/>
          <w:bCs/>
          <w:color w:val="000000"/>
          <w:sz w:val="21"/>
          <w:szCs w:val="21"/>
          <w:u w:val="single"/>
          <w:lang w:val="en-US" w:eastAsia="zh-CN"/>
        </w:rPr>
        <w:t>00</w:t>
      </w:r>
      <w:r>
        <w:rPr>
          <w:rFonts w:hint="eastAsia" w:ascii="宋体" w:hAnsi="宋体"/>
          <w:bCs/>
          <w:color w:val="000000"/>
          <w:sz w:val="21"/>
          <w:szCs w:val="21"/>
          <w:u w:val="single"/>
        </w:rPr>
        <w:t>分（</w:t>
      </w:r>
      <w:r>
        <w:rPr>
          <w:rFonts w:hint="eastAsia" w:ascii="宋体" w:hAnsi="宋体"/>
          <w:bCs/>
          <w:color w:val="000000"/>
          <w:sz w:val="21"/>
          <w:szCs w:val="21"/>
        </w:rPr>
        <w:t>北京时间）前递交投标</w:t>
      </w:r>
      <w:r>
        <w:rPr>
          <w:rFonts w:ascii="宋体" w:hAnsi="宋体"/>
          <w:bCs/>
          <w:color w:val="000000"/>
          <w:sz w:val="21"/>
          <w:szCs w:val="21"/>
        </w:rPr>
        <w:t>文件</w:t>
      </w:r>
      <w:r>
        <w:rPr>
          <w:rFonts w:hint="eastAsia" w:ascii="宋体" w:hAnsi="宋体"/>
          <w:color w:val="000000"/>
          <w:sz w:val="21"/>
          <w:szCs w:val="21"/>
        </w:rPr>
        <w:t>。</w:t>
      </w:r>
    </w:p>
    <w:p w14:paraId="556BC86E">
      <w:pPr>
        <w:keepNext w:val="0"/>
        <w:keepLines w:val="0"/>
        <w:pageBreakBefore w:val="0"/>
        <w:widowControl w:val="0"/>
        <w:kinsoku/>
        <w:wordWrap/>
        <w:overflowPunct/>
        <w:topLinePunct w:val="0"/>
        <w:autoSpaceDE/>
        <w:autoSpaceDN/>
        <w:bidi w:val="0"/>
        <w:adjustRightInd/>
        <w:snapToGrid/>
        <w:spacing w:line="440" w:lineRule="exact"/>
        <w:ind w:firstLine="422" w:firstLineChars="200"/>
        <w:textAlignment w:val="auto"/>
        <w:rPr>
          <w:rFonts w:hint="eastAsia" w:ascii="宋体" w:hAnsi="宋体" w:eastAsia="宋体" w:cs="宋体"/>
          <w:b/>
          <w:bCs/>
          <w:color w:val="auto"/>
          <w:kern w:val="2"/>
          <w:sz w:val="21"/>
          <w:szCs w:val="21"/>
          <w:highlight w:val="none"/>
        </w:rPr>
      </w:pPr>
      <w:bookmarkStart w:id="6" w:name="_Toc28359079"/>
      <w:bookmarkStart w:id="7" w:name="_Toc28359002"/>
      <w:bookmarkStart w:id="8" w:name="_Toc35393621"/>
      <w:bookmarkStart w:id="9" w:name="_Toc35393790"/>
      <w:bookmarkStart w:id="10" w:name="_Toc38985263"/>
      <w:bookmarkStart w:id="11" w:name="_Hlk24379207"/>
      <w:r>
        <w:rPr>
          <w:rFonts w:hint="eastAsia" w:ascii="宋体" w:hAnsi="宋体" w:eastAsia="宋体" w:cs="宋体"/>
          <w:b/>
          <w:bCs/>
          <w:color w:val="auto"/>
          <w:kern w:val="2"/>
          <w:sz w:val="21"/>
          <w:szCs w:val="21"/>
          <w:highlight w:val="none"/>
        </w:rPr>
        <w:t>一、项目基本情况</w:t>
      </w:r>
      <w:bookmarkEnd w:id="6"/>
      <w:bookmarkEnd w:id="7"/>
      <w:bookmarkEnd w:id="8"/>
      <w:bookmarkEnd w:id="9"/>
      <w:bookmarkEnd w:id="10"/>
    </w:p>
    <w:p w14:paraId="0221CB98">
      <w:pPr>
        <w:keepNext w:val="0"/>
        <w:keepLines w:val="0"/>
        <w:pageBreakBefore w:val="0"/>
        <w:widowControl w:val="0"/>
        <w:kinsoku/>
        <w:wordWrap/>
        <w:overflowPunct/>
        <w:topLinePunct w:val="0"/>
        <w:autoSpaceDE/>
        <w:autoSpaceDN/>
        <w:bidi w:val="0"/>
        <w:adjustRightInd/>
        <w:snapToGrid/>
        <w:spacing w:line="440" w:lineRule="exact"/>
        <w:ind w:firstLine="420" w:firstLineChars="200"/>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rPr>
        <w:t>1.项目编号：</w:t>
      </w:r>
      <w:r>
        <w:rPr>
          <w:rFonts w:hint="eastAsia" w:ascii="宋体" w:hAnsi="宋体" w:cs="宋体"/>
          <w:color w:val="auto"/>
          <w:kern w:val="2"/>
          <w:sz w:val="21"/>
          <w:szCs w:val="21"/>
          <w:highlight w:val="none"/>
          <w:lang w:val="en-US" w:eastAsia="zh-CN"/>
        </w:rPr>
        <w:t>JSZC-320923-SWGC-G2026-0106</w:t>
      </w:r>
    </w:p>
    <w:p w14:paraId="549D92A9">
      <w:pPr>
        <w:keepNext w:val="0"/>
        <w:keepLines w:val="0"/>
        <w:pageBreakBefore w:val="0"/>
        <w:widowControl w:val="0"/>
        <w:kinsoku/>
        <w:wordWrap/>
        <w:overflowPunct/>
        <w:topLinePunct w:val="0"/>
        <w:autoSpaceDE/>
        <w:autoSpaceDN/>
        <w:bidi w:val="0"/>
        <w:adjustRightInd/>
        <w:snapToGrid/>
        <w:spacing w:line="440" w:lineRule="exact"/>
        <w:ind w:firstLine="420" w:firstLineChars="200"/>
        <w:textAlignment w:val="auto"/>
        <w:rPr>
          <w:rFonts w:hint="eastAsia" w:ascii="宋体" w:hAnsi="宋体" w:eastAsia="宋体" w:cs="宋体"/>
          <w:color w:val="auto"/>
          <w:kern w:val="2"/>
          <w:sz w:val="21"/>
          <w:szCs w:val="21"/>
          <w:highlight w:val="none"/>
          <w:lang w:eastAsia="zh-CN"/>
        </w:rPr>
      </w:pPr>
      <w:r>
        <w:rPr>
          <w:rFonts w:hint="eastAsia" w:ascii="宋体" w:hAnsi="宋体" w:eastAsia="宋体" w:cs="宋体"/>
          <w:color w:val="auto"/>
          <w:kern w:val="2"/>
          <w:sz w:val="21"/>
          <w:szCs w:val="21"/>
          <w:highlight w:val="none"/>
        </w:rPr>
        <w:t>2.项目名称：</w:t>
      </w:r>
      <w:r>
        <w:rPr>
          <w:rFonts w:hint="eastAsia" w:ascii="宋体" w:hAnsi="宋体" w:cs="宋体"/>
          <w:color w:val="auto"/>
          <w:kern w:val="2"/>
          <w:sz w:val="21"/>
          <w:szCs w:val="21"/>
          <w:highlight w:val="none"/>
          <w:lang w:eastAsia="zh-CN"/>
        </w:rPr>
        <w:t>阜宁县人民医院救护车采购项目</w:t>
      </w:r>
    </w:p>
    <w:bookmarkEnd w:id="11"/>
    <w:p w14:paraId="4D9CCEFA">
      <w:pPr>
        <w:keepNext w:val="0"/>
        <w:keepLines w:val="0"/>
        <w:pageBreakBefore w:val="0"/>
        <w:widowControl w:val="0"/>
        <w:kinsoku/>
        <w:wordWrap/>
        <w:overflowPunct/>
        <w:topLinePunct w:val="0"/>
        <w:autoSpaceDE/>
        <w:autoSpaceDN/>
        <w:bidi w:val="0"/>
        <w:adjustRightInd/>
        <w:snapToGrid/>
        <w:spacing w:line="440" w:lineRule="exact"/>
        <w:ind w:firstLine="420" w:firstLineChars="200"/>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rPr>
        <w:t>3</w:t>
      </w:r>
      <w:r>
        <w:rPr>
          <w:rFonts w:hint="eastAsia" w:ascii="宋体" w:hAnsi="宋体" w:eastAsia="宋体" w:cs="宋体"/>
          <w:color w:val="auto"/>
          <w:kern w:val="2"/>
          <w:sz w:val="21"/>
          <w:szCs w:val="21"/>
          <w:highlight w:val="none"/>
        </w:rPr>
        <w:t>.采购方式：公开招标</w:t>
      </w:r>
    </w:p>
    <w:p w14:paraId="6204367E">
      <w:pPr>
        <w:keepNext w:val="0"/>
        <w:keepLines w:val="0"/>
        <w:pageBreakBefore w:val="0"/>
        <w:widowControl w:val="0"/>
        <w:kinsoku/>
        <w:wordWrap/>
        <w:overflowPunct/>
        <w:topLinePunct w:val="0"/>
        <w:autoSpaceDE/>
        <w:autoSpaceDN/>
        <w:bidi w:val="0"/>
        <w:adjustRightInd/>
        <w:snapToGrid/>
        <w:spacing w:line="440" w:lineRule="exact"/>
        <w:ind w:firstLine="420" w:firstLineChars="200"/>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rPr>
        <w:t>4</w:t>
      </w:r>
      <w:r>
        <w:rPr>
          <w:rFonts w:hint="eastAsia" w:ascii="宋体" w:hAnsi="宋体" w:eastAsia="宋体" w:cs="宋体"/>
          <w:color w:val="auto"/>
          <w:kern w:val="2"/>
          <w:sz w:val="21"/>
          <w:szCs w:val="21"/>
          <w:highlight w:val="none"/>
        </w:rPr>
        <w:t>.预算金额：</w:t>
      </w:r>
      <w:r>
        <w:rPr>
          <w:rFonts w:hint="eastAsia" w:ascii="宋体" w:hAnsi="宋体" w:eastAsia="宋体" w:cs="宋体"/>
          <w:color w:val="auto"/>
          <w:kern w:val="2"/>
          <w:sz w:val="21"/>
          <w:szCs w:val="21"/>
          <w:highlight w:val="none"/>
          <w:lang w:val="en-US" w:eastAsia="zh-CN"/>
        </w:rPr>
        <w:t>120万元</w:t>
      </w:r>
    </w:p>
    <w:p w14:paraId="319D4EC1">
      <w:pPr>
        <w:keepNext w:val="0"/>
        <w:keepLines w:val="0"/>
        <w:pageBreakBefore w:val="0"/>
        <w:widowControl w:val="0"/>
        <w:kinsoku/>
        <w:wordWrap/>
        <w:overflowPunct/>
        <w:topLinePunct w:val="0"/>
        <w:autoSpaceDE/>
        <w:autoSpaceDN/>
        <w:bidi w:val="0"/>
        <w:adjustRightInd/>
        <w:snapToGrid/>
        <w:spacing w:line="440" w:lineRule="exact"/>
        <w:ind w:firstLine="420" w:firstLineChars="200"/>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rPr>
        <w:t>5</w:t>
      </w:r>
      <w:r>
        <w:rPr>
          <w:rFonts w:hint="eastAsia" w:ascii="宋体" w:hAnsi="宋体" w:eastAsia="宋体" w:cs="宋体"/>
          <w:color w:val="auto"/>
          <w:kern w:val="2"/>
          <w:sz w:val="21"/>
          <w:szCs w:val="21"/>
          <w:highlight w:val="none"/>
        </w:rPr>
        <w:t>.最高限价</w:t>
      </w:r>
      <w:r>
        <w:rPr>
          <w:rFonts w:hint="eastAsia" w:ascii="宋体" w:hAnsi="宋体" w:eastAsia="宋体" w:cs="宋体"/>
          <w:color w:val="auto"/>
          <w:kern w:val="2"/>
          <w:sz w:val="21"/>
          <w:szCs w:val="21"/>
          <w:highlight w:val="none"/>
          <w:lang w:eastAsia="zh-CN"/>
        </w:rPr>
        <w:t>：</w:t>
      </w:r>
      <w:r>
        <w:rPr>
          <w:rFonts w:hint="eastAsia" w:ascii="宋体" w:hAnsi="宋体" w:eastAsia="宋体" w:cs="宋体"/>
          <w:color w:val="auto"/>
          <w:kern w:val="2"/>
          <w:sz w:val="21"/>
          <w:szCs w:val="21"/>
          <w:highlight w:val="none"/>
          <w:lang w:val="en-US" w:eastAsia="zh-CN"/>
        </w:rPr>
        <w:t>120万元</w:t>
      </w:r>
    </w:p>
    <w:p w14:paraId="22F58B35">
      <w:pPr>
        <w:keepNext w:val="0"/>
        <w:keepLines w:val="0"/>
        <w:pageBreakBefore w:val="0"/>
        <w:widowControl w:val="0"/>
        <w:kinsoku/>
        <w:wordWrap/>
        <w:overflowPunct/>
        <w:topLinePunct w:val="0"/>
        <w:autoSpaceDE/>
        <w:autoSpaceDN/>
        <w:bidi w:val="0"/>
        <w:adjustRightInd/>
        <w:snapToGrid/>
        <w:spacing w:line="440" w:lineRule="exact"/>
        <w:ind w:firstLine="420" w:firstLineChars="200"/>
        <w:textAlignment w:val="auto"/>
        <w:rPr>
          <w:rFonts w:hint="eastAsia" w:ascii="宋体" w:hAnsi="宋体" w:eastAsia="宋体" w:cs="宋体"/>
          <w:color w:val="auto"/>
          <w:kern w:val="2"/>
          <w:sz w:val="21"/>
          <w:szCs w:val="21"/>
          <w:highlight w:val="none"/>
          <w:lang w:eastAsia="zh-CN"/>
        </w:rPr>
      </w:pPr>
      <w:r>
        <w:rPr>
          <w:rFonts w:hint="eastAsia" w:ascii="宋体" w:hAnsi="宋体" w:eastAsia="宋体" w:cs="宋体"/>
          <w:color w:val="auto"/>
          <w:kern w:val="2"/>
          <w:sz w:val="21"/>
          <w:szCs w:val="21"/>
          <w:highlight w:val="none"/>
          <w:lang w:val="en-US" w:eastAsia="zh-CN"/>
        </w:rPr>
        <w:t>6</w:t>
      </w:r>
      <w:r>
        <w:rPr>
          <w:rFonts w:hint="eastAsia" w:ascii="宋体" w:hAnsi="宋体" w:eastAsia="宋体" w:cs="宋体"/>
          <w:color w:val="auto"/>
          <w:kern w:val="2"/>
          <w:sz w:val="21"/>
          <w:szCs w:val="21"/>
          <w:highlight w:val="none"/>
          <w:lang w:eastAsia="zh-CN"/>
        </w:rPr>
        <w:t>.采购需求（简介）：</w:t>
      </w:r>
      <w:r>
        <w:rPr>
          <w:rFonts w:hint="eastAsia" w:ascii="宋体" w:hAnsi="宋体" w:cs="宋体"/>
          <w:color w:val="auto"/>
          <w:kern w:val="2"/>
          <w:sz w:val="21"/>
          <w:szCs w:val="21"/>
          <w:highlight w:val="none"/>
          <w:lang w:eastAsia="zh-CN"/>
        </w:rPr>
        <w:t>阜宁县人民医院救护车采购项目</w:t>
      </w:r>
      <w:r>
        <w:rPr>
          <w:rFonts w:hint="eastAsia" w:ascii="宋体" w:hAnsi="宋体" w:eastAsia="宋体" w:cs="宋体"/>
          <w:color w:val="auto"/>
          <w:kern w:val="2"/>
          <w:sz w:val="21"/>
          <w:szCs w:val="21"/>
          <w:highlight w:val="none"/>
          <w:lang w:eastAsia="zh-CN"/>
        </w:rPr>
        <w:t>，</w:t>
      </w:r>
      <w:r>
        <w:rPr>
          <w:rFonts w:hint="eastAsia" w:ascii="宋体" w:hAnsi="宋体" w:eastAsia="宋体" w:cs="宋体"/>
          <w:color w:val="auto"/>
          <w:kern w:val="2"/>
          <w:sz w:val="21"/>
          <w:szCs w:val="21"/>
          <w:highlight w:val="none"/>
          <w:lang w:val="en-US" w:eastAsia="zh-CN"/>
        </w:rPr>
        <w:t>主要为3辆救护车</w:t>
      </w:r>
      <w:r>
        <w:rPr>
          <w:rFonts w:hint="eastAsia" w:ascii="宋体" w:hAnsi="宋体" w:eastAsia="宋体" w:cs="宋体"/>
          <w:color w:val="auto"/>
          <w:kern w:val="2"/>
          <w:sz w:val="21"/>
          <w:szCs w:val="21"/>
          <w:highlight w:val="none"/>
          <w:lang w:eastAsia="zh-CN"/>
        </w:rPr>
        <w:t>采购、安装、调试及衍生服务等</w:t>
      </w:r>
      <w:r>
        <w:rPr>
          <w:rFonts w:hint="eastAsia" w:ascii="宋体" w:hAnsi="宋体" w:eastAsia="宋体" w:cs="宋体"/>
          <w:color w:val="auto"/>
          <w:kern w:val="2"/>
          <w:sz w:val="21"/>
          <w:szCs w:val="21"/>
          <w:highlight w:val="none"/>
          <w:lang w:val="en-US" w:eastAsia="zh-CN"/>
        </w:rPr>
        <w:t>。</w:t>
      </w:r>
      <w:r>
        <w:rPr>
          <w:rFonts w:hint="eastAsia" w:ascii="宋体" w:hAnsi="宋体" w:eastAsia="宋体" w:cs="宋体"/>
          <w:color w:val="auto"/>
          <w:kern w:val="2"/>
          <w:sz w:val="21"/>
          <w:szCs w:val="21"/>
          <w:highlight w:val="none"/>
          <w:lang w:eastAsia="zh-CN"/>
        </w:rPr>
        <w:t>质量要求：符合相关国家标准、行业标准及招标文件的要求。质保期：底盘车不少于两年或50000公里</w:t>
      </w:r>
      <w:r>
        <w:rPr>
          <w:rFonts w:hint="eastAsia" w:ascii="宋体" w:hAnsi="宋体" w:cs="宋体"/>
          <w:color w:val="auto"/>
          <w:kern w:val="2"/>
          <w:sz w:val="21"/>
          <w:szCs w:val="21"/>
          <w:highlight w:val="none"/>
          <w:lang w:eastAsia="zh-CN"/>
        </w:rPr>
        <w:t>（</w:t>
      </w:r>
      <w:r>
        <w:rPr>
          <w:rFonts w:hint="eastAsia" w:ascii="宋体" w:hAnsi="宋体" w:eastAsia="宋体" w:cs="宋体"/>
          <w:color w:val="auto"/>
          <w:kern w:val="2"/>
          <w:sz w:val="21"/>
          <w:szCs w:val="21"/>
          <w:highlight w:val="none"/>
          <w:lang w:val="en-US" w:eastAsia="zh-CN"/>
        </w:rPr>
        <w:t>以先到指标为准</w:t>
      </w:r>
      <w:r>
        <w:rPr>
          <w:rFonts w:hint="eastAsia" w:ascii="宋体" w:hAnsi="宋体" w:cs="宋体"/>
          <w:color w:val="auto"/>
          <w:kern w:val="2"/>
          <w:sz w:val="21"/>
          <w:szCs w:val="21"/>
          <w:highlight w:val="none"/>
          <w:lang w:val="en-US" w:eastAsia="zh-CN"/>
        </w:rPr>
        <w:t>）</w:t>
      </w:r>
      <w:r>
        <w:rPr>
          <w:rFonts w:hint="eastAsia" w:ascii="宋体" w:hAnsi="宋体" w:eastAsia="宋体" w:cs="宋体"/>
          <w:color w:val="auto"/>
          <w:kern w:val="2"/>
          <w:sz w:val="21"/>
          <w:szCs w:val="21"/>
          <w:highlight w:val="none"/>
          <w:lang w:eastAsia="zh-CN"/>
        </w:rPr>
        <w:t>，医疗舱提供不少于1年的质保期。</w:t>
      </w:r>
      <w:r>
        <w:rPr>
          <w:rFonts w:hint="eastAsia" w:ascii="宋体" w:hAnsi="宋体" w:eastAsia="宋体" w:cs="宋体"/>
          <w:color w:val="auto"/>
          <w:kern w:val="2"/>
          <w:sz w:val="21"/>
          <w:szCs w:val="21"/>
          <w:highlight w:val="none"/>
          <w:lang w:val="zh-CN" w:eastAsia="zh-CN"/>
        </w:rPr>
        <w:t>（详细内容见本招标文件第四章）</w:t>
      </w:r>
      <w:r>
        <w:rPr>
          <w:rFonts w:hint="eastAsia" w:ascii="宋体" w:hAnsi="宋体" w:eastAsia="宋体" w:cs="宋体"/>
          <w:color w:val="auto"/>
          <w:kern w:val="2"/>
          <w:sz w:val="21"/>
          <w:szCs w:val="21"/>
          <w:highlight w:val="none"/>
          <w:lang w:eastAsia="zh-CN"/>
        </w:rPr>
        <w:t>。</w:t>
      </w:r>
    </w:p>
    <w:p w14:paraId="28190C82">
      <w:pPr>
        <w:keepNext w:val="0"/>
        <w:keepLines w:val="0"/>
        <w:pageBreakBefore w:val="0"/>
        <w:widowControl w:val="0"/>
        <w:kinsoku/>
        <w:wordWrap/>
        <w:overflowPunct/>
        <w:topLinePunct w:val="0"/>
        <w:autoSpaceDE/>
        <w:autoSpaceDN/>
        <w:bidi w:val="0"/>
        <w:adjustRightInd/>
        <w:snapToGrid/>
        <w:spacing w:line="440" w:lineRule="exact"/>
        <w:ind w:firstLine="420" w:firstLineChars="200"/>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rPr>
        <w:t>7</w:t>
      </w:r>
      <w:r>
        <w:rPr>
          <w:rFonts w:hint="eastAsia" w:ascii="宋体" w:hAnsi="宋体" w:eastAsia="宋体" w:cs="宋体"/>
          <w:color w:val="auto"/>
          <w:kern w:val="2"/>
          <w:sz w:val="21"/>
          <w:szCs w:val="21"/>
          <w:highlight w:val="none"/>
        </w:rPr>
        <w:t>.合同履行期限：</w:t>
      </w:r>
      <w:bookmarkStart w:id="12" w:name="_Toc38985264"/>
      <w:bookmarkStart w:id="13" w:name="_Toc28359080"/>
      <w:bookmarkStart w:id="14" w:name="_Toc28359003"/>
      <w:bookmarkStart w:id="15" w:name="_Toc35393622"/>
      <w:bookmarkStart w:id="16" w:name="_Toc35393791"/>
      <w:r>
        <w:rPr>
          <w:rFonts w:hint="eastAsia" w:ascii="宋体" w:hAnsi="宋体" w:eastAsia="宋体" w:cs="宋体"/>
          <w:color w:val="auto"/>
          <w:kern w:val="2"/>
          <w:sz w:val="21"/>
          <w:szCs w:val="21"/>
          <w:highlight w:val="none"/>
        </w:rPr>
        <w:t>合同</w:t>
      </w:r>
      <w:r>
        <w:rPr>
          <w:rFonts w:hint="eastAsia" w:ascii="宋体" w:hAnsi="宋体" w:eastAsia="宋体" w:cs="宋体"/>
          <w:color w:val="auto"/>
          <w:kern w:val="2"/>
          <w:sz w:val="21"/>
          <w:szCs w:val="21"/>
          <w:highlight w:val="none"/>
          <w:lang w:eastAsia="zh-CN"/>
        </w:rPr>
        <w:t>签订后30日历天</w:t>
      </w:r>
      <w:r>
        <w:rPr>
          <w:rFonts w:hint="eastAsia" w:ascii="宋体" w:hAnsi="宋体" w:eastAsia="宋体" w:cs="宋体"/>
          <w:color w:val="auto"/>
          <w:kern w:val="2"/>
          <w:sz w:val="21"/>
          <w:szCs w:val="21"/>
          <w:highlight w:val="none"/>
        </w:rPr>
        <w:t>内供货、安装、调试完毕并交付采购人正常运行使用。</w:t>
      </w:r>
    </w:p>
    <w:p w14:paraId="66C6CC8A">
      <w:pPr>
        <w:keepNext w:val="0"/>
        <w:keepLines w:val="0"/>
        <w:pageBreakBefore w:val="0"/>
        <w:widowControl w:val="0"/>
        <w:kinsoku/>
        <w:wordWrap/>
        <w:overflowPunct/>
        <w:topLinePunct w:val="0"/>
        <w:autoSpaceDE/>
        <w:autoSpaceDN/>
        <w:bidi w:val="0"/>
        <w:adjustRightInd/>
        <w:snapToGrid/>
        <w:spacing w:line="440" w:lineRule="exact"/>
        <w:ind w:firstLine="420" w:firstLineChars="200"/>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rPr>
        <w:t>8</w:t>
      </w:r>
      <w:r>
        <w:rPr>
          <w:rFonts w:hint="eastAsia" w:ascii="宋体" w:hAnsi="宋体" w:eastAsia="宋体" w:cs="宋体"/>
          <w:color w:val="auto"/>
          <w:kern w:val="2"/>
          <w:sz w:val="21"/>
          <w:szCs w:val="21"/>
          <w:highlight w:val="none"/>
        </w:rPr>
        <w:t>.本项目不接受联合体投标。</w:t>
      </w:r>
    </w:p>
    <w:p w14:paraId="4660F899">
      <w:pPr>
        <w:keepNext w:val="0"/>
        <w:keepLines w:val="0"/>
        <w:pageBreakBefore w:val="0"/>
        <w:widowControl w:val="0"/>
        <w:kinsoku/>
        <w:wordWrap/>
        <w:overflowPunct/>
        <w:topLinePunct w:val="0"/>
        <w:autoSpaceDE/>
        <w:autoSpaceDN/>
        <w:bidi w:val="0"/>
        <w:adjustRightInd/>
        <w:snapToGrid/>
        <w:spacing w:line="440" w:lineRule="exact"/>
        <w:ind w:firstLine="422" w:firstLineChars="200"/>
        <w:textAlignment w:val="auto"/>
        <w:rPr>
          <w:rFonts w:hint="eastAsia" w:ascii="宋体" w:hAnsi="宋体" w:eastAsia="宋体" w:cs="宋体"/>
          <w:color w:val="auto"/>
          <w:kern w:val="2"/>
          <w:sz w:val="21"/>
          <w:szCs w:val="21"/>
          <w:highlight w:val="none"/>
        </w:rPr>
      </w:pPr>
      <w:r>
        <w:rPr>
          <w:rFonts w:hint="eastAsia" w:ascii="宋体" w:hAnsi="宋体" w:eastAsia="宋体" w:cs="宋体"/>
          <w:b/>
          <w:bCs/>
          <w:color w:val="auto"/>
          <w:kern w:val="2"/>
          <w:sz w:val="21"/>
          <w:szCs w:val="21"/>
          <w:highlight w:val="none"/>
        </w:rPr>
        <w:t>二、申请人的资格要求：</w:t>
      </w:r>
      <w:bookmarkEnd w:id="12"/>
      <w:bookmarkEnd w:id="13"/>
      <w:bookmarkEnd w:id="14"/>
      <w:bookmarkEnd w:id="15"/>
      <w:bookmarkEnd w:id="16"/>
    </w:p>
    <w:p w14:paraId="35744D0A">
      <w:pPr>
        <w:keepNext w:val="0"/>
        <w:keepLines w:val="0"/>
        <w:pageBreakBefore w:val="0"/>
        <w:widowControl w:val="0"/>
        <w:kinsoku/>
        <w:wordWrap/>
        <w:overflowPunct/>
        <w:topLinePunct w:val="0"/>
        <w:autoSpaceDE/>
        <w:autoSpaceDN/>
        <w:bidi w:val="0"/>
        <w:adjustRightInd/>
        <w:snapToGrid/>
        <w:spacing w:line="440" w:lineRule="exact"/>
        <w:ind w:firstLine="420" w:firstLineChars="200"/>
        <w:textAlignment w:val="auto"/>
        <w:rPr>
          <w:rFonts w:hint="eastAsia" w:ascii="宋体" w:hAnsi="宋体" w:eastAsia="宋体" w:cs="宋体"/>
          <w:color w:val="auto"/>
          <w:sz w:val="21"/>
          <w:szCs w:val="21"/>
          <w:highlight w:val="none"/>
          <w:lang w:val="en-US" w:eastAsia="zh-CN"/>
        </w:rPr>
      </w:pPr>
      <w:bookmarkStart w:id="17" w:name="_Toc35393792"/>
      <w:bookmarkStart w:id="18" w:name="_Toc28359081"/>
      <w:bookmarkStart w:id="19" w:name="_Toc38985265"/>
      <w:bookmarkStart w:id="20" w:name="_Toc28359004"/>
      <w:bookmarkStart w:id="21" w:name="_Toc35393623"/>
      <w:r>
        <w:rPr>
          <w:rFonts w:hint="eastAsia" w:ascii="宋体" w:hAnsi="宋体" w:eastAsia="宋体" w:cs="宋体"/>
          <w:color w:val="auto"/>
          <w:sz w:val="21"/>
          <w:szCs w:val="21"/>
          <w:highlight w:val="none"/>
          <w:lang w:val="en-US" w:eastAsia="zh-CN"/>
        </w:rPr>
        <w:t>1.满足《中华人民共和国政府采购法》第二十二条规定，并提供下列材料：</w:t>
      </w:r>
    </w:p>
    <w:p w14:paraId="3885FF64">
      <w:pPr>
        <w:keepNext w:val="0"/>
        <w:keepLines w:val="0"/>
        <w:pageBreakBefore w:val="0"/>
        <w:widowControl w:val="0"/>
        <w:kinsoku/>
        <w:wordWrap/>
        <w:overflowPunct/>
        <w:topLinePunct w:val="0"/>
        <w:autoSpaceDE/>
        <w:autoSpaceDN/>
        <w:bidi w:val="0"/>
        <w:adjustRightInd/>
        <w:snapToGrid/>
        <w:spacing w:line="440" w:lineRule="exact"/>
        <w:ind w:firstLine="420" w:firstLineChars="200"/>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1.1 法人或者其他组织的营业执照等证明文件，自然人的身份证明；</w:t>
      </w:r>
    </w:p>
    <w:p w14:paraId="05D47314">
      <w:pPr>
        <w:keepNext w:val="0"/>
        <w:keepLines w:val="0"/>
        <w:pageBreakBefore w:val="0"/>
        <w:widowControl w:val="0"/>
        <w:kinsoku/>
        <w:wordWrap/>
        <w:overflowPunct/>
        <w:topLinePunct w:val="0"/>
        <w:autoSpaceDE/>
        <w:autoSpaceDN/>
        <w:bidi w:val="0"/>
        <w:adjustRightInd/>
        <w:snapToGrid/>
        <w:spacing w:line="440" w:lineRule="exact"/>
        <w:ind w:firstLine="420" w:firstLineChars="200"/>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1.2具有良好的商业信誉和健全的财务会计制度【提供2025年度的财务状况报告（财务状况报告至少应包括资产负债表、利润表；距投标截止之日止，成立不足一年的供应商，可不提供财务状况报告。）】；</w:t>
      </w:r>
    </w:p>
    <w:p w14:paraId="3FF2D381">
      <w:pPr>
        <w:keepNext w:val="0"/>
        <w:keepLines w:val="0"/>
        <w:pageBreakBefore w:val="0"/>
        <w:widowControl w:val="0"/>
        <w:kinsoku/>
        <w:wordWrap/>
        <w:overflowPunct/>
        <w:topLinePunct w:val="0"/>
        <w:autoSpaceDE/>
        <w:autoSpaceDN/>
        <w:bidi w:val="0"/>
        <w:adjustRightInd/>
        <w:snapToGrid/>
        <w:spacing w:line="440" w:lineRule="exact"/>
        <w:ind w:firstLine="420" w:firstLineChars="200"/>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1.3具备履行合同所必需的设备和专业技术能力的书面声明；</w:t>
      </w:r>
    </w:p>
    <w:p w14:paraId="1C8F8C7B">
      <w:pPr>
        <w:keepNext w:val="0"/>
        <w:keepLines w:val="0"/>
        <w:pageBreakBefore w:val="0"/>
        <w:widowControl w:val="0"/>
        <w:kinsoku/>
        <w:wordWrap/>
        <w:overflowPunct/>
        <w:topLinePunct w:val="0"/>
        <w:autoSpaceDE/>
        <w:autoSpaceDN/>
        <w:bidi w:val="0"/>
        <w:adjustRightInd/>
        <w:snapToGrid/>
        <w:spacing w:line="440" w:lineRule="exact"/>
        <w:ind w:firstLine="420" w:firstLineChars="200"/>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1.4依法缴纳税收和社会保障资金的相关材料（提供提交投标文件截止时间前一年内至少一个月依法缴纳税收及缴纳社会保障资金的证明材料。供应商依法享受缓缴、免缴税收、社会保障资金的提供证明材料。）；</w:t>
      </w:r>
    </w:p>
    <w:p w14:paraId="3144D13F">
      <w:pPr>
        <w:keepNext w:val="0"/>
        <w:keepLines w:val="0"/>
        <w:pageBreakBefore w:val="0"/>
        <w:widowControl w:val="0"/>
        <w:kinsoku/>
        <w:wordWrap/>
        <w:overflowPunct/>
        <w:topLinePunct w:val="0"/>
        <w:autoSpaceDE/>
        <w:autoSpaceDN/>
        <w:bidi w:val="0"/>
        <w:adjustRightInd/>
        <w:snapToGrid/>
        <w:spacing w:line="440" w:lineRule="exact"/>
        <w:ind w:firstLine="420" w:firstLineChars="200"/>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1.5参加政府采购活动前3年内在经营活动中没有重大违法记录的书面声明。</w:t>
      </w:r>
    </w:p>
    <w:p w14:paraId="769CD5B2">
      <w:pPr>
        <w:keepNext w:val="0"/>
        <w:keepLines w:val="0"/>
        <w:pageBreakBefore w:val="0"/>
        <w:widowControl w:val="0"/>
        <w:kinsoku/>
        <w:wordWrap/>
        <w:overflowPunct/>
        <w:topLinePunct w:val="0"/>
        <w:autoSpaceDE/>
        <w:autoSpaceDN/>
        <w:bidi w:val="0"/>
        <w:adjustRightInd/>
        <w:snapToGrid/>
        <w:spacing w:line="440" w:lineRule="exact"/>
        <w:ind w:firstLine="420" w:firstLineChars="200"/>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1.6法律、行政法规规定的其他条件。</w:t>
      </w:r>
    </w:p>
    <w:p w14:paraId="3FDA77C6">
      <w:pPr>
        <w:keepNext w:val="0"/>
        <w:keepLines w:val="0"/>
        <w:pageBreakBefore w:val="0"/>
        <w:widowControl w:val="0"/>
        <w:kinsoku/>
        <w:wordWrap/>
        <w:overflowPunct/>
        <w:topLinePunct w:val="0"/>
        <w:autoSpaceDE/>
        <w:autoSpaceDN/>
        <w:bidi w:val="0"/>
        <w:adjustRightInd/>
        <w:snapToGrid/>
        <w:spacing w:line="440" w:lineRule="exact"/>
        <w:ind w:firstLine="420" w:firstLineChars="200"/>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1.7在“信用中国”网站（www.creditchina.gov.cn）查询，无被列入失信被执行人、重大税收违法失信主体、政府采购严重违法失信行为记录名单及其他不符合《中华人民共和国政府采购法》第二十二条规定条件的信用记录。（投标文件中无需提供证明材料）。</w:t>
      </w:r>
    </w:p>
    <w:p w14:paraId="0A0D4BDC">
      <w:pPr>
        <w:keepNext w:val="0"/>
        <w:keepLines w:val="0"/>
        <w:pageBreakBefore w:val="0"/>
        <w:widowControl w:val="0"/>
        <w:kinsoku/>
        <w:wordWrap/>
        <w:overflowPunct/>
        <w:topLinePunct w:val="0"/>
        <w:autoSpaceDE/>
        <w:autoSpaceDN/>
        <w:bidi w:val="0"/>
        <w:adjustRightInd/>
        <w:snapToGrid/>
        <w:spacing w:line="440" w:lineRule="exact"/>
        <w:ind w:firstLine="420" w:firstLineChars="200"/>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1.8单位负责人为同一人或者存在直接控股、管理关系的不同供应商，不得参加同一合同项下的政府采购活动。</w:t>
      </w:r>
    </w:p>
    <w:p w14:paraId="5B91660F">
      <w:pPr>
        <w:keepNext w:val="0"/>
        <w:keepLines w:val="0"/>
        <w:pageBreakBefore w:val="0"/>
        <w:widowControl w:val="0"/>
        <w:kinsoku/>
        <w:wordWrap/>
        <w:overflowPunct/>
        <w:topLinePunct w:val="0"/>
        <w:autoSpaceDE/>
        <w:autoSpaceDN/>
        <w:bidi w:val="0"/>
        <w:adjustRightInd/>
        <w:snapToGrid/>
        <w:spacing w:line="440" w:lineRule="exact"/>
        <w:ind w:firstLine="420" w:firstLineChars="200"/>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rPr>
        <w:t>2</w:t>
      </w:r>
      <w:r>
        <w:rPr>
          <w:rFonts w:hint="eastAsia" w:ascii="宋体" w:hAnsi="宋体" w:eastAsia="宋体" w:cs="宋体"/>
          <w:color w:val="auto"/>
          <w:kern w:val="2"/>
          <w:sz w:val="21"/>
          <w:szCs w:val="21"/>
          <w:highlight w:val="none"/>
          <w:lang w:val="en-US" w:eastAsia="zh-CN"/>
        </w:rPr>
        <w:t>.</w:t>
      </w:r>
      <w:r>
        <w:rPr>
          <w:rFonts w:hint="eastAsia" w:ascii="宋体" w:hAnsi="宋体" w:eastAsia="宋体" w:cs="宋体"/>
          <w:color w:val="auto"/>
          <w:kern w:val="2"/>
          <w:sz w:val="21"/>
          <w:szCs w:val="21"/>
          <w:highlight w:val="none"/>
        </w:rPr>
        <w:t>落实政府采购政策需满足的资格要求：</w:t>
      </w:r>
      <w:r>
        <w:rPr>
          <w:rFonts w:hint="eastAsia" w:ascii="宋体" w:hAnsi="宋体" w:eastAsia="宋体" w:cs="宋体"/>
          <w:color w:val="auto"/>
          <w:kern w:val="2"/>
          <w:sz w:val="21"/>
          <w:szCs w:val="21"/>
          <w:highlight w:val="none"/>
          <w:lang w:val="en-US" w:eastAsia="zh-CN"/>
        </w:rPr>
        <w:t>本项目专门面向中小企业采购，只接受中小微企业投标</w:t>
      </w:r>
      <w:r>
        <w:rPr>
          <w:rFonts w:hint="eastAsia" w:ascii="宋体" w:hAnsi="宋体" w:cs="宋体"/>
          <w:color w:val="auto"/>
          <w:kern w:val="2"/>
          <w:sz w:val="21"/>
          <w:szCs w:val="21"/>
          <w:highlight w:val="none"/>
          <w:lang w:val="en-US" w:eastAsia="zh-CN"/>
        </w:rPr>
        <w:t>，在</w:t>
      </w:r>
      <w:r>
        <w:rPr>
          <w:rFonts w:hint="eastAsia" w:ascii="宋体" w:hAnsi="宋体" w:eastAsia="宋体" w:cs="宋体"/>
          <w:color w:val="auto"/>
          <w:kern w:val="2"/>
          <w:sz w:val="21"/>
          <w:szCs w:val="21"/>
          <w:highlight w:val="none"/>
          <w:lang w:val="en-US"/>
        </w:rPr>
        <w:t>响应文件中提供《</w:t>
      </w:r>
      <w:r>
        <w:rPr>
          <w:rFonts w:hint="eastAsia" w:ascii="宋体" w:hAnsi="宋体" w:eastAsia="宋体" w:cs="宋体"/>
          <w:color w:val="auto"/>
          <w:kern w:val="2"/>
          <w:sz w:val="21"/>
          <w:szCs w:val="21"/>
          <w:highlight w:val="none"/>
        </w:rPr>
        <w:t>中小企业声明函</w:t>
      </w:r>
      <w:r>
        <w:rPr>
          <w:rFonts w:hint="eastAsia" w:ascii="宋体" w:hAnsi="宋体" w:eastAsia="宋体" w:cs="宋体"/>
          <w:color w:val="auto"/>
          <w:kern w:val="2"/>
          <w:sz w:val="21"/>
          <w:szCs w:val="21"/>
          <w:highlight w:val="none"/>
          <w:lang w:val="en-US"/>
        </w:rPr>
        <w:t>》并加盖公章</w:t>
      </w:r>
      <w:r>
        <w:rPr>
          <w:rFonts w:hint="eastAsia" w:ascii="宋体" w:hAnsi="宋体" w:eastAsia="宋体" w:cs="宋体"/>
          <w:color w:val="auto"/>
          <w:kern w:val="2"/>
          <w:sz w:val="21"/>
          <w:szCs w:val="21"/>
          <w:highlight w:val="none"/>
        </w:rPr>
        <w:t>。</w:t>
      </w:r>
    </w:p>
    <w:p w14:paraId="6B681AF8">
      <w:pPr>
        <w:keepNext w:val="0"/>
        <w:keepLines w:val="0"/>
        <w:pageBreakBefore w:val="0"/>
        <w:widowControl w:val="0"/>
        <w:kinsoku/>
        <w:wordWrap/>
        <w:overflowPunct/>
        <w:topLinePunct w:val="0"/>
        <w:autoSpaceDE/>
        <w:autoSpaceDN/>
        <w:bidi w:val="0"/>
        <w:adjustRightInd/>
        <w:snapToGrid/>
        <w:spacing w:line="440" w:lineRule="exact"/>
        <w:ind w:firstLine="420" w:firstLineChars="200"/>
        <w:textAlignment w:val="auto"/>
        <w:rPr>
          <w:rFonts w:hint="eastAsia" w:ascii="宋体" w:hAnsi="宋体" w:eastAsia="宋体" w:cs="宋体"/>
          <w:color w:val="auto"/>
          <w:kern w:val="2"/>
          <w:sz w:val="21"/>
          <w:szCs w:val="21"/>
          <w:highlight w:val="none"/>
          <w:lang w:val="en-US" w:eastAsia="zh-CN"/>
        </w:rPr>
      </w:pPr>
      <w:r>
        <w:rPr>
          <w:rFonts w:hint="eastAsia" w:ascii="宋体" w:hAnsi="宋体" w:eastAsia="宋体" w:cs="宋体"/>
          <w:color w:val="auto"/>
          <w:kern w:val="2"/>
          <w:sz w:val="21"/>
          <w:szCs w:val="21"/>
          <w:highlight w:val="none"/>
          <w:lang w:val="en-US" w:eastAsia="zh-CN"/>
        </w:rPr>
        <w:t xml:space="preserve">  特别说明：供应商按照《政府采购促进中小企业发展管理办法》（财库〔2020〕46号）规定要求提供声明函内容不实的，即不属于中小企业参与本项目投标的，属于提供虚假材料谋取中标、成交，依照《中华人民共和国政府采购法》等国家有关规定追究相应责任，请各供应商予以关注。</w:t>
      </w:r>
    </w:p>
    <w:p w14:paraId="68FDAA0E">
      <w:pPr>
        <w:keepNext w:val="0"/>
        <w:keepLines w:val="0"/>
        <w:pageBreakBefore w:val="0"/>
        <w:widowControl w:val="0"/>
        <w:kinsoku/>
        <w:wordWrap/>
        <w:overflowPunct/>
        <w:topLinePunct w:val="0"/>
        <w:autoSpaceDE/>
        <w:autoSpaceDN/>
        <w:bidi w:val="0"/>
        <w:adjustRightInd/>
        <w:snapToGrid/>
        <w:spacing w:line="440" w:lineRule="exact"/>
        <w:ind w:firstLine="420" w:firstLineChars="200"/>
        <w:textAlignment w:val="auto"/>
        <w:rPr>
          <w:rFonts w:hint="eastAsia" w:ascii="宋体" w:hAnsi="宋体" w:eastAsia="宋体" w:cs="宋体"/>
          <w:b/>
          <w:bCs/>
          <w:color w:val="auto"/>
          <w:kern w:val="2"/>
          <w:sz w:val="21"/>
          <w:szCs w:val="21"/>
          <w:highlight w:val="none"/>
          <w:lang w:eastAsia="zh-CN"/>
        </w:rPr>
      </w:pPr>
      <w:r>
        <w:rPr>
          <w:rFonts w:hint="eastAsia" w:ascii="宋体" w:hAnsi="宋体" w:eastAsia="宋体" w:cs="宋体"/>
          <w:color w:val="auto"/>
          <w:kern w:val="2"/>
          <w:sz w:val="21"/>
          <w:szCs w:val="21"/>
          <w:highlight w:val="none"/>
          <w:lang w:val="en-US" w:eastAsia="zh-CN"/>
        </w:rPr>
        <w:t>3.</w:t>
      </w:r>
      <w:r>
        <w:rPr>
          <w:rFonts w:hint="eastAsia" w:ascii="宋体" w:hAnsi="宋体" w:eastAsia="宋体" w:cs="宋体"/>
          <w:color w:val="auto"/>
          <w:kern w:val="2"/>
          <w:sz w:val="21"/>
          <w:szCs w:val="21"/>
          <w:highlight w:val="none"/>
        </w:rPr>
        <w:t>本项目的特定资格要求</w:t>
      </w:r>
      <w:r>
        <w:rPr>
          <w:rFonts w:hint="eastAsia" w:ascii="宋体" w:hAnsi="宋体" w:eastAsia="宋体" w:cs="宋体"/>
          <w:color w:val="auto"/>
          <w:kern w:val="2"/>
          <w:sz w:val="21"/>
          <w:szCs w:val="21"/>
          <w:highlight w:val="none"/>
          <w:lang w:eastAsia="zh-CN"/>
        </w:rPr>
        <w:t>：</w:t>
      </w:r>
      <w:bookmarkStart w:id="22" w:name="_Hlk10034435"/>
      <w:r>
        <w:rPr>
          <w:rFonts w:hint="eastAsia" w:ascii="宋体" w:hAnsi="宋体" w:eastAsia="宋体" w:cs="宋体"/>
          <w:b/>
          <w:bCs/>
          <w:color w:val="auto"/>
          <w:kern w:val="2"/>
          <w:sz w:val="21"/>
          <w:szCs w:val="21"/>
          <w:highlight w:val="none"/>
        </w:rPr>
        <w:t>投标</w:t>
      </w:r>
      <w:r>
        <w:rPr>
          <w:rFonts w:hint="eastAsia" w:ascii="宋体" w:hAnsi="宋体" w:eastAsia="宋体" w:cs="宋体"/>
          <w:b/>
          <w:bCs/>
          <w:color w:val="auto"/>
          <w:kern w:val="2"/>
          <w:sz w:val="21"/>
          <w:szCs w:val="21"/>
          <w:highlight w:val="none"/>
          <w:lang w:eastAsia="zh-CN"/>
        </w:rPr>
        <w:t>人所投</w:t>
      </w:r>
      <w:r>
        <w:rPr>
          <w:rFonts w:hint="eastAsia" w:ascii="宋体" w:hAnsi="宋体" w:eastAsia="宋体" w:cs="宋体"/>
          <w:b/>
          <w:bCs/>
          <w:color w:val="auto"/>
          <w:kern w:val="2"/>
          <w:sz w:val="21"/>
          <w:szCs w:val="21"/>
          <w:highlight w:val="none"/>
        </w:rPr>
        <w:t>车辆</w:t>
      </w:r>
      <w:r>
        <w:rPr>
          <w:rFonts w:hint="eastAsia" w:ascii="宋体" w:hAnsi="宋体" w:eastAsia="宋体" w:cs="宋体"/>
          <w:b/>
          <w:bCs/>
          <w:color w:val="auto"/>
          <w:kern w:val="2"/>
          <w:sz w:val="21"/>
          <w:szCs w:val="21"/>
          <w:highlight w:val="none"/>
          <w:lang w:val="en-US" w:eastAsia="zh-CN"/>
        </w:rPr>
        <w:t>必须是</w:t>
      </w:r>
      <w:r>
        <w:rPr>
          <w:rFonts w:hint="eastAsia" w:ascii="宋体" w:hAnsi="宋体" w:eastAsia="宋体" w:cs="宋体"/>
          <w:b/>
          <w:bCs/>
          <w:color w:val="auto"/>
          <w:kern w:val="2"/>
          <w:sz w:val="21"/>
          <w:szCs w:val="21"/>
          <w:highlight w:val="none"/>
        </w:rPr>
        <w:t>工业和信息化部“道路机动车辆生产企业及产品信息查询系统”</w:t>
      </w:r>
      <w:bookmarkEnd w:id="22"/>
      <w:r>
        <w:rPr>
          <w:rFonts w:hint="eastAsia" w:ascii="宋体" w:hAnsi="宋体" w:eastAsia="宋体" w:cs="宋体"/>
          <w:b/>
          <w:bCs/>
          <w:color w:val="auto"/>
          <w:kern w:val="2"/>
          <w:sz w:val="21"/>
          <w:szCs w:val="21"/>
          <w:highlight w:val="none"/>
          <w:lang w:val="en-US" w:eastAsia="zh-CN"/>
        </w:rPr>
        <w:t>可查询产品，提供本项目投标车辆查询截图</w:t>
      </w:r>
      <w:r>
        <w:rPr>
          <w:rFonts w:hint="eastAsia" w:ascii="宋体" w:hAnsi="宋体" w:cs="宋体"/>
          <w:b/>
          <w:bCs/>
          <w:color w:val="auto"/>
          <w:kern w:val="2"/>
          <w:sz w:val="21"/>
          <w:szCs w:val="21"/>
          <w:highlight w:val="none"/>
          <w:lang w:val="en-US" w:eastAsia="zh-CN"/>
        </w:rPr>
        <w:t>（截图须清晰显示投标车辆的公告型号）</w:t>
      </w:r>
      <w:r>
        <w:rPr>
          <w:rFonts w:hint="eastAsia" w:ascii="宋体" w:hAnsi="宋体" w:eastAsia="宋体" w:cs="宋体"/>
          <w:b/>
          <w:bCs/>
          <w:color w:val="auto"/>
          <w:kern w:val="2"/>
          <w:sz w:val="21"/>
          <w:szCs w:val="21"/>
          <w:highlight w:val="none"/>
          <w:lang w:eastAsia="zh-CN"/>
        </w:rPr>
        <w:t>。</w:t>
      </w:r>
    </w:p>
    <w:p w14:paraId="39301204">
      <w:pPr>
        <w:keepNext w:val="0"/>
        <w:keepLines w:val="0"/>
        <w:pageBreakBefore w:val="0"/>
        <w:widowControl w:val="0"/>
        <w:kinsoku/>
        <w:wordWrap/>
        <w:overflowPunct/>
        <w:topLinePunct w:val="0"/>
        <w:autoSpaceDE/>
        <w:autoSpaceDN/>
        <w:bidi w:val="0"/>
        <w:adjustRightInd/>
        <w:snapToGrid/>
        <w:spacing w:line="440" w:lineRule="exact"/>
        <w:ind w:firstLine="422" w:firstLineChars="200"/>
        <w:textAlignment w:val="auto"/>
        <w:rPr>
          <w:rFonts w:hint="eastAsia" w:ascii="宋体" w:hAnsi="宋体" w:eastAsia="宋体" w:cs="宋体"/>
          <w:b/>
          <w:bCs/>
          <w:color w:val="auto"/>
          <w:kern w:val="2"/>
          <w:sz w:val="21"/>
          <w:szCs w:val="21"/>
          <w:highlight w:val="none"/>
        </w:rPr>
      </w:pPr>
      <w:r>
        <w:rPr>
          <w:rFonts w:hint="eastAsia" w:ascii="宋体" w:hAnsi="宋体" w:eastAsia="宋体" w:cs="宋体"/>
          <w:b/>
          <w:bCs/>
          <w:color w:val="auto"/>
          <w:kern w:val="2"/>
          <w:sz w:val="21"/>
          <w:szCs w:val="21"/>
          <w:highlight w:val="none"/>
        </w:rPr>
        <w:t>三、获取招标文件</w:t>
      </w:r>
      <w:bookmarkEnd w:id="17"/>
      <w:bookmarkEnd w:id="18"/>
      <w:bookmarkEnd w:id="19"/>
      <w:bookmarkEnd w:id="20"/>
      <w:bookmarkEnd w:id="21"/>
    </w:p>
    <w:p w14:paraId="3E35619E">
      <w:pPr>
        <w:keepNext w:val="0"/>
        <w:keepLines w:val="0"/>
        <w:pageBreakBefore w:val="0"/>
        <w:widowControl w:val="0"/>
        <w:kinsoku/>
        <w:wordWrap/>
        <w:overflowPunct/>
        <w:topLinePunct w:val="0"/>
        <w:autoSpaceDE/>
        <w:autoSpaceDN/>
        <w:bidi w:val="0"/>
        <w:adjustRightInd/>
        <w:snapToGrid/>
        <w:spacing w:line="440" w:lineRule="exact"/>
        <w:ind w:firstLine="420" w:firstLineChars="200"/>
        <w:textAlignment w:val="auto"/>
        <w:rPr>
          <w:rFonts w:hint="eastAsia" w:ascii="宋体" w:hAnsi="宋体" w:eastAsia="宋体" w:cs="宋体"/>
          <w:color w:val="auto"/>
          <w:sz w:val="21"/>
          <w:szCs w:val="21"/>
          <w:highlight w:val="none"/>
          <w:lang w:val="en-US" w:eastAsia="zh-CN"/>
        </w:rPr>
      </w:pPr>
      <w:bookmarkStart w:id="23" w:name="_Toc28359082"/>
      <w:bookmarkStart w:id="24" w:name="_Toc28359005"/>
      <w:bookmarkStart w:id="25" w:name="_Toc38985266"/>
      <w:bookmarkStart w:id="26" w:name="_Toc35393793"/>
      <w:bookmarkStart w:id="27" w:name="_Toc35393624"/>
      <w:r>
        <w:rPr>
          <w:rFonts w:hint="eastAsia" w:ascii="宋体" w:hAnsi="宋体" w:eastAsia="宋体" w:cs="宋体"/>
          <w:color w:val="auto"/>
          <w:sz w:val="21"/>
          <w:szCs w:val="21"/>
          <w:highlight w:val="none"/>
          <w:lang w:val="en-US" w:eastAsia="zh-CN"/>
        </w:rPr>
        <w:t>1.时间：2026年</w:t>
      </w:r>
      <w:r>
        <w:rPr>
          <w:rFonts w:hint="eastAsia" w:ascii="宋体" w:hAnsi="宋体" w:cs="宋体"/>
          <w:color w:val="auto"/>
          <w:sz w:val="21"/>
          <w:szCs w:val="21"/>
          <w:highlight w:val="none"/>
          <w:lang w:val="en-US" w:eastAsia="zh-CN"/>
        </w:rPr>
        <w:t>9</w:t>
      </w:r>
      <w:r>
        <w:rPr>
          <w:rFonts w:hint="eastAsia" w:ascii="宋体" w:hAnsi="宋体" w:eastAsia="宋体" w:cs="宋体"/>
          <w:color w:val="auto"/>
          <w:sz w:val="21"/>
          <w:szCs w:val="21"/>
          <w:highlight w:val="none"/>
          <w:lang w:val="en-US" w:eastAsia="zh-CN"/>
        </w:rPr>
        <w:t>月</w:t>
      </w:r>
      <w:r>
        <w:rPr>
          <w:rFonts w:hint="eastAsia" w:ascii="宋体" w:hAnsi="宋体" w:cs="宋体"/>
          <w:color w:val="auto"/>
          <w:sz w:val="21"/>
          <w:szCs w:val="21"/>
          <w:highlight w:val="none"/>
          <w:lang w:val="en-US" w:eastAsia="zh-CN"/>
        </w:rPr>
        <w:t>3日起至2026年9</w:t>
      </w:r>
      <w:r>
        <w:rPr>
          <w:rFonts w:hint="eastAsia" w:ascii="宋体" w:hAnsi="宋体" w:eastAsia="宋体" w:cs="宋体"/>
          <w:color w:val="auto"/>
          <w:sz w:val="21"/>
          <w:szCs w:val="21"/>
          <w:highlight w:val="none"/>
          <w:lang w:val="en-US" w:eastAsia="zh-CN"/>
        </w:rPr>
        <w:t>月1</w:t>
      </w:r>
      <w:r>
        <w:rPr>
          <w:rFonts w:hint="eastAsia" w:ascii="宋体" w:hAnsi="宋体" w:cs="宋体"/>
          <w:color w:val="auto"/>
          <w:sz w:val="21"/>
          <w:szCs w:val="21"/>
          <w:highlight w:val="none"/>
          <w:lang w:val="en-US" w:eastAsia="zh-CN"/>
        </w:rPr>
        <w:t>0</w:t>
      </w:r>
      <w:r>
        <w:rPr>
          <w:rFonts w:hint="eastAsia" w:ascii="宋体" w:hAnsi="宋体" w:eastAsia="宋体" w:cs="宋体"/>
          <w:color w:val="auto"/>
          <w:sz w:val="21"/>
          <w:szCs w:val="21"/>
          <w:highlight w:val="none"/>
          <w:lang w:val="en-US" w:eastAsia="zh-CN"/>
        </w:rPr>
        <w:t>日。</w:t>
      </w:r>
    </w:p>
    <w:p w14:paraId="06937F61">
      <w:pPr>
        <w:keepNext w:val="0"/>
        <w:keepLines w:val="0"/>
        <w:pageBreakBefore w:val="0"/>
        <w:widowControl w:val="0"/>
        <w:kinsoku/>
        <w:wordWrap/>
        <w:overflowPunct/>
        <w:topLinePunct w:val="0"/>
        <w:autoSpaceDE/>
        <w:autoSpaceDN/>
        <w:bidi w:val="0"/>
        <w:adjustRightInd/>
        <w:snapToGrid/>
        <w:spacing w:line="440" w:lineRule="exact"/>
        <w:ind w:firstLine="420" w:firstLineChars="200"/>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2.地点：中国政府采购网、江苏政府采购网、盐城市政府采购网</w:t>
      </w:r>
    </w:p>
    <w:p w14:paraId="4658E2E3">
      <w:pPr>
        <w:keepNext w:val="0"/>
        <w:keepLines w:val="0"/>
        <w:pageBreakBefore w:val="0"/>
        <w:widowControl w:val="0"/>
        <w:kinsoku/>
        <w:wordWrap/>
        <w:overflowPunct/>
        <w:topLinePunct w:val="0"/>
        <w:autoSpaceDE/>
        <w:autoSpaceDN/>
        <w:bidi w:val="0"/>
        <w:adjustRightInd/>
        <w:snapToGrid/>
        <w:spacing w:line="440" w:lineRule="exact"/>
        <w:ind w:firstLine="420" w:firstLineChars="200"/>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3.方式：在江苏省政府采购网“政府采购一体化平台（苏采云）”自行免费下载招标文件。（注：若决定参加投标的，须持投标人CA在上述时间内登录苏采云政府采购交易系统下载。）</w:t>
      </w:r>
    </w:p>
    <w:p w14:paraId="13384A5F">
      <w:pPr>
        <w:keepNext w:val="0"/>
        <w:keepLines w:val="0"/>
        <w:pageBreakBefore w:val="0"/>
        <w:widowControl w:val="0"/>
        <w:kinsoku/>
        <w:wordWrap/>
        <w:overflowPunct/>
        <w:topLinePunct w:val="0"/>
        <w:autoSpaceDE/>
        <w:autoSpaceDN/>
        <w:bidi w:val="0"/>
        <w:adjustRightInd/>
        <w:snapToGrid/>
        <w:spacing w:line="440" w:lineRule="exact"/>
        <w:ind w:firstLine="420" w:firstLineChars="200"/>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4.售价：0元</w:t>
      </w:r>
    </w:p>
    <w:p w14:paraId="5E9462B6">
      <w:pPr>
        <w:keepNext w:val="0"/>
        <w:keepLines w:val="0"/>
        <w:pageBreakBefore w:val="0"/>
        <w:widowControl w:val="0"/>
        <w:kinsoku/>
        <w:wordWrap/>
        <w:overflowPunct/>
        <w:topLinePunct w:val="0"/>
        <w:autoSpaceDE/>
        <w:autoSpaceDN/>
        <w:bidi w:val="0"/>
        <w:adjustRightInd/>
        <w:snapToGrid/>
        <w:spacing w:line="440" w:lineRule="exact"/>
        <w:ind w:firstLine="422" w:firstLineChars="200"/>
        <w:textAlignment w:val="auto"/>
        <w:rPr>
          <w:rFonts w:hint="eastAsia" w:ascii="宋体" w:hAnsi="宋体" w:eastAsia="宋体" w:cs="宋体"/>
          <w:b/>
          <w:bCs/>
          <w:color w:val="auto"/>
          <w:kern w:val="2"/>
          <w:sz w:val="21"/>
          <w:szCs w:val="21"/>
          <w:highlight w:val="none"/>
        </w:rPr>
      </w:pPr>
      <w:r>
        <w:rPr>
          <w:rFonts w:hint="eastAsia" w:ascii="宋体" w:hAnsi="宋体" w:eastAsia="宋体" w:cs="宋体"/>
          <w:b/>
          <w:bCs/>
          <w:color w:val="auto"/>
          <w:kern w:val="2"/>
          <w:sz w:val="21"/>
          <w:szCs w:val="21"/>
          <w:highlight w:val="none"/>
        </w:rPr>
        <w:t>四、提交投标文件</w:t>
      </w:r>
      <w:bookmarkEnd w:id="23"/>
      <w:bookmarkEnd w:id="24"/>
      <w:r>
        <w:rPr>
          <w:rFonts w:hint="eastAsia" w:ascii="宋体" w:hAnsi="宋体" w:eastAsia="宋体" w:cs="宋体"/>
          <w:b/>
          <w:bCs/>
          <w:color w:val="auto"/>
          <w:kern w:val="2"/>
          <w:sz w:val="21"/>
          <w:szCs w:val="21"/>
          <w:highlight w:val="none"/>
        </w:rPr>
        <w:t>截止时间、开标时间和地点</w:t>
      </w:r>
      <w:bookmarkEnd w:id="25"/>
      <w:bookmarkEnd w:id="26"/>
      <w:bookmarkEnd w:id="27"/>
    </w:p>
    <w:p w14:paraId="7ADC2B2C">
      <w:pPr>
        <w:keepNext w:val="0"/>
        <w:keepLines w:val="0"/>
        <w:pageBreakBefore w:val="0"/>
        <w:widowControl w:val="0"/>
        <w:kinsoku/>
        <w:wordWrap/>
        <w:overflowPunct/>
        <w:topLinePunct w:val="0"/>
        <w:autoSpaceDE/>
        <w:autoSpaceDN/>
        <w:bidi w:val="0"/>
        <w:adjustRightInd/>
        <w:snapToGrid/>
        <w:spacing w:line="440" w:lineRule="exact"/>
        <w:ind w:firstLine="420" w:firstLineChars="200"/>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rPr>
        <w:t>1.时间：2026年</w:t>
      </w:r>
      <w:r>
        <w:rPr>
          <w:rFonts w:hint="eastAsia" w:ascii="宋体" w:hAnsi="宋体" w:cs="宋体"/>
          <w:color w:val="auto"/>
          <w:kern w:val="2"/>
          <w:sz w:val="21"/>
          <w:szCs w:val="21"/>
          <w:highlight w:val="none"/>
          <w:lang w:val="en-US" w:eastAsia="zh-CN"/>
        </w:rPr>
        <w:t>9</w:t>
      </w:r>
      <w:r>
        <w:rPr>
          <w:rFonts w:hint="eastAsia" w:ascii="宋体" w:hAnsi="宋体" w:eastAsia="宋体" w:cs="宋体"/>
          <w:color w:val="auto"/>
          <w:kern w:val="2"/>
          <w:sz w:val="21"/>
          <w:szCs w:val="21"/>
          <w:highlight w:val="none"/>
          <w:lang w:val="en-US" w:eastAsia="zh-CN"/>
        </w:rPr>
        <w:t>月2</w:t>
      </w:r>
      <w:r>
        <w:rPr>
          <w:rFonts w:hint="eastAsia" w:ascii="宋体" w:hAnsi="宋体" w:cs="宋体"/>
          <w:color w:val="auto"/>
          <w:kern w:val="2"/>
          <w:sz w:val="21"/>
          <w:szCs w:val="21"/>
          <w:highlight w:val="none"/>
          <w:lang w:val="en-US" w:eastAsia="zh-CN"/>
        </w:rPr>
        <w:t>4</w:t>
      </w:r>
      <w:r>
        <w:rPr>
          <w:rFonts w:hint="eastAsia" w:ascii="宋体" w:hAnsi="宋体" w:eastAsia="宋体" w:cs="宋体"/>
          <w:color w:val="auto"/>
          <w:kern w:val="2"/>
          <w:sz w:val="21"/>
          <w:szCs w:val="21"/>
          <w:highlight w:val="none"/>
          <w:lang w:val="en-US" w:eastAsia="zh-CN"/>
        </w:rPr>
        <w:t>日09点00分（北京时间）</w:t>
      </w:r>
    </w:p>
    <w:p w14:paraId="2E6C9648">
      <w:pPr>
        <w:keepNext w:val="0"/>
        <w:keepLines w:val="0"/>
        <w:pageBreakBefore w:val="0"/>
        <w:widowControl w:val="0"/>
        <w:kinsoku/>
        <w:wordWrap/>
        <w:overflowPunct/>
        <w:topLinePunct w:val="0"/>
        <w:autoSpaceDE/>
        <w:autoSpaceDN/>
        <w:bidi w:val="0"/>
        <w:adjustRightInd/>
        <w:snapToGrid/>
        <w:spacing w:line="440" w:lineRule="exact"/>
        <w:ind w:firstLine="420" w:firstLineChars="200"/>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rPr>
        <w:t>2.地点：“苏采云”政府采购交易系统。</w:t>
      </w:r>
    </w:p>
    <w:p w14:paraId="5D4101CE">
      <w:pPr>
        <w:keepNext w:val="0"/>
        <w:keepLines w:val="0"/>
        <w:pageBreakBefore w:val="0"/>
        <w:widowControl w:val="0"/>
        <w:kinsoku/>
        <w:wordWrap/>
        <w:overflowPunct/>
        <w:topLinePunct w:val="0"/>
        <w:autoSpaceDE/>
        <w:autoSpaceDN/>
        <w:bidi w:val="0"/>
        <w:adjustRightInd/>
        <w:snapToGrid/>
        <w:spacing w:line="440" w:lineRule="exact"/>
        <w:ind w:firstLine="422" w:firstLineChars="200"/>
        <w:textAlignment w:val="auto"/>
        <w:rPr>
          <w:rFonts w:hint="eastAsia" w:ascii="宋体" w:hAnsi="宋体" w:eastAsia="宋体" w:cs="宋体"/>
          <w:b/>
          <w:bCs/>
          <w:color w:val="auto"/>
          <w:kern w:val="2"/>
          <w:sz w:val="21"/>
          <w:szCs w:val="21"/>
          <w:highlight w:val="none"/>
        </w:rPr>
      </w:pPr>
      <w:bookmarkStart w:id="28" w:name="_Toc35393625"/>
      <w:bookmarkStart w:id="29" w:name="_Toc28359084"/>
      <w:bookmarkStart w:id="30" w:name="_Toc38985267"/>
      <w:bookmarkStart w:id="31" w:name="_Toc35393794"/>
      <w:bookmarkStart w:id="32" w:name="_Toc28359007"/>
      <w:r>
        <w:rPr>
          <w:rFonts w:hint="eastAsia" w:ascii="宋体" w:hAnsi="宋体" w:eastAsia="宋体" w:cs="宋体"/>
          <w:b/>
          <w:bCs/>
          <w:color w:val="auto"/>
          <w:kern w:val="2"/>
          <w:sz w:val="21"/>
          <w:szCs w:val="21"/>
          <w:highlight w:val="none"/>
        </w:rPr>
        <w:t>五、公告期限</w:t>
      </w:r>
      <w:bookmarkEnd w:id="28"/>
      <w:bookmarkEnd w:id="29"/>
      <w:bookmarkEnd w:id="30"/>
      <w:bookmarkEnd w:id="31"/>
      <w:bookmarkEnd w:id="32"/>
    </w:p>
    <w:p w14:paraId="403DE686">
      <w:pPr>
        <w:keepNext w:val="0"/>
        <w:keepLines w:val="0"/>
        <w:pageBreakBefore w:val="0"/>
        <w:widowControl w:val="0"/>
        <w:kinsoku/>
        <w:wordWrap/>
        <w:overflowPunct/>
        <w:topLinePunct w:val="0"/>
        <w:autoSpaceDE/>
        <w:autoSpaceDN/>
        <w:bidi w:val="0"/>
        <w:adjustRightInd/>
        <w:snapToGrid/>
        <w:spacing w:line="440" w:lineRule="exact"/>
        <w:ind w:firstLine="420" w:firstLineChars="200"/>
        <w:textAlignment w:val="auto"/>
        <w:rPr>
          <w:rFonts w:hint="eastAsia" w:ascii="宋体" w:hAnsi="宋体" w:eastAsia="宋体" w:cs="宋体"/>
          <w:color w:val="auto"/>
          <w:kern w:val="2"/>
          <w:sz w:val="21"/>
          <w:szCs w:val="21"/>
          <w:highlight w:val="none"/>
        </w:rPr>
      </w:pPr>
      <w:bookmarkStart w:id="33" w:name="_Toc35393626"/>
      <w:bookmarkStart w:id="34" w:name="_Toc35393795"/>
      <w:bookmarkStart w:id="35" w:name="_Toc38985268"/>
      <w:r>
        <w:rPr>
          <w:rFonts w:hint="eastAsia" w:ascii="宋体" w:hAnsi="宋体" w:eastAsia="宋体" w:cs="宋体"/>
          <w:color w:val="auto"/>
          <w:kern w:val="2"/>
          <w:sz w:val="21"/>
          <w:szCs w:val="21"/>
          <w:highlight w:val="none"/>
        </w:rPr>
        <w:t>自本公告发布之日起5个工作日。</w:t>
      </w:r>
    </w:p>
    <w:p w14:paraId="07C472A9">
      <w:pPr>
        <w:keepNext w:val="0"/>
        <w:keepLines w:val="0"/>
        <w:pageBreakBefore w:val="0"/>
        <w:widowControl w:val="0"/>
        <w:kinsoku/>
        <w:wordWrap/>
        <w:overflowPunct/>
        <w:topLinePunct w:val="0"/>
        <w:autoSpaceDE/>
        <w:autoSpaceDN/>
        <w:bidi w:val="0"/>
        <w:adjustRightInd/>
        <w:snapToGrid/>
        <w:spacing w:line="440" w:lineRule="exact"/>
        <w:ind w:firstLine="422" w:firstLineChars="200"/>
        <w:textAlignment w:val="auto"/>
        <w:rPr>
          <w:rFonts w:hint="eastAsia" w:ascii="宋体" w:hAnsi="宋体" w:eastAsia="宋体" w:cs="宋体"/>
          <w:b/>
          <w:bCs/>
          <w:color w:val="auto"/>
          <w:kern w:val="2"/>
          <w:sz w:val="21"/>
          <w:szCs w:val="21"/>
          <w:highlight w:val="none"/>
        </w:rPr>
      </w:pPr>
      <w:r>
        <w:rPr>
          <w:rFonts w:hint="eastAsia" w:ascii="宋体" w:hAnsi="宋体" w:eastAsia="宋体" w:cs="宋体"/>
          <w:b/>
          <w:bCs/>
          <w:color w:val="auto"/>
          <w:kern w:val="2"/>
          <w:sz w:val="21"/>
          <w:szCs w:val="21"/>
          <w:highlight w:val="none"/>
        </w:rPr>
        <w:t>六、其他补充事宜</w:t>
      </w:r>
      <w:bookmarkEnd w:id="33"/>
      <w:bookmarkEnd w:id="34"/>
      <w:bookmarkEnd w:id="35"/>
    </w:p>
    <w:p w14:paraId="2A0657D2">
      <w:pPr>
        <w:keepNext w:val="0"/>
        <w:keepLines w:val="0"/>
        <w:pageBreakBefore w:val="0"/>
        <w:widowControl w:val="0"/>
        <w:kinsoku/>
        <w:wordWrap/>
        <w:overflowPunct/>
        <w:topLinePunct w:val="0"/>
        <w:autoSpaceDE/>
        <w:autoSpaceDN/>
        <w:bidi w:val="0"/>
        <w:adjustRightInd/>
        <w:snapToGrid/>
        <w:spacing w:line="440" w:lineRule="exact"/>
        <w:ind w:firstLine="420" w:firstLineChars="200"/>
        <w:textAlignment w:val="auto"/>
        <w:rPr>
          <w:rFonts w:hint="eastAsia" w:ascii="宋体" w:hAnsi="宋体" w:eastAsia="宋体" w:cs="宋体"/>
          <w:color w:val="auto"/>
          <w:sz w:val="21"/>
          <w:szCs w:val="21"/>
          <w:highlight w:val="none"/>
          <w:lang w:val="en-US" w:eastAsia="zh-CN"/>
        </w:rPr>
      </w:pPr>
      <w:bookmarkStart w:id="36" w:name="_Toc28359008"/>
      <w:bookmarkStart w:id="37" w:name="_Toc28359085"/>
      <w:bookmarkStart w:id="38" w:name="_Toc35393796"/>
      <w:bookmarkStart w:id="39" w:name="_Toc35393627"/>
      <w:bookmarkStart w:id="40" w:name="_Toc38985269"/>
      <w:r>
        <w:rPr>
          <w:rFonts w:hint="eastAsia" w:ascii="宋体" w:hAnsi="宋体" w:eastAsia="宋体" w:cs="宋体"/>
          <w:color w:val="auto"/>
          <w:sz w:val="21"/>
          <w:szCs w:val="21"/>
          <w:highlight w:val="none"/>
          <w:lang w:val="en-US" w:eastAsia="zh-CN"/>
        </w:rPr>
        <w:t>1.根据省财政厅《关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投标人通过苏采云系统参与政府采购项目，需要更换CA数字证书和电子签章。具体办理指南和操作手册见链接：</w:t>
      </w:r>
    </w:p>
    <w:p w14:paraId="5D0360D2">
      <w:pPr>
        <w:keepNext w:val="0"/>
        <w:keepLines w:val="0"/>
        <w:pageBreakBefore w:val="0"/>
        <w:widowControl w:val="0"/>
        <w:kinsoku/>
        <w:wordWrap/>
        <w:overflowPunct/>
        <w:topLinePunct w:val="0"/>
        <w:autoSpaceDE/>
        <w:autoSpaceDN/>
        <w:bidi w:val="0"/>
        <w:adjustRightInd/>
        <w:snapToGrid/>
        <w:spacing w:line="440" w:lineRule="exact"/>
        <w:ind w:firstLine="420" w:firstLineChars="200"/>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http://www.ccgp-jiangsu.gov.cn/jiangsu/zlxz/ee/ee3a4bc5a3454aa2b0d9312230633ce9.html</w:t>
      </w:r>
      <w:r>
        <w:rPr>
          <w:rFonts w:hint="eastAsia" w:ascii="宋体" w:hAnsi="宋体" w:cs="宋体"/>
          <w:color w:val="auto"/>
          <w:sz w:val="21"/>
          <w:szCs w:val="21"/>
          <w:highlight w:val="none"/>
          <w:lang w:val="en-US" w:eastAsia="zh-CN"/>
        </w:rPr>
        <w:t>.</w:t>
      </w:r>
    </w:p>
    <w:p w14:paraId="7802FC43">
      <w:pPr>
        <w:keepNext w:val="0"/>
        <w:keepLines w:val="0"/>
        <w:pageBreakBefore w:val="0"/>
        <w:widowControl w:val="0"/>
        <w:kinsoku/>
        <w:wordWrap/>
        <w:overflowPunct/>
        <w:topLinePunct w:val="0"/>
        <w:autoSpaceDE/>
        <w:autoSpaceDN/>
        <w:bidi w:val="0"/>
        <w:adjustRightInd/>
        <w:snapToGrid/>
        <w:spacing w:line="440" w:lineRule="exact"/>
        <w:ind w:firstLine="420" w:firstLineChars="200"/>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领取CA和办理电子签章【请至亭湖区政务服务中心二楼226窗口办理，联系电话：15051556883，具体联系方式见上述链接。具体操作方式见《苏采云系统供应商操作手册》（以下简称《操作手册》）】、进行注册并按《操作手册》要求制作、上传电子投标文件</w:t>
      </w:r>
      <w:r>
        <w:rPr>
          <w:rFonts w:hint="eastAsia" w:ascii="宋体" w:hAnsi="宋体" w:cs="宋体"/>
          <w:color w:val="auto"/>
          <w:sz w:val="21"/>
          <w:szCs w:val="21"/>
          <w:highlight w:val="none"/>
          <w:lang w:val="en-US" w:eastAsia="zh-CN"/>
        </w:rPr>
        <w:t>，</w:t>
      </w:r>
      <w:r>
        <w:rPr>
          <w:rFonts w:hint="eastAsia" w:ascii="宋体" w:hAnsi="宋体" w:eastAsia="宋体" w:cs="宋体"/>
          <w:color w:val="auto"/>
          <w:sz w:val="21"/>
          <w:szCs w:val="21"/>
          <w:highlight w:val="none"/>
          <w:lang w:val="en-US" w:eastAsia="zh-CN"/>
        </w:rPr>
        <w:t>《苏采云系统供应商操作手册》下载地址：http://czj.yancheng.gov.cn/art/2023/9/14/art_2407_4057499.html。</w:t>
      </w:r>
    </w:p>
    <w:p w14:paraId="0267C50A">
      <w:pPr>
        <w:keepNext w:val="0"/>
        <w:keepLines w:val="0"/>
        <w:pageBreakBefore w:val="0"/>
        <w:widowControl w:val="0"/>
        <w:kinsoku/>
        <w:wordWrap/>
        <w:overflowPunct/>
        <w:topLinePunct w:val="0"/>
        <w:autoSpaceDE/>
        <w:autoSpaceDN/>
        <w:bidi w:val="0"/>
        <w:adjustRightInd/>
        <w:snapToGrid/>
        <w:spacing w:line="440" w:lineRule="exact"/>
        <w:ind w:firstLine="420" w:firstLineChars="200"/>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投标人在使用系统进行投标的过程中如遇到涉及“苏采云”系统使用的任何问题，应在工作日期间致电技术支持热线咨询，联系电话：0519-86722805、0519-86722801。</w:t>
      </w:r>
    </w:p>
    <w:p w14:paraId="2748155B">
      <w:pPr>
        <w:keepNext w:val="0"/>
        <w:keepLines w:val="0"/>
        <w:pageBreakBefore w:val="0"/>
        <w:widowControl w:val="0"/>
        <w:kinsoku/>
        <w:wordWrap/>
        <w:overflowPunct/>
        <w:topLinePunct w:val="0"/>
        <w:autoSpaceDE/>
        <w:autoSpaceDN/>
        <w:bidi w:val="0"/>
        <w:adjustRightInd/>
        <w:snapToGrid/>
        <w:spacing w:line="440" w:lineRule="exact"/>
        <w:ind w:firstLine="420" w:firstLineChars="200"/>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2.有关本次招标的事项若存在变动或修改，敬请及时关注在“中国政府采购网”“江苏政府采购网”“盐城市政府采购网”“</w:t>
      </w:r>
      <w:r>
        <w:rPr>
          <w:rFonts w:hint="eastAsia" w:ascii="宋体" w:hAnsi="宋体" w:cs="宋体"/>
          <w:color w:val="auto"/>
          <w:sz w:val="21"/>
          <w:szCs w:val="21"/>
          <w:highlight w:val="none"/>
          <w:lang w:val="en-US" w:eastAsia="zh-CN"/>
        </w:rPr>
        <w:t>阜宁县公共资源电子化综合交易平台</w:t>
      </w:r>
      <w:r>
        <w:rPr>
          <w:rFonts w:hint="eastAsia" w:ascii="宋体" w:hAnsi="宋体" w:eastAsia="宋体" w:cs="宋体"/>
          <w:color w:val="auto"/>
          <w:sz w:val="21"/>
          <w:szCs w:val="21"/>
          <w:highlight w:val="none"/>
          <w:lang w:val="en-US" w:eastAsia="zh-CN"/>
        </w:rPr>
        <w:t>”发布的更正公告。</w:t>
      </w:r>
    </w:p>
    <w:p w14:paraId="7FD0C947">
      <w:pPr>
        <w:keepNext w:val="0"/>
        <w:keepLines w:val="0"/>
        <w:pageBreakBefore w:val="0"/>
        <w:widowControl w:val="0"/>
        <w:kinsoku/>
        <w:wordWrap/>
        <w:overflowPunct/>
        <w:topLinePunct w:val="0"/>
        <w:autoSpaceDE/>
        <w:autoSpaceDN/>
        <w:bidi w:val="0"/>
        <w:adjustRightInd/>
        <w:snapToGrid/>
        <w:spacing w:line="440" w:lineRule="exact"/>
        <w:ind w:firstLine="420" w:firstLineChars="200"/>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3.本次招标不收取投标保证金。</w:t>
      </w:r>
    </w:p>
    <w:p w14:paraId="541F7059">
      <w:pPr>
        <w:pBdr>
          <w:top w:val="none" w:color="auto" w:sz="0" w:space="1"/>
          <w:left w:val="none" w:color="auto" w:sz="0" w:space="4"/>
          <w:bottom w:val="none" w:color="auto" w:sz="0" w:space="1"/>
          <w:right w:val="none" w:color="auto" w:sz="0" w:space="4"/>
        </w:pBdr>
        <w:spacing w:line="440" w:lineRule="exact"/>
        <w:ind w:firstLine="422" w:firstLineChars="200"/>
        <w:rPr>
          <w:rFonts w:hint="eastAsia" w:ascii="宋体" w:hAnsi="宋体" w:eastAsia="宋体" w:cs="宋体"/>
          <w:color w:val="auto"/>
          <w:kern w:val="2"/>
          <w:sz w:val="21"/>
          <w:szCs w:val="21"/>
          <w:highlight w:val="none"/>
        </w:rPr>
      </w:pPr>
      <w:r>
        <w:rPr>
          <w:rFonts w:hint="eastAsia" w:ascii="宋体" w:hAnsi="宋体" w:eastAsia="宋体" w:cs="Times New Roman"/>
          <w:b/>
          <w:color w:val="000000"/>
          <w:kern w:val="2"/>
          <w:sz w:val="21"/>
          <w:szCs w:val="21"/>
          <w:lang w:val="en-US" w:eastAsia="zh-CN"/>
        </w:rPr>
        <w:t>七、本次招标联系方式</w:t>
      </w:r>
      <w:bookmarkEnd w:id="36"/>
      <w:bookmarkEnd w:id="37"/>
      <w:bookmarkEnd w:id="38"/>
      <w:bookmarkEnd w:id="39"/>
      <w:bookmarkEnd w:id="40"/>
    </w:p>
    <w:p w14:paraId="41D8E6FC">
      <w:pPr>
        <w:pStyle w:val="29"/>
        <w:pageBreakBefore w:val="0"/>
        <w:widowControl/>
        <w:shd w:val="clear" w:color="auto" w:fill="FFFFFF"/>
        <w:kinsoku/>
        <w:wordWrap/>
        <w:overflowPunct/>
        <w:topLinePunct w:val="0"/>
        <w:autoSpaceDE/>
        <w:autoSpaceDN/>
        <w:bidi w:val="0"/>
        <w:adjustRightInd/>
        <w:snapToGrid/>
        <w:spacing w:beforeAutospacing="0" w:afterAutospacing="0" w:line="480" w:lineRule="exact"/>
        <w:ind w:firstLine="422"/>
        <w:jc w:val="both"/>
        <w:textAlignment w:val="auto"/>
        <w:rPr>
          <w:rFonts w:ascii="宋体" w:hAnsi="宋体" w:eastAsia="宋体" w:cs="宋体"/>
          <w:color w:val="auto"/>
          <w:sz w:val="21"/>
          <w:szCs w:val="21"/>
          <w:highlight w:val="none"/>
          <w:shd w:val="clear" w:color="auto" w:fill="FFFFFF"/>
        </w:rPr>
      </w:pPr>
      <w:bookmarkStart w:id="41" w:name="_Toc28359086"/>
      <w:bookmarkStart w:id="42" w:name="_Toc28359009"/>
      <w:r>
        <w:rPr>
          <w:rFonts w:hint="eastAsia" w:ascii="宋体" w:hAnsi="宋体" w:eastAsia="宋体" w:cs="宋体"/>
          <w:color w:val="auto"/>
          <w:sz w:val="21"/>
          <w:szCs w:val="21"/>
          <w:highlight w:val="none"/>
          <w:shd w:val="clear" w:color="auto" w:fill="FFFFFF"/>
        </w:rPr>
        <w:t>1.采购人信息</w:t>
      </w:r>
    </w:p>
    <w:p w14:paraId="28ECC5B2">
      <w:pPr>
        <w:pStyle w:val="29"/>
        <w:pageBreakBefore w:val="0"/>
        <w:widowControl/>
        <w:shd w:val="clear" w:color="auto" w:fill="FFFFFF"/>
        <w:kinsoku/>
        <w:wordWrap/>
        <w:overflowPunct/>
        <w:topLinePunct w:val="0"/>
        <w:autoSpaceDE/>
        <w:autoSpaceDN/>
        <w:bidi w:val="0"/>
        <w:adjustRightInd/>
        <w:snapToGrid/>
        <w:spacing w:beforeAutospacing="0" w:afterAutospacing="0" w:line="480" w:lineRule="exact"/>
        <w:ind w:firstLine="422"/>
        <w:jc w:val="both"/>
        <w:textAlignment w:val="auto"/>
        <w:rPr>
          <w:rFonts w:hint="eastAsia" w:ascii="宋体" w:hAnsi="宋体" w:eastAsia="宋体" w:cs="宋体"/>
          <w:color w:val="auto"/>
          <w:sz w:val="21"/>
          <w:szCs w:val="21"/>
          <w:highlight w:val="none"/>
          <w:shd w:val="clear" w:color="auto" w:fill="FFFFFF"/>
          <w:lang w:val="en-US" w:eastAsia="zh-CN"/>
        </w:rPr>
      </w:pPr>
      <w:r>
        <w:rPr>
          <w:rFonts w:hint="eastAsia" w:ascii="宋体" w:hAnsi="宋体" w:eastAsia="宋体" w:cs="宋体"/>
          <w:color w:val="auto"/>
          <w:sz w:val="21"/>
          <w:szCs w:val="21"/>
          <w:highlight w:val="none"/>
          <w:shd w:val="clear" w:color="auto" w:fill="FFFFFF"/>
          <w:lang w:val="en-US" w:eastAsia="zh-CN"/>
        </w:rPr>
        <w:t xml:space="preserve">名 称：阜宁县人民医院  </w:t>
      </w:r>
    </w:p>
    <w:p w14:paraId="4D43CE5A">
      <w:pPr>
        <w:pStyle w:val="29"/>
        <w:pageBreakBefore w:val="0"/>
        <w:widowControl/>
        <w:shd w:val="clear" w:color="auto" w:fill="FFFFFF"/>
        <w:kinsoku/>
        <w:wordWrap/>
        <w:overflowPunct/>
        <w:topLinePunct w:val="0"/>
        <w:autoSpaceDE/>
        <w:autoSpaceDN/>
        <w:bidi w:val="0"/>
        <w:adjustRightInd/>
        <w:snapToGrid/>
        <w:spacing w:beforeAutospacing="0" w:afterAutospacing="0" w:line="480" w:lineRule="exact"/>
        <w:ind w:firstLine="422"/>
        <w:jc w:val="both"/>
        <w:textAlignment w:val="auto"/>
        <w:rPr>
          <w:rFonts w:hint="eastAsia" w:ascii="宋体" w:hAnsi="宋体" w:eastAsia="宋体" w:cs="宋体"/>
          <w:color w:val="auto"/>
          <w:sz w:val="21"/>
          <w:szCs w:val="21"/>
          <w:highlight w:val="none"/>
          <w:shd w:val="clear" w:color="auto" w:fill="FFFFFF"/>
          <w:lang w:val="en-US" w:eastAsia="zh-CN"/>
        </w:rPr>
      </w:pPr>
      <w:r>
        <w:rPr>
          <w:rFonts w:hint="eastAsia" w:ascii="宋体" w:hAnsi="宋体" w:eastAsia="宋体" w:cs="宋体"/>
          <w:color w:val="auto"/>
          <w:sz w:val="21"/>
          <w:szCs w:val="21"/>
          <w:highlight w:val="none"/>
          <w:shd w:val="clear" w:color="auto" w:fill="FFFFFF"/>
          <w:lang w:val="en-US" w:eastAsia="zh-CN"/>
        </w:rPr>
        <w:t>地 址：江苏省盐城市阜宁县阜城</w:t>
      </w:r>
      <w:r>
        <w:rPr>
          <w:rFonts w:hint="eastAsia" w:ascii="宋体" w:hAnsi="宋体" w:cs="宋体"/>
          <w:color w:val="auto"/>
          <w:sz w:val="21"/>
          <w:szCs w:val="21"/>
          <w:highlight w:val="none"/>
          <w:shd w:val="clear" w:color="auto" w:fill="FFFFFF"/>
          <w:lang w:val="en-US" w:eastAsia="zh-CN"/>
        </w:rPr>
        <w:t>街道</w:t>
      </w:r>
      <w:r>
        <w:rPr>
          <w:rFonts w:hint="eastAsia" w:ascii="宋体" w:hAnsi="宋体" w:eastAsia="宋体" w:cs="宋体"/>
          <w:color w:val="auto"/>
          <w:sz w:val="21"/>
          <w:szCs w:val="21"/>
          <w:highlight w:val="none"/>
          <w:shd w:val="clear" w:color="auto" w:fill="FFFFFF"/>
          <w:lang w:val="en-US" w:eastAsia="zh-CN"/>
        </w:rPr>
        <w:t xml:space="preserve">苏州路500号  </w:t>
      </w:r>
    </w:p>
    <w:p w14:paraId="7A774A77">
      <w:pPr>
        <w:pStyle w:val="29"/>
        <w:pageBreakBefore w:val="0"/>
        <w:widowControl/>
        <w:shd w:val="clear" w:color="auto" w:fill="FFFFFF"/>
        <w:kinsoku/>
        <w:wordWrap/>
        <w:overflowPunct/>
        <w:topLinePunct w:val="0"/>
        <w:autoSpaceDE/>
        <w:autoSpaceDN/>
        <w:bidi w:val="0"/>
        <w:adjustRightInd/>
        <w:snapToGrid/>
        <w:spacing w:beforeAutospacing="0" w:afterAutospacing="0" w:line="480" w:lineRule="exact"/>
        <w:ind w:firstLine="422"/>
        <w:jc w:val="both"/>
        <w:textAlignment w:val="auto"/>
        <w:rPr>
          <w:rFonts w:hint="eastAsia" w:ascii="宋体" w:hAnsi="宋体" w:eastAsia="宋体" w:cs="宋体"/>
          <w:color w:val="auto"/>
          <w:sz w:val="21"/>
          <w:szCs w:val="21"/>
          <w:highlight w:val="none"/>
          <w:shd w:val="clear" w:color="auto" w:fill="FFFFFF"/>
          <w:lang w:val="en-US" w:eastAsia="zh-CN"/>
        </w:rPr>
      </w:pPr>
      <w:r>
        <w:rPr>
          <w:rFonts w:hint="eastAsia" w:ascii="宋体" w:hAnsi="宋体" w:eastAsia="宋体" w:cs="宋体"/>
          <w:color w:val="auto"/>
          <w:sz w:val="21"/>
          <w:szCs w:val="21"/>
          <w:highlight w:val="none"/>
          <w:shd w:val="clear" w:color="auto" w:fill="FFFFFF"/>
          <w:lang w:val="en-US" w:eastAsia="zh-CN"/>
        </w:rPr>
        <w:t>联系人：顾女士</w:t>
      </w:r>
    </w:p>
    <w:p w14:paraId="3049012A">
      <w:pPr>
        <w:keepNext w:val="0"/>
        <w:keepLines w:val="0"/>
        <w:pageBreakBefore w:val="0"/>
        <w:widowControl w:val="0"/>
        <w:kinsoku/>
        <w:wordWrap/>
        <w:overflowPunct/>
        <w:topLinePunct w:val="0"/>
        <w:autoSpaceDE/>
        <w:autoSpaceDN/>
        <w:bidi w:val="0"/>
        <w:adjustRightInd/>
        <w:snapToGrid/>
        <w:spacing w:line="440" w:lineRule="exact"/>
        <w:ind w:firstLine="420" w:firstLineChars="200"/>
        <w:textAlignment w:val="auto"/>
        <w:rPr>
          <w:rFonts w:hint="eastAsia" w:ascii="宋体" w:hAnsi="宋体" w:eastAsia="宋体" w:cs="宋体"/>
          <w:color w:val="auto"/>
          <w:sz w:val="21"/>
          <w:szCs w:val="21"/>
          <w:highlight w:val="none"/>
          <w:shd w:val="clear" w:color="auto" w:fill="FFFFFF"/>
          <w:lang w:val="en-US" w:eastAsia="zh-CN"/>
        </w:rPr>
      </w:pPr>
      <w:r>
        <w:rPr>
          <w:rFonts w:hint="eastAsia" w:ascii="宋体" w:hAnsi="宋体" w:eastAsia="宋体" w:cs="宋体"/>
          <w:color w:val="auto"/>
          <w:sz w:val="21"/>
          <w:szCs w:val="21"/>
          <w:highlight w:val="none"/>
          <w:shd w:val="clear" w:color="auto" w:fill="FFFFFF"/>
          <w:lang w:val="en-US" w:eastAsia="zh-CN"/>
        </w:rPr>
        <w:t xml:space="preserve">联系电话：0515-87278211  </w:t>
      </w:r>
    </w:p>
    <w:p w14:paraId="399A0066">
      <w:pPr>
        <w:keepNext w:val="0"/>
        <w:keepLines w:val="0"/>
        <w:pageBreakBefore w:val="0"/>
        <w:widowControl w:val="0"/>
        <w:kinsoku/>
        <w:wordWrap/>
        <w:overflowPunct/>
        <w:topLinePunct w:val="0"/>
        <w:autoSpaceDE/>
        <w:autoSpaceDN/>
        <w:bidi w:val="0"/>
        <w:adjustRightInd/>
        <w:snapToGrid/>
        <w:spacing w:line="440" w:lineRule="exact"/>
        <w:ind w:firstLine="420" w:firstLineChars="200"/>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2.采购代理机构信息</w:t>
      </w:r>
    </w:p>
    <w:p w14:paraId="594A5D38">
      <w:pPr>
        <w:keepNext w:val="0"/>
        <w:keepLines w:val="0"/>
        <w:pageBreakBefore w:val="0"/>
        <w:widowControl w:val="0"/>
        <w:kinsoku/>
        <w:wordWrap/>
        <w:overflowPunct/>
        <w:topLinePunct w:val="0"/>
        <w:autoSpaceDE/>
        <w:autoSpaceDN/>
        <w:bidi w:val="0"/>
        <w:adjustRightInd/>
        <w:snapToGrid/>
        <w:spacing w:line="440" w:lineRule="exact"/>
        <w:ind w:firstLine="420" w:firstLineChars="200"/>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名 称：江苏苏维工程管理有限公司</w:t>
      </w:r>
    </w:p>
    <w:p w14:paraId="3CE2E787">
      <w:pPr>
        <w:keepNext w:val="0"/>
        <w:keepLines w:val="0"/>
        <w:pageBreakBefore w:val="0"/>
        <w:widowControl w:val="0"/>
        <w:kinsoku/>
        <w:wordWrap/>
        <w:overflowPunct/>
        <w:topLinePunct w:val="0"/>
        <w:autoSpaceDE/>
        <w:autoSpaceDN/>
        <w:bidi w:val="0"/>
        <w:adjustRightInd/>
        <w:snapToGrid/>
        <w:spacing w:line="440" w:lineRule="exact"/>
        <w:ind w:firstLine="420" w:firstLineChars="200"/>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地 址：阜宁县城南大厦A座10层</w:t>
      </w:r>
    </w:p>
    <w:p w14:paraId="75485A76">
      <w:pPr>
        <w:keepNext w:val="0"/>
        <w:keepLines w:val="0"/>
        <w:pageBreakBefore w:val="0"/>
        <w:widowControl w:val="0"/>
        <w:kinsoku/>
        <w:wordWrap/>
        <w:overflowPunct/>
        <w:topLinePunct w:val="0"/>
        <w:autoSpaceDE/>
        <w:autoSpaceDN/>
        <w:bidi w:val="0"/>
        <w:adjustRightInd/>
        <w:snapToGrid/>
        <w:spacing w:line="440" w:lineRule="exact"/>
        <w:ind w:firstLine="420" w:firstLineChars="200"/>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联系方式：陈婷，18651769888</w:t>
      </w:r>
      <w:r>
        <w:rPr>
          <w:rFonts w:hint="eastAsia" w:ascii="宋体" w:hAnsi="宋体" w:eastAsia="宋体" w:cs="宋体"/>
          <w:color w:val="auto"/>
          <w:sz w:val="21"/>
          <w:szCs w:val="21"/>
          <w:highlight w:val="none"/>
          <w:lang w:val="en-US" w:eastAsia="zh-CN"/>
        </w:rPr>
        <w:fldChar w:fldCharType="begin"/>
      </w:r>
      <w:r>
        <w:rPr>
          <w:rFonts w:hint="eastAsia" w:ascii="宋体" w:hAnsi="宋体" w:eastAsia="宋体" w:cs="宋体"/>
          <w:color w:val="auto"/>
          <w:sz w:val="21"/>
          <w:szCs w:val="21"/>
          <w:highlight w:val="none"/>
          <w:lang w:val="en-US" w:eastAsia="zh-CN"/>
        </w:rPr>
        <w:instrText xml:space="preserve"> HYPERLINK "mailto:kent9355@163.com" </w:instrText>
      </w:r>
      <w:r>
        <w:rPr>
          <w:rFonts w:hint="eastAsia" w:ascii="宋体" w:hAnsi="宋体" w:eastAsia="宋体" w:cs="宋体"/>
          <w:color w:val="auto"/>
          <w:sz w:val="21"/>
          <w:szCs w:val="21"/>
          <w:highlight w:val="none"/>
          <w:lang w:val="en-US" w:eastAsia="zh-CN"/>
        </w:rPr>
        <w:fldChar w:fldCharType="separate"/>
      </w:r>
      <w:r>
        <w:rPr>
          <w:rFonts w:hint="eastAsia" w:ascii="宋体" w:hAnsi="宋体" w:eastAsia="宋体" w:cs="宋体"/>
          <w:color w:val="auto"/>
          <w:sz w:val="21"/>
          <w:szCs w:val="21"/>
          <w:highlight w:val="none"/>
          <w:lang w:val="en-US" w:eastAsia="zh-CN"/>
        </w:rPr>
        <w:fldChar w:fldCharType="end"/>
      </w:r>
    </w:p>
    <w:p w14:paraId="6EEACF1B">
      <w:pPr>
        <w:keepNext w:val="0"/>
        <w:keepLines w:val="0"/>
        <w:pageBreakBefore w:val="0"/>
        <w:widowControl w:val="0"/>
        <w:kinsoku/>
        <w:wordWrap/>
        <w:overflowPunct/>
        <w:topLinePunct w:val="0"/>
        <w:autoSpaceDE/>
        <w:autoSpaceDN/>
        <w:bidi w:val="0"/>
        <w:adjustRightInd/>
        <w:snapToGrid/>
        <w:spacing w:line="440" w:lineRule="exact"/>
        <w:ind w:firstLine="420" w:firstLineChars="200"/>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3.项目联系方式</w:t>
      </w:r>
    </w:p>
    <w:p w14:paraId="115A15D3">
      <w:pPr>
        <w:keepNext w:val="0"/>
        <w:keepLines w:val="0"/>
        <w:pageBreakBefore w:val="0"/>
        <w:widowControl w:val="0"/>
        <w:kinsoku/>
        <w:wordWrap/>
        <w:overflowPunct/>
        <w:topLinePunct w:val="0"/>
        <w:autoSpaceDE/>
        <w:autoSpaceDN/>
        <w:bidi w:val="0"/>
        <w:adjustRightInd/>
        <w:snapToGrid/>
        <w:spacing w:line="440" w:lineRule="exact"/>
        <w:ind w:firstLine="420" w:firstLineChars="200"/>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项目联系人：</w:t>
      </w:r>
      <w:r>
        <w:rPr>
          <w:rFonts w:hint="eastAsia" w:ascii="宋体" w:hAnsi="宋体" w:eastAsia="宋体" w:cs="宋体"/>
          <w:color w:val="auto"/>
          <w:sz w:val="21"/>
          <w:szCs w:val="21"/>
          <w:highlight w:val="none"/>
          <w:shd w:val="clear" w:color="auto" w:fill="FFFFFF"/>
          <w:lang w:val="en-US" w:eastAsia="zh-CN"/>
        </w:rPr>
        <w:t>顾女士</w:t>
      </w:r>
      <w:r>
        <w:rPr>
          <w:rFonts w:hint="eastAsia" w:ascii="宋体" w:hAnsi="宋体" w:eastAsia="宋体" w:cs="宋体"/>
          <w:color w:val="auto"/>
          <w:sz w:val="21"/>
          <w:szCs w:val="21"/>
          <w:highlight w:val="none"/>
          <w:lang w:val="en-US" w:eastAsia="zh-CN"/>
        </w:rPr>
        <w:t>，陈婷</w:t>
      </w:r>
    </w:p>
    <w:p w14:paraId="6294AD17">
      <w:pPr>
        <w:keepNext w:val="0"/>
        <w:keepLines w:val="0"/>
        <w:pageBreakBefore w:val="0"/>
        <w:widowControl w:val="0"/>
        <w:kinsoku/>
        <w:wordWrap/>
        <w:overflowPunct/>
        <w:topLinePunct w:val="0"/>
        <w:autoSpaceDE/>
        <w:autoSpaceDN/>
        <w:bidi w:val="0"/>
        <w:adjustRightInd/>
        <w:snapToGrid/>
        <w:spacing w:line="440" w:lineRule="exact"/>
        <w:ind w:firstLine="420" w:firstLineChars="200"/>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电 话：</w:t>
      </w:r>
      <w:r>
        <w:rPr>
          <w:rFonts w:hint="eastAsia" w:ascii="宋体" w:hAnsi="宋体" w:eastAsia="宋体" w:cs="宋体"/>
          <w:color w:val="auto"/>
          <w:sz w:val="21"/>
          <w:szCs w:val="21"/>
          <w:highlight w:val="none"/>
          <w:shd w:val="clear" w:color="auto" w:fill="FFFFFF"/>
          <w:lang w:val="en-US" w:eastAsia="zh-CN"/>
        </w:rPr>
        <w:t>0515-87278211</w:t>
      </w:r>
      <w:r>
        <w:rPr>
          <w:rFonts w:hint="eastAsia" w:ascii="宋体" w:hAnsi="宋体" w:eastAsia="宋体" w:cs="宋体"/>
          <w:color w:val="auto"/>
          <w:sz w:val="21"/>
          <w:szCs w:val="21"/>
          <w:highlight w:val="none"/>
          <w:lang w:val="en-US" w:eastAsia="zh-CN"/>
        </w:rPr>
        <w:t>，18651769888</w:t>
      </w:r>
      <w:r>
        <w:rPr>
          <w:rFonts w:hint="eastAsia" w:ascii="宋体" w:hAnsi="宋体" w:eastAsia="宋体" w:cs="宋体"/>
          <w:color w:val="auto"/>
          <w:sz w:val="21"/>
          <w:szCs w:val="21"/>
          <w:highlight w:val="none"/>
          <w:lang w:val="en-US" w:eastAsia="zh-CN"/>
        </w:rPr>
        <w:fldChar w:fldCharType="begin"/>
      </w:r>
      <w:r>
        <w:rPr>
          <w:rFonts w:hint="eastAsia" w:ascii="宋体" w:hAnsi="宋体" w:eastAsia="宋体" w:cs="宋体"/>
          <w:color w:val="auto"/>
          <w:sz w:val="21"/>
          <w:szCs w:val="21"/>
          <w:highlight w:val="none"/>
          <w:lang w:val="en-US" w:eastAsia="zh-CN"/>
        </w:rPr>
        <w:instrText xml:space="preserve"> HYPERLINK "mailto:kent9355@163.com" </w:instrText>
      </w:r>
      <w:r>
        <w:rPr>
          <w:rFonts w:hint="eastAsia" w:ascii="宋体" w:hAnsi="宋体" w:eastAsia="宋体" w:cs="宋体"/>
          <w:color w:val="auto"/>
          <w:sz w:val="21"/>
          <w:szCs w:val="21"/>
          <w:highlight w:val="none"/>
          <w:lang w:val="en-US" w:eastAsia="zh-CN"/>
        </w:rPr>
        <w:fldChar w:fldCharType="separate"/>
      </w:r>
      <w:r>
        <w:rPr>
          <w:rFonts w:hint="eastAsia" w:ascii="宋体" w:hAnsi="宋体" w:eastAsia="宋体" w:cs="宋体"/>
          <w:color w:val="auto"/>
          <w:sz w:val="21"/>
          <w:szCs w:val="21"/>
          <w:highlight w:val="none"/>
          <w:lang w:val="en-US" w:eastAsia="zh-CN"/>
        </w:rPr>
        <w:fldChar w:fldCharType="end"/>
      </w:r>
    </w:p>
    <w:bookmarkEnd w:id="41"/>
    <w:bookmarkEnd w:id="42"/>
    <w:p w14:paraId="1F076339">
      <w:pPr>
        <w:keepNext w:val="0"/>
        <w:keepLines w:val="0"/>
        <w:pageBreakBefore w:val="0"/>
        <w:widowControl w:val="0"/>
        <w:kinsoku/>
        <w:wordWrap/>
        <w:overflowPunct/>
        <w:topLinePunct w:val="0"/>
        <w:autoSpaceDE/>
        <w:autoSpaceDN/>
        <w:bidi w:val="0"/>
        <w:adjustRightInd/>
        <w:snapToGrid/>
        <w:spacing w:line="440" w:lineRule="exact"/>
        <w:ind w:firstLine="7350" w:firstLineChars="3500"/>
        <w:textAlignment w:val="auto"/>
        <w:rPr>
          <w:rFonts w:hint="eastAsia" w:ascii="宋体" w:hAnsi="宋体" w:eastAsia="宋体" w:cs="宋体"/>
          <w:color w:val="auto"/>
          <w:sz w:val="21"/>
          <w:szCs w:val="21"/>
          <w:highlight w:val="none"/>
          <w:lang w:val="en-US" w:eastAsia="zh-CN"/>
        </w:rPr>
      </w:pPr>
    </w:p>
    <w:p w14:paraId="40C2443F">
      <w:pPr>
        <w:keepNext w:val="0"/>
        <w:keepLines w:val="0"/>
        <w:pageBreakBefore w:val="0"/>
        <w:widowControl w:val="0"/>
        <w:kinsoku/>
        <w:wordWrap/>
        <w:overflowPunct/>
        <w:topLinePunct w:val="0"/>
        <w:autoSpaceDE/>
        <w:autoSpaceDN/>
        <w:bidi w:val="0"/>
        <w:adjustRightInd/>
        <w:snapToGrid/>
        <w:spacing w:line="440" w:lineRule="exact"/>
        <w:ind w:firstLine="7350" w:firstLineChars="3500"/>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2026年</w:t>
      </w:r>
      <w:r>
        <w:rPr>
          <w:rFonts w:hint="eastAsia" w:ascii="宋体" w:hAnsi="宋体" w:cs="宋体"/>
          <w:color w:val="auto"/>
          <w:sz w:val="21"/>
          <w:szCs w:val="21"/>
          <w:highlight w:val="none"/>
          <w:lang w:val="en-US" w:eastAsia="zh-CN"/>
        </w:rPr>
        <w:t>9</w:t>
      </w:r>
      <w:r>
        <w:rPr>
          <w:rFonts w:hint="eastAsia" w:ascii="宋体" w:hAnsi="宋体" w:eastAsia="宋体" w:cs="宋体"/>
          <w:color w:val="auto"/>
          <w:sz w:val="21"/>
          <w:szCs w:val="21"/>
          <w:highlight w:val="none"/>
          <w:lang w:val="en-US" w:eastAsia="zh-CN"/>
        </w:rPr>
        <w:t>月</w:t>
      </w:r>
      <w:r>
        <w:rPr>
          <w:rFonts w:hint="eastAsia" w:ascii="宋体" w:hAnsi="宋体" w:cs="宋体"/>
          <w:color w:val="auto"/>
          <w:sz w:val="21"/>
          <w:szCs w:val="21"/>
          <w:highlight w:val="none"/>
          <w:lang w:val="en-US" w:eastAsia="zh-CN"/>
        </w:rPr>
        <w:t>3</w:t>
      </w:r>
      <w:r>
        <w:rPr>
          <w:rFonts w:hint="eastAsia" w:ascii="宋体" w:hAnsi="宋体" w:eastAsia="宋体" w:cs="宋体"/>
          <w:color w:val="auto"/>
          <w:sz w:val="21"/>
          <w:szCs w:val="21"/>
          <w:highlight w:val="none"/>
          <w:lang w:val="en-US" w:eastAsia="zh-CN"/>
        </w:rPr>
        <w:t>日</w:t>
      </w:r>
    </w:p>
    <w:p w14:paraId="28C761CD">
      <w:pPr>
        <w:keepNext w:val="0"/>
        <w:keepLines w:val="0"/>
        <w:pageBreakBefore w:val="0"/>
        <w:widowControl w:val="0"/>
        <w:kinsoku/>
        <w:wordWrap/>
        <w:overflowPunct/>
        <w:topLinePunct w:val="0"/>
        <w:autoSpaceDE/>
        <w:autoSpaceDN/>
        <w:bidi w:val="0"/>
        <w:adjustRightInd/>
        <w:snapToGrid/>
        <w:spacing w:line="440" w:lineRule="exact"/>
        <w:ind w:firstLine="420" w:firstLineChars="200"/>
        <w:textAlignment w:val="auto"/>
        <w:rPr>
          <w:rFonts w:hint="eastAsia" w:ascii="黑体" w:hAnsi="Arial" w:eastAsia="黑体" w:cs="Arial"/>
          <w:color w:val="000000"/>
          <w:sz w:val="44"/>
          <w:szCs w:val="44"/>
        </w:rPr>
      </w:pPr>
      <w:r>
        <w:rPr>
          <w:rFonts w:hint="eastAsia" w:ascii="宋体" w:hAnsi="宋体" w:eastAsia="宋体" w:cs="宋体"/>
          <w:color w:val="auto"/>
          <w:kern w:val="2"/>
          <w:sz w:val="21"/>
          <w:szCs w:val="21"/>
          <w:highlight w:val="none"/>
        </w:rPr>
        <w:br w:type="page"/>
      </w:r>
      <w:bookmarkStart w:id="43" w:name="_Toc120614211"/>
      <w:r>
        <w:rPr>
          <w:rFonts w:hint="eastAsia" w:ascii="宋体" w:hAnsi="宋体"/>
          <w:color w:val="000000"/>
          <w:sz w:val="24"/>
          <w:szCs w:val="24"/>
          <w:lang w:val="en-US" w:eastAsia="zh-CN"/>
        </w:rPr>
        <w:t xml:space="preserve">                 </w:t>
      </w:r>
      <w:r>
        <w:rPr>
          <w:rFonts w:hint="eastAsia" w:ascii="黑体" w:hAnsi="Arial" w:eastAsia="黑体" w:cs="Arial"/>
          <w:b/>
          <w:bCs/>
          <w:color w:val="000000"/>
          <w:kern w:val="2"/>
          <w:sz w:val="44"/>
          <w:szCs w:val="44"/>
          <w:lang w:val="en-US" w:eastAsia="zh-CN"/>
        </w:rPr>
        <w:t xml:space="preserve">  </w:t>
      </w:r>
      <w:r>
        <w:rPr>
          <w:rFonts w:hint="eastAsia" w:ascii="黑体" w:hAnsi="Arial" w:eastAsia="黑体" w:cs="Arial"/>
          <w:b/>
          <w:bCs/>
          <w:color w:val="000000"/>
          <w:kern w:val="2"/>
          <w:sz w:val="44"/>
          <w:szCs w:val="44"/>
        </w:rPr>
        <w:t xml:space="preserve">第二章  </w:t>
      </w:r>
      <w:bookmarkEnd w:id="1"/>
      <w:bookmarkEnd w:id="2"/>
      <w:bookmarkEnd w:id="3"/>
      <w:bookmarkEnd w:id="4"/>
      <w:bookmarkEnd w:id="5"/>
      <w:bookmarkEnd w:id="43"/>
      <w:bookmarkStart w:id="44" w:name="_Toc513029202"/>
      <w:bookmarkStart w:id="45" w:name="_Toc20823274"/>
      <w:bookmarkStart w:id="46" w:name="_Toc120614213"/>
      <w:bookmarkStart w:id="47" w:name="_Toc16938518"/>
      <w:r>
        <w:rPr>
          <w:rFonts w:hint="eastAsia" w:ascii="黑体" w:hAnsi="Arial" w:eastAsia="黑体" w:cs="Arial"/>
          <w:b/>
          <w:bCs/>
          <w:color w:val="000000"/>
          <w:kern w:val="2"/>
          <w:sz w:val="44"/>
          <w:szCs w:val="44"/>
        </w:rPr>
        <w:t>投标人须知</w:t>
      </w:r>
      <w:bookmarkEnd w:id="44"/>
      <w:bookmarkEnd w:id="45"/>
      <w:bookmarkEnd w:id="46"/>
      <w:bookmarkEnd w:id="47"/>
    </w:p>
    <w:p w14:paraId="75282B85">
      <w:pPr>
        <w:keepNext w:val="0"/>
        <w:keepLines w:val="0"/>
        <w:pageBreakBefore w:val="0"/>
        <w:widowControl w:val="0"/>
        <w:kinsoku/>
        <w:wordWrap/>
        <w:overflowPunct/>
        <w:topLinePunct w:val="0"/>
        <w:autoSpaceDE/>
        <w:autoSpaceDN/>
        <w:bidi w:val="0"/>
        <w:adjustRightInd/>
        <w:snapToGrid/>
        <w:spacing w:line="440" w:lineRule="exact"/>
        <w:ind w:firstLine="422" w:firstLineChars="200"/>
        <w:textAlignment w:val="auto"/>
        <w:rPr>
          <w:rFonts w:hint="eastAsia" w:ascii="宋体" w:hAnsi="宋体" w:eastAsia="宋体" w:cs="宋体"/>
          <w:b/>
          <w:bCs/>
          <w:color w:val="auto"/>
          <w:kern w:val="2"/>
          <w:sz w:val="21"/>
          <w:szCs w:val="21"/>
          <w:highlight w:val="none"/>
          <w:lang w:val="en-US" w:eastAsia="zh-CN"/>
        </w:rPr>
      </w:pPr>
      <w:bookmarkStart w:id="48" w:name="_Toc20823275"/>
      <w:bookmarkStart w:id="49" w:name="_Toc16938519"/>
      <w:bookmarkStart w:id="50" w:name="_Toc513029203"/>
      <w:bookmarkStart w:id="51" w:name="_Toc120614214"/>
      <w:r>
        <w:rPr>
          <w:rFonts w:hint="eastAsia" w:ascii="宋体" w:hAnsi="宋体" w:eastAsia="宋体" w:cs="宋体"/>
          <w:b/>
          <w:bCs/>
          <w:color w:val="auto"/>
          <w:kern w:val="2"/>
          <w:sz w:val="21"/>
          <w:szCs w:val="21"/>
          <w:highlight w:val="none"/>
          <w:lang w:val="en-US" w:eastAsia="zh-CN"/>
        </w:rPr>
        <w:t>一、总则</w:t>
      </w:r>
      <w:bookmarkEnd w:id="48"/>
      <w:bookmarkEnd w:id="49"/>
      <w:bookmarkEnd w:id="50"/>
      <w:bookmarkEnd w:id="51"/>
    </w:p>
    <w:p w14:paraId="52473619">
      <w:pPr>
        <w:keepNext w:val="0"/>
        <w:keepLines w:val="0"/>
        <w:pageBreakBefore w:val="0"/>
        <w:widowControl w:val="0"/>
        <w:kinsoku/>
        <w:wordWrap/>
        <w:overflowPunct/>
        <w:topLinePunct w:val="0"/>
        <w:autoSpaceDE/>
        <w:autoSpaceDN/>
        <w:bidi w:val="0"/>
        <w:adjustRightInd/>
        <w:snapToGrid/>
        <w:spacing w:line="440" w:lineRule="exact"/>
        <w:ind w:firstLine="422" w:firstLineChars="200"/>
        <w:textAlignment w:val="auto"/>
        <w:rPr>
          <w:rFonts w:hint="eastAsia" w:ascii="宋体" w:hAnsi="宋体" w:eastAsia="宋体" w:cs="宋体"/>
          <w:b/>
          <w:bCs/>
          <w:color w:val="auto"/>
          <w:kern w:val="2"/>
          <w:sz w:val="21"/>
          <w:szCs w:val="21"/>
          <w:highlight w:val="none"/>
          <w:lang w:val="en-US" w:eastAsia="zh-CN"/>
        </w:rPr>
      </w:pPr>
      <w:bookmarkStart w:id="52" w:name="_Hlt16619475"/>
      <w:bookmarkEnd w:id="52"/>
      <w:bookmarkStart w:id="53" w:name="_Toc458694821"/>
      <w:bookmarkStart w:id="54" w:name="_Toc20823276"/>
      <w:bookmarkStart w:id="55" w:name="_Toc513029204"/>
      <w:bookmarkStart w:id="56" w:name="_Toc16938520"/>
      <w:r>
        <w:rPr>
          <w:rFonts w:hint="eastAsia" w:ascii="宋体" w:hAnsi="宋体" w:cs="宋体"/>
          <w:b/>
          <w:bCs/>
          <w:color w:val="auto"/>
          <w:kern w:val="2"/>
          <w:sz w:val="21"/>
          <w:szCs w:val="21"/>
          <w:highlight w:val="none"/>
          <w:lang w:val="en-US" w:eastAsia="zh-CN"/>
        </w:rPr>
        <w:t>1.</w:t>
      </w:r>
      <w:bookmarkEnd w:id="53"/>
      <w:r>
        <w:rPr>
          <w:rFonts w:hint="eastAsia" w:ascii="宋体" w:hAnsi="宋体" w:eastAsia="宋体" w:cs="宋体"/>
          <w:b/>
          <w:bCs/>
          <w:color w:val="auto"/>
          <w:kern w:val="2"/>
          <w:sz w:val="21"/>
          <w:szCs w:val="21"/>
          <w:highlight w:val="none"/>
          <w:lang w:val="en-US" w:eastAsia="zh-CN"/>
        </w:rPr>
        <w:t>招标方式</w:t>
      </w:r>
      <w:bookmarkEnd w:id="54"/>
      <w:bookmarkEnd w:id="55"/>
      <w:bookmarkEnd w:id="56"/>
    </w:p>
    <w:p w14:paraId="592F3BDA">
      <w:pPr>
        <w:keepNext w:val="0"/>
        <w:keepLines w:val="0"/>
        <w:pageBreakBefore w:val="0"/>
        <w:widowControl w:val="0"/>
        <w:kinsoku/>
        <w:wordWrap/>
        <w:overflowPunct/>
        <w:topLinePunct w:val="0"/>
        <w:autoSpaceDE/>
        <w:autoSpaceDN/>
        <w:bidi w:val="0"/>
        <w:adjustRightInd/>
        <w:snapToGrid/>
        <w:spacing w:line="440" w:lineRule="exact"/>
        <w:ind w:firstLine="420" w:firstLineChars="200"/>
        <w:textAlignment w:val="auto"/>
        <w:rPr>
          <w:rFonts w:hint="eastAsia" w:ascii="宋体" w:hAnsi="宋体" w:eastAsia="宋体" w:cs="宋体"/>
          <w:color w:val="auto"/>
          <w:kern w:val="2"/>
          <w:sz w:val="21"/>
          <w:szCs w:val="21"/>
          <w:highlight w:val="none"/>
          <w:lang w:val="en-US" w:eastAsia="zh-CN"/>
        </w:rPr>
      </w:pPr>
      <w:r>
        <w:rPr>
          <w:rFonts w:hint="eastAsia" w:ascii="宋体" w:hAnsi="宋体" w:eastAsia="宋体" w:cs="宋体"/>
          <w:color w:val="auto"/>
          <w:kern w:val="2"/>
          <w:sz w:val="21"/>
          <w:szCs w:val="21"/>
          <w:highlight w:val="none"/>
          <w:lang w:val="en-US" w:eastAsia="zh-CN"/>
        </w:rPr>
        <w:t>1.1 本次招标采取公开招标方式，本招标文件仅适用于招标公告中所述项目。</w:t>
      </w:r>
    </w:p>
    <w:p w14:paraId="538E8E64">
      <w:pPr>
        <w:keepNext w:val="0"/>
        <w:keepLines w:val="0"/>
        <w:pageBreakBefore w:val="0"/>
        <w:widowControl w:val="0"/>
        <w:kinsoku/>
        <w:wordWrap/>
        <w:overflowPunct/>
        <w:topLinePunct w:val="0"/>
        <w:autoSpaceDE/>
        <w:autoSpaceDN/>
        <w:bidi w:val="0"/>
        <w:adjustRightInd/>
        <w:snapToGrid/>
        <w:spacing w:line="440" w:lineRule="exact"/>
        <w:ind w:firstLine="422" w:firstLineChars="200"/>
        <w:textAlignment w:val="auto"/>
        <w:rPr>
          <w:rFonts w:hint="eastAsia" w:ascii="宋体" w:hAnsi="宋体" w:eastAsia="宋体" w:cs="宋体"/>
          <w:b/>
          <w:bCs/>
          <w:color w:val="auto"/>
          <w:kern w:val="2"/>
          <w:sz w:val="21"/>
          <w:szCs w:val="21"/>
          <w:highlight w:val="none"/>
          <w:lang w:val="en-US" w:eastAsia="zh-CN"/>
        </w:rPr>
      </w:pPr>
      <w:bookmarkStart w:id="57" w:name="_Toc16938521"/>
      <w:bookmarkStart w:id="58" w:name="_Toc20823277"/>
      <w:bookmarkStart w:id="59" w:name="_Toc513029205"/>
      <w:r>
        <w:rPr>
          <w:rFonts w:hint="eastAsia" w:ascii="宋体" w:hAnsi="宋体" w:cs="宋体"/>
          <w:b/>
          <w:bCs/>
          <w:color w:val="auto"/>
          <w:kern w:val="2"/>
          <w:sz w:val="21"/>
          <w:szCs w:val="21"/>
          <w:highlight w:val="none"/>
          <w:lang w:val="en-US" w:eastAsia="zh-CN"/>
        </w:rPr>
        <w:t>2.</w:t>
      </w:r>
      <w:r>
        <w:rPr>
          <w:rFonts w:hint="eastAsia" w:ascii="宋体" w:hAnsi="宋体" w:eastAsia="宋体" w:cs="宋体"/>
          <w:b/>
          <w:bCs/>
          <w:color w:val="auto"/>
          <w:kern w:val="2"/>
          <w:sz w:val="21"/>
          <w:szCs w:val="21"/>
          <w:highlight w:val="none"/>
          <w:lang w:val="en-US" w:eastAsia="zh-CN"/>
        </w:rPr>
        <w:t>合格的投标人</w:t>
      </w:r>
      <w:bookmarkEnd w:id="57"/>
      <w:bookmarkEnd w:id="58"/>
      <w:bookmarkEnd w:id="59"/>
    </w:p>
    <w:p w14:paraId="47488CF5">
      <w:pPr>
        <w:keepNext w:val="0"/>
        <w:keepLines w:val="0"/>
        <w:pageBreakBefore w:val="0"/>
        <w:widowControl w:val="0"/>
        <w:kinsoku/>
        <w:wordWrap/>
        <w:overflowPunct/>
        <w:topLinePunct w:val="0"/>
        <w:autoSpaceDE/>
        <w:autoSpaceDN/>
        <w:bidi w:val="0"/>
        <w:adjustRightInd/>
        <w:snapToGrid/>
        <w:spacing w:line="440" w:lineRule="exact"/>
        <w:ind w:firstLine="420" w:firstLineChars="200"/>
        <w:textAlignment w:val="auto"/>
        <w:rPr>
          <w:rFonts w:hint="eastAsia" w:ascii="宋体" w:hAnsi="宋体" w:eastAsia="宋体" w:cs="宋体"/>
          <w:color w:val="auto"/>
          <w:kern w:val="2"/>
          <w:sz w:val="21"/>
          <w:szCs w:val="21"/>
          <w:highlight w:val="none"/>
          <w:lang w:val="en-US" w:eastAsia="zh-CN"/>
        </w:rPr>
      </w:pPr>
      <w:r>
        <w:rPr>
          <w:rFonts w:hint="eastAsia" w:ascii="宋体" w:hAnsi="宋体" w:eastAsia="宋体" w:cs="宋体"/>
          <w:color w:val="auto"/>
          <w:kern w:val="2"/>
          <w:sz w:val="21"/>
          <w:szCs w:val="21"/>
          <w:highlight w:val="none"/>
          <w:lang w:val="en-US" w:eastAsia="zh-CN"/>
        </w:rPr>
        <w:t>2.1满足招标公告中供应商的资格要求的规定。</w:t>
      </w:r>
    </w:p>
    <w:p w14:paraId="722653C2">
      <w:pPr>
        <w:keepNext w:val="0"/>
        <w:keepLines w:val="0"/>
        <w:pageBreakBefore w:val="0"/>
        <w:widowControl w:val="0"/>
        <w:kinsoku/>
        <w:wordWrap/>
        <w:overflowPunct/>
        <w:topLinePunct w:val="0"/>
        <w:autoSpaceDE/>
        <w:autoSpaceDN/>
        <w:bidi w:val="0"/>
        <w:adjustRightInd/>
        <w:snapToGrid/>
        <w:spacing w:line="440" w:lineRule="exact"/>
        <w:ind w:firstLine="420" w:firstLineChars="200"/>
        <w:textAlignment w:val="auto"/>
        <w:rPr>
          <w:rFonts w:hint="eastAsia" w:ascii="宋体" w:hAnsi="宋体" w:eastAsia="宋体" w:cs="宋体"/>
          <w:color w:val="auto"/>
          <w:kern w:val="2"/>
          <w:sz w:val="21"/>
          <w:szCs w:val="21"/>
          <w:highlight w:val="none"/>
          <w:lang w:val="en-US" w:eastAsia="zh-CN"/>
        </w:rPr>
      </w:pPr>
      <w:r>
        <w:rPr>
          <w:rFonts w:hint="eastAsia" w:ascii="宋体" w:hAnsi="宋体" w:eastAsia="宋体" w:cs="宋体"/>
          <w:color w:val="auto"/>
          <w:kern w:val="2"/>
          <w:sz w:val="21"/>
          <w:szCs w:val="21"/>
          <w:highlight w:val="none"/>
          <w:lang w:val="en-US" w:eastAsia="zh-CN"/>
        </w:rPr>
        <w:t>2.2 满足本文件实质性要求和条件的规定。</w:t>
      </w:r>
    </w:p>
    <w:p w14:paraId="2E67BF48">
      <w:pPr>
        <w:keepNext w:val="0"/>
        <w:keepLines w:val="0"/>
        <w:pageBreakBefore w:val="0"/>
        <w:widowControl w:val="0"/>
        <w:kinsoku/>
        <w:wordWrap/>
        <w:overflowPunct/>
        <w:topLinePunct w:val="0"/>
        <w:autoSpaceDE/>
        <w:autoSpaceDN/>
        <w:bidi w:val="0"/>
        <w:adjustRightInd/>
        <w:snapToGrid/>
        <w:spacing w:line="440" w:lineRule="exact"/>
        <w:ind w:firstLine="422" w:firstLineChars="200"/>
        <w:textAlignment w:val="auto"/>
        <w:rPr>
          <w:rFonts w:hint="eastAsia" w:ascii="宋体" w:hAnsi="宋体" w:eastAsia="宋体" w:cs="宋体"/>
          <w:b/>
          <w:bCs/>
          <w:color w:val="auto"/>
          <w:kern w:val="2"/>
          <w:sz w:val="21"/>
          <w:szCs w:val="21"/>
          <w:highlight w:val="none"/>
          <w:lang w:val="en-US" w:eastAsia="zh-CN"/>
        </w:rPr>
      </w:pPr>
      <w:bookmarkStart w:id="60" w:name="_Toc513029206"/>
      <w:bookmarkStart w:id="61" w:name="_Toc16938522"/>
      <w:bookmarkStart w:id="62" w:name="_Toc20823278"/>
      <w:r>
        <w:rPr>
          <w:rFonts w:hint="eastAsia" w:ascii="宋体" w:hAnsi="宋体" w:cs="宋体"/>
          <w:b/>
          <w:bCs/>
          <w:color w:val="auto"/>
          <w:kern w:val="2"/>
          <w:sz w:val="21"/>
          <w:szCs w:val="21"/>
          <w:highlight w:val="none"/>
          <w:lang w:val="en-US" w:eastAsia="zh-CN"/>
        </w:rPr>
        <w:t>3.</w:t>
      </w:r>
      <w:r>
        <w:rPr>
          <w:rFonts w:hint="eastAsia" w:ascii="宋体" w:hAnsi="宋体" w:eastAsia="宋体" w:cs="宋体"/>
          <w:b/>
          <w:bCs/>
          <w:color w:val="auto"/>
          <w:kern w:val="2"/>
          <w:sz w:val="21"/>
          <w:szCs w:val="21"/>
          <w:highlight w:val="none"/>
          <w:lang w:val="en-US" w:eastAsia="zh-CN"/>
        </w:rPr>
        <w:t>适用法律</w:t>
      </w:r>
      <w:bookmarkEnd w:id="60"/>
      <w:bookmarkEnd w:id="61"/>
      <w:bookmarkEnd w:id="62"/>
    </w:p>
    <w:p w14:paraId="4598E3CF">
      <w:pPr>
        <w:keepNext w:val="0"/>
        <w:keepLines w:val="0"/>
        <w:pageBreakBefore w:val="0"/>
        <w:widowControl w:val="0"/>
        <w:kinsoku/>
        <w:wordWrap/>
        <w:overflowPunct/>
        <w:topLinePunct w:val="0"/>
        <w:autoSpaceDE/>
        <w:autoSpaceDN/>
        <w:bidi w:val="0"/>
        <w:adjustRightInd/>
        <w:snapToGrid/>
        <w:spacing w:line="440" w:lineRule="exact"/>
        <w:ind w:firstLine="420" w:firstLineChars="200"/>
        <w:textAlignment w:val="auto"/>
        <w:rPr>
          <w:rFonts w:hint="eastAsia" w:ascii="宋体" w:hAnsi="宋体" w:eastAsia="宋体" w:cs="宋体"/>
          <w:color w:val="auto"/>
          <w:kern w:val="2"/>
          <w:sz w:val="21"/>
          <w:szCs w:val="21"/>
          <w:highlight w:val="none"/>
          <w:lang w:val="en-US" w:eastAsia="zh-CN"/>
        </w:rPr>
      </w:pPr>
      <w:r>
        <w:rPr>
          <w:rFonts w:hint="eastAsia" w:ascii="宋体" w:hAnsi="宋体" w:eastAsia="宋体" w:cs="宋体"/>
          <w:color w:val="auto"/>
          <w:kern w:val="2"/>
          <w:sz w:val="21"/>
          <w:szCs w:val="21"/>
          <w:highlight w:val="none"/>
          <w:lang w:val="en-US" w:eastAsia="zh-CN"/>
        </w:rPr>
        <w:t>3.1 本次招标及由此产生的合同受中华人民共和国有关的法律法规制约和保护。</w:t>
      </w:r>
    </w:p>
    <w:p w14:paraId="5F1F0244">
      <w:pPr>
        <w:keepNext w:val="0"/>
        <w:keepLines w:val="0"/>
        <w:pageBreakBefore w:val="0"/>
        <w:widowControl w:val="0"/>
        <w:kinsoku/>
        <w:wordWrap/>
        <w:overflowPunct/>
        <w:topLinePunct w:val="0"/>
        <w:autoSpaceDE/>
        <w:autoSpaceDN/>
        <w:bidi w:val="0"/>
        <w:adjustRightInd/>
        <w:snapToGrid/>
        <w:spacing w:line="440" w:lineRule="exact"/>
        <w:ind w:firstLine="422" w:firstLineChars="200"/>
        <w:textAlignment w:val="auto"/>
        <w:rPr>
          <w:rFonts w:hint="eastAsia" w:ascii="宋体" w:hAnsi="宋体" w:eastAsia="宋体" w:cs="宋体"/>
          <w:b/>
          <w:bCs/>
          <w:color w:val="auto"/>
          <w:kern w:val="2"/>
          <w:sz w:val="21"/>
          <w:szCs w:val="21"/>
          <w:highlight w:val="none"/>
          <w:lang w:val="en-US" w:eastAsia="zh-CN"/>
        </w:rPr>
      </w:pPr>
      <w:bookmarkStart w:id="63" w:name="_Toc513029207"/>
      <w:bookmarkStart w:id="64" w:name="_Toc16938523"/>
      <w:bookmarkStart w:id="65" w:name="_Toc20823279"/>
      <w:bookmarkStart w:id="66" w:name="_Toc462564067"/>
      <w:r>
        <w:rPr>
          <w:rFonts w:hint="eastAsia" w:ascii="宋体" w:hAnsi="宋体" w:cs="宋体"/>
          <w:b/>
          <w:bCs/>
          <w:color w:val="auto"/>
          <w:kern w:val="2"/>
          <w:sz w:val="21"/>
          <w:szCs w:val="21"/>
          <w:highlight w:val="none"/>
          <w:lang w:val="en-US" w:eastAsia="zh-CN"/>
        </w:rPr>
        <w:t>4.</w:t>
      </w:r>
      <w:r>
        <w:rPr>
          <w:rFonts w:hint="eastAsia" w:ascii="宋体" w:hAnsi="宋体" w:eastAsia="宋体" w:cs="宋体"/>
          <w:b/>
          <w:bCs/>
          <w:color w:val="auto"/>
          <w:kern w:val="2"/>
          <w:sz w:val="21"/>
          <w:szCs w:val="21"/>
          <w:highlight w:val="none"/>
          <w:lang w:val="en-US" w:eastAsia="zh-CN"/>
        </w:rPr>
        <w:t>投标费用</w:t>
      </w:r>
      <w:bookmarkEnd w:id="63"/>
      <w:bookmarkEnd w:id="64"/>
      <w:bookmarkEnd w:id="65"/>
      <w:bookmarkEnd w:id="66"/>
    </w:p>
    <w:p w14:paraId="2E1B18C9">
      <w:pPr>
        <w:keepNext w:val="0"/>
        <w:keepLines w:val="0"/>
        <w:pageBreakBefore w:val="0"/>
        <w:widowControl w:val="0"/>
        <w:kinsoku/>
        <w:wordWrap/>
        <w:overflowPunct/>
        <w:topLinePunct w:val="0"/>
        <w:autoSpaceDE/>
        <w:autoSpaceDN/>
        <w:bidi w:val="0"/>
        <w:adjustRightInd/>
        <w:snapToGrid/>
        <w:spacing w:line="440" w:lineRule="exact"/>
        <w:ind w:firstLine="420" w:firstLineChars="200"/>
        <w:textAlignment w:val="auto"/>
        <w:rPr>
          <w:rFonts w:hint="eastAsia" w:ascii="宋体" w:hAnsi="宋体" w:eastAsia="宋体" w:cs="宋体"/>
          <w:color w:val="auto"/>
          <w:kern w:val="2"/>
          <w:sz w:val="21"/>
          <w:szCs w:val="21"/>
          <w:highlight w:val="none"/>
          <w:lang w:val="en-US" w:eastAsia="zh-CN"/>
        </w:rPr>
      </w:pPr>
      <w:r>
        <w:rPr>
          <w:rFonts w:hint="eastAsia" w:ascii="宋体" w:hAnsi="宋体" w:eastAsia="宋体" w:cs="宋体"/>
          <w:color w:val="auto"/>
          <w:kern w:val="2"/>
          <w:sz w:val="21"/>
          <w:szCs w:val="21"/>
          <w:highlight w:val="none"/>
          <w:lang w:val="en-US" w:eastAsia="zh-CN"/>
        </w:rPr>
        <w:t>4.1 投标人应自行承担所有与参加投标有关的费用，无论投标过程中的做法和结果如何，采购人或采购代理机构在任何情况下均无义务和责任承担这些费用。</w:t>
      </w:r>
    </w:p>
    <w:p w14:paraId="4F0D30D6">
      <w:pPr>
        <w:keepNext w:val="0"/>
        <w:keepLines w:val="0"/>
        <w:pageBreakBefore w:val="0"/>
        <w:widowControl w:val="0"/>
        <w:kinsoku/>
        <w:wordWrap/>
        <w:overflowPunct/>
        <w:topLinePunct w:val="0"/>
        <w:autoSpaceDE/>
        <w:autoSpaceDN/>
        <w:bidi w:val="0"/>
        <w:adjustRightInd/>
        <w:snapToGrid/>
        <w:spacing w:line="440" w:lineRule="exact"/>
        <w:ind w:firstLine="420" w:firstLineChars="200"/>
        <w:textAlignment w:val="auto"/>
        <w:rPr>
          <w:rFonts w:hint="eastAsia" w:ascii="宋体" w:hAnsi="宋体" w:eastAsia="宋体" w:cs="Times New Roman"/>
          <w:color w:val="000000"/>
          <w:sz w:val="24"/>
          <w:szCs w:val="24"/>
          <w:lang w:val="en-US" w:eastAsia="zh-CN"/>
        </w:rPr>
      </w:pPr>
      <w:r>
        <w:rPr>
          <w:rFonts w:hint="eastAsia" w:ascii="宋体" w:hAnsi="宋体" w:eastAsia="宋体" w:cs="宋体"/>
          <w:color w:val="auto"/>
          <w:kern w:val="2"/>
          <w:sz w:val="21"/>
          <w:szCs w:val="21"/>
          <w:highlight w:val="none"/>
          <w:lang w:val="en-US" w:eastAsia="zh-CN"/>
        </w:rPr>
        <w:t>4.2代理机构将根据发改价格〔2011〕534号文件，按招标项目中标价的1.2%向中标</w:t>
      </w:r>
      <w:bookmarkStart w:id="67" w:name="_Hlk54789946"/>
      <w:r>
        <w:rPr>
          <w:rFonts w:hint="eastAsia" w:ascii="宋体" w:hAnsi="宋体" w:eastAsia="宋体" w:cs="宋体"/>
          <w:color w:val="auto"/>
          <w:kern w:val="2"/>
          <w:sz w:val="21"/>
          <w:szCs w:val="21"/>
          <w:highlight w:val="none"/>
          <w:lang w:val="en-US" w:eastAsia="zh-CN"/>
        </w:rPr>
        <w:t>供应商</w:t>
      </w:r>
      <w:bookmarkEnd w:id="67"/>
      <w:r>
        <w:rPr>
          <w:rFonts w:hint="eastAsia" w:ascii="宋体" w:hAnsi="宋体" w:eastAsia="宋体" w:cs="宋体"/>
          <w:color w:val="auto"/>
          <w:kern w:val="2"/>
          <w:sz w:val="21"/>
          <w:szCs w:val="21"/>
          <w:highlight w:val="none"/>
          <w:lang w:val="en-US" w:eastAsia="zh-CN"/>
        </w:rPr>
        <w:t>收取服务费用，由中标供应商在开取中标通知书前一次性支付。</w:t>
      </w:r>
    </w:p>
    <w:p w14:paraId="2AB8E2F7">
      <w:pPr>
        <w:keepNext w:val="0"/>
        <w:keepLines w:val="0"/>
        <w:pageBreakBefore w:val="0"/>
        <w:widowControl w:val="0"/>
        <w:kinsoku/>
        <w:wordWrap/>
        <w:overflowPunct/>
        <w:topLinePunct w:val="0"/>
        <w:autoSpaceDE/>
        <w:autoSpaceDN/>
        <w:bidi w:val="0"/>
        <w:adjustRightInd/>
        <w:snapToGrid/>
        <w:spacing w:line="440" w:lineRule="exact"/>
        <w:ind w:firstLine="422" w:firstLineChars="200"/>
        <w:textAlignment w:val="auto"/>
        <w:rPr>
          <w:rFonts w:hint="eastAsia" w:ascii="宋体" w:hAnsi="宋体" w:eastAsia="宋体" w:cs="宋体"/>
          <w:color w:val="auto"/>
          <w:sz w:val="21"/>
          <w:szCs w:val="21"/>
          <w:highlight w:val="none"/>
          <w:lang w:val="en-US" w:eastAsia="zh-CN"/>
        </w:rPr>
      </w:pPr>
      <w:bookmarkStart w:id="68" w:name="_Toc16938559"/>
      <w:bookmarkStart w:id="69" w:name="_Toc513029243"/>
      <w:bookmarkStart w:id="70" w:name="_Toc20823315"/>
      <w:r>
        <w:rPr>
          <w:rFonts w:hint="eastAsia" w:ascii="宋体" w:hAnsi="宋体" w:eastAsia="宋体" w:cs="宋体"/>
          <w:b/>
          <w:bCs/>
          <w:color w:val="auto"/>
          <w:sz w:val="21"/>
          <w:szCs w:val="21"/>
          <w:highlight w:val="none"/>
          <w:lang w:val="en-US" w:eastAsia="zh-CN"/>
        </w:rPr>
        <w:t>5.招标文件的约束力</w:t>
      </w:r>
    </w:p>
    <w:p w14:paraId="1C2D8197">
      <w:pPr>
        <w:keepNext w:val="0"/>
        <w:keepLines w:val="0"/>
        <w:pageBreakBefore w:val="0"/>
        <w:widowControl w:val="0"/>
        <w:kinsoku/>
        <w:wordWrap/>
        <w:overflowPunct/>
        <w:topLinePunct w:val="0"/>
        <w:autoSpaceDE/>
        <w:autoSpaceDN/>
        <w:bidi w:val="0"/>
        <w:adjustRightInd/>
        <w:snapToGrid/>
        <w:spacing w:line="440" w:lineRule="exact"/>
        <w:ind w:firstLine="420" w:firstLineChars="200"/>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5.1 投标人一旦参加本项目采购活动，即被认为接受了本招标文件的规定和约束。</w:t>
      </w:r>
    </w:p>
    <w:p w14:paraId="7238B277">
      <w:pPr>
        <w:keepNext w:val="0"/>
        <w:keepLines w:val="0"/>
        <w:pageBreakBefore w:val="0"/>
        <w:widowControl w:val="0"/>
        <w:kinsoku/>
        <w:wordWrap/>
        <w:overflowPunct/>
        <w:topLinePunct w:val="0"/>
        <w:autoSpaceDE/>
        <w:autoSpaceDN/>
        <w:bidi w:val="0"/>
        <w:adjustRightInd/>
        <w:snapToGrid/>
        <w:spacing w:line="440" w:lineRule="exact"/>
        <w:ind w:firstLine="422" w:firstLineChars="200"/>
        <w:textAlignment w:val="auto"/>
        <w:rPr>
          <w:rFonts w:hint="eastAsia" w:ascii="宋体" w:hAnsi="宋体" w:eastAsia="宋体" w:cs="宋体"/>
          <w:b/>
          <w:bCs/>
          <w:color w:val="auto"/>
          <w:sz w:val="21"/>
          <w:szCs w:val="21"/>
          <w:highlight w:val="none"/>
          <w:lang w:val="en-US" w:eastAsia="zh-CN"/>
        </w:rPr>
      </w:pPr>
      <w:bookmarkStart w:id="71" w:name="_Toc120614215"/>
      <w:bookmarkStart w:id="72" w:name="_Toc513029209"/>
      <w:bookmarkStart w:id="73" w:name="_Toc16938525"/>
      <w:bookmarkStart w:id="74" w:name="_Toc20823281"/>
      <w:r>
        <w:rPr>
          <w:rFonts w:hint="eastAsia" w:ascii="宋体" w:hAnsi="宋体" w:eastAsia="宋体" w:cs="宋体"/>
          <w:b/>
          <w:bCs/>
          <w:color w:val="auto"/>
          <w:sz w:val="21"/>
          <w:szCs w:val="21"/>
          <w:highlight w:val="none"/>
          <w:lang w:val="en-US" w:eastAsia="zh-CN"/>
        </w:rPr>
        <w:t>二、招标文件</w:t>
      </w:r>
      <w:bookmarkEnd w:id="71"/>
      <w:bookmarkEnd w:id="72"/>
      <w:bookmarkEnd w:id="73"/>
      <w:bookmarkEnd w:id="74"/>
    </w:p>
    <w:p w14:paraId="7E17BDC9">
      <w:pPr>
        <w:keepNext w:val="0"/>
        <w:keepLines w:val="0"/>
        <w:pageBreakBefore w:val="0"/>
        <w:widowControl w:val="0"/>
        <w:kinsoku/>
        <w:wordWrap/>
        <w:overflowPunct/>
        <w:topLinePunct w:val="0"/>
        <w:autoSpaceDE/>
        <w:autoSpaceDN/>
        <w:bidi w:val="0"/>
        <w:adjustRightInd/>
        <w:snapToGrid/>
        <w:spacing w:line="440" w:lineRule="exact"/>
        <w:ind w:firstLine="422" w:firstLineChars="200"/>
        <w:textAlignment w:val="auto"/>
        <w:rPr>
          <w:rFonts w:hint="eastAsia" w:ascii="宋体" w:hAnsi="宋体" w:eastAsia="宋体" w:cs="宋体"/>
          <w:b/>
          <w:bCs/>
          <w:color w:val="auto"/>
          <w:sz w:val="21"/>
          <w:szCs w:val="21"/>
          <w:highlight w:val="none"/>
          <w:lang w:val="en-US" w:eastAsia="zh-CN"/>
        </w:rPr>
      </w:pPr>
      <w:bookmarkStart w:id="75" w:name="_Toc513029210"/>
      <w:bookmarkStart w:id="76" w:name="_Toc20823282"/>
      <w:bookmarkStart w:id="77" w:name="_Toc16938526"/>
      <w:r>
        <w:rPr>
          <w:rFonts w:hint="eastAsia" w:ascii="宋体" w:hAnsi="宋体" w:eastAsia="宋体" w:cs="宋体"/>
          <w:b/>
          <w:bCs/>
          <w:color w:val="auto"/>
          <w:sz w:val="21"/>
          <w:szCs w:val="21"/>
          <w:highlight w:val="none"/>
          <w:lang w:val="en-US" w:eastAsia="zh-CN"/>
        </w:rPr>
        <w:t>6.招标文件构成</w:t>
      </w:r>
      <w:bookmarkEnd w:id="75"/>
      <w:bookmarkEnd w:id="76"/>
      <w:bookmarkEnd w:id="77"/>
    </w:p>
    <w:p w14:paraId="417C0D5F">
      <w:pPr>
        <w:keepNext w:val="0"/>
        <w:keepLines w:val="0"/>
        <w:pageBreakBefore w:val="0"/>
        <w:widowControl w:val="0"/>
        <w:kinsoku/>
        <w:wordWrap/>
        <w:overflowPunct/>
        <w:topLinePunct w:val="0"/>
        <w:autoSpaceDE/>
        <w:autoSpaceDN/>
        <w:bidi w:val="0"/>
        <w:adjustRightInd/>
        <w:snapToGrid/>
        <w:spacing w:line="440" w:lineRule="exact"/>
        <w:ind w:firstLine="420" w:firstLineChars="200"/>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6.1 招标文件由以下部分组成：</w:t>
      </w:r>
    </w:p>
    <w:p w14:paraId="4245320B">
      <w:pPr>
        <w:keepNext w:val="0"/>
        <w:keepLines w:val="0"/>
        <w:pageBreakBefore w:val="0"/>
        <w:widowControl w:val="0"/>
        <w:kinsoku/>
        <w:wordWrap/>
        <w:overflowPunct/>
        <w:topLinePunct w:val="0"/>
        <w:autoSpaceDE/>
        <w:autoSpaceDN/>
        <w:bidi w:val="0"/>
        <w:adjustRightInd/>
        <w:snapToGrid/>
        <w:spacing w:line="440" w:lineRule="exact"/>
        <w:ind w:firstLine="420" w:firstLineChars="200"/>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（1）招标公告</w:t>
      </w:r>
    </w:p>
    <w:p w14:paraId="3AA856A8">
      <w:pPr>
        <w:keepNext w:val="0"/>
        <w:keepLines w:val="0"/>
        <w:pageBreakBefore w:val="0"/>
        <w:widowControl w:val="0"/>
        <w:kinsoku/>
        <w:wordWrap/>
        <w:overflowPunct/>
        <w:topLinePunct w:val="0"/>
        <w:autoSpaceDE/>
        <w:autoSpaceDN/>
        <w:bidi w:val="0"/>
        <w:adjustRightInd/>
        <w:snapToGrid/>
        <w:spacing w:line="440" w:lineRule="exact"/>
        <w:ind w:firstLine="420" w:firstLineChars="200"/>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（2）投标人须知</w:t>
      </w:r>
    </w:p>
    <w:p w14:paraId="43773C88">
      <w:pPr>
        <w:keepNext w:val="0"/>
        <w:keepLines w:val="0"/>
        <w:pageBreakBefore w:val="0"/>
        <w:widowControl w:val="0"/>
        <w:kinsoku/>
        <w:wordWrap/>
        <w:overflowPunct/>
        <w:topLinePunct w:val="0"/>
        <w:autoSpaceDE/>
        <w:autoSpaceDN/>
        <w:bidi w:val="0"/>
        <w:adjustRightInd/>
        <w:snapToGrid/>
        <w:spacing w:line="440" w:lineRule="exact"/>
        <w:ind w:firstLine="420" w:firstLineChars="200"/>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（3）合同文本</w:t>
      </w:r>
    </w:p>
    <w:p w14:paraId="2597817B">
      <w:pPr>
        <w:keepNext w:val="0"/>
        <w:keepLines w:val="0"/>
        <w:pageBreakBefore w:val="0"/>
        <w:widowControl w:val="0"/>
        <w:kinsoku/>
        <w:wordWrap/>
        <w:overflowPunct/>
        <w:topLinePunct w:val="0"/>
        <w:autoSpaceDE/>
        <w:autoSpaceDN/>
        <w:bidi w:val="0"/>
        <w:adjustRightInd/>
        <w:snapToGrid/>
        <w:spacing w:line="440" w:lineRule="exact"/>
        <w:ind w:firstLine="420" w:firstLineChars="200"/>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（4）采购需求</w:t>
      </w:r>
    </w:p>
    <w:p w14:paraId="0336F1CC">
      <w:pPr>
        <w:keepNext w:val="0"/>
        <w:keepLines w:val="0"/>
        <w:pageBreakBefore w:val="0"/>
        <w:widowControl w:val="0"/>
        <w:kinsoku/>
        <w:wordWrap/>
        <w:overflowPunct/>
        <w:topLinePunct w:val="0"/>
        <w:autoSpaceDE/>
        <w:autoSpaceDN/>
        <w:bidi w:val="0"/>
        <w:adjustRightInd/>
        <w:snapToGrid/>
        <w:spacing w:line="440" w:lineRule="exact"/>
        <w:ind w:firstLine="420" w:firstLineChars="200"/>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（5）评标方法与评标标准</w:t>
      </w:r>
    </w:p>
    <w:p w14:paraId="0045CB24">
      <w:pPr>
        <w:keepNext w:val="0"/>
        <w:keepLines w:val="0"/>
        <w:pageBreakBefore w:val="0"/>
        <w:widowControl w:val="0"/>
        <w:kinsoku/>
        <w:wordWrap/>
        <w:overflowPunct/>
        <w:topLinePunct w:val="0"/>
        <w:autoSpaceDE/>
        <w:autoSpaceDN/>
        <w:bidi w:val="0"/>
        <w:adjustRightInd/>
        <w:snapToGrid/>
        <w:spacing w:line="440" w:lineRule="exact"/>
        <w:ind w:firstLine="420" w:firstLineChars="200"/>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（6）投标文件格式</w:t>
      </w:r>
    </w:p>
    <w:p w14:paraId="03FC934D">
      <w:pPr>
        <w:keepNext w:val="0"/>
        <w:keepLines w:val="0"/>
        <w:pageBreakBefore w:val="0"/>
        <w:widowControl w:val="0"/>
        <w:kinsoku/>
        <w:wordWrap/>
        <w:overflowPunct/>
        <w:topLinePunct w:val="0"/>
        <w:autoSpaceDE/>
        <w:autoSpaceDN/>
        <w:bidi w:val="0"/>
        <w:adjustRightInd/>
        <w:snapToGrid/>
        <w:spacing w:line="440" w:lineRule="exact"/>
        <w:ind w:firstLine="420" w:firstLineChars="200"/>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请仔细检查招标文件是否齐全，如有缺漏请立即与采购人或采购代理机构联系解决。</w:t>
      </w:r>
    </w:p>
    <w:p w14:paraId="09B1C843">
      <w:pPr>
        <w:keepNext w:val="0"/>
        <w:keepLines w:val="0"/>
        <w:pageBreakBefore w:val="0"/>
        <w:widowControl w:val="0"/>
        <w:kinsoku/>
        <w:wordWrap/>
        <w:overflowPunct/>
        <w:topLinePunct w:val="0"/>
        <w:autoSpaceDE/>
        <w:autoSpaceDN/>
        <w:bidi w:val="0"/>
        <w:adjustRightInd/>
        <w:snapToGrid/>
        <w:spacing w:line="440" w:lineRule="exact"/>
        <w:ind w:firstLine="420" w:firstLineChars="200"/>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6.2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p>
    <w:p w14:paraId="40E6BCDC">
      <w:pPr>
        <w:keepNext w:val="0"/>
        <w:keepLines w:val="0"/>
        <w:pageBreakBefore w:val="0"/>
        <w:widowControl w:val="0"/>
        <w:kinsoku/>
        <w:wordWrap/>
        <w:overflowPunct/>
        <w:topLinePunct w:val="0"/>
        <w:autoSpaceDE/>
        <w:autoSpaceDN/>
        <w:bidi w:val="0"/>
        <w:adjustRightInd/>
        <w:snapToGrid/>
        <w:spacing w:line="440" w:lineRule="exact"/>
        <w:ind w:firstLine="422" w:firstLineChars="200"/>
        <w:textAlignment w:val="auto"/>
        <w:rPr>
          <w:rFonts w:hint="eastAsia" w:ascii="宋体" w:hAnsi="宋体" w:eastAsia="宋体" w:cs="宋体"/>
          <w:color w:val="auto"/>
          <w:sz w:val="21"/>
          <w:szCs w:val="21"/>
          <w:highlight w:val="none"/>
          <w:lang w:val="en-US" w:eastAsia="zh-CN"/>
        </w:rPr>
      </w:pPr>
      <w:bookmarkStart w:id="78" w:name="_Toc462564070"/>
      <w:bookmarkStart w:id="79" w:name="_Toc20823283"/>
      <w:bookmarkStart w:id="80" w:name="_Toc16938527"/>
      <w:bookmarkStart w:id="81" w:name="_Toc513029211"/>
      <w:r>
        <w:rPr>
          <w:rFonts w:hint="eastAsia" w:ascii="宋体" w:hAnsi="宋体" w:eastAsia="宋体" w:cs="宋体"/>
          <w:b/>
          <w:bCs/>
          <w:color w:val="auto"/>
          <w:sz w:val="21"/>
          <w:szCs w:val="21"/>
          <w:highlight w:val="none"/>
          <w:lang w:val="en-US" w:eastAsia="zh-CN"/>
        </w:rPr>
        <w:t>7.招标文件的澄清</w:t>
      </w:r>
      <w:bookmarkEnd w:id="78"/>
      <w:bookmarkEnd w:id="79"/>
      <w:bookmarkEnd w:id="80"/>
      <w:bookmarkEnd w:id="81"/>
    </w:p>
    <w:p w14:paraId="31CBCE0A">
      <w:pPr>
        <w:keepNext w:val="0"/>
        <w:keepLines w:val="0"/>
        <w:pageBreakBefore w:val="0"/>
        <w:widowControl w:val="0"/>
        <w:kinsoku/>
        <w:wordWrap/>
        <w:overflowPunct/>
        <w:topLinePunct w:val="0"/>
        <w:autoSpaceDE/>
        <w:autoSpaceDN/>
        <w:bidi w:val="0"/>
        <w:adjustRightInd/>
        <w:snapToGrid/>
        <w:spacing w:line="440" w:lineRule="exact"/>
        <w:ind w:firstLine="420" w:firstLineChars="200"/>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7.1 任何要求对招标文件进行澄清的投标人，应在投标截止期十日前按招标公告中的通讯地址，以书面形式通知采购人或采购代理机构。</w:t>
      </w:r>
    </w:p>
    <w:p w14:paraId="6D4DCCD7">
      <w:pPr>
        <w:keepNext w:val="0"/>
        <w:keepLines w:val="0"/>
        <w:pageBreakBefore w:val="0"/>
        <w:widowControl w:val="0"/>
        <w:kinsoku/>
        <w:wordWrap/>
        <w:overflowPunct/>
        <w:topLinePunct w:val="0"/>
        <w:autoSpaceDE/>
        <w:autoSpaceDN/>
        <w:bidi w:val="0"/>
        <w:adjustRightInd/>
        <w:snapToGrid/>
        <w:spacing w:line="440" w:lineRule="exact"/>
        <w:ind w:firstLine="422" w:firstLineChars="200"/>
        <w:textAlignment w:val="auto"/>
        <w:rPr>
          <w:rFonts w:hint="eastAsia" w:ascii="宋体" w:hAnsi="宋体" w:eastAsia="宋体" w:cs="宋体"/>
          <w:b/>
          <w:bCs/>
          <w:color w:val="auto"/>
          <w:sz w:val="21"/>
          <w:szCs w:val="21"/>
          <w:highlight w:val="none"/>
          <w:lang w:val="en-US" w:eastAsia="zh-CN"/>
        </w:rPr>
      </w:pPr>
      <w:bookmarkStart w:id="82" w:name="_Toc16938528"/>
      <w:bookmarkStart w:id="83" w:name="_Toc513029212"/>
      <w:bookmarkStart w:id="84" w:name="_Toc462564071"/>
      <w:bookmarkStart w:id="85" w:name="_Toc20823284"/>
      <w:r>
        <w:rPr>
          <w:rFonts w:hint="eastAsia" w:ascii="宋体" w:hAnsi="宋体" w:eastAsia="宋体" w:cs="宋体"/>
          <w:b/>
          <w:bCs/>
          <w:color w:val="auto"/>
          <w:sz w:val="21"/>
          <w:szCs w:val="21"/>
          <w:highlight w:val="none"/>
          <w:lang w:val="en-US" w:eastAsia="zh-CN"/>
        </w:rPr>
        <w:t>8.招标文件的修改</w:t>
      </w:r>
      <w:bookmarkEnd w:id="82"/>
      <w:bookmarkEnd w:id="83"/>
      <w:bookmarkEnd w:id="84"/>
      <w:bookmarkEnd w:id="85"/>
    </w:p>
    <w:p w14:paraId="5684CC50">
      <w:pPr>
        <w:keepNext w:val="0"/>
        <w:keepLines w:val="0"/>
        <w:pageBreakBefore w:val="0"/>
        <w:widowControl w:val="0"/>
        <w:kinsoku/>
        <w:wordWrap/>
        <w:overflowPunct/>
        <w:topLinePunct w:val="0"/>
        <w:autoSpaceDE/>
        <w:autoSpaceDN/>
        <w:bidi w:val="0"/>
        <w:adjustRightInd/>
        <w:snapToGrid/>
        <w:spacing w:line="440" w:lineRule="exact"/>
        <w:ind w:firstLine="420" w:firstLineChars="200"/>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8.1 在投标截止时间之前，采购人或采购代理机构可以对招标文件进行修改。</w:t>
      </w:r>
    </w:p>
    <w:p w14:paraId="792F809D">
      <w:pPr>
        <w:keepNext w:val="0"/>
        <w:keepLines w:val="0"/>
        <w:pageBreakBefore w:val="0"/>
        <w:widowControl w:val="0"/>
        <w:kinsoku/>
        <w:wordWrap/>
        <w:overflowPunct/>
        <w:topLinePunct w:val="0"/>
        <w:autoSpaceDE/>
        <w:autoSpaceDN/>
        <w:bidi w:val="0"/>
        <w:adjustRightInd/>
        <w:snapToGrid/>
        <w:spacing w:line="440" w:lineRule="exact"/>
        <w:ind w:firstLine="420" w:firstLineChars="200"/>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8.2 采购人或采购代理机构有权按照法定的要求推迟投标截止日期和开标日期。</w:t>
      </w:r>
    </w:p>
    <w:p w14:paraId="4FD8E938">
      <w:pPr>
        <w:keepNext w:val="0"/>
        <w:keepLines w:val="0"/>
        <w:pageBreakBefore w:val="0"/>
        <w:widowControl w:val="0"/>
        <w:kinsoku/>
        <w:wordWrap/>
        <w:overflowPunct/>
        <w:topLinePunct w:val="0"/>
        <w:autoSpaceDE/>
        <w:autoSpaceDN/>
        <w:bidi w:val="0"/>
        <w:adjustRightInd/>
        <w:snapToGrid/>
        <w:spacing w:line="440" w:lineRule="exact"/>
        <w:ind w:firstLine="420" w:firstLineChars="200"/>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8.3 招标文件的修改将在江苏政府采购网公布，补充文件将作为招标文件的组成部分，并对投标人具有约束力。</w:t>
      </w:r>
    </w:p>
    <w:p w14:paraId="27AABDC5">
      <w:pPr>
        <w:keepNext w:val="0"/>
        <w:keepLines w:val="0"/>
        <w:pageBreakBefore w:val="0"/>
        <w:widowControl w:val="0"/>
        <w:kinsoku/>
        <w:wordWrap/>
        <w:overflowPunct/>
        <w:topLinePunct w:val="0"/>
        <w:autoSpaceDE/>
        <w:autoSpaceDN/>
        <w:bidi w:val="0"/>
        <w:adjustRightInd/>
        <w:snapToGrid/>
        <w:spacing w:line="440" w:lineRule="exact"/>
        <w:ind w:firstLine="422" w:firstLineChars="200"/>
        <w:textAlignment w:val="auto"/>
        <w:rPr>
          <w:rFonts w:hint="eastAsia" w:ascii="宋体" w:hAnsi="宋体" w:eastAsia="宋体" w:cs="宋体"/>
          <w:b/>
          <w:bCs/>
          <w:color w:val="auto"/>
          <w:sz w:val="21"/>
          <w:szCs w:val="21"/>
          <w:highlight w:val="none"/>
          <w:lang w:val="en-US" w:eastAsia="zh-CN"/>
        </w:rPr>
      </w:pPr>
      <w:bookmarkStart w:id="86" w:name="_Toc462564072"/>
      <w:bookmarkStart w:id="87" w:name="_Toc16938529"/>
      <w:bookmarkStart w:id="88" w:name="_Toc513029213"/>
      <w:bookmarkStart w:id="89" w:name="_Toc120614216"/>
      <w:bookmarkStart w:id="90" w:name="_Toc20823285"/>
      <w:r>
        <w:rPr>
          <w:rFonts w:hint="eastAsia" w:ascii="宋体" w:hAnsi="宋体" w:eastAsia="宋体" w:cs="宋体"/>
          <w:b/>
          <w:bCs/>
          <w:color w:val="auto"/>
          <w:sz w:val="21"/>
          <w:szCs w:val="21"/>
          <w:highlight w:val="none"/>
          <w:lang w:val="en-US" w:eastAsia="zh-CN"/>
        </w:rPr>
        <w:t>三、投标文件的编制</w:t>
      </w:r>
      <w:bookmarkEnd w:id="86"/>
      <w:bookmarkEnd w:id="87"/>
      <w:bookmarkEnd w:id="88"/>
      <w:bookmarkEnd w:id="89"/>
      <w:bookmarkEnd w:id="90"/>
    </w:p>
    <w:p w14:paraId="0C835594">
      <w:pPr>
        <w:keepNext w:val="0"/>
        <w:keepLines w:val="0"/>
        <w:pageBreakBefore w:val="0"/>
        <w:widowControl w:val="0"/>
        <w:kinsoku/>
        <w:wordWrap/>
        <w:overflowPunct/>
        <w:topLinePunct w:val="0"/>
        <w:autoSpaceDE/>
        <w:autoSpaceDN/>
        <w:bidi w:val="0"/>
        <w:adjustRightInd/>
        <w:snapToGrid/>
        <w:spacing w:line="440" w:lineRule="exact"/>
        <w:ind w:firstLine="422" w:firstLineChars="200"/>
        <w:textAlignment w:val="auto"/>
        <w:rPr>
          <w:rFonts w:hint="eastAsia" w:ascii="宋体" w:hAnsi="宋体" w:eastAsia="宋体" w:cs="宋体"/>
          <w:b/>
          <w:bCs/>
          <w:color w:val="auto"/>
          <w:sz w:val="21"/>
          <w:szCs w:val="21"/>
          <w:highlight w:val="none"/>
          <w:lang w:val="en-US" w:eastAsia="zh-CN"/>
        </w:rPr>
      </w:pPr>
      <w:bookmarkStart w:id="91" w:name="_Toc20823286"/>
      <w:bookmarkStart w:id="92" w:name="_Toc513029214"/>
      <w:bookmarkStart w:id="93" w:name="_Toc462564073"/>
      <w:bookmarkStart w:id="94" w:name="_Toc16938530"/>
      <w:r>
        <w:rPr>
          <w:rFonts w:hint="eastAsia" w:ascii="宋体" w:hAnsi="宋体" w:eastAsia="宋体" w:cs="宋体"/>
          <w:b/>
          <w:bCs/>
          <w:color w:val="auto"/>
          <w:sz w:val="21"/>
          <w:szCs w:val="21"/>
          <w:highlight w:val="none"/>
          <w:lang w:val="en-US" w:eastAsia="zh-CN"/>
        </w:rPr>
        <w:t>9.投标文件的语言及度量衡单位</w:t>
      </w:r>
      <w:bookmarkEnd w:id="91"/>
      <w:bookmarkEnd w:id="92"/>
      <w:bookmarkEnd w:id="93"/>
      <w:bookmarkEnd w:id="94"/>
    </w:p>
    <w:p w14:paraId="0133941E">
      <w:pPr>
        <w:keepNext w:val="0"/>
        <w:keepLines w:val="0"/>
        <w:pageBreakBefore w:val="0"/>
        <w:widowControl w:val="0"/>
        <w:kinsoku/>
        <w:wordWrap/>
        <w:overflowPunct/>
        <w:topLinePunct w:val="0"/>
        <w:autoSpaceDE/>
        <w:autoSpaceDN/>
        <w:bidi w:val="0"/>
        <w:adjustRightInd/>
        <w:snapToGrid/>
        <w:spacing w:line="440" w:lineRule="exact"/>
        <w:ind w:firstLine="420" w:firstLineChars="200"/>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9.1 投标人提交的投标文件以及投标人与采购人或采购代理机构就有关投标的所有来往通知、函件和文件均应使用简体中文。</w:t>
      </w:r>
    </w:p>
    <w:p w14:paraId="5B0F546E">
      <w:pPr>
        <w:keepNext w:val="0"/>
        <w:keepLines w:val="0"/>
        <w:pageBreakBefore w:val="0"/>
        <w:widowControl w:val="0"/>
        <w:kinsoku/>
        <w:wordWrap/>
        <w:overflowPunct/>
        <w:topLinePunct w:val="0"/>
        <w:autoSpaceDE/>
        <w:autoSpaceDN/>
        <w:bidi w:val="0"/>
        <w:adjustRightInd/>
        <w:snapToGrid/>
        <w:spacing w:line="440" w:lineRule="exact"/>
        <w:ind w:firstLine="420" w:firstLineChars="200"/>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9.2 除技术性能另有规定外，投标文件所使用的度量衡单位，均须采用国家法定计量单位。</w:t>
      </w:r>
    </w:p>
    <w:p w14:paraId="6CB24B48">
      <w:pPr>
        <w:keepNext w:val="0"/>
        <w:keepLines w:val="0"/>
        <w:pageBreakBefore w:val="0"/>
        <w:widowControl w:val="0"/>
        <w:kinsoku/>
        <w:wordWrap/>
        <w:overflowPunct/>
        <w:topLinePunct w:val="0"/>
        <w:autoSpaceDE/>
        <w:autoSpaceDN/>
        <w:bidi w:val="0"/>
        <w:adjustRightInd/>
        <w:snapToGrid/>
        <w:spacing w:line="440" w:lineRule="exact"/>
        <w:ind w:firstLine="422" w:firstLineChars="200"/>
        <w:textAlignment w:val="auto"/>
        <w:rPr>
          <w:rFonts w:hint="eastAsia" w:ascii="宋体" w:hAnsi="宋体" w:eastAsia="宋体" w:cs="宋体"/>
          <w:b/>
          <w:bCs/>
          <w:color w:val="auto"/>
          <w:sz w:val="21"/>
          <w:szCs w:val="21"/>
          <w:highlight w:val="none"/>
          <w:lang w:val="en-US" w:eastAsia="zh-CN"/>
        </w:rPr>
      </w:pPr>
      <w:bookmarkStart w:id="95" w:name="_Toc16938531"/>
      <w:bookmarkStart w:id="96" w:name="_Toc20823287"/>
      <w:bookmarkStart w:id="97" w:name="_Toc513029215"/>
      <w:bookmarkStart w:id="98" w:name="_Toc462564074"/>
      <w:r>
        <w:rPr>
          <w:rFonts w:hint="eastAsia" w:ascii="宋体" w:hAnsi="宋体" w:eastAsia="宋体" w:cs="宋体"/>
          <w:b/>
          <w:bCs/>
          <w:color w:val="auto"/>
          <w:sz w:val="21"/>
          <w:szCs w:val="21"/>
          <w:highlight w:val="none"/>
          <w:lang w:val="en-US" w:eastAsia="zh-CN"/>
        </w:rPr>
        <w:t>10.投标文件构成</w:t>
      </w:r>
      <w:bookmarkEnd w:id="95"/>
      <w:bookmarkEnd w:id="96"/>
      <w:bookmarkEnd w:id="97"/>
      <w:bookmarkEnd w:id="98"/>
    </w:p>
    <w:p w14:paraId="62D1EEFE">
      <w:pPr>
        <w:keepNext w:val="0"/>
        <w:keepLines w:val="0"/>
        <w:pageBreakBefore w:val="0"/>
        <w:widowControl w:val="0"/>
        <w:kinsoku/>
        <w:wordWrap/>
        <w:overflowPunct/>
        <w:topLinePunct w:val="0"/>
        <w:autoSpaceDE/>
        <w:autoSpaceDN/>
        <w:bidi w:val="0"/>
        <w:adjustRightInd/>
        <w:snapToGrid/>
        <w:spacing w:line="440" w:lineRule="exact"/>
        <w:ind w:firstLine="420" w:firstLineChars="200"/>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10.1 投标人编写的投标文件应包括资格证明文件、符合性证明文件、投标分项报价表、技术要求响应及偏离表、商务要求响应及偏离表、其他证明文件、投标函、开标一览表等部分。</w:t>
      </w:r>
    </w:p>
    <w:p w14:paraId="1C125815">
      <w:pPr>
        <w:keepNext w:val="0"/>
        <w:keepLines w:val="0"/>
        <w:pageBreakBefore w:val="0"/>
        <w:widowControl w:val="0"/>
        <w:kinsoku/>
        <w:wordWrap/>
        <w:overflowPunct/>
        <w:topLinePunct w:val="0"/>
        <w:autoSpaceDE/>
        <w:autoSpaceDN/>
        <w:bidi w:val="0"/>
        <w:adjustRightInd/>
        <w:snapToGrid/>
        <w:spacing w:line="440" w:lineRule="exact"/>
        <w:ind w:firstLine="420" w:firstLineChars="200"/>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10.2 如标书制作工具中格式和内容与“江苏政府采购网”发布的招标文件不一致，请以“江苏政府采购网”发布的招标文件为准。</w:t>
      </w:r>
    </w:p>
    <w:p w14:paraId="065AC2AC">
      <w:pPr>
        <w:keepNext w:val="0"/>
        <w:keepLines w:val="0"/>
        <w:pageBreakBefore w:val="0"/>
        <w:widowControl w:val="0"/>
        <w:kinsoku/>
        <w:wordWrap/>
        <w:overflowPunct/>
        <w:topLinePunct w:val="0"/>
        <w:autoSpaceDE/>
        <w:autoSpaceDN/>
        <w:bidi w:val="0"/>
        <w:adjustRightInd/>
        <w:snapToGrid/>
        <w:spacing w:line="440" w:lineRule="exact"/>
        <w:ind w:firstLine="422" w:firstLineChars="200"/>
        <w:textAlignment w:val="auto"/>
        <w:rPr>
          <w:rFonts w:hint="eastAsia" w:ascii="宋体" w:hAnsi="宋体" w:eastAsia="宋体" w:cs="宋体"/>
          <w:b/>
          <w:bCs/>
          <w:color w:val="auto"/>
          <w:sz w:val="21"/>
          <w:szCs w:val="21"/>
          <w:highlight w:val="none"/>
          <w:lang w:val="en-US" w:eastAsia="zh-CN"/>
        </w:rPr>
      </w:pPr>
      <w:bookmarkStart w:id="99" w:name="_Hlt26954838"/>
      <w:bookmarkEnd w:id="99"/>
      <w:bookmarkStart w:id="100" w:name="_Hlt26670360"/>
      <w:bookmarkEnd w:id="100"/>
      <w:bookmarkStart w:id="101" w:name="_Hlt26668975"/>
      <w:bookmarkEnd w:id="101"/>
      <w:bookmarkStart w:id="102" w:name="_Toc513029219"/>
      <w:bookmarkStart w:id="103" w:name="_Toc14577357"/>
      <w:bookmarkStart w:id="104" w:name="_Toc49090509"/>
      <w:bookmarkStart w:id="105" w:name="_Toc513029216"/>
      <w:bookmarkStart w:id="106" w:name="_Toc14577354"/>
      <w:bookmarkStart w:id="107" w:name="_Toc49090507"/>
      <w:bookmarkStart w:id="108" w:name="_Toc14577355"/>
      <w:bookmarkStart w:id="109" w:name="_Toc49090508"/>
      <w:r>
        <w:rPr>
          <w:rFonts w:hint="eastAsia" w:ascii="宋体" w:hAnsi="宋体" w:eastAsia="宋体" w:cs="宋体"/>
          <w:b/>
          <w:bCs/>
          <w:color w:val="auto"/>
          <w:sz w:val="21"/>
          <w:szCs w:val="21"/>
          <w:highlight w:val="none"/>
          <w:lang w:val="en-US" w:eastAsia="zh-CN"/>
        </w:rPr>
        <w:t>11.证明投标人及投标标的符合招标文件规定的文件</w:t>
      </w:r>
      <w:bookmarkEnd w:id="102"/>
      <w:bookmarkEnd w:id="103"/>
      <w:bookmarkEnd w:id="104"/>
    </w:p>
    <w:bookmarkEnd w:id="105"/>
    <w:bookmarkEnd w:id="106"/>
    <w:bookmarkEnd w:id="107"/>
    <w:p w14:paraId="241415DD">
      <w:pPr>
        <w:keepNext w:val="0"/>
        <w:keepLines w:val="0"/>
        <w:pageBreakBefore w:val="0"/>
        <w:widowControl w:val="0"/>
        <w:kinsoku/>
        <w:wordWrap/>
        <w:overflowPunct/>
        <w:topLinePunct w:val="0"/>
        <w:autoSpaceDE/>
        <w:autoSpaceDN/>
        <w:bidi w:val="0"/>
        <w:adjustRightInd/>
        <w:snapToGrid/>
        <w:spacing w:line="440" w:lineRule="exact"/>
        <w:ind w:firstLine="420" w:firstLineChars="200"/>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11.1 投标人应按照招标文件要求提交证明文件，证明其及投标标的符合招标文件规定。</w:t>
      </w:r>
    </w:p>
    <w:p w14:paraId="361A2938">
      <w:pPr>
        <w:keepNext w:val="0"/>
        <w:keepLines w:val="0"/>
        <w:pageBreakBefore w:val="0"/>
        <w:widowControl w:val="0"/>
        <w:kinsoku/>
        <w:wordWrap/>
        <w:overflowPunct/>
        <w:topLinePunct w:val="0"/>
        <w:autoSpaceDE/>
        <w:autoSpaceDN/>
        <w:bidi w:val="0"/>
        <w:adjustRightInd/>
        <w:snapToGrid/>
        <w:spacing w:line="440" w:lineRule="exact"/>
        <w:ind w:firstLine="420" w:firstLineChars="200"/>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11.2招标文件对证明文件无明确形式要求的，证明文件可以以文字资料、图纸和数据等形式提交。</w:t>
      </w:r>
    </w:p>
    <w:bookmarkEnd w:id="108"/>
    <w:bookmarkEnd w:id="109"/>
    <w:p w14:paraId="7F2A5565">
      <w:pPr>
        <w:keepNext w:val="0"/>
        <w:keepLines w:val="0"/>
        <w:pageBreakBefore w:val="0"/>
        <w:widowControl w:val="0"/>
        <w:kinsoku/>
        <w:wordWrap/>
        <w:overflowPunct/>
        <w:topLinePunct w:val="0"/>
        <w:autoSpaceDE/>
        <w:autoSpaceDN/>
        <w:bidi w:val="0"/>
        <w:adjustRightInd/>
        <w:snapToGrid/>
        <w:spacing w:line="440" w:lineRule="exact"/>
        <w:ind w:firstLine="422" w:firstLineChars="200"/>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12.投标分项报价表</w:t>
      </w:r>
    </w:p>
    <w:p w14:paraId="2A0D5D6F">
      <w:pPr>
        <w:keepNext w:val="0"/>
        <w:keepLines w:val="0"/>
        <w:pageBreakBefore w:val="0"/>
        <w:widowControl w:val="0"/>
        <w:kinsoku/>
        <w:wordWrap/>
        <w:overflowPunct/>
        <w:topLinePunct w:val="0"/>
        <w:autoSpaceDE/>
        <w:autoSpaceDN/>
        <w:bidi w:val="0"/>
        <w:adjustRightInd/>
        <w:snapToGrid/>
        <w:spacing w:line="440" w:lineRule="exact"/>
        <w:ind w:firstLine="420" w:firstLineChars="200"/>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12.1 投标人应按照招标文件规定格式填报投标分项报价表。</w:t>
      </w:r>
    </w:p>
    <w:p w14:paraId="1B17E2FB">
      <w:pPr>
        <w:keepNext w:val="0"/>
        <w:keepLines w:val="0"/>
        <w:pageBreakBefore w:val="0"/>
        <w:widowControl w:val="0"/>
        <w:kinsoku/>
        <w:wordWrap/>
        <w:overflowPunct/>
        <w:topLinePunct w:val="0"/>
        <w:autoSpaceDE/>
        <w:autoSpaceDN/>
        <w:bidi w:val="0"/>
        <w:adjustRightInd/>
        <w:snapToGrid/>
        <w:spacing w:line="440" w:lineRule="exact"/>
        <w:ind w:firstLine="420" w:firstLineChars="200"/>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12.2投标货币。投标文件中的单价和总价无特殊规定的采用人民币报价，以元为单位标注。招标文件中另有规定的按规定执行。</w:t>
      </w:r>
    </w:p>
    <w:p w14:paraId="1EDC2CDE">
      <w:pPr>
        <w:keepNext w:val="0"/>
        <w:keepLines w:val="0"/>
        <w:pageBreakBefore w:val="0"/>
        <w:widowControl w:val="0"/>
        <w:kinsoku/>
        <w:wordWrap/>
        <w:overflowPunct/>
        <w:topLinePunct w:val="0"/>
        <w:autoSpaceDE/>
        <w:autoSpaceDN/>
        <w:bidi w:val="0"/>
        <w:adjustRightInd/>
        <w:snapToGrid/>
        <w:spacing w:line="440" w:lineRule="exact"/>
        <w:ind w:firstLine="422" w:firstLineChars="200"/>
        <w:textAlignment w:val="auto"/>
        <w:rPr>
          <w:rFonts w:hint="eastAsia" w:ascii="宋体" w:hAnsi="宋体" w:eastAsia="宋体" w:cs="宋体"/>
          <w:color w:val="auto"/>
          <w:sz w:val="21"/>
          <w:szCs w:val="21"/>
          <w:highlight w:val="none"/>
          <w:lang w:val="en-US" w:eastAsia="zh-CN"/>
        </w:rPr>
      </w:pPr>
      <w:bookmarkStart w:id="110" w:name="_Hlt26954846"/>
      <w:bookmarkEnd w:id="110"/>
      <w:bookmarkStart w:id="111" w:name="_Hlt26670486"/>
      <w:bookmarkEnd w:id="111"/>
      <w:bookmarkStart w:id="112" w:name="_Hlt26954848"/>
      <w:bookmarkEnd w:id="112"/>
      <w:bookmarkStart w:id="113" w:name="_Hlt26954731"/>
      <w:bookmarkEnd w:id="113"/>
      <w:bookmarkStart w:id="114" w:name="_Hlt26670482"/>
      <w:bookmarkEnd w:id="114"/>
      <w:r>
        <w:rPr>
          <w:rFonts w:hint="eastAsia" w:ascii="宋体" w:hAnsi="宋体" w:eastAsia="宋体" w:cs="宋体"/>
          <w:b/>
          <w:bCs/>
          <w:color w:val="auto"/>
          <w:sz w:val="21"/>
          <w:szCs w:val="21"/>
          <w:highlight w:val="none"/>
          <w:lang w:val="en-US" w:eastAsia="zh-CN"/>
        </w:rPr>
        <w:t>13.技术要求响应及偏离表、商务要求响应及偏离表</w:t>
      </w:r>
    </w:p>
    <w:p w14:paraId="71D9A9B6">
      <w:pPr>
        <w:keepNext w:val="0"/>
        <w:keepLines w:val="0"/>
        <w:pageBreakBefore w:val="0"/>
        <w:widowControl w:val="0"/>
        <w:kinsoku/>
        <w:wordWrap/>
        <w:overflowPunct/>
        <w:topLinePunct w:val="0"/>
        <w:autoSpaceDE/>
        <w:autoSpaceDN/>
        <w:bidi w:val="0"/>
        <w:adjustRightInd/>
        <w:snapToGrid/>
        <w:spacing w:line="440" w:lineRule="exact"/>
        <w:ind w:firstLine="420" w:firstLineChars="200"/>
        <w:textAlignment w:val="auto"/>
        <w:rPr>
          <w:rFonts w:hint="eastAsia" w:ascii="宋体" w:hAnsi="宋体" w:eastAsia="宋体" w:cs="宋体"/>
          <w:color w:val="auto"/>
          <w:sz w:val="21"/>
          <w:szCs w:val="21"/>
          <w:highlight w:val="none"/>
          <w:lang w:val="zh-CN" w:eastAsia="zh-CN"/>
        </w:rPr>
      </w:pPr>
      <w:r>
        <w:rPr>
          <w:rFonts w:hint="eastAsia" w:ascii="宋体" w:hAnsi="宋体" w:eastAsia="宋体" w:cs="宋体"/>
          <w:color w:val="auto"/>
          <w:sz w:val="21"/>
          <w:szCs w:val="21"/>
          <w:highlight w:val="none"/>
          <w:lang w:val="zh-CN" w:eastAsia="zh-CN"/>
        </w:rPr>
        <w:t>13.1 投标人对招标文件中的技术要求与商务要求，如有偏离，在偏离表中逐条说明，并说明原因。</w:t>
      </w:r>
    </w:p>
    <w:p w14:paraId="1501EFA4">
      <w:pPr>
        <w:keepNext w:val="0"/>
        <w:keepLines w:val="0"/>
        <w:pageBreakBefore w:val="0"/>
        <w:widowControl w:val="0"/>
        <w:kinsoku/>
        <w:wordWrap/>
        <w:overflowPunct/>
        <w:topLinePunct w:val="0"/>
        <w:autoSpaceDE/>
        <w:autoSpaceDN/>
        <w:bidi w:val="0"/>
        <w:adjustRightInd/>
        <w:snapToGrid/>
        <w:spacing w:line="440" w:lineRule="exact"/>
        <w:ind w:firstLine="420" w:firstLineChars="200"/>
        <w:textAlignment w:val="auto"/>
        <w:rPr>
          <w:rFonts w:hint="eastAsia" w:ascii="宋体" w:hAnsi="宋体" w:eastAsia="宋体" w:cs="宋体"/>
          <w:color w:val="auto"/>
          <w:sz w:val="21"/>
          <w:szCs w:val="21"/>
          <w:highlight w:val="none"/>
          <w:lang w:val="zh-CN" w:eastAsia="zh-CN"/>
        </w:rPr>
      </w:pPr>
      <w:r>
        <w:rPr>
          <w:rFonts w:hint="eastAsia" w:ascii="宋体" w:hAnsi="宋体" w:eastAsia="宋体" w:cs="宋体"/>
          <w:color w:val="auto"/>
          <w:sz w:val="21"/>
          <w:szCs w:val="21"/>
          <w:highlight w:val="none"/>
          <w:lang w:val="zh-CN" w:eastAsia="zh-CN"/>
        </w:rPr>
        <w:t>13.2 投标人可在投标文件中提供认为需要的其他技术文件或说明。</w:t>
      </w:r>
    </w:p>
    <w:p w14:paraId="0603A6B0">
      <w:pPr>
        <w:keepNext w:val="0"/>
        <w:keepLines w:val="0"/>
        <w:pageBreakBefore w:val="0"/>
        <w:widowControl w:val="0"/>
        <w:kinsoku/>
        <w:wordWrap/>
        <w:overflowPunct/>
        <w:topLinePunct w:val="0"/>
        <w:autoSpaceDE/>
        <w:autoSpaceDN/>
        <w:bidi w:val="0"/>
        <w:adjustRightInd/>
        <w:snapToGrid/>
        <w:spacing w:line="440" w:lineRule="exact"/>
        <w:ind w:firstLine="422" w:firstLineChars="200"/>
        <w:textAlignment w:val="auto"/>
        <w:rPr>
          <w:rFonts w:hint="eastAsia" w:ascii="宋体" w:hAnsi="宋体" w:eastAsia="宋体" w:cs="宋体"/>
          <w:color w:val="auto"/>
          <w:sz w:val="21"/>
          <w:szCs w:val="21"/>
          <w:highlight w:val="none"/>
          <w:lang w:val="en-US" w:eastAsia="zh-CN"/>
        </w:rPr>
      </w:pPr>
      <w:bookmarkStart w:id="115" w:name="_Toc14577359"/>
      <w:bookmarkStart w:id="116" w:name="_Toc49090510"/>
      <w:r>
        <w:rPr>
          <w:rFonts w:hint="eastAsia" w:ascii="宋体" w:hAnsi="宋体" w:eastAsia="宋体" w:cs="宋体"/>
          <w:b/>
          <w:bCs/>
          <w:color w:val="auto"/>
          <w:sz w:val="21"/>
          <w:szCs w:val="21"/>
          <w:highlight w:val="none"/>
          <w:lang w:val="en-US" w:eastAsia="zh-CN"/>
        </w:rPr>
        <w:t>14.服务承诺、培训计划、人员安排及其他</w:t>
      </w:r>
    </w:p>
    <w:p w14:paraId="76D6C748">
      <w:pPr>
        <w:keepNext w:val="0"/>
        <w:keepLines w:val="0"/>
        <w:pageBreakBefore w:val="0"/>
        <w:widowControl w:val="0"/>
        <w:kinsoku/>
        <w:wordWrap/>
        <w:overflowPunct/>
        <w:topLinePunct w:val="0"/>
        <w:autoSpaceDE/>
        <w:autoSpaceDN/>
        <w:bidi w:val="0"/>
        <w:adjustRightInd/>
        <w:snapToGrid/>
        <w:spacing w:line="440" w:lineRule="exact"/>
        <w:ind w:firstLine="420" w:firstLineChars="200"/>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14.1 投标人需根据招标文件要求提供有关售后服务的管理制度，售后服务机构的分布情况，售后服务人员的数量、素质、技术水平及售后服务的反应能力等。</w:t>
      </w:r>
    </w:p>
    <w:p w14:paraId="5DC343E8">
      <w:pPr>
        <w:keepNext w:val="0"/>
        <w:keepLines w:val="0"/>
        <w:pageBreakBefore w:val="0"/>
        <w:widowControl w:val="0"/>
        <w:kinsoku/>
        <w:wordWrap/>
        <w:overflowPunct/>
        <w:topLinePunct w:val="0"/>
        <w:autoSpaceDE/>
        <w:autoSpaceDN/>
        <w:bidi w:val="0"/>
        <w:adjustRightInd/>
        <w:snapToGrid/>
        <w:spacing w:line="440" w:lineRule="exact"/>
        <w:ind w:firstLine="420" w:firstLineChars="200"/>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14.2 投标人需根据招标文件要求提供培训计划。</w:t>
      </w:r>
    </w:p>
    <w:p w14:paraId="11980EDD">
      <w:pPr>
        <w:keepNext w:val="0"/>
        <w:keepLines w:val="0"/>
        <w:pageBreakBefore w:val="0"/>
        <w:widowControl w:val="0"/>
        <w:kinsoku/>
        <w:wordWrap/>
        <w:overflowPunct/>
        <w:topLinePunct w:val="0"/>
        <w:autoSpaceDE/>
        <w:autoSpaceDN/>
        <w:bidi w:val="0"/>
        <w:adjustRightInd/>
        <w:snapToGrid/>
        <w:spacing w:line="440" w:lineRule="exact"/>
        <w:ind w:firstLine="420" w:firstLineChars="200"/>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14.3投标人需根据招标文件要求提供所投标的的主要组成部分、功能设计、实现思路及关键技术等。</w:t>
      </w:r>
    </w:p>
    <w:p w14:paraId="17E21F42">
      <w:pPr>
        <w:keepNext w:val="0"/>
        <w:keepLines w:val="0"/>
        <w:pageBreakBefore w:val="0"/>
        <w:widowControl w:val="0"/>
        <w:kinsoku/>
        <w:wordWrap/>
        <w:overflowPunct/>
        <w:topLinePunct w:val="0"/>
        <w:autoSpaceDE/>
        <w:autoSpaceDN/>
        <w:bidi w:val="0"/>
        <w:adjustRightInd/>
        <w:snapToGrid/>
        <w:spacing w:line="440" w:lineRule="exact"/>
        <w:ind w:firstLine="422" w:firstLineChars="200"/>
        <w:textAlignment w:val="auto"/>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15.投标函和开标一览表</w:t>
      </w:r>
    </w:p>
    <w:p w14:paraId="39E277E6">
      <w:pPr>
        <w:keepNext w:val="0"/>
        <w:keepLines w:val="0"/>
        <w:pageBreakBefore w:val="0"/>
        <w:widowControl w:val="0"/>
        <w:kinsoku/>
        <w:wordWrap/>
        <w:overflowPunct/>
        <w:topLinePunct w:val="0"/>
        <w:autoSpaceDE/>
        <w:autoSpaceDN/>
        <w:bidi w:val="0"/>
        <w:adjustRightInd/>
        <w:snapToGrid/>
        <w:spacing w:line="440" w:lineRule="exact"/>
        <w:ind w:firstLine="420" w:firstLineChars="200"/>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15.1 投标人应按照招标文件中提供的格式完整、正确填写投标函、开标一览表。</w:t>
      </w:r>
    </w:p>
    <w:p w14:paraId="25AA6E55">
      <w:pPr>
        <w:keepNext w:val="0"/>
        <w:keepLines w:val="0"/>
        <w:pageBreakBefore w:val="0"/>
        <w:widowControl w:val="0"/>
        <w:kinsoku/>
        <w:wordWrap/>
        <w:overflowPunct/>
        <w:topLinePunct w:val="0"/>
        <w:autoSpaceDE/>
        <w:autoSpaceDN/>
        <w:bidi w:val="0"/>
        <w:adjustRightInd/>
        <w:snapToGrid/>
        <w:spacing w:line="440" w:lineRule="exact"/>
        <w:ind w:firstLine="420" w:firstLineChars="200"/>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15.2 对于采用货币报价的项目，开标一览表中的投标总报价应与投标分项报价表中的投标总报价一致，如不一致，不作为无效投标处理，但评标时按开标一览表中价格为准。</w:t>
      </w:r>
    </w:p>
    <w:bookmarkEnd w:id="115"/>
    <w:bookmarkEnd w:id="116"/>
    <w:p w14:paraId="73C0DFEA">
      <w:pPr>
        <w:keepNext w:val="0"/>
        <w:keepLines w:val="0"/>
        <w:pageBreakBefore w:val="0"/>
        <w:widowControl w:val="0"/>
        <w:kinsoku/>
        <w:wordWrap/>
        <w:overflowPunct/>
        <w:topLinePunct w:val="0"/>
        <w:autoSpaceDE/>
        <w:autoSpaceDN/>
        <w:bidi w:val="0"/>
        <w:adjustRightInd/>
        <w:snapToGrid/>
        <w:spacing w:line="440" w:lineRule="exact"/>
        <w:ind w:firstLine="422" w:firstLineChars="200"/>
        <w:textAlignment w:val="auto"/>
        <w:rPr>
          <w:rFonts w:hint="eastAsia" w:ascii="宋体" w:hAnsi="宋体" w:eastAsia="宋体" w:cs="宋体"/>
          <w:color w:val="auto"/>
          <w:sz w:val="21"/>
          <w:szCs w:val="21"/>
          <w:highlight w:val="none"/>
          <w:lang w:val="en-US" w:eastAsia="zh-CN"/>
        </w:rPr>
      </w:pPr>
      <w:bookmarkStart w:id="117" w:name="_Toc14577360"/>
      <w:bookmarkStart w:id="118" w:name="_Toc49090511"/>
      <w:r>
        <w:rPr>
          <w:rFonts w:hint="eastAsia" w:ascii="宋体" w:hAnsi="宋体" w:eastAsia="宋体" w:cs="宋体"/>
          <w:b/>
          <w:bCs/>
          <w:color w:val="auto"/>
          <w:sz w:val="21"/>
          <w:szCs w:val="21"/>
          <w:highlight w:val="none"/>
          <w:lang w:val="en-US" w:eastAsia="zh-CN"/>
        </w:rPr>
        <w:t>16.投标有效期</w:t>
      </w:r>
      <w:bookmarkEnd w:id="117"/>
      <w:bookmarkEnd w:id="118"/>
    </w:p>
    <w:p w14:paraId="0FE5340D">
      <w:pPr>
        <w:keepNext w:val="0"/>
        <w:keepLines w:val="0"/>
        <w:pageBreakBefore w:val="0"/>
        <w:widowControl w:val="0"/>
        <w:kinsoku/>
        <w:wordWrap/>
        <w:overflowPunct/>
        <w:topLinePunct w:val="0"/>
        <w:autoSpaceDE/>
        <w:autoSpaceDN/>
        <w:bidi w:val="0"/>
        <w:adjustRightInd/>
        <w:snapToGrid/>
        <w:spacing w:line="440" w:lineRule="exact"/>
        <w:ind w:firstLine="420" w:firstLineChars="200"/>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16.1投标有效期为开标之日后</w:t>
      </w:r>
      <w:r>
        <w:rPr>
          <w:rFonts w:hint="eastAsia" w:ascii="宋体" w:hAnsi="宋体" w:eastAsia="宋体" w:cs="宋体"/>
          <w:i/>
          <w:iCs/>
          <w:color w:val="auto"/>
          <w:sz w:val="21"/>
          <w:szCs w:val="21"/>
          <w:highlight w:val="none"/>
          <w:u w:val="single"/>
          <w:lang w:val="en-US" w:eastAsia="zh-CN"/>
        </w:rPr>
        <w:t>九十（90）</w:t>
      </w:r>
      <w:r>
        <w:rPr>
          <w:rFonts w:hint="eastAsia" w:ascii="宋体" w:hAnsi="宋体" w:eastAsia="宋体" w:cs="宋体"/>
          <w:color w:val="auto"/>
          <w:sz w:val="21"/>
          <w:szCs w:val="21"/>
          <w:highlight w:val="none"/>
          <w:lang w:val="en-US" w:eastAsia="zh-CN"/>
        </w:rPr>
        <w:t>天。投标有效期比规定短的将被视为未实质性响应招标文件而予以拒绝。</w:t>
      </w:r>
    </w:p>
    <w:p w14:paraId="6332CDA9">
      <w:pPr>
        <w:keepNext w:val="0"/>
        <w:keepLines w:val="0"/>
        <w:pageBreakBefore w:val="0"/>
        <w:widowControl w:val="0"/>
        <w:kinsoku/>
        <w:wordWrap/>
        <w:overflowPunct/>
        <w:topLinePunct w:val="0"/>
        <w:autoSpaceDE/>
        <w:autoSpaceDN/>
        <w:bidi w:val="0"/>
        <w:adjustRightInd/>
        <w:snapToGrid/>
        <w:spacing w:line="440" w:lineRule="exact"/>
        <w:ind w:firstLine="422" w:firstLineChars="200"/>
        <w:textAlignment w:val="auto"/>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17.投标有效期的延长</w:t>
      </w:r>
    </w:p>
    <w:p w14:paraId="6CDF5C15">
      <w:pPr>
        <w:keepNext w:val="0"/>
        <w:keepLines w:val="0"/>
        <w:pageBreakBefore w:val="0"/>
        <w:widowControl w:val="0"/>
        <w:kinsoku/>
        <w:wordWrap/>
        <w:overflowPunct/>
        <w:topLinePunct w:val="0"/>
        <w:autoSpaceDE/>
        <w:autoSpaceDN/>
        <w:bidi w:val="0"/>
        <w:adjustRightInd/>
        <w:snapToGrid/>
        <w:spacing w:line="440" w:lineRule="exact"/>
        <w:ind w:firstLine="420" w:firstLineChars="200"/>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17.1在特殊情况下，采购人或采购代理机构于原投标有效期满之前，可向投标人提出延长投标有效期的要求。这种要求与答复均应采用书面形式。投标人可以拒绝采购人或采购代理机构的这一要求而放弃投标，同意延长投标有效期的投标人既不能要求也不允许修改其投标文件。受投标有效期约束的所有权利与义务均延长至新的有效期。</w:t>
      </w:r>
    </w:p>
    <w:p w14:paraId="59D4DDAC">
      <w:pPr>
        <w:keepNext w:val="0"/>
        <w:keepLines w:val="0"/>
        <w:pageBreakBefore w:val="0"/>
        <w:widowControl w:val="0"/>
        <w:kinsoku/>
        <w:wordWrap/>
        <w:overflowPunct/>
        <w:topLinePunct w:val="0"/>
        <w:autoSpaceDE/>
        <w:autoSpaceDN/>
        <w:bidi w:val="0"/>
        <w:adjustRightInd/>
        <w:snapToGrid/>
        <w:spacing w:line="440" w:lineRule="exact"/>
        <w:ind w:firstLine="422" w:firstLineChars="200"/>
        <w:textAlignment w:val="auto"/>
        <w:rPr>
          <w:rFonts w:hint="eastAsia" w:ascii="宋体" w:hAnsi="宋体" w:eastAsia="宋体" w:cs="宋体"/>
          <w:color w:val="auto"/>
          <w:sz w:val="21"/>
          <w:szCs w:val="21"/>
          <w:highlight w:val="none"/>
          <w:lang w:val="en-US" w:eastAsia="zh-CN"/>
        </w:rPr>
      </w:pPr>
      <w:bookmarkStart w:id="119" w:name="_Hlt26954852"/>
      <w:bookmarkEnd w:id="119"/>
      <w:bookmarkStart w:id="120" w:name="_Hlt26954739"/>
      <w:bookmarkEnd w:id="120"/>
      <w:bookmarkStart w:id="121" w:name="_Toc120614217"/>
      <w:bookmarkStart w:id="122" w:name="_Toc513029224"/>
      <w:bookmarkStart w:id="123" w:name="_Toc20823296"/>
      <w:bookmarkStart w:id="124" w:name="_Toc16938540"/>
      <w:r>
        <w:rPr>
          <w:rFonts w:hint="eastAsia" w:ascii="宋体" w:hAnsi="宋体" w:eastAsia="宋体" w:cs="宋体"/>
          <w:b/>
          <w:bCs/>
          <w:color w:val="auto"/>
          <w:sz w:val="21"/>
          <w:szCs w:val="21"/>
          <w:highlight w:val="none"/>
          <w:lang w:val="en-US" w:eastAsia="zh-CN"/>
        </w:rPr>
        <w:t>四、投标文件的递交</w:t>
      </w:r>
      <w:bookmarkEnd w:id="121"/>
      <w:bookmarkEnd w:id="122"/>
      <w:bookmarkEnd w:id="123"/>
      <w:bookmarkEnd w:id="124"/>
    </w:p>
    <w:p w14:paraId="22D35F21">
      <w:pPr>
        <w:keepNext w:val="0"/>
        <w:keepLines w:val="0"/>
        <w:pageBreakBefore w:val="0"/>
        <w:widowControl w:val="0"/>
        <w:kinsoku/>
        <w:wordWrap/>
        <w:overflowPunct/>
        <w:topLinePunct w:val="0"/>
        <w:autoSpaceDE/>
        <w:autoSpaceDN/>
        <w:bidi w:val="0"/>
        <w:adjustRightInd/>
        <w:snapToGrid/>
        <w:spacing w:line="440" w:lineRule="exact"/>
        <w:ind w:firstLine="422" w:firstLineChars="200"/>
        <w:textAlignment w:val="auto"/>
        <w:rPr>
          <w:rFonts w:hint="eastAsia" w:ascii="宋体" w:hAnsi="宋体" w:eastAsia="宋体" w:cs="宋体"/>
          <w:color w:val="auto"/>
          <w:sz w:val="21"/>
          <w:szCs w:val="21"/>
          <w:highlight w:val="none"/>
          <w:lang w:val="en-US" w:eastAsia="zh-CN"/>
        </w:rPr>
      </w:pPr>
      <w:bookmarkStart w:id="125" w:name="_Toc462564084"/>
      <w:bookmarkStart w:id="126" w:name="_Toc20823297"/>
      <w:bookmarkStart w:id="127" w:name="_Toc16938541"/>
      <w:bookmarkStart w:id="128" w:name="_Toc513029225"/>
      <w:r>
        <w:rPr>
          <w:rFonts w:hint="eastAsia" w:ascii="宋体" w:hAnsi="宋体" w:eastAsia="宋体" w:cs="宋体"/>
          <w:b/>
          <w:bCs/>
          <w:color w:val="auto"/>
          <w:sz w:val="21"/>
          <w:szCs w:val="21"/>
          <w:highlight w:val="none"/>
          <w:lang w:val="en-US" w:eastAsia="zh-CN"/>
        </w:rPr>
        <w:t>18.电子投标文件</w:t>
      </w:r>
      <w:bookmarkEnd w:id="125"/>
      <w:bookmarkEnd w:id="126"/>
      <w:bookmarkEnd w:id="127"/>
      <w:bookmarkEnd w:id="128"/>
      <w:r>
        <w:rPr>
          <w:rFonts w:hint="eastAsia" w:ascii="宋体" w:hAnsi="宋体" w:eastAsia="宋体" w:cs="宋体"/>
          <w:b/>
          <w:bCs/>
          <w:color w:val="auto"/>
          <w:sz w:val="21"/>
          <w:szCs w:val="21"/>
          <w:highlight w:val="none"/>
          <w:lang w:val="en-US" w:eastAsia="zh-CN"/>
        </w:rPr>
        <w:t>的递交</w:t>
      </w:r>
    </w:p>
    <w:p w14:paraId="625F355E">
      <w:pPr>
        <w:keepNext w:val="0"/>
        <w:keepLines w:val="0"/>
        <w:pageBreakBefore w:val="0"/>
        <w:widowControl w:val="0"/>
        <w:kinsoku/>
        <w:wordWrap/>
        <w:overflowPunct/>
        <w:topLinePunct w:val="0"/>
        <w:autoSpaceDE/>
        <w:autoSpaceDN/>
        <w:bidi w:val="0"/>
        <w:adjustRightInd/>
        <w:snapToGrid/>
        <w:spacing w:line="440" w:lineRule="exact"/>
        <w:ind w:firstLine="420" w:firstLineChars="200"/>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18.1投标人应当按照《操作手册》规定，在投标截止时间前制作并上传电子投标</w:t>
      </w:r>
    </w:p>
    <w:p w14:paraId="1DD74888">
      <w:pPr>
        <w:keepNext w:val="0"/>
        <w:keepLines w:val="0"/>
        <w:pageBreakBefore w:val="0"/>
        <w:widowControl w:val="0"/>
        <w:kinsoku/>
        <w:wordWrap/>
        <w:overflowPunct/>
        <w:topLinePunct w:val="0"/>
        <w:autoSpaceDE/>
        <w:autoSpaceDN/>
        <w:bidi w:val="0"/>
        <w:adjustRightInd/>
        <w:snapToGrid/>
        <w:spacing w:line="440" w:lineRule="exact"/>
        <w:ind w:firstLine="420" w:firstLineChars="200"/>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文件。</w:t>
      </w:r>
      <w:bookmarkStart w:id="129" w:name="_Toc16938542"/>
      <w:bookmarkStart w:id="130" w:name="_Toc513029226"/>
      <w:bookmarkStart w:id="131" w:name="_Toc20823298"/>
    </w:p>
    <w:p w14:paraId="6EDD3274">
      <w:pPr>
        <w:keepNext w:val="0"/>
        <w:keepLines w:val="0"/>
        <w:pageBreakBefore w:val="0"/>
        <w:widowControl w:val="0"/>
        <w:kinsoku/>
        <w:wordWrap/>
        <w:overflowPunct/>
        <w:topLinePunct w:val="0"/>
        <w:autoSpaceDE/>
        <w:autoSpaceDN/>
        <w:bidi w:val="0"/>
        <w:adjustRightInd/>
        <w:snapToGrid/>
        <w:spacing w:line="440" w:lineRule="exact"/>
        <w:ind w:firstLine="420" w:firstLineChars="200"/>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18.2中标人在领取中标通知书之前，必须提供三份与电子投标文件一致的纸质打印投标文件并且加盖投标人公章。</w:t>
      </w:r>
    </w:p>
    <w:p w14:paraId="711C5629">
      <w:pPr>
        <w:keepNext w:val="0"/>
        <w:keepLines w:val="0"/>
        <w:pageBreakBefore w:val="0"/>
        <w:widowControl w:val="0"/>
        <w:kinsoku/>
        <w:wordWrap/>
        <w:overflowPunct/>
        <w:topLinePunct w:val="0"/>
        <w:autoSpaceDE/>
        <w:autoSpaceDN/>
        <w:bidi w:val="0"/>
        <w:adjustRightInd/>
        <w:snapToGrid/>
        <w:spacing w:line="440" w:lineRule="exact"/>
        <w:ind w:firstLine="422" w:firstLineChars="200"/>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19.投标截止日期</w:t>
      </w:r>
      <w:bookmarkEnd w:id="129"/>
      <w:bookmarkEnd w:id="130"/>
      <w:bookmarkEnd w:id="131"/>
    </w:p>
    <w:p w14:paraId="32E25C9E">
      <w:pPr>
        <w:keepNext w:val="0"/>
        <w:keepLines w:val="0"/>
        <w:pageBreakBefore w:val="0"/>
        <w:widowControl w:val="0"/>
        <w:kinsoku/>
        <w:wordWrap/>
        <w:overflowPunct/>
        <w:topLinePunct w:val="0"/>
        <w:autoSpaceDE/>
        <w:autoSpaceDN/>
        <w:bidi w:val="0"/>
        <w:adjustRightInd/>
        <w:snapToGrid/>
        <w:spacing w:line="440" w:lineRule="exact"/>
        <w:ind w:firstLine="422" w:firstLineChars="200"/>
        <w:textAlignment w:val="auto"/>
        <w:rPr>
          <w:rFonts w:hint="eastAsia" w:ascii="宋体" w:hAnsi="宋体" w:eastAsia="宋体" w:cs="宋体"/>
          <w:b/>
          <w:bCs/>
          <w:i/>
          <w:iCs/>
          <w:color w:val="auto"/>
          <w:sz w:val="21"/>
          <w:szCs w:val="21"/>
          <w:highlight w:val="none"/>
          <w:u w:val="single"/>
          <w:lang w:val="en-US" w:eastAsia="zh-CN"/>
        </w:rPr>
      </w:pPr>
      <w:r>
        <w:rPr>
          <w:rFonts w:hint="eastAsia" w:ascii="宋体" w:hAnsi="宋体" w:eastAsia="宋体" w:cs="宋体"/>
          <w:b/>
          <w:bCs/>
          <w:i/>
          <w:iCs/>
          <w:color w:val="auto"/>
          <w:sz w:val="21"/>
          <w:szCs w:val="21"/>
          <w:highlight w:val="none"/>
          <w:u w:val="single"/>
          <w:lang w:val="en-US" w:eastAsia="zh-CN"/>
        </w:rPr>
        <w:t>19.1 投标人上传电子投标文件的时间不得迟于招标公告中规定的投标截止时间。</w:t>
      </w:r>
    </w:p>
    <w:p w14:paraId="298338BC">
      <w:pPr>
        <w:keepNext w:val="0"/>
        <w:keepLines w:val="0"/>
        <w:pageBreakBefore w:val="0"/>
        <w:widowControl w:val="0"/>
        <w:kinsoku/>
        <w:wordWrap/>
        <w:overflowPunct/>
        <w:topLinePunct w:val="0"/>
        <w:autoSpaceDE/>
        <w:autoSpaceDN/>
        <w:bidi w:val="0"/>
        <w:adjustRightInd/>
        <w:snapToGrid/>
        <w:spacing w:line="440" w:lineRule="exact"/>
        <w:ind w:firstLine="420" w:firstLineChars="200"/>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投标人应充分考虑到网络环境、网络带宽等风险因素，如因投标人自身原因造成的电子投标文件上传不成功的按照本招标文件第二章第27.1.2条规定作无效投标处理。</w:t>
      </w:r>
    </w:p>
    <w:p w14:paraId="26F64E9D">
      <w:pPr>
        <w:keepNext w:val="0"/>
        <w:keepLines w:val="0"/>
        <w:pageBreakBefore w:val="0"/>
        <w:widowControl w:val="0"/>
        <w:kinsoku/>
        <w:wordWrap/>
        <w:overflowPunct/>
        <w:topLinePunct w:val="0"/>
        <w:autoSpaceDE/>
        <w:autoSpaceDN/>
        <w:bidi w:val="0"/>
        <w:adjustRightInd/>
        <w:snapToGrid/>
        <w:spacing w:line="440" w:lineRule="exact"/>
        <w:ind w:firstLine="420" w:firstLineChars="200"/>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19.2 采购人可以按照规定，通过修改招标文件酌情延长投标截止日期，在此情况下，投标人的所有权利和义务以及投标人受制的截止日期均应以延长后新的截止日期为准。</w:t>
      </w:r>
    </w:p>
    <w:p w14:paraId="04418F60">
      <w:pPr>
        <w:keepNext w:val="0"/>
        <w:keepLines w:val="0"/>
        <w:pageBreakBefore w:val="0"/>
        <w:widowControl w:val="0"/>
        <w:kinsoku/>
        <w:wordWrap/>
        <w:overflowPunct/>
        <w:topLinePunct w:val="0"/>
        <w:autoSpaceDE/>
        <w:autoSpaceDN/>
        <w:bidi w:val="0"/>
        <w:adjustRightInd/>
        <w:snapToGrid/>
        <w:spacing w:line="440" w:lineRule="exact"/>
        <w:ind w:firstLine="422" w:firstLineChars="200"/>
        <w:textAlignment w:val="auto"/>
        <w:rPr>
          <w:rFonts w:hint="eastAsia" w:ascii="宋体" w:hAnsi="宋体" w:eastAsia="宋体" w:cs="宋体"/>
          <w:b/>
          <w:bCs/>
          <w:color w:val="auto"/>
          <w:sz w:val="21"/>
          <w:szCs w:val="21"/>
          <w:highlight w:val="none"/>
          <w:lang w:val="en-US" w:eastAsia="zh-CN"/>
        </w:rPr>
      </w:pPr>
      <w:bookmarkStart w:id="132" w:name="_Toc20823299"/>
      <w:bookmarkStart w:id="133" w:name="_Toc16938543"/>
      <w:bookmarkStart w:id="134" w:name="_Toc513029227"/>
      <w:r>
        <w:rPr>
          <w:rFonts w:hint="eastAsia" w:ascii="宋体" w:hAnsi="宋体" w:eastAsia="宋体" w:cs="宋体"/>
          <w:b/>
          <w:bCs/>
          <w:color w:val="auto"/>
          <w:sz w:val="21"/>
          <w:szCs w:val="21"/>
          <w:highlight w:val="none"/>
          <w:lang w:val="en-US" w:eastAsia="zh-CN"/>
        </w:rPr>
        <w:t>20.投标文件</w:t>
      </w:r>
      <w:bookmarkEnd w:id="132"/>
      <w:bookmarkEnd w:id="133"/>
      <w:bookmarkEnd w:id="134"/>
      <w:r>
        <w:rPr>
          <w:rFonts w:hint="eastAsia" w:ascii="宋体" w:hAnsi="宋体" w:eastAsia="宋体" w:cs="宋体"/>
          <w:b/>
          <w:bCs/>
          <w:color w:val="auto"/>
          <w:sz w:val="21"/>
          <w:szCs w:val="21"/>
          <w:highlight w:val="none"/>
          <w:lang w:val="en-US" w:eastAsia="zh-CN"/>
        </w:rPr>
        <w:t>的拒收</w:t>
      </w:r>
    </w:p>
    <w:p w14:paraId="2C467FD0">
      <w:pPr>
        <w:keepNext w:val="0"/>
        <w:keepLines w:val="0"/>
        <w:pageBreakBefore w:val="0"/>
        <w:widowControl w:val="0"/>
        <w:kinsoku/>
        <w:wordWrap/>
        <w:overflowPunct/>
        <w:topLinePunct w:val="0"/>
        <w:autoSpaceDE/>
        <w:autoSpaceDN/>
        <w:bidi w:val="0"/>
        <w:adjustRightInd/>
        <w:snapToGrid/>
        <w:spacing w:line="440" w:lineRule="exact"/>
        <w:ind w:firstLine="420" w:firstLineChars="200"/>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20.1 采购人拒绝接收在其规定的投标截止时间后上传的任何投标文件。</w:t>
      </w:r>
    </w:p>
    <w:p w14:paraId="16CD922E">
      <w:pPr>
        <w:keepNext w:val="0"/>
        <w:keepLines w:val="0"/>
        <w:pageBreakBefore w:val="0"/>
        <w:widowControl w:val="0"/>
        <w:kinsoku/>
        <w:wordWrap/>
        <w:overflowPunct/>
        <w:topLinePunct w:val="0"/>
        <w:autoSpaceDE/>
        <w:autoSpaceDN/>
        <w:bidi w:val="0"/>
        <w:adjustRightInd/>
        <w:snapToGrid/>
        <w:spacing w:line="440" w:lineRule="exact"/>
        <w:ind w:firstLine="422" w:firstLineChars="200"/>
        <w:textAlignment w:val="auto"/>
        <w:rPr>
          <w:rFonts w:hint="eastAsia" w:ascii="宋体" w:hAnsi="宋体" w:eastAsia="宋体" w:cs="宋体"/>
          <w:color w:val="auto"/>
          <w:sz w:val="21"/>
          <w:szCs w:val="21"/>
          <w:highlight w:val="none"/>
          <w:lang w:val="en-US" w:eastAsia="zh-CN"/>
        </w:rPr>
      </w:pPr>
      <w:bookmarkStart w:id="135" w:name="_Toc16938544"/>
      <w:bookmarkStart w:id="136" w:name="_Toc20823300"/>
      <w:bookmarkStart w:id="137" w:name="_Toc513029228"/>
      <w:r>
        <w:rPr>
          <w:rFonts w:hint="eastAsia" w:ascii="宋体" w:hAnsi="宋体" w:eastAsia="宋体" w:cs="宋体"/>
          <w:b/>
          <w:bCs/>
          <w:color w:val="auto"/>
          <w:sz w:val="21"/>
          <w:szCs w:val="21"/>
          <w:highlight w:val="none"/>
          <w:lang w:val="en-US" w:eastAsia="zh-CN"/>
        </w:rPr>
        <w:t>21.投标文件的撤回和修改</w:t>
      </w:r>
      <w:bookmarkEnd w:id="135"/>
      <w:bookmarkEnd w:id="136"/>
      <w:bookmarkEnd w:id="137"/>
    </w:p>
    <w:p w14:paraId="5475B6F5">
      <w:pPr>
        <w:keepNext w:val="0"/>
        <w:keepLines w:val="0"/>
        <w:pageBreakBefore w:val="0"/>
        <w:widowControl w:val="0"/>
        <w:kinsoku/>
        <w:wordWrap/>
        <w:overflowPunct/>
        <w:topLinePunct w:val="0"/>
        <w:autoSpaceDE/>
        <w:autoSpaceDN/>
        <w:bidi w:val="0"/>
        <w:adjustRightInd/>
        <w:snapToGrid/>
        <w:spacing w:line="440" w:lineRule="exact"/>
        <w:ind w:firstLine="420" w:firstLineChars="200"/>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21.1 投标文件的撤回</w:t>
      </w:r>
    </w:p>
    <w:p w14:paraId="40B76BA8">
      <w:pPr>
        <w:keepNext w:val="0"/>
        <w:keepLines w:val="0"/>
        <w:pageBreakBefore w:val="0"/>
        <w:widowControl w:val="0"/>
        <w:kinsoku/>
        <w:wordWrap/>
        <w:overflowPunct/>
        <w:topLinePunct w:val="0"/>
        <w:autoSpaceDE/>
        <w:autoSpaceDN/>
        <w:bidi w:val="0"/>
        <w:adjustRightInd/>
        <w:snapToGrid/>
        <w:spacing w:line="440" w:lineRule="exact"/>
        <w:ind w:firstLine="420" w:firstLineChars="200"/>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21.1.1 电子投标文件的撤回</w:t>
      </w:r>
    </w:p>
    <w:p w14:paraId="0E2F952F">
      <w:pPr>
        <w:keepNext w:val="0"/>
        <w:keepLines w:val="0"/>
        <w:pageBreakBefore w:val="0"/>
        <w:widowControl w:val="0"/>
        <w:kinsoku/>
        <w:wordWrap/>
        <w:overflowPunct/>
        <w:topLinePunct w:val="0"/>
        <w:autoSpaceDE/>
        <w:autoSpaceDN/>
        <w:bidi w:val="0"/>
        <w:adjustRightInd/>
        <w:snapToGrid/>
        <w:spacing w:line="440" w:lineRule="exact"/>
        <w:ind w:firstLine="420" w:firstLineChars="200"/>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投标人可在投标截止时间前，撤回其电子投标文件，具体操作方法见《操作手册》。</w:t>
      </w:r>
    </w:p>
    <w:p w14:paraId="49172F52">
      <w:pPr>
        <w:keepNext w:val="0"/>
        <w:keepLines w:val="0"/>
        <w:pageBreakBefore w:val="0"/>
        <w:widowControl w:val="0"/>
        <w:kinsoku/>
        <w:wordWrap/>
        <w:overflowPunct/>
        <w:topLinePunct w:val="0"/>
        <w:autoSpaceDE/>
        <w:autoSpaceDN/>
        <w:bidi w:val="0"/>
        <w:adjustRightInd/>
        <w:snapToGrid/>
        <w:spacing w:line="440" w:lineRule="exact"/>
        <w:ind w:firstLine="420" w:firstLineChars="200"/>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21.1.2 投标人撤回电子投标文件，则认为其不再参与本项目投标活动。</w:t>
      </w:r>
    </w:p>
    <w:p w14:paraId="4A4FBBAA">
      <w:pPr>
        <w:keepNext w:val="0"/>
        <w:keepLines w:val="0"/>
        <w:pageBreakBefore w:val="0"/>
        <w:widowControl w:val="0"/>
        <w:kinsoku/>
        <w:wordWrap/>
        <w:overflowPunct/>
        <w:topLinePunct w:val="0"/>
        <w:autoSpaceDE/>
        <w:autoSpaceDN/>
        <w:bidi w:val="0"/>
        <w:adjustRightInd/>
        <w:snapToGrid/>
        <w:spacing w:line="440" w:lineRule="exact"/>
        <w:ind w:firstLine="420" w:firstLineChars="200"/>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21.2 投标文件的修改</w:t>
      </w:r>
    </w:p>
    <w:p w14:paraId="285C908A">
      <w:pPr>
        <w:keepNext w:val="0"/>
        <w:keepLines w:val="0"/>
        <w:pageBreakBefore w:val="0"/>
        <w:widowControl w:val="0"/>
        <w:kinsoku/>
        <w:wordWrap/>
        <w:overflowPunct/>
        <w:topLinePunct w:val="0"/>
        <w:autoSpaceDE/>
        <w:autoSpaceDN/>
        <w:bidi w:val="0"/>
        <w:adjustRightInd/>
        <w:snapToGrid/>
        <w:spacing w:line="440" w:lineRule="exact"/>
        <w:ind w:firstLine="420" w:firstLineChars="200"/>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21.2.1投标人可在投标截止时间前，对其电子投标文件进行修改，具体操作方法见《操作手册》。</w:t>
      </w:r>
    </w:p>
    <w:p w14:paraId="2F97A7D3">
      <w:pPr>
        <w:keepNext w:val="0"/>
        <w:keepLines w:val="0"/>
        <w:pageBreakBefore w:val="0"/>
        <w:widowControl w:val="0"/>
        <w:kinsoku/>
        <w:wordWrap/>
        <w:overflowPunct/>
        <w:topLinePunct w:val="0"/>
        <w:autoSpaceDE/>
        <w:autoSpaceDN/>
        <w:bidi w:val="0"/>
        <w:adjustRightInd/>
        <w:snapToGrid/>
        <w:spacing w:line="440" w:lineRule="exact"/>
        <w:ind w:firstLine="420" w:firstLineChars="200"/>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21.2.2 在投标截止时间之后，投标人不得对其电子投标文件作任何修改。</w:t>
      </w:r>
    </w:p>
    <w:p w14:paraId="614A4D74">
      <w:pPr>
        <w:keepNext w:val="0"/>
        <w:keepLines w:val="0"/>
        <w:pageBreakBefore w:val="0"/>
        <w:widowControl w:val="0"/>
        <w:kinsoku/>
        <w:wordWrap/>
        <w:overflowPunct/>
        <w:topLinePunct w:val="0"/>
        <w:autoSpaceDE/>
        <w:autoSpaceDN/>
        <w:bidi w:val="0"/>
        <w:adjustRightInd/>
        <w:snapToGrid/>
        <w:spacing w:line="440" w:lineRule="exact"/>
        <w:ind w:firstLine="420" w:firstLineChars="200"/>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21.3 在投标截止时间至招标文件中规定的投标有效期满之间的这段时间内，投标人不得撤回其投标。</w:t>
      </w:r>
    </w:p>
    <w:p w14:paraId="140AD703">
      <w:pPr>
        <w:keepNext w:val="0"/>
        <w:keepLines w:val="0"/>
        <w:pageBreakBefore w:val="0"/>
        <w:widowControl w:val="0"/>
        <w:kinsoku/>
        <w:wordWrap/>
        <w:overflowPunct/>
        <w:topLinePunct w:val="0"/>
        <w:autoSpaceDE/>
        <w:autoSpaceDN/>
        <w:bidi w:val="0"/>
        <w:adjustRightInd/>
        <w:snapToGrid/>
        <w:spacing w:line="440" w:lineRule="exact"/>
        <w:ind w:firstLine="422" w:firstLineChars="200"/>
        <w:textAlignment w:val="auto"/>
        <w:rPr>
          <w:rFonts w:hint="eastAsia" w:ascii="宋体" w:hAnsi="宋体" w:eastAsia="宋体" w:cs="宋体"/>
          <w:b/>
          <w:bCs/>
          <w:color w:val="auto"/>
          <w:sz w:val="21"/>
          <w:szCs w:val="21"/>
          <w:highlight w:val="none"/>
          <w:lang w:val="en-US" w:eastAsia="zh-CN"/>
        </w:rPr>
      </w:pPr>
      <w:bookmarkStart w:id="138" w:name="_Toc20823301"/>
      <w:bookmarkStart w:id="139" w:name="_Toc513029229"/>
      <w:bookmarkStart w:id="140" w:name="_Toc120614218"/>
      <w:bookmarkStart w:id="141" w:name="_Toc16938545"/>
      <w:r>
        <w:rPr>
          <w:rFonts w:hint="eastAsia" w:ascii="宋体" w:hAnsi="宋体" w:eastAsia="宋体" w:cs="宋体"/>
          <w:b/>
          <w:bCs/>
          <w:color w:val="auto"/>
          <w:sz w:val="21"/>
          <w:szCs w:val="21"/>
          <w:highlight w:val="none"/>
          <w:lang w:val="en-US" w:eastAsia="zh-CN"/>
        </w:rPr>
        <w:t>五、开标与评标</w:t>
      </w:r>
      <w:bookmarkEnd w:id="138"/>
      <w:bookmarkEnd w:id="139"/>
      <w:bookmarkEnd w:id="140"/>
      <w:bookmarkEnd w:id="141"/>
    </w:p>
    <w:p w14:paraId="7CAEC5DE">
      <w:pPr>
        <w:keepNext w:val="0"/>
        <w:keepLines w:val="0"/>
        <w:pageBreakBefore w:val="0"/>
        <w:widowControl w:val="0"/>
        <w:kinsoku/>
        <w:wordWrap/>
        <w:overflowPunct/>
        <w:topLinePunct w:val="0"/>
        <w:autoSpaceDE/>
        <w:autoSpaceDN/>
        <w:bidi w:val="0"/>
        <w:adjustRightInd/>
        <w:snapToGrid/>
        <w:spacing w:line="440" w:lineRule="exact"/>
        <w:ind w:firstLine="422" w:firstLineChars="200"/>
        <w:textAlignment w:val="auto"/>
        <w:rPr>
          <w:rFonts w:hint="eastAsia" w:ascii="宋体" w:hAnsi="宋体" w:eastAsia="宋体" w:cs="宋体"/>
          <w:b/>
          <w:bCs/>
          <w:color w:val="auto"/>
          <w:sz w:val="21"/>
          <w:szCs w:val="21"/>
          <w:highlight w:val="none"/>
          <w:lang w:val="en-US" w:eastAsia="zh-CN"/>
        </w:rPr>
      </w:pPr>
      <w:bookmarkStart w:id="142" w:name="_Toc513029230"/>
      <w:bookmarkStart w:id="143" w:name="_Toc20823302"/>
      <w:bookmarkStart w:id="144" w:name="_Toc16938546"/>
      <w:r>
        <w:rPr>
          <w:rFonts w:hint="eastAsia" w:ascii="宋体" w:hAnsi="宋体" w:eastAsia="宋体" w:cs="宋体"/>
          <w:b/>
          <w:bCs/>
          <w:color w:val="auto"/>
          <w:sz w:val="21"/>
          <w:szCs w:val="21"/>
          <w:highlight w:val="none"/>
          <w:lang w:val="en-US" w:eastAsia="zh-CN"/>
        </w:rPr>
        <w:t>22.开标</w:t>
      </w:r>
      <w:bookmarkEnd w:id="142"/>
      <w:bookmarkEnd w:id="143"/>
      <w:bookmarkEnd w:id="144"/>
    </w:p>
    <w:p w14:paraId="429F6194">
      <w:pPr>
        <w:keepNext w:val="0"/>
        <w:keepLines w:val="0"/>
        <w:pageBreakBefore w:val="0"/>
        <w:widowControl w:val="0"/>
        <w:kinsoku/>
        <w:wordWrap/>
        <w:overflowPunct/>
        <w:topLinePunct w:val="0"/>
        <w:autoSpaceDE/>
        <w:autoSpaceDN/>
        <w:bidi w:val="0"/>
        <w:adjustRightInd/>
        <w:snapToGrid/>
        <w:spacing w:line="440" w:lineRule="exact"/>
        <w:ind w:firstLine="420" w:firstLineChars="200"/>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22.1 采购人或采购代理机构将在招标公告中规定的时间和地点组织公开开标。投标人应当按照《操作手册》规定，参加开标活动和在苏采云系统规定的时间内对投标文件进行解密。</w:t>
      </w:r>
    </w:p>
    <w:p w14:paraId="28D70D99">
      <w:pPr>
        <w:keepNext w:val="0"/>
        <w:keepLines w:val="0"/>
        <w:pageBreakBefore w:val="0"/>
        <w:widowControl w:val="0"/>
        <w:kinsoku/>
        <w:wordWrap/>
        <w:overflowPunct/>
        <w:topLinePunct w:val="0"/>
        <w:autoSpaceDE/>
        <w:autoSpaceDN/>
        <w:bidi w:val="0"/>
        <w:adjustRightInd/>
        <w:snapToGrid/>
        <w:spacing w:line="440" w:lineRule="exact"/>
        <w:ind w:firstLine="420" w:firstLineChars="200"/>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22.2开标仪式由采购人组织。苏采云系统将自动对项目进行开标，并宣布各投标人名称和投标价格。</w:t>
      </w:r>
    </w:p>
    <w:p w14:paraId="03B89317">
      <w:pPr>
        <w:keepNext w:val="0"/>
        <w:keepLines w:val="0"/>
        <w:pageBreakBefore w:val="0"/>
        <w:widowControl w:val="0"/>
        <w:kinsoku/>
        <w:wordWrap/>
        <w:overflowPunct/>
        <w:topLinePunct w:val="0"/>
        <w:autoSpaceDE/>
        <w:autoSpaceDN/>
        <w:bidi w:val="0"/>
        <w:adjustRightInd/>
        <w:snapToGrid/>
        <w:spacing w:line="440" w:lineRule="exact"/>
        <w:ind w:firstLine="420" w:firstLineChars="200"/>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22.3投标人在开标过程中涉及的投标文件解密、开标结果确认等工作，应按照《操作手册》规定执行。</w:t>
      </w:r>
    </w:p>
    <w:p w14:paraId="4619BEAF">
      <w:pPr>
        <w:keepNext w:val="0"/>
        <w:keepLines w:val="0"/>
        <w:pageBreakBefore w:val="0"/>
        <w:widowControl w:val="0"/>
        <w:kinsoku/>
        <w:wordWrap/>
        <w:overflowPunct/>
        <w:topLinePunct w:val="0"/>
        <w:autoSpaceDE/>
        <w:autoSpaceDN/>
        <w:bidi w:val="0"/>
        <w:adjustRightInd/>
        <w:snapToGrid/>
        <w:spacing w:line="440" w:lineRule="exact"/>
        <w:ind w:firstLine="420" w:firstLineChars="200"/>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22.4投标人如果对开标过程和开标记录有疑义，应当根据《操作手册》规定提出，如 苏采云系统中《开标记录表》宣布后5分钟内未提出的，视同认可开标结果。</w:t>
      </w:r>
    </w:p>
    <w:p w14:paraId="6BBD5980">
      <w:pPr>
        <w:keepNext w:val="0"/>
        <w:keepLines w:val="0"/>
        <w:pageBreakBefore w:val="0"/>
        <w:widowControl w:val="0"/>
        <w:kinsoku/>
        <w:wordWrap/>
        <w:overflowPunct/>
        <w:topLinePunct w:val="0"/>
        <w:autoSpaceDE/>
        <w:autoSpaceDN/>
        <w:bidi w:val="0"/>
        <w:adjustRightInd/>
        <w:snapToGrid/>
        <w:spacing w:line="440" w:lineRule="exact"/>
        <w:ind w:firstLine="422" w:firstLineChars="200"/>
        <w:textAlignment w:val="auto"/>
        <w:rPr>
          <w:rFonts w:hint="eastAsia" w:ascii="宋体" w:hAnsi="宋体" w:eastAsia="宋体" w:cs="宋体"/>
          <w:b/>
          <w:bCs/>
          <w:color w:val="auto"/>
          <w:sz w:val="21"/>
          <w:szCs w:val="21"/>
          <w:highlight w:val="none"/>
          <w:lang w:val="en-US" w:eastAsia="zh-CN"/>
        </w:rPr>
      </w:pPr>
      <w:bookmarkStart w:id="145" w:name="_Toc513029231"/>
      <w:bookmarkStart w:id="146" w:name="_Toc20823303"/>
      <w:bookmarkStart w:id="147" w:name="_Toc16938547"/>
      <w:r>
        <w:rPr>
          <w:rFonts w:hint="eastAsia" w:ascii="宋体" w:hAnsi="宋体" w:eastAsia="宋体" w:cs="宋体"/>
          <w:b/>
          <w:bCs/>
          <w:color w:val="auto"/>
          <w:sz w:val="21"/>
          <w:szCs w:val="21"/>
          <w:highlight w:val="none"/>
          <w:lang w:val="en-US" w:eastAsia="zh-CN"/>
        </w:rPr>
        <w:t>23.评标委员会</w:t>
      </w:r>
    </w:p>
    <w:p w14:paraId="684321F9">
      <w:pPr>
        <w:keepNext w:val="0"/>
        <w:keepLines w:val="0"/>
        <w:pageBreakBefore w:val="0"/>
        <w:widowControl w:val="0"/>
        <w:kinsoku/>
        <w:wordWrap/>
        <w:overflowPunct/>
        <w:topLinePunct w:val="0"/>
        <w:autoSpaceDE/>
        <w:autoSpaceDN/>
        <w:bidi w:val="0"/>
        <w:adjustRightInd/>
        <w:snapToGrid/>
        <w:spacing w:line="440" w:lineRule="exact"/>
        <w:ind w:firstLine="420" w:firstLineChars="200"/>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23.1 开标后，采购人将立即组织评标委员会（以下简称评委会）进行评标。</w:t>
      </w:r>
    </w:p>
    <w:p w14:paraId="1D57DC0D">
      <w:pPr>
        <w:keepNext w:val="0"/>
        <w:keepLines w:val="0"/>
        <w:pageBreakBefore w:val="0"/>
        <w:widowControl w:val="0"/>
        <w:kinsoku/>
        <w:wordWrap/>
        <w:overflowPunct/>
        <w:topLinePunct w:val="0"/>
        <w:autoSpaceDE/>
        <w:autoSpaceDN/>
        <w:bidi w:val="0"/>
        <w:adjustRightInd/>
        <w:snapToGrid/>
        <w:spacing w:line="440" w:lineRule="exact"/>
        <w:ind w:firstLine="420" w:firstLineChars="200"/>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23.2 评委会由有关技术、经济等方面的专家组成，且人员构成符合政府采购有关规定。</w:t>
      </w:r>
    </w:p>
    <w:p w14:paraId="4514CF0C">
      <w:pPr>
        <w:keepNext w:val="0"/>
        <w:keepLines w:val="0"/>
        <w:pageBreakBefore w:val="0"/>
        <w:widowControl w:val="0"/>
        <w:kinsoku/>
        <w:wordWrap/>
        <w:overflowPunct/>
        <w:topLinePunct w:val="0"/>
        <w:autoSpaceDE/>
        <w:autoSpaceDN/>
        <w:bidi w:val="0"/>
        <w:adjustRightInd/>
        <w:snapToGrid/>
        <w:spacing w:line="440" w:lineRule="exact"/>
        <w:ind w:firstLine="420" w:firstLineChars="200"/>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23.3评委会独立工作，负责评审所有投标文件并确定中标候选人。</w:t>
      </w:r>
    </w:p>
    <w:p w14:paraId="099A93BF">
      <w:pPr>
        <w:keepNext w:val="0"/>
        <w:keepLines w:val="0"/>
        <w:pageBreakBefore w:val="0"/>
        <w:widowControl w:val="0"/>
        <w:kinsoku/>
        <w:wordWrap/>
        <w:overflowPunct/>
        <w:topLinePunct w:val="0"/>
        <w:autoSpaceDE/>
        <w:autoSpaceDN/>
        <w:bidi w:val="0"/>
        <w:adjustRightInd/>
        <w:snapToGrid/>
        <w:spacing w:line="440" w:lineRule="exact"/>
        <w:ind w:firstLine="422" w:firstLineChars="200"/>
        <w:textAlignment w:val="auto"/>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24.评标过程的保密与公正</w:t>
      </w:r>
    </w:p>
    <w:bookmarkEnd w:id="145"/>
    <w:bookmarkEnd w:id="146"/>
    <w:bookmarkEnd w:id="147"/>
    <w:p w14:paraId="5E78CF1A">
      <w:pPr>
        <w:keepNext w:val="0"/>
        <w:keepLines w:val="0"/>
        <w:pageBreakBefore w:val="0"/>
        <w:widowControl w:val="0"/>
        <w:kinsoku/>
        <w:wordWrap/>
        <w:overflowPunct/>
        <w:topLinePunct w:val="0"/>
        <w:autoSpaceDE/>
        <w:autoSpaceDN/>
        <w:bidi w:val="0"/>
        <w:adjustRightInd/>
        <w:snapToGrid/>
        <w:spacing w:line="440" w:lineRule="exact"/>
        <w:ind w:firstLine="420" w:firstLineChars="200"/>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24.1凡是与审查、澄清、评价和比较投标的有关资料以及授标建议等，采购人、评委、采购代理机构均不得向投标人或与评标无关的其他人员透露。</w:t>
      </w:r>
    </w:p>
    <w:p w14:paraId="0C5CE53D">
      <w:pPr>
        <w:keepNext w:val="0"/>
        <w:keepLines w:val="0"/>
        <w:pageBreakBefore w:val="0"/>
        <w:widowControl w:val="0"/>
        <w:kinsoku/>
        <w:wordWrap/>
        <w:overflowPunct/>
        <w:topLinePunct w:val="0"/>
        <w:autoSpaceDE/>
        <w:autoSpaceDN/>
        <w:bidi w:val="0"/>
        <w:adjustRightInd/>
        <w:snapToGrid/>
        <w:spacing w:line="440" w:lineRule="exact"/>
        <w:ind w:firstLine="420" w:firstLineChars="200"/>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24.2在评标过程中，投标人不得以任何行为影响评标过程，否则其投标文件将被作为无效投标文件。</w:t>
      </w:r>
    </w:p>
    <w:p w14:paraId="0C0F60F3">
      <w:pPr>
        <w:keepNext w:val="0"/>
        <w:keepLines w:val="0"/>
        <w:pageBreakBefore w:val="0"/>
        <w:widowControl w:val="0"/>
        <w:kinsoku/>
        <w:wordWrap/>
        <w:overflowPunct/>
        <w:topLinePunct w:val="0"/>
        <w:autoSpaceDE/>
        <w:autoSpaceDN/>
        <w:bidi w:val="0"/>
        <w:adjustRightInd/>
        <w:snapToGrid/>
        <w:spacing w:line="440" w:lineRule="exact"/>
        <w:ind w:firstLine="420" w:firstLineChars="200"/>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24.3 采购人、采购代理机构和评标委员会不向未中标的投标人解释未中标原因，也不公布评标过程中的相关细节。</w:t>
      </w:r>
    </w:p>
    <w:p w14:paraId="3EEB0D29">
      <w:pPr>
        <w:keepNext w:val="0"/>
        <w:keepLines w:val="0"/>
        <w:pageBreakBefore w:val="0"/>
        <w:widowControl w:val="0"/>
        <w:kinsoku/>
        <w:wordWrap/>
        <w:overflowPunct/>
        <w:topLinePunct w:val="0"/>
        <w:autoSpaceDE/>
        <w:autoSpaceDN/>
        <w:bidi w:val="0"/>
        <w:adjustRightInd/>
        <w:snapToGrid/>
        <w:spacing w:line="440" w:lineRule="exact"/>
        <w:ind w:firstLine="420" w:firstLineChars="200"/>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24.4 采用综合评分法的项目，未中标的投标人可于中标结果公告期限届满之日起通过苏采云系统查看自己的评审得分及排序情况。</w:t>
      </w:r>
    </w:p>
    <w:p w14:paraId="7AB1C118">
      <w:pPr>
        <w:keepNext w:val="0"/>
        <w:keepLines w:val="0"/>
        <w:pageBreakBefore w:val="0"/>
        <w:widowControl w:val="0"/>
        <w:kinsoku/>
        <w:wordWrap/>
        <w:overflowPunct/>
        <w:topLinePunct w:val="0"/>
        <w:autoSpaceDE/>
        <w:autoSpaceDN/>
        <w:bidi w:val="0"/>
        <w:adjustRightInd/>
        <w:snapToGrid/>
        <w:spacing w:line="440" w:lineRule="exact"/>
        <w:ind w:firstLine="422" w:firstLineChars="200"/>
        <w:textAlignment w:val="auto"/>
        <w:rPr>
          <w:rFonts w:hint="eastAsia" w:ascii="宋体" w:hAnsi="宋体" w:eastAsia="宋体" w:cs="宋体"/>
          <w:color w:val="auto"/>
          <w:sz w:val="21"/>
          <w:szCs w:val="21"/>
          <w:highlight w:val="none"/>
          <w:lang w:val="en-US" w:eastAsia="zh-CN"/>
        </w:rPr>
      </w:pPr>
      <w:bookmarkStart w:id="148" w:name="_Toc20823304"/>
      <w:bookmarkStart w:id="149" w:name="_Toc16938548"/>
      <w:bookmarkStart w:id="150" w:name="_Toc513029232"/>
      <w:r>
        <w:rPr>
          <w:rFonts w:hint="eastAsia" w:ascii="宋体" w:hAnsi="宋体" w:eastAsia="宋体" w:cs="宋体"/>
          <w:b/>
          <w:bCs/>
          <w:color w:val="auto"/>
          <w:sz w:val="21"/>
          <w:szCs w:val="21"/>
          <w:highlight w:val="none"/>
          <w:lang w:val="en-US" w:eastAsia="zh-CN"/>
        </w:rPr>
        <w:t>25.投标文件的澄清</w:t>
      </w:r>
      <w:bookmarkEnd w:id="148"/>
      <w:bookmarkEnd w:id="149"/>
      <w:bookmarkEnd w:id="150"/>
    </w:p>
    <w:p w14:paraId="29623252">
      <w:pPr>
        <w:keepNext w:val="0"/>
        <w:keepLines w:val="0"/>
        <w:pageBreakBefore w:val="0"/>
        <w:widowControl w:val="0"/>
        <w:kinsoku/>
        <w:wordWrap/>
        <w:overflowPunct/>
        <w:topLinePunct w:val="0"/>
        <w:autoSpaceDE/>
        <w:autoSpaceDN/>
        <w:bidi w:val="0"/>
        <w:adjustRightInd/>
        <w:snapToGrid/>
        <w:spacing w:line="440" w:lineRule="exact"/>
        <w:ind w:firstLine="420" w:firstLineChars="200"/>
        <w:textAlignment w:val="auto"/>
        <w:rPr>
          <w:rFonts w:hint="eastAsia" w:ascii="宋体" w:hAnsi="宋体" w:eastAsia="宋体" w:cs="宋体"/>
          <w:color w:val="auto"/>
          <w:sz w:val="21"/>
          <w:szCs w:val="21"/>
          <w:highlight w:val="none"/>
          <w:lang w:val="en-US" w:eastAsia="zh-CN"/>
        </w:rPr>
      </w:pPr>
      <w:bookmarkStart w:id="151" w:name="_Toc16938549"/>
      <w:bookmarkStart w:id="152" w:name="_Toc513029233"/>
      <w:bookmarkStart w:id="153" w:name="_Toc20823305"/>
      <w:r>
        <w:rPr>
          <w:rFonts w:hint="eastAsia" w:ascii="宋体" w:hAnsi="宋体" w:eastAsia="宋体" w:cs="宋体"/>
          <w:color w:val="auto"/>
          <w:sz w:val="21"/>
          <w:szCs w:val="21"/>
          <w:highlight w:val="none"/>
          <w:lang w:val="en-US" w:eastAsia="zh-CN"/>
        </w:rPr>
        <w:t>25.1评标期间，评委会对投标文件中含义不明确、同类问题表述不一致或者有明显文字和计算错误的内容，有权要求投标人作出必要的澄清、说明或者补正。</w:t>
      </w:r>
    </w:p>
    <w:p w14:paraId="3A046BC1">
      <w:pPr>
        <w:keepNext w:val="0"/>
        <w:keepLines w:val="0"/>
        <w:pageBreakBefore w:val="0"/>
        <w:widowControl w:val="0"/>
        <w:kinsoku/>
        <w:wordWrap/>
        <w:overflowPunct/>
        <w:topLinePunct w:val="0"/>
        <w:autoSpaceDE/>
        <w:autoSpaceDN/>
        <w:bidi w:val="0"/>
        <w:adjustRightInd/>
        <w:snapToGrid/>
        <w:spacing w:line="440" w:lineRule="exact"/>
        <w:ind w:firstLine="420" w:firstLineChars="200"/>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投标人的澄清、说明或者补正不得超出投标文件的范围或者改变投标文件的实质性内容。</w:t>
      </w:r>
    </w:p>
    <w:p w14:paraId="72B57B8C">
      <w:pPr>
        <w:keepNext w:val="0"/>
        <w:keepLines w:val="0"/>
        <w:pageBreakBefore w:val="0"/>
        <w:widowControl w:val="0"/>
        <w:kinsoku/>
        <w:wordWrap/>
        <w:overflowPunct/>
        <w:topLinePunct w:val="0"/>
        <w:autoSpaceDE/>
        <w:autoSpaceDN/>
        <w:bidi w:val="0"/>
        <w:adjustRightInd/>
        <w:snapToGrid/>
        <w:spacing w:line="440" w:lineRule="exact"/>
        <w:ind w:firstLine="420" w:firstLineChars="200"/>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评标委员会并非对每个投标人都做澄清要求。</w:t>
      </w:r>
    </w:p>
    <w:p w14:paraId="45DA6ED4">
      <w:pPr>
        <w:keepNext w:val="0"/>
        <w:keepLines w:val="0"/>
        <w:pageBreakBefore w:val="0"/>
        <w:widowControl w:val="0"/>
        <w:kinsoku/>
        <w:wordWrap/>
        <w:overflowPunct/>
        <w:topLinePunct w:val="0"/>
        <w:autoSpaceDE/>
        <w:autoSpaceDN/>
        <w:bidi w:val="0"/>
        <w:adjustRightInd/>
        <w:snapToGrid/>
        <w:spacing w:line="440" w:lineRule="exact"/>
        <w:ind w:firstLine="420" w:firstLineChars="200"/>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25.2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p>
    <w:p w14:paraId="26FACC45">
      <w:pPr>
        <w:keepNext w:val="0"/>
        <w:keepLines w:val="0"/>
        <w:pageBreakBefore w:val="0"/>
        <w:widowControl w:val="0"/>
        <w:kinsoku/>
        <w:wordWrap/>
        <w:overflowPunct/>
        <w:topLinePunct w:val="0"/>
        <w:autoSpaceDE/>
        <w:autoSpaceDN/>
        <w:bidi w:val="0"/>
        <w:adjustRightInd/>
        <w:snapToGrid/>
        <w:spacing w:line="440" w:lineRule="exact"/>
        <w:ind w:firstLine="420" w:firstLineChars="200"/>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25.3 接到评委会澄清、说明和补正要求的投标人如未按规定作出澄清、说明和补正，其风险由投标人自行承担。</w:t>
      </w:r>
    </w:p>
    <w:p w14:paraId="3C7EB498">
      <w:pPr>
        <w:keepNext w:val="0"/>
        <w:keepLines w:val="0"/>
        <w:pageBreakBefore w:val="0"/>
        <w:widowControl w:val="0"/>
        <w:kinsoku/>
        <w:wordWrap/>
        <w:overflowPunct/>
        <w:topLinePunct w:val="0"/>
        <w:autoSpaceDE/>
        <w:autoSpaceDN/>
        <w:bidi w:val="0"/>
        <w:adjustRightInd/>
        <w:snapToGrid/>
        <w:spacing w:line="440" w:lineRule="exact"/>
        <w:ind w:firstLine="422" w:firstLineChars="200"/>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26.对投标文件的初审</w:t>
      </w:r>
      <w:bookmarkEnd w:id="151"/>
      <w:bookmarkEnd w:id="152"/>
      <w:bookmarkEnd w:id="153"/>
    </w:p>
    <w:p w14:paraId="5C871F8C">
      <w:pPr>
        <w:keepNext w:val="0"/>
        <w:keepLines w:val="0"/>
        <w:pageBreakBefore w:val="0"/>
        <w:widowControl w:val="0"/>
        <w:kinsoku/>
        <w:wordWrap/>
        <w:overflowPunct/>
        <w:topLinePunct w:val="0"/>
        <w:autoSpaceDE/>
        <w:autoSpaceDN/>
        <w:bidi w:val="0"/>
        <w:adjustRightInd/>
        <w:snapToGrid/>
        <w:spacing w:line="440" w:lineRule="exact"/>
        <w:ind w:firstLine="420" w:firstLineChars="200"/>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26.1投标文件初审分为资格审查和符合性审查。</w:t>
      </w:r>
    </w:p>
    <w:p w14:paraId="52376EEB">
      <w:pPr>
        <w:keepNext w:val="0"/>
        <w:keepLines w:val="0"/>
        <w:pageBreakBefore w:val="0"/>
        <w:widowControl w:val="0"/>
        <w:kinsoku/>
        <w:wordWrap/>
        <w:overflowPunct/>
        <w:topLinePunct w:val="0"/>
        <w:autoSpaceDE/>
        <w:autoSpaceDN/>
        <w:bidi w:val="0"/>
        <w:adjustRightInd/>
        <w:snapToGrid/>
        <w:spacing w:line="440" w:lineRule="exact"/>
        <w:ind w:firstLine="420" w:firstLineChars="200"/>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26.1.1 资格审查：依据法律法规和招标文件的规定，由采购人或采购代理机构对投标文件中的资格证明文件进行审查。资格审查的结论，采购人以书面形式向评委会进行反馈。</w:t>
      </w:r>
    </w:p>
    <w:p w14:paraId="374397DA">
      <w:pPr>
        <w:keepNext w:val="0"/>
        <w:keepLines w:val="0"/>
        <w:pageBreakBefore w:val="0"/>
        <w:widowControl w:val="0"/>
        <w:kinsoku/>
        <w:wordWrap/>
        <w:overflowPunct/>
        <w:topLinePunct w:val="0"/>
        <w:autoSpaceDE/>
        <w:autoSpaceDN/>
        <w:bidi w:val="0"/>
        <w:adjustRightInd/>
        <w:snapToGrid/>
        <w:spacing w:line="440" w:lineRule="exact"/>
        <w:ind w:firstLine="420" w:firstLineChars="200"/>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采购人或采购代理机构在进行资格性审查的同时，将在“信用中国”网站查询投标人的信用记录，以确定投标人是否具备投标资格，查询结果留存并归档。</w:t>
      </w:r>
    </w:p>
    <w:p w14:paraId="73150725">
      <w:pPr>
        <w:keepNext w:val="0"/>
        <w:keepLines w:val="0"/>
        <w:pageBreakBefore w:val="0"/>
        <w:widowControl w:val="0"/>
        <w:kinsoku/>
        <w:wordWrap/>
        <w:overflowPunct/>
        <w:topLinePunct w:val="0"/>
        <w:autoSpaceDE/>
        <w:autoSpaceDN/>
        <w:bidi w:val="0"/>
        <w:adjustRightInd/>
        <w:snapToGrid/>
        <w:spacing w:line="440" w:lineRule="exact"/>
        <w:ind w:firstLine="420" w:firstLineChars="200"/>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接受联合体的项目，两个以上的自然人、法人或者其他组织组成一个联合体，以一个供应商的身份共同参加政府采购活动的，联合体成员中任何一方存在不良信用记录的，视同联合体存在不良应用记录。</w:t>
      </w:r>
    </w:p>
    <w:p w14:paraId="6A30D2B5">
      <w:pPr>
        <w:keepNext w:val="0"/>
        <w:keepLines w:val="0"/>
        <w:pageBreakBefore w:val="0"/>
        <w:widowControl w:val="0"/>
        <w:kinsoku/>
        <w:wordWrap/>
        <w:overflowPunct/>
        <w:topLinePunct w:val="0"/>
        <w:autoSpaceDE/>
        <w:autoSpaceDN/>
        <w:bidi w:val="0"/>
        <w:adjustRightInd/>
        <w:snapToGrid/>
        <w:spacing w:line="440" w:lineRule="exact"/>
        <w:ind w:firstLine="420" w:firstLineChars="200"/>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26.1.2 符合性审查：依据招标文件的规定，由评委会从投标文件的有效性、完整性和对招标文件的响应程度进行审查，以确定是否对招标文件的实质性要求作出响应。</w:t>
      </w:r>
    </w:p>
    <w:p w14:paraId="44C0D208">
      <w:pPr>
        <w:keepNext w:val="0"/>
        <w:keepLines w:val="0"/>
        <w:pageBreakBefore w:val="0"/>
        <w:widowControl w:val="0"/>
        <w:kinsoku/>
        <w:wordWrap/>
        <w:overflowPunct/>
        <w:topLinePunct w:val="0"/>
        <w:autoSpaceDE/>
        <w:autoSpaceDN/>
        <w:bidi w:val="0"/>
        <w:adjustRightInd/>
        <w:snapToGrid/>
        <w:spacing w:line="440" w:lineRule="exact"/>
        <w:ind w:firstLine="420" w:firstLineChars="200"/>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26.1.3 未通过资格审查或符合性审查的投标人，采购人或采购代理机构将在苏采云系统中告知未通过资格审查或符合性审查的原因，评审结束后，采购人或采购代理机构将不再告知未通过资格审查或符合性审查的原因。</w:t>
      </w:r>
    </w:p>
    <w:p w14:paraId="5F5EE69B">
      <w:pPr>
        <w:keepNext w:val="0"/>
        <w:keepLines w:val="0"/>
        <w:pageBreakBefore w:val="0"/>
        <w:widowControl w:val="0"/>
        <w:kinsoku/>
        <w:wordWrap/>
        <w:overflowPunct/>
        <w:topLinePunct w:val="0"/>
        <w:autoSpaceDE/>
        <w:autoSpaceDN/>
        <w:bidi w:val="0"/>
        <w:adjustRightInd/>
        <w:snapToGrid/>
        <w:spacing w:line="440" w:lineRule="exact"/>
        <w:ind w:firstLine="420" w:firstLineChars="200"/>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26.2在详细评标之前，评委会将首先审查每份投标文件是否实质性响应了招标文件的要求。实质性响应的投标应该是与招标文件要求的全部条款、条件和规格相符，没有重大偏离或保留的投标。</w:t>
      </w:r>
    </w:p>
    <w:p w14:paraId="33ECA807">
      <w:pPr>
        <w:keepNext w:val="0"/>
        <w:keepLines w:val="0"/>
        <w:pageBreakBefore w:val="0"/>
        <w:widowControl w:val="0"/>
        <w:kinsoku/>
        <w:wordWrap/>
        <w:overflowPunct/>
        <w:topLinePunct w:val="0"/>
        <w:autoSpaceDE/>
        <w:autoSpaceDN/>
        <w:bidi w:val="0"/>
        <w:adjustRightInd/>
        <w:snapToGrid/>
        <w:spacing w:line="440" w:lineRule="exact"/>
        <w:ind w:firstLine="420" w:firstLineChars="200"/>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所谓重大偏离或保留是指与招标文件规定的实质性要求存在负偏离，或者在实质上与招标文件不一致，而且限制了合同中买方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p>
    <w:p w14:paraId="78C282E2">
      <w:pPr>
        <w:keepNext w:val="0"/>
        <w:keepLines w:val="0"/>
        <w:pageBreakBefore w:val="0"/>
        <w:widowControl w:val="0"/>
        <w:kinsoku/>
        <w:wordWrap/>
        <w:overflowPunct/>
        <w:topLinePunct w:val="0"/>
        <w:autoSpaceDE/>
        <w:autoSpaceDN/>
        <w:bidi w:val="0"/>
        <w:adjustRightInd/>
        <w:snapToGrid/>
        <w:spacing w:line="440" w:lineRule="exact"/>
        <w:ind w:firstLine="420" w:firstLineChars="200"/>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26.3如果投标文件实质上没有响应招标文件的要求，评委会将予以拒绝，投标人不得通过修改或撤销不合要求的偏离或保留而使其投标成为实质性响应的投标。</w:t>
      </w:r>
    </w:p>
    <w:p w14:paraId="3F030AEA">
      <w:pPr>
        <w:keepNext w:val="0"/>
        <w:keepLines w:val="0"/>
        <w:pageBreakBefore w:val="0"/>
        <w:widowControl w:val="0"/>
        <w:kinsoku/>
        <w:wordWrap/>
        <w:overflowPunct/>
        <w:topLinePunct w:val="0"/>
        <w:autoSpaceDE/>
        <w:autoSpaceDN/>
        <w:bidi w:val="0"/>
        <w:adjustRightInd/>
        <w:snapToGrid/>
        <w:spacing w:line="440" w:lineRule="exact"/>
        <w:ind w:firstLine="420" w:firstLineChars="200"/>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26.4评委会将对确定为实质性响应的投标进行进一步审核，看其是否有计算上或累加上的算术错误，修正错误的原则如下：</w:t>
      </w:r>
    </w:p>
    <w:p w14:paraId="22B68551">
      <w:pPr>
        <w:keepNext w:val="0"/>
        <w:keepLines w:val="0"/>
        <w:pageBreakBefore w:val="0"/>
        <w:widowControl w:val="0"/>
        <w:kinsoku/>
        <w:wordWrap/>
        <w:overflowPunct/>
        <w:topLinePunct w:val="0"/>
        <w:autoSpaceDE/>
        <w:autoSpaceDN/>
        <w:bidi w:val="0"/>
        <w:adjustRightInd/>
        <w:snapToGrid/>
        <w:spacing w:line="440" w:lineRule="exact"/>
        <w:ind w:firstLine="420" w:firstLineChars="200"/>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（1）投标文件中开标一览表内容与投标文件中相应内容不一致的，以开标一览表为准。</w:t>
      </w:r>
    </w:p>
    <w:p w14:paraId="64D85E23">
      <w:pPr>
        <w:keepNext w:val="0"/>
        <w:keepLines w:val="0"/>
        <w:pageBreakBefore w:val="0"/>
        <w:widowControl w:val="0"/>
        <w:kinsoku/>
        <w:wordWrap/>
        <w:overflowPunct/>
        <w:topLinePunct w:val="0"/>
        <w:autoSpaceDE/>
        <w:autoSpaceDN/>
        <w:bidi w:val="0"/>
        <w:adjustRightInd/>
        <w:snapToGrid/>
        <w:spacing w:line="440" w:lineRule="exact"/>
        <w:ind w:firstLine="420" w:firstLineChars="200"/>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（2）大写金额和小写金额不一致的，以大写金额为准。</w:t>
      </w:r>
    </w:p>
    <w:p w14:paraId="3D814088">
      <w:pPr>
        <w:keepNext w:val="0"/>
        <w:keepLines w:val="0"/>
        <w:pageBreakBefore w:val="0"/>
        <w:widowControl w:val="0"/>
        <w:kinsoku/>
        <w:wordWrap/>
        <w:overflowPunct/>
        <w:topLinePunct w:val="0"/>
        <w:autoSpaceDE/>
        <w:autoSpaceDN/>
        <w:bidi w:val="0"/>
        <w:adjustRightInd/>
        <w:snapToGrid/>
        <w:spacing w:line="440" w:lineRule="exact"/>
        <w:ind w:firstLine="420" w:firstLineChars="200"/>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（3）单价金额小数点或者百分比有明显错位的，以开标一览表的总价为准，并修改单价。</w:t>
      </w:r>
    </w:p>
    <w:p w14:paraId="446A1DF5">
      <w:pPr>
        <w:keepNext w:val="0"/>
        <w:keepLines w:val="0"/>
        <w:pageBreakBefore w:val="0"/>
        <w:widowControl w:val="0"/>
        <w:kinsoku/>
        <w:wordWrap/>
        <w:overflowPunct/>
        <w:topLinePunct w:val="0"/>
        <w:autoSpaceDE/>
        <w:autoSpaceDN/>
        <w:bidi w:val="0"/>
        <w:adjustRightInd/>
        <w:snapToGrid/>
        <w:spacing w:line="440" w:lineRule="exact"/>
        <w:ind w:firstLine="420" w:firstLineChars="200"/>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（4）总价金额与按单价汇总金额不一致的，以单价金额计算结果为准。</w:t>
      </w:r>
    </w:p>
    <w:p w14:paraId="0B01F6FF">
      <w:pPr>
        <w:keepNext w:val="0"/>
        <w:keepLines w:val="0"/>
        <w:pageBreakBefore w:val="0"/>
        <w:widowControl w:val="0"/>
        <w:kinsoku/>
        <w:wordWrap/>
        <w:overflowPunct/>
        <w:topLinePunct w:val="0"/>
        <w:autoSpaceDE/>
        <w:autoSpaceDN/>
        <w:bidi w:val="0"/>
        <w:adjustRightInd/>
        <w:snapToGrid/>
        <w:spacing w:line="440" w:lineRule="exact"/>
        <w:ind w:firstLine="420" w:firstLineChars="200"/>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同时出现两种以上错误的，按照前款规定的顺序修正。</w:t>
      </w:r>
    </w:p>
    <w:p w14:paraId="53EE2FB9">
      <w:pPr>
        <w:keepNext w:val="0"/>
        <w:keepLines w:val="0"/>
        <w:pageBreakBefore w:val="0"/>
        <w:widowControl w:val="0"/>
        <w:kinsoku/>
        <w:wordWrap/>
        <w:overflowPunct/>
        <w:topLinePunct w:val="0"/>
        <w:autoSpaceDE/>
        <w:autoSpaceDN/>
        <w:bidi w:val="0"/>
        <w:adjustRightInd/>
        <w:snapToGrid/>
        <w:spacing w:line="440" w:lineRule="exact"/>
        <w:ind w:firstLine="420" w:firstLineChars="200"/>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26.5评委会将按上述修正错误的方法调整投标文件中的投标报价，并通过苏采云系统告知投标人，调整后的价格应对投标人具有约束力。如果投标人不接受修正后的价格，则其投标将被拒绝。</w:t>
      </w:r>
    </w:p>
    <w:p w14:paraId="3D7C49E6">
      <w:pPr>
        <w:keepNext w:val="0"/>
        <w:keepLines w:val="0"/>
        <w:pageBreakBefore w:val="0"/>
        <w:widowControl w:val="0"/>
        <w:kinsoku/>
        <w:wordWrap/>
        <w:overflowPunct/>
        <w:topLinePunct w:val="0"/>
        <w:autoSpaceDE/>
        <w:autoSpaceDN/>
        <w:bidi w:val="0"/>
        <w:adjustRightInd/>
        <w:snapToGrid/>
        <w:spacing w:line="440" w:lineRule="exact"/>
        <w:ind w:firstLine="420" w:firstLineChars="200"/>
        <w:textAlignment w:val="auto"/>
        <w:rPr>
          <w:rFonts w:hint="eastAsia" w:ascii="宋体" w:hAnsi="宋体" w:eastAsia="宋体" w:cs="宋体"/>
          <w:color w:val="auto"/>
          <w:sz w:val="21"/>
          <w:szCs w:val="21"/>
          <w:highlight w:val="none"/>
          <w:lang w:val="en-US" w:eastAsia="zh-CN"/>
        </w:rPr>
      </w:pPr>
      <w:bookmarkStart w:id="154" w:name="_Toc20823306"/>
      <w:bookmarkStart w:id="155" w:name="_Toc513029234"/>
      <w:bookmarkStart w:id="156" w:name="_Toc16938550"/>
      <w:r>
        <w:rPr>
          <w:rFonts w:hint="eastAsia" w:ascii="宋体" w:hAnsi="宋体" w:eastAsia="宋体" w:cs="宋体"/>
          <w:color w:val="auto"/>
          <w:sz w:val="21"/>
          <w:szCs w:val="21"/>
          <w:highlight w:val="none"/>
          <w:lang w:val="en-US" w:eastAsia="zh-CN"/>
        </w:rPr>
        <w:t>26.6</w:t>
      </w:r>
      <w:r>
        <w:rPr>
          <w:rFonts w:hint="eastAsia" w:ascii="宋体" w:hAnsi="宋体" w:eastAsia="宋体" w:cs="宋体"/>
          <w:b/>
          <w:bCs/>
          <w:color w:val="auto"/>
          <w:sz w:val="21"/>
          <w:szCs w:val="21"/>
          <w:highlight w:val="none"/>
          <w:lang w:val="en-US" w:eastAsia="zh-CN"/>
        </w:rPr>
        <w:t>采用最低评标价法的采购项目，提供相同品牌产品的不同投标人参加同一合同项下投标的，以其中通过资格审查、符合性审查且报价最低的参加评标；</w:t>
      </w:r>
      <w:r>
        <w:rPr>
          <w:rFonts w:hint="eastAsia" w:ascii="宋体" w:hAnsi="宋体" w:eastAsia="宋体" w:cs="宋体"/>
          <w:color w:val="auto"/>
          <w:sz w:val="21"/>
          <w:szCs w:val="21"/>
          <w:highlight w:val="none"/>
          <w:lang w:val="en-US" w:eastAsia="zh-CN"/>
        </w:rPr>
        <w:t>报价相同的，由评标委员会按照招标文件规定的方式（招标文件未规定的通过随机抽取的方式）确定一个参加评标的投标人，其他投标无效。</w:t>
      </w:r>
    </w:p>
    <w:p w14:paraId="5DE084E2">
      <w:pPr>
        <w:keepNext w:val="0"/>
        <w:keepLines w:val="0"/>
        <w:pageBreakBefore w:val="0"/>
        <w:widowControl w:val="0"/>
        <w:kinsoku/>
        <w:wordWrap/>
        <w:overflowPunct/>
        <w:topLinePunct w:val="0"/>
        <w:autoSpaceDE/>
        <w:autoSpaceDN/>
        <w:bidi w:val="0"/>
        <w:adjustRightInd/>
        <w:snapToGrid/>
        <w:spacing w:line="440" w:lineRule="exact"/>
        <w:ind w:firstLine="420" w:firstLineChars="200"/>
        <w:textAlignment w:val="auto"/>
        <w:rPr>
          <w:rFonts w:hint="eastAsia" w:ascii="宋体" w:hAnsi="宋体" w:eastAsia="宋体" w:cs="宋体"/>
          <w:color w:val="auto"/>
          <w:sz w:val="24"/>
          <w:szCs w:val="24"/>
          <w:lang w:val="en-US" w:eastAsia="zh-CN"/>
        </w:rPr>
      </w:pPr>
      <w:r>
        <w:rPr>
          <w:rFonts w:hint="eastAsia" w:ascii="宋体" w:hAnsi="宋体" w:eastAsia="宋体" w:cs="宋体"/>
          <w:b w:val="0"/>
          <w:bCs w:val="0"/>
          <w:color w:val="auto"/>
          <w:sz w:val="21"/>
          <w:szCs w:val="21"/>
          <w:highlight w:val="none"/>
          <w:lang w:val="en-US" w:eastAsia="zh-CN"/>
        </w:rPr>
        <w:t>使用综合评分法的采购项目，提供相同品牌产品且通过资格审查、符合性审查的不同投标人参加同一合同项下投标的，按一家投标人计算，评审后得分最高的同品牌投标人获得中标人推荐资格；</w:t>
      </w:r>
      <w:r>
        <w:rPr>
          <w:rFonts w:hint="eastAsia" w:ascii="宋体" w:hAnsi="宋体" w:eastAsia="宋体" w:cs="宋体"/>
          <w:color w:val="auto"/>
          <w:sz w:val="21"/>
          <w:szCs w:val="21"/>
          <w:highlight w:val="none"/>
          <w:lang w:val="en-US" w:eastAsia="zh-CN"/>
        </w:rPr>
        <w:t>评审得分相同的，</w:t>
      </w:r>
      <w:r>
        <w:rPr>
          <w:rFonts w:hint="eastAsia" w:ascii="宋体" w:hAnsi="宋体" w:eastAsia="宋体" w:cs="宋体"/>
          <w:color w:val="auto"/>
          <w:sz w:val="21"/>
          <w:szCs w:val="21"/>
          <w:highlight w:val="none"/>
          <w:lang w:val="zh-TW" w:eastAsia="zh-TW"/>
        </w:rPr>
        <w:t>投标报价最低的同品牌投标人获得中标人推荐资格；得分且投标报价相同的由采购人委托评标委员会按照随机抽取方式确定</w:t>
      </w:r>
      <w:r>
        <w:rPr>
          <w:rFonts w:hint="eastAsia" w:ascii="宋体" w:hAnsi="宋体" w:eastAsia="宋体" w:cs="宋体"/>
          <w:color w:val="auto"/>
          <w:sz w:val="21"/>
          <w:szCs w:val="21"/>
          <w:highlight w:val="none"/>
          <w:lang w:val="en-US" w:eastAsia="zh-CN"/>
        </w:rPr>
        <w:t>一个中标候选人，其他同品牌投标人不作为中标候选人。</w:t>
      </w:r>
    </w:p>
    <w:p w14:paraId="7AA2529B">
      <w:pPr>
        <w:keepNext w:val="0"/>
        <w:keepLines w:val="0"/>
        <w:pageBreakBefore w:val="0"/>
        <w:widowControl w:val="0"/>
        <w:kinsoku/>
        <w:wordWrap/>
        <w:overflowPunct/>
        <w:topLinePunct w:val="0"/>
        <w:autoSpaceDE/>
        <w:autoSpaceDN/>
        <w:bidi w:val="0"/>
        <w:adjustRightInd/>
        <w:snapToGrid/>
        <w:spacing w:line="440" w:lineRule="exact"/>
        <w:ind w:firstLine="422" w:firstLineChars="200"/>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非单一产品采购项目，招标文件中将载明其中的核心产品。</w:t>
      </w:r>
      <w:r>
        <w:rPr>
          <w:rFonts w:hint="eastAsia" w:ascii="宋体" w:hAnsi="宋体" w:eastAsia="宋体" w:cs="宋体"/>
          <w:color w:val="auto"/>
          <w:sz w:val="21"/>
          <w:szCs w:val="21"/>
          <w:highlight w:val="none"/>
          <w:lang w:val="en-US" w:eastAsia="zh-CN"/>
        </w:rPr>
        <w:t>多家投标人提供的核心产品品牌相同的，按前两款规定处理。</w:t>
      </w:r>
    </w:p>
    <w:p w14:paraId="312143E0">
      <w:pPr>
        <w:keepNext w:val="0"/>
        <w:keepLines w:val="0"/>
        <w:pageBreakBefore w:val="0"/>
        <w:widowControl w:val="0"/>
        <w:kinsoku/>
        <w:wordWrap/>
        <w:overflowPunct/>
        <w:topLinePunct w:val="0"/>
        <w:autoSpaceDE/>
        <w:autoSpaceDN/>
        <w:bidi w:val="0"/>
        <w:adjustRightInd/>
        <w:snapToGrid/>
        <w:spacing w:line="440" w:lineRule="exact"/>
        <w:ind w:firstLine="420" w:firstLineChars="200"/>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26.7投标人在开、评标全过程中应保持通信畅通，及时登录苏采云系统查阅、答复相关信息，并安排专人与采购代理机构及评标委员会联系。</w:t>
      </w:r>
    </w:p>
    <w:p w14:paraId="3AE436AC">
      <w:pPr>
        <w:keepNext w:val="0"/>
        <w:keepLines w:val="0"/>
        <w:pageBreakBefore w:val="0"/>
        <w:widowControl w:val="0"/>
        <w:kinsoku/>
        <w:wordWrap/>
        <w:overflowPunct/>
        <w:topLinePunct w:val="0"/>
        <w:autoSpaceDE/>
        <w:autoSpaceDN/>
        <w:bidi w:val="0"/>
        <w:adjustRightInd/>
        <w:snapToGrid/>
        <w:spacing w:line="440" w:lineRule="exact"/>
        <w:ind w:firstLine="422" w:firstLineChars="200"/>
        <w:textAlignment w:val="auto"/>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27</w:t>
      </w:r>
      <w:bookmarkEnd w:id="154"/>
      <w:bookmarkEnd w:id="155"/>
      <w:bookmarkEnd w:id="156"/>
      <w:r>
        <w:rPr>
          <w:rFonts w:hint="eastAsia" w:ascii="宋体" w:hAnsi="宋体" w:eastAsia="宋体" w:cs="宋体"/>
          <w:b/>
          <w:bCs/>
          <w:color w:val="auto"/>
          <w:sz w:val="21"/>
          <w:szCs w:val="21"/>
          <w:highlight w:val="none"/>
          <w:lang w:val="en-US" w:eastAsia="zh-CN"/>
        </w:rPr>
        <w:t>.无效投标条款和废标条款</w:t>
      </w:r>
    </w:p>
    <w:p w14:paraId="055C4713">
      <w:pPr>
        <w:keepNext w:val="0"/>
        <w:keepLines w:val="0"/>
        <w:pageBreakBefore w:val="0"/>
        <w:widowControl w:val="0"/>
        <w:kinsoku/>
        <w:wordWrap/>
        <w:overflowPunct/>
        <w:topLinePunct w:val="0"/>
        <w:autoSpaceDE/>
        <w:autoSpaceDN/>
        <w:bidi w:val="0"/>
        <w:adjustRightInd/>
        <w:snapToGrid/>
        <w:spacing w:line="440" w:lineRule="exact"/>
        <w:ind w:firstLine="420" w:firstLineChars="200"/>
        <w:textAlignment w:val="auto"/>
        <w:rPr>
          <w:rFonts w:hint="eastAsia" w:ascii="宋体" w:hAnsi="宋体" w:eastAsia="宋体" w:cs="宋体"/>
          <w:color w:val="auto"/>
          <w:sz w:val="21"/>
          <w:szCs w:val="21"/>
          <w:highlight w:val="none"/>
          <w:lang w:val="en-US" w:eastAsia="zh-CN"/>
        </w:rPr>
      </w:pPr>
      <w:bookmarkStart w:id="157" w:name="_Toc16938551"/>
      <w:bookmarkStart w:id="158" w:name="_Toc513029235"/>
      <w:bookmarkStart w:id="159" w:name="_Toc20823307"/>
      <w:r>
        <w:rPr>
          <w:rFonts w:hint="eastAsia" w:ascii="宋体" w:hAnsi="宋体" w:eastAsia="宋体" w:cs="宋体"/>
          <w:color w:val="auto"/>
          <w:sz w:val="21"/>
          <w:szCs w:val="21"/>
          <w:highlight w:val="none"/>
          <w:lang w:val="en-US" w:eastAsia="zh-CN"/>
        </w:rPr>
        <w:t>27.1无效投标条款</w:t>
      </w:r>
    </w:p>
    <w:p w14:paraId="2F02A5C1">
      <w:pPr>
        <w:keepNext w:val="0"/>
        <w:keepLines w:val="0"/>
        <w:pageBreakBefore w:val="0"/>
        <w:widowControl w:val="0"/>
        <w:kinsoku/>
        <w:wordWrap/>
        <w:overflowPunct/>
        <w:topLinePunct w:val="0"/>
        <w:autoSpaceDE/>
        <w:autoSpaceDN/>
        <w:bidi w:val="0"/>
        <w:adjustRightInd/>
        <w:snapToGrid/>
        <w:spacing w:line="440" w:lineRule="exact"/>
        <w:ind w:firstLine="420" w:firstLineChars="200"/>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27.1.1 投标人在苏采云系统规定的时间内未成功解密电子投标文件的。</w:t>
      </w:r>
    </w:p>
    <w:p w14:paraId="05C503DF">
      <w:pPr>
        <w:keepNext w:val="0"/>
        <w:keepLines w:val="0"/>
        <w:pageBreakBefore w:val="0"/>
        <w:widowControl w:val="0"/>
        <w:kinsoku/>
        <w:wordWrap/>
        <w:overflowPunct/>
        <w:topLinePunct w:val="0"/>
        <w:autoSpaceDE/>
        <w:autoSpaceDN/>
        <w:bidi w:val="0"/>
        <w:adjustRightInd/>
        <w:snapToGrid/>
        <w:spacing w:line="440" w:lineRule="exact"/>
        <w:ind w:firstLine="420" w:firstLineChars="200"/>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27.1.2 投标人未按照招标文件要求上传电子投标文件的。</w:t>
      </w:r>
    </w:p>
    <w:p w14:paraId="35841210">
      <w:pPr>
        <w:keepNext w:val="0"/>
        <w:keepLines w:val="0"/>
        <w:pageBreakBefore w:val="0"/>
        <w:widowControl w:val="0"/>
        <w:kinsoku/>
        <w:wordWrap/>
        <w:overflowPunct/>
        <w:topLinePunct w:val="0"/>
        <w:autoSpaceDE/>
        <w:autoSpaceDN/>
        <w:bidi w:val="0"/>
        <w:adjustRightInd/>
        <w:snapToGrid/>
        <w:spacing w:line="440" w:lineRule="exact"/>
        <w:ind w:firstLine="420" w:firstLineChars="200"/>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27.1.3同一投标人提交两个（含两个）以上不同的投标报价的。</w:t>
      </w:r>
    </w:p>
    <w:p w14:paraId="223605C6">
      <w:pPr>
        <w:keepNext w:val="0"/>
        <w:keepLines w:val="0"/>
        <w:pageBreakBefore w:val="0"/>
        <w:widowControl w:val="0"/>
        <w:kinsoku/>
        <w:wordWrap/>
        <w:overflowPunct/>
        <w:topLinePunct w:val="0"/>
        <w:autoSpaceDE/>
        <w:autoSpaceDN/>
        <w:bidi w:val="0"/>
        <w:adjustRightInd/>
        <w:snapToGrid/>
        <w:spacing w:line="440" w:lineRule="exact"/>
        <w:ind w:firstLine="420" w:firstLineChars="200"/>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27.1.4投标人不具备招标文件中规定资格要求的。</w:t>
      </w:r>
    </w:p>
    <w:p w14:paraId="03B721A0">
      <w:pPr>
        <w:keepNext w:val="0"/>
        <w:keepLines w:val="0"/>
        <w:pageBreakBefore w:val="0"/>
        <w:widowControl w:val="0"/>
        <w:kinsoku/>
        <w:wordWrap/>
        <w:overflowPunct/>
        <w:topLinePunct w:val="0"/>
        <w:autoSpaceDE/>
        <w:autoSpaceDN/>
        <w:bidi w:val="0"/>
        <w:adjustRightInd/>
        <w:snapToGrid/>
        <w:spacing w:line="440" w:lineRule="exact"/>
        <w:ind w:firstLine="420" w:firstLineChars="200"/>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27.1.5投标人的报价超过了采购预算或最高限价的。</w:t>
      </w:r>
    </w:p>
    <w:p w14:paraId="39B1ABCC">
      <w:pPr>
        <w:keepNext w:val="0"/>
        <w:keepLines w:val="0"/>
        <w:pageBreakBefore w:val="0"/>
        <w:widowControl w:val="0"/>
        <w:kinsoku/>
        <w:wordWrap/>
        <w:overflowPunct/>
        <w:topLinePunct w:val="0"/>
        <w:autoSpaceDE/>
        <w:autoSpaceDN/>
        <w:bidi w:val="0"/>
        <w:adjustRightInd/>
        <w:snapToGrid/>
        <w:spacing w:line="440" w:lineRule="exact"/>
        <w:ind w:firstLine="420" w:firstLineChars="200"/>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27.1.6未通过符合性审查的。</w:t>
      </w:r>
    </w:p>
    <w:p w14:paraId="3779C603">
      <w:pPr>
        <w:keepNext w:val="0"/>
        <w:keepLines w:val="0"/>
        <w:pageBreakBefore w:val="0"/>
        <w:widowControl w:val="0"/>
        <w:kinsoku/>
        <w:wordWrap/>
        <w:overflowPunct/>
        <w:topLinePunct w:val="0"/>
        <w:autoSpaceDE/>
        <w:autoSpaceDN/>
        <w:bidi w:val="0"/>
        <w:adjustRightInd/>
        <w:snapToGrid/>
        <w:spacing w:line="440" w:lineRule="exact"/>
        <w:ind w:firstLine="420" w:firstLineChars="200"/>
        <w:textAlignment w:val="auto"/>
        <w:rPr>
          <w:rFonts w:hint="eastAsia" w:ascii="宋体" w:hAnsi="宋体" w:eastAsia="宋体" w:cs="宋体"/>
          <w:i/>
          <w:iCs/>
          <w:color w:val="auto"/>
          <w:sz w:val="21"/>
          <w:szCs w:val="21"/>
          <w:highlight w:val="none"/>
          <w:u w:val="single"/>
          <w:lang w:val="en-US" w:eastAsia="zh-CN"/>
        </w:rPr>
      </w:pPr>
      <w:r>
        <w:rPr>
          <w:rFonts w:hint="eastAsia" w:ascii="宋体" w:hAnsi="宋体" w:eastAsia="宋体" w:cs="宋体"/>
          <w:color w:val="auto"/>
          <w:sz w:val="21"/>
          <w:szCs w:val="21"/>
          <w:highlight w:val="none"/>
          <w:lang w:val="en-US" w:eastAsia="zh-CN"/>
        </w:rPr>
        <w:t>27.1.7不符合招标文件中规定的实质性要求和条件的。</w:t>
      </w:r>
      <w:r>
        <w:rPr>
          <w:rFonts w:hint="eastAsia" w:ascii="宋体" w:hAnsi="宋体" w:eastAsia="宋体" w:cs="宋体"/>
          <w:i/>
          <w:iCs/>
          <w:color w:val="auto"/>
          <w:sz w:val="21"/>
          <w:szCs w:val="21"/>
          <w:highlight w:val="none"/>
          <w:u w:val="single"/>
          <w:lang w:val="en-US" w:eastAsia="zh-CN"/>
        </w:rPr>
        <w:t>（本招标文件中斜体且有下划线部分为实质性要求和条件）。</w:t>
      </w:r>
    </w:p>
    <w:p w14:paraId="618EB61E">
      <w:pPr>
        <w:keepNext w:val="0"/>
        <w:keepLines w:val="0"/>
        <w:pageBreakBefore w:val="0"/>
        <w:widowControl w:val="0"/>
        <w:kinsoku/>
        <w:wordWrap/>
        <w:overflowPunct/>
        <w:topLinePunct w:val="0"/>
        <w:autoSpaceDE/>
        <w:autoSpaceDN/>
        <w:bidi w:val="0"/>
        <w:adjustRightInd/>
        <w:snapToGrid/>
        <w:spacing w:line="440" w:lineRule="exact"/>
        <w:ind w:firstLine="420" w:firstLineChars="200"/>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27.1.8 投标人被 “信用中国”网站列入失信被执行人或重大税收违法失信主体或政府采购严重违法失信行为记录名单。或查询“信用中国”网站后发现投标人存在其他不符合《中华人民共和国政府采购法》第二十二条规定条件的信用记录。</w:t>
      </w:r>
    </w:p>
    <w:p w14:paraId="067F160C">
      <w:pPr>
        <w:keepNext w:val="0"/>
        <w:keepLines w:val="0"/>
        <w:pageBreakBefore w:val="0"/>
        <w:widowControl w:val="0"/>
        <w:kinsoku/>
        <w:wordWrap/>
        <w:overflowPunct/>
        <w:topLinePunct w:val="0"/>
        <w:autoSpaceDE/>
        <w:autoSpaceDN/>
        <w:bidi w:val="0"/>
        <w:adjustRightInd/>
        <w:snapToGrid/>
        <w:spacing w:line="440" w:lineRule="exact"/>
        <w:ind w:firstLine="420" w:firstLineChars="200"/>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27.1.9  投标文件含有采购人不能接受的附加条件的。</w:t>
      </w:r>
    </w:p>
    <w:p w14:paraId="5D97F1CF">
      <w:pPr>
        <w:keepNext w:val="0"/>
        <w:keepLines w:val="0"/>
        <w:pageBreakBefore w:val="0"/>
        <w:widowControl w:val="0"/>
        <w:kinsoku/>
        <w:wordWrap/>
        <w:overflowPunct/>
        <w:topLinePunct w:val="0"/>
        <w:autoSpaceDE/>
        <w:autoSpaceDN/>
        <w:bidi w:val="0"/>
        <w:adjustRightInd/>
        <w:snapToGrid/>
        <w:spacing w:line="440" w:lineRule="exact"/>
        <w:ind w:firstLine="420" w:firstLineChars="200"/>
        <w:textAlignment w:val="auto"/>
        <w:rPr>
          <w:rFonts w:hint="eastAsia" w:ascii="宋体" w:hAnsi="宋体" w:eastAsia="宋体" w:cs="宋体"/>
          <w:b/>
          <w:bCs/>
          <w:color w:val="auto"/>
          <w:sz w:val="21"/>
          <w:szCs w:val="21"/>
          <w:highlight w:val="none"/>
          <w:lang w:val="en-US" w:eastAsia="zh-CN"/>
        </w:rPr>
      </w:pPr>
      <w:r>
        <w:rPr>
          <w:rFonts w:hint="eastAsia" w:ascii="宋体" w:hAnsi="宋体" w:eastAsia="宋体" w:cs="宋体"/>
          <w:color w:val="auto"/>
          <w:sz w:val="21"/>
          <w:szCs w:val="21"/>
          <w:highlight w:val="none"/>
          <w:lang w:val="en-US" w:eastAsia="zh-CN"/>
        </w:rPr>
        <w:t>27.1.10</w:t>
      </w:r>
      <w:r>
        <w:rPr>
          <w:rFonts w:hint="eastAsia" w:ascii="宋体" w:hAnsi="宋体" w:eastAsia="宋体" w:cs="宋体"/>
          <w:b/>
          <w:bCs/>
          <w:color w:val="auto"/>
          <w:sz w:val="21"/>
          <w:szCs w:val="21"/>
          <w:highlight w:val="none"/>
          <w:lang w:val="en-US" w:eastAsia="zh-CN"/>
        </w:rPr>
        <w:t>评标委员会认为投标人的报价明显低于其他通过符合性审查投标人的报价</w:t>
      </w:r>
      <w:r>
        <w:rPr>
          <w:rFonts w:hint="eastAsia" w:ascii="宋体" w:hAnsi="宋体" w:eastAsia="宋体" w:cs="宋体"/>
          <w:color w:val="FF0000"/>
          <w:sz w:val="21"/>
          <w:szCs w:val="21"/>
          <w:lang w:val="en-US" w:eastAsia="zh-CN"/>
        </w:rPr>
        <w:t>，</w:t>
      </w:r>
      <w:r>
        <w:rPr>
          <w:rFonts w:hint="eastAsia" w:ascii="宋体" w:hAnsi="宋体" w:eastAsia="宋体" w:cs="宋体"/>
          <w:b/>
          <w:bCs/>
          <w:color w:val="auto"/>
          <w:sz w:val="21"/>
          <w:szCs w:val="21"/>
          <w:highlight w:val="none"/>
          <w:lang w:val="en-US" w:eastAsia="zh-CN"/>
        </w:rPr>
        <w:t>有可能影响产品质量或者不能诚信履约的，将通过苏采云系统要求其在合理的时间内提供说明，必要时提交相关证明材料；投标人不能证明其报价合理性的，评标委员会应当将其作为无效投标处理。</w:t>
      </w:r>
    </w:p>
    <w:p w14:paraId="3278871A">
      <w:pPr>
        <w:keepNext w:val="0"/>
        <w:keepLines w:val="0"/>
        <w:pageBreakBefore w:val="0"/>
        <w:widowControl w:val="0"/>
        <w:kinsoku/>
        <w:wordWrap/>
        <w:overflowPunct/>
        <w:topLinePunct w:val="0"/>
        <w:autoSpaceDE/>
        <w:autoSpaceDN/>
        <w:bidi w:val="0"/>
        <w:adjustRightInd/>
        <w:snapToGrid/>
        <w:spacing w:line="440" w:lineRule="exact"/>
        <w:ind w:firstLine="422" w:firstLineChars="200"/>
        <w:textAlignment w:val="auto"/>
        <w:rPr>
          <w:rFonts w:hint="eastAsia" w:ascii="宋体" w:hAnsi="宋体" w:eastAsia="宋体" w:cs="宋体"/>
          <w:b/>
          <w:bCs/>
          <w:color w:val="FF0000"/>
          <w:sz w:val="21"/>
          <w:szCs w:val="21"/>
          <w:highlight w:val="none"/>
          <w:lang w:val="en-US" w:eastAsia="zh-CN"/>
        </w:rPr>
      </w:pPr>
      <w:r>
        <w:rPr>
          <w:rFonts w:hint="eastAsia" w:ascii="宋体" w:hAnsi="宋体" w:eastAsia="宋体" w:cs="宋体"/>
          <w:b/>
          <w:bCs/>
          <w:color w:val="FF0000"/>
          <w:sz w:val="21"/>
          <w:szCs w:val="21"/>
          <w:highlight w:val="none"/>
          <w:lang w:val="en-US" w:eastAsia="zh-CN"/>
        </w:rPr>
        <w:t>根据《关于推动解决政府采购异常低价问题相关工作的通知》（财库</w:t>
      </w:r>
      <w:r>
        <w:rPr>
          <w:rFonts w:hint="eastAsia" w:ascii="宋体" w:hAnsi="宋体" w:cs="宋体"/>
          <w:b/>
          <w:bCs/>
          <w:color w:val="FF0000"/>
          <w:sz w:val="21"/>
          <w:szCs w:val="21"/>
          <w:highlight w:val="none"/>
          <w:lang w:val="en-US" w:eastAsia="zh-CN"/>
        </w:rPr>
        <w:t>〔2026〕2号</w:t>
      </w:r>
      <w:r>
        <w:rPr>
          <w:rFonts w:hint="eastAsia" w:ascii="宋体" w:hAnsi="宋体" w:eastAsia="宋体" w:cs="宋体"/>
          <w:b/>
          <w:bCs/>
          <w:color w:val="FF0000"/>
          <w:sz w:val="21"/>
          <w:szCs w:val="21"/>
          <w:highlight w:val="none"/>
          <w:lang w:val="en-US" w:eastAsia="zh-CN"/>
        </w:rPr>
        <w:t>）的规定要求：</w:t>
      </w:r>
    </w:p>
    <w:p w14:paraId="23F4E220">
      <w:pPr>
        <w:keepNext w:val="0"/>
        <w:keepLines w:val="0"/>
        <w:pageBreakBefore w:val="0"/>
        <w:widowControl w:val="0"/>
        <w:kinsoku/>
        <w:wordWrap/>
        <w:overflowPunct/>
        <w:topLinePunct w:val="0"/>
        <w:autoSpaceDE/>
        <w:autoSpaceDN/>
        <w:bidi w:val="0"/>
        <w:adjustRightInd/>
        <w:snapToGrid/>
        <w:spacing w:line="440" w:lineRule="exact"/>
        <w:ind w:firstLine="422" w:firstLineChars="200"/>
        <w:textAlignment w:val="auto"/>
        <w:rPr>
          <w:rFonts w:hint="eastAsia" w:ascii="宋体" w:hAnsi="宋体" w:eastAsia="宋体" w:cs="宋体"/>
          <w:b/>
          <w:bCs/>
          <w:color w:val="FF0000"/>
          <w:sz w:val="21"/>
          <w:szCs w:val="21"/>
          <w:highlight w:val="none"/>
          <w:lang w:val="en-US" w:eastAsia="zh-CN"/>
        </w:rPr>
      </w:pPr>
      <w:r>
        <w:rPr>
          <w:rFonts w:hint="eastAsia" w:ascii="宋体" w:hAnsi="宋体" w:eastAsia="宋体" w:cs="宋体"/>
          <w:b/>
          <w:bCs/>
          <w:color w:val="FF0000"/>
          <w:sz w:val="21"/>
          <w:szCs w:val="21"/>
          <w:highlight w:val="none"/>
          <w:lang w:val="en-US" w:eastAsia="zh-CN"/>
        </w:rPr>
        <w:t>（一）评审过程中出现下列情形之一的，评审委员会应当启动异常低价投标（响应）审查程序：</w:t>
      </w:r>
    </w:p>
    <w:p w14:paraId="3C0D65A3">
      <w:pPr>
        <w:keepNext w:val="0"/>
        <w:keepLines w:val="0"/>
        <w:pageBreakBefore w:val="0"/>
        <w:widowControl w:val="0"/>
        <w:kinsoku/>
        <w:wordWrap/>
        <w:overflowPunct/>
        <w:topLinePunct w:val="0"/>
        <w:autoSpaceDE/>
        <w:autoSpaceDN/>
        <w:bidi w:val="0"/>
        <w:adjustRightInd/>
        <w:snapToGrid/>
        <w:spacing w:line="440" w:lineRule="exact"/>
        <w:ind w:firstLine="422" w:firstLineChars="200"/>
        <w:textAlignment w:val="auto"/>
        <w:rPr>
          <w:rFonts w:hint="eastAsia" w:ascii="宋体" w:hAnsi="宋体" w:eastAsia="宋体" w:cs="宋体"/>
          <w:b/>
          <w:bCs/>
          <w:color w:val="FF0000"/>
          <w:sz w:val="21"/>
          <w:szCs w:val="21"/>
          <w:highlight w:val="none"/>
          <w:lang w:val="en-US" w:eastAsia="zh-CN"/>
        </w:rPr>
      </w:pPr>
      <w:r>
        <w:rPr>
          <w:rFonts w:hint="eastAsia" w:ascii="宋体" w:hAnsi="宋体" w:cs="宋体"/>
          <w:b/>
          <w:bCs/>
          <w:color w:val="FF0000"/>
          <w:sz w:val="21"/>
          <w:szCs w:val="21"/>
          <w:highlight w:val="none"/>
          <w:lang w:val="en-US" w:eastAsia="zh-CN"/>
        </w:rPr>
        <w:t>1.</w:t>
      </w:r>
      <w:r>
        <w:rPr>
          <w:rFonts w:hint="eastAsia" w:ascii="宋体" w:hAnsi="宋体" w:eastAsia="宋体" w:cs="宋体"/>
          <w:b/>
          <w:bCs/>
          <w:color w:val="FF0000"/>
          <w:sz w:val="21"/>
          <w:szCs w:val="21"/>
          <w:highlight w:val="none"/>
          <w:lang w:val="en-US" w:eastAsia="zh-CN"/>
        </w:rPr>
        <w:t xml:space="preserve">投标（响应）报价低于采购项目全部有效投标人平均值 50%的，即投标（响应）报价＜采购项目全部有效投标人平均值×50% ； </w:t>
      </w:r>
    </w:p>
    <w:p w14:paraId="0F9E4BB1">
      <w:pPr>
        <w:keepNext w:val="0"/>
        <w:keepLines w:val="0"/>
        <w:pageBreakBefore w:val="0"/>
        <w:widowControl w:val="0"/>
        <w:kinsoku/>
        <w:wordWrap/>
        <w:overflowPunct/>
        <w:topLinePunct w:val="0"/>
        <w:autoSpaceDE/>
        <w:autoSpaceDN/>
        <w:bidi w:val="0"/>
        <w:adjustRightInd/>
        <w:snapToGrid/>
        <w:spacing w:line="440" w:lineRule="exact"/>
        <w:ind w:firstLine="422" w:firstLineChars="200"/>
        <w:textAlignment w:val="auto"/>
        <w:rPr>
          <w:rFonts w:hint="eastAsia" w:ascii="宋体" w:hAnsi="宋体" w:eastAsia="宋体" w:cs="宋体"/>
          <w:b/>
          <w:bCs/>
          <w:color w:val="FF0000"/>
          <w:sz w:val="21"/>
          <w:szCs w:val="21"/>
          <w:highlight w:val="none"/>
          <w:lang w:val="en-US" w:eastAsia="zh-CN"/>
        </w:rPr>
      </w:pPr>
      <w:r>
        <w:rPr>
          <w:rFonts w:hint="eastAsia" w:ascii="宋体" w:hAnsi="宋体" w:cs="宋体"/>
          <w:b/>
          <w:bCs/>
          <w:color w:val="FF0000"/>
          <w:sz w:val="21"/>
          <w:szCs w:val="21"/>
          <w:highlight w:val="none"/>
          <w:lang w:val="en-US" w:eastAsia="zh-CN"/>
        </w:rPr>
        <w:t>2.</w:t>
      </w:r>
      <w:r>
        <w:rPr>
          <w:rFonts w:hint="eastAsia" w:ascii="宋体" w:hAnsi="宋体" w:eastAsia="宋体" w:cs="宋体"/>
          <w:b/>
          <w:bCs/>
          <w:color w:val="FF0000"/>
          <w:sz w:val="21"/>
          <w:szCs w:val="21"/>
          <w:highlight w:val="none"/>
          <w:lang w:val="en-US" w:eastAsia="zh-CN"/>
        </w:rPr>
        <w:t>投标（响应）报价低于采购项目有效投标人次低报价 50%的，即投标（响应）报价＜采购项目有效投标人次低报价×50% ；</w:t>
      </w:r>
    </w:p>
    <w:p w14:paraId="0C4AE35C">
      <w:pPr>
        <w:keepNext w:val="0"/>
        <w:keepLines w:val="0"/>
        <w:pageBreakBefore w:val="0"/>
        <w:widowControl w:val="0"/>
        <w:kinsoku/>
        <w:wordWrap/>
        <w:overflowPunct/>
        <w:topLinePunct w:val="0"/>
        <w:autoSpaceDE/>
        <w:autoSpaceDN/>
        <w:bidi w:val="0"/>
        <w:adjustRightInd/>
        <w:snapToGrid/>
        <w:spacing w:line="440" w:lineRule="exact"/>
        <w:ind w:firstLine="422" w:firstLineChars="200"/>
        <w:textAlignment w:val="auto"/>
        <w:rPr>
          <w:rFonts w:hint="eastAsia" w:ascii="宋体" w:hAnsi="宋体" w:eastAsia="宋体" w:cs="宋体"/>
          <w:b/>
          <w:bCs/>
          <w:color w:val="FF0000"/>
          <w:sz w:val="21"/>
          <w:szCs w:val="21"/>
          <w:highlight w:val="none"/>
          <w:lang w:val="en-US" w:eastAsia="zh-CN"/>
        </w:rPr>
      </w:pPr>
      <w:r>
        <w:rPr>
          <w:rFonts w:hint="eastAsia" w:ascii="宋体" w:hAnsi="宋体" w:eastAsia="宋体" w:cs="宋体"/>
          <w:b/>
          <w:bCs/>
          <w:color w:val="FF0000"/>
          <w:sz w:val="21"/>
          <w:szCs w:val="21"/>
          <w:highlight w:val="none"/>
          <w:lang w:val="en-US" w:eastAsia="zh-CN"/>
        </w:rPr>
        <w:t>3.投标（响应）报价低于采购项目最高限价45%的，即投标（响应）报价＜采购项目最高限价×45% ；</w:t>
      </w:r>
    </w:p>
    <w:p w14:paraId="1CE99390">
      <w:pPr>
        <w:keepNext w:val="0"/>
        <w:keepLines w:val="0"/>
        <w:pageBreakBefore w:val="0"/>
        <w:widowControl w:val="0"/>
        <w:kinsoku/>
        <w:wordWrap/>
        <w:overflowPunct/>
        <w:topLinePunct w:val="0"/>
        <w:autoSpaceDE/>
        <w:autoSpaceDN/>
        <w:bidi w:val="0"/>
        <w:adjustRightInd/>
        <w:snapToGrid/>
        <w:spacing w:line="440" w:lineRule="exact"/>
        <w:ind w:firstLine="422" w:firstLineChars="200"/>
        <w:textAlignment w:val="auto"/>
        <w:rPr>
          <w:rFonts w:hint="eastAsia" w:ascii="宋体" w:hAnsi="宋体" w:eastAsia="宋体" w:cs="宋体"/>
          <w:b/>
          <w:bCs/>
          <w:color w:val="FF0000"/>
          <w:sz w:val="21"/>
          <w:szCs w:val="21"/>
          <w:highlight w:val="none"/>
          <w:lang w:val="en-US" w:eastAsia="zh-CN"/>
        </w:rPr>
      </w:pPr>
      <w:r>
        <w:rPr>
          <w:rFonts w:hint="eastAsia" w:ascii="宋体" w:hAnsi="宋体" w:cs="宋体"/>
          <w:b/>
          <w:bCs/>
          <w:color w:val="FF0000"/>
          <w:sz w:val="21"/>
          <w:szCs w:val="21"/>
          <w:highlight w:val="none"/>
          <w:lang w:val="en-US" w:eastAsia="zh-CN"/>
        </w:rPr>
        <w:t>4.</w:t>
      </w:r>
      <w:r>
        <w:rPr>
          <w:rFonts w:hint="eastAsia" w:ascii="宋体" w:hAnsi="宋体" w:eastAsia="宋体" w:cs="宋体"/>
          <w:b/>
          <w:bCs/>
          <w:color w:val="FF0000"/>
          <w:sz w:val="21"/>
          <w:szCs w:val="21"/>
          <w:highlight w:val="none"/>
          <w:lang w:val="en-US" w:eastAsia="zh-CN"/>
        </w:rPr>
        <w:t>评审委员会认定的供应商报价过低、有可能影响产品质量或者不能诚信履约的其他情形。</w:t>
      </w:r>
    </w:p>
    <w:p w14:paraId="72FE8DF9">
      <w:pPr>
        <w:keepNext w:val="0"/>
        <w:keepLines w:val="0"/>
        <w:pageBreakBefore w:val="0"/>
        <w:widowControl w:val="0"/>
        <w:kinsoku/>
        <w:wordWrap/>
        <w:overflowPunct/>
        <w:topLinePunct w:val="0"/>
        <w:autoSpaceDE/>
        <w:autoSpaceDN/>
        <w:bidi w:val="0"/>
        <w:adjustRightInd/>
        <w:snapToGrid/>
        <w:spacing w:line="440" w:lineRule="exact"/>
        <w:ind w:firstLine="422" w:firstLineChars="200"/>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b/>
          <w:bCs/>
          <w:color w:val="FF0000"/>
          <w:sz w:val="21"/>
          <w:szCs w:val="21"/>
          <w:highlight w:val="none"/>
          <w:lang w:val="en-US" w:eastAsia="zh-CN"/>
        </w:rPr>
        <w:t>（二）启动异常低价投标（响应）审查后，评审委员会应当要求相关供应商在评标现场接到通知后30分钟内，提供书面说明及相关证明材料给评标委员会（投标联系人手机保持畅通，如无法接通，视为自动放弃该投标的</w:t>
      </w:r>
      <w:r>
        <w:rPr>
          <w:rFonts w:hint="eastAsia" w:ascii="宋体" w:hAnsi="宋体" w:cs="宋体"/>
          <w:b/>
          <w:bCs/>
          <w:color w:val="FF0000"/>
          <w:sz w:val="21"/>
          <w:szCs w:val="21"/>
          <w:highlight w:val="none"/>
          <w:lang w:val="en-US" w:eastAsia="zh-CN"/>
        </w:rPr>
        <w:t>一切权利</w:t>
      </w:r>
      <w:r>
        <w:rPr>
          <w:rFonts w:hint="eastAsia" w:ascii="宋体" w:hAnsi="宋体" w:eastAsia="宋体" w:cs="宋体"/>
          <w:b/>
          <w:bCs/>
          <w:color w:val="FF0000"/>
          <w:sz w:val="21"/>
          <w:szCs w:val="21"/>
          <w:highlight w:val="none"/>
          <w:lang w:val="en-US" w:eastAsia="zh-CN"/>
        </w:rPr>
        <w:t>），对投标（响应）价格作出解释，由评审委员会结合同类产品在主要电商平台的价格、该行业当地薪资水平等情况，依据专业经验对供应商报价合理性进行判断。投标（响应）供应商不提供书面说明、证明材料，或者提供的书面说明、证明材料不能证明其报价合理性的，评审委员会应当将其作为无效投标（响应）处理。审查相关情况应当在评审报告中进行记录。</w:t>
      </w:r>
      <w:r>
        <w:rPr>
          <w:rFonts w:hint="eastAsia" w:ascii="宋体" w:hAnsi="宋体" w:eastAsia="宋体" w:cs="宋体"/>
          <w:color w:val="auto"/>
          <w:sz w:val="21"/>
          <w:szCs w:val="21"/>
          <w:highlight w:val="none"/>
          <w:lang w:val="en-US" w:eastAsia="zh-CN"/>
        </w:rPr>
        <w:t>27.1.11 本项目采购产品被财政部、国家发展改革委、生态环境部等列入“节能产品品目清单”“环境标志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图片）</w:t>
      </w:r>
    </w:p>
    <w:p w14:paraId="6E8E9D77">
      <w:pPr>
        <w:keepNext w:val="0"/>
        <w:keepLines w:val="0"/>
        <w:pageBreakBefore w:val="0"/>
        <w:widowControl w:val="0"/>
        <w:kinsoku/>
        <w:wordWrap/>
        <w:overflowPunct/>
        <w:topLinePunct w:val="0"/>
        <w:autoSpaceDE/>
        <w:autoSpaceDN/>
        <w:bidi w:val="0"/>
        <w:adjustRightInd/>
        <w:snapToGrid/>
        <w:spacing w:line="440" w:lineRule="exact"/>
        <w:ind w:firstLine="420" w:firstLineChars="200"/>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27.1.12 投标文件未按照招标文件要求加盖CA电子公章的。</w:t>
      </w:r>
    </w:p>
    <w:p w14:paraId="31D84FA5">
      <w:pPr>
        <w:keepNext w:val="0"/>
        <w:keepLines w:val="0"/>
        <w:pageBreakBefore w:val="0"/>
        <w:widowControl w:val="0"/>
        <w:kinsoku/>
        <w:wordWrap/>
        <w:overflowPunct/>
        <w:topLinePunct w:val="0"/>
        <w:autoSpaceDE/>
        <w:autoSpaceDN/>
        <w:bidi w:val="0"/>
        <w:adjustRightInd/>
        <w:snapToGrid/>
        <w:spacing w:line="440" w:lineRule="exact"/>
        <w:ind w:firstLine="420" w:firstLineChars="200"/>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27.1.13其他法律法规及本招标文件规定的属于无效投标的情形。</w:t>
      </w:r>
    </w:p>
    <w:p w14:paraId="7744A2B3">
      <w:pPr>
        <w:pageBreakBefore w:val="0"/>
        <w:widowControl/>
        <w:kinsoku/>
        <w:wordWrap/>
        <w:overflowPunct/>
        <w:topLinePunct w:val="0"/>
        <w:autoSpaceDE/>
        <w:autoSpaceDN/>
        <w:bidi w:val="0"/>
        <w:adjustRightInd/>
        <w:snapToGrid/>
        <w:spacing w:line="480" w:lineRule="exact"/>
        <w:ind w:firstLine="420"/>
        <w:jc w:val="left"/>
        <w:textAlignment w:val="auto"/>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27.2对小微型企业、监狱企业和残疾人福利单位的价格扣除</w:t>
      </w:r>
    </w:p>
    <w:p w14:paraId="718F864E">
      <w:pPr>
        <w:pageBreakBefore w:val="0"/>
        <w:widowControl/>
        <w:kinsoku/>
        <w:wordWrap/>
        <w:overflowPunct/>
        <w:topLinePunct w:val="0"/>
        <w:autoSpaceDE/>
        <w:autoSpaceDN/>
        <w:bidi w:val="0"/>
        <w:adjustRightInd/>
        <w:snapToGrid/>
        <w:spacing w:line="480" w:lineRule="exact"/>
        <w:ind w:firstLine="420"/>
        <w:jc w:val="left"/>
        <w:textAlignment w:val="auto"/>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（1）小微型企业价格扣除</w:t>
      </w:r>
    </w:p>
    <w:p w14:paraId="0411FCB6">
      <w:pPr>
        <w:pageBreakBefore w:val="0"/>
        <w:widowControl/>
        <w:kinsoku/>
        <w:wordWrap/>
        <w:overflowPunct/>
        <w:topLinePunct w:val="0"/>
        <w:autoSpaceDE/>
        <w:autoSpaceDN/>
        <w:bidi w:val="0"/>
        <w:adjustRightInd/>
        <w:snapToGrid/>
        <w:spacing w:line="480" w:lineRule="exact"/>
        <w:ind w:firstLine="420"/>
        <w:jc w:val="left"/>
        <w:textAlignment w:val="auto"/>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①本项目对小型和微型企业产品给予20%的扣除价格，用扣除后的价格参与评审。</w:t>
      </w:r>
    </w:p>
    <w:p w14:paraId="57FD0AC8">
      <w:pPr>
        <w:pageBreakBefore w:val="0"/>
        <w:widowControl/>
        <w:kinsoku/>
        <w:wordWrap/>
        <w:overflowPunct/>
        <w:topLinePunct w:val="0"/>
        <w:autoSpaceDE/>
        <w:autoSpaceDN/>
        <w:bidi w:val="0"/>
        <w:adjustRightInd/>
        <w:snapToGrid/>
        <w:spacing w:line="480" w:lineRule="exact"/>
        <w:ind w:firstLine="420"/>
        <w:jc w:val="left"/>
        <w:textAlignment w:val="auto"/>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②供应商需按照采购文件的要求提供相应的《小微企业声明函》。</w:t>
      </w:r>
    </w:p>
    <w:p w14:paraId="5DF67EDF">
      <w:pPr>
        <w:pageBreakBefore w:val="0"/>
        <w:widowControl/>
        <w:kinsoku/>
        <w:wordWrap/>
        <w:overflowPunct/>
        <w:topLinePunct w:val="0"/>
        <w:autoSpaceDE/>
        <w:autoSpaceDN/>
        <w:bidi w:val="0"/>
        <w:adjustRightInd/>
        <w:snapToGrid/>
        <w:spacing w:line="480" w:lineRule="exact"/>
        <w:ind w:firstLine="420"/>
        <w:jc w:val="left"/>
        <w:textAlignment w:val="auto"/>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③企业标准请参照《关于印发中小企业划型标准规定的通知》（工信部联企业</w:t>
      </w:r>
      <w:r>
        <w:rPr>
          <w:rFonts w:hint="eastAsia" w:ascii="宋体" w:hAnsi="宋体" w:cs="宋体"/>
          <w:color w:val="auto"/>
          <w:szCs w:val="21"/>
          <w:highlight w:val="none"/>
          <w:lang w:val="en-US" w:eastAsia="zh-CN"/>
        </w:rPr>
        <w:t>〔2011〕300号</w:t>
      </w:r>
      <w:r>
        <w:rPr>
          <w:rFonts w:hint="eastAsia" w:ascii="宋体" w:hAnsi="宋体" w:eastAsia="宋体" w:cs="宋体"/>
          <w:color w:val="auto"/>
          <w:szCs w:val="21"/>
          <w:highlight w:val="none"/>
          <w:lang w:val="en-US" w:eastAsia="zh-CN"/>
        </w:rPr>
        <w:t>）文件规定自行填写。</w:t>
      </w:r>
    </w:p>
    <w:p w14:paraId="18705407">
      <w:pPr>
        <w:pageBreakBefore w:val="0"/>
        <w:widowControl/>
        <w:kinsoku/>
        <w:wordWrap/>
        <w:overflowPunct/>
        <w:topLinePunct w:val="0"/>
        <w:autoSpaceDE/>
        <w:autoSpaceDN/>
        <w:bidi w:val="0"/>
        <w:adjustRightInd/>
        <w:snapToGrid/>
        <w:spacing w:line="480" w:lineRule="exact"/>
        <w:ind w:firstLine="420"/>
        <w:jc w:val="left"/>
        <w:textAlignment w:val="auto"/>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（2）残疾人福利单位价格扣除</w:t>
      </w:r>
    </w:p>
    <w:p w14:paraId="38A8CD7E">
      <w:pPr>
        <w:pageBreakBefore w:val="0"/>
        <w:widowControl/>
        <w:kinsoku/>
        <w:wordWrap/>
        <w:overflowPunct/>
        <w:topLinePunct w:val="0"/>
        <w:autoSpaceDE/>
        <w:autoSpaceDN/>
        <w:bidi w:val="0"/>
        <w:adjustRightInd/>
        <w:snapToGrid/>
        <w:spacing w:line="480" w:lineRule="exact"/>
        <w:ind w:firstLine="420"/>
        <w:jc w:val="left"/>
        <w:textAlignment w:val="auto"/>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①本项目对残疾人福利性单位视同小型、微型企业，给予20%</w:t>
      </w:r>
    </w:p>
    <w:p w14:paraId="5F958853">
      <w:pPr>
        <w:pageBreakBefore w:val="0"/>
        <w:widowControl/>
        <w:kinsoku/>
        <w:wordWrap/>
        <w:overflowPunct/>
        <w:topLinePunct w:val="0"/>
        <w:autoSpaceDE/>
        <w:autoSpaceDN/>
        <w:bidi w:val="0"/>
        <w:adjustRightInd/>
        <w:snapToGrid/>
        <w:spacing w:line="480" w:lineRule="exact"/>
        <w:ind w:firstLine="420"/>
        <w:jc w:val="left"/>
        <w:textAlignment w:val="auto"/>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②残疾人福利单位需按照采购文件的要求提供《残疾人福利性单位声明函》。</w:t>
      </w:r>
    </w:p>
    <w:p w14:paraId="508D609B">
      <w:pPr>
        <w:pageBreakBefore w:val="0"/>
        <w:widowControl/>
        <w:kinsoku/>
        <w:wordWrap/>
        <w:overflowPunct/>
        <w:topLinePunct w:val="0"/>
        <w:autoSpaceDE/>
        <w:autoSpaceDN/>
        <w:bidi w:val="0"/>
        <w:adjustRightInd/>
        <w:snapToGrid/>
        <w:spacing w:line="480" w:lineRule="exact"/>
        <w:ind w:firstLine="420"/>
        <w:jc w:val="left"/>
        <w:textAlignment w:val="auto"/>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③残疾人福利单位标准请参照《关于促进残疾人就业政府采购政策的通知》（财库〔2017〕141号）。</w:t>
      </w:r>
    </w:p>
    <w:p w14:paraId="2F49D9B4">
      <w:pPr>
        <w:pageBreakBefore w:val="0"/>
        <w:widowControl/>
        <w:kinsoku/>
        <w:wordWrap/>
        <w:overflowPunct/>
        <w:topLinePunct w:val="0"/>
        <w:autoSpaceDE/>
        <w:autoSpaceDN/>
        <w:bidi w:val="0"/>
        <w:adjustRightInd/>
        <w:snapToGrid/>
        <w:spacing w:line="480" w:lineRule="exact"/>
        <w:ind w:firstLine="420"/>
        <w:jc w:val="left"/>
        <w:textAlignment w:val="auto"/>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（3）监狱和戒毒企业价格扣除</w:t>
      </w:r>
    </w:p>
    <w:p w14:paraId="67822808">
      <w:pPr>
        <w:pageBreakBefore w:val="0"/>
        <w:widowControl/>
        <w:kinsoku/>
        <w:wordWrap/>
        <w:overflowPunct/>
        <w:topLinePunct w:val="0"/>
        <w:autoSpaceDE/>
        <w:autoSpaceDN/>
        <w:bidi w:val="0"/>
        <w:adjustRightInd/>
        <w:snapToGrid/>
        <w:spacing w:line="480" w:lineRule="exact"/>
        <w:ind w:firstLine="420"/>
        <w:jc w:val="left"/>
        <w:textAlignment w:val="auto"/>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①本项目对监狱和戒毒企业（简称监狱企业）视同小型、微型企业，给予20%</w:t>
      </w:r>
    </w:p>
    <w:p w14:paraId="3B51A7C3">
      <w:pPr>
        <w:pageBreakBefore w:val="0"/>
        <w:widowControl/>
        <w:kinsoku/>
        <w:wordWrap/>
        <w:overflowPunct/>
        <w:topLinePunct w:val="0"/>
        <w:autoSpaceDE/>
        <w:autoSpaceDN/>
        <w:bidi w:val="0"/>
        <w:adjustRightInd/>
        <w:snapToGrid/>
        <w:spacing w:line="480" w:lineRule="exact"/>
        <w:ind w:firstLine="420"/>
        <w:jc w:val="left"/>
        <w:textAlignment w:val="auto"/>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②监狱企业参加政府采购活动时，需提供由省级以上监狱管理局、戒毒管理局</w:t>
      </w:r>
      <w:r>
        <w:rPr>
          <w:rFonts w:hint="eastAsia" w:ascii="宋体" w:hAnsi="宋体" w:cs="宋体"/>
          <w:color w:val="auto"/>
          <w:szCs w:val="21"/>
          <w:highlight w:val="none"/>
          <w:lang w:val="en-US" w:eastAsia="zh-CN"/>
        </w:rPr>
        <w:t>（</w:t>
      </w:r>
      <w:r>
        <w:rPr>
          <w:rFonts w:hint="eastAsia" w:ascii="宋体" w:hAnsi="宋体" w:eastAsia="宋体" w:cs="宋体"/>
          <w:color w:val="auto"/>
          <w:szCs w:val="21"/>
          <w:highlight w:val="none"/>
          <w:lang w:val="en-US" w:eastAsia="zh-CN"/>
        </w:rPr>
        <w:t>含新疆生产建设兵团</w:t>
      </w:r>
      <w:r>
        <w:rPr>
          <w:rFonts w:hint="eastAsia" w:ascii="宋体" w:hAnsi="宋体" w:cs="宋体"/>
          <w:color w:val="auto"/>
          <w:szCs w:val="21"/>
          <w:highlight w:val="none"/>
          <w:lang w:val="en-US" w:eastAsia="zh-CN"/>
        </w:rPr>
        <w:t>）</w:t>
      </w:r>
      <w:r>
        <w:rPr>
          <w:rFonts w:hint="eastAsia" w:ascii="宋体" w:hAnsi="宋体" w:eastAsia="宋体" w:cs="宋体"/>
          <w:color w:val="auto"/>
          <w:szCs w:val="21"/>
          <w:highlight w:val="none"/>
          <w:lang w:val="en-US" w:eastAsia="zh-CN"/>
        </w:rPr>
        <w:t>出具的属于监狱企业的证明文件。供应商如不提供上述证明文件，价格将不做相应扣除。</w:t>
      </w:r>
    </w:p>
    <w:p w14:paraId="489EFFCA">
      <w:pPr>
        <w:pageBreakBefore w:val="0"/>
        <w:widowControl/>
        <w:kinsoku/>
        <w:wordWrap/>
        <w:overflowPunct/>
        <w:topLinePunct w:val="0"/>
        <w:autoSpaceDE/>
        <w:autoSpaceDN/>
        <w:bidi w:val="0"/>
        <w:adjustRightInd/>
        <w:snapToGrid/>
        <w:spacing w:line="480" w:lineRule="exact"/>
        <w:ind w:firstLine="420"/>
        <w:jc w:val="left"/>
        <w:textAlignment w:val="auto"/>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③监狱企业标准请参照《关于政府采购支持监狱企业发展有关问题的通知》（财库</w:t>
      </w:r>
      <w:r>
        <w:rPr>
          <w:rFonts w:hint="eastAsia" w:ascii="宋体" w:hAnsi="宋体" w:cs="宋体"/>
          <w:color w:val="auto"/>
          <w:szCs w:val="21"/>
          <w:highlight w:val="none"/>
          <w:lang w:val="en-US" w:eastAsia="zh-CN"/>
        </w:rPr>
        <w:t>〔2014〕68号</w:t>
      </w:r>
      <w:r>
        <w:rPr>
          <w:rFonts w:hint="eastAsia" w:ascii="宋体" w:hAnsi="宋体" w:eastAsia="宋体" w:cs="宋体"/>
          <w:color w:val="auto"/>
          <w:szCs w:val="21"/>
          <w:highlight w:val="none"/>
          <w:lang w:val="en-US" w:eastAsia="zh-CN"/>
        </w:rPr>
        <w:t>）。</w:t>
      </w:r>
    </w:p>
    <w:p w14:paraId="102177A4">
      <w:pPr>
        <w:pageBreakBefore w:val="0"/>
        <w:widowControl/>
        <w:kinsoku/>
        <w:wordWrap/>
        <w:overflowPunct/>
        <w:topLinePunct w:val="0"/>
        <w:autoSpaceDE/>
        <w:autoSpaceDN/>
        <w:bidi w:val="0"/>
        <w:adjustRightInd/>
        <w:snapToGrid/>
        <w:spacing w:line="480" w:lineRule="exact"/>
        <w:ind w:firstLine="420"/>
        <w:jc w:val="left"/>
        <w:textAlignment w:val="auto"/>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（4）残疾人福利单位、监狱企业属于小型、微型企业的，不重复享受政策。</w:t>
      </w:r>
    </w:p>
    <w:p w14:paraId="02143045">
      <w:pPr>
        <w:pageBreakBefore w:val="0"/>
        <w:widowControl/>
        <w:kinsoku/>
        <w:wordWrap/>
        <w:overflowPunct/>
        <w:topLinePunct w:val="0"/>
        <w:autoSpaceDE/>
        <w:autoSpaceDN/>
        <w:bidi w:val="0"/>
        <w:adjustRightInd/>
        <w:snapToGrid/>
        <w:spacing w:line="480" w:lineRule="exact"/>
        <w:ind w:firstLine="420"/>
        <w:jc w:val="left"/>
        <w:textAlignment w:val="auto"/>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（5）如本项目同意联合体参加谈判或同意分包履行合同的</w:t>
      </w:r>
      <w:r>
        <w:rPr>
          <w:rFonts w:hint="eastAsia" w:ascii="宋体" w:hAnsi="宋体" w:cs="宋体"/>
          <w:color w:val="auto"/>
          <w:szCs w:val="21"/>
          <w:highlight w:val="none"/>
          <w:lang w:val="en-US" w:eastAsia="zh-CN"/>
        </w:rPr>
        <w:t>，</w:t>
      </w:r>
      <w:r>
        <w:rPr>
          <w:rFonts w:hint="eastAsia" w:ascii="宋体" w:hAnsi="宋体" w:eastAsia="宋体" w:cs="宋体"/>
          <w:color w:val="auto"/>
          <w:szCs w:val="21"/>
          <w:highlight w:val="none"/>
          <w:lang w:val="en-US" w:eastAsia="zh-CN"/>
        </w:rPr>
        <w:t>大中型企业和其他自然人、法人或者其他组织并与小型、微型企业（残疾人福利单位、监狱企业）组成联合体共同参加政府采购活动。联合协议中约定，小型、微型企业（残疾人福利单位、监狱企业）的协议合同金额占到联合体协议合同总金额30%以上的，给予联合体6%的价格扣除，用扣除后的价格参与评审。</w:t>
      </w:r>
    </w:p>
    <w:p w14:paraId="536936F7">
      <w:pPr>
        <w:pageBreakBefore w:val="0"/>
        <w:widowControl/>
        <w:kinsoku/>
        <w:wordWrap/>
        <w:overflowPunct/>
        <w:topLinePunct w:val="0"/>
        <w:autoSpaceDE/>
        <w:autoSpaceDN/>
        <w:bidi w:val="0"/>
        <w:adjustRightInd/>
        <w:snapToGrid/>
        <w:spacing w:line="480" w:lineRule="exact"/>
        <w:ind w:firstLine="420"/>
        <w:jc w:val="left"/>
        <w:textAlignment w:val="auto"/>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（6）联合体各方均为小型、微型企业（残疾人福利单位、监狱企业）的，联合体享受20%。</w:t>
      </w:r>
    </w:p>
    <w:p w14:paraId="44461B51">
      <w:pPr>
        <w:pageBreakBefore w:val="0"/>
        <w:widowControl/>
        <w:kinsoku/>
        <w:wordWrap/>
        <w:overflowPunct/>
        <w:topLinePunct w:val="0"/>
        <w:autoSpaceDE/>
        <w:autoSpaceDN/>
        <w:bidi w:val="0"/>
        <w:adjustRightInd/>
        <w:snapToGrid/>
        <w:spacing w:line="480" w:lineRule="exact"/>
        <w:ind w:firstLine="420"/>
        <w:jc w:val="left"/>
        <w:textAlignment w:val="auto"/>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27.3采购本国产品的支持政策</w:t>
      </w:r>
    </w:p>
    <w:p w14:paraId="135A3491">
      <w:pPr>
        <w:pageBreakBefore w:val="0"/>
        <w:widowControl/>
        <w:kinsoku/>
        <w:wordWrap/>
        <w:overflowPunct/>
        <w:topLinePunct w:val="0"/>
        <w:autoSpaceDE/>
        <w:autoSpaceDN/>
        <w:bidi w:val="0"/>
        <w:adjustRightInd/>
        <w:snapToGrid/>
        <w:spacing w:line="480" w:lineRule="exact"/>
        <w:ind w:firstLine="420"/>
        <w:jc w:val="left"/>
        <w:textAlignment w:val="auto"/>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27.3.1本项目政府采购活动中既有本国产品又有非本国产品参与竞争的，依法对本国产品给予价格评审优惠，对本国产品的报价给予20%的价格扣除，用扣除后的价格参与评审。</w:t>
      </w:r>
    </w:p>
    <w:p w14:paraId="330EC57D">
      <w:pPr>
        <w:pageBreakBefore w:val="0"/>
        <w:widowControl/>
        <w:kinsoku/>
        <w:wordWrap/>
        <w:overflowPunct/>
        <w:topLinePunct w:val="0"/>
        <w:autoSpaceDE/>
        <w:autoSpaceDN/>
        <w:bidi w:val="0"/>
        <w:adjustRightInd/>
        <w:snapToGrid/>
        <w:spacing w:line="480" w:lineRule="exact"/>
        <w:ind w:firstLine="420"/>
        <w:jc w:val="left"/>
        <w:textAlignment w:val="auto"/>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27.3.2 当采购项目或者采购包中含有多种产品，供应商为该采购项目或者采购包提供的符合本国产品标准的产品成本之和占该供应商提供的全部产品成本之和的比例达到80%以上时（供应商需在“第六章 投标文件格式”的“ 投标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p>
    <w:p w14:paraId="61D9071F">
      <w:pPr>
        <w:pageBreakBefore w:val="0"/>
        <w:widowControl/>
        <w:kinsoku/>
        <w:wordWrap/>
        <w:overflowPunct/>
        <w:topLinePunct w:val="0"/>
        <w:autoSpaceDE/>
        <w:autoSpaceDN/>
        <w:bidi w:val="0"/>
        <w:adjustRightInd/>
        <w:snapToGrid/>
        <w:spacing w:line="480" w:lineRule="exact"/>
        <w:ind w:firstLine="420"/>
        <w:jc w:val="left"/>
        <w:textAlignment w:val="auto"/>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27.3.3供应商需按照招标文件的要求提供《关于符合本国产品标准的声明函》（以下简称《声明函》），如不提供将不享受本国产品价格评审优惠。</w:t>
      </w:r>
    </w:p>
    <w:p w14:paraId="7EB67029">
      <w:pPr>
        <w:pageBreakBefore w:val="0"/>
        <w:widowControl/>
        <w:kinsoku/>
        <w:wordWrap/>
        <w:overflowPunct/>
        <w:topLinePunct w:val="0"/>
        <w:autoSpaceDE/>
        <w:autoSpaceDN/>
        <w:bidi w:val="0"/>
        <w:adjustRightInd/>
        <w:snapToGrid/>
        <w:spacing w:line="480" w:lineRule="exact"/>
        <w:ind w:firstLine="420"/>
        <w:jc w:val="left"/>
        <w:textAlignment w:val="auto"/>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27.3.4供应商需在《声明函》中逐一、准确填写产品名称、厂名、生产厂址三项信息（《声明函》中用横线划除的地方无需填写），三项信息中任意一项未填写的视为该项产品不符合本国产品标准，不享受本国产品价格评审优惠。</w:t>
      </w:r>
    </w:p>
    <w:p w14:paraId="5E090156">
      <w:pPr>
        <w:pageBreakBefore w:val="0"/>
        <w:widowControl/>
        <w:kinsoku/>
        <w:wordWrap/>
        <w:overflowPunct/>
        <w:topLinePunct w:val="0"/>
        <w:autoSpaceDE/>
        <w:autoSpaceDN/>
        <w:bidi w:val="0"/>
        <w:adjustRightInd/>
        <w:snapToGrid/>
        <w:spacing w:line="480" w:lineRule="exact"/>
        <w:ind w:firstLine="420"/>
        <w:jc w:val="left"/>
        <w:textAlignment w:val="auto"/>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27.3.5评标过程中，如发现供应商在《声明函》内容含义不明确、同类事项与投标（响应）文件表述不一致或者有明显文字错误等情况的，评标委员会应当在苏采云系统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p>
    <w:p w14:paraId="73BD43DB">
      <w:pPr>
        <w:keepNext w:val="0"/>
        <w:keepLines w:val="0"/>
        <w:pageBreakBefore w:val="0"/>
        <w:widowControl w:val="0"/>
        <w:kinsoku/>
        <w:wordWrap/>
        <w:overflowPunct/>
        <w:topLinePunct w:val="0"/>
        <w:autoSpaceDE/>
        <w:autoSpaceDN/>
        <w:bidi w:val="0"/>
        <w:adjustRightInd/>
        <w:snapToGrid/>
        <w:spacing w:line="440" w:lineRule="exact"/>
        <w:ind w:firstLine="420" w:firstLineChars="200"/>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27.5废标条款</w:t>
      </w:r>
    </w:p>
    <w:p w14:paraId="4E0FD256">
      <w:pPr>
        <w:keepNext w:val="0"/>
        <w:keepLines w:val="0"/>
        <w:pageBreakBefore w:val="0"/>
        <w:widowControl w:val="0"/>
        <w:kinsoku/>
        <w:wordWrap/>
        <w:overflowPunct/>
        <w:topLinePunct w:val="0"/>
        <w:autoSpaceDE/>
        <w:autoSpaceDN/>
        <w:bidi w:val="0"/>
        <w:adjustRightInd/>
        <w:snapToGrid/>
        <w:spacing w:line="440" w:lineRule="exact"/>
        <w:ind w:firstLine="420" w:firstLineChars="200"/>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27.5.1符合专业条件的供应商或者对招标文件作实质响应的供应商不足三家的。</w:t>
      </w:r>
    </w:p>
    <w:p w14:paraId="1E029411">
      <w:pPr>
        <w:keepNext w:val="0"/>
        <w:keepLines w:val="0"/>
        <w:pageBreakBefore w:val="0"/>
        <w:widowControl w:val="0"/>
        <w:kinsoku/>
        <w:wordWrap/>
        <w:overflowPunct/>
        <w:topLinePunct w:val="0"/>
        <w:autoSpaceDE/>
        <w:autoSpaceDN/>
        <w:bidi w:val="0"/>
        <w:adjustRightInd/>
        <w:snapToGrid/>
        <w:spacing w:line="440" w:lineRule="exact"/>
        <w:ind w:firstLine="420" w:firstLineChars="200"/>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27.5.2出现影响采购公正的违法、违规行为的。</w:t>
      </w:r>
    </w:p>
    <w:p w14:paraId="621B9CA9">
      <w:pPr>
        <w:keepNext w:val="0"/>
        <w:keepLines w:val="0"/>
        <w:pageBreakBefore w:val="0"/>
        <w:widowControl w:val="0"/>
        <w:kinsoku/>
        <w:wordWrap/>
        <w:overflowPunct/>
        <w:topLinePunct w:val="0"/>
        <w:autoSpaceDE/>
        <w:autoSpaceDN/>
        <w:bidi w:val="0"/>
        <w:adjustRightInd/>
        <w:snapToGrid/>
        <w:spacing w:line="440" w:lineRule="exact"/>
        <w:ind w:firstLine="420" w:firstLineChars="200"/>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27.5.3因重大变故，采购任务取消的。</w:t>
      </w:r>
    </w:p>
    <w:p w14:paraId="5974954B">
      <w:pPr>
        <w:keepNext w:val="0"/>
        <w:keepLines w:val="0"/>
        <w:pageBreakBefore w:val="0"/>
        <w:widowControl w:val="0"/>
        <w:kinsoku/>
        <w:wordWrap/>
        <w:overflowPunct/>
        <w:topLinePunct w:val="0"/>
        <w:autoSpaceDE/>
        <w:autoSpaceDN/>
        <w:bidi w:val="0"/>
        <w:adjustRightInd/>
        <w:snapToGrid/>
        <w:spacing w:line="440" w:lineRule="exact"/>
        <w:ind w:firstLine="420" w:firstLineChars="200"/>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27.5.4评标委员会认定招标文件存在歧义、重大缺陷导致评审工作无法进行。</w:t>
      </w:r>
    </w:p>
    <w:p w14:paraId="57B183E6">
      <w:pPr>
        <w:keepNext w:val="0"/>
        <w:keepLines w:val="0"/>
        <w:pageBreakBefore w:val="0"/>
        <w:widowControl w:val="0"/>
        <w:kinsoku/>
        <w:wordWrap/>
        <w:overflowPunct/>
        <w:topLinePunct w:val="0"/>
        <w:autoSpaceDE/>
        <w:autoSpaceDN/>
        <w:bidi w:val="0"/>
        <w:adjustRightInd/>
        <w:snapToGrid/>
        <w:spacing w:line="440" w:lineRule="exact"/>
        <w:ind w:firstLine="420" w:firstLineChars="200"/>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27.5.5 因苏采云系统故障原因造成开标不成功的。</w:t>
      </w:r>
    </w:p>
    <w:p w14:paraId="3A49423D">
      <w:pPr>
        <w:keepNext w:val="0"/>
        <w:keepLines w:val="0"/>
        <w:pageBreakBefore w:val="0"/>
        <w:widowControl w:val="0"/>
        <w:kinsoku/>
        <w:wordWrap/>
        <w:overflowPunct/>
        <w:topLinePunct w:val="0"/>
        <w:autoSpaceDE/>
        <w:autoSpaceDN/>
        <w:bidi w:val="0"/>
        <w:adjustRightInd/>
        <w:snapToGrid/>
        <w:spacing w:line="440" w:lineRule="exact"/>
        <w:ind w:firstLine="420" w:firstLineChars="200"/>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27.6 投标截止时间结束后参加投标的供应商不足三家的处理：</w:t>
      </w:r>
    </w:p>
    <w:p w14:paraId="6E5A4287">
      <w:pPr>
        <w:keepNext w:val="0"/>
        <w:keepLines w:val="0"/>
        <w:pageBreakBefore w:val="0"/>
        <w:widowControl w:val="0"/>
        <w:kinsoku/>
        <w:wordWrap/>
        <w:overflowPunct/>
        <w:topLinePunct w:val="0"/>
        <w:autoSpaceDE/>
        <w:autoSpaceDN/>
        <w:bidi w:val="0"/>
        <w:adjustRightInd/>
        <w:snapToGrid/>
        <w:spacing w:line="440" w:lineRule="exact"/>
        <w:ind w:firstLine="420" w:firstLineChars="200"/>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27.6.1如出现投标截止时间结束后参加投标的供应商或者在评标期间对招标文件做出实质响应的供应商不足三家情况，按政府采购相关规定执行。</w:t>
      </w:r>
    </w:p>
    <w:p w14:paraId="46BAC7F0">
      <w:pPr>
        <w:keepNext w:val="0"/>
        <w:keepLines w:val="0"/>
        <w:pageBreakBefore w:val="0"/>
        <w:widowControl w:val="0"/>
        <w:kinsoku/>
        <w:wordWrap/>
        <w:overflowPunct/>
        <w:topLinePunct w:val="0"/>
        <w:autoSpaceDE/>
        <w:autoSpaceDN/>
        <w:bidi w:val="0"/>
        <w:adjustRightInd/>
        <w:snapToGrid/>
        <w:spacing w:line="440" w:lineRule="exact"/>
        <w:ind w:firstLine="422" w:firstLineChars="200"/>
        <w:textAlignment w:val="auto"/>
        <w:rPr>
          <w:rFonts w:hint="eastAsia" w:ascii="宋体" w:hAnsi="宋体" w:eastAsia="宋体" w:cs="宋体"/>
          <w:b/>
          <w:bCs/>
          <w:color w:val="auto"/>
          <w:sz w:val="21"/>
          <w:szCs w:val="21"/>
          <w:highlight w:val="none"/>
          <w:lang w:val="en-US" w:eastAsia="zh-CN"/>
        </w:rPr>
      </w:pPr>
      <w:bookmarkStart w:id="160" w:name="_Toc120614219"/>
      <w:r>
        <w:rPr>
          <w:rFonts w:hint="eastAsia" w:ascii="宋体" w:hAnsi="宋体" w:eastAsia="宋体" w:cs="宋体"/>
          <w:b/>
          <w:bCs/>
          <w:color w:val="auto"/>
          <w:sz w:val="21"/>
          <w:szCs w:val="21"/>
          <w:highlight w:val="none"/>
          <w:lang w:val="en-US" w:eastAsia="zh-CN"/>
        </w:rPr>
        <w:t>六、</w:t>
      </w:r>
      <w:bookmarkEnd w:id="157"/>
      <w:bookmarkEnd w:id="158"/>
      <w:bookmarkEnd w:id="159"/>
      <w:r>
        <w:rPr>
          <w:rFonts w:hint="eastAsia" w:ascii="宋体" w:hAnsi="宋体" w:eastAsia="宋体" w:cs="宋体"/>
          <w:b/>
          <w:bCs/>
          <w:color w:val="auto"/>
          <w:sz w:val="21"/>
          <w:szCs w:val="21"/>
          <w:highlight w:val="none"/>
          <w:lang w:val="en-US" w:eastAsia="zh-CN"/>
        </w:rPr>
        <w:t>定标</w:t>
      </w:r>
      <w:bookmarkEnd w:id="160"/>
    </w:p>
    <w:p w14:paraId="0DFE30D9">
      <w:pPr>
        <w:keepNext w:val="0"/>
        <w:keepLines w:val="0"/>
        <w:pageBreakBefore w:val="0"/>
        <w:widowControl w:val="0"/>
        <w:kinsoku/>
        <w:wordWrap/>
        <w:overflowPunct/>
        <w:topLinePunct w:val="0"/>
        <w:autoSpaceDE/>
        <w:autoSpaceDN/>
        <w:bidi w:val="0"/>
        <w:adjustRightInd/>
        <w:snapToGrid/>
        <w:spacing w:line="440" w:lineRule="exact"/>
        <w:ind w:firstLine="422" w:firstLineChars="200"/>
        <w:textAlignment w:val="auto"/>
        <w:rPr>
          <w:rFonts w:hint="eastAsia" w:ascii="宋体" w:hAnsi="宋体" w:eastAsia="宋体" w:cs="宋体"/>
          <w:b/>
          <w:bCs/>
          <w:color w:val="auto"/>
          <w:sz w:val="21"/>
          <w:szCs w:val="21"/>
          <w:highlight w:val="none"/>
          <w:lang w:val="en-US" w:eastAsia="zh-CN"/>
        </w:rPr>
      </w:pPr>
      <w:bookmarkStart w:id="161" w:name="_Toc513029238"/>
      <w:bookmarkStart w:id="162" w:name="_Toc16938554"/>
      <w:bookmarkStart w:id="163" w:name="_Toc20823310"/>
      <w:r>
        <w:rPr>
          <w:rFonts w:hint="eastAsia" w:ascii="宋体" w:hAnsi="宋体" w:eastAsia="宋体" w:cs="宋体"/>
          <w:b/>
          <w:bCs/>
          <w:color w:val="auto"/>
          <w:sz w:val="21"/>
          <w:szCs w:val="21"/>
          <w:highlight w:val="none"/>
          <w:lang w:val="en-US" w:eastAsia="zh-CN"/>
        </w:rPr>
        <w:t>28</w:t>
      </w:r>
      <w:bookmarkEnd w:id="161"/>
      <w:r>
        <w:rPr>
          <w:rFonts w:hint="eastAsia" w:ascii="宋体" w:hAnsi="宋体" w:eastAsia="宋体" w:cs="宋体"/>
          <w:b/>
          <w:bCs/>
          <w:color w:val="auto"/>
          <w:sz w:val="21"/>
          <w:szCs w:val="21"/>
          <w:highlight w:val="none"/>
          <w:lang w:val="en-US" w:eastAsia="zh-CN"/>
        </w:rPr>
        <w:t>.确定</w:t>
      </w:r>
      <w:bookmarkEnd w:id="162"/>
      <w:bookmarkEnd w:id="163"/>
      <w:r>
        <w:rPr>
          <w:rFonts w:hint="eastAsia" w:ascii="宋体" w:hAnsi="宋体" w:eastAsia="宋体" w:cs="宋体"/>
          <w:b/>
          <w:bCs/>
          <w:color w:val="auto"/>
          <w:sz w:val="21"/>
          <w:szCs w:val="21"/>
          <w:highlight w:val="none"/>
          <w:lang w:val="en-US" w:eastAsia="zh-CN"/>
        </w:rPr>
        <w:t>中标单位</w:t>
      </w:r>
    </w:p>
    <w:p w14:paraId="6E47A4FD">
      <w:pPr>
        <w:keepNext w:val="0"/>
        <w:keepLines w:val="0"/>
        <w:pageBreakBefore w:val="0"/>
        <w:widowControl w:val="0"/>
        <w:kinsoku/>
        <w:wordWrap/>
        <w:overflowPunct/>
        <w:topLinePunct w:val="0"/>
        <w:autoSpaceDE/>
        <w:autoSpaceDN/>
        <w:bidi w:val="0"/>
        <w:adjustRightInd/>
        <w:snapToGrid/>
        <w:spacing w:line="440" w:lineRule="exact"/>
        <w:ind w:firstLine="420" w:firstLineChars="200"/>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28.1中标候选人的选取原则和数量见招标文件第五章规定。 </w:t>
      </w:r>
    </w:p>
    <w:p w14:paraId="31A9DD90">
      <w:pPr>
        <w:keepNext w:val="0"/>
        <w:keepLines w:val="0"/>
        <w:pageBreakBefore w:val="0"/>
        <w:widowControl w:val="0"/>
        <w:kinsoku/>
        <w:wordWrap/>
        <w:overflowPunct/>
        <w:topLinePunct w:val="0"/>
        <w:autoSpaceDE/>
        <w:autoSpaceDN/>
        <w:bidi w:val="0"/>
        <w:adjustRightInd/>
        <w:snapToGrid/>
        <w:spacing w:line="440" w:lineRule="exact"/>
        <w:ind w:firstLine="420" w:firstLineChars="200"/>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28.2 采购人应根据评委会推荐的中标候选人确定中标人。</w:t>
      </w:r>
    </w:p>
    <w:p w14:paraId="4F025596">
      <w:pPr>
        <w:keepNext w:val="0"/>
        <w:keepLines w:val="0"/>
        <w:pageBreakBefore w:val="0"/>
        <w:widowControl w:val="0"/>
        <w:kinsoku/>
        <w:wordWrap/>
        <w:overflowPunct/>
        <w:topLinePunct w:val="0"/>
        <w:autoSpaceDE/>
        <w:autoSpaceDN/>
        <w:bidi w:val="0"/>
        <w:adjustRightInd/>
        <w:snapToGrid/>
        <w:spacing w:line="440" w:lineRule="exact"/>
        <w:ind w:firstLine="420" w:firstLineChars="200"/>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28.3 采购人或采购代理机构将在“中国政府采购网”“江苏政府采购网”“盐城市政府采购网”“</w:t>
      </w:r>
      <w:r>
        <w:rPr>
          <w:rFonts w:hint="eastAsia" w:ascii="宋体" w:hAnsi="宋体" w:cs="宋体"/>
          <w:color w:val="auto"/>
          <w:sz w:val="21"/>
          <w:szCs w:val="21"/>
          <w:highlight w:val="none"/>
          <w:lang w:val="en-US" w:eastAsia="zh-CN"/>
        </w:rPr>
        <w:t>阜宁县公共资源电子化综合交易平台</w:t>
      </w:r>
      <w:r>
        <w:rPr>
          <w:rFonts w:hint="eastAsia" w:ascii="宋体" w:hAnsi="宋体" w:eastAsia="宋体" w:cs="宋体"/>
          <w:color w:val="auto"/>
          <w:sz w:val="21"/>
          <w:szCs w:val="21"/>
          <w:highlight w:val="none"/>
          <w:lang w:val="en-US" w:eastAsia="zh-CN"/>
        </w:rPr>
        <w:t>”发布中标公告，公告期限为1个工作日。</w:t>
      </w:r>
    </w:p>
    <w:p w14:paraId="4702E25D">
      <w:pPr>
        <w:keepNext w:val="0"/>
        <w:keepLines w:val="0"/>
        <w:pageBreakBefore w:val="0"/>
        <w:widowControl w:val="0"/>
        <w:kinsoku/>
        <w:wordWrap/>
        <w:overflowPunct/>
        <w:topLinePunct w:val="0"/>
        <w:autoSpaceDE/>
        <w:autoSpaceDN/>
        <w:bidi w:val="0"/>
        <w:adjustRightInd/>
        <w:snapToGrid/>
        <w:spacing w:line="440" w:lineRule="exact"/>
        <w:ind w:firstLine="420" w:firstLineChars="200"/>
        <w:textAlignment w:val="auto"/>
        <w:rPr>
          <w:rFonts w:hint="eastAsia" w:ascii="宋体" w:hAnsi="宋体" w:eastAsia="宋体" w:cs="宋体"/>
          <w:color w:val="auto"/>
          <w:sz w:val="21"/>
          <w:szCs w:val="21"/>
          <w:highlight w:val="none"/>
          <w:lang w:val="en-US" w:eastAsia="zh-CN"/>
        </w:rPr>
      </w:pPr>
      <w:bookmarkStart w:id="164" w:name="_Toc200451960"/>
      <w:r>
        <w:rPr>
          <w:rFonts w:hint="eastAsia" w:ascii="宋体" w:hAnsi="宋体" w:eastAsia="宋体" w:cs="宋体"/>
          <w:color w:val="auto"/>
          <w:sz w:val="21"/>
          <w:szCs w:val="21"/>
          <w:highlight w:val="none"/>
          <w:lang w:val="en-US" w:eastAsia="zh-CN"/>
        </w:rPr>
        <w:t>28.4 若有充分证据证明，中标人出现下列情况之一的，一经查实，将被取消中标资格：</w:t>
      </w:r>
    </w:p>
    <w:p w14:paraId="1C1596EC">
      <w:pPr>
        <w:keepNext w:val="0"/>
        <w:keepLines w:val="0"/>
        <w:pageBreakBefore w:val="0"/>
        <w:widowControl w:val="0"/>
        <w:kinsoku/>
        <w:wordWrap/>
        <w:overflowPunct/>
        <w:topLinePunct w:val="0"/>
        <w:autoSpaceDE/>
        <w:autoSpaceDN/>
        <w:bidi w:val="0"/>
        <w:adjustRightInd/>
        <w:snapToGrid/>
        <w:spacing w:line="440" w:lineRule="exact"/>
        <w:ind w:firstLine="420" w:firstLineChars="200"/>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28.4.1提供虚假材料谋取中标的。</w:t>
      </w:r>
    </w:p>
    <w:p w14:paraId="59D5AEEE">
      <w:pPr>
        <w:keepNext w:val="0"/>
        <w:keepLines w:val="0"/>
        <w:pageBreakBefore w:val="0"/>
        <w:widowControl w:val="0"/>
        <w:kinsoku/>
        <w:wordWrap/>
        <w:overflowPunct/>
        <w:topLinePunct w:val="0"/>
        <w:autoSpaceDE/>
        <w:autoSpaceDN/>
        <w:bidi w:val="0"/>
        <w:adjustRightInd/>
        <w:snapToGrid/>
        <w:spacing w:line="440" w:lineRule="exact"/>
        <w:ind w:firstLine="420" w:firstLineChars="200"/>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28.4.2向采购人、采购代理机构行贿或者提供其他不正当利益的。</w:t>
      </w:r>
    </w:p>
    <w:p w14:paraId="4CA46E10">
      <w:pPr>
        <w:keepNext w:val="0"/>
        <w:keepLines w:val="0"/>
        <w:pageBreakBefore w:val="0"/>
        <w:widowControl w:val="0"/>
        <w:kinsoku/>
        <w:wordWrap/>
        <w:overflowPunct/>
        <w:topLinePunct w:val="0"/>
        <w:autoSpaceDE/>
        <w:autoSpaceDN/>
        <w:bidi w:val="0"/>
        <w:adjustRightInd/>
        <w:snapToGrid/>
        <w:spacing w:line="440" w:lineRule="exact"/>
        <w:ind w:firstLine="420" w:firstLineChars="200"/>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28.4.3属于本文件规定的无效条件，但在评标过程中又未被评委会发现的。</w:t>
      </w:r>
    </w:p>
    <w:p w14:paraId="292121F5">
      <w:pPr>
        <w:keepNext w:val="0"/>
        <w:keepLines w:val="0"/>
        <w:pageBreakBefore w:val="0"/>
        <w:widowControl w:val="0"/>
        <w:kinsoku/>
        <w:wordWrap/>
        <w:overflowPunct/>
        <w:topLinePunct w:val="0"/>
        <w:autoSpaceDE/>
        <w:autoSpaceDN/>
        <w:bidi w:val="0"/>
        <w:adjustRightInd/>
        <w:snapToGrid/>
        <w:spacing w:line="440" w:lineRule="exact"/>
        <w:ind w:firstLine="420" w:firstLineChars="200"/>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28.4.4与采购人或者其他供应商恶意串通的。</w:t>
      </w:r>
    </w:p>
    <w:p w14:paraId="285D45E2">
      <w:pPr>
        <w:keepNext w:val="0"/>
        <w:keepLines w:val="0"/>
        <w:pageBreakBefore w:val="0"/>
        <w:widowControl w:val="0"/>
        <w:kinsoku/>
        <w:wordWrap/>
        <w:overflowPunct/>
        <w:topLinePunct w:val="0"/>
        <w:autoSpaceDE/>
        <w:autoSpaceDN/>
        <w:bidi w:val="0"/>
        <w:adjustRightInd/>
        <w:snapToGrid/>
        <w:spacing w:line="440" w:lineRule="exact"/>
        <w:ind w:firstLine="420" w:firstLineChars="200"/>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28.4.5采取不正当手段诋毁、排挤其他供应商的。</w:t>
      </w:r>
    </w:p>
    <w:p w14:paraId="028EDA37">
      <w:pPr>
        <w:keepNext w:val="0"/>
        <w:keepLines w:val="0"/>
        <w:pageBreakBefore w:val="0"/>
        <w:widowControl w:val="0"/>
        <w:kinsoku/>
        <w:wordWrap/>
        <w:overflowPunct/>
        <w:topLinePunct w:val="0"/>
        <w:autoSpaceDE/>
        <w:autoSpaceDN/>
        <w:bidi w:val="0"/>
        <w:adjustRightInd/>
        <w:snapToGrid/>
        <w:spacing w:line="440" w:lineRule="exact"/>
        <w:ind w:firstLine="420" w:firstLineChars="200"/>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28.5.有下列情形之一的，视为投标人串通投标，投标无效：</w:t>
      </w:r>
    </w:p>
    <w:p w14:paraId="39C88489">
      <w:pPr>
        <w:keepNext w:val="0"/>
        <w:keepLines w:val="0"/>
        <w:pageBreakBefore w:val="0"/>
        <w:widowControl w:val="0"/>
        <w:kinsoku/>
        <w:wordWrap/>
        <w:overflowPunct/>
        <w:topLinePunct w:val="0"/>
        <w:autoSpaceDE/>
        <w:autoSpaceDN/>
        <w:bidi w:val="0"/>
        <w:adjustRightInd/>
        <w:snapToGrid/>
        <w:spacing w:line="440" w:lineRule="exact"/>
        <w:ind w:firstLine="420" w:firstLineChars="200"/>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28.5.1不同投标人的投标文件由同一单位或者个人编制。</w:t>
      </w:r>
    </w:p>
    <w:p w14:paraId="2A23A9A8">
      <w:pPr>
        <w:keepNext w:val="0"/>
        <w:keepLines w:val="0"/>
        <w:pageBreakBefore w:val="0"/>
        <w:widowControl w:val="0"/>
        <w:kinsoku/>
        <w:wordWrap/>
        <w:overflowPunct/>
        <w:topLinePunct w:val="0"/>
        <w:autoSpaceDE/>
        <w:autoSpaceDN/>
        <w:bidi w:val="0"/>
        <w:adjustRightInd/>
        <w:snapToGrid/>
        <w:spacing w:line="440" w:lineRule="exact"/>
        <w:ind w:firstLine="420" w:firstLineChars="200"/>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28.5.2不同投标人委托同一单位或者个人办理投标事宜。</w:t>
      </w:r>
    </w:p>
    <w:p w14:paraId="4FD020D9">
      <w:pPr>
        <w:keepNext w:val="0"/>
        <w:keepLines w:val="0"/>
        <w:pageBreakBefore w:val="0"/>
        <w:widowControl w:val="0"/>
        <w:kinsoku/>
        <w:wordWrap/>
        <w:overflowPunct/>
        <w:topLinePunct w:val="0"/>
        <w:autoSpaceDE/>
        <w:autoSpaceDN/>
        <w:bidi w:val="0"/>
        <w:adjustRightInd/>
        <w:snapToGrid/>
        <w:spacing w:line="440" w:lineRule="exact"/>
        <w:ind w:firstLine="420" w:firstLineChars="200"/>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28.5.3 不同投标人的投标文件载明的项目管理成员或者联系人员为同一人。</w:t>
      </w:r>
    </w:p>
    <w:p w14:paraId="3B469403">
      <w:pPr>
        <w:keepNext w:val="0"/>
        <w:keepLines w:val="0"/>
        <w:pageBreakBefore w:val="0"/>
        <w:widowControl w:val="0"/>
        <w:kinsoku/>
        <w:wordWrap/>
        <w:overflowPunct/>
        <w:topLinePunct w:val="0"/>
        <w:autoSpaceDE/>
        <w:autoSpaceDN/>
        <w:bidi w:val="0"/>
        <w:adjustRightInd/>
        <w:snapToGrid/>
        <w:spacing w:line="440" w:lineRule="exact"/>
        <w:ind w:firstLine="420" w:firstLineChars="200"/>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28.5.4不同投标人的投标文件异常一致或者投标报价呈规律性差异。</w:t>
      </w:r>
    </w:p>
    <w:p w14:paraId="304FF5C1">
      <w:pPr>
        <w:keepNext w:val="0"/>
        <w:keepLines w:val="0"/>
        <w:pageBreakBefore w:val="0"/>
        <w:widowControl w:val="0"/>
        <w:kinsoku/>
        <w:wordWrap/>
        <w:overflowPunct/>
        <w:topLinePunct w:val="0"/>
        <w:autoSpaceDE/>
        <w:autoSpaceDN/>
        <w:bidi w:val="0"/>
        <w:adjustRightInd/>
        <w:snapToGrid/>
        <w:spacing w:line="440" w:lineRule="exact"/>
        <w:ind w:firstLine="422" w:firstLineChars="200"/>
        <w:textAlignment w:val="auto"/>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29.质疑处理</w:t>
      </w:r>
      <w:bookmarkEnd w:id="164"/>
    </w:p>
    <w:p w14:paraId="549E6C94">
      <w:pPr>
        <w:keepNext w:val="0"/>
        <w:keepLines w:val="0"/>
        <w:pageBreakBefore w:val="0"/>
        <w:widowControl w:val="0"/>
        <w:kinsoku/>
        <w:wordWrap/>
        <w:overflowPunct/>
        <w:topLinePunct w:val="0"/>
        <w:autoSpaceDE/>
        <w:autoSpaceDN/>
        <w:bidi w:val="0"/>
        <w:adjustRightInd/>
        <w:snapToGrid/>
        <w:spacing w:line="440" w:lineRule="exact"/>
        <w:ind w:firstLine="420" w:firstLineChars="200"/>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29.1 提出质疑的供应商应当是参与所质疑项目采购活动的供应商。潜在供应商依法获取其可质疑的采购文件的，可以对采购文件提出质疑。</w:t>
      </w:r>
    </w:p>
    <w:p w14:paraId="4BBDB862">
      <w:pPr>
        <w:keepNext w:val="0"/>
        <w:keepLines w:val="0"/>
        <w:pageBreakBefore w:val="0"/>
        <w:widowControl w:val="0"/>
        <w:kinsoku/>
        <w:wordWrap/>
        <w:overflowPunct/>
        <w:topLinePunct w:val="0"/>
        <w:autoSpaceDE/>
        <w:autoSpaceDN/>
        <w:bidi w:val="0"/>
        <w:adjustRightInd/>
        <w:snapToGrid/>
        <w:spacing w:line="440" w:lineRule="exact"/>
        <w:ind w:firstLine="420" w:firstLineChars="200"/>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29.2供应商认为采购文件、采购过程和采购结果使自己的权益受到损害的，可以在知道或应知其权益受到损害之日起七个工作日内，以书面形式根据下述29.4条款的规定向采购人或采购代理机构提出质疑。上述应知其权益受到损害之日，是指：</w:t>
      </w:r>
    </w:p>
    <w:p w14:paraId="12CBAB1D">
      <w:pPr>
        <w:keepNext w:val="0"/>
        <w:keepLines w:val="0"/>
        <w:pageBreakBefore w:val="0"/>
        <w:widowControl w:val="0"/>
        <w:kinsoku/>
        <w:wordWrap/>
        <w:overflowPunct/>
        <w:topLinePunct w:val="0"/>
        <w:autoSpaceDE/>
        <w:autoSpaceDN/>
        <w:bidi w:val="0"/>
        <w:adjustRightInd/>
        <w:snapToGrid/>
        <w:spacing w:line="440" w:lineRule="exact"/>
        <w:ind w:firstLine="420" w:firstLineChars="200"/>
        <w:jc w:val="left"/>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29.2.1对可以质疑的采购文件提出质疑的，为收到采购文件之日或者采购文件公告期限届满之日；</w:t>
      </w:r>
    </w:p>
    <w:p w14:paraId="56F2B00C">
      <w:pPr>
        <w:keepNext w:val="0"/>
        <w:keepLines w:val="0"/>
        <w:pageBreakBefore w:val="0"/>
        <w:widowControl w:val="0"/>
        <w:kinsoku/>
        <w:wordWrap/>
        <w:overflowPunct/>
        <w:topLinePunct w:val="0"/>
        <w:autoSpaceDE/>
        <w:autoSpaceDN/>
        <w:bidi w:val="0"/>
        <w:adjustRightInd/>
        <w:snapToGrid/>
        <w:spacing w:line="440" w:lineRule="exact"/>
        <w:ind w:firstLine="420" w:firstLineChars="200"/>
        <w:jc w:val="left"/>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29.2.2对采购过程提出质疑的，为各采购程序环节结束之日；</w:t>
      </w:r>
    </w:p>
    <w:p w14:paraId="15BCB0B8">
      <w:pPr>
        <w:keepNext w:val="0"/>
        <w:keepLines w:val="0"/>
        <w:pageBreakBefore w:val="0"/>
        <w:widowControl w:val="0"/>
        <w:kinsoku/>
        <w:wordWrap/>
        <w:overflowPunct/>
        <w:topLinePunct w:val="0"/>
        <w:autoSpaceDE/>
        <w:autoSpaceDN/>
        <w:bidi w:val="0"/>
        <w:adjustRightInd/>
        <w:snapToGrid/>
        <w:spacing w:line="440" w:lineRule="exact"/>
        <w:ind w:firstLine="420" w:firstLineChars="200"/>
        <w:jc w:val="left"/>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29.2.3对中标或者成交结果提出质疑的，为中标或者成交结果公告期限届满之日。</w:t>
      </w:r>
    </w:p>
    <w:p w14:paraId="72C751BB">
      <w:pPr>
        <w:keepNext w:val="0"/>
        <w:keepLines w:val="0"/>
        <w:pageBreakBefore w:val="0"/>
        <w:widowControl w:val="0"/>
        <w:kinsoku/>
        <w:wordWrap/>
        <w:overflowPunct/>
        <w:topLinePunct w:val="0"/>
        <w:autoSpaceDE/>
        <w:autoSpaceDN/>
        <w:bidi w:val="0"/>
        <w:adjustRightInd/>
        <w:snapToGrid/>
        <w:spacing w:line="440" w:lineRule="exact"/>
        <w:ind w:firstLine="420" w:firstLineChars="200"/>
        <w:jc w:val="left"/>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供应商应当在法定质疑期内一次性提出针对同一采购程序环节的质疑。供应商如在法定期限内对同一采购程序环节提出多次质疑的，采购人将只对供应商第一次质疑作出答复。</w:t>
      </w:r>
    </w:p>
    <w:p w14:paraId="46D56A42">
      <w:pPr>
        <w:keepNext w:val="0"/>
        <w:keepLines w:val="0"/>
        <w:pageBreakBefore w:val="0"/>
        <w:widowControl w:val="0"/>
        <w:kinsoku/>
        <w:wordWrap/>
        <w:overflowPunct/>
        <w:topLinePunct w:val="0"/>
        <w:autoSpaceDE/>
        <w:autoSpaceDN/>
        <w:bidi w:val="0"/>
        <w:adjustRightInd/>
        <w:snapToGrid/>
        <w:spacing w:line="440" w:lineRule="exact"/>
        <w:ind w:firstLine="420" w:firstLineChars="200"/>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29.3质疑函必须按照本招标文件中《质疑函范本》要求的格式和内容进行填写。供应商如组成联合体参加投标，则《质疑函范本》中要求签字、盖章、加盖公章之处，联合体各方均须按要求签字、盖章、加盖公章。</w:t>
      </w:r>
    </w:p>
    <w:p w14:paraId="1E937AF0">
      <w:pPr>
        <w:keepNext w:val="0"/>
        <w:keepLines w:val="0"/>
        <w:pageBreakBefore w:val="0"/>
        <w:widowControl w:val="0"/>
        <w:kinsoku/>
        <w:wordWrap/>
        <w:overflowPunct/>
        <w:topLinePunct w:val="0"/>
        <w:autoSpaceDE/>
        <w:autoSpaceDN/>
        <w:bidi w:val="0"/>
        <w:adjustRightInd/>
        <w:snapToGrid/>
        <w:spacing w:line="440" w:lineRule="exact"/>
        <w:ind w:firstLine="420" w:firstLineChars="200"/>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29.4 供应商（含潜在供应商）对采购方式、招标文件中采购需求、供应商资格条件、评标方法和评标标准、合同文本及资格审查结果的询问、质疑请向采购人提出，由采购人或采购代理机构负责答复。</w:t>
      </w:r>
    </w:p>
    <w:p w14:paraId="731B3C7D">
      <w:pPr>
        <w:keepNext w:val="0"/>
        <w:keepLines w:val="0"/>
        <w:pageBreakBefore w:val="0"/>
        <w:widowControl w:val="0"/>
        <w:kinsoku/>
        <w:wordWrap/>
        <w:overflowPunct/>
        <w:topLinePunct w:val="0"/>
        <w:autoSpaceDE/>
        <w:autoSpaceDN/>
        <w:bidi w:val="0"/>
        <w:adjustRightInd/>
        <w:snapToGrid/>
        <w:spacing w:line="440" w:lineRule="exact"/>
        <w:ind w:firstLine="420" w:firstLineChars="200"/>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采购人及采购代理机构只接收以纸质原件形式送达的质疑，采购人和采购代理机构不接受未填写快递运单的快件。</w:t>
      </w:r>
    </w:p>
    <w:p w14:paraId="4780EDC3">
      <w:pPr>
        <w:keepNext w:val="0"/>
        <w:keepLines w:val="0"/>
        <w:pageBreakBefore w:val="0"/>
        <w:widowControl w:val="0"/>
        <w:kinsoku/>
        <w:wordWrap/>
        <w:overflowPunct/>
        <w:topLinePunct w:val="0"/>
        <w:autoSpaceDE/>
        <w:autoSpaceDN/>
        <w:bidi w:val="0"/>
        <w:adjustRightInd/>
        <w:snapToGrid/>
        <w:spacing w:line="440" w:lineRule="exact"/>
        <w:ind w:firstLine="420" w:firstLineChars="200"/>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采购人、采购代理机构接收质疑联系人、联系电话和通讯地址等见招标公告采购人信息、采购代理机构信息。</w:t>
      </w:r>
    </w:p>
    <w:p w14:paraId="0D444E0C">
      <w:pPr>
        <w:keepNext w:val="0"/>
        <w:keepLines w:val="0"/>
        <w:pageBreakBefore w:val="0"/>
        <w:widowControl w:val="0"/>
        <w:kinsoku/>
        <w:wordWrap/>
        <w:overflowPunct/>
        <w:topLinePunct w:val="0"/>
        <w:autoSpaceDE/>
        <w:autoSpaceDN/>
        <w:bidi w:val="0"/>
        <w:adjustRightInd/>
        <w:snapToGrid/>
        <w:spacing w:line="440" w:lineRule="exact"/>
        <w:ind w:firstLine="420" w:firstLineChars="200"/>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29.5 以下情形的质疑不予受理</w:t>
      </w:r>
    </w:p>
    <w:p w14:paraId="17E9775D">
      <w:pPr>
        <w:keepNext w:val="0"/>
        <w:keepLines w:val="0"/>
        <w:pageBreakBefore w:val="0"/>
        <w:widowControl w:val="0"/>
        <w:kinsoku/>
        <w:wordWrap/>
        <w:overflowPunct/>
        <w:topLinePunct w:val="0"/>
        <w:autoSpaceDE/>
        <w:autoSpaceDN/>
        <w:bidi w:val="0"/>
        <w:adjustRightInd/>
        <w:snapToGrid/>
        <w:spacing w:line="440" w:lineRule="exact"/>
        <w:ind w:firstLine="420" w:firstLineChars="200"/>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29.5.1 内容不符合《政府采购质疑和投诉办法》第十二条规定的质疑。</w:t>
      </w:r>
    </w:p>
    <w:p w14:paraId="349992DF">
      <w:pPr>
        <w:keepNext w:val="0"/>
        <w:keepLines w:val="0"/>
        <w:pageBreakBefore w:val="0"/>
        <w:widowControl w:val="0"/>
        <w:kinsoku/>
        <w:wordWrap/>
        <w:overflowPunct/>
        <w:topLinePunct w:val="0"/>
        <w:autoSpaceDE/>
        <w:autoSpaceDN/>
        <w:bidi w:val="0"/>
        <w:adjustRightInd/>
        <w:snapToGrid/>
        <w:spacing w:line="440" w:lineRule="exact"/>
        <w:ind w:firstLine="420" w:firstLineChars="200"/>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29.5.2 超出政府采购法定期限的质疑。</w:t>
      </w:r>
    </w:p>
    <w:p w14:paraId="5F3B5494">
      <w:pPr>
        <w:keepNext w:val="0"/>
        <w:keepLines w:val="0"/>
        <w:pageBreakBefore w:val="0"/>
        <w:widowControl w:val="0"/>
        <w:kinsoku/>
        <w:wordWrap/>
        <w:overflowPunct/>
        <w:topLinePunct w:val="0"/>
        <w:autoSpaceDE/>
        <w:autoSpaceDN/>
        <w:bidi w:val="0"/>
        <w:adjustRightInd/>
        <w:snapToGrid/>
        <w:spacing w:line="440" w:lineRule="exact"/>
        <w:ind w:firstLine="420" w:firstLineChars="200"/>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29.5.3 以传真、电子邮件等方式递交的非原件形式的质疑。</w:t>
      </w:r>
    </w:p>
    <w:p w14:paraId="29F388D1">
      <w:pPr>
        <w:keepNext w:val="0"/>
        <w:keepLines w:val="0"/>
        <w:pageBreakBefore w:val="0"/>
        <w:widowControl w:val="0"/>
        <w:kinsoku/>
        <w:wordWrap/>
        <w:overflowPunct/>
        <w:topLinePunct w:val="0"/>
        <w:autoSpaceDE/>
        <w:autoSpaceDN/>
        <w:bidi w:val="0"/>
        <w:adjustRightInd/>
        <w:snapToGrid/>
        <w:spacing w:line="440" w:lineRule="exact"/>
        <w:ind w:firstLine="420" w:firstLineChars="200"/>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29.5.4 未参加投标活动的供应商或在投标活动中自身权益未受到损害的供应商所提出的质疑。</w:t>
      </w:r>
    </w:p>
    <w:p w14:paraId="1507B46D">
      <w:pPr>
        <w:keepNext w:val="0"/>
        <w:keepLines w:val="0"/>
        <w:pageBreakBefore w:val="0"/>
        <w:widowControl w:val="0"/>
        <w:kinsoku/>
        <w:wordWrap/>
        <w:overflowPunct/>
        <w:topLinePunct w:val="0"/>
        <w:autoSpaceDE/>
        <w:autoSpaceDN/>
        <w:bidi w:val="0"/>
        <w:adjustRightInd/>
        <w:snapToGrid/>
        <w:spacing w:line="440" w:lineRule="exact"/>
        <w:ind w:firstLine="420" w:firstLineChars="200"/>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29.5.5供应商组成联合体参加投标，联合体中任何一方或多方未按要求签字、盖章、加盖公章的质疑。</w:t>
      </w:r>
    </w:p>
    <w:p w14:paraId="02DDBC05">
      <w:pPr>
        <w:keepNext w:val="0"/>
        <w:keepLines w:val="0"/>
        <w:pageBreakBefore w:val="0"/>
        <w:widowControl w:val="0"/>
        <w:kinsoku/>
        <w:wordWrap/>
        <w:overflowPunct/>
        <w:topLinePunct w:val="0"/>
        <w:autoSpaceDE/>
        <w:autoSpaceDN/>
        <w:bidi w:val="0"/>
        <w:adjustRightInd/>
        <w:snapToGrid/>
        <w:spacing w:line="440" w:lineRule="exact"/>
        <w:ind w:firstLine="420" w:firstLineChars="200"/>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29.6供应商提出书面质疑必须有理、有据，不得捏造事实、提供虚假材料进行恶意质疑。否则，一经查实，采购人有权依据政府采购的有关规定，报请政府采购监管部门对该供应商进行相应的行政处罚和记录该供应商的失信信息。</w:t>
      </w:r>
    </w:p>
    <w:p w14:paraId="2CFEA842">
      <w:pPr>
        <w:keepNext w:val="0"/>
        <w:keepLines w:val="0"/>
        <w:pageBreakBefore w:val="0"/>
        <w:widowControl w:val="0"/>
        <w:kinsoku/>
        <w:wordWrap/>
        <w:overflowPunct/>
        <w:topLinePunct w:val="0"/>
        <w:autoSpaceDE/>
        <w:autoSpaceDN/>
        <w:bidi w:val="0"/>
        <w:adjustRightInd/>
        <w:snapToGrid/>
        <w:spacing w:line="440" w:lineRule="exact"/>
        <w:ind w:firstLine="422" w:firstLineChars="200"/>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30.中标通知书</w:t>
      </w:r>
    </w:p>
    <w:p w14:paraId="66684B0C">
      <w:pPr>
        <w:keepNext w:val="0"/>
        <w:keepLines w:val="0"/>
        <w:pageBreakBefore w:val="0"/>
        <w:widowControl w:val="0"/>
        <w:kinsoku/>
        <w:wordWrap/>
        <w:overflowPunct/>
        <w:topLinePunct w:val="0"/>
        <w:autoSpaceDE/>
        <w:autoSpaceDN/>
        <w:bidi w:val="0"/>
        <w:adjustRightInd/>
        <w:snapToGrid/>
        <w:spacing w:line="440" w:lineRule="exact"/>
        <w:ind w:firstLine="420" w:firstLineChars="200"/>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30.l 中标结果确定后，采购人将向中标人发出中标通知书。请中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人自行承担。</w:t>
      </w:r>
    </w:p>
    <w:p w14:paraId="3BCB7FB2">
      <w:pPr>
        <w:keepNext w:val="0"/>
        <w:keepLines w:val="0"/>
        <w:pageBreakBefore w:val="0"/>
        <w:widowControl w:val="0"/>
        <w:kinsoku/>
        <w:wordWrap/>
        <w:overflowPunct/>
        <w:topLinePunct w:val="0"/>
        <w:autoSpaceDE/>
        <w:autoSpaceDN/>
        <w:bidi w:val="0"/>
        <w:adjustRightInd/>
        <w:snapToGrid/>
        <w:spacing w:line="440" w:lineRule="exact"/>
        <w:ind w:firstLine="420" w:firstLineChars="200"/>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30.2中标通知书将是合同的一个组成部分。对采购人和中标供应商均具有法律效力。中标通知书发出后，采购人改变中标结果的，或者中标供应商放弃中标项目的，应当依法承担法律责任。</w:t>
      </w:r>
    </w:p>
    <w:p w14:paraId="7DCD5461">
      <w:pPr>
        <w:keepNext w:val="0"/>
        <w:keepLines w:val="0"/>
        <w:pageBreakBefore w:val="0"/>
        <w:widowControl w:val="0"/>
        <w:kinsoku/>
        <w:wordWrap/>
        <w:overflowPunct/>
        <w:topLinePunct w:val="0"/>
        <w:autoSpaceDE/>
        <w:autoSpaceDN/>
        <w:bidi w:val="0"/>
        <w:adjustRightInd/>
        <w:snapToGrid/>
        <w:spacing w:line="440" w:lineRule="exact"/>
        <w:ind w:firstLine="422" w:firstLineChars="200"/>
        <w:textAlignment w:val="auto"/>
        <w:rPr>
          <w:rFonts w:hint="eastAsia" w:ascii="宋体" w:hAnsi="宋体" w:eastAsia="宋体" w:cs="宋体"/>
          <w:b/>
          <w:bCs/>
          <w:color w:val="auto"/>
          <w:sz w:val="21"/>
          <w:szCs w:val="21"/>
          <w:highlight w:val="none"/>
          <w:lang w:val="en-US" w:eastAsia="zh-CN"/>
        </w:rPr>
      </w:pPr>
      <w:bookmarkStart w:id="165" w:name="_Toc120614220"/>
      <w:bookmarkStart w:id="166" w:name="_Toc513029236"/>
      <w:bookmarkStart w:id="167" w:name="_Toc16938552"/>
      <w:bookmarkStart w:id="168" w:name="_Toc20823308"/>
      <w:r>
        <w:rPr>
          <w:rFonts w:hint="eastAsia" w:ascii="宋体" w:hAnsi="宋体" w:eastAsia="宋体" w:cs="宋体"/>
          <w:b/>
          <w:bCs/>
          <w:color w:val="auto"/>
          <w:sz w:val="21"/>
          <w:szCs w:val="21"/>
          <w:highlight w:val="none"/>
          <w:lang w:val="en-US" w:eastAsia="zh-CN"/>
        </w:rPr>
        <w:t>七、授予合同</w:t>
      </w:r>
      <w:bookmarkEnd w:id="165"/>
    </w:p>
    <w:bookmarkEnd w:id="166"/>
    <w:bookmarkEnd w:id="167"/>
    <w:bookmarkEnd w:id="168"/>
    <w:p w14:paraId="470B6125">
      <w:pPr>
        <w:keepNext w:val="0"/>
        <w:keepLines w:val="0"/>
        <w:pageBreakBefore w:val="0"/>
        <w:widowControl w:val="0"/>
        <w:kinsoku/>
        <w:wordWrap/>
        <w:overflowPunct/>
        <w:topLinePunct w:val="0"/>
        <w:autoSpaceDE/>
        <w:autoSpaceDN/>
        <w:bidi w:val="0"/>
        <w:adjustRightInd/>
        <w:snapToGrid/>
        <w:spacing w:line="440" w:lineRule="exact"/>
        <w:ind w:firstLine="422" w:firstLineChars="200"/>
        <w:textAlignment w:val="auto"/>
        <w:rPr>
          <w:rFonts w:hint="eastAsia" w:ascii="宋体" w:hAnsi="宋体" w:eastAsia="宋体" w:cs="宋体"/>
          <w:b/>
          <w:bCs/>
          <w:color w:val="auto"/>
          <w:sz w:val="21"/>
          <w:szCs w:val="21"/>
          <w:highlight w:val="none"/>
          <w:lang w:val="en-US" w:eastAsia="zh-CN"/>
        </w:rPr>
      </w:pPr>
      <w:bookmarkStart w:id="169" w:name="_Toc20823309"/>
      <w:bookmarkStart w:id="170" w:name="_Toc513029237"/>
      <w:bookmarkStart w:id="171" w:name="_Toc16938553"/>
      <w:r>
        <w:rPr>
          <w:rFonts w:hint="eastAsia" w:ascii="宋体" w:hAnsi="宋体" w:eastAsia="宋体" w:cs="宋体"/>
          <w:b/>
          <w:bCs/>
          <w:color w:val="auto"/>
          <w:sz w:val="21"/>
          <w:szCs w:val="21"/>
          <w:highlight w:val="none"/>
          <w:lang w:val="en-US" w:eastAsia="zh-CN"/>
        </w:rPr>
        <w:t>31. 签订合同</w:t>
      </w:r>
    </w:p>
    <w:p w14:paraId="5606683E">
      <w:pPr>
        <w:keepNext w:val="0"/>
        <w:keepLines w:val="0"/>
        <w:pageBreakBefore w:val="0"/>
        <w:widowControl w:val="0"/>
        <w:kinsoku/>
        <w:wordWrap/>
        <w:overflowPunct/>
        <w:topLinePunct w:val="0"/>
        <w:autoSpaceDE/>
        <w:autoSpaceDN/>
        <w:bidi w:val="0"/>
        <w:adjustRightInd/>
        <w:snapToGrid/>
        <w:spacing w:line="440" w:lineRule="exact"/>
        <w:ind w:firstLine="420" w:firstLineChars="200"/>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31.l中标人应当在中标通知书发出之日起三十日内，按照招标文件确定的事项与采购人签订政府采购合同。</w:t>
      </w:r>
    </w:p>
    <w:p w14:paraId="0FCBECD6">
      <w:pPr>
        <w:keepNext w:val="0"/>
        <w:keepLines w:val="0"/>
        <w:pageBreakBefore w:val="0"/>
        <w:widowControl w:val="0"/>
        <w:kinsoku/>
        <w:wordWrap/>
        <w:overflowPunct/>
        <w:topLinePunct w:val="0"/>
        <w:autoSpaceDE/>
        <w:autoSpaceDN/>
        <w:bidi w:val="0"/>
        <w:adjustRightInd/>
        <w:snapToGrid/>
        <w:spacing w:line="440" w:lineRule="exact"/>
        <w:ind w:firstLine="420" w:firstLineChars="200"/>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31.2 招标文件、中标人的投标文件及招标过程中有关澄清、承诺文件均应作为合同附件。</w:t>
      </w:r>
    </w:p>
    <w:p w14:paraId="69219C9A">
      <w:pPr>
        <w:keepNext w:val="0"/>
        <w:keepLines w:val="0"/>
        <w:pageBreakBefore w:val="0"/>
        <w:widowControl w:val="0"/>
        <w:kinsoku/>
        <w:wordWrap/>
        <w:overflowPunct/>
        <w:topLinePunct w:val="0"/>
        <w:autoSpaceDE/>
        <w:autoSpaceDN/>
        <w:bidi w:val="0"/>
        <w:adjustRightInd/>
        <w:snapToGrid/>
        <w:spacing w:line="440" w:lineRule="exact"/>
        <w:ind w:firstLine="420" w:firstLineChars="200"/>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31.3 签订合同后，中标人不得将合同标的进行转包。未经采购人同意，中标人也不得采用分包的形式履行合同，否则采购人有权终止合同。转包或分包造成采购人损失的，中标人应承担相应赔偿责任。</w:t>
      </w:r>
    </w:p>
    <w:p w14:paraId="43EBCF97">
      <w:pPr>
        <w:keepNext w:val="0"/>
        <w:keepLines w:val="0"/>
        <w:pageBreakBefore w:val="0"/>
        <w:widowControl w:val="0"/>
        <w:kinsoku/>
        <w:wordWrap/>
        <w:overflowPunct/>
        <w:topLinePunct w:val="0"/>
        <w:autoSpaceDE/>
        <w:autoSpaceDN/>
        <w:bidi w:val="0"/>
        <w:adjustRightInd/>
        <w:snapToGrid/>
        <w:spacing w:line="440" w:lineRule="exact"/>
        <w:ind w:firstLine="422" w:firstLineChars="200"/>
        <w:textAlignment w:val="auto"/>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32.货物（包含与货物相关的服务）的追加</w:t>
      </w:r>
    </w:p>
    <w:p w14:paraId="4037DA76">
      <w:pPr>
        <w:keepNext w:val="0"/>
        <w:keepLines w:val="0"/>
        <w:pageBreakBefore w:val="0"/>
        <w:widowControl w:val="0"/>
        <w:kinsoku/>
        <w:wordWrap/>
        <w:overflowPunct/>
        <w:topLinePunct w:val="0"/>
        <w:autoSpaceDE/>
        <w:autoSpaceDN/>
        <w:bidi w:val="0"/>
        <w:adjustRightInd/>
        <w:snapToGrid/>
        <w:spacing w:line="440" w:lineRule="exact"/>
        <w:ind w:firstLine="420" w:firstLineChars="200"/>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32.1政府采购合同履行中，采购人需追加与合同标的相同的货物（包含与货物相关的服务）的，在不改变合同其他条款的前提下，可以与中标人协商签订补充合同，但所有补充合同的采购金额不超过原合同金额10%。</w:t>
      </w:r>
    </w:p>
    <w:bookmarkEnd w:id="169"/>
    <w:bookmarkEnd w:id="170"/>
    <w:bookmarkEnd w:id="171"/>
    <w:p w14:paraId="2565CDEE">
      <w:pPr>
        <w:keepNext w:val="0"/>
        <w:keepLines w:val="0"/>
        <w:pageBreakBefore w:val="0"/>
        <w:widowControl w:val="0"/>
        <w:kinsoku/>
        <w:wordWrap/>
        <w:overflowPunct/>
        <w:topLinePunct w:val="0"/>
        <w:autoSpaceDE/>
        <w:autoSpaceDN/>
        <w:bidi w:val="0"/>
        <w:adjustRightInd/>
        <w:snapToGrid/>
        <w:spacing w:line="440" w:lineRule="exact"/>
        <w:ind w:firstLine="422" w:firstLineChars="200"/>
        <w:textAlignment w:val="auto"/>
        <w:rPr>
          <w:rFonts w:hint="eastAsia" w:ascii="宋体" w:hAnsi="宋体" w:eastAsia="宋体" w:cs="宋体"/>
          <w:b/>
          <w:bCs/>
          <w:color w:val="auto"/>
          <w:sz w:val="21"/>
          <w:szCs w:val="21"/>
          <w:highlight w:val="none"/>
          <w:lang w:val="en-US" w:eastAsia="zh-CN"/>
        </w:rPr>
      </w:pPr>
      <w:bookmarkStart w:id="172" w:name="_Toc20823314"/>
      <w:bookmarkStart w:id="173" w:name="_Toc479757207"/>
      <w:bookmarkStart w:id="174" w:name="_Toc16938558"/>
      <w:bookmarkStart w:id="175" w:name="_Toc513029242"/>
      <w:bookmarkStart w:id="176" w:name="_Toc120614221"/>
      <w:r>
        <w:rPr>
          <w:rFonts w:hint="eastAsia" w:ascii="宋体" w:hAnsi="宋体" w:eastAsia="宋体" w:cs="宋体"/>
          <w:b/>
          <w:bCs/>
          <w:color w:val="auto"/>
          <w:sz w:val="21"/>
          <w:szCs w:val="21"/>
          <w:highlight w:val="none"/>
          <w:lang w:val="en-US" w:eastAsia="zh-CN"/>
        </w:rPr>
        <w:t>33.政府采购履约资金扶持政策</w:t>
      </w:r>
    </w:p>
    <w:bookmarkEnd w:id="172"/>
    <w:bookmarkEnd w:id="173"/>
    <w:bookmarkEnd w:id="174"/>
    <w:bookmarkEnd w:id="175"/>
    <w:bookmarkEnd w:id="176"/>
    <w:p w14:paraId="086E71D0">
      <w:pPr>
        <w:keepNext w:val="0"/>
        <w:keepLines w:val="0"/>
        <w:pageBreakBefore w:val="0"/>
        <w:widowControl w:val="0"/>
        <w:kinsoku/>
        <w:wordWrap/>
        <w:overflowPunct/>
        <w:topLinePunct w:val="0"/>
        <w:autoSpaceDE/>
        <w:autoSpaceDN/>
        <w:bidi w:val="0"/>
        <w:adjustRightInd/>
        <w:snapToGrid/>
        <w:spacing w:line="440" w:lineRule="exact"/>
        <w:ind w:firstLine="420" w:firstLineChars="200"/>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根据《转发江苏省财政厅 中国人民银行南京分行〈关于深入推进政府采购线上合同信用融资工作的通知〉的通知》（盐财购〔2021〕20号）规定，中标供应商如有融资需求，可持政府采购合同在线向相关金融机构（具体信息详见盐城市政府采购网“政采贷”栏目）申请贷款，相关金融机构按照双方自愿的原则提供便捷、优惠的贷款服务；具体操作流程请参考苏采云系统中供应商操作手册。 </w:t>
      </w:r>
    </w:p>
    <w:p w14:paraId="4E51B534">
      <w:pPr>
        <w:keepNext w:val="0"/>
        <w:keepLines w:val="0"/>
        <w:pageBreakBefore w:val="0"/>
        <w:widowControl w:val="0"/>
        <w:kinsoku/>
        <w:wordWrap/>
        <w:overflowPunct/>
        <w:topLinePunct w:val="0"/>
        <w:autoSpaceDE/>
        <w:autoSpaceDN/>
        <w:bidi w:val="0"/>
        <w:adjustRightInd/>
        <w:snapToGrid/>
        <w:spacing w:line="440" w:lineRule="exact"/>
        <w:ind w:firstLine="420" w:firstLineChars="200"/>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中标供应商如需获得合同信用融资支持，可凭政府采购合同办理“政采贷”融资贷款。</w:t>
      </w:r>
    </w:p>
    <w:p w14:paraId="407F235F">
      <w:pPr>
        <w:keepNext w:val="0"/>
        <w:keepLines w:val="0"/>
        <w:pageBreakBefore w:val="0"/>
        <w:widowControl w:val="0"/>
        <w:kinsoku/>
        <w:wordWrap/>
        <w:overflowPunct/>
        <w:topLinePunct w:val="0"/>
        <w:autoSpaceDE/>
        <w:autoSpaceDN/>
        <w:bidi w:val="0"/>
        <w:adjustRightInd/>
        <w:snapToGrid/>
        <w:spacing w:line="440" w:lineRule="exact"/>
        <w:ind w:firstLine="422" w:firstLineChars="200"/>
        <w:textAlignment w:val="auto"/>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34. 预付款制度</w:t>
      </w:r>
    </w:p>
    <w:p w14:paraId="3A19F5D9">
      <w:pPr>
        <w:keepNext w:val="0"/>
        <w:keepLines w:val="0"/>
        <w:pageBreakBefore w:val="0"/>
        <w:widowControl w:val="0"/>
        <w:kinsoku/>
        <w:wordWrap/>
        <w:overflowPunct/>
        <w:topLinePunct w:val="0"/>
        <w:autoSpaceDE/>
        <w:autoSpaceDN/>
        <w:bidi w:val="0"/>
        <w:adjustRightInd/>
        <w:snapToGrid/>
        <w:spacing w:line="440" w:lineRule="exact"/>
        <w:ind w:firstLine="420" w:firstLineChars="200"/>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本项目落实预付款制度，预付款比例为30%。在签订合同时，中标、成交供应商明确书面表示无需预付款或者主动要求降低预付款比例的，采购人可就预付款比例作相应调整。</w:t>
      </w:r>
    </w:p>
    <w:p w14:paraId="26647E65">
      <w:pPr>
        <w:keepNext w:val="0"/>
        <w:keepLines w:val="0"/>
        <w:pageBreakBefore w:val="0"/>
        <w:widowControl w:val="0"/>
        <w:kinsoku/>
        <w:wordWrap/>
        <w:overflowPunct/>
        <w:topLinePunct w:val="0"/>
        <w:autoSpaceDE/>
        <w:autoSpaceDN/>
        <w:bidi w:val="0"/>
        <w:adjustRightInd/>
        <w:snapToGrid/>
        <w:spacing w:line="440" w:lineRule="exact"/>
        <w:ind w:firstLine="422" w:firstLineChars="200"/>
        <w:textAlignment w:val="auto"/>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八、履约保证金</w:t>
      </w:r>
    </w:p>
    <w:p w14:paraId="3B8F60FF">
      <w:pPr>
        <w:keepNext w:val="0"/>
        <w:keepLines w:val="0"/>
        <w:pageBreakBefore w:val="0"/>
        <w:widowControl w:val="0"/>
        <w:kinsoku/>
        <w:wordWrap/>
        <w:overflowPunct/>
        <w:topLinePunct w:val="0"/>
        <w:autoSpaceDE/>
        <w:autoSpaceDN/>
        <w:bidi w:val="0"/>
        <w:adjustRightInd/>
        <w:snapToGrid/>
        <w:spacing w:line="440" w:lineRule="exact"/>
        <w:ind w:firstLine="422" w:firstLineChars="200"/>
        <w:textAlignment w:val="auto"/>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35.履约保证金缴纳：</w:t>
      </w:r>
    </w:p>
    <w:p w14:paraId="62209B80">
      <w:pPr>
        <w:pageBreakBefore w:val="0"/>
        <w:widowControl/>
        <w:kinsoku/>
        <w:wordWrap/>
        <w:overflowPunct/>
        <w:topLinePunct w:val="0"/>
        <w:autoSpaceDE/>
        <w:autoSpaceDN/>
        <w:bidi w:val="0"/>
        <w:adjustRightInd/>
        <w:snapToGrid/>
        <w:spacing w:line="480" w:lineRule="exact"/>
        <w:ind w:firstLine="420"/>
        <w:jc w:val="left"/>
        <w:textAlignment w:val="auto"/>
        <w:rPr>
          <w:rFonts w:hint="eastAsia" w:ascii="宋体" w:hAnsi="宋体" w:eastAsia="宋体" w:cs="宋体"/>
          <w:color w:val="0000FF"/>
          <w:szCs w:val="21"/>
          <w:highlight w:val="none"/>
          <w:lang w:val="en-US" w:eastAsia="zh-CN"/>
        </w:rPr>
      </w:pPr>
      <w:r>
        <w:rPr>
          <w:rFonts w:hint="eastAsia" w:ascii="宋体" w:hAnsi="宋体" w:eastAsia="宋体" w:cs="宋体"/>
          <w:color w:val="auto"/>
          <w:sz w:val="21"/>
          <w:szCs w:val="21"/>
          <w:highlight w:val="none"/>
          <w:lang w:val="en-US" w:eastAsia="zh-CN"/>
        </w:rPr>
        <w:t>35.1</w:t>
      </w:r>
      <w:r>
        <w:rPr>
          <w:rFonts w:hint="eastAsia" w:ascii="宋体" w:hAnsi="宋体" w:eastAsia="宋体" w:cs="宋体"/>
          <w:color w:val="auto"/>
          <w:sz w:val="21"/>
          <w:highlight w:val="none"/>
          <w:u w:val="none"/>
        </w:rPr>
        <w:t>本项目履约保证金金额按</w:t>
      </w:r>
      <w:r>
        <w:rPr>
          <w:rFonts w:hint="eastAsia" w:ascii="宋体" w:hAnsi="宋体" w:cs="宋体"/>
          <w:color w:val="auto"/>
          <w:sz w:val="21"/>
          <w:highlight w:val="none"/>
          <w:u w:val="none"/>
          <w:lang w:val="en-US" w:eastAsia="zh-CN"/>
        </w:rPr>
        <w:t>中标价的5%</w:t>
      </w:r>
      <w:r>
        <w:rPr>
          <w:rFonts w:hint="eastAsia" w:ascii="宋体" w:hAnsi="宋体" w:eastAsia="宋体" w:cs="宋体"/>
          <w:color w:val="auto"/>
          <w:sz w:val="21"/>
          <w:highlight w:val="none"/>
          <w:u w:val="none"/>
        </w:rPr>
        <w:t>执行，中标人应在签订合同前将履约保证金应当</w:t>
      </w:r>
      <w:r>
        <w:rPr>
          <w:rFonts w:hint="eastAsia" w:ascii="宋体" w:hAnsi="宋体" w:eastAsia="宋体" w:cs="宋体"/>
          <w:color w:val="auto"/>
          <w:sz w:val="21"/>
          <w:highlight w:val="none"/>
          <w:u w:val="none"/>
          <w:lang w:eastAsia="zh-CN"/>
        </w:rPr>
        <w:t>以转账</w:t>
      </w:r>
      <w:r>
        <w:rPr>
          <w:rFonts w:hint="eastAsia" w:ascii="宋体" w:hAnsi="宋体" w:eastAsia="宋体" w:cs="宋体"/>
          <w:color w:val="auto"/>
          <w:sz w:val="21"/>
          <w:highlight w:val="none"/>
          <w:u w:val="none"/>
        </w:rPr>
        <w:t>、电汇或银行汇票等形式从中</w:t>
      </w:r>
      <w:r>
        <w:rPr>
          <w:rFonts w:hint="eastAsia" w:ascii="宋体" w:hAnsi="宋体" w:eastAsia="宋体" w:cs="宋体"/>
          <w:color w:val="auto"/>
          <w:sz w:val="21"/>
          <w:highlight w:val="none"/>
          <w:u w:val="none"/>
          <w:lang w:val="en-US" w:eastAsia="zh-CN"/>
        </w:rPr>
        <w:t>标</w:t>
      </w:r>
      <w:r>
        <w:rPr>
          <w:rFonts w:hint="eastAsia" w:ascii="宋体" w:hAnsi="宋体" w:eastAsia="宋体" w:cs="宋体"/>
          <w:color w:val="auto"/>
          <w:sz w:val="21"/>
          <w:highlight w:val="none"/>
          <w:u w:val="none"/>
        </w:rPr>
        <w:t>人</w:t>
      </w:r>
      <w:r>
        <w:rPr>
          <w:rFonts w:hint="eastAsia" w:ascii="宋体" w:hAnsi="宋体" w:eastAsia="宋体" w:cs="宋体"/>
          <w:color w:val="auto"/>
          <w:sz w:val="21"/>
          <w:highlight w:val="none"/>
          <w:u w:val="none"/>
          <w:lang w:eastAsia="zh-CN"/>
        </w:rPr>
        <w:t>的账户</w:t>
      </w:r>
      <w:r>
        <w:rPr>
          <w:rFonts w:hint="eastAsia" w:ascii="宋体" w:hAnsi="宋体" w:eastAsia="宋体" w:cs="宋体"/>
          <w:color w:val="auto"/>
          <w:sz w:val="21"/>
          <w:highlight w:val="none"/>
          <w:u w:val="none"/>
        </w:rPr>
        <w:t>转至</w:t>
      </w:r>
      <w:r>
        <w:rPr>
          <w:rFonts w:hint="eastAsia" w:ascii="宋体" w:hAnsi="宋体" w:eastAsia="宋体" w:cs="宋体"/>
          <w:color w:val="auto"/>
          <w:sz w:val="21"/>
          <w:szCs w:val="21"/>
          <w:highlight w:val="none"/>
          <w:u w:val="none"/>
        </w:rPr>
        <w:t>下列</w:t>
      </w:r>
      <w:r>
        <w:rPr>
          <w:rFonts w:hint="eastAsia" w:ascii="宋体" w:hAnsi="宋体" w:eastAsia="宋体" w:cs="宋体"/>
          <w:color w:val="auto"/>
          <w:sz w:val="21"/>
          <w:highlight w:val="none"/>
          <w:u w:val="none"/>
        </w:rPr>
        <w:t>账户，</w:t>
      </w:r>
      <w:r>
        <w:rPr>
          <w:rFonts w:hint="eastAsia" w:ascii="宋体" w:hAnsi="宋体" w:eastAsia="宋体" w:cs="宋体"/>
          <w:b/>
          <w:color w:val="auto"/>
          <w:sz w:val="21"/>
          <w:highlight w:val="none"/>
          <w:u w:val="none"/>
        </w:rPr>
        <w:t>收款单位名称：</w:t>
      </w:r>
      <w:r>
        <w:rPr>
          <w:rFonts w:hint="eastAsia" w:ascii="宋体" w:hAnsi="宋体" w:eastAsia="宋体" w:cs="宋体"/>
          <w:b/>
          <w:color w:val="auto"/>
          <w:sz w:val="21"/>
          <w:highlight w:val="none"/>
          <w:u w:val="none"/>
          <w:lang w:val="en-US" w:eastAsia="zh-CN"/>
        </w:rPr>
        <w:t>阜宁县人民医院</w:t>
      </w:r>
      <w:r>
        <w:rPr>
          <w:rFonts w:hint="eastAsia" w:ascii="宋体" w:hAnsi="宋体" w:eastAsia="宋体" w:cs="宋体"/>
          <w:b/>
          <w:color w:val="auto"/>
          <w:sz w:val="21"/>
          <w:highlight w:val="none"/>
          <w:u w:val="none"/>
        </w:rPr>
        <w:t>，</w:t>
      </w:r>
      <w:r>
        <w:rPr>
          <w:rFonts w:hint="eastAsia" w:ascii="宋体" w:hAnsi="宋体" w:eastAsia="宋体" w:cs="宋体"/>
          <w:b/>
          <w:color w:val="FF0000"/>
          <w:sz w:val="21"/>
          <w:highlight w:val="none"/>
          <w:u w:val="none"/>
        </w:rPr>
        <w:t>开户银行：</w:t>
      </w:r>
      <w:r>
        <w:rPr>
          <w:rFonts w:hint="eastAsia" w:ascii="宋体" w:hAnsi="宋体" w:eastAsia="宋体" w:cs="宋体"/>
          <w:b/>
          <w:color w:val="FF0000"/>
          <w:sz w:val="21"/>
          <w:highlight w:val="none"/>
          <w:u w:val="none"/>
          <w:lang w:val="en-US" w:eastAsia="zh-CN"/>
        </w:rPr>
        <w:t>建设银行阜宁支行营业部</w:t>
      </w:r>
      <w:r>
        <w:rPr>
          <w:rFonts w:hint="eastAsia" w:ascii="宋体" w:hAnsi="宋体" w:eastAsia="宋体" w:cs="宋体"/>
          <w:b/>
          <w:color w:val="FF0000"/>
          <w:sz w:val="21"/>
          <w:highlight w:val="none"/>
          <w:u w:val="none"/>
        </w:rPr>
        <w:t>；</w:t>
      </w:r>
      <w:r>
        <w:rPr>
          <w:rFonts w:hint="eastAsia" w:ascii="宋体" w:hAnsi="宋体" w:eastAsia="宋体" w:cs="宋体"/>
          <w:b/>
          <w:color w:val="FF0000"/>
          <w:sz w:val="21"/>
          <w:highlight w:val="none"/>
          <w:u w:val="none"/>
          <w:lang w:eastAsia="zh-CN"/>
        </w:rPr>
        <w:t>账号</w:t>
      </w:r>
      <w:r>
        <w:rPr>
          <w:rFonts w:hint="eastAsia" w:ascii="宋体" w:hAnsi="宋体" w:eastAsia="宋体" w:cs="宋体"/>
          <w:b/>
          <w:color w:val="FF0000"/>
          <w:sz w:val="21"/>
          <w:highlight w:val="none"/>
          <w:u w:val="none"/>
        </w:rPr>
        <w:t>：</w:t>
      </w:r>
      <w:r>
        <w:rPr>
          <w:rFonts w:hint="eastAsia" w:ascii="宋体" w:hAnsi="宋体" w:eastAsia="宋体" w:cs="宋体"/>
          <w:b/>
          <w:color w:val="FF0000"/>
          <w:sz w:val="21"/>
          <w:highlight w:val="none"/>
          <w:u w:val="none"/>
          <w:lang w:val="en-US" w:eastAsia="zh-CN"/>
        </w:rPr>
        <w:t>32001737336052512223</w:t>
      </w:r>
      <w:r>
        <w:rPr>
          <w:rFonts w:hint="eastAsia" w:ascii="宋体" w:hAnsi="宋体" w:eastAsia="宋体" w:cs="宋体"/>
          <w:b/>
          <w:color w:val="FF0000"/>
          <w:sz w:val="21"/>
          <w:highlight w:val="none"/>
          <w:u w:val="none"/>
        </w:rPr>
        <w:t>。</w:t>
      </w:r>
    </w:p>
    <w:p w14:paraId="5DD2CD5A">
      <w:pPr>
        <w:keepNext w:val="0"/>
        <w:keepLines w:val="0"/>
        <w:pageBreakBefore w:val="0"/>
        <w:widowControl w:val="0"/>
        <w:kinsoku/>
        <w:wordWrap/>
        <w:overflowPunct/>
        <w:topLinePunct w:val="0"/>
        <w:autoSpaceDE/>
        <w:autoSpaceDN/>
        <w:bidi w:val="0"/>
        <w:adjustRightInd/>
        <w:snapToGrid/>
        <w:spacing w:line="440" w:lineRule="exact"/>
        <w:ind w:firstLine="420" w:firstLineChars="200"/>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依据《关于在全省政府采购领域推行电子履约保函（保险）的通知》，鼓励供应商自愿使用电子履约保函（保险）代替缴纳履约保证金。</w:t>
      </w:r>
    </w:p>
    <w:p w14:paraId="4BDF381D">
      <w:pPr>
        <w:keepNext w:val="0"/>
        <w:keepLines w:val="0"/>
        <w:pageBreakBefore w:val="0"/>
        <w:widowControl w:val="0"/>
        <w:kinsoku/>
        <w:wordWrap/>
        <w:overflowPunct/>
        <w:topLinePunct w:val="0"/>
        <w:autoSpaceDE/>
        <w:autoSpaceDN/>
        <w:bidi w:val="0"/>
        <w:adjustRightInd/>
        <w:snapToGrid/>
        <w:spacing w:line="440" w:lineRule="exact"/>
        <w:ind w:firstLine="420" w:firstLineChars="200"/>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需要办理保函的，可以通过政府采购电子履约保函（保险）平台（在线申请履约保函（保险），也可以自行另行办理。采用保函形式提交的，其受益人为甲方（采购人），保函的有效期不得低于合同的履行期限。</w:t>
      </w:r>
    </w:p>
    <w:p w14:paraId="731E0B37">
      <w:pPr>
        <w:keepNext w:val="0"/>
        <w:keepLines w:val="0"/>
        <w:pageBreakBefore w:val="0"/>
        <w:widowControl w:val="0"/>
        <w:kinsoku/>
        <w:wordWrap/>
        <w:overflowPunct/>
        <w:topLinePunct w:val="0"/>
        <w:autoSpaceDE/>
        <w:autoSpaceDN/>
        <w:bidi w:val="0"/>
        <w:adjustRightInd/>
        <w:snapToGrid/>
        <w:spacing w:line="440" w:lineRule="exact"/>
        <w:ind w:firstLine="420" w:firstLineChars="200"/>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35.2依据盐财购〔2021〕19号文件规定，乙方具有AA评级及以上（或80分及以上）信用等级的且信用报告通过信用管理部门备案并通过“信用盐城网”可查实或信用报告概述页等内容通过“信用盐城网”可查实（需向采购人提供第三方信用报告原件和加盖乙方公章的第三方信用报告的复印件），履约保证金将按80%缴纳。</w:t>
      </w:r>
    </w:p>
    <w:p w14:paraId="7DCAF93C">
      <w:pPr>
        <w:keepNext w:val="0"/>
        <w:keepLines w:val="0"/>
        <w:pageBreakBefore w:val="0"/>
        <w:widowControl w:val="0"/>
        <w:kinsoku/>
        <w:wordWrap/>
        <w:overflowPunct/>
        <w:topLinePunct w:val="0"/>
        <w:autoSpaceDE/>
        <w:autoSpaceDN/>
        <w:bidi w:val="0"/>
        <w:adjustRightInd/>
        <w:snapToGrid/>
        <w:spacing w:line="440" w:lineRule="exact"/>
        <w:ind w:firstLine="420" w:firstLineChars="200"/>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35.3履约保证金作为乙方承担违约责任的担保，如果乙方没有及时承担违约责任，履约保证金可作为甲方损失的弥补，不予退还，不足部分，另行赔偿。如果乙方承担了相关责任，则甲方应在合同责任解除后退还全部的履约保证金。</w:t>
      </w:r>
    </w:p>
    <w:p w14:paraId="2BBB409F">
      <w:pPr>
        <w:keepNext w:val="0"/>
        <w:keepLines w:val="0"/>
        <w:pageBreakBefore w:val="0"/>
        <w:widowControl w:val="0"/>
        <w:kinsoku/>
        <w:wordWrap/>
        <w:overflowPunct/>
        <w:topLinePunct w:val="0"/>
        <w:autoSpaceDE/>
        <w:autoSpaceDN/>
        <w:bidi w:val="0"/>
        <w:adjustRightInd/>
        <w:snapToGrid/>
        <w:spacing w:line="440" w:lineRule="exact"/>
        <w:ind w:firstLine="422" w:firstLineChars="200"/>
        <w:textAlignment w:val="auto"/>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九、其他</w:t>
      </w:r>
    </w:p>
    <w:p w14:paraId="35C55532">
      <w:pPr>
        <w:keepNext w:val="0"/>
        <w:keepLines w:val="0"/>
        <w:pageBreakBefore w:val="0"/>
        <w:widowControl w:val="0"/>
        <w:kinsoku/>
        <w:wordWrap/>
        <w:overflowPunct/>
        <w:topLinePunct w:val="0"/>
        <w:autoSpaceDE/>
        <w:autoSpaceDN/>
        <w:bidi w:val="0"/>
        <w:adjustRightInd/>
        <w:snapToGrid/>
        <w:spacing w:line="440" w:lineRule="exact"/>
        <w:ind w:firstLine="420" w:firstLineChars="200"/>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36.1供应商对于投标产品的商品包装、快递包装应按照《关于印发《商品包装政府采购需求标准（试行）》《快递包装政府采购需求标准（试行）》的通知》（财办库〔2020〕123号）执行。</w:t>
      </w:r>
    </w:p>
    <w:p w14:paraId="7EF2362B">
      <w:pPr>
        <w:keepNext w:val="0"/>
        <w:keepLines w:val="0"/>
        <w:pageBreakBefore w:val="0"/>
        <w:widowControl w:val="0"/>
        <w:kinsoku/>
        <w:wordWrap/>
        <w:overflowPunct/>
        <w:topLinePunct w:val="0"/>
        <w:autoSpaceDE/>
        <w:autoSpaceDN/>
        <w:bidi w:val="0"/>
        <w:adjustRightInd/>
        <w:snapToGrid/>
        <w:spacing w:line="440" w:lineRule="exact"/>
        <w:ind w:firstLine="420" w:firstLineChars="200"/>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36.2本文件中若涉及数据中心采购，应按照《〈绿色数据中心政府采购需求标准（试行）〉的通知》（财库〔2023〕7号）执行。</w:t>
      </w:r>
    </w:p>
    <w:p w14:paraId="397B16A6">
      <w:pPr>
        <w:keepNext w:val="0"/>
        <w:keepLines w:val="0"/>
        <w:pageBreakBefore w:val="0"/>
        <w:widowControl w:val="0"/>
        <w:spacing w:line="460" w:lineRule="exact"/>
        <w:ind w:firstLine="480"/>
        <w:rPr>
          <w:rFonts w:ascii="宋体" w:hAnsi="宋体" w:eastAsia="宋体" w:cs="宋体"/>
          <w:color w:val="000000"/>
          <w:sz w:val="24"/>
          <w:highlight w:val="none"/>
          <w:lang w:val="en-US" w:eastAsia="zh-CN"/>
        </w:rPr>
      </w:pPr>
    </w:p>
    <w:p w14:paraId="7754EC31">
      <w:pPr>
        <w:keepNext w:val="0"/>
        <w:keepLines w:val="0"/>
        <w:pageBreakBefore w:val="0"/>
        <w:widowControl w:val="0"/>
        <w:spacing w:line="460" w:lineRule="exact"/>
        <w:ind w:firstLine="480"/>
        <w:rPr>
          <w:rFonts w:hint="eastAsia" w:ascii="宋体" w:hAnsi="宋体" w:eastAsia="宋体" w:cs="宋体"/>
          <w:color w:val="000000"/>
          <w:sz w:val="24"/>
          <w:highlight w:val="none"/>
        </w:rPr>
      </w:pPr>
    </w:p>
    <w:p w14:paraId="53791E91">
      <w:pPr>
        <w:pStyle w:val="248"/>
        <w:keepNext/>
        <w:spacing w:beforeAutospacing="0" w:afterAutospacing="0"/>
        <w:jc w:val="center"/>
        <w:rPr>
          <w:rFonts w:hint="eastAsia" w:ascii="黑体" w:hAnsi="宋体" w:eastAsia="黑体" w:cs="黑体"/>
          <w:color w:val="000000"/>
          <w:sz w:val="44"/>
          <w:szCs w:val="44"/>
        </w:rPr>
      </w:pPr>
      <w:bookmarkStart w:id="177" w:name="_Toc3995"/>
    </w:p>
    <w:p w14:paraId="58A7FA2D">
      <w:pPr>
        <w:pStyle w:val="248"/>
        <w:keepNext/>
        <w:spacing w:beforeAutospacing="0" w:afterAutospacing="0"/>
        <w:jc w:val="center"/>
        <w:rPr>
          <w:rFonts w:hint="eastAsia" w:ascii="黑体" w:hAnsi="宋体" w:eastAsia="黑体" w:cs="黑体"/>
          <w:color w:val="000000"/>
          <w:sz w:val="44"/>
          <w:szCs w:val="44"/>
        </w:rPr>
      </w:pPr>
    </w:p>
    <w:p w14:paraId="0575A2CC">
      <w:pPr>
        <w:pStyle w:val="248"/>
        <w:keepNext/>
        <w:spacing w:beforeAutospacing="0" w:afterAutospacing="0"/>
        <w:jc w:val="center"/>
        <w:rPr>
          <w:rFonts w:hint="eastAsia" w:ascii="黑体" w:hAnsi="宋体" w:eastAsia="黑体" w:cs="黑体"/>
          <w:color w:val="000000"/>
          <w:sz w:val="44"/>
          <w:szCs w:val="44"/>
        </w:rPr>
      </w:pPr>
    </w:p>
    <w:p w14:paraId="5E266AC4">
      <w:pPr>
        <w:pStyle w:val="248"/>
        <w:keepNext/>
        <w:spacing w:beforeAutospacing="0" w:afterAutospacing="0"/>
        <w:jc w:val="center"/>
        <w:rPr>
          <w:rFonts w:hint="eastAsia" w:ascii="黑体" w:hAnsi="宋体" w:eastAsia="黑体" w:cs="黑体"/>
          <w:color w:val="000000"/>
          <w:sz w:val="44"/>
          <w:szCs w:val="44"/>
        </w:rPr>
      </w:pPr>
    </w:p>
    <w:p w14:paraId="57CB2DE7">
      <w:pPr>
        <w:pStyle w:val="248"/>
        <w:keepNext/>
        <w:spacing w:beforeAutospacing="0" w:afterAutospacing="0"/>
        <w:jc w:val="center"/>
        <w:rPr>
          <w:rFonts w:hint="eastAsia" w:ascii="黑体" w:hAnsi="宋体" w:eastAsia="黑体" w:cs="黑体"/>
          <w:color w:val="000000"/>
          <w:sz w:val="44"/>
          <w:szCs w:val="44"/>
        </w:rPr>
      </w:pPr>
    </w:p>
    <w:p w14:paraId="5BEBF997">
      <w:pPr>
        <w:pStyle w:val="248"/>
        <w:keepNext/>
        <w:spacing w:beforeAutospacing="0" w:afterAutospacing="0"/>
        <w:jc w:val="center"/>
        <w:rPr>
          <w:rFonts w:hint="eastAsia" w:ascii="黑体" w:hAnsi="宋体" w:eastAsia="黑体" w:cs="黑体"/>
          <w:color w:val="000000"/>
          <w:sz w:val="44"/>
          <w:szCs w:val="44"/>
        </w:rPr>
      </w:pPr>
    </w:p>
    <w:p w14:paraId="5E9ADC77">
      <w:pPr>
        <w:pStyle w:val="248"/>
        <w:keepNext/>
        <w:spacing w:beforeAutospacing="0" w:afterAutospacing="0"/>
        <w:jc w:val="center"/>
        <w:rPr>
          <w:rFonts w:hint="eastAsia" w:ascii="黑体" w:hAnsi="宋体" w:eastAsia="黑体" w:cs="黑体"/>
          <w:color w:val="000000"/>
          <w:sz w:val="44"/>
          <w:szCs w:val="44"/>
        </w:rPr>
      </w:pPr>
    </w:p>
    <w:p w14:paraId="630E5CF9">
      <w:pPr>
        <w:pStyle w:val="248"/>
        <w:keepNext/>
        <w:spacing w:beforeAutospacing="0" w:afterAutospacing="0"/>
        <w:jc w:val="center"/>
      </w:pPr>
      <w:r>
        <w:rPr>
          <w:rFonts w:hint="eastAsia" w:ascii="黑体" w:hAnsi="宋体" w:eastAsia="黑体" w:cs="黑体"/>
          <w:color w:val="000000"/>
          <w:sz w:val="44"/>
          <w:szCs w:val="44"/>
        </w:rPr>
        <w:t>第三章  合同文本</w:t>
      </w:r>
    </w:p>
    <w:p w14:paraId="0BD52EF8">
      <w:pPr>
        <w:pStyle w:val="215"/>
        <w:spacing w:after="0"/>
        <w:jc w:val="center"/>
        <w:rPr>
          <w:rFonts w:ascii="宋体" w:hAnsi="宋体" w:cs="宋体"/>
          <w:b/>
          <w:bCs/>
          <w:spacing w:val="-20"/>
          <w:sz w:val="48"/>
          <w:szCs w:val="48"/>
        </w:rPr>
      </w:pPr>
    </w:p>
    <w:p w14:paraId="6260F043">
      <w:pPr>
        <w:pStyle w:val="215"/>
        <w:spacing w:after="0"/>
        <w:jc w:val="center"/>
        <w:rPr>
          <w:rFonts w:ascii="宋体" w:hAnsi="宋体" w:cs="宋体"/>
          <w:b/>
          <w:bCs/>
          <w:spacing w:val="-20"/>
          <w:sz w:val="48"/>
          <w:szCs w:val="48"/>
        </w:rPr>
      </w:pPr>
    </w:p>
    <w:p w14:paraId="412EF877">
      <w:pPr>
        <w:pStyle w:val="215"/>
        <w:spacing w:after="0"/>
        <w:jc w:val="center"/>
        <w:rPr>
          <w:rFonts w:ascii="宋体" w:hAnsi="宋体" w:cs="宋体"/>
          <w:b/>
          <w:bCs/>
          <w:spacing w:val="-20"/>
          <w:sz w:val="48"/>
          <w:szCs w:val="48"/>
        </w:rPr>
      </w:pPr>
    </w:p>
    <w:p w14:paraId="4E83731F">
      <w:pPr>
        <w:rPr>
          <w:rFonts w:ascii="宋体" w:hAnsi="宋体" w:cs="宋体"/>
          <w:b/>
          <w:bCs/>
          <w:spacing w:val="-20"/>
          <w:sz w:val="48"/>
          <w:szCs w:val="48"/>
        </w:rPr>
      </w:pPr>
    </w:p>
    <w:p w14:paraId="3B95DD7F">
      <w:pPr>
        <w:rPr>
          <w:rFonts w:ascii="宋体" w:hAnsi="宋体" w:cs="宋体"/>
          <w:b/>
          <w:bCs/>
          <w:spacing w:val="-20"/>
          <w:sz w:val="48"/>
          <w:szCs w:val="48"/>
        </w:rPr>
      </w:pPr>
    </w:p>
    <w:p w14:paraId="61403CCA">
      <w:pPr>
        <w:rPr>
          <w:rFonts w:ascii="宋体" w:hAnsi="宋体" w:cs="宋体"/>
          <w:b/>
          <w:bCs/>
          <w:spacing w:val="-20"/>
          <w:sz w:val="48"/>
          <w:szCs w:val="48"/>
        </w:rPr>
      </w:pPr>
    </w:p>
    <w:p w14:paraId="573E622D">
      <w:pPr>
        <w:rPr>
          <w:rFonts w:ascii="宋体" w:hAnsi="宋体" w:cs="宋体"/>
          <w:b/>
          <w:bCs/>
          <w:spacing w:val="-20"/>
          <w:sz w:val="48"/>
          <w:szCs w:val="48"/>
        </w:rPr>
      </w:pPr>
    </w:p>
    <w:p w14:paraId="5427521A">
      <w:pPr>
        <w:rPr>
          <w:rFonts w:ascii="宋体" w:hAnsi="宋体" w:cs="宋体"/>
          <w:b/>
          <w:bCs/>
          <w:spacing w:val="-20"/>
          <w:sz w:val="48"/>
          <w:szCs w:val="48"/>
        </w:rPr>
      </w:pPr>
    </w:p>
    <w:p w14:paraId="3F451AFD">
      <w:pPr>
        <w:rPr>
          <w:rFonts w:ascii="宋体" w:hAnsi="宋体" w:cs="宋体"/>
          <w:b/>
          <w:bCs/>
          <w:spacing w:val="-20"/>
          <w:sz w:val="48"/>
          <w:szCs w:val="48"/>
        </w:rPr>
      </w:pPr>
    </w:p>
    <w:p w14:paraId="0165BFDF">
      <w:pPr>
        <w:rPr>
          <w:rFonts w:ascii="宋体" w:hAnsi="宋体" w:cs="宋体"/>
          <w:b/>
          <w:bCs/>
          <w:spacing w:val="-20"/>
          <w:sz w:val="48"/>
          <w:szCs w:val="48"/>
        </w:rPr>
      </w:pPr>
    </w:p>
    <w:p w14:paraId="2F98F91F">
      <w:pPr>
        <w:rPr>
          <w:rFonts w:ascii="宋体" w:hAnsi="宋体" w:cs="宋体"/>
          <w:b/>
          <w:bCs/>
          <w:spacing w:val="-20"/>
          <w:sz w:val="48"/>
          <w:szCs w:val="48"/>
        </w:rPr>
      </w:pPr>
    </w:p>
    <w:p w14:paraId="66EF3838">
      <w:pPr>
        <w:rPr>
          <w:rFonts w:ascii="宋体" w:hAnsi="宋体" w:cs="宋体"/>
          <w:b/>
          <w:bCs/>
          <w:spacing w:val="-20"/>
          <w:sz w:val="48"/>
          <w:szCs w:val="48"/>
        </w:rPr>
      </w:pPr>
    </w:p>
    <w:p w14:paraId="48101B6E">
      <w:pPr>
        <w:rPr>
          <w:rFonts w:ascii="宋体" w:hAnsi="宋体" w:cs="宋体"/>
          <w:b/>
          <w:bCs/>
          <w:spacing w:val="-20"/>
          <w:sz w:val="48"/>
          <w:szCs w:val="48"/>
        </w:rPr>
      </w:pPr>
    </w:p>
    <w:p w14:paraId="210A6078">
      <w:pPr>
        <w:rPr>
          <w:rFonts w:ascii="宋体" w:hAnsi="宋体" w:cs="宋体"/>
          <w:b/>
          <w:bCs/>
          <w:spacing w:val="-20"/>
          <w:sz w:val="48"/>
          <w:szCs w:val="48"/>
        </w:rPr>
      </w:pPr>
    </w:p>
    <w:p w14:paraId="14EC56A7">
      <w:pPr>
        <w:pStyle w:val="327"/>
      </w:pPr>
    </w:p>
    <w:p w14:paraId="39B0A755">
      <w:pPr>
        <w:pStyle w:val="215"/>
        <w:spacing w:after="0"/>
        <w:jc w:val="center"/>
        <w:rPr>
          <w:rFonts w:hint="eastAsia" w:ascii="宋体" w:hAnsi="宋体" w:cs="宋体"/>
          <w:b/>
          <w:bCs/>
          <w:spacing w:val="-20"/>
          <w:sz w:val="48"/>
          <w:szCs w:val="48"/>
        </w:rPr>
      </w:pPr>
      <w:r>
        <w:rPr>
          <w:rFonts w:hint="eastAsia" w:ascii="宋体" w:hAnsi="宋体" w:cs="宋体"/>
          <w:b/>
          <w:bCs/>
          <w:spacing w:val="-20"/>
          <w:sz w:val="48"/>
          <w:szCs w:val="48"/>
        </w:rPr>
        <w:t>政府采购</w:t>
      </w:r>
      <w:r>
        <w:rPr>
          <w:rFonts w:hint="eastAsia" w:ascii="宋体" w:hAnsi="宋体" w:cs="宋体"/>
          <w:b/>
          <w:bCs/>
          <w:spacing w:val="-20"/>
          <w:sz w:val="48"/>
          <w:szCs w:val="48"/>
          <w:lang w:eastAsia="zh-CN"/>
        </w:rPr>
        <w:t>货物买卖</w:t>
      </w:r>
      <w:r>
        <w:rPr>
          <w:rFonts w:hint="eastAsia" w:ascii="宋体" w:hAnsi="宋体" w:cs="宋体"/>
          <w:b/>
          <w:bCs/>
          <w:spacing w:val="-20"/>
          <w:sz w:val="48"/>
          <w:szCs w:val="48"/>
        </w:rPr>
        <w:t>合同</w:t>
      </w:r>
    </w:p>
    <w:p w14:paraId="0E7D42E5">
      <w:pPr>
        <w:pStyle w:val="215"/>
        <w:spacing w:after="0"/>
        <w:jc w:val="center"/>
        <w:rPr>
          <w:rFonts w:hint="eastAsia" w:ascii="宋体" w:hAnsi="宋体" w:eastAsia="宋体" w:cs="宋体"/>
          <w:b/>
          <w:bCs/>
          <w:spacing w:val="-20"/>
          <w:sz w:val="48"/>
          <w:szCs w:val="48"/>
          <w:lang w:eastAsia="zh-CN"/>
        </w:rPr>
      </w:pPr>
    </w:p>
    <w:p w14:paraId="214EF55D">
      <w:pPr>
        <w:rPr>
          <w:rFonts w:ascii="宋体" w:hAnsi="宋体" w:cs="宋体"/>
          <w:b/>
          <w:bCs/>
          <w:spacing w:val="-20"/>
          <w:sz w:val="40"/>
          <w:szCs w:val="40"/>
        </w:rPr>
      </w:pPr>
    </w:p>
    <w:p w14:paraId="0D90F812">
      <w:pPr>
        <w:rPr>
          <w:rFonts w:ascii="宋体" w:hAnsi="宋体" w:cs="宋体"/>
          <w:b/>
          <w:bCs/>
          <w:spacing w:val="-20"/>
          <w:sz w:val="40"/>
          <w:szCs w:val="40"/>
        </w:rPr>
      </w:pPr>
    </w:p>
    <w:p w14:paraId="0D2084B8">
      <w:pPr>
        <w:rPr>
          <w:rFonts w:ascii="宋体" w:hAnsi="宋体" w:cs="宋体"/>
          <w:b/>
          <w:bCs/>
          <w:spacing w:val="-20"/>
          <w:sz w:val="40"/>
          <w:szCs w:val="40"/>
        </w:rPr>
      </w:pPr>
    </w:p>
    <w:p w14:paraId="68BB8C89">
      <w:pPr>
        <w:spacing w:line="360" w:lineRule="auto"/>
        <w:ind w:left="420"/>
        <w:rPr>
          <w:rFonts w:hint="eastAsia" w:cs="Times New Roman"/>
          <w:sz w:val="32"/>
          <w:szCs w:val="32"/>
          <w:u w:val="single"/>
          <w:lang w:eastAsia="zh-CN"/>
        </w:rPr>
      </w:pPr>
      <w:r>
        <w:rPr>
          <w:rFonts w:hint="eastAsia" w:ascii="宋体" w:hAnsi="宋体" w:cs="宋体"/>
          <w:sz w:val="32"/>
          <w:szCs w:val="32"/>
        </w:rPr>
        <w:t>项目名称：</w:t>
      </w:r>
      <w:r>
        <w:rPr>
          <w:rFonts w:hint="eastAsia" w:ascii="Times New Roman" w:hAnsi="Times New Roman" w:eastAsia="宋体" w:cs="Times New Roman"/>
          <w:sz w:val="32"/>
          <w:szCs w:val="32"/>
          <w:u w:val="single"/>
          <w:lang w:eastAsia="zh-CN"/>
        </w:rPr>
        <w:t xml:space="preserve"> </w:t>
      </w:r>
      <w:r>
        <w:rPr>
          <w:rFonts w:hint="eastAsia" w:cs="Times New Roman"/>
          <w:sz w:val="32"/>
          <w:szCs w:val="32"/>
          <w:u w:val="single"/>
          <w:lang w:eastAsia="zh-CN"/>
        </w:rPr>
        <w:t>阜宁县人民医院救护车采购项目</w:t>
      </w:r>
    </w:p>
    <w:p w14:paraId="275A633B">
      <w:pPr>
        <w:spacing w:line="360" w:lineRule="auto"/>
        <w:ind w:left="420"/>
        <w:rPr>
          <w:sz w:val="32"/>
          <w:szCs w:val="32"/>
          <w:u w:val="single"/>
        </w:rPr>
      </w:pPr>
      <w:r>
        <w:rPr>
          <w:rFonts w:hint="eastAsia"/>
          <w:sz w:val="32"/>
          <w:szCs w:val="32"/>
        </w:rPr>
        <w:t>合同编号：</w:t>
      </w:r>
      <w:r>
        <w:rPr>
          <w:rFonts w:hint="eastAsia" w:ascii="Times New Roman" w:hAnsi="Times New Roman" w:eastAsia="宋体" w:cs="Times New Roman"/>
          <w:sz w:val="32"/>
          <w:szCs w:val="32"/>
          <w:u w:val="single"/>
        </w:rPr>
        <w:t xml:space="preserve"> </w:t>
      </w:r>
      <w:r>
        <w:rPr>
          <w:rFonts w:hint="eastAsia"/>
          <w:sz w:val="32"/>
          <w:szCs w:val="32"/>
          <w:u w:val="single"/>
        </w:rPr>
        <w:t xml:space="preserve">              </w:t>
      </w:r>
      <w:r>
        <w:rPr>
          <w:rFonts w:hint="eastAsia"/>
          <w:sz w:val="32"/>
          <w:szCs w:val="32"/>
          <w:u w:val="single"/>
          <w:lang w:val="en-US" w:eastAsia="zh-CN"/>
        </w:rPr>
        <w:t xml:space="preserve"> </w:t>
      </w:r>
      <w:r>
        <w:rPr>
          <w:rFonts w:hint="eastAsia"/>
          <w:sz w:val="32"/>
          <w:szCs w:val="32"/>
          <w:u w:val="single"/>
        </w:rPr>
        <w:t xml:space="preserve">             </w:t>
      </w:r>
    </w:p>
    <w:p w14:paraId="50C963F6">
      <w:pPr>
        <w:spacing w:line="360" w:lineRule="auto"/>
        <w:ind w:left="420"/>
        <w:rPr>
          <w:sz w:val="32"/>
          <w:szCs w:val="32"/>
        </w:rPr>
      </w:pPr>
      <w:r>
        <w:rPr>
          <w:rFonts w:hint="eastAsia"/>
          <w:sz w:val="32"/>
          <w:szCs w:val="32"/>
        </w:rPr>
        <w:t>甲    方：</w:t>
      </w:r>
      <w:r>
        <w:rPr>
          <w:rFonts w:hint="eastAsia" w:ascii="Times New Roman" w:hAnsi="Times New Roman" w:eastAsia="宋体" w:cs="Times New Roman"/>
          <w:sz w:val="32"/>
          <w:szCs w:val="32"/>
          <w:u w:val="single"/>
        </w:rPr>
        <w:t xml:space="preserve"> </w:t>
      </w:r>
      <w:r>
        <w:rPr>
          <w:rFonts w:hint="eastAsia" w:ascii="Times New Roman" w:hAnsi="Times New Roman" w:eastAsia="宋体" w:cs="Times New Roman"/>
          <w:sz w:val="32"/>
          <w:szCs w:val="32"/>
          <w:u w:val="single"/>
          <w:lang w:val="en-US" w:eastAsia="zh-CN"/>
        </w:rPr>
        <w:t xml:space="preserve">       阜宁县人民医院</w:t>
      </w:r>
      <w:r>
        <w:rPr>
          <w:rFonts w:hint="eastAsia" w:ascii="Times New Roman" w:hAnsi="Times New Roman" w:eastAsia="宋体" w:cs="Times New Roman"/>
          <w:sz w:val="32"/>
          <w:szCs w:val="32"/>
          <w:u w:val="single"/>
        </w:rPr>
        <w:t xml:space="preserve">      </w:t>
      </w:r>
      <w:r>
        <w:rPr>
          <w:rFonts w:hint="eastAsia"/>
          <w:sz w:val="32"/>
          <w:szCs w:val="32"/>
          <w:u w:val="single"/>
        </w:rPr>
        <w:t xml:space="preserve">   </w:t>
      </w:r>
    </w:p>
    <w:p w14:paraId="057E7B00">
      <w:pPr>
        <w:spacing w:line="360" w:lineRule="auto"/>
        <w:ind w:left="420"/>
        <w:rPr>
          <w:sz w:val="32"/>
          <w:szCs w:val="32"/>
          <w:u w:val="single"/>
        </w:rPr>
      </w:pPr>
      <w:r>
        <w:rPr>
          <w:rFonts w:hint="eastAsia"/>
          <w:sz w:val="32"/>
          <w:szCs w:val="32"/>
        </w:rPr>
        <w:t>乙    方：</w:t>
      </w:r>
      <w:r>
        <w:rPr>
          <w:rFonts w:hint="eastAsia"/>
          <w:sz w:val="32"/>
          <w:szCs w:val="32"/>
          <w:u w:val="single"/>
        </w:rPr>
        <w:t xml:space="preserve">                             </w:t>
      </w:r>
    </w:p>
    <w:p w14:paraId="16869D28">
      <w:pPr>
        <w:spacing w:line="360" w:lineRule="auto"/>
        <w:ind w:left="420"/>
        <w:rPr>
          <w:rFonts w:hint="default" w:eastAsia="宋体"/>
          <w:sz w:val="32"/>
          <w:szCs w:val="32"/>
          <w:lang w:val="en-US" w:eastAsia="zh-CN"/>
        </w:rPr>
      </w:pPr>
      <w:r>
        <w:rPr>
          <w:rFonts w:hint="eastAsia"/>
          <w:sz w:val="32"/>
          <w:szCs w:val="32"/>
        </w:rPr>
        <w:t>签订时间：</w:t>
      </w:r>
      <w:r>
        <w:rPr>
          <w:rFonts w:hint="eastAsia"/>
          <w:sz w:val="32"/>
          <w:szCs w:val="32"/>
          <w:u w:val="single"/>
        </w:rPr>
        <w:t xml:space="preserve">     </w:t>
      </w:r>
      <w:r>
        <w:rPr>
          <w:sz w:val="32"/>
          <w:szCs w:val="32"/>
          <w:u w:val="single"/>
        </w:rPr>
        <w:t xml:space="preserve">  </w:t>
      </w:r>
      <w:r>
        <w:rPr>
          <w:rFonts w:hint="eastAsia"/>
          <w:sz w:val="32"/>
          <w:szCs w:val="32"/>
          <w:u w:val="single"/>
        </w:rPr>
        <w:t xml:space="preserve">     </w:t>
      </w:r>
      <w:r>
        <w:rPr>
          <w:rFonts w:hint="eastAsia"/>
          <w:sz w:val="32"/>
          <w:szCs w:val="32"/>
          <w:u w:val="single"/>
          <w:lang w:val="en-US" w:eastAsia="zh-CN"/>
        </w:rPr>
        <w:t xml:space="preserve">               </w:t>
      </w:r>
    </w:p>
    <w:p w14:paraId="60CF5BB2"/>
    <w:p w14:paraId="70213852">
      <w:pPr>
        <w:pStyle w:val="186"/>
        <w:spacing w:line="400" w:lineRule="exact"/>
        <w:jc w:val="center"/>
        <w:rPr>
          <w:rFonts w:hint="eastAsia" w:ascii="黑体" w:hAnsi="华文中宋" w:eastAsia="黑体"/>
          <w:b w:val="0"/>
          <w:bCs w:val="0"/>
          <w:color w:val="000000"/>
          <w:sz w:val="28"/>
          <w:szCs w:val="28"/>
        </w:rPr>
      </w:pPr>
      <w:r>
        <w:rPr>
          <w:rFonts w:eastAsia="黑体"/>
          <w:sz w:val="44"/>
          <w:szCs w:val="44"/>
        </w:rPr>
        <w:br w:type="page" w:clear="all"/>
      </w:r>
      <w:bookmarkEnd w:id="177"/>
      <w:bookmarkStart w:id="178" w:name="_Toc22209"/>
      <w:r>
        <w:rPr>
          <w:rFonts w:hint="eastAsia" w:ascii="黑体" w:hAnsi="黑体" w:eastAsia="黑体"/>
          <w:b w:val="0"/>
          <w:bCs w:val="0"/>
          <w:color w:val="000000"/>
          <w:sz w:val="28"/>
          <w:szCs w:val="28"/>
        </w:rPr>
        <w:t xml:space="preserve">第一节 </w:t>
      </w:r>
      <w:r>
        <w:rPr>
          <w:rFonts w:hint="eastAsia" w:ascii="黑体" w:hAnsi="华文中宋" w:eastAsia="黑体"/>
          <w:b w:val="0"/>
          <w:bCs w:val="0"/>
          <w:color w:val="000000"/>
          <w:sz w:val="28"/>
          <w:szCs w:val="28"/>
        </w:rPr>
        <w:t>政府采购合同协议书</w:t>
      </w:r>
      <w:bookmarkEnd w:id="178"/>
    </w:p>
    <w:p w14:paraId="4720668C">
      <w:pPr>
        <w:spacing w:before="0" w:line="400" w:lineRule="exact"/>
        <w:jc w:val="left"/>
        <w:rPr>
          <w:rFonts w:ascii="宋体" w:hAnsi="宋体"/>
          <w:szCs w:val="21"/>
        </w:rPr>
      </w:pPr>
      <w:r>
        <w:rPr>
          <w:rFonts w:hint="eastAsia" w:ascii="宋体" w:hAnsi="宋体"/>
          <w:szCs w:val="21"/>
        </w:rPr>
        <w:t>甲方（全称）：</w:t>
      </w:r>
      <w:r>
        <w:rPr>
          <w:rFonts w:hint="eastAsia" w:ascii="宋体" w:hAnsi="宋体"/>
          <w:szCs w:val="21"/>
          <w:u w:val="single"/>
        </w:rPr>
        <w:t xml:space="preserve"> </w:t>
      </w:r>
      <w:r>
        <w:rPr>
          <w:rFonts w:hint="eastAsia" w:ascii="宋体" w:hAnsi="宋体" w:eastAsia="宋体" w:cs="Times New Roman"/>
          <w:szCs w:val="21"/>
          <w:u w:val="single"/>
          <w:lang w:val="en-US" w:eastAsia="zh-CN"/>
        </w:rPr>
        <w:t xml:space="preserve">阜宁县人民医院 </w:t>
      </w:r>
      <w:r>
        <w:rPr>
          <w:rFonts w:hint="eastAsia" w:ascii="宋体" w:hAnsi="宋体" w:eastAsia="宋体" w:cs="Times New Roman"/>
          <w:szCs w:val="21"/>
          <w:u w:val="single"/>
        </w:rPr>
        <w:t xml:space="preserve"> </w:t>
      </w:r>
    </w:p>
    <w:p w14:paraId="333A8163">
      <w:pPr>
        <w:spacing w:before="0" w:line="400" w:lineRule="exact"/>
        <w:rPr>
          <w:rFonts w:ascii="宋体" w:hAnsi="宋体"/>
          <w:szCs w:val="21"/>
        </w:rPr>
      </w:pPr>
      <w:r>
        <w:rPr>
          <w:rFonts w:hint="eastAsia" w:ascii="宋体" w:hAnsi="宋体"/>
          <w:szCs w:val="21"/>
        </w:rPr>
        <w:t>乙方（全称）：</w:t>
      </w:r>
      <w:r>
        <w:rPr>
          <w:rFonts w:hint="eastAsia" w:ascii="宋体" w:hAnsi="宋体"/>
          <w:szCs w:val="21"/>
          <w:u w:val="single"/>
        </w:rPr>
        <w:t xml:space="preserve">                    </w:t>
      </w:r>
    </w:p>
    <w:p w14:paraId="446E3953">
      <w:pPr>
        <w:spacing w:line="400" w:lineRule="exact"/>
        <w:rPr>
          <w:rFonts w:eastAsia="宋体"/>
          <w:lang w:val="en-US" w:eastAsia="zh-CN"/>
        </w:rPr>
      </w:pPr>
    </w:p>
    <w:p w14:paraId="0EF62C19">
      <w:pPr>
        <w:pStyle w:val="217"/>
        <w:spacing w:before="0" w:after="0" w:line="400" w:lineRule="exact"/>
        <w:ind w:left="0" w:firstLine="420"/>
        <w:rPr>
          <w:rFonts w:ascii="宋体" w:hAnsi="宋体"/>
          <w:szCs w:val="21"/>
        </w:rPr>
      </w:pPr>
      <w:r>
        <w:rPr>
          <w:rFonts w:hint="eastAsia" w:ascii="宋体" w:hAnsi="宋体"/>
          <w:szCs w:val="21"/>
        </w:rPr>
        <w:t>依据《中华人民共和国民法典</w:t>
      </w:r>
      <w:r>
        <w:rPr>
          <w:rFonts w:hint="eastAsia" w:ascii="宋体" w:hAnsi="宋体"/>
          <w:szCs w:val="21"/>
          <w:lang w:eastAsia="zh-CN"/>
        </w:rPr>
        <w:t>》《</w:t>
      </w:r>
      <w:r>
        <w:rPr>
          <w:rFonts w:hint="eastAsia" w:ascii="宋体" w:hAnsi="宋体"/>
          <w:szCs w:val="21"/>
        </w:rPr>
        <w:t>中华人民共和国政府采购法》等有关的法律法规，以及</w:t>
      </w:r>
      <w:r>
        <w:rPr>
          <w:rFonts w:hint="eastAsia" w:ascii="宋体" w:hAnsi="宋体"/>
          <w:i w:val="0"/>
          <w:iCs w:val="0"/>
          <w:szCs w:val="21"/>
          <w:u w:val="none"/>
          <w:lang w:eastAsia="zh-CN"/>
        </w:rPr>
        <w:t>本采购项目</w:t>
      </w:r>
      <w:r>
        <w:rPr>
          <w:rFonts w:hint="eastAsia" w:ascii="宋体" w:hAnsi="宋体"/>
          <w:szCs w:val="21"/>
        </w:rPr>
        <w:t>的</w:t>
      </w:r>
      <w:r>
        <w:rPr>
          <w:rFonts w:hint="eastAsia" w:ascii="宋体" w:hAnsi="宋体"/>
          <w:szCs w:val="21"/>
          <w:lang w:eastAsia="zh-CN"/>
        </w:rPr>
        <w:t>招标</w:t>
      </w:r>
      <w:r>
        <w:rPr>
          <w:rFonts w:hint="eastAsia" w:ascii="宋体" w:hAnsi="宋体"/>
          <w:szCs w:val="21"/>
          <w:lang w:val="en-US" w:eastAsia="zh-CN"/>
        </w:rPr>
        <w:t>/谈判</w:t>
      </w:r>
      <w:r>
        <w:rPr>
          <w:rFonts w:hint="eastAsia" w:ascii="宋体" w:hAnsi="宋体"/>
          <w:szCs w:val="21"/>
          <w:lang w:eastAsia="zh-CN"/>
        </w:rPr>
        <w:t>文件等</w:t>
      </w:r>
      <w:r>
        <w:rPr>
          <w:rFonts w:hint="eastAsia" w:ascii="宋体" w:hAnsi="宋体"/>
          <w:szCs w:val="21"/>
        </w:rPr>
        <w:t>采购文件</w:t>
      </w:r>
      <w:r>
        <w:rPr>
          <w:rFonts w:hint="eastAsia" w:ascii="宋体" w:hAnsi="宋体"/>
          <w:szCs w:val="21"/>
          <w:lang w:eastAsia="zh-CN"/>
        </w:rPr>
        <w:t>、</w:t>
      </w:r>
      <w:r>
        <w:rPr>
          <w:rFonts w:hint="eastAsia" w:ascii="宋体" w:hAnsi="宋体"/>
          <w:szCs w:val="21"/>
        </w:rPr>
        <w:t xml:space="preserve">乙方的《投标（响应）文件》及《中标（成交）通知书》，甲乙双方同意签订本合同。具体情况及要求如下：     </w:t>
      </w:r>
    </w:p>
    <w:p w14:paraId="38AC6BCF">
      <w:pPr>
        <w:numPr>
          <w:ilvl w:val="0"/>
          <w:numId w:val="5"/>
        </w:numPr>
        <w:spacing w:before="0" w:line="400" w:lineRule="exact"/>
        <w:ind w:firstLine="422"/>
        <w:rPr>
          <w:rFonts w:ascii="宋体" w:hAnsi="宋体"/>
          <w:b/>
          <w:szCs w:val="21"/>
        </w:rPr>
      </w:pPr>
      <w:r>
        <w:rPr>
          <w:rFonts w:hint="eastAsia" w:ascii="宋体" w:hAnsi="宋体"/>
          <w:b/>
          <w:szCs w:val="21"/>
        </w:rPr>
        <w:t>项目信息</w:t>
      </w:r>
    </w:p>
    <w:p w14:paraId="191562C9">
      <w:pPr>
        <w:pStyle w:val="217"/>
        <w:numPr>
          <w:ilvl w:val="0"/>
          <w:numId w:val="6"/>
        </w:numPr>
        <w:spacing w:before="0" w:after="0" w:line="400" w:lineRule="exact"/>
        <w:ind w:left="0" w:firstLine="420"/>
        <w:rPr>
          <w:rFonts w:ascii="宋体" w:hAnsi="宋体"/>
          <w:szCs w:val="21"/>
          <w:u w:val="single"/>
        </w:rPr>
      </w:pPr>
      <w:r>
        <w:rPr>
          <w:rFonts w:hint="eastAsia" w:ascii="宋体" w:hAnsi="宋体"/>
          <w:szCs w:val="21"/>
        </w:rPr>
        <w:t>采购项目名称：</w:t>
      </w:r>
      <w:r>
        <w:rPr>
          <w:rFonts w:ascii="宋体" w:hAnsi="宋体"/>
          <w:szCs w:val="21"/>
          <w:u w:val="single"/>
        </w:rPr>
        <w:t xml:space="preserve"> </w:t>
      </w:r>
      <w:r>
        <w:rPr>
          <w:rFonts w:ascii="宋体" w:hAnsi="宋体" w:eastAsia="宋体" w:cs="Times New Roman"/>
          <w:szCs w:val="21"/>
          <w:u w:val="single"/>
        </w:rPr>
        <w:t xml:space="preserve"> </w:t>
      </w:r>
      <w:r>
        <w:rPr>
          <w:rFonts w:hint="eastAsia" w:ascii="宋体" w:hAnsi="宋体" w:eastAsia="宋体" w:cs="Times New Roman"/>
          <w:szCs w:val="21"/>
          <w:u w:val="single"/>
          <w:lang w:eastAsia="zh-CN"/>
        </w:rPr>
        <w:t xml:space="preserve"> </w:t>
      </w:r>
      <w:r>
        <w:rPr>
          <w:rFonts w:hint="eastAsia" w:ascii="宋体" w:hAnsi="宋体" w:cs="Times New Roman"/>
          <w:szCs w:val="21"/>
          <w:u w:val="single"/>
          <w:lang w:eastAsia="zh-CN"/>
        </w:rPr>
        <w:t>阜宁县人民医院救护车采购项目</w:t>
      </w:r>
      <w:r>
        <w:rPr>
          <w:rFonts w:ascii="宋体" w:hAnsi="宋体"/>
          <w:szCs w:val="21"/>
          <w:u w:val="single"/>
        </w:rPr>
        <w:t xml:space="preserve">           </w:t>
      </w:r>
    </w:p>
    <w:p w14:paraId="19446D0E">
      <w:pPr>
        <w:pStyle w:val="217"/>
        <w:numPr>
          <w:ilvl w:val="0"/>
          <w:numId w:val="0"/>
        </w:numPr>
        <w:tabs>
          <w:tab w:val="left" w:pos="999"/>
        </w:tabs>
        <w:spacing w:before="0" w:after="0" w:line="400" w:lineRule="exact"/>
        <w:ind w:left="0" w:firstLine="0"/>
        <w:rPr>
          <w:rFonts w:ascii="宋体" w:hAnsi="宋体" w:eastAsia="宋体"/>
          <w:szCs w:val="21"/>
          <w:u w:val="none"/>
          <w:lang w:val="en-US" w:eastAsia="zh-CN"/>
        </w:rPr>
      </w:pPr>
      <w:r>
        <w:rPr>
          <w:rFonts w:hint="eastAsia" w:ascii="宋体" w:hAnsi="宋体"/>
          <w:szCs w:val="21"/>
          <w:u w:val="none"/>
          <w:lang w:val="en-US" w:eastAsia="zh-CN"/>
        </w:rPr>
        <w:t xml:space="preserve">         采购项目编号：</w:t>
      </w:r>
      <w:r>
        <w:rPr>
          <w:rFonts w:ascii="宋体" w:hAnsi="宋体"/>
          <w:szCs w:val="21"/>
          <w:u w:val="single"/>
        </w:rPr>
        <w:t xml:space="preserve"> </w:t>
      </w:r>
      <w:r>
        <w:rPr>
          <w:rFonts w:ascii="宋体" w:hAnsi="宋体" w:eastAsia="宋体" w:cs="Times New Roman"/>
          <w:color w:val="000000"/>
          <w:szCs w:val="21"/>
          <w:u w:val="single"/>
        </w:rPr>
        <w:t xml:space="preserve"> </w:t>
      </w:r>
      <w:r>
        <w:rPr>
          <w:rFonts w:hint="eastAsia" w:ascii="宋体" w:hAnsi="宋体" w:cs="Times New Roman"/>
          <w:color w:val="000000"/>
          <w:szCs w:val="21"/>
          <w:u w:val="single"/>
          <w:lang w:eastAsia="zh-CN"/>
        </w:rPr>
        <w:t>JSZC-320923-SWGC-G2026-0106</w:t>
      </w:r>
      <w:r>
        <w:rPr>
          <w:rFonts w:ascii="宋体" w:hAnsi="宋体" w:eastAsia="宋体" w:cs="Times New Roman"/>
          <w:color w:val="000000"/>
          <w:szCs w:val="21"/>
          <w:u w:val="single"/>
        </w:rPr>
        <w:t xml:space="preserve">  </w:t>
      </w:r>
      <w:r>
        <w:rPr>
          <w:rFonts w:ascii="宋体" w:hAnsi="宋体"/>
          <w:szCs w:val="21"/>
          <w:u w:val="single"/>
        </w:rPr>
        <w:t xml:space="preserve">       </w:t>
      </w:r>
    </w:p>
    <w:p w14:paraId="6C519666">
      <w:pPr>
        <w:pStyle w:val="217"/>
        <w:spacing w:before="0" w:after="0" w:line="400" w:lineRule="exact"/>
        <w:ind w:left="0" w:firstLine="420"/>
        <w:rPr>
          <w:rFonts w:ascii="宋体" w:hAnsi="宋体"/>
          <w:szCs w:val="21"/>
        </w:rPr>
      </w:pPr>
      <w:r>
        <w:rPr>
          <w:rFonts w:hint="eastAsia" w:ascii="宋体" w:hAnsi="宋体"/>
          <w:szCs w:val="21"/>
        </w:rPr>
        <w:t>（2）采购计划编号：</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 xml:space="preserve"> </w:t>
      </w:r>
    </w:p>
    <w:p w14:paraId="48D9755D">
      <w:pPr>
        <w:spacing w:before="0" w:line="400" w:lineRule="exact"/>
        <w:ind w:firstLine="420"/>
        <w:rPr>
          <w:rFonts w:hint="eastAsia" w:ascii="宋体" w:hAnsi="宋体"/>
          <w:szCs w:val="21"/>
        </w:rPr>
      </w:pPr>
      <w:r>
        <w:rPr>
          <w:rFonts w:hint="eastAsia" w:ascii="宋体" w:hAnsi="宋体"/>
          <w:szCs w:val="21"/>
        </w:rPr>
        <w:t>（3）项目内容：</w:t>
      </w:r>
    </w:p>
    <w:p w14:paraId="62CF33E6">
      <w:pPr>
        <w:spacing w:before="0" w:line="400" w:lineRule="exact"/>
        <w:ind w:firstLine="840" w:firstLineChars="400"/>
        <w:rPr>
          <w:rFonts w:hint="eastAsia" w:ascii="宋体" w:hAnsi="宋体" w:eastAsia="宋体" w:cs="Times New Roman"/>
          <w:sz w:val="21"/>
          <w:szCs w:val="21"/>
          <w:lang w:val="en-US" w:eastAsia="zh-CN" w:bidi="ar-SA"/>
        </w:rPr>
      </w:pPr>
      <w:r>
        <w:rPr>
          <w:rFonts w:hint="eastAsia" w:ascii="宋体" w:hAnsi="宋体" w:eastAsia="宋体" w:cs="Times New Roman"/>
          <w:sz w:val="21"/>
          <w:szCs w:val="21"/>
          <w:lang w:val="en-US" w:eastAsia="zh-CN" w:bidi="ar-SA"/>
        </w:rPr>
        <w:t>采购标的及数量（台/套</w:t>
      </w:r>
      <w:r>
        <w:rPr>
          <w:rFonts w:hint="eastAsia" w:ascii="宋体" w:hAnsi="宋体" w:eastAsia="宋体" w:cs="Times New Roman"/>
          <w:sz w:val="21"/>
          <w:szCs w:val="21"/>
          <w:lang w:val="en" w:eastAsia="zh-CN" w:bidi="ar-SA"/>
        </w:rPr>
        <w:t>/个/架/组等</w:t>
      </w:r>
      <w:r>
        <w:rPr>
          <w:rFonts w:hint="eastAsia" w:ascii="宋体" w:hAnsi="宋体" w:eastAsia="宋体" w:cs="Times New Roman"/>
          <w:sz w:val="21"/>
          <w:szCs w:val="21"/>
          <w:lang w:val="en-US" w:eastAsia="zh-CN" w:bidi="ar-SA"/>
        </w:rPr>
        <w:t>）：3辆救护车</w:t>
      </w:r>
    </w:p>
    <w:p w14:paraId="301166B9">
      <w:pPr>
        <w:numPr>
          <w:ilvl w:val="0"/>
          <w:numId w:val="0"/>
        </w:numPr>
        <w:spacing w:before="0" w:line="400" w:lineRule="exact"/>
        <w:ind w:firstLine="420"/>
        <w:rPr>
          <w:rFonts w:ascii="宋体" w:hAnsi="宋体" w:cs="宋体"/>
          <w:szCs w:val="21"/>
          <w:lang w:val="en" w:eastAsia="zh-CN"/>
        </w:rPr>
      </w:pPr>
      <w:r>
        <w:rPr>
          <w:rFonts w:hint="eastAsia" w:ascii="宋体" w:hAnsi="宋体"/>
          <w:szCs w:val="21"/>
          <w:highlight w:val="none"/>
          <w:u w:val="none"/>
          <w:lang w:val="en-US" w:eastAsia="zh-CN"/>
        </w:rPr>
        <w:t xml:space="preserve">    </w:t>
      </w:r>
      <w:r>
        <w:rPr>
          <w:rFonts w:hint="eastAsia" w:ascii="宋体" w:hAnsi="宋体" w:cs="宋体"/>
          <w:szCs w:val="21"/>
          <w:lang w:val="en-US" w:eastAsia="zh-CN"/>
        </w:rPr>
        <w:t>品牌：</w:t>
      </w:r>
      <w:r>
        <w:rPr>
          <w:rFonts w:hint="eastAsia" w:ascii="宋体" w:hAnsi="宋体" w:cs="宋体"/>
          <w:szCs w:val="21"/>
          <w:u w:val="single"/>
          <w:lang w:val="en-US" w:eastAsia="zh-CN"/>
        </w:rPr>
        <w:t xml:space="preserve">      </w:t>
      </w:r>
      <w:r>
        <w:rPr>
          <w:rFonts w:ascii="宋体" w:hAnsi="宋体" w:cs="宋体"/>
          <w:szCs w:val="21"/>
          <w:u w:val="single"/>
          <w:lang w:val="en" w:eastAsia="zh-CN"/>
        </w:rPr>
        <w:t xml:space="preserve">   </w:t>
      </w:r>
      <w:r>
        <w:rPr>
          <w:rFonts w:hint="eastAsia" w:ascii="宋体" w:hAnsi="宋体" w:cs="宋体"/>
          <w:szCs w:val="21"/>
          <w:u w:val="single"/>
          <w:lang w:val="en-US" w:eastAsia="zh-CN"/>
        </w:rPr>
        <w:t xml:space="preserve">    </w:t>
      </w:r>
      <w:r>
        <w:rPr>
          <w:rFonts w:ascii="宋体" w:hAnsi="宋体" w:cs="宋体"/>
          <w:szCs w:val="21"/>
          <w:u w:val="single"/>
          <w:lang w:val="en" w:eastAsia="zh-CN"/>
        </w:rPr>
        <w:t xml:space="preserve"> </w:t>
      </w:r>
      <w:r>
        <w:rPr>
          <w:rFonts w:hint="eastAsia" w:ascii="宋体" w:hAnsi="宋体" w:cs="宋体"/>
          <w:szCs w:val="21"/>
          <w:u w:val="single"/>
          <w:lang w:val="en-US" w:eastAsia="zh-CN"/>
        </w:rPr>
        <w:t xml:space="preserve"> </w:t>
      </w:r>
      <w:r>
        <w:rPr>
          <w:rFonts w:ascii="宋体" w:hAnsi="宋体" w:cs="宋体"/>
          <w:szCs w:val="21"/>
          <w:u w:val="none"/>
          <w:lang w:val="en" w:eastAsia="zh-CN"/>
        </w:rPr>
        <w:t xml:space="preserve">     </w:t>
      </w:r>
      <w:r>
        <w:rPr>
          <w:rFonts w:hint="eastAsia" w:ascii="宋体" w:hAnsi="宋体" w:cs="宋体"/>
          <w:szCs w:val="21"/>
          <w:lang w:val="en-US" w:eastAsia="zh-CN"/>
        </w:rPr>
        <w:t>规格型号：</w:t>
      </w:r>
      <w:r>
        <w:rPr>
          <w:rFonts w:hint="eastAsia" w:ascii="宋体" w:hAnsi="宋体" w:cs="宋体"/>
          <w:szCs w:val="21"/>
          <w:u w:val="single"/>
          <w:lang w:val="en-US" w:eastAsia="zh-CN"/>
        </w:rPr>
        <w:t xml:space="preserve"> 详见招标文件  </w:t>
      </w:r>
      <w:r>
        <w:rPr>
          <w:rFonts w:ascii="宋体" w:hAnsi="宋体" w:cs="宋体"/>
          <w:szCs w:val="21"/>
          <w:u w:val="single"/>
          <w:lang w:val="en" w:eastAsia="zh-CN"/>
        </w:rPr>
        <w:t xml:space="preserve">   </w:t>
      </w:r>
    </w:p>
    <w:p w14:paraId="0F142C2A">
      <w:pPr>
        <w:spacing w:before="0" w:line="400" w:lineRule="exact"/>
        <w:ind w:firstLine="945"/>
        <w:rPr>
          <w:rFonts w:ascii="宋体" w:hAnsi="宋体"/>
          <w:szCs w:val="21"/>
          <w:highlight w:val="none"/>
          <w:u w:val="single"/>
        </w:rPr>
      </w:pPr>
      <w:r>
        <w:rPr>
          <w:rFonts w:hint="eastAsia" w:ascii="宋体" w:hAnsi="宋体"/>
          <w:szCs w:val="21"/>
          <w:highlight w:val="none"/>
          <w:u w:val="none"/>
          <w:lang w:val="en-US" w:eastAsia="zh-CN"/>
        </w:rPr>
        <w:t>采购标的的技术要求、商务要求具体见附件。</w:t>
      </w:r>
    </w:p>
    <w:p w14:paraId="7BB5A839">
      <w:pPr>
        <w:numPr>
          <w:ilvl w:val="0"/>
          <w:numId w:val="0"/>
        </w:numPr>
        <w:spacing w:before="0" w:line="400" w:lineRule="exact"/>
        <w:ind w:firstLine="945"/>
        <w:rPr>
          <w:rFonts w:hint="eastAsia" w:ascii="宋体" w:hAnsi="宋体" w:cs="宋体"/>
          <w:szCs w:val="21"/>
          <w:lang w:val="en-US" w:eastAsia="zh-CN"/>
        </w:rPr>
      </w:pPr>
      <w:r>
        <w:rPr>
          <w:rFonts w:hint="eastAsia" w:ascii="汉仪书宋二S" w:hAnsi="汉仪书宋二S" w:eastAsia="汉仪书宋二S" w:cs="汉仪书宋二S"/>
          <w:szCs w:val="21"/>
          <w:lang w:val="en-US" w:eastAsia="zh-CN"/>
        </w:rPr>
        <w:t>①</w:t>
      </w:r>
      <w:r>
        <w:rPr>
          <w:rFonts w:hint="eastAsia" w:ascii="宋体" w:hAnsi="宋体" w:cs="宋体"/>
          <w:szCs w:val="21"/>
          <w:lang w:val="en-US" w:eastAsia="zh-CN"/>
        </w:rPr>
        <w:t>涉及信息类产品，请填写该产品关键部件的品牌、型号：</w:t>
      </w:r>
    </w:p>
    <w:p w14:paraId="3C8D6277">
      <w:pPr>
        <w:numPr>
          <w:ilvl w:val="0"/>
          <w:numId w:val="0"/>
        </w:numPr>
        <w:spacing w:before="0" w:line="400" w:lineRule="exact"/>
        <w:ind w:firstLine="420"/>
        <w:rPr>
          <w:rFonts w:hint="eastAsia" w:ascii="宋体" w:hAnsi="宋体" w:cs="宋体"/>
          <w:szCs w:val="21"/>
          <w:u w:val="single"/>
          <w:lang w:val="en-US" w:eastAsia="zh-CN"/>
        </w:rPr>
      </w:pPr>
      <w:r>
        <w:rPr>
          <w:rFonts w:hint="eastAsia" w:ascii="宋体" w:hAnsi="宋体" w:cs="宋体"/>
          <w:szCs w:val="21"/>
          <w:lang w:val="en-US" w:eastAsia="zh-CN"/>
        </w:rPr>
        <w:t xml:space="preserve">     标的名称：</w:t>
      </w:r>
      <w:r>
        <w:rPr>
          <w:rFonts w:hint="eastAsia" w:ascii="宋体" w:hAnsi="宋体" w:cs="宋体"/>
          <w:szCs w:val="21"/>
          <w:u w:val="single"/>
          <w:lang w:val="en-US" w:eastAsia="zh-CN"/>
        </w:rPr>
        <w:t xml:space="preserve">      </w:t>
      </w:r>
      <w:r>
        <w:rPr>
          <w:rFonts w:ascii="宋体" w:hAnsi="宋体" w:cs="宋体"/>
          <w:szCs w:val="21"/>
          <w:u w:val="single"/>
          <w:lang w:val="en" w:eastAsia="zh-CN"/>
        </w:rPr>
        <w:t xml:space="preserve">               </w:t>
      </w:r>
      <w:r>
        <w:rPr>
          <w:rFonts w:hint="eastAsia" w:ascii="宋体" w:hAnsi="宋体" w:cs="宋体"/>
          <w:szCs w:val="21"/>
          <w:u w:val="single"/>
          <w:lang w:val="en-US" w:eastAsia="zh-CN"/>
        </w:rPr>
        <w:t xml:space="preserve">    </w:t>
      </w:r>
    </w:p>
    <w:p w14:paraId="219779BD">
      <w:pPr>
        <w:numPr>
          <w:ilvl w:val="0"/>
          <w:numId w:val="0"/>
        </w:numPr>
        <w:spacing w:before="0" w:line="400" w:lineRule="exact"/>
        <w:ind w:firstLine="420"/>
        <w:rPr>
          <w:rFonts w:hint="eastAsia" w:ascii="宋体" w:hAnsi="宋体" w:cs="宋体"/>
          <w:szCs w:val="21"/>
          <w:lang w:val="en-US" w:eastAsia="zh-CN"/>
        </w:rPr>
      </w:pPr>
      <w:r>
        <w:rPr>
          <w:rFonts w:hint="eastAsia" w:ascii="宋体" w:hAnsi="宋体" w:cs="宋体"/>
          <w:szCs w:val="21"/>
          <w:lang w:val="en-US" w:eastAsia="zh-CN"/>
        </w:rPr>
        <w:t xml:space="preserve">     关键部件：</w:t>
      </w:r>
      <w:r>
        <w:rPr>
          <w:rFonts w:hint="eastAsia" w:ascii="宋体" w:hAnsi="宋体" w:cs="宋体"/>
          <w:szCs w:val="21"/>
          <w:u w:val="single"/>
          <w:lang w:val="en-US" w:eastAsia="zh-CN"/>
        </w:rPr>
        <w:t xml:space="preserve">          </w:t>
      </w:r>
      <w:r>
        <w:rPr>
          <w:rFonts w:hint="eastAsia" w:ascii="宋体" w:hAnsi="宋体" w:cs="宋体"/>
          <w:szCs w:val="21"/>
          <w:u w:val="none"/>
          <w:lang w:val="en-US" w:eastAsia="zh-CN"/>
        </w:rPr>
        <w:t xml:space="preserve"> </w:t>
      </w:r>
      <w:r>
        <w:rPr>
          <w:rFonts w:hint="eastAsia" w:ascii="宋体" w:hAnsi="宋体" w:cs="宋体"/>
          <w:szCs w:val="21"/>
          <w:lang w:val="en-US" w:eastAsia="zh-CN"/>
        </w:rPr>
        <w:t>品牌：</w:t>
      </w:r>
      <w:r>
        <w:rPr>
          <w:rFonts w:hint="eastAsia" w:ascii="宋体" w:hAnsi="宋体" w:cs="宋体"/>
          <w:szCs w:val="21"/>
          <w:u w:val="single"/>
          <w:lang w:val="en-US" w:eastAsia="zh-CN"/>
        </w:rPr>
        <w:t xml:space="preserve">        </w:t>
      </w:r>
      <w:r>
        <w:rPr>
          <w:rFonts w:hint="eastAsia" w:ascii="宋体" w:hAnsi="宋体" w:cs="宋体"/>
          <w:szCs w:val="21"/>
          <w:u w:val="none"/>
          <w:lang w:val="en-US" w:eastAsia="zh-CN"/>
        </w:rPr>
        <w:t xml:space="preserve"> </w:t>
      </w:r>
      <w:r>
        <w:rPr>
          <w:rFonts w:hint="eastAsia" w:ascii="宋体" w:hAnsi="宋体" w:cs="宋体"/>
          <w:szCs w:val="21"/>
          <w:lang w:val="en-US" w:eastAsia="zh-CN"/>
        </w:rPr>
        <w:t>型号：</w:t>
      </w:r>
      <w:r>
        <w:rPr>
          <w:rFonts w:hint="eastAsia" w:ascii="宋体" w:hAnsi="宋体" w:cs="宋体"/>
          <w:szCs w:val="21"/>
          <w:u w:val="single"/>
          <w:lang w:val="en-US" w:eastAsia="zh-CN"/>
        </w:rPr>
        <w:t xml:space="preserve">       </w:t>
      </w:r>
      <w:r>
        <w:rPr>
          <w:rFonts w:hint="eastAsia" w:ascii="宋体" w:hAnsi="宋体" w:cs="宋体"/>
          <w:szCs w:val="21"/>
          <w:lang w:val="en-US" w:eastAsia="zh-CN"/>
        </w:rPr>
        <w:t xml:space="preserve"> </w:t>
      </w:r>
    </w:p>
    <w:p w14:paraId="4F243C31">
      <w:pPr>
        <w:pStyle w:val="322"/>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     关键部件：</w:t>
      </w:r>
      <w:r>
        <w:rPr>
          <w:rFonts w:hint="eastAsia" w:ascii="宋体" w:hAnsi="宋体" w:eastAsia="宋体" w:cs="宋体"/>
          <w:sz w:val="21"/>
          <w:szCs w:val="21"/>
          <w:u w:val="single"/>
          <w:lang w:val="en-US" w:eastAsia="zh-CN"/>
        </w:rPr>
        <w:t xml:space="preserve">          </w:t>
      </w:r>
      <w:r>
        <w:rPr>
          <w:rFonts w:hint="eastAsia" w:ascii="宋体" w:hAnsi="宋体" w:eastAsia="宋体" w:cs="宋体"/>
          <w:sz w:val="21"/>
          <w:szCs w:val="21"/>
          <w:u w:val="none"/>
          <w:lang w:val="en-US" w:eastAsia="zh-CN"/>
        </w:rPr>
        <w:t xml:space="preserve"> </w:t>
      </w:r>
      <w:r>
        <w:rPr>
          <w:rFonts w:hint="eastAsia" w:ascii="宋体" w:hAnsi="宋体" w:eastAsia="宋体" w:cs="宋体"/>
          <w:sz w:val="21"/>
          <w:szCs w:val="21"/>
          <w:lang w:val="en-US" w:eastAsia="zh-CN"/>
        </w:rPr>
        <w:t>品牌：</w:t>
      </w:r>
      <w:r>
        <w:rPr>
          <w:rFonts w:hint="eastAsia" w:ascii="宋体" w:hAnsi="宋体" w:eastAsia="宋体" w:cs="宋体"/>
          <w:sz w:val="21"/>
          <w:szCs w:val="21"/>
          <w:u w:val="single"/>
          <w:lang w:val="en-US" w:eastAsia="zh-CN"/>
        </w:rPr>
        <w:t xml:space="preserve">        </w:t>
      </w:r>
      <w:r>
        <w:rPr>
          <w:rFonts w:hint="eastAsia" w:ascii="宋体" w:hAnsi="宋体" w:eastAsia="宋体" w:cs="宋体"/>
          <w:sz w:val="21"/>
          <w:szCs w:val="21"/>
          <w:u w:val="none"/>
          <w:lang w:val="en-US" w:eastAsia="zh-CN"/>
        </w:rPr>
        <w:t xml:space="preserve"> </w:t>
      </w:r>
      <w:r>
        <w:rPr>
          <w:rFonts w:hint="eastAsia" w:ascii="宋体" w:hAnsi="宋体" w:eastAsia="宋体" w:cs="宋体"/>
          <w:sz w:val="21"/>
          <w:szCs w:val="21"/>
          <w:lang w:val="en-US" w:eastAsia="zh-CN"/>
        </w:rPr>
        <w:t>型号：</w:t>
      </w:r>
      <w:r>
        <w:rPr>
          <w:rFonts w:hint="eastAsia" w:ascii="宋体" w:hAnsi="宋体" w:eastAsia="宋体" w:cs="宋体"/>
          <w:sz w:val="21"/>
          <w:szCs w:val="21"/>
          <w:u w:val="single"/>
          <w:lang w:val="en-US" w:eastAsia="zh-CN"/>
        </w:rPr>
        <w:t xml:space="preserve">       </w:t>
      </w:r>
      <w:r>
        <w:rPr>
          <w:rFonts w:hint="eastAsia" w:ascii="宋体" w:hAnsi="宋体" w:eastAsia="宋体" w:cs="宋体"/>
          <w:sz w:val="21"/>
          <w:szCs w:val="21"/>
          <w:lang w:val="en-US" w:eastAsia="zh-CN"/>
        </w:rPr>
        <w:t xml:space="preserve"> </w:t>
      </w:r>
    </w:p>
    <w:p w14:paraId="1A406E9C">
      <w:pPr>
        <w:pStyle w:val="322"/>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     关键部件：</w:t>
      </w:r>
      <w:r>
        <w:rPr>
          <w:rFonts w:hint="eastAsia" w:ascii="宋体" w:hAnsi="宋体" w:eastAsia="宋体" w:cs="宋体"/>
          <w:sz w:val="21"/>
          <w:szCs w:val="21"/>
          <w:u w:val="single"/>
          <w:lang w:val="en-US" w:eastAsia="zh-CN"/>
        </w:rPr>
        <w:t xml:space="preserve">          </w:t>
      </w:r>
      <w:r>
        <w:rPr>
          <w:rFonts w:hint="eastAsia" w:ascii="宋体" w:hAnsi="宋体" w:eastAsia="宋体" w:cs="宋体"/>
          <w:sz w:val="21"/>
          <w:szCs w:val="21"/>
          <w:u w:val="none"/>
          <w:lang w:val="en-US" w:eastAsia="zh-CN"/>
        </w:rPr>
        <w:t xml:space="preserve"> </w:t>
      </w:r>
      <w:r>
        <w:rPr>
          <w:rFonts w:hint="eastAsia" w:ascii="宋体" w:hAnsi="宋体" w:eastAsia="宋体" w:cs="宋体"/>
          <w:sz w:val="21"/>
          <w:szCs w:val="21"/>
          <w:lang w:val="en-US" w:eastAsia="zh-CN"/>
        </w:rPr>
        <w:t>品牌：</w:t>
      </w:r>
      <w:r>
        <w:rPr>
          <w:rFonts w:hint="eastAsia" w:ascii="宋体" w:hAnsi="宋体" w:eastAsia="宋体" w:cs="宋体"/>
          <w:sz w:val="21"/>
          <w:szCs w:val="21"/>
          <w:u w:val="single"/>
          <w:lang w:val="en-US" w:eastAsia="zh-CN"/>
        </w:rPr>
        <w:t xml:space="preserve">        </w:t>
      </w:r>
      <w:r>
        <w:rPr>
          <w:rFonts w:hint="eastAsia" w:ascii="宋体" w:hAnsi="宋体" w:eastAsia="宋体" w:cs="宋体"/>
          <w:sz w:val="21"/>
          <w:szCs w:val="21"/>
          <w:u w:val="none"/>
          <w:lang w:val="en-US" w:eastAsia="zh-CN"/>
        </w:rPr>
        <w:t xml:space="preserve"> </w:t>
      </w:r>
      <w:r>
        <w:rPr>
          <w:rFonts w:hint="eastAsia" w:ascii="宋体" w:hAnsi="宋体" w:eastAsia="宋体" w:cs="宋体"/>
          <w:sz w:val="21"/>
          <w:szCs w:val="21"/>
          <w:lang w:val="en-US" w:eastAsia="zh-CN"/>
        </w:rPr>
        <w:t>型号：</w:t>
      </w:r>
      <w:r>
        <w:rPr>
          <w:rFonts w:hint="eastAsia" w:ascii="宋体" w:hAnsi="宋体" w:eastAsia="宋体" w:cs="宋体"/>
          <w:sz w:val="21"/>
          <w:szCs w:val="21"/>
          <w:u w:val="single"/>
          <w:lang w:val="en-US" w:eastAsia="zh-CN"/>
        </w:rPr>
        <w:t xml:space="preserve">       </w:t>
      </w:r>
    </w:p>
    <w:p w14:paraId="60F27937">
      <w:pPr>
        <w:pStyle w:val="322"/>
        <w:numPr>
          <w:ilvl w:val="0"/>
          <w:numId w:val="0"/>
        </w:numPr>
        <w:spacing w:before="0" w:line="400" w:lineRule="exact"/>
        <w:ind w:firstLine="0"/>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   （注：关键部件是指财政部会同有关部门发布的政府采购需求标准规定的需要通过国家有关部门指定的测评机构开展的安全可靠测评的软硬件，如CPU芯片、操作系统、数据库等。）</w:t>
      </w:r>
    </w:p>
    <w:p w14:paraId="6B1D22DE">
      <w:pPr>
        <w:pStyle w:val="322"/>
        <w:numPr>
          <w:ilvl w:val="0"/>
          <w:numId w:val="0"/>
        </w:numPr>
        <w:spacing w:before="0" w:line="400" w:lineRule="exact"/>
        <w:ind w:firstLine="0"/>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         </w:t>
      </w:r>
      <w:r>
        <w:rPr>
          <w:rFonts w:hint="eastAsia" w:ascii="汉仪书宋二S" w:hAnsi="汉仪书宋二S" w:eastAsia="汉仪书宋二S" w:cs="汉仪书宋二S"/>
          <w:sz w:val="21"/>
          <w:szCs w:val="21"/>
          <w:lang w:val="en-US" w:eastAsia="zh-CN"/>
        </w:rPr>
        <w:t>②</w:t>
      </w:r>
      <w:r>
        <w:rPr>
          <w:rFonts w:hint="eastAsia" w:ascii="宋体" w:hAnsi="宋体" w:eastAsia="宋体" w:cs="宋体"/>
          <w:sz w:val="21"/>
          <w:szCs w:val="21"/>
          <w:lang w:val="en-US" w:eastAsia="zh-CN"/>
        </w:rPr>
        <w:t>涉及车辆采购，请填写是否属于新能源汽车：</w:t>
      </w:r>
    </w:p>
    <w:p w14:paraId="4DF81E9E">
      <w:pPr>
        <w:pStyle w:val="322"/>
        <w:numPr>
          <w:ilvl w:val="0"/>
          <w:numId w:val="0"/>
        </w:numPr>
        <w:spacing w:before="0" w:line="400" w:lineRule="exact"/>
        <w:ind w:firstLine="0"/>
        <w:rPr>
          <w:rFonts w:hint="eastAsia" w:ascii="宋体" w:hAnsi="宋体" w:eastAsia="宋体" w:cs="宋体"/>
          <w:iCs w:val="0"/>
          <w:sz w:val="21"/>
          <w:szCs w:val="21"/>
          <w:lang w:val="en-US" w:eastAsia="zh-CN"/>
        </w:rPr>
      </w:pPr>
      <w:r>
        <w:rPr>
          <w:rFonts w:hint="eastAsia" w:ascii="宋体" w:hAnsi="宋体" w:eastAsia="宋体" w:cs="宋体"/>
          <w:sz w:val="21"/>
          <w:szCs w:val="21"/>
          <w:lang w:val="en-US" w:eastAsia="zh-CN"/>
        </w:rPr>
        <w:t xml:space="preserve">         </w:t>
      </w:r>
      <w:r>
        <w:rPr>
          <w:rFonts w:ascii="Wingdings" w:hAnsi="Wingdings" w:eastAsia="Wingdings" w:cs="Wingdings"/>
          <w:iCs w:val="0"/>
          <w:sz w:val="21"/>
          <w:szCs w:val="21"/>
        </w:rPr>
        <w:t>¨</w:t>
      </w:r>
      <w:r>
        <w:rPr>
          <w:rFonts w:hint="eastAsia" w:ascii="宋体" w:hAnsi="宋体" w:eastAsia="宋体" w:cs="宋体"/>
          <w:iCs w:val="0"/>
          <w:sz w:val="21"/>
          <w:szCs w:val="21"/>
        </w:rPr>
        <w:t>是</w:t>
      </w:r>
      <w:r>
        <w:rPr>
          <w:rFonts w:hint="eastAsia" w:ascii="宋体" w:hAnsi="宋体" w:eastAsia="宋体" w:cs="宋体"/>
          <w:iCs w:val="0"/>
          <w:sz w:val="21"/>
          <w:szCs w:val="21"/>
          <w:lang w:eastAsia="zh-CN"/>
        </w:rPr>
        <w:t>，《政府采购品目分类目录》底级品目名称</w:t>
      </w:r>
      <w:r>
        <w:rPr>
          <w:rFonts w:hint="eastAsia" w:ascii="宋体" w:hAnsi="宋体" w:eastAsia="宋体" w:cs="宋体"/>
          <w:sz w:val="21"/>
          <w:szCs w:val="21"/>
          <w:lang w:val="en-US" w:eastAsia="zh-CN"/>
        </w:rPr>
        <w:t>：</w:t>
      </w:r>
      <w:r>
        <w:rPr>
          <w:rFonts w:hint="eastAsia" w:ascii="宋体" w:hAnsi="宋体" w:eastAsia="宋体" w:cs="宋体"/>
          <w:sz w:val="21"/>
          <w:szCs w:val="21"/>
          <w:u w:val="single"/>
          <w:lang w:val="en-US" w:eastAsia="zh-CN"/>
        </w:rPr>
        <w:t xml:space="preserve">     </w:t>
      </w:r>
      <w:r>
        <w:rPr>
          <w:rFonts w:hint="eastAsia" w:ascii="宋体" w:hAnsi="宋体" w:eastAsia="宋体" w:cs="宋体"/>
          <w:sz w:val="21"/>
          <w:szCs w:val="21"/>
          <w:lang w:val="en-US" w:eastAsia="zh-CN"/>
        </w:rPr>
        <w:t xml:space="preserve"> 数量：</w:t>
      </w:r>
      <w:r>
        <w:rPr>
          <w:rFonts w:hint="eastAsia" w:ascii="宋体" w:hAnsi="宋体" w:eastAsia="宋体" w:cs="宋体"/>
          <w:sz w:val="21"/>
          <w:szCs w:val="21"/>
          <w:u w:val="single"/>
          <w:lang w:val="en-US" w:eastAsia="zh-CN"/>
        </w:rPr>
        <w:t xml:space="preserve">    </w:t>
      </w:r>
      <w:r>
        <w:rPr>
          <w:rFonts w:hint="eastAsia" w:ascii="宋体" w:hAnsi="宋体" w:eastAsia="宋体" w:cs="宋体"/>
          <w:sz w:val="21"/>
          <w:szCs w:val="21"/>
          <w:lang w:val="en-US" w:eastAsia="zh-CN"/>
        </w:rPr>
        <w:t xml:space="preserve"> 金额：</w:t>
      </w:r>
      <w:r>
        <w:rPr>
          <w:rFonts w:hint="eastAsia" w:ascii="宋体" w:hAnsi="宋体" w:eastAsia="宋体" w:cs="宋体"/>
          <w:sz w:val="21"/>
          <w:szCs w:val="21"/>
          <w:u w:val="single"/>
          <w:lang w:val="en-US" w:eastAsia="zh-CN"/>
        </w:rPr>
        <w:t xml:space="preserve">     </w:t>
      </w:r>
      <w:r>
        <w:rPr>
          <w:rFonts w:hint="eastAsia" w:ascii="宋体" w:hAnsi="宋体" w:eastAsia="宋体" w:cs="宋体"/>
          <w:iCs w:val="0"/>
          <w:sz w:val="21"/>
          <w:szCs w:val="21"/>
          <w:lang w:val="en-US" w:eastAsia="zh-CN"/>
        </w:rPr>
        <w:t xml:space="preserve"> </w:t>
      </w:r>
    </w:p>
    <w:p w14:paraId="11735F26">
      <w:pPr>
        <w:pStyle w:val="322"/>
        <w:numPr>
          <w:ilvl w:val="0"/>
          <w:numId w:val="0"/>
        </w:numPr>
        <w:spacing w:before="0" w:line="400" w:lineRule="exact"/>
        <w:ind w:firstLine="0"/>
        <w:rPr>
          <w:rFonts w:hint="eastAsia" w:ascii="宋体" w:hAnsi="宋体" w:eastAsia="宋体" w:cs="宋体"/>
          <w:iCs w:val="0"/>
          <w:sz w:val="21"/>
          <w:szCs w:val="21"/>
          <w:lang w:eastAsia="zh-CN"/>
        </w:rPr>
      </w:pPr>
      <w:r>
        <w:rPr>
          <w:rFonts w:hint="eastAsia" w:ascii="宋体" w:hAnsi="宋体" w:eastAsia="宋体" w:cs="宋体"/>
          <w:iCs w:val="0"/>
          <w:sz w:val="21"/>
          <w:szCs w:val="21"/>
          <w:lang w:val="en-US" w:eastAsia="zh-CN"/>
        </w:rPr>
        <w:t xml:space="preserve">         </w:t>
      </w:r>
      <w:r>
        <w:rPr>
          <w:rFonts w:ascii="Wingdings" w:hAnsi="Wingdings" w:eastAsia="Wingdings" w:cs="Wingdings"/>
          <w:iCs w:val="0"/>
          <w:sz w:val="21"/>
          <w:szCs w:val="21"/>
        </w:rPr>
        <w:t>þ</w:t>
      </w:r>
      <w:r>
        <w:rPr>
          <w:rFonts w:hint="eastAsia" w:ascii="宋体" w:hAnsi="宋体" w:eastAsia="宋体" w:cs="宋体"/>
          <w:iCs w:val="0"/>
          <w:sz w:val="21"/>
          <w:szCs w:val="21"/>
          <w:lang w:eastAsia="zh-CN"/>
        </w:rPr>
        <w:t>否</w:t>
      </w:r>
    </w:p>
    <w:p w14:paraId="005B4DA8">
      <w:pPr>
        <w:pStyle w:val="322"/>
        <w:numPr>
          <w:ilvl w:val="0"/>
          <w:numId w:val="0"/>
        </w:numPr>
        <w:spacing w:before="0" w:line="400" w:lineRule="exact"/>
        <w:ind w:left="0" w:firstLine="0"/>
        <w:rPr>
          <w:rFonts w:hint="eastAsia" w:ascii="宋体" w:hAnsi="宋体" w:eastAsia="宋体" w:cs="宋体"/>
          <w:iCs w:val="0"/>
          <w:sz w:val="21"/>
          <w:szCs w:val="21"/>
          <w:lang w:val="en-US" w:eastAsia="zh-CN"/>
        </w:rPr>
      </w:pPr>
      <w:r>
        <w:rPr>
          <w:rFonts w:hint="eastAsia" w:ascii="宋体" w:hAnsi="宋体" w:eastAsia="宋体" w:cs="宋体"/>
          <w:iCs w:val="0"/>
          <w:sz w:val="21"/>
          <w:szCs w:val="21"/>
          <w:lang w:val="en-US" w:eastAsia="zh-CN"/>
        </w:rPr>
        <w:t xml:space="preserve">    （</w:t>
      </w:r>
      <w:r>
        <w:rPr>
          <w:rFonts w:ascii="宋体" w:hAnsi="宋体" w:eastAsia="宋体" w:cs="宋体"/>
          <w:iCs w:val="0"/>
          <w:sz w:val="21"/>
          <w:szCs w:val="21"/>
          <w:lang w:val="en" w:eastAsia="zh-CN"/>
        </w:rPr>
        <w:t>4</w:t>
      </w:r>
      <w:r>
        <w:rPr>
          <w:rFonts w:hint="eastAsia" w:ascii="宋体" w:hAnsi="宋体" w:eastAsia="宋体" w:cs="宋体"/>
          <w:iCs w:val="0"/>
          <w:sz w:val="21"/>
          <w:szCs w:val="21"/>
          <w:lang w:val="en-US" w:eastAsia="zh-CN"/>
        </w:rPr>
        <w:t>）政府采购组织形式：</w:t>
      </w:r>
      <w:r>
        <w:rPr>
          <w:rFonts w:ascii="Wingdings" w:hAnsi="Wingdings" w:eastAsia="Wingdings" w:cs="Wingdings"/>
          <w:iCs w:val="0"/>
          <w:sz w:val="21"/>
          <w:szCs w:val="21"/>
        </w:rPr>
        <w:t>¨</w:t>
      </w:r>
      <w:r>
        <w:rPr>
          <w:rFonts w:hint="eastAsia" w:ascii="宋体" w:hAnsi="宋体" w:eastAsia="宋体" w:cs="宋体"/>
          <w:iCs w:val="0"/>
          <w:sz w:val="21"/>
          <w:szCs w:val="21"/>
          <w:lang w:eastAsia="zh-CN"/>
        </w:rPr>
        <w:t>政</w:t>
      </w:r>
      <w:r>
        <w:rPr>
          <w:rFonts w:hint="eastAsia" w:ascii="宋体" w:hAnsi="宋体" w:eastAsia="宋体" w:cs="宋体"/>
          <w:iCs w:val="0"/>
          <w:color w:val="000000"/>
          <w:sz w:val="21"/>
          <w:szCs w:val="21"/>
          <w:lang w:eastAsia="zh-CN"/>
        </w:rPr>
        <w:t>府集中采购</w:t>
      </w:r>
      <w:r>
        <w:rPr>
          <w:rFonts w:hint="eastAsia" w:ascii="宋体" w:hAnsi="宋体" w:eastAsia="宋体" w:cs="宋体"/>
          <w:iCs w:val="0"/>
          <w:color w:val="000000"/>
          <w:sz w:val="21"/>
          <w:szCs w:val="21"/>
          <w:lang w:val="en-US" w:eastAsia="zh-CN"/>
        </w:rPr>
        <w:t xml:space="preserve">  </w:t>
      </w:r>
      <w:r>
        <w:rPr>
          <w:rFonts w:ascii="Wingdings" w:hAnsi="Wingdings" w:eastAsia="Wingdings" w:cs="Wingdings"/>
          <w:iCs w:val="0"/>
          <w:color w:val="000000"/>
          <w:sz w:val="21"/>
          <w:szCs w:val="21"/>
        </w:rPr>
        <w:t>¨</w:t>
      </w:r>
      <w:r>
        <w:rPr>
          <w:rFonts w:hint="eastAsia" w:ascii="宋体" w:hAnsi="宋体" w:eastAsia="宋体" w:cs="宋体"/>
          <w:iCs w:val="0"/>
          <w:color w:val="000000"/>
          <w:sz w:val="21"/>
          <w:szCs w:val="21"/>
          <w:lang w:val="en-US" w:eastAsia="zh-CN"/>
        </w:rPr>
        <w:t>部门集中采购</w:t>
      </w:r>
      <w:r>
        <w:rPr>
          <w:rFonts w:hint="eastAsia" w:ascii="宋体" w:hAnsi="宋体" w:eastAsia="宋体" w:cs="宋体"/>
          <w:iCs w:val="0"/>
          <w:color w:val="FF0000"/>
          <w:sz w:val="21"/>
          <w:szCs w:val="21"/>
          <w:lang w:val="en-US" w:eastAsia="zh-CN"/>
        </w:rPr>
        <w:t xml:space="preserve"> </w:t>
      </w:r>
      <w:r>
        <w:rPr>
          <w:rFonts w:hint="eastAsia" w:ascii="宋体" w:hAnsi="宋体" w:eastAsia="宋体" w:cs="宋体"/>
          <w:iCs w:val="0"/>
          <w:sz w:val="21"/>
          <w:szCs w:val="21"/>
          <w:lang w:val="en-US" w:eastAsia="zh-CN"/>
        </w:rPr>
        <w:t xml:space="preserve"> </w:t>
      </w:r>
      <w:r>
        <w:rPr>
          <w:rFonts w:ascii="Wingdings" w:hAnsi="Wingdings" w:eastAsia="Wingdings" w:cs="Wingdings"/>
          <w:iCs w:val="0"/>
          <w:sz w:val="21"/>
          <w:szCs w:val="21"/>
        </w:rPr>
        <w:t>þ</w:t>
      </w:r>
      <w:r>
        <w:rPr>
          <w:rFonts w:hint="eastAsia" w:ascii="宋体" w:hAnsi="宋体" w:eastAsia="宋体" w:cs="宋体"/>
          <w:iCs w:val="0"/>
          <w:sz w:val="21"/>
          <w:szCs w:val="21"/>
          <w:lang w:val="en-US" w:eastAsia="zh-CN"/>
        </w:rPr>
        <w:t>分散采购</w:t>
      </w:r>
    </w:p>
    <w:p w14:paraId="5B614B07">
      <w:pPr>
        <w:pStyle w:val="322"/>
        <w:numPr>
          <w:ilvl w:val="0"/>
          <w:numId w:val="0"/>
        </w:numPr>
        <w:spacing w:before="0" w:line="400" w:lineRule="exact"/>
        <w:ind w:left="0" w:firstLine="420"/>
        <w:rPr>
          <w:rFonts w:hint="eastAsia" w:ascii="宋体" w:hAnsi="宋体" w:eastAsia="宋体" w:cs="宋体"/>
          <w:iCs w:val="0"/>
          <w:sz w:val="21"/>
          <w:szCs w:val="21"/>
          <w:lang w:val="en-US" w:eastAsia="zh-CN"/>
        </w:rPr>
        <w:sectPr>
          <w:footerReference r:id="rId8" w:type="first"/>
          <w:footerReference r:id="rId7" w:type="default"/>
          <w:pgSz w:w="11906" w:h="16838"/>
          <w:pgMar w:top="1304" w:right="1304" w:bottom="1304" w:left="1310" w:header="851" w:footer="907" w:gutter="0"/>
          <w:pgNumType w:start="1"/>
          <w:cols w:space="1701" w:num="1"/>
          <w:titlePg/>
          <w:docGrid w:linePitch="360" w:charSpace="0"/>
        </w:sectPr>
      </w:pPr>
    </w:p>
    <w:p w14:paraId="5400204F">
      <w:pPr>
        <w:pStyle w:val="322"/>
        <w:numPr>
          <w:ilvl w:val="0"/>
          <w:numId w:val="0"/>
        </w:numPr>
        <w:spacing w:before="0" w:line="400" w:lineRule="exact"/>
        <w:ind w:left="0" w:firstLine="420"/>
        <w:rPr>
          <w:rFonts w:hint="eastAsia" w:ascii="宋体" w:hAnsi="宋体" w:eastAsia="宋体" w:cs="宋体"/>
          <w:iCs w:val="0"/>
          <w:sz w:val="21"/>
          <w:szCs w:val="21"/>
          <w:lang w:eastAsia="zh-CN"/>
        </w:rPr>
      </w:pPr>
      <w:r>
        <w:rPr>
          <w:rFonts w:hint="eastAsia" w:ascii="宋体" w:hAnsi="宋体" w:eastAsia="宋体" w:cs="宋体"/>
          <w:iCs w:val="0"/>
          <w:sz w:val="21"/>
          <w:szCs w:val="21"/>
          <w:lang w:val="en-US" w:eastAsia="zh-CN"/>
        </w:rPr>
        <w:t>（</w:t>
      </w:r>
      <w:r>
        <w:rPr>
          <w:rFonts w:ascii="宋体" w:hAnsi="宋体" w:eastAsia="宋体" w:cs="宋体"/>
          <w:iCs w:val="0"/>
          <w:sz w:val="21"/>
          <w:szCs w:val="21"/>
          <w:lang w:val="en" w:eastAsia="zh-CN"/>
        </w:rPr>
        <w:t>5</w:t>
      </w:r>
      <w:r>
        <w:rPr>
          <w:rFonts w:hint="eastAsia" w:ascii="宋体" w:hAnsi="宋体" w:eastAsia="宋体" w:cs="宋体"/>
          <w:iCs w:val="0"/>
          <w:sz w:val="21"/>
          <w:szCs w:val="21"/>
          <w:lang w:val="en-US" w:eastAsia="zh-CN"/>
        </w:rPr>
        <w:t>）政府采购方式：</w:t>
      </w:r>
      <w:r>
        <w:rPr>
          <w:rFonts w:ascii="Wingdings" w:hAnsi="Wingdings" w:eastAsia="Wingdings" w:cs="Wingdings"/>
          <w:iCs w:val="0"/>
          <w:sz w:val="21"/>
          <w:szCs w:val="21"/>
        </w:rPr>
        <w:t>þ</w:t>
      </w:r>
      <w:r>
        <w:rPr>
          <w:rFonts w:hint="eastAsia" w:ascii="宋体" w:hAnsi="宋体" w:eastAsia="宋体" w:cs="宋体"/>
          <w:iCs w:val="0"/>
          <w:sz w:val="21"/>
          <w:szCs w:val="21"/>
          <w:lang w:eastAsia="zh-CN"/>
        </w:rPr>
        <w:t>公开招标</w:t>
      </w:r>
      <w:r>
        <w:rPr>
          <w:rFonts w:hint="eastAsia" w:ascii="宋体" w:hAnsi="宋体" w:eastAsia="宋体" w:cs="宋体"/>
          <w:iCs w:val="0"/>
          <w:sz w:val="21"/>
          <w:szCs w:val="21"/>
          <w:lang w:val="en-US" w:eastAsia="zh-CN"/>
        </w:rPr>
        <w:t xml:space="preserve"> </w:t>
      </w:r>
      <w:r>
        <w:rPr>
          <w:rFonts w:ascii="Wingdings" w:hAnsi="Wingdings" w:eastAsia="Wingdings" w:cs="Wingdings"/>
          <w:iCs w:val="0"/>
          <w:sz w:val="21"/>
          <w:szCs w:val="21"/>
        </w:rPr>
        <w:t>¨</w:t>
      </w:r>
      <w:r>
        <w:rPr>
          <w:rFonts w:hint="eastAsia" w:ascii="宋体" w:hAnsi="宋体" w:eastAsia="宋体" w:cs="宋体"/>
          <w:iCs w:val="0"/>
          <w:sz w:val="21"/>
          <w:szCs w:val="21"/>
          <w:lang w:eastAsia="zh-CN"/>
        </w:rPr>
        <w:t>邀请招标</w:t>
      </w:r>
      <w:r>
        <w:rPr>
          <w:rFonts w:hint="eastAsia" w:ascii="宋体" w:hAnsi="宋体" w:eastAsia="宋体" w:cs="宋体"/>
          <w:iCs w:val="0"/>
          <w:sz w:val="21"/>
          <w:szCs w:val="21"/>
          <w:lang w:val="en-US" w:eastAsia="zh-CN"/>
        </w:rPr>
        <w:t xml:space="preserve"> </w:t>
      </w:r>
      <w:r>
        <w:rPr>
          <w:rFonts w:ascii="Wingdings" w:hAnsi="Wingdings" w:eastAsia="Wingdings" w:cs="Wingdings"/>
          <w:iCs w:val="0"/>
          <w:sz w:val="21"/>
          <w:szCs w:val="21"/>
        </w:rPr>
        <w:t>¨</w:t>
      </w:r>
      <w:r>
        <w:rPr>
          <w:rFonts w:hint="eastAsia" w:ascii="宋体" w:hAnsi="宋体" w:eastAsia="宋体" w:cs="宋体"/>
          <w:iCs w:val="0"/>
          <w:sz w:val="21"/>
          <w:szCs w:val="21"/>
          <w:lang w:eastAsia="zh-CN"/>
        </w:rPr>
        <w:t>竞争性谈判</w:t>
      </w:r>
      <w:r>
        <w:rPr>
          <w:rFonts w:hint="eastAsia" w:ascii="宋体" w:hAnsi="宋体" w:eastAsia="宋体" w:cs="宋体"/>
          <w:iCs w:val="0"/>
          <w:sz w:val="21"/>
          <w:szCs w:val="21"/>
          <w:lang w:val="en-US" w:eastAsia="zh-CN"/>
        </w:rPr>
        <w:t xml:space="preserve"> </w:t>
      </w:r>
      <w:r>
        <w:rPr>
          <w:rFonts w:ascii="Wingdings" w:hAnsi="Wingdings" w:eastAsia="Wingdings" w:cs="Wingdings"/>
          <w:iCs w:val="0"/>
          <w:sz w:val="21"/>
          <w:szCs w:val="21"/>
        </w:rPr>
        <w:t>¨</w:t>
      </w:r>
      <w:r>
        <w:rPr>
          <w:rFonts w:hint="eastAsia" w:ascii="宋体" w:hAnsi="宋体" w:eastAsia="宋体" w:cs="宋体"/>
          <w:iCs w:val="0"/>
          <w:sz w:val="21"/>
          <w:szCs w:val="21"/>
          <w:lang w:eastAsia="zh-CN"/>
        </w:rPr>
        <w:t>竞争性磋商</w:t>
      </w:r>
    </w:p>
    <w:p w14:paraId="7FB83588">
      <w:pPr>
        <w:pStyle w:val="322"/>
        <w:numPr>
          <w:ilvl w:val="0"/>
          <w:numId w:val="0"/>
        </w:numPr>
        <w:spacing w:before="0" w:line="400" w:lineRule="exact"/>
        <w:ind w:left="0" w:firstLine="420"/>
        <w:rPr>
          <w:rFonts w:hint="eastAsia" w:ascii="宋体" w:hAnsi="宋体" w:eastAsia="宋体" w:cs="宋体"/>
          <w:iCs w:val="0"/>
          <w:sz w:val="21"/>
          <w:szCs w:val="21"/>
          <w:u w:val="single"/>
          <w:lang w:val="en-US" w:eastAsia="zh-CN"/>
        </w:rPr>
      </w:pPr>
      <w:r>
        <w:rPr>
          <w:rFonts w:hint="eastAsia" w:ascii="宋体" w:hAnsi="宋体" w:cs="宋体"/>
          <w:szCs w:val="21"/>
          <w:u w:val="none"/>
          <w:lang w:val="en-US" w:eastAsia="zh-CN"/>
        </w:rPr>
        <w:t xml:space="preserve">                  </w:t>
      </w:r>
      <w:r>
        <w:rPr>
          <w:rFonts w:ascii="Wingdings" w:hAnsi="Wingdings" w:eastAsia="Wingdings" w:cs="Wingdings"/>
          <w:iCs w:val="0"/>
          <w:sz w:val="21"/>
          <w:szCs w:val="21"/>
        </w:rPr>
        <w:t>¨</w:t>
      </w:r>
      <w:r>
        <w:rPr>
          <w:rFonts w:hint="eastAsia" w:ascii="宋体" w:hAnsi="宋体" w:eastAsia="宋体" w:cs="宋体"/>
          <w:iCs w:val="0"/>
          <w:sz w:val="21"/>
          <w:szCs w:val="21"/>
          <w:lang w:eastAsia="zh-CN"/>
        </w:rPr>
        <w:t>询价</w:t>
      </w:r>
      <w:r>
        <w:rPr>
          <w:rFonts w:hint="eastAsia" w:ascii="宋体" w:hAnsi="宋体" w:eastAsia="宋体" w:cs="宋体"/>
          <w:iCs w:val="0"/>
          <w:sz w:val="21"/>
          <w:szCs w:val="21"/>
          <w:lang w:val="en-US" w:eastAsia="zh-CN"/>
        </w:rPr>
        <w:t xml:space="preserve"> </w:t>
      </w:r>
      <w:r>
        <w:rPr>
          <w:rFonts w:ascii="Wingdings" w:hAnsi="Wingdings" w:eastAsia="Wingdings" w:cs="Wingdings"/>
          <w:iCs w:val="0"/>
          <w:sz w:val="21"/>
          <w:szCs w:val="21"/>
        </w:rPr>
        <w:t>¨</w:t>
      </w:r>
      <w:r>
        <w:rPr>
          <w:rFonts w:hint="eastAsia" w:ascii="宋体" w:hAnsi="宋体" w:eastAsia="宋体" w:cs="宋体"/>
          <w:iCs w:val="0"/>
          <w:sz w:val="21"/>
          <w:szCs w:val="21"/>
          <w:lang w:eastAsia="zh-CN"/>
        </w:rPr>
        <w:t>单一来源</w:t>
      </w:r>
      <w:r>
        <w:rPr>
          <w:rFonts w:hint="eastAsia" w:ascii="宋体" w:hAnsi="宋体" w:eastAsia="宋体" w:cs="宋体"/>
          <w:iCs w:val="0"/>
          <w:sz w:val="21"/>
          <w:szCs w:val="21"/>
          <w:lang w:val="en-US" w:eastAsia="zh-CN"/>
        </w:rPr>
        <w:t xml:space="preserve"> </w:t>
      </w:r>
      <w:r>
        <w:rPr>
          <w:rFonts w:ascii="Wingdings" w:hAnsi="Wingdings" w:eastAsia="Wingdings" w:cs="Wingdings"/>
          <w:iCs w:val="0"/>
          <w:sz w:val="21"/>
          <w:szCs w:val="21"/>
        </w:rPr>
        <w:t>¨</w:t>
      </w:r>
      <w:r>
        <w:rPr>
          <w:rFonts w:hint="eastAsia" w:ascii="宋体" w:hAnsi="宋体" w:eastAsia="宋体" w:cs="宋体"/>
          <w:iCs w:val="0"/>
          <w:sz w:val="21"/>
          <w:szCs w:val="21"/>
          <w:lang w:eastAsia="zh-CN"/>
        </w:rPr>
        <w:t>框架协议</w:t>
      </w:r>
      <w:r>
        <w:rPr>
          <w:rFonts w:hint="eastAsia" w:ascii="宋体" w:hAnsi="宋体" w:eastAsia="宋体" w:cs="宋体"/>
          <w:iCs w:val="0"/>
          <w:sz w:val="21"/>
          <w:szCs w:val="21"/>
          <w:lang w:val="en-US" w:eastAsia="zh-CN"/>
        </w:rPr>
        <w:t xml:space="preserve"> </w:t>
      </w:r>
      <w:r>
        <w:rPr>
          <w:rFonts w:ascii="Wingdings" w:hAnsi="Wingdings" w:eastAsia="Wingdings" w:cs="Wingdings"/>
          <w:iCs w:val="0"/>
          <w:sz w:val="21"/>
          <w:szCs w:val="21"/>
        </w:rPr>
        <w:t>¨</w:t>
      </w:r>
      <w:r>
        <w:rPr>
          <w:rFonts w:hint="eastAsia" w:ascii="宋体" w:hAnsi="宋体" w:eastAsia="宋体" w:cs="宋体"/>
          <w:iCs w:val="0"/>
          <w:sz w:val="21"/>
          <w:szCs w:val="21"/>
          <w:lang w:eastAsia="zh-CN"/>
        </w:rPr>
        <w:t>其他：</w:t>
      </w:r>
      <w:r>
        <w:rPr>
          <w:rFonts w:hint="eastAsia" w:ascii="宋体" w:hAnsi="宋体" w:eastAsia="宋体" w:cs="宋体"/>
          <w:iCs w:val="0"/>
          <w:sz w:val="21"/>
          <w:szCs w:val="21"/>
          <w:u w:val="single"/>
          <w:lang w:val="en-US" w:eastAsia="zh-CN"/>
        </w:rPr>
        <w:t xml:space="preserve">          </w:t>
      </w:r>
    </w:p>
    <w:p w14:paraId="671DB266">
      <w:pPr>
        <w:pStyle w:val="322"/>
        <w:numPr>
          <w:ilvl w:val="0"/>
          <w:numId w:val="0"/>
        </w:numPr>
        <w:spacing w:before="0" w:line="400" w:lineRule="exact"/>
        <w:ind w:left="0" w:firstLine="420"/>
        <w:rPr>
          <w:rFonts w:ascii="宋体" w:hAnsi="宋体" w:eastAsia="宋体" w:cs="宋体"/>
          <w:iCs w:val="0"/>
          <w:sz w:val="21"/>
          <w:szCs w:val="21"/>
          <w:u w:val="none"/>
          <w:lang w:val="en-US" w:eastAsia="zh-CN"/>
        </w:rPr>
      </w:pPr>
      <w:r>
        <w:rPr>
          <w:rFonts w:hint="eastAsia" w:ascii="宋体" w:hAnsi="宋体" w:eastAsia="宋体" w:cs="宋体"/>
          <w:iCs w:val="0"/>
          <w:sz w:val="21"/>
          <w:szCs w:val="21"/>
          <w:u w:val="none"/>
          <w:lang w:val="en-US" w:eastAsia="zh-CN"/>
        </w:rPr>
        <w:t>（注：在框架协议采购的第二阶段，可选择使用该合同文本）</w:t>
      </w:r>
    </w:p>
    <w:p w14:paraId="53B7FD56">
      <w:pPr>
        <w:pStyle w:val="322"/>
        <w:numPr>
          <w:ilvl w:val="0"/>
          <w:numId w:val="0"/>
        </w:numPr>
        <w:spacing w:before="0" w:line="400" w:lineRule="exact"/>
        <w:ind w:firstLine="220"/>
        <w:rPr>
          <w:rFonts w:hint="eastAsia" w:ascii="宋体" w:hAnsi="宋体" w:eastAsia="宋体" w:cs="Times New Roman"/>
          <w:color w:val="000000"/>
          <w:sz w:val="21"/>
          <w:szCs w:val="21"/>
          <w:lang w:val="en-US" w:eastAsia="zh-CN" w:bidi="ar-SA"/>
        </w:rPr>
      </w:pPr>
      <w:r>
        <w:rPr>
          <w:rFonts w:hint="eastAsia" w:ascii="宋体" w:hAnsi="宋体"/>
          <w:szCs w:val="21"/>
          <w:lang w:val="en-US" w:eastAsia="zh-CN"/>
        </w:rPr>
        <w:t xml:space="preserve"> </w:t>
      </w:r>
      <w:r>
        <w:rPr>
          <w:rFonts w:hint="eastAsia" w:ascii="宋体" w:hAnsi="宋体"/>
          <w:color w:val="000000"/>
          <w:szCs w:val="21"/>
          <w:highlight w:val="none"/>
          <w:lang w:val="en-US" w:eastAsia="zh-CN"/>
        </w:rPr>
        <w:t>（</w:t>
      </w:r>
      <w:r>
        <w:rPr>
          <w:rFonts w:ascii="宋体" w:hAnsi="宋体"/>
          <w:color w:val="000000"/>
          <w:szCs w:val="21"/>
          <w:highlight w:val="none"/>
          <w:lang w:val="en" w:eastAsia="zh-CN"/>
        </w:rPr>
        <w:t>6</w:t>
      </w:r>
      <w:r>
        <w:rPr>
          <w:rFonts w:hint="eastAsia" w:ascii="宋体" w:hAnsi="宋体"/>
          <w:color w:val="000000"/>
          <w:szCs w:val="21"/>
          <w:highlight w:val="none"/>
          <w:lang w:val="en-US" w:eastAsia="zh-CN"/>
        </w:rPr>
        <w:t>）</w:t>
      </w:r>
      <w:r>
        <w:rPr>
          <w:rFonts w:hint="eastAsia" w:ascii="宋体" w:hAnsi="宋体" w:eastAsia="宋体" w:cs="Times New Roman"/>
          <w:color w:val="000000"/>
          <w:sz w:val="21"/>
          <w:szCs w:val="21"/>
          <w:lang w:val="en-US" w:eastAsia="zh-CN" w:bidi="ar-SA"/>
        </w:rPr>
        <w:t>中标（成交）采购标的制造商是否为中小企业：</w:t>
      </w:r>
      <w:r>
        <w:rPr>
          <w:rFonts w:ascii="Wingdings" w:hAnsi="Wingdings" w:eastAsia="Wingdings" w:cs="Wingdings"/>
          <w:color w:val="000000"/>
          <w:sz w:val="21"/>
          <w:szCs w:val="21"/>
          <w:lang w:val="en-US" w:eastAsia="zh-CN" w:bidi="ar-SA"/>
        </w:rPr>
        <w:t>¨</w:t>
      </w:r>
      <w:r>
        <w:rPr>
          <w:rFonts w:hint="eastAsia" w:ascii="宋体" w:hAnsi="宋体" w:eastAsia="宋体" w:cs="Times New Roman"/>
          <w:color w:val="000000"/>
          <w:sz w:val="21"/>
          <w:szCs w:val="21"/>
          <w:lang w:val="en-US" w:eastAsia="zh-CN" w:bidi="ar-SA"/>
        </w:rPr>
        <w:t xml:space="preserve">是      </w:t>
      </w:r>
      <w:r>
        <w:rPr>
          <w:rFonts w:ascii="Wingdings" w:hAnsi="Wingdings" w:eastAsia="Wingdings" w:cs="Wingdings"/>
          <w:color w:val="000000"/>
          <w:sz w:val="21"/>
          <w:szCs w:val="21"/>
          <w:lang w:val="en-US" w:eastAsia="zh-CN" w:bidi="ar-SA"/>
        </w:rPr>
        <w:t>¨</w:t>
      </w:r>
      <w:r>
        <w:rPr>
          <w:rFonts w:hint="eastAsia" w:ascii="宋体" w:hAnsi="宋体" w:eastAsia="宋体" w:cs="Times New Roman"/>
          <w:color w:val="000000"/>
          <w:sz w:val="21"/>
          <w:szCs w:val="21"/>
          <w:lang w:val="en-US" w:eastAsia="zh-CN" w:bidi="ar-SA"/>
        </w:rPr>
        <w:t>否</w:t>
      </w:r>
    </w:p>
    <w:p w14:paraId="02082587">
      <w:pPr>
        <w:numPr>
          <w:ilvl w:val="0"/>
          <w:numId w:val="0"/>
        </w:numPr>
        <w:spacing w:before="0" w:line="400" w:lineRule="exact"/>
        <w:ind w:left="0" w:firstLine="0"/>
        <w:rPr>
          <w:rFonts w:hint="eastAsia" w:ascii="宋体" w:hAnsi="宋体"/>
          <w:iCs/>
          <w:color w:val="000000"/>
          <w:szCs w:val="21"/>
        </w:rPr>
      </w:pPr>
      <w:r>
        <w:rPr>
          <w:rFonts w:hint="eastAsia" w:ascii="宋体" w:hAnsi="宋体"/>
          <w:szCs w:val="21"/>
          <w:lang w:val="en-US" w:eastAsia="zh-CN"/>
        </w:rPr>
        <w:t xml:space="preserve">        </w:t>
      </w:r>
      <w:r>
        <w:rPr>
          <w:rFonts w:hint="eastAsia" w:ascii="宋体" w:hAnsi="宋体"/>
          <w:color w:val="000000"/>
          <w:szCs w:val="21"/>
          <w:lang w:val="en-US" w:eastAsia="zh-CN"/>
        </w:rPr>
        <w:t xml:space="preserve"> 本合同</w:t>
      </w:r>
      <w:r>
        <w:rPr>
          <w:rFonts w:hint="eastAsia" w:ascii="宋体" w:hAnsi="宋体"/>
          <w:color w:val="000000"/>
          <w:szCs w:val="21"/>
        </w:rPr>
        <w:t>是否</w:t>
      </w:r>
      <w:r>
        <w:rPr>
          <w:rFonts w:hint="eastAsia" w:ascii="宋体" w:hAnsi="宋体"/>
          <w:color w:val="000000"/>
          <w:szCs w:val="21"/>
          <w:lang w:eastAsia="zh-CN"/>
        </w:rPr>
        <w:t>为专门面向</w:t>
      </w:r>
      <w:r>
        <w:rPr>
          <w:rFonts w:hint="eastAsia" w:ascii="宋体" w:hAnsi="宋体"/>
          <w:color w:val="000000"/>
          <w:szCs w:val="21"/>
        </w:rPr>
        <w:t>中小企业</w:t>
      </w:r>
      <w:r>
        <w:rPr>
          <w:rFonts w:hint="eastAsia" w:ascii="宋体" w:hAnsi="宋体"/>
          <w:color w:val="000000"/>
          <w:szCs w:val="21"/>
          <w:lang w:eastAsia="zh-CN"/>
        </w:rPr>
        <w:t>的采</w:t>
      </w:r>
      <w:r>
        <w:rPr>
          <w:rFonts w:hint="eastAsia" w:ascii="宋体" w:hAnsi="宋体"/>
          <w:color w:val="000000"/>
          <w:szCs w:val="21"/>
          <w:shd w:val="clear" w:color="auto" w:fill="auto"/>
          <w:lang w:eastAsia="zh-CN"/>
        </w:rPr>
        <w:t>购</w:t>
      </w:r>
      <w:r>
        <w:rPr>
          <w:rFonts w:hint="eastAsia" w:ascii="宋体" w:hAnsi="宋体"/>
          <w:color w:val="000000"/>
          <w:szCs w:val="21"/>
          <w:shd w:val="clear" w:color="auto" w:fill="auto"/>
        </w:rPr>
        <w:t>合同</w:t>
      </w:r>
      <w:r>
        <w:rPr>
          <w:rFonts w:hint="eastAsia" w:ascii="宋体" w:hAnsi="宋体"/>
          <w:color w:val="000000"/>
          <w:szCs w:val="21"/>
          <w:shd w:val="clear" w:color="auto" w:fill="auto"/>
          <w:lang w:eastAsia="zh-CN"/>
        </w:rPr>
        <w:t>（中小企业预留合同）</w:t>
      </w:r>
      <w:r>
        <w:rPr>
          <w:rFonts w:hint="eastAsia" w:ascii="宋体" w:hAnsi="宋体"/>
          <w:color w:val="000000"/>
          <w:szCs w:val="21"/>
          <w:shd w:val="clear" w:color="auto" w:fill="auto"/>
        </w:rPr>
        <w:t>：</w:t>
      </w:r>
      <w:r>
        <w:rPr>
          <w:rFonts w:ascii="Wingdings" w:hAnsi="Wingdings" w:eastAsia="Wingdings" w:cs="Wingdings"/>
          <w:iCs/>
          <w:color w:val="000000"/>
          <w:szCs w:val="21"/>
        </w:rPr>
        <w:t>¨</w:t>
      </w:r>
      <w:r>
        <w:rPr>
          <w:rFonts w:hint="eastAsia" w:ascii="宋体" w:hAnsi="宋体"/>
          <w:iCs/>
          <w:color w:val="000000"/>
          <w:szCs w:val="21"/>
        </w:rPr>
        <w:t xml:space="preserve">是 </w:t>
      </w:r>
      <w:r>
        <w:rPr>
          <w:rFonts w:hint="eastAsia" w:ascii="宋体" w:hAnsi="宋体"/>
          <w:iCs/>
          <w:color w:val="000000"/>
          <w:szCs w:val="21"/>
          <w:lang w:val="en-US" w:eastAsia="zh-CN"/>
        </w:rPr>
        <w:t xml:space="preserve">  </w:t>
      </w:r>
      <w:r>
        <w:rPr>
          <w:rFonts w:hint="eastAsia" w:ascii="宋体" w:hAnsi="宋体"/>
          <w:iCs/>
          <w:color w:val="000000"/>
          <w:szCs w:val="21"/>
        </w:rPr>
        <w:t xml:space="preserve"> </w:t>
      </w:r>
      <w:r>
        <w:rPr>
          <w:rFonts w:ascii="Wingdings" w:hAnsi="Wingdings" w:eastAsia="Wingdings" w:cs="Wingdings"/>
          <w:iCs/>
          <w:color w:val="000000"/>
          <w:szCs w:val="21"/>
        </w:rPr>
        <w:t>¨</w:t>
      </w:r>
      <w:r>
        <w:rPr>
          <w:rFonts w:hint="eastAsia" w:ascii="宋体" w:hAnsi="宋体"/>
          <w:iCs/>
          <w:color w:val="000000"/>
          <w:szCs w:val="21"/>
        </w:rPr>
        <w:t>否</w:t>
      </w:r>
    </w:p>
    <w:p w14:paraId="2549D29F">
      <w:pPr>
        <w:numPr>
          <w:ilvl w:val="0"/>
          <w:numId w:val="0"/>
        </w:numPr>
        <w:spacing w:before="0" w:line="400" w:lineRule="exact"/>
        <w:ind w:firstLine="0"/>
        <w:rPr>
          <w:rFonts w:hint="eastAsia" w:ascii="宋体" w:hAnsi="宋体"/>
          <w:iCs/>
          <w:szCs w:val="21"/>
        </w:rPr>
      </w:pPr>
      <w:r>
        <w:rPr>
          <w:rFonts w:hint="eastAsia"/>
          <w:lang w:val="en-US" w:eastAsia="zh-CN"/>
        </w:rPr>
        <w:t xml:space="preserve">         若本项目不专门面向中小企业采购，是否给予小微企业评审优惠：</w:t>
      </w:r>
      <w:r>
        <w:rPr>
          <w:rFonts w:ascii="Wingdings" w:hAnsi="Wingdings" w:eastAsia="Wingdings" w:cs="Wingdings"/>
          <w:iCs/>
          <w:szCs w:val="21"/>
        </w:rPr>
        <w:t>¨</w:t>
      </w:r>
      <w:r>
        <w:rPr>
          <w:rFonts w:hint="eastAsia" w:ascii="宋体" w:hAnsi="宋体"/>
          <w:iCs/>
          <w:szCs w:val="21"/>
        </w:rPr>
        <w:t xml:space="preserve">是   </w:t>
      </w:r>
      <w:r>
        <w:rPr>
          <w:rFonts w:ascii="Wingdings" w:hAnsi="Wingdings" w:eastAsia="Wingdings" w:cs="Wingdings"/>
          <w:iCs/>
          <w:szCs w:val="21"/>
        </w:rPr>
        <w:t>¨</w:t>
      </w:r>
      <w:r>
        <w:rPr>
          <w:rFonts w:hint="eastAsia" w:ascii="宋体" w:hAnsi="宋体"/>
          <w:iCs/>
          <w:szCs w:val="21"/>
        </w:rPr>
        <w:t>否</w:t>
      </w:r>
    </w:p>
    <w:p w14:paraId="5A0D6972">
      <w:pPr>
        <w:numPr>
          <w:ilvl w:val="0"/>
          <w:numId w:val="0"/>
        </w:numPr>
        <w:spacing w:before="0" w:line="400" w:lineRule="exact"/>
        <w:ind w:firstLine="0"/>
        <w:rPr>
          <w:rFonts w:hint="eastAsia" w:ascii="宋体" w:hAnsi="宋体"/>
          <w:iCs/>
          <w:szCs w:val="21"/>
        </w:rPr>
      </w:pPr>
      <w:r>
        <w:rPr>
          <w:rFonts w:hint="eastAsia"/>
          <w:lang w:val="en-US" w:eastAsia="zh-CN"/>
        </w:rPr>
        <w:t xml:space="preserve">         中标（成交）采购标的制造商是否为残疾人福利性单位：</w:t>
      </w:r>
      <w:r>
        <w:rPr>
          <w:rFonts w:ascii="Wingdings" w:hAnsi="Wingdings" w:eastAsia="Wingdings" w:cs="Wingdings"/>
          <w:iCs/>
          <w:szCs w:val="21"/>
        </w:rPr>
        <w:t>¨</w:t>
      </w:r>
      <w:r>
        <w:rPr>
          <w:rFonts w:hint="eastAsia" w:ascii="宋体" w:hAnsi="宋体"/>
          <w:iCs/>
          <w:szCs w:val="21"/>
        </w:rPr>
        <w:t xml:space="preserve">是   </w:t>
      </w:r>
      <w:r>
        <w:rPr>
          <w:rFonts w:ascii="Wingdings" w:hAnsi="Wingdings" w:eastAsia="Wingdings" w:cs="Wingdings"/>
          <w:iCs/>
          <w:szCs w:val="21"/>
        </w:rPr>
        <w:t>¨</w:t>
      </w:r>
      <w:r>
        <w:rPr>
          <w:rFonts w:hint="eastAsia" w:ascii="宋体" w:hAnsi="宋体"/>
          <w:iCs/>
          <w:szCs w:val="21"/>
        </w:rPr>
        <w:t>否</w:t>
      </w:r>
    </w:p>
    <w:p w14:paraId="079BB9F8">
      <w:pPr>
        <w:numPr>
          <w:ilvl w:val="0"/>
          <w:numId w:val="0"/>
        </w:numPr>
        <w:spacing w:line="400" w:lineRule="exact"/>
        <w:ind w:firstLine="0"/>
        <w:rPr>
          <w:lang w:val="en-US" w:eastAsia="zh-CN"/>
        </w:rPr>
      </w:pPr>
      <w:r>
        <w:rPr>
          <w:rFonts w:hint="eastAsia"/>
          <w:lang w:val="en-US" w:eastAsia="zh-CN"/>
        </w:rPr>
        <w:t xml:space="preserve">         中标（成交）采购标的制造商是否为监狱企业：</w:t>
      </w:r>
      <w:r>
        <w:rPr>
          <w:rFonts w:ascii="Wingdings" w:hAnsi="Wingdings" w:eastAsia="Wingdings" w:cs="Wingdings"/>
          <w:iCs/>
          <w:szCs w:val="21"/>
        </w:rPr>
        <w:t>¨</w:t>
      </w:r>
      <w:r>
        <w:rPr>
          <w:rFonts w:hint="eastAsia" w:ascii="宋体" w:hAnsi="宋体"/>
          <w:iCs/>
          <w:szCs w:val="21"/>
        </w:rPr>
        <w:t xml:space="preserve">是       </w:t>
      </w:r>
      <w:r>
        <w:rPr>
          <w:rFonts w:ascii="Wingdings" w:hAnsi="Wingdings" w:eastAsia="Wingdings" w:cs="Wingdings"/>
          <w:iCs/>
          <w:szCs w:val="21"/>
        </w:rPr>
        <w:t>¨</w:t>
      </w:r>
      <w:r>
        <w:rPr>
          <w:rFonts w:hint="eastAsia" w:ascii="宋体" w:hAnsi="宋体"/>
          <w:iCs/>
          <w:szCs w:val="21"/>
        </w:rPr>
        <w:t>否</w:t>
      </w:r>
    </w:p>
    <w:p w14:paraId="0FF7A294">
      <w:pPr>
        <w:spacing w:before="0" w:line="400" w:lineRule="exact"/>
        <w:ind w:firstLine="420"/>
        <w:rPr>
          <w:rFonts w:ascii="宋体" w:hAnsi="宋体"/>
          <w:szCs w:val="21"/>
        </w:rPr>
      </w:pPr>
      <w:r>
        <w:rPr>
          <w:rFonts w:hint="eastAsia" w:ascii="宋体" w:hAnsi="宋体"/>
          <w:szCs w:val="21"/>
        </w:rPr>
        <w:t>（</w:t>
      </w:r>
      <w:r>
        <w:rPr>
          <w:rFonts w:ascii="宋体" w:hAnsi="宋体"/>
          <w:szCs w:val="21"/>
          <w:lang w:val="en" w:eastAsia="zh-CN"/>
        </w:rPr>
        <w:t>7</w:t>
      </w:r>
      <w:r>
        <w:rPr>
          <w:rFonts w:hint="eastAsia" w:ascii="宋体" w:hAnsi="宋体"/>
          <w:szCs w:val="21"/>
        </w:rPr>
        <w:t>）合同是否分包：</w:t>
      </w:r>
      <w:r>
        <w:rPr>
          <w:rFonts w:ascii="Wingdings" w:hAnsi="Wingdings" w:eastAsia="Wingdings" w:cs="Wingdings"/>
          <w:iCs/>
          <w:szCs w:val="21"/>
        </w:rPr>
        <w:t>¨</w:t>
      </w:r>
      <w:r>
        <w:rPr>
          <w:rFonts w:hint="eastAsia" w:ascii="宋体" w:hAnsi="宋体"/>
          <w:iCs/>
          <w:szCs w:val="21"/>
        </w:rPr>
        <w:t xml:space="preserve">是       </w:t>
      </w:r>
      <w:r>
        <w:rPr>
          <w:rFonts w:ascii="Wingdings" w:hAnsi="Wingdings" w:eastAsia="Wingdings" w:cs="Wingdings"/>
          <w:iCs/>
          <w:szCs w:val="21"/>
        </w:rPr>
        <w:t>þ</w:t>
      </w:r>
      <w:r>
        <w:rPr>
          <w:rFonts w:hint="eastAsia" w:ascii="宋体" w:hAnsi="宋体"/>
          <w:iCs/>
          <w:szCs w:val="21"/>
        </w:rPr>
        <w:t>否</w:t>
      </w:r>
    </w:p>
    <w:p w14:paraId="3133EA23">
      <w:pPr>
        <w:spacing w:before="0" w:line="400" w:lineRule="exact"/>
        <w:ind w:firstLine="840"/>
        <w:rPr>
          <w:rFonts w:hint="eastAsia" w:ascii="宋体" w:hAnsi="宋体"/>
          <w:szCs w:val="21"/>
          <w:u w:val="single"/>
        </w:rPr>
      </w:pPr>
      <w:r>
        <w:rPr>
          <w:rFonts w:hint="eastAsia" w:ascii="宋体" w:hAnsi="宋体"/>
          <w:szCs w:val="21"/>
          <w:lang w:val="en-US" w:eastAsia="zh-CN"/>
        </w:rPr>
        <w:t xml:space="preserve"> </w:t>
      </w:r>
      <w:r>
        <w:rPr>
          <w:rFonts w:hint="eastAsia" w:ascii="宋体" w:hAnsi="宋体"/>
          <w:szCs w:val="21"/>
        </w:rPr>
        <w:t>分包主要内容：</w:t>
      </w:r>
      <w:r>
        <w:rPr>
          <w:rFonts w:hint="eastAsia" w:ascii="宋体" w:hAnsi="宋体"/>
          <w:szCs w:val="21"/>
          <w:u w:val="single"/>
        </w:rPr>
        <w:t xml:space="preserve">                                        </w:t>
      </w:r>
      <w:r>
        <w:rPr>
          <w:rFonts w:hint="eastAsia" w:ascii="宋体" w:hAnsi="宋体"/>
          <w:szCs w:val="21"/>
          <w:u w:val="single"/>
          <w:lang w:val="en-US" w:eastAsia="zh-CN"/>
        </w:rPr>
        <w:t xml:space="preserve"> </w:t>
      </w:r>
      <w:r>
        <w:rPr>
          <w:rFonts w:hint="eastAsia" w:ascii="宋体" w:hAnsi="宋体"/>
          <w:szCs w:val="21"/>
          <w:u w:val="single"/>
        </w:rPr>
        <w:t xml:space="preserve">   </w:t>
      </w:r>
    </w:p>
    <w:p w14:paraId="078CBD6F">
      <w:pPr>
        <w:spacing w:before="0" w:line="400" w:lineRule="exact"/>
        <w:ind w:firstLine="840"/>
        <w:rPr>
          <w:rFonts w:hint="eastAsia" w:ascii="宋体" w:hAnsi="宋体"/>
          <w:szCs w:val="21"/>
          <w:highlight w:val="none"/>
        </w:rPr>
      </w:pPr>
      <w:r>
        <w:rPr>
          <w:rFonts w:hint="eastAsia" w:ascii="宋体" w:hAnsi="宋体"/>
          <w:szCs w:val="21"/>
          <w:u w:val="none"/>
          <w:lang w:val="en-US" w:eastAsia="zh-CN"/>
        </w:rPr>
        <w:t xml:space="preserve"> </w:t>
      </w:r>
      <w:r>
        <w:rPr>
          <w:rFonts w:hint="eastAsia" w:ascii="宋体" w:hAnsi="宋体"/>
          <w:szCs w:val="21"/>
        </w:rPr>
        <w:t>分包</w:t>
      </w:r>
      <w:r>
        <w:rPr>
          <w:rFonts w:hint="eastAsia" w:ascii="宋体" w:hAnsi="宋体"/>
          <w:szCs w:val="21"/>
          <w:highlight w:val="none"/>
        </w:rPr>
        <w:t>供应商</w:t>
      </w:r>
      <w:r>
        <w:rPr>
          <w:rFonts w:hint="eastAsia" w:ascii="宋体" w:hAnsi="宋体"/>
          <w:szCs w:val="21"/>
          <w:highlight w:val="none"/>
          <w:lang w:eastAsia="zh-CN"/>
        </w:rPr>
        <w:t>/制造商</w:t>
      </w:r>
      <w:r>
        <w:rPr>
          <w:rFonts w:hint="eastAsia" w:ascii="宋体" w:hAnsi="宋体"/>
          <w:szCs w:val="21"/>
          <w:highlight w:val="none"/>
        </w:rPr>
        <w:t>名称</w:t>
      </w:r>
      <w:r>
        <w:rPr>
          <w:rFonts w:hint="eastAsia" w:ascii="宋体" w:hAnsi="宋体"/>
          <w:szCs w:val="21"/>
          <w:highlight w:val="none"/>
          <w:lang w:eastAsia="zh-CN"/>
        </w:rPr>
        <w:t>（如供应商和制造商不同，请分别填写）</w:t>
      </w:r>
      <w:r>
        <w:rPr>
          <w:rFonts w:hint="eastAsia" w:ascii="宋体" w:hAnsi="宋体"/>
          <w:szCs w:val="21"/>
          <w:highlight w:val="none"/>
        </w:rPr>
        <w:t>：</w:t>
      </w:r>
    </w:p>
    <w:p w14:paraId="7D992C47">
      <w:pPr>
        <w:spacing w:before="0" w:line="400" w:lineRule="exact"/>
        <w:ind w:firstLine="840"/>
        <w:rPr>
          <w:rFonts w:ascii="宋体" w:hAnsi="宋体"/>
          <w:szCs w:val="21"/>
          <w:highlight w:val="none"/>
          <w:u w:val="single"/>
        </w:rPr>
      </w:pPr>
      <w:r>
        <w:rPr>
          <w:rFonts w:hint="eastAsia" w:ascii="宋体" w:hAnsi="宋体"/>
          <w:szCs w:val="21"/>
          <w:highlight w:val="none"/>
          <w:u w:val="none"/>
        </w:rPr>
        <w:t xml:space="preserve"> </w:t>
      </w:r>
      <w:r>
        <w:rPr>
          <w:rFonts w:hint="eastAsia" w:ascii="宋体" w:hAnsi="宋体"/>
          <w:szCs w:val="21"/>
          <w:highlight w:val="none"/>
          <w:u w:val="single"/>
          <w:lang w:val="en-US" w:eastAsia="zh-CN"/>
        </w:rPr>
        <w:t xml:space="preserve">  </w:t>
      </w:r>
      <w:r>
        <w:rPr>
          <w:rFonts w:hint="eastAsia" w:ascii="宋体" w:hAnsi="宋体"/>
          <w:szCs w:val="21"/>
          <w:highlight w:val="none"/>
          <w:u w:val="single"/>
        </w:rPr>
        <w:t xml:space="preserve">                                 </w:t>
      </w:r>
      <w:r>
        <w:rPr>
          <w:rFonts w:hint="eastAsia" w:ascii="宋体" w:hAnsi="宋体"/>
          <w:szCs w:val="21"/>
          <w:highlight w:val="none"/>
          <w:u w:val="single"/>
          <w:lang w:val="en-US" w:eastAsia="zh-CN"/>
        </w:rPr>
        <w:t xml:space="preserve">                       </w:t>
      </w:r>
    </w:p>
    <w:p w14:paraId="7D65D287">
      <w:pPr>
        <w:spacing w:before="0" w:line="400" w:lineRule="exact"/>
        <w:ind w:firstLine="840"/>
        <w:rPr>
          <w:rFonts w:hint="eastAsia" w:ascii="宋体" w:hAnsi="宋体"/>
          <w:szCs w:val="21"/>
        </w:rPr>
      </w:pPr>
      <w:r>
        <w:rPr>
          <w:rFonts w:hint="eastAsia" w:ascii="宋体" w:hAnsi="宋体"/>
          <w:szCs w:val="21"/>
          <w:highlight w:val="none"/>
          <w:lang w:val="en-US" w:eastAsia="zh-CN"/>
        </w:rPr>
        <w:t xml:space="preserve"> </w:t>
      </w:r>
      <w:r>
        <w:rPr>
          <w:rFonts w:hint="eastAsia" w:ascii="宋体" w:hAnsi="宋体"/>
          <w:szCs w:val="21"/>
          <w:highlight w:val="none"/>
        </w:rPr>
        <w:t>分包供应商</w:t>
      </w:r>
      <w:r>
        <w:rPr>
          <w:rFonts w:hint="eastAsia" w:ascii="宋体" w:hAnsi="宋体"/>
          <w:szCs w:val="21"/>
          <w:highlight w:val="none"/>
          <w:lang w:val="en-US" w:eastAsia="zh-CN"/>
        </w:rPr>
        <w:t>/</w:t>
      </w:r>
      <w:r>
        <w:rPr>
          <w:rFonts w:hint="eastAsia" w:ascii="宋体" w:hAnsi="宋体"/>
          <w:szCs w:val="21"/>
          <w:highlight w:val="none"/>
          <w:lang w:eastAsia="zh-CN"/>
        </w:rPr>
        <w:t>制造商</w:t>
      </w:r>
      <w:r>
        <w:rPr>
          <w:rFonts w:hint="eastAsia" w:ascii="宋体" w:hAnsi="宋体"/>
          <w:szCs w:val="21"/>
        </w:rPr>
        <w:t>类型</w:t>
      </w:r>
      <w:r>
        <w:rPr>
          <w:rFonts w:hint="eastAsia" w:ascii="宋体" w:hAnsi="宋体"/>
          <w:szCs w:val="21"/>
          <w:highlight w:val="none"/>
          <w:lang w:eastAsia="zh-CN"/>
        </w:rPr>
        <w:t>（如果供应商和制造商不同，只填写制造商类型）</w:t>
      </w:r>
      <w:r>
        <w:rPr>
          <w:rFonts w:hint="eastAsia" w:ascii="宋体" w:hAnsi="宋体"/>
          <w:szCs w:val="21"/>
        </w:rPr>
        <w:t>：</w:t>
      </w:r>
    </w:p>
    <w:p w14:paraId="6BE84215">
      <w:pPr>
        <w:spacing w:line="400" w:lineRule="exact"/>
        <w:ind w:firstLine="840"/>
        <w:rPr>
          <w:rFonts w:hint="eastAsia" w:ascii="宋体" w:hAnsi="宋体"/>
          <w:iCs/>
          <w:szCs w:val="21"/>
          <w:lang w:val="en-US" w:eastAsia="zh-CN"/>
        </w:rPr>
      </w:pPr>
      <w:r>
        <w:rPr>
          <w:rFonts w:hint="eastAsia" w:ascii="宋体" w:hAnsi="宋体"/>
          <w:iCs/>
          <w:szCs w:val="21"/>
          <w:lang w:val="en-US" w:eastAsia="zh-CN"/>
        </w:rPr>
        <w:t xml:space="preserve"> </w:t>
      </w:r>
      <w:r>
        <w:rPr>
          <w:rFonts w:ascii="Wingdings" w:hAnsi="Wingdings" w:eastAsia="Wingdings" w:cs="Wingdings"/>
          <w:iCs/>
          <w:szCs w:val="21"/>
        </w:rPr>
        <w:t>¨</w:t>
      </w:r>
      <w:r>
        <w:rPr>
          <w:rFonts w:hint="eastAsia" w:ascii="宋体" w:hAnsi="宋体"/>
          <w:iCs/>
          <w:szCs w:val="21"/>
        </w:rPr>
        <w:t xml:space="preserve">大型企业  </w:t>
      </w:r>
      <w:r>
        <w:rPr>
          <w:rFonts w:ascii="Wingdings" w:hAnsi="Wingdings" w:eastAsia="Wingdings" w:cs="Wingdings"/>
          <w:iCs/>
          <w:szCs w:val="21"/>
        </w:rPr>
        <w:t>¨</w:t>
      </w:r>
      <w:r>
        <w:rPr>
          <w:rFonts w:hint="eastAsia" w:ascii="宋体" w:hAnsi="宋体"/>
          <w:iCs/>
          <w:szCs w:val="21"/>
        </w:rPr>
        <w:t xml:space="preserve">中型企业  </w:t>
      </w:r>
      <w:r>
        <w:rPr>
          <w:rFonts w:ascii="Wingdings" w:hAnsi="Wingdings" w:eastAsia="Wingdings" w:cs="Wingdings"/>
          <w:iCs/>
          <w:szCs w:val="21"/>
        </w:rPr>
        <w:t>¨</w:t>
      </w:r>
      <w:r>
        <w:rPr>
          <w:rFonts w:hint="eastAsia" w:ascii="宋体" w:hAnsi="宋体"/>
          <w:iCs/>
          <w:szCs w:val="21"/>
        </w:rPr>
        <w:t>小微型企业</w:t>
      </w:r>
      <w:r>
        <w:rPr>
          <w:rFonts w:hint="eastAsia" w:ascii="宋体" w:hAnsi="宋体"/>
          <w:iCs/>
          <w:szCs w:val="21"/>
          <w:lang w:val="en-US" w:eastAsia="zh-CN"/>
        </w:rPr>
        <w:t xml:space="preserve">  </w:t>
      </w:r>
    </w:p>
    <w:p w14:paraId="73F3A031">
      <w:pPr>
        <w:spacing w:line="400" w:lineRule="exact"/>
        <w:ind w:firstLine="840"/>
        <w:rPr>
          <w:rFonts w:eastAsia="华文楷体"/>
          <w:u w:val="none"/>
          <w:lang w:val="en-US" w:eastAsia="zh-CN"/>
        </w:rPr>
      </w:pPr>
      <w:r>
        <w:rPr>
          <w:rFonts w:hint="eastAsia" w:ascii="宋体" w:hAnsi="宋体"/>
          <w:iCs/>
          <w:szCs w:val="21"/>
          <w:lang w:val="en-US" w:eastAsia="zh-CN"/>
        </w:rPr>
        <w:t xml:space="preserve"> </w:t>
      </w:r>
      <w:r>
        <w:rPr>
          <w:rFonts w:ascii="Wingdings" w:hAnsi="Wingdings" w:eastAsia="Wingdings" w:cs="Wingdings"/>
          <w:iCs/>
          <w:szCs w:val="21"/>
        </w:rPr>
        <w:t>¨</w:t>
      </w:r>
      <w:r>
        <w:rPr>
          <w:rFonts w:hint="eastAsia" w:ascii="宋体" w:hAnsi="宋体"/>
          <w:iCs/>
          <w:szCs w:val="21"/>
          <w:lang w:eastAsia="zh-CN"/>
        </w:rPr>
        <w:t>残疾人福利性单位</w:t>
      </w:r>
      <w:r>
        <w:rPr>
          <w:rFonts w:hint="eastAsia" w:ascii="宋体" w:hAnsi="宋体"/>
          <w:iCs/>
          <w:szCs w:val="21"/>
          <w:lang w:val="en-US" w:eastAsia="zh-CN"/>
        </w:rPr>
        <w:t xml:space="preserve"> </w:t>
      </w:r>
      <w:r>
        <w:rPr>
          <w:rFonts w:ascii="Wingdings" w:hAnsi="Wingdings" w:eastAsia="Wingdings" w:cs="Wingdings"/>
          <w:iCs/>
          <w:szCs w:val="21"/>
        </w:rPr>
        <w:t>¨</w:t>
      </w:r>
      <w:r>
        <w:rPr>
          <w:rFonts w:hint="eastAsia" w:ascii="宋体" w:hAnsi="宋体"/>
          <w:iCs/>
          <w:szCs w:val="21"/>
          <w:lang w:eastAsia="zh-CN"/>
        </w:rPr>
        <w:t>监狱</w:t>
      </w:r>
      <w:r>
        <w:rPr>
          <w:rFonts w:hint="eastAsia" w:ascii="宋体" w:hAnsi="宋体"/>
          <w:iCs/>
          <w:szCs w:val="21"/>
        </w:rPr>
        <w:t>企业</w:t>
      </w:r>
      <w:r>
        <w:rPr>
          <w:rFonts w:hint="eastAsia" w:ascii="宋体" w:hAnsi="宋体"/>
          <w:iCs/>
          <w:szCs w:val="21"/>
          <w:lang w:val="en-US" w:eastAsia="zh-CN"/>
        </w:rPr>
        <w:t xml:space="preserve"> </w:t>
      </w:r>
      <w:r>
        <w:rPr>
          <w:rFonts w:ascii="Wingdings" w:hAnsi="Wingdings" w:eastAsia="Wingdings" w:cs="Wingdings"/>
          <w:iCs/>
          <w:szCs w:val="21"/>
        </w:rPr>
        <w:t>¨</w:t>
      </w:r>
      <w:r>
        <w:rPr>
          <w:rFonts w:hint="eastAsia" w:ascii="宋体" w:hAnsi="宋体"/>
          <w:iCs/>
          <w:szCs w:val="21"/>
          <w:lang w:eastAsia="zh-CN"/>
        </w:rPr>
        <w:t>其他</w:t>
      </w:r>
    </w:p>
    <w:p w14:paraId="77BD0D84">
      <w:pPr>
        <w:numPr>
          <w:ilvl w:val="0"/>
          <w:numId w:val="0"/>
        </w:numPr>
        <w:spacing w:before="0" w:line="400" w:lineRule="exact"/>
        <w:ind w:left="0" w:firstLine="0"/>
        <w:rPr>
          <w:rFonts w:hint="eastAsia" w:ascii="宋体" w:hAnsi="宋体" w:cs="宋体"/>
          <w:iCs/>
          <w:szCs w:val="21"/>
          <w:highlight w:val="none"/>
        </w:rPr>
      </w:pPr>
      <w:r>
        <w:rPr>
          <w:rFonts w:hint="eastAsia" w:ascii="宋体" w:hAnsi="宋体"/>
          <w:szCs w:val="21"/>
          <w:highlight w:val="none"/>
          <w:u w:val="none"/>
          <w:lang w:val="en-US" w:eastAsia="zh-CN"/>
        </w:rPr>
        <w:t xml:space="preserve">    </w:t>
      </w:r>
      <w:r>
        <w:rPr>
          <w:rFonts w:hint="eastAsia" w:ascii="宋体" w:hAnsi="宋体" w:cs="宋体"/>
          <w:szCs w:val="21"/>
          <w:highlight w:val="none"/>
          <w:u w:val="none"/>
          <w:lang w:val="en-US" w:eastAsia="zh-CN"/>
        </w:rPr>
        <w:t>（</w:t>
      </w:r>
      <w:r>
        <w:rPr>
          <w:rFonts w:ascii="宋体" w:hAnsi="宋体" w:cs="宋体"/>
          <w:szCs w:val="21"/>
          <w:highlight w:val="none"/>
          <w:u w:val="none"/>
          <w:lang w:val="en" w:eastAsia="zh-CN"/>
        </w:rPr>
        <w:t>8</w:t>
      </w:r>
      <w:r>
        <w:rPr>
          <w:rFonts w:hint="eastAsia" w:ascii="宋体" w:hAnsi="宋体" w:cs="宋体"/>
          <w:szCs w:val="21"/>
          <w:highlight w:val="none"/>
          <w:u w:val="none"/>
          <w:lang w:val="en-US" w:eastAsia="zh-CN"/>
        </w:rPr>
        <w:t>）中标（成交）供应商是否为外商投资企业：</w:t>
      </w:r>
      <w:r>
        <w:rPr>
          <w:rFonts w:ascii="Wingdings" w:hAnsi="Wingdings" w:eastAsia="Wingdings" w:cs="Wingdings"/>
          <w:iCs/>
          <w:szCs w:val="21"/>
          <w:highlight w:val="none"/>
        </w:rPr>
        <w:t>¨</w:t>
      </w:r>
      <w:r>
        <w:rPr>
          <w:rFonts w:hint="eastAsia" w:ascii="宋体" w:hAnsi="宋体" w:cs="宋体"/>
          <w:iCs/>
          <w:szCs w:val="21"/>
          <w:highlight w:val="none"/>
        </w:rPr>
        <w:t xml:space="preserve">是       </w:t>
      </w:r>
      <w:r>
        <w:rPr>
          <w:rFonts w:ascii="Wingdings" w:hAnsi="Wingdings" w:eastAsia="Wingdings" w:cs="Wingdings"/>
          <w:iCs/>
          <w:szCs w:val="21"/>
          <w:highlight w:val="none"/>
        </w:rPr>
        <w:t>¨</w:t>
      </w:r>
      <w:r>
        <w:rPr>
          <w:rFonts w:hint="eastAsia" w:ascii="宋体" w:hAnsi="宋体" w:cs="宋体"/>
          <w:iCs/>
          <w:szCs w:val="21"/>
          <w:highlight w:val="none"/>
        </w:rPr>
        <w:t>否</w:t>
      </w:r>
    </w:p>
    <w:p w14:paraId="41E6B66F">
      <w:pPr>
        <w:pStyle w:val="322"/>
        <w:tabs>
          <w:tab w:val="left" w:pos="1340"/>
        </w:tabs>
        <w:rPr>
          <w:rFonts w:hint="eastAsia" w:ascii="宋体" w:hAnsi="宋体" w:eastAsia="宋体" w:cs="宋体"/>
          <w:sz w:val="21"/>
          <w:szCs w:val="21"/>
          <w:highlight w:val="none"/>
          <w:u w:val="single"/>
        </w:rPr>
      </w:pPr>
      <w:r>
        <w:rPr>
          <w:rFonts w:hint="eastAsia" w:ascii="宋体" w:hAnsi="宋体" w:eastAsia="宋体" w:cs="宋体"/>
          <w:sz w:val="21"/>
          <w:szCs w:val="21"/>
          <w:highlight w:val="none"/>
          <w:u w:val="none"/>
          <w:lang w:val="en-US" w:eastAsia="zh-CN"/>
        </w:rPr>
        <w:t xml:space="preserve">     外商投资企业类型：</w:t>
      </w:r>
      <w:r>
        <w:rPr>
          <w:rFonts w:ascii="Wingdings" w:hAnsi="Wingdings" w:eastAsia="Wingdings" w:cs="Wingdings"/>
          <w:iCs/>
          <w:sz w:val="21"/>
          <w:szCs w:val="21"/>
          <w:highlight w:val="none"/>
        </w:rPr>
        <w:t>¨</w:t>
      </w:r>
      <w:r>
        <w:rPr>
          <w:rFonts w:hint="eastAsia" w:ascii="宋体" w:hAnsi="宋体" w:eastAsia="宋体" w:cs="宋体"/>
          <w:sz w:val="21"/>
          <w:szCs w:val="21"/>
          <w:highlight w:val="none"/>
          <w:u w:val="none"/>
          <w:lang w:val="en-US" w:eastAsia="zh-CN"/>
        </w:rPr>
        <w:t xml:space="preserve">全部由外国投资者投资  </w:t>
      </w:r>
      <w:r>
        <w:rPr>
          <w:rFonts w:ascii="Wingdings" w:hAnsi="Wingdings" w:eastAsia="Wingdings" w:cs="Wingdings"/>
          <w:iCs/>
          <w:sz w:val="21"/>
          <w:szCs w:val="21"/>
          <w:highlight w:val="none"/>
        </w:rPr>
        <w:t>¨</w:t>
      </w:r>
      <w:r>
        <w:rPr>
          <w:rFonts w:hint="eastAsia" w:ascii="宋体" w:hAnsi="宋体" w:eastAsia="宋体" w:cs="宋体"/>
          <w:iCs/>
          <w:sz w:val="21"/>
          <w:szCs w:val="21"/>
          <w:highlight w:val="none"/>
          <w:lang w:val="en-US" w:eastAsia="zh-CN"/>
        </w:rPr>
        <w:t>部分由外国投资者投资</w:t>
      </w:r>
    </w:p>
    <w:p w14:paraId="238B843F">
      <w:pPr>
        <w:numPr>
          <w:ilvl w:val="0"/>
          <w:numId w:val="0"/>
        </w:numPr>
        <w:spacing w:before="0" w:line="400" w:lineRule="exact"/>
        <w:ind w:firstLine="420"/>
        <w:rPr>
          <w:rFonts w:hint="eastAsia" w:ascii="宋体" w:hAnsi="宋体" w:eastAsia="宋体" w:cs="宋体"/>
          <w:b w:val="0"/>
          <w:bCs w:val="0"/>
          <w:sz w:val="21"/>
          <w:szCs w:val="21"/>
          <w:u w:val="none"/>
          <w:lang w:val="en-US" w:eastAsia="zh-CN"/>
        </w:rPr>
      </w:pPr>
      <w:r>
        <w:rPr>
          <w:rFonts w:hint="eastAsia" w:ascii="宋体" w:hAnsi="宋体" w:eastAsia="宋体" w:cs="宋体"/>
          <w:b w:val="0"/>
          <w:bCs w:val="0"/>
          <w:sz w:val="21"/>
          <w:szCs w:val="21"/>
          <w:u w:val="none"/>
          <w:lang w:val="en-US" w:eastAsia="zh-CN"/>
        </w:rPr>
        <w:t>（</w:t>
      </w:r>
      <w:r>
        <w:rPr>
          <w:rFonts w:ascii="宋体" w:hAnsi="宋体" w:cs="宋体"/>
          <w:b w:val="0"/>
          <w:bCs w:val="0"/>
          <w:sz w:val="21"/>
          <w:szCs w:val="21"/>
          <w:u w:val="none"/>
          <w:lang w:val="en" w:eastAsia="zh-CN"/>
        </w:rPr>
        <w:t>9</w:t>
      </w:r>
      <w:r>
        <w:rPr>
          <w:rFonts w:hint="eastAsia" w:ascii="宋体" w:hAnsi="宋体" w:eastAsia="宋体" w:cs="宋体"/>
          <w:b w:val="0"/>
          <w:bCs w:val="0"/>
          <w:sz w:val="21"/>
          <w:szCs w:val="21"/>
          <w:u w:val="none"/>
          <w:lang w:val="en-US" w:eastAsia="zh-CN"/>
        </w:rPr>
        <w:t>）是否涉及进口产品：</w:t>
      </w:r>
    </w:p>
    <w:p w14:paraId="26FDA96E">
      <w:pPr>
        <w:numPr>
          <w:ilvl w:val="0"/>
          <w:numId w:val="0"/>
        </w:numPr>
        <w:spacing w:before="0" w:line="400" w:lineRule="exact"/>
        <w:ind w:firstLine="840"/>
        <w:rPr>
          <w:rFonts w:hint="eastAsia" w:ascii="宋体" w:hAnsi="宋体" w:eastAsia="宋体" w:cs="宋体"/>
          <w:szCs w:val="21"/>
          <w:u w:val="single"/>
          <w:lang w:val="en-US" w:eastAsia="zh-CN"/>
        </w:rPr>
      </w:pPr>
      <w:r>
        <w:rPr>
          <w:rFonts w:hint="eastAsia" w:ascii="宋体" w:hAnsi="宋体" w:cs="宋体"/>
          <w:iCs w:val="0"/>
          <w:szCs w:val="21"/>
          <w:lang w:val="en-US" w:eastAsia="zh-CN"/>
        </w:rPr>
        <w:t xml:space="preserve"> </w:t>
      </w:r>
      <w:r>
        <w:rPr>
          <w:rFonts w:ascii="Wingdings" w:hAnsi="Wingdings" w:eastAsia="Wingdings" w:cs="Wingdings"/>
          <w:iCs w:val="0"/>
          <w:szCs w:val="21"/>
        </w:rPr>
        <w:t>¨</w:t>
      </w:r>
      <w:r>
        <w:rPr>
          <w:rFonts w:hint="eastAsia" w:ascii="宋体" w:hAnsi="宋体" w:eastAsia="宋体" w:cs="宋体"/>
          <w:iCs w:val="0"/>
          <w:szCs w:val="21"/>
        </w:rPr>
        <w:t>是</w:t>
      </w:r>
      <w:r>
        <w:rPr>
          <w:rFonts w:hint="eastAsia" w:ascii="宋体" w:hAnsi="宋体" w:eastAsia="宋体" w:cs="宋体"/>
          <w:iCs w:val="0"/>
          <w:szCs w:val="21"/>
          <w:lang w:eastAsia="zh-CN"/>
        </w:rPr>
        <w:t>，</w:t>
      </w:r>
      <w:r>
        <w:rPr>
          <w:rFonts w:hint="eastAsia" w:ascii="宋体" w:hAnsi="宋体" w:cs="宋体"/>
          <w:iCs w:val="0"/>
          <w:szCs w:val="21"/>
          <w:lang w:eastAsia="zh-CN"/>
        </w:rPr>
        <w:t>《政府采购品目分类目录》底级品目名称</w:t>
      </w:r>
      <w:r>
        <w:rPr>
          <w:rFonts w:hint="eastAsia" w:ascii="宋体" w:hAnsi="宋体" w:eastAsia="宋体" w:cs="宋体"/>
          <w:szCs w:val="21"/>
          <w:lang w:val="en-US" w:eastAsia="zh-CN"/>
        </w:rPr>
        <w:t>：</w:t>
      </w:r>
      <w:r>
        <w:rPr>
          <w:rFonts w:hint="eastAsia" w:ascii="宋体" w:hAnsi="宋体" w:eastAsia="宋体" w:cs="宋体"/>
          <w:szCs w:val="21"/>
          <w:u w:val="single"/>
          <w:lang w:val="en-US" w:eastAsia="zh-CN"/>
        </w:rPr>
        <w:t xml:space="preserve">         </w:t>
      </w:r>
      <w:r>
        <w:rPr>
          <w:rFonts w:hint="eastAsia" w:ascii="宋体" w:hAnsi="宋体" w:eastAsia="宋体" w:cs="宋体"/>
          <w:szCs w:val="21"/>
          <w:lang w:val="en-US" w:eastAsia="zh-CN"/>
        </w:rPr>
        <w:t xml:space="preserve"> </w:t>
      </w:r>
      <w:r>
        <w:rPr>
          <w:rFonts w:hint="eastAsia" w:ascii="宋体" w:hAnsi="宋体" w:cs="宋体"/>
          <w:szCs w:val="21"/>
          <w:lang w:val="en-US" w:eastAsia="zh-CN"/>
        </w:rPr>
        <w:t>金额：</w:t>
      </w:r>
      <w:r>
        <w:rPr>
          <w:rFonts w:hint="eastAsia" w:ascii="宋体" w:hAnsi="宋体" w:eastAsia="宋体" w:cs="宋体"/>
          <w:szCs w:val="21"/>
          <w:u w:val="single"/>
          <w:lang w:val="en-US" w:eastAsia="zh-CN"/>
        </w:rPr>
        <w:t xml:space="preserve">  </w:t>
      </w:r>
      <w:r>
        <w:rPr>
          <w:rFonts w:hint="eastAsia" w:ascii="宋体" w:hAnsi="宋体" w:cs="宋体"/>
          <w:szCs w:val="21"/>
          <w:u w:val="single"/>
          <w:lang w:val="en-US" w:eastAsia="zh-CN"/>
        </w:rPr>
        <w:t xml:space="preserve">     </w:t>
      </w:r>
      <w:r>
        <w:rPr>
          <w:rFonts w:hint="eastAsia" w:ascii="宋体" w:hAnsi="宋体" w:eastAsia="宋体" w:cs="宋体"/>
          <w:szCs w:val="21"/>
          <w:u w:val="single"/>
          <w:lang w:val="en-US" w:eastAsia="zh-CN"/>
        </w:rPr>
        <w:t xml:space="preserve"> </w:t>
      </w:r>
    </w:p>
    <w:p w14:paraId="0012DF04">
      <w:pPr>
        <w:numPr>
          <w:ilvl w:val="0"/>
          <w:numId w:val="0"/>
        </w:numPr>
        <w:spacing w:before="0" w:line="400" w:lineRule="exact"/>
        <w:ind w:firstLine="840"/>
        <w:rPr>
          <w:rFonts w:hint="eastAsia" w:ascii="宋体" w:hAnsi="宋体" w:eastAsia="宋体"/>
          <w:iCs w:val="0"/>
          <w:szCs w:val="21"/>
        </w:rPr>
      </w:pPr>
      <w:r>
        <w:rPr>
          <w:rFonts w:hint="eastAsia" w:ascii="宋体" w:hAnsi="宋体" w:cs="宋体"/>
          <w:szCs w:val="21"/>
          <w:lang w:val="en-US" w:eastAsia="zh-CN"/>
        </w:rPr>
        <w:t xml:space="preserve">        国别：</w:t>
      </w:r>
      <w:r>
        <w:rPr>
          <w:rFonts w:hint="eastAsia" w:ascii="宋体" w:hAnsi="宋体" w:eastAsia="宋体" w:cs="宋体"/>
          <w:szCs w:val="21"/>
          <w:u w:val="single"/>
          <w:lang w:val="en-US" w:eastAsia="zh-CN"/>
        </w:rPr>
        <w:t xml:space="preserve">  </w:t>
      </w:r>
      <w:r>
        <w:rPr>
          <w:rFonts w:hint="eastAsia" w:ascii="宋体" w:hAnsi="宋体" w:cs="宋体"/>
          <w:szCs w:val="21"/>
          <w:u w:val="single"/>
          <w:lang w:val="en-US" w:eastAsia="zh-CN"/>
        </w:rPr>
        <w:t xml:space="preserve">     </w:t>
      </w:r>
      <w:r>
        <w:rPr>
          <w:rFonts w:hint="eastAsia" w:ascii="宋体" w:hAnsi="宋体" w:eastAsia="宋体" w:cs="宋体"/>
          <w:szCs w:val="21"/>
          <w:u w:val="single"/>
          <w:lang w:val="en-US" w:eastAsia="zh-CN"/>
        </w:rPr>
        <w:t xml:space="preserve"> </w:t>
      </w:r>
      <w:r>
        <w:rPr>
          <w:rFonts w:hint="eastAsia" w:ascii="宋体" w:hAnsi="宋体" w:cs="宋体"/>
          <w:szCs w:val="21"/>
          <w:lang w:val="en-US" w:eastAsia="zh-CN"/>
        </w:rPr>
        <w:t xml:space="preserve"> </w:t>
      </w:r>
      <w:r>
        <w:rPr>
          <w:rFonts w:hint="eastAsia" w:ascii="宋体" w:hAnsi="宋体" w:eastAsia="宋体" w:cs="宋体"/>
          <w:szCs w:val="21"/>
          <w:lang w:val="en-US" w:eastAsia="zh-CN"/>
        </w:rPr>
        <w:t>品牌：</w:t>
      </w:r>
      <w:r>
        <w:rPr>
          <w:rFonts w:hint="eastAsia" w:ascii="宋体" w:hAnsi="宋体" w:eastAsia="宋体" w:cs="宋体"/>
          <w:szCs w:val="21"/>
          <w:u w:val="single"/>
          <w:lang w:val="en-US" w:eastAsia="zh-CN"/>
        </w:rPr>
        <w:t xml:space="preserve">        </w:t>
      </w:r>
      <w:r>
        <w:rPr>
          <w:rFonts w:hint="eastAsia" w:ascii="宋体" w:hAnsi="宋体" w:eastAsia="宋体" w:cs="宋体"/>
          <w:szCs w:val="21"/>
          <w:u w:val="none"/>
          <w:lang w:val="en-US" w:eastAsia="zh-CN"/>
        </w:rPr>
        <w:t xml:space="preserve"> 规格型号：</w:t>
      </w:r>
      <w:r>
        <w:rPr>
          <w:rFonts w:hint="eastAsia" w:ascii="宋体" w:hAnsi="宋体" w:eastAsia="宋体" w:cs="宋体"/>
          <w:szCs w:val="21"/>
          <w:u w:val="single"/>
          <w:lang w:val="en-US" w:eastAsia="zh-CN"/>
        </w:rPr>
        <w:t xml:space="preserve">        </w:t>
      </w:r>
      <w:r>
        <w:rPr>
          <w:rFonts w:hint="eastAsia" w:ascii="宋体" w:hAnsi="宋体" w:eastAsia="宋体"/>
          <w:iCs w:val="0"/>
          <w:szCs w:val="21"/>
        </w:rPr>
        <w:t xml:space="preserve">      </w:t>
      </w:r>
    </w:p>
    <w:p w14:paraId="27826228">
      <w:pPr>
        <w:spacing w:before="0" w:line="400" w:lineRule="exact"/>
        <w:ind w:firstLine="840"/>
        <w:rPr>
          <w:rFonts w:hint="eastAsia" w:ascii="宋体" w:hAnsi="宋体"/>
          <w:szCs w:val="21"/>
          <w:u w:val="none"/>
          <w:lang w:val="en-US" w:eastAsia="zh-CN"/>
        </w:rPr>
      </w:pPr>
      <w:r>
        <w:rPr>
          <w:rFonts w:hint="eastAsia" w:ascii="宋体" w:hAnsi="宋体"/>
          <w:iCs w:val="0"/>
          <w:szCs w:val="21"/>
          <w:lang w:val="en-US" w:eastAsia="zh-CN"/>
        </w:rPr>
        <w:t xml:space="preserve"> </w:t>
      </w:r>
      <w:r>
        <w:rPr>
          <w:rFonts w:ascii="Wingdings" w:hAnsi="Wingdings" w:eastAsia="Wingdings" w:cs="Wingdings"/>
          <w:iCs w:val="0"/>
          <w:szCs w:val="21"/>
        </w:rPr>
        <w:t>þ</w:t>
      </w:r>
      <w:r>
        <w:rPr>
          <w:rFonts w:hint="eastAsia" w:ascii="宋体" w:hAnsi="宋体" w:eastAsia="宋体"/>
          <w:iCs w:val="0"/>
          <w:szCs w:val="21"/>
          <w:lang w:eastAsia="zh-CN"/>
        </w:rPr>
        <w:t>否</w:t>
      </w:r>
    </w:p>
    <w:p w14:paraId="4CC94B94">
      <w:pPr>
        <w:numPr>
          <w:ilvl w:val="0"/>
          <w:numId w:val="0"/>
        </w:numPr>
        <w:tabs>
          <w:tab w:val="left" w:pos="740"/>
        </w:tabs>
        <w:spacing w:before="0" w:line="400" w:lineRule="exact"/>
        <w:ind w:left="0" w:firstLine="0"/>
        <w:rPr>
          <w:rFonts w:hint="eastAsia" w:ascii="宋体" w:hAnsi="宋体" w:eastAsia="宋体"/>
          <w:b w:val="0"/>
          <w:bCs w:val="0"/>
          <w:color w:val="000000"/>
          <w:sz w:val="21"/>
          <w:szCs w:val="21"/>
          <w:highlight w:val="none"/>
          <w:u w:val="none"/>
          <w:lang w:val="en-US" w:eastAsia="zh-CN"/>
        </w:rPr>
      </w:pPr>
      <w:r>
        <w:rPr>
          <w:rFonts w:hint="eastAsia" w:ascii="宋体" w:hAnsi="宋体"/>
          <w:b w:val="0"/>
          <w:bCs w:val="0"/>
          <w:sz w:val="21"/>
          <w:szCs w:val="21"/>
          <w:highlight w:val="none"/>
          <w:u w:val="none"/>
          <w:lang w:val="en-US" w:eastAsia="zh-CN"/>
        </w:rPr>
        <w:t xml:space="preserve">  </w:t>
      </w:r>
      <w:r>
        <w:rPr>
          <w:rFonts w:hint="eastAsia" w:ascii="宋体" w:hAnsi="宋体"/>
          <w:b w:val="0"/>
          <w:bCs w:val="0"/>
          <w:color w:val="00B0F0"/>
          <w:sz w:val="21"/>
          <w:szCs w:val="21"/>
          <w:highlight w:val="none"/>
          <w:u w:val="none"/>
          <w:lang w:val="en-US" w:eastAsia="zh-CN"/>
        </w:rPr>
        <w:t xml:space="preserve">  </w:t>
      </w:r>
      <w:r>
        <w:rPr>
          <w:rFonts w:hint="eastAsia" w:ascii="宋体" w:hAnsi="宋体"/>
          <w:b w:val="0"/>
          <w:bCs w:val="0"/>
          <w:color w:val="000000"/>
          <w:sz w:val="21"/>
          <w:szCs w:val="21"/>
          <w:highlight w:val="none"/>
          <w:u w:val="none"/>
          <w:lang w:val="en-US" w:eastAsia="zh-CN"/>
        </w:rPr>
        <w:t>（1</w:t>
      </w:r>
      <w:r>
        <w:rPr>
          <w:rFonts w:ascii="宋体" w:hAnsi="宋体"/>
          <w:b w:val="0"/>
          <w:bCs w:val="0"/>
          <w:color w:val="000000"/>
          <w:sz w:val="21"/>
          <w:szCs w:val="21"/>
          <w:highlight w:val="none"/>
          <w:u w:val="none"/>
          <w:lang w:val="en" w:eastAsia="zh-CN"/>
        </w:rPr>
        <w:t>0</w:t>
      </w:r>
      <w:r>
        <w:rPr>
          <w:rFonts w:hint="eastAsia" w:ascii="宋体" w:hAnsi="宋体"/>
          <w:b w:val="0"/>
          <w:bCs w:val="0"/>
          <w:color w:val="000000"/>
          <w:sz w:val="21"/>
          <w:szCs w:val="21"/>
          <w:highlight w:val="none"/>
          <w:u w:val="none"/>
          <w:lang w:val="en-US" w:eastAsia="zh-CN"/>
        </w:rPr>
        <w:t>）</w:t>
      </w:r>
      <w:r>
        <w:rPr>
          <w:rFonts w:hint="eastAsia" w:ascii="宋体" w:hAnsi="宋体" w:eastAsia="宋体"/>
          <w:b w:val="0"/>
          <w:bCs w:val="0"/>
          <w:color w:val="000000"/>
          <w:sz w:val="21"/>
          <w:szCs w:val="21"/>
          <w:highlight w:val="none"/>
          <w:u w:val="none"/>
          <w:lang w:val="en-US" w:eastAsia="zh-CN"/>
        </w:rPr>
        <w:t>是否涉及节能产品：</w:t>
      </w:r>
    </w:p>
    <w:p w14:paraId="494EE2A3">
      <w:pPr>
        <w:numPr>
          <w:ilvl w:val="0"/>
          <w:numId w:val="0"/>
        </w:numPr>
        <w:tabs>
          <w:tab w:val="left" w:pos="740"/>
        </w:tabs>
        <w:spacing w:before="0" w:line="400" w:lineRule="exact"/>
        <w:ind w:firstLine="0"/>
        <w:rPr>
          <w:rFonts w:hint="eastAsia" w:ascii="宋体" w:hAnsi="宋体" w:eastAsia="宋体" w:cs="Times New Roman"/>
          <w:color w:val="000000"/>
          <w:szCs w:val="21"/>
          <w:u w:val="single"/>
          <w:lang w:val="en-US" w:eastAsia="zh-CN"/>
        </w:rPr>
      </w:pPr>
      <w:r>
        <w:rPr>
          <w:rFonts w:hint="eastAsia" w:ascii="宋体" w:hAnsi="宋体"/>
          <w:b w:val="0"/>
          <w:bCs w:val="0"/>
          <w:color w:val="000000"/>
          <w:sz w:val="21"/>
          <w:szCs w:val="21"/>
          <w:u w:val="none"/>
          <w:lang w:val="en-US" w:eastAsia="zh-CN"/>
        </w:rPr>
        <w:t xml:space="preserve">         </w:t>
      </w:r>
      <w:r>
        <w:rPr>
          <w:rFonts w:ascii="Wingdings" w:hAnsi="Wingdings" w:eastAsia="Wingdings" w:cs="Wingdings"/>
          <w:iCs w:val="0"/>
          <w:color w:val="000000"/>
          <w:szCs w:val="21"/>
        </w:rPr>
        <w:t>¨</w:t>
      </w:r>
      <w:r>
        <w:rPr>
          <w:rFonts w:hint="eastAsia" w:ascii="宋体" w:hAnsi="宋体" w:eastAsia="宋体"/>
          <w:iCs w:val="0"/>
          <w:color w:val="000000"/>
          <w:szCs w:val="21"/>
        </w:rPr>
        <w:t>是</w:t>
      </w:r>
      <w:r>
        <w:rPr>
          <w:rFonts w:hint="eastAsia" w:ascii="宋体" w:hAnsi="宋体" w:eastAsia="宋体"/>
          <w:iCs w:val="0"/>
          <w:color w:val="000000"/>
          <w:szCs w:val="21"/>
          <w:lang w:eastAsia="zh-CN"/>
        </w:rPr>
        <w:t>，</w:t>
      </w:r>
      <w:r>
        <w:rPr>
          <w:rFonts w:hint="eastAsia" w:ascii="宋体" w:hAnsi="宋体"/>
          <w:iCs w:val="0"/>
          <w:color w:val="000000"/>
          <w:szCs w:val="21"/>
          <w:lang w:eastAsia="zh-CN"/>
        </w:rPr>
        <w:t>《节能产品政府采购品目清单》的底级品目名称：</w:t>
      </w:r>
      <w:r>
        <w:rPr>
          <w:rFonts w:hint="eastAsia" w:ascii="宋体" w:hAnsi="宋体" w:eastAsia="宋体"/>
          <w:color w:val="000000"/>
          <w:szCs w:val="21"/>
          <w:u w:val="single"/>
          <w:lang w:val="en-US" w:eastAsia="zh-CN"/>
        </w:rPr>
        <w:t xml:space="preserve"> </w:t>
      </w:r>
      <w:r>
        <w:rPr>
          <w:rFonts w:hint="eastAsia" w:ascii="宋体" w:hAnsi="宋体" w:eastAsia="宋体" w:cs="Times New Roman"/>
          <w:color w:val="000000"/>
          <w:szCs w:val="21"/>
          <w:u w:val="single"/>
          <w:lang w:val="en-US" w:eastAsia="zh-CN"/>
        </w:rPr>
        <w:t xml:space="preserve">          </w:t>
      </w:r>
    </w:p>
    <w:p w14:paraId="516336BE">
      <w:pPr>
        <w:numPr>
          <w:ilvl w:val="0"/>
          <w:numId w:val="0"/>
        </w:numPr>
        <w:tabs>
          <w:tab w:val="left" w:pos="740"/>
        </w:tabs>
        <w:spacing w:before="0" w:line="400" w:lineRule="exact"/>
        <w:ind w:firstLine="0"/>
        <w:rPr>
          <w:rFonts w:hint="eastAsia" w:ascii="宋体" w:hAnsi="宋体"/>
          <w:iCs/>
          <w:color w:val="000000"/>
          <w:szCs w:val="21"/>
          <w:lang w:val="en-US" w:eastAsia="zh-CN"/>
        </w:rPr>
      </w:pPr>
      <w:r>
        <w:rPr>
          <w:rFonts w:hint="eastAsia" w:ascii="宋体" w:hAnsi="宋体"/>
          <w:iCs/>
          <w:color w:val="000000"/>
          <w:szCs w:val="21"/>
          <w:lang w:val="en-US" w:eastAsia="zh-CN"/>
        </w:rPr>
        <w:t xml:space="preserve">                </w:t>
      </w:r>
      <w:r>
        <w:rPr>
          <w:rFonts w:ascii="Wingdings" w:hAnsi="Wingdings" w:eastAsia="Wingdings" w:cs="Wingdings"/>
          <w:iCs/>
          <w:color w:val="000000"/>
          <w:szCs w:val="21"/>
        </w:rPr>
        <w:t>¨</w:t>
      </w:r>
      <w:r>
        <w:rPr>
          <w:rFonts w:hint="eastAsia" w:ascii="宋体" w:hAnsi="宋体"/>
          <w:iCs/>
          <w:color w:val="000000"/>
          <w:szCs w:val="21"/>
          <w:lang w:eastAsia="zh-CN"/>
        </w:rPr>
        <w:t>强制采购</w:t>
      </w:r>
      <w:r>
        <w:rPr>
          <w:rFonts w:hint="eastAsia" w:ascii="宋体" w:hAnsi="宋体"/>
          <w:iCs/>
          <w:color w:val="000000"/>
          <w:szCs w:val="21"/>
          <w:lang w:val="en-US" w:eastAsia="zh-CN"/>
        </w:rPr>
        <w:t xml:space="preserve">       </w:t>
      </w:r>
      <w:r>
        <w:rPr>
          <w:rFonts w:ascii="Wingdings" w:hAnsi="Wingdings" w:eastAsia="Wingdings" w:cs="Wingdings"/>
          <w:iCs/>
          <w:color w:val="000000"/>
          <w:szCs w:val="21"/>
        </w:rPr>
        <w:t>¨</w:t>
      </w:r>
      <w:r>
        <w:rPr>
          <w:rFonts w:hint="eastAsia" w:ascii="宋体" w:hAnsi="宋体"/>
          <w:iCs/>
          <w:color w:val="000000"/>
          <w:szCs w:val="21"/>
          <w:lang w:eastAsia="zh-CN"/>
        </w:rPr>
        <w:t>优先采购</w:t>
      </w:r>
      <w:r>
        <w:rPr>
          <w:rFonts w:hint="eastAsia" w:ascii="宋体" w:hAnsi="宋体"/>
          <w:iCs/>
          <w:color w:val="000000"/>
          <w:szCs w:val="21"/>
          <w:lang w:val="en-US" w:eastAsia="zh-CN"/>
        </w:rPr>
        <w:t xml:space="preserve">    </w:t>
      </w:r>
    </w:p>
    <w:p w14:paraId="29F52321">
      <w:pPr>
        <w:numPr>
          <w:ilvl w:val="0"/>
          <w:numId w:val="0"/>
        </w:numPr>
        <w:tabs>
          <w:tab w:val="left" w:pos="740"/>
        </w:tabs>
        <w:spacing w:before="0" w:line="400" w:lineRule="exact"/>
        <w:ind w:firstLine="0"/>
        <w:rPr>
          <w:rFonts w:hint="eastAsia" w:ascii="宋体" w:hAnsi="宋体" w:eastAsia="宋体"/>
          <w:iCs w:val="0"/>
          <w:color w:val="000000"/>
          <w:szCs w:val="21"/>
        </w:rPr>
      </w:pPr>
      <w:r>
        <w:rPr>
          <w:rFonts w:hint="eastAsia" w:ascii="宋体" w:hAnsi="宋体"/>
          <w:iCs/>
          <w:color w:val="000000"/>
          <w:szCs w:val="21"/>
          <w:lang w:val="en-US" w:eastAsia="zh-CN"/>
        </w:rPr>
        <w:t xml:space="preserve">         </w:t>
      </w:r>
      <w:r>
        <w:rPr>
          <w:rFonts w:ascii="Wingdings" w:hAnsi="Wingdings" w:eastAsia="Wingdings" w:cs="Wingdings"/>
          <w:iCs w:val="0"/>
          <w:color w:val="000000"/>
          <w:szCs w:val="21"/>
        </w:rPr>
        <w:t>¨</w:t>
      </w:r>
      <w:r>
        <w:rPr>
          <w:rFonts w:hint="eastAsia" w:ascii="宋体" w:hAnsi="宋体" w:eastAsia="宋体"/>
          <w:iCs w:val="0"/>
          <w:color w:val="000000"/>
          <w:szCs w:val="21"/>
        </w:rPr>
        <w:t>否</w:t>
      </w:r>
    </w:p>
    <w:p w14:paraId="76B9D835">
      <w:pPr>
        <w:numPr>
          <w:ilvl w:val="0"/>
          <w:numId w:val="0"/>
        </w:numPr>
        <w:tabs>
          <w:tab w:val="left" w:pos="740"/>
        </w:tabs>
        <w:spacing w:before="0" w:line="400" w:lineRule="exact"/>
        <w:ind w:left="0" w:firstLine="0"/>
        <w:rPr>
          <w:rFonts w:hint="eastAsia" w:ascii="宋体" w:hAnsi="宋体" w:eastAsia="宋体"/>
          <w:b w:val="0"/>
          <w:bCs w:val="0"/>
          <w:color w:val="000000"/>
          <w:sz w:val="21"/>
          <w:szCs w:val="21"/>
          <w:u w:val="none"/>
          <w:lang w:val="en-US" w:eastAsia="zh-CN"/>
        </w:rPr>
      </w:pPr>
      <w:r>
        <w:rPr>
          <w:rFonts w:hint="eastAsia" w:ascii="宋体" w:hAnsi="宋体"/>
          <w:b w:val="0"/>
          <w:bCs w:val="0"/>
          <w:color w:val="000000"/>
          <w:sz w:val="21"/>
          <w:szCs w:val="21"/>
          <w:u w:val="none"/>
          <w:lang w:val="en-US" w:eastAsia="zh-CN"/>
        </w:rPr>
        <w:t xml:space="preserve">          </w:t>
      </w:r>
      <w:r>
        <w:rPr>
          <w:rFonts w:hint="eastAsia" w:ascii="宋体" w:hAnsi="宋体" w:eastAsia="宋体"/>
          <w:b w:val="0"/>
          <w:bCs w:val="0"/>
          <w:color w:val="000000"/>
          <w:sz w:val="21"/>
          <w:szCs w:val="21"/>
          <w:u w:val="none"/>
          <w:lang w:val="en-US" w:eastAsia="zh-CN"/>
        </w:rPr>
        <w:t>是否涉及</w:t>
      </w:r>
      <w:r>
        <w:rPr>
          <w:rFonts w:hint="eastAsia" w:ascii="宋体" w:hAnsi="宋体"/>
          <w:b w:val="0"/>
          <w:bCs w:val="0"/>
          <w:color w:val="000000"/>
          <w:sz w:val="21"/>
          <w:szCs w:val="21"/>
          <w:u w:val="none"/>
          <w:lang w:val="en-US" w:eastAsia="zh-CN"/>
        </w:rPr>
        <w:t>环境标志</w:t>
      </w:r>
      <w:r>
        <w:rPr>
          <w:rFonts w:hint="eastAsia" w:ascii="宋体" w:hAnsi="宋体" w:eastAsia="宋体"/>
          <w:b w:val="0"/>
          <w:bCs w:val="0"/>
          <w:color w:val="000000"/>
          <w:sz w:val="21"/>
          <w:szCs w:val="21"/>
          <w:u w:val="none"/>
          <w:lang w:val="en-US" w:eastAsia="zh-CN"/>
        </w:rPr>
        <w:t>产品：</w:t>
      </w:r>
    </w:p>
    <w:p w14:paraId="4F9A15E3">
      <w:pPr>
        <w:keepNext w:val="0"/>
        <w:keepLines w:val="0"/>
        <w:widowControl/>
        <w:suppressLineNumbers w:val="0"/>
        <w:jc w:val="left"/>
        <w:rPr>
          <w:rFonts w:hint="eastAsia" w:ascii="宋体" w:hAnsi="宋体"/>
          <w:iCs w:val="0"/>
          <w:color w:val="000000"/>
          <w:szCs w:val="21"/>
          <w:lang w:eastAsia="zh-CN"/>
        </w:rPr>
      </w:pPr>
      <w:r>
        <w:rPr>
          <w:rFonts w:hint="eastAsia" w:ascii="宋体" w:hAnsi="宋体"/>
          <w:b w:val="0"/>
          <w:bCs w:val="0"/>
          <w:color w:val="000000"/>
          <w:sz w:val="21"/>
          <w:szCs w:val="21"/>
          <w:u w:val="none"/>
          <w:lang w:val="en-US" w:eastAsia="zh-CN"/>
        </w:rPr>
        <w:t xml:space="preserve">         </w:t>
      </w:r>
      <w:r>
        <w:rPr>
          <w:rFonts w:ascii="Wingdings" w:hAnsi="Wingdings" w:eastAsia="Wingdings" w:cs="Wingdings"/>
          <w:iCs w:val="0"/>
          <w:color w:val="000000"/>
          <w:szCs w:val="21"/>
        </w:rPr>
        <w:t>¨</w:t>
      </w:r>
      <w:r>
        <w:rPr>
          <w:rFonts w:hint="eastAsia" w:ascii="宋体" w:hAnsi="宋体" w:eastAsia="宋体"/>
          <w:iCs w:val="0"/>
          <w:color w:val="000000"/>
          <w:szCs w:val="21"/>
        </w:rPr>
        <w:t>是</w:t>
      </w:r>
      <w:r>
        <w:rPr>
          <w:rFonts w:hint="eastAsia" w:ascii="宋体" w:hAnsi="宋体" w:eastAsia="宋体"/>
          <w:iCs w:val="0"/>
          <w:color w:val="000000"/>
          <w:szCs w:val="21"/>
          <w:lang w:eastAsia="zh-CN"/>
        </w:rPr>
        <w:t>，</w:t>
      </w:r>
      <w:r>
        <w:rPr>
          <w:rFonts w:hint="eastAsia" w:ascii="宋体" w:hAnsi="宋体"/>
          <w:iCs w:val="0"/>
          <w:color w:val="000000"/>
          <w:szCs w:val="21"/>
          <w:lang w:eastAsia="zh-CN"/>
        </w:rPr>
        <w:t>《环境标志产品政府采购品目清单》的底级品目名称：</w:t>
      </w:r>
      <w:r>
        <w:rPr>
          <w:rFonts w:hint="eastAsia" w:ascii="宋体" w:hAnsi="宋体" w:eastAsia="宋体"/>
          <w:color w:val="000000"/>
          <w:szCs w:val="21"/>
          <w:u w:val="single"/>
          <w:lang w:val="en-US" w:eastAsia="zh-CN"/>
        </w:rPr>
        <w:t xml:space="preserve">        </w:t>
      </w:r>
      <w:r>
        <w:rPr>
          <w:rFonts w:hint="eastAsia" w:ascii="宋体" w:hAnsi="宋体"/>
          <w:color w:val="000000"/>
          <w:szCs w:val="21"/>
          <w:u w:val="single"/>
          <w:lang w:val="en-US" w:eastAsia="zh-CN"/>
        </w:rPr>
        <w:t xml:space="preserve">   </w:t>
      </w:r>
      <w:r>
        <w:rPr>
          <w:rFonts w:hint="eastAsia" w:ascii="宋体" w:hAnsi="宋体"/>
          <w:iCs/>
          <w:color w:val="000000"/>
          <w:szCs w:val="21"/>
          <w:lang w:val="en-US" w:eastAsia="zh-CN"/>
        </w:rPr>
        <w:t xml:space="preserve"> </w:t>
      </w:r>
    </w:p>
    <w:p w14:paraId="2110161B">
      <w:pPr>
        <w:numPr>
          <w:ilvl w:val="0"/>
          <w:numId w:val="0"/>
        </w:numPr>
        <w:tabs>
          <w:tab w:val="left" w:pos="740"/>
        </w:tabs>
        <w:spacing w:before="0" w:line="400" w:lineRule="exact"/>
        <w:ind w:firstLine="0"/>
        <w:rPr>
          <w:rFonts w:hint="eastAsia" w:ascii="宋体" w:hAnsi="宋体"/>
          <w:iCs/>
          <w:color w:val="000000"/>
          <w:szCs w:val="21"/>
          <w:lang w:val="en-US" w:eastAsia="zh-CN"/>
        </w:rPr>
      </w:pPr>
      <w:r>
        <w:rPr>
          <w:rFonts w:hint="eastAsia" w:ascii="宋体" w:hAnsi="宋体"/>
          <w:iCs/>
          <w:color w:val="000000"/>
          <w:szCs w:val="21"/>
          <w:lang w:val="en-US" w:eastAsia="zh-CN"/>
        </w:rPr>
        <w:t xml:space="preserve">                </w:t>
      </w:r>
      <w:r>
        <w:rPr>
          <w:rFonts w:ascii="Wingdings" w:hAnsi="Wingdings" w:eastAsia="Wingdings" w:cs="Wingdings"/>
          <w:iCs/>
          <w:color w:val="000000"/>
          <w:szCs w:val="21"/>
        </w:rPr>
        <w:t>¨</w:t>
      </w:r>
      <w:r>
        <w:rPr>
          <w:rFonts w:hint="eastAsia" w:ascii="宋体" w:hAnsi="宋体"/>
          <w:iCs/>
          <w:color w:val="000000"/>
          <w:szCs w:val="21"/>
          <w:lang w:eastAsia="zh-CN"/>
        </w:rPr>
        <w:t>强制采购</w:t>
      </w:r>
      <w:r>
        <w:rPr>
          <w:rFonts w:hint="eastAsia" w:ascii="宋体" w:hAnsi="宋体"/>
          <w:iCs/>
          <w:color w:val="000000"/>
          <w:szCs w:val="21"/>
          <w:lang w:val="en-US" w:eastAsia="zh-CN"/>
        </w:rPr>
        <w:t xml:space="preserve">       </w:t>
      </w:r>
      <w:r>
        <w:rPr>
          <w:rFonts w:ascii="Wingdings" w:hAnsi="Wingdings" w:eastAsia="Wingdings" w:cs="Wingdings"/>
          <w:iCs/>
          <w:color w:val="000000"/>
          <w:szCs w:val="21"/>
        </w:rPr>
        <w:t>¨</w:t>
      </w:r>
      <w:r>
        <w:rPr>
          <w:rFonts w:hint="eastAsia" w:ascii="宋体" w:hAnsi="宋体"/>
          <w:iCs/>
          <w:color w:val="000000"/>
          <w:szCs w:val="21"/>
          <w:lang w:eastAsia="zh-CN"/>
        </w:rPr>
        <w:t>优先采购</w:t>
      </w:r>
      <w:r>
        <w:rPr>
          <w:rFonts w:hint="eastAsia" w:ascii="宋体" w:hAnsi="宋体"/>
          <w:iCs/>
          <w:color w:val="000000"/>
          <w:szCs w:val="21"/>
          <w:lang w:val="en-US" w:eastAsia="zh-CN"/>
        </w:rPr>
        <w:t xml:space="preserve">    </w:t>
      </w:r>
    </w:p>
    <w:p w14:paraId="7D582C83">
      <w:pPr>
        <w:numPr>
          <w:ilvl w:val="0"/>
          <w:numId w:val="0"/>
        </w:numPr>
        <w:tabs>
          <w:tab w:val="left" w:pos="740"/>
        </w:tabs>
        <w:spacing w:before="0" w:line="400" w:lineRule="exact"/>
        <w:ind w:firstLine="0"/>
        <w:rPr>
          <w:rFonts w:hint="eastAsia" w:ascii="宋体" w:hAnsi="宋体"/>
          <w:b w:val="0"/>
          <w:bCs w:val="0"/>
          <w:color w:val="000000"/>
          <w:sz w:val="21"/>
          <w:szCs w:val="21"/>
          <w:u w:val="none"/>
          <w:lang w:val="en-US" w:eastAsia="zh-CN"/>
        </w:rPr>
      </w:pPr>
      <w:r>
        <w:rPr>
          <w:rFonts w:hint="eastAsia" w:ascii="宋体" w:hAnsi="宋体"/>
          <w:iCs/>
          <w:color w:val="00B0F0"/>
          <w:szCs w:val="21"/>
          <w:lang w:val="en-US" w:eastAsia="zh-CN"/>
        </w:rPr>
        <w:t xml:space="preserve">       </w:t>
      </w:r>
      <w:r>
        <w:rPr>
          <w:rFonts w:hint="eastAsia" w:ascii="宋体" w:hAnsi="宋体"/>
          <w:iCs/>
          <w:color w:val="000000"/>
          <w:szCs w:val="21"/>
          <w:lang w:val="en-US" w:eastAsia="zh-CN"/>
        </w:rPr>
        <w:t xml:space="preserve">  </w:t>
      </w:r>
      <w:r>
        <w:rPr>
          <w:rFonts w:ascii="Wingdings" w:hAnsi="Wingdings" w:eastAsia="Wingdings" w:cs="Wingdings"/>
          <w:iCs w:val="0"/>
          <w:color w:val="000000"/>
          <w:szCs w:val="21"/>
        </w:rPr>
        <w:t>¨</w:t>
      </w:r>
      <w:r>
        <w:rPr>
          <w:rFonts w:hint="eastAsia" w:ascii="宋体" w:hAnsi="宋体" w:eastAsia="宋体"/>
          <w:iCs w:val="0"/>
          <w:color w:val="000000"/>
          <w:szCs w:val="21"/>
        </w:rPr>
        <w:t>否</w:t>
      </w:r>
    </w:p>
    <w:p w14:paraId="2CCAC836">
      <w:pPr>
        <w:pStyle w:val="322"/>
        <w:numPr>
          <w:ilvl w:val="0"/>
          <w:numId w:val="0"/>
        </w:numPr>
        <w:spacing w:before="0" w:line="400" w:lineRule="exact"/>
        <w:ind w:firstLine="0"/>
        <w:rPr>
          <w:rFonts w:hint="eastAsia" w:ascii="宋体" w:hAnsi="宋体" w:eastAsia="宋体" w:cs="Times New Roman"/>
          <w:iCs w:val="0"/>
          <w:color w:val="000000"/>
          <w:sz w:val="21"/>
          <w:szCs w:val="21"/>
          <w:u w:val="none"/>
          <w:lang w:val="en-US" w:eastAsia="zh-CN"/>
        </w:rPr>
      </w:pPr>
      <w:r>
        <w:rPr>
          <w:rFonts w:hint="eastAsia" w:ascii="宋体" w:hAnsi="宋体"/>
          <w:b w:val="0"/>
          <w:bCs w:val="0"/>
          <w:color w:val="000000"/>
          <w:sz w:val="21"/>
          <w:szCs w:val="21"/>
          <w:u w:val="none"/>
          <w:lang w:val="en-US" w:eastAsia="zh-CN"/>
        </w:rPr>
        <w:t xml:space="preserve">          </w:t>
      </w:r>
      <w:r>
        <w:rPr>
          <w:rFonts w:hint="eastAsia" w:ascii="宋体" w:hAnsi="宋体" w:eastAsia="宋体" w:cs="Times New Roman"/>
          <w:b w:val="0"/>
          <w:bCs w:val="0"/>
          <w:color w:val="000000"/>
          <w:sz w:val="21"/>
          <w:szCs w:val="21"/>
          <w:u w:val="none"/>
          <w:lang w:val="en-US" w:eastAsia="zh-CN"/>
        </w:rPr>
        <w:t>是否涉及绿色产品：</w:t>
      </w:r>
      <w:r>
        <w:rPr>
          <w:rFonts w:hint="eastAsia" w:ascii="宋体" w:hAnsi="宋体" w:eastAsia="宋体" w:cs="Times New Roman"/>
          <w:iCs w:val="0"/>
          <w:color w:val="000000"/>
          <w:sz w:val="21"/>
          <w:szCs w:val="21"/>
          <w:u w:val="none"/>
          <w:lang w:val="en-US" w:eastAsia="zh-CN"/>
        </w:rPr>
        <w:t xml:space="preserve"> </w:t>
      </w:r>
    </w:p>
    <w:p w14:paraId="570B386C">
      <w:pPr>
        <w:pStyle w:val="322"/>
        <w:ind w:firstLine="420"/>
        <w:rPr>
          <w:rFonts w:hint="eastAsia" w:ascii="宋体" w:hAnsi="宋体" w:eastAsia="宋体"/>
          <w:color w:val="000000"/>
          <w:szCs w:val="21"/>
          <w:u w:val="single"/>
          <w:lang w:val="en-US" w:eastAsia="zh-CN"/>
        </w:rPr>
      </w:pPr>
      <w:r>
        <w:rPr>
          <w:rFonts w:hint="eastAsia" w:ascii="宋体" w:hAnsi="宋体" w:eastAsia="宋体" w:cs="Times New Roman"/>
          <w:iCs w:val="0"/>
          <w:color w:val="000000"/>
          <w:sz w:val="21"/>
          <w:szCs w:val="21"/>
          <w:u w:val="none"/>
          <w:lang w:val="en-US" w:eastAsia="zh-CN"/>
        </w:rPr>
        <w:t xml:space="preserve">     </w:t>
      </w:r>
      <w:r>
        <w:rPr>
          <w:rFonts w:ascii="Wingdings" w:hAnsi="Wingdings" w:eastAsia="Wingdings" w:cs="Wingdings"/>
          <w:iCs w:val="0"/>
          <w:color w:val="000000"/>
          <w:sz w:val="21"/>
          <w:szCs w:val="21"/>
          <w:u w:val="none"/>
        </w:rPr>
        <w:t>¨</w:t>
      </w:r>
      <w:r>
        <w:rPr>
          <w:rFonts w:hint="eastAsia" w:ascii="宋体" w:hAnsi="宋体" w:eastAsia="宋体" w:cs="Times New Roman"/>
          <w:iCs w:val="0"/>
          <w:color w:val="000000"/>
          <w:sz w:val="21"/>
          <w:szCs w:val="21"/>
          <w:u w:val="none"/>
        </w:rPr>
        <w:t>是</w:t>
      </w:r>
      <w:r>
        <w:rPr>
          <w:rFonts w:hint="eastAsia" w:ascii="宋体" w:hAnsi="宋体" w:eastAsia="宋体" w:cs="Times New Roman"/>
          <w:iCs w:val="0"/>
          <w:color w:val="000000"/>
          <w:sz w:val="21"/>
          <w:szCs w:val="21"/>
          <w:u w:val="none"/>
          <w:lang w:eastAsia="zh-CN"/>
        </w:rPr>
        <w:t>，绿色产品政府采购相关政策确定的底级品目名称：</w:t>
      </w:r>
      <w:r>
        <w:rPr>
          <w:rFonts w:hint="eastAsia" w:ascii="宋体" w:hAnsi="宋体" w:eastAsia="宋体"/>
          <w:color w:val="000000"/>
          <w:szCs w:val="21"/>
          <w:u w:val="single"/>
          <w:lang w:val="en-US" w:eastAsia="zh-CN"/>
        </w:rPr>
        <w:t xml:space="preserve">         </w:t>
      </w:r>
    </w:p>
    <w:p w14:paraId="07608876">
      <w:pPr>
        <w:numPr>
          <w:ilvl w:val="0"/>
          <w:numId w:val="0"/>
        </w:numPr>
        <w:tabs>
          <w:tab w:val="left" w:pos="740"/>
        </w:tabs>
        <w:spacing w:before="0" w:line="400" w:lineRule="exact"/>
        <w:ind w:firstLine="0"/>
        <w:rPr>
          <w:rFonts w:hint="eastAsia" w:ascii="宋体" w:hAnsi="宋体"/>
          <w:iCs/>
          <w:color w:val="000000"/>
          <w:szCs w:val="21"/>
          <w:lang w:val="en-US" w:eastAsia="zh-CN"/>
        </w:rPr>
      </w:pPr>
      <w:r>
        <w:rPr>
          <w:rFonts w:hint="eastAsia" w:ascii="宋体" w:hAnsi="宋体"/>
          <w:iCs/>
          <w:color w:val="000000"/>
          <w:szCs w:val="21"/>
          <w:lang w:val="en-US" w:eastAsia="zh-CN"/>
        </w:rPr>
        <w:t xml:space="preserve">                </w:t>
      </w:r>
      <w:r>
        <w:rPr>
          <w:rFonts w:ascii="Wingdings" w:hAnsi="Wingdings" w:eastAsia="Wingdings" w:cs="Wingdings"/>
          <w:iCs/>
          <w:color w:val="000000"/>
          <w:szCs w:val="21"/>
        </w:rPr>
        <w:t>¨</w:t>
      </w:r>
      <w:r>
        <w:rPr>
          <w:rFonts w:hint="eastAsia" w:ascii="宋体" w:hAnsi="宋体"/>
          <w:iCs/>
          <w:color w:val="000000"/>
          <w:szCs w:val="21"/>
          <w:lang w:eastAsia="zh-CN"/>
        </w:rPr>
        <w:t>强制采购</w:t>
      </w:r>
      <w:r>
        <w:rPr>
          <w:rFonts w:hint="eastAsia" w:ascii="宋体" w:hAnsi="宋体"/>
          <w:iCs/>
          <w:color w:val="000000"/>
          <w:szCs w:val="21"/>
          <w:lang w:val="en-US" w:eastAsia="zh-CN"/>
        </w:rPr>
        <w:t xml:space="preserve">       </w:t>
      </w:r>
      <w:r>
        <w:rPr>
          <w:rFonts w:ascii="Wingdings" w:hAnsi="Wingdings" w:eastAsia="Wingdings" w:cs="Wingdings"/>
          <w:iCs/>
          <w:color w:val="000000"/>
          <w:szCs w:val="21"/>
        </w:rPr>
        <w:t>¨</w:t>
      </w:r>
      <w:r>
        <w:rPr>
          <w:rFonts w:hint="eastAsia" w:ascii="宋体" w:hAnsi="宋体"/>
          <w:iCs/>
          <w:color w:val="000000"/>
          <w:szCs w:val="21"/>
          <w:lang w:eastAsia="zh-CN"/>
        </w:rPr>
        <w:t>优先采购</w:t>
      </w:r>
      <w:r>
        <w:rPr>
          <w:rFonts w:hint="eastAsia" w:ascii="宋体" w:hAnsi="宋体"/>
          <w:iCs/>
          <w:color w:val="000000"/>
          <w:szCs w:val="21"/>
          <w:lang w:val="en-US" w:eastAsia="zh-CN"/>
        </w:rPr>
        <w:t xml:space="preserve">    </w:t>
      </w:r>
    </w:p>
    <w:p w14:paraId="5683B7F0">
      <w:pPr>
        <w:pStyle w:val="322"/>
        <w:ind w:firstLine="420"/>
        <w:rPr>
          <w:rFonts w:hint="eastAsia" w:ascii="宋体" w:hAnsi="宋体"/>
          <w:b w:val="0"/>
          <w:bCs w:val="0"/>
          <w:color w:val="000000"/>
          <w:sz w:val="21"/>
          <w:szCs w:val="21"/>
          <w:u w:val="none"/>
          <w:lang w:val="en-US" w:eastAsia="zh-CN"/>
        </w:rPr>
      </w:pPr>
      <w:r>
        <w:rPr>
          <w:rFonts w:hint="eastAsia" w:ascii="宋体" w:hAnsi="宋体" w:eastAsia="宋体" w:cs="Times New Roman"/>
          <w:iCs w:val="0"/>
          <w:color w:val="000000"/>
          <w:sz w:val="21"/>
          <w:szCs w:val="21"/>
          <w:u w:val="none"/>
          <w:lang w:val="en-US" w:eastAsia="zh-CN"/>
        </w:rPr>
        <w:t xml:space="preserve">     </w:t>
      </w:r>
      <w:r>
        <w:rPr>
          <w:rFonts w:ascii="Wingdings" w:hAnsi="Wingdings" w:eastAsia="Wingdings" w:cs="Wingdings"/>
          <w:iCs w:val="0"/>
          <w:color w:val="000000"/>
          <w:sz w:val="21"/>
          <w:szCs w:val="21"/>
          <w:u w:val="none"/>
        </w:rPr>
        <w:t>¨</w:t>
      </w:r>
      <w:r>
        <w:rPr>
          <w:rFonts w:hint="eastAsia" w:ascii="宋体" w:hAnsi="宋体" w:eastAsia="宋体" w:cs="Times New Roman"/>
          <w:iCs w:val="0"/>
          <w:color w:val="000000"/>
          <w:sz w:val="21"/>
          <w:szCs w:val="21"/>
          <w:u w:val="none"/>
        </w:rPr>
        <w:t>否</w:t>
      </w:r>
    </w:p>
    <w:p w14:paraId="2E5F0599">
      <w:pPr>
        <w:numPr>
          <w:ilvl w:val="0"/>
          <w:numId w:val="0"/>
        </w:numPr>
        <w:spacing w:before="0" w:line="400" w:lineRule="exact"/>
        <w:ind w:firstLine="0"/>
        <w:rPr>
          <w:rFonts w:hint="eastAsia" w:ascii="宋体" w:hAnsi="宋体" w:eastAsia="宋体"/>
          <w:color w:val="000000"/>
          <w:szCs w:val="21"/>
          <w:lang w:val="en-US" w:eastAsia="zh-CN"/>
        </w:rPr>
      </w:pPr>
      <w:r>
        <w:rPr>
          <w:rFonts w:hint="eastAsia" w:ascii="宋体" w:hAnsi="宋体"/>
          <w:color w:val="000000"/>
          <w:szCs w:val="21"/>
          <w:lang w:val="en-US" w:eastAsia="zh-CN"/>
        </w:rPr>
        <w:t xml:space="preserve">    （1</w:t>
      </w:r>
      <w:r>
        <w:rPr>
          <w:rFonts w:ascii="宋体" w:hAnsi="宋体"/>
          <w:color w:val="000000"/>
          <w:szCs w:val="21"/>
          <w:lang w:val="en" w:eastAsia="zh-CN"/>
        </w:rPr>
        <w:t>1</w:t>
      </w:r>
      <w:r>
        <w:rPr>
          <w:rFonts w:hint="eastAsia" w:ascii="宋体" w:hAnsi="宋体"/>
          <w:color w:val="000000"/>
          <w:szCs w:val="21"/>
          <w:lang w:val="en-US" w:eastAsia="zh-CN"/>
        </w:rPr>
        <w:t>）</w:t>
      </w:r>
      <w:r>
        <w:rPr>
          <w:rFonts w:hint="eastAsia" w:ascii="宋体" w:hAnsi="宋体" w:eastAsia="宋体"/>
          <w:color w:val="000000"/>
          <w:szCs w:val="21"/>
          <w:lang w:val="en-US" w:eastAsia="zh-CN"/>
        </w:rPr>
        <w:t>涉及商品包装和快递包装的，是否参考</w:t>
      </w:r>
      <w:r>
        <w:rPr>
          <w:rFonts w:hint="eastAsia" w:ascii="宋体" w:hAnsi="宋体"/>
          <w:color w:val="000000"/>
          <w:szCs w:val="21"/>
        </w:rPr>
        <w:t>《商品包装政府采购需求标准（试行）</w:t>
      </w:r>
      <w:r>
        <w:rPr>
          <w:rFonts w:hint="eastAsia" w:ascii="宋体" w:hAnsi="宋体"/>
          <w:color w:val="000000"/>
          <w:szCs w:val="21"/>
          <w:lang w:eastAsia="zh-CN"/>
        </w:rPr>
        <w:t>》《</w:t>
      </w:r>
      <w:r>
        <w:rPr>
          <w:rFonts w:hint="eastAsia" w:ascii="宋体" w:hAnsi="宋体"/>
          <w:color w:val="000000"/>
          <w:szCs w:val="21"/>
        </w:rPr>
        <w:t>快递包装政府采购需求标准（试行）》</w:t>
      </w:r>
      <w:r>
        <w:rPr>
          <w:rFonts w:hint="eastAsia" w:ascii="宋体" w:hAnsi="宋体" w:eastAsia="宋体"/>
          <w:color w:val="000000"/>
          <w:szCs w:val="21"/>
          <w:lang w:eastAsia="zh-CN"/>
        </w:rPr>
        <w:t>明确产品及相关快递服务的具体包装要求：</w:t>
      </w:r>
    </w:p>
    <w:p w14:paraId="03C47A73">
      <w:pPr>
        <w:numPr>
          <w:ilvl w:val="0"/>
          <w:numId w:val="0"/>
        </w:numPr>
        <w:spacing w:before="0" w:line="400" w:lineRule="exact"/>
        <w:ind w:firstLine="840"/>
        <w:rPr>
          <w:rFonts w:hint="eastAsia" w:ascii="宋体" w:hAnsi="宋体" w:eastAsia="宋体"/>
          <w:iCs w:val="0"/>
          <w:color w:val="000000"/>
          <w:szCs w:val="21"/>
        </w:rPr>
        <w:sectPr>
          <w:footerReference r:id="rId11" w:type="first"/>
          <w:headerReference r:id="rId9" w:type="default"/>
          <w:footerReference r:id="rId10" w:type="default"/>
          <w:pgSz w:w="11906" w:h="16838"/>
          <w:pgMar w:top="1304" w:right="1304" w:bottom="1304" w:left="1310" w:header="851" w:footer="907" w:gutter="0"/>
          <w:pgNumType w:start="1"/>
          <w:cols w:space="1701" w:num="1"/>
          <w:titlePg/>
          <w:docGrid w:linePitch="360" w:charSpace="0"/>
        </w:sectPr>
      </w:pPr>
    </w:p>
    <w:p w14:paraId="4CEB5078">
      <w:pPr>
        <w:numPr>
          <w:ilvl w:val="0"/>
          <w:numId w:val="0"/>
        </w:numPr>
        <w:spacing w:before="0" w:line="400" w:lineRule="exact"/>
        <w:ind w:firstLine="840"/>
        <w:rPr>
          <w:rFonts w:hint="eastAsia" w:ascii="宋体" w:hAnsi="宋体" w:eastAsia="宋体"/>
          <w:iCs w:val="0"/>
          <w:color w:val="000000"/>
          <w:szCs w:val="21"/>
          <w:lang w:val="en-US" w:eastAsia="zh-CN"/>
        </w:rPr>
      </w:pPr>
      <w:r>
        <w:rPr>
          <w:rFonts w:ascii="Wingdings" w:hAnsi="Wingdings" w:eastAsia="Wingdings" w:cs="Wingdings"/>
          <w:iCs w:val="0"/>
          <w:color w:val="000000"/>
          <w:szCs w:val="21"/>
        </w:rPr>
        <w:t>¨</w:t>
      </w:r>
      <w:r>
        <w:rPr>
          <w:rFonts w:hint="eastAsia" w:ascii="宋体" w:hAnsi="宋体" w:eastAsia="宋体"/>
          <w:iCs w:val="0"/>
          <w:color w:val="000000"/>
          <w:szCs w:val="21"/>
        </w:rPr>
        <w:t xml:space="preserve">是       </w:t>
      </w:r>
      <w:r>
        <w:rPr>
          <w:rFonts w:ascii="Wingdings" w:hAnsi="Wingdings" w:eastAsia="Wingdings" w:cs="Wingdings"/>
          <w:iCs w:val="0"/>
          <w:color w:val="000000"/>
          <w:szCs w:val="21"/>
        </w:rPr>
        <w:t>¨</w:t>
      </w:r>
      <w:r>
        <w:rPr>
          <w:rFonts w:hint="eastAsia" w:ascii="宋体" w:hAnsi="宋体" w:eastAsia="宋体"/>
          <w:iCs w:val="0"/>
          <w:color w:val="000000"/>
          <w:szCs w:val="21"/>
        </w:rPr>
        <w:t>否</w:t>
      </w:r>
      <w:r>
        <w:rPr>
          <w:rFonts w:hint="eastAsia" w:ascii="宋体" w:hAnsi="宋体" w:eastAsia="宋体"/>
          <w:iCs w:val="0"/>
          <w:color w:val="000000"/>
          <w:szCs w:val="21"/>
          <w:lang w:val="en-US" w:eastAsia="zh-CN"/>
        </w:rPr>
        <w:t xml:space="preserve">      </w:t>
      </w:r>
      <w:r>
        <w:rPr>
          <w:rFonts w:ascii="Wingdings" w:hAnsi="Wingdings" w:eastAsia="Wingdings" w:cs="Wingdings"/>
          <w:iCs w:val="0"/>
          <w:color w:val="000000"/>
          <w:szCs w:val="21"/>
        </w:rPr>
        <w:t>¨</w:t>
      </w:r>
      <w:r>
        <w:rPr>
          <w:rFonts w:hint="eastAsia" w:ascii="宋体" w:hAnsi="宋体" w:eastAsia="宋体"/>
          <w:iCs w:val="0"/>
          <w:color w:val="000000"/>
          <w:szCs w:val="21"/>
          <w:lang w:eastAsia="zh-CN"/>
        </w:rPr>
        <w:t>不涉及</w:t>
      </w:r>
    </w:p>
    <w:p w14:paraId="1B42D5D3">
      <w:pPr>
        <w:numPr>
          <w:ilvl w:val="0"/>
          <w:numId w:val="5"/>
        </w:numPr>
        <w:spacing w:before="0" w:line="400" w:lineRule="exact"/>
        <w:ind w:firstLine="422"/>
        <w:rPr>
          <w:rFonts w:ascii="宋体" w:hAnsi="宋体"/>
          <w:b/>
          <w:szCs w:val="21"/>
          <w:highlight w:val="none"/>
        </w:rPr>
      </w:pPr>
      <w:r>
        <w:rPr>
          <w:rFonts w:hint="eastAsia" w:ascii="宋体" w:hAnsi="宋体"/>
          <w:b/>
          <w:szCs w:val="21"/>
          <w:highlight w:val="none"/>
        </w:rPr>
        <w:t>合同金额</w:t>
      </w:r>
    </w:p>
    <w:p w14:paraId="5505F657">
      <w:pPr>
        <w:spacing w:before="0" w:line="400" w:lineRule="exact"/>
        <w:ind w:firstLine="420"/>
        <w:rPr>
          <w:rFonts w:ascii="宋体" w:hAnsi="宋体"/>
          <w:szCs w:val="21"/>
        </w:rPr>
      </w:pPr>
      <w:r>
        <w:rPr>
          <w:rFonts w:hint="eastAsia" w:ascii="宋体" w:hAnsi="宋体"/>
          <w:szCs w:val="21"/>
        </w:rPr>
        <w:t>（1）合同金额小写：</w:t>
      </w:r>
      <w:r>
        <w:rPr>
          <w:rFonts w:hint="eastAsia" w:ascii="宋体" w:hAnsi="宋体"/>
          <w:szCs w:val="21"/>
          <w:u w:val="single"/>
        </w:rPr>
        <w:t xml:space="preserve">                 </w:t>
      </w:r>
      <w:r>
        <w:rPr>
          <w:rFonts w:hint="eastAsia" w:ascii="宋体" w:hAnsi="宋体"/>
          <w:szCs w:val="21"/>
          <w:u w:val="single"/>
          <w:lang w:val="en-US" w:eastAsia="zh-CN"/>
        </w:rPr>
        <w:t xml:space="preserve">    </w:t>
      </w:r>
      <w:r>
        <w:rPr>
          <w:rFonts w:hint="eastAsia" w:ascii="宋体" w:hAnsi="宋体"/>
          <w:szCs w:val="21"/>
          <w:u w:val="single"/>
        </w:rPr>
        <w:t xml:space="preserve">      </w:t>
      </w:r>
    </w:p>
    <w:p w14:paraId="615754D3">
      <w:pPr>
        <w:spacing w:before="0" w:line="400" w:lineRule="exact"/>
        <w:ind w:left="0" w:firstLine="0"/>
        <w:rPr>
          <w:rFonts w:hint="eastAsia" w:ascii="宋体" w:hAnsi="宋体"/>
          <w:szCs w:val="21"/>
          <w:lang w:val="en-US" w:eastAsia="zh-CN"/>
        </w:rPr>
      </w:pPr>
      <w:r>
        <w:rPr>
          <w:rFonts w:hint="eastAsia" w:ascii="宋体" w:hAnsi="宋体"/>
          <w:szCs w:val="21"/>
          <w:lang w:val="en-US" w:eastAsia="zh-CN"/>
        </w:rPr>
        <w:t xml:space="preserve">                 </w:t>
      </w:r>
      <w:r>
        <w:rPr>
          <w:rFonts w:hint="eastAsia" w:ascii="宋体" w:hAnsi="宋体"/>
          <w:szCs w:val="21"/>
        </w:rPr>
        <w:t>大写：</w:t>
      </w:r>
      <w:r>
        <w:rPr>
          <w:rFonts w:hint="eastAsia" w:ascii="宋体" w:hAnsi="宋体"/>
          <w:szCs w:val="21"/>
          <w:u w:val="single"/>
        </w:rPr>
        <w:t xml:space="preserve">           </w:t>
      </w:r>
      <w:r>
        <w:rPr>
          <w:rFonts w:hint="eastAsia" w:ascii="宋体" w:hAnsi="宋体"/>
          <w:szCs w:val="21"/>
          <w:u w:val="single"/>
          <w:lang w:val="en-US" w:eastAsia="zh-CN"/>
        </w:rPr>
        <w:t xml:space="preserve"> </w:t>
      </w:r>
      <w:r>
        <w:rPr>
          <w:rFonts w:hint="eastAsia" w:ascii="宋体" w:hAnsi="宋体"/>
          <w:szCs w:val="21"/>
          <w:u w:val="single"/>
        </w:rPr>
        <w:t xml:space="preserve">     </w:t>
      </w:r>
      <w:r>
        <w:rPr>
          <w:rFonts w:hint="eastAsia" w:ascii="宋体" w:hAnsi="宋体"/>
          <w:szCs w:val="21"/>
          <w:u w:val="single"/>
          <w:lang w:val="en-US" w:eastAsia="zh-CN"/>
        </w:rPr>
        <w:t xml:space="preserve">    </w:t>
      </w:r>
      <w:r>
        <w:rPr>
          <w:rFonts w:hint="eastAsia" w:ascii="宋体" w:hAnsi="宋体"/>
          <w:szCs w:val="21"/>
          <w:u w:val="single"/>
        </w:rPr>
        <w:t xml:space="preserve">      </w:t>
      </w:r>
    </w:p>
    <w:p w14:paraId="14CA6F86">
      <w:pPr>
        <w:numPr>
          <w:ilvl w:val="0"/>
          <w:numId w:val="0"/>
        </w:numPr>
        <w:spacing w:before="0" w:line="400" w:lineRule="exact"/>
        <w:ind w:firstLine="0"/>
        <w:rPr>
          <w:rFonts w:hint="eastAsia" w:ascii="宋体" w:hAnsi="宋体"/>
          <w:szCs w:val="21"/>
        </w:rPr>
      </w:pPr>
      <w:r>
        <w:rPr>
          <w:rFonts w:hint="eastAsia" w:ascii="宋体" w:hAnsi="宋体"/>
          <w:szCs w:val="21"/>
          <w:lang w:val="en-US" w:eastAsia="zh-CN"/>
        </w:rPr>
        <w:t xml:space="preserve">    </w:t>
      </w:r>
      <w:r>
        <w:rPr>
          <w:rFonts w:hint="eastAsia" w:ascii="宋体" w:hAnsi="宋体"/>
          <w:szCs w:val="21"/>
          <w:lang w:eastAsia="zh-CN"/>
        </w:rPr>
        <w:t>（</w:t>
      </w:r>
      <w:r>
        <w:rPr>
          <w:rFonts w:hint="eastAsia" w:ascii="宋体" w:hAnsi="宋体"/>
          <w:szCs w:val="21"/>
          <w:lang w:val="en-US" w:eastAsia="zh-CN"/>
        </w:rPr>
        <w:t>2</w:t>
      </w:r>
      <w:r>
        <w:rPr>
          <w:rFonts w:hint="eastAsia" w:ascii="宋体" w:hAnsi="宋体"/>
          <w:szCs w:val="21"/>
          <w:lang w:eastAsia="zh-CN"/>
        </w:rPr>
        <w:t>）</w:t>
      </w:r>
      <w:r>
        <w:rPr>
          <w:rFonts w:hint="eastAsia" w:ascii="宋体" w:hAnsi="宋体"/>
          <w:szCs w:val="21"/>
        </w:rPr>
        <w:t>合同定价方式</w:t>
      </w:r>
      <w:r>
        <w:rPr>
          <w:rFonts w:hint="eastAsia" w:ascii="宋体" w:hAnsi="宋体"/>
          <w:szCs w:val="21"/>
          <w:lang w:eastAsia="zh-CN"/>
        </w:rPr>
        <w:t>（采用组合定价方式的，可以勾选多项）</w:t>
      </w:r>
      <w:r>
        <w:rPr>
          <w:rFonts w:hint="eastAsia" w:ascii="宋体" w:hAnsi="宋体"/>
          <w:szCs w:val="21"/>
        </w:rPr>
        <w:t>：</w:t>
      </w:r>
    </w:p>
    <w:p w14:paraId="67921B8D">
      <w:pPr>
        <w:spacing w:before="0" w:line="400" w:lineRule="exact"/>
        <w:ind w:firstLine="420"/>
        <w:rPr>
          <w:rFonts w:hint="eastAsia" w:ascii="宋体" w:hAnsi="宋体" w:eastAsia="宋体"/>
          <w:color w:val="000000"/>
          <w:szCs w:val="21"/>
          <w:lang w:eastAsia="zh-CN"/>
        </w:rPr>
      </w:pPr>
      <w:r>
        <w:rPr>
          <w:rFonts w:hint="eastAsia" w:ascii="宋体" w:hAnsi="宋体"/>
          <w:iCs/>
          <w:color w:val="FF0000"/>
          <w:szCs w:val="21"/>
          <w:lang w:val="en-US" w:eastAsia="zh-CN"/>
        </w:rPr>
        <w:t xml:space="preserve"> </w:t>
      </w:r>
      <w:r>
        <w:rPr>
          <w:rFonts w:hint="eastAsia" w:ascii="宋体" w:hAnsi="宋体"/>
          <w:iCs/>
          <w:color w:val="000000"/>
          <w:szCs w:val="21"/>
          <w:lang w:val="en-US" w:eastAsia="zh-CN"/>
        </w:rPr>
        <w:t xml:space="preserve"> </w:t>
      </w:r>
      <w:r>
        <w:rPr>
          <w:rFonts w:ascii="Wingdings" w:hAnsi="Wingdings" w:eastAsia="Wingdings" w:cs="Wingdings"/>
          <w:iCs/>
          <w:color w:val="000000"/>
          <w:szCs w:val="21"/>
        </w:rPr>
        <w:sym w:font="Wingdings" w:char="00FE"/>
      </w:r>
      <w:r>
        <w:rPr>
          <w:rFonts w:hint="eastAsia" w:ascii="宋体" w:hAnsi="宋体"/>
          <w:iCs/>
          <w:color w:val="000000"/>
          <w:szCs w:val="21"/>
        </w:rPr>
        <w:t xml:space="preserve">固定总价 </w:t>
      </w:r>
      <w:r>
        <w:rPr>
          <w:rFonts w:ascii="Wingdings" w:hAnsi="Wingdings" w:eastAsia="Wingdings" w:cs="Wingdings"/>
          <w:iCs/>
          <w:color w:val="000000"/>
          <w:szCs w:val="21"/>
        </w:rPr>
        <w:sym w:font="Wingdings" w:char="00A8"/>
      </w:r>
      <w:r>
        <w:rPr>
          <w:rFonts w:hint="eastAsia" w:ascii="宋体" w:hAnsi="宋体"/>
          <w:iCs/>
          <w:color w:val="000000"/>
          <w:szCs w:val="21"/>
        </w:rPr>
        <w:t>固定单价</w:t>
      </w:r>
      <w:r>
        <w:rPr>
          <w:rFonts w:hint="eastAsia" w:ascii="宋体" w:hAnsi="宋体"/>
          <w:iCs/>
          <w:color w:val="000000"/>
          <w:szCs w:val="21"/>
          <w:lang w:val="en-US" w:eastAsia="zh-CN"/>
        </w:rPr>
        <w:t xml:space="preserve"> </w:t>
      </w:r>
      <w:r>
        <w:rPr>
          <w:rFonts w:ascii="Wingdings" w:hAnsi="Wingdings" w:eastAsia="Wingdings" w:cs="Wingdings"/>
          <w:iCs/>
          <w:color w:val="000000"/>
          <w:szCs w:val="21"/>
        </w:rPr>
        <w:t>¨</w:t>
      </w:r>
      <w:r>
        <w:rPr>
          <w:rFonts w:hint="eastAsia" w:ascii="宋体" w:hAnsi="宋体"/>
          <w:iCs/>
          <w:color w:val="000000"/>
          <w:szCs w:val="21"/>
          <w:lang w:eastAsia="zh-CN"/>
        </w:rPr>
        <w:t>固定费率</w:t>
      </w:r>
      <w:r>
        <w:rPr>
          <w:rFonts w:hint="eastAsia" w:ascii="宋体" w:hAnsi="宋体"/>
          <w:iCs/>
          <w:color w:val="000000"/>
          <w:szCs w:val="21"/>
        </w:rPr>
        <w:t xml:space="preserve"> </w:t>
      </w:r>
      <w:r>
        <w:rPr>
          <w:rFonts w:ascii="Wingdings" w:hAnsi="Wingdings" w:eastAsia="Wingdings" w:cs="Wingdings"/>
          <w:iCs/>
          <w:color w:val="000000"/>
          <w:szCs w:val="21"/>
        </w:rPr>
        <w:t>¨</w:t>
      </w:r>
      <w:r>
        <w:rPr>
          <w:rFonts w:hint="eastAsia" w:ascii="宋体" w:hAnsi="宋体"/>
          <w:iCs/>
          <w:color w:val="000000"/>
          <w:szCs w:val="21"/>
        </w:rPr>
        <w:t xml:space="preserve">成本补偿 </w:t>
      </w:r>
      <w:r>
        <w:rPr>
          <w:rFonts w:ascii="Wingdings" w:hAnsi="Wingdings" w:eastAsia="Wingdings" w:cs="Wingdings"/>
          <w:iCs/>
          <w:color w:val="000000"/>
          <w:szCs w:val="21"/>
        </w:rPr>
        <w:t>¨</w:t>
      </w:r>
      <w:r>
        <w:rPr>
          <w:rFonts w:hint="eastAsia" w:ascii="宋体" w:hAnsi="宋体"/>
          <w:iCs/>
          <w:color w:val="000000"/>
          <w:szCs w:val="21"/>
        </w:rPr>
        <w:t>绩效激励</w:t>
      </w:r>
      <w:r>
        <w:rPr>
          <w:rFonts w:hint="eastAsia" w:ascii="宋体" w:hAnsi="宋体"/>
          <w:iCs/>
          <w:color w:val="000000"/>
          <w:szCs w:val="21"/>
          <w:lang w:val="en-US" w:eastAsia="zh-CN"/>
        </w:rPr>
        <w:t xml:space="preserve"> </w:t>
      </w:r>
      <w:r>
        <w:rPr>
          <w:rFonts w:ascii="Wingdings" w:hAnsi="Wingdings" w:eastAsia="Wingdings" w:cs="Wingdings"/>
          <w:iCs/>
          <w:color w:val="000000"/>
          <w:szCs w:val="21"/>
        </w:rPr>
        <w:t>¨</w:t>
      </w:r>
      <w:r>
        <w:rPr>
          <w:rFonts w:hint="eastAsia" w:ascii="宋体" w:hAnsi="宋体"/>
          <w:iCs/>
          <w:color w:val="000000"/>
          <w:szCs w:val="21"/>
          <w:lang w:eastAsia="zh-CN"/>
        </w:rPr>
        <w:t>其他</w:t>
      </w:r>
      <w:r>
        <w:rPr>
          <w:rFonts w:hint="eastAsia" w:ascii="宋体" w:hAnsi="宋体"/>
          <w:color w:val="000000"/>
          <w:szCs w:val="21"/>
          <w:u w:val="single"/>
        </w:rPr>
        <w:t xml:space="preserve">       </w:t>
      </w:r>
    </w:p>
    <w:p w14:paraId="20CC4E30">
      <w:pPr>
        <w:pStyle w:val="281"/>
        <w:spacing w:line="400" w:lineRule="exact"/>
        <w:ind w:left="0" w:firstLine="480"/>
      </w:pPr>
      <w:r>
        <w:rPr>
          <w:rFonts w:hint="eastAsia" w:ascii="宋体" w:hAnsi="宋体"/>
          <w:sz w:val="21"/>
          <w:szCs w:val="21"/>
        </w:rPr>
        <w:t>（</w:t>
      </w:r>
      <w:r>
        <w:rPr>
          <w:rFonts w:hint="eastAsia" w:ascii="宋体" w:hAnsi="宋体"/>
          <w:sz w:val="21"/>
          <w:szCs w:val="21"/>
          <w:lang w:val="en-US" w:eastAsia="zh-CN"/>
        </w:rPr>
        <w:t>3</w:t>
      </w:r>
      <w:r>
        <w:rPr>
          <w:rFonts w:hint="eastAsia" w:ascii="宋体" w:hAnsi="宋体"/>
          <w:sz w:val="21"/>
          <w:szCs w:val="21"/>
        </w:rPr>
        <w:t>）付款方式（按项目实际勾选填写）：</w:t>
      </w:r>
    </w:p>
    <w:p w14:paraId="25424D72">
      <w:pPr>
        <w:spacing w:before="0" w:line="400" w:lineRule="exact"/>
        <w:ind w:firstLine="630"/>
        <w:rPr>
          <w:rFonts w:ascii="宋体" w:hAnsi="宋体"/>
          <w:szCs w:val="21"/>
          <w:u w:val="single"/>
        </w:rPr>
      </w:pPr>
      <w:r>
        <w:rPr>
          <w:rFonts w:ascii="Wingdings" w:hAnsi="Wingdings" w:eastAsia="Wingdings" w:cs="Wingdings"/>
          <w:szCs w:val="21"/>
        </w:rPr>
        <w:t>¨</w:t>
      </w:r>
      <w:r>
        <w:rPr>
          <w:rFonts w:hint="eastAsia" w:ascii="宋体" w:hAnsi="宋体"/>
          <w:szCs w:val="21"/>
        </w:rPr>
        <w:t>全额付款：</w:t>
      </w:r>
      <w:r>
        <w:rPr>
          <w:rFonts w:hint="eastAsia" w:ascii="宋体" w:hAnsi="宋体"/>
          <w:szCs w:val="21"/>
          <w:u w:val="single"/>
        </w:rPr>
        <w:t xml:space="preserve">                       </w:t>
      </w:r>
    </w:p>
    <w:p w14:paraId="1D6036C9">
      <w:pPr>
        <w:pStyle w:val="248"/>
        <w:keepNext w:val="0"/>
        <w:keepLines w:val="0"/>
        <w:pageBreakBefore w:val="0"/>
        <w:widowControl/>
        <w:spacing w:before="0" w:beforeAutospacing="0" w:after="0" w:afterAutospacing="0" w:line="440" w:lineRule="exact"/>
        <w:ind w:firstLine="480"/>
        <w:jc w:val="both"/>
        <w:rPr>
          <w:rFonts w:hint="eastAsia" w:ascii="宋体" w:hAnsi="宋体"/>
          <w:color w:val="000000"/>
          <w:sz w:val="21"/>
          <w:szCs w:val="18"/>
        </w:rPr>
      </w:pPr>
      <w:r>
        <w:rPr>
          <w:rFonts w:ascii="Wingdings" w:hAnsi="Wingdings" w:eastAsia="Wingdings" w:cs="Wingdings"/>
          <w:color w:val="000000"/>
          <w:sz w:val="21"/>
          <w:szCs w:val="18"/>
        </w:rPr>
        <w:t>þ</w:t>
      </w:r>
      <w:r>
        <w:rPr>
          <w:rFonts w:hint="eastAsia" w:ascii="宋体" w:hAnsi="宋体"/>
          <w:color w:val="000000"/>
          <w:sz w:val="21"/>
          <w:szCs w:val="18"/>
        </w:rPr>
        <w:t>分期付款：</w:t>
      </w:r>
    </w:p>
    <w:p w14:paraId="0DE28722">
      <w:pPr>
        <w:pStyle w:val="248"/>
        <w:keepNext w:val="0"/>
        <w:keepLines w:val="0"/>
        <w:pageBreakBefore w:val="0"/>
        <w:widowControl/>
        <w:spacing w:before="0" w:beforeAutospacing="0" w:after="0" w:afterAutospacing="0" w:line="440" w:lineRule="exact"/>
        <w:ind w:firstLine="420"/>
        <w:jc w:val="both"/>
        <w:rPr>
          <w:color w:val="000000"/>
          <w:sz w:val="21"/>
          <w:szCs w:val="21"/>
        </w:rPr>
      </w:pPr>
      <w:r>
        <w:rPr>
          <w:rFonts w:hint="eastAsia" w:ascii="宋体" w:hAnsi="宋体" w:eastAsia="宋体" w:cs="宋体"/>
          <w:color w:val="000000"/>
          <w:sz w:val="21"/>
          <w:szCs w:val="21"/>
        </w:rPr>
        <w:t>预付款支付时间：</w:t>
      </w:r>
      <w:r>
        <w:rPr>
          <w:rFonts w:hint="eastAsia" w:ascii="宋体" w:hAnsi="宋体" w:eastAsia="宋体" w:cs="Times New Roman"/>
          <w:color w:val="000000"/>
          <w:sz w:val="21"/>
          <w:szCs w:val="21"/>
          <w:u w:val="single"/>
          <w:lang w:val="en-US" w:eastAsia="zh-CN"/>
        </w:rPr>
        <w:t>合同签订后，采购人在收到预付款发票后10</w:t>
      </w:r>
      <w:r>
        <w:rPr>
          <w:rFonts w:hint="eastAsia" w:ascii="宋体" w:hAnsi="宋体" w:eastAsia="宋体" w:cs="宋体"/>
          <w:color w:val="000000"/>
          <w:sz w:val="21"/>
          <w:szCs w:val="21"/>
          <w:u w:val="single"/>
          <w:lang w:val="en-US" w:eastAsia="zh-CN"/>
        </w:rPr>
        <w:t>个工作日内</w:t>
      </w:r>
      <w:r>
        <w:rPr>
          <w:rFonts w:hint="eastAsia" w:ascii="宋体" w:hAnsi="宋体" w:eastAsia="宋体" w:cs="宋体"/>
          <w:color w:val="000000"/>
          <w:sz w:val="21"/>
          <w:szCs w:val="21"/>
          <w:u w:val="single"/>
        </w:rPr>
        <w:t>，预付款支付比例：合同金额的</w:t>
      </w:r>
      <w:r>
        <w:rPr>
          <w:rFonts w:hint="eastAsia" w:cs="宋体"/>
          <w:color w:val="000000"/>
          <w:sz w:val="21"/>
          <w:szCs w:val="21"/>
          <w:u w:val="single"/>
          <w:lang w:val="en-US" w:eastAsia="zh-CN"/>
        </w:rPr>
        <w:t>30</w:t>
      </w:r>
      <w:r>
        <w:rPr>
          <w:rFonts w:hint="eastAsia" w:ascii="宋体" w:hAnsi="宋体" w:eastAsia="宋体" w:cs="宋体"/>
          <w:color w:val="000000"/>
          <w:sz w:val="21"/>
          <w:szCs w:val="21"/>
          <w:u w:val="single"/>
        </w:rPr>
        <w:t>%</w:t>
      </w:r>
      <w:r>
        <w:rPr>
          <w:rFonts w:hint="eastAsia" w:ascii="宋体" w:hAnsi="宋体" w:eastAsia="宋体" w:cs="宋体"/>
          <w:color w:val="000000"/>
          <w:sz w:val="21"/>
          <w:szCs w:val="21"/>
        </w:rPr>
        <w:t>。</w:t>
      </w:r>
    </w:p>
    <w:p w14:paraId="52F99630">
      <w:pPr>
        <w:keepNext w:val="0"/>
        <w:keepLines w:val="0"/>
        <w:pageBreakBefore w:val="0"/>
        <w:widowControl w:val="0"/>
        <w:spacing w:line="440" w:lineRule="exact"/>
        <w:ind w:firstLine="420"/>
        <w:rPr>
          <w:rFonts w:hint="eastAsia" w:ascii="宋体" w:hAnsi="宋体" w:eastAsia="宋体" w:cs="宋体"/>
          <w:color w:val="000000"/>
          <w:sz w:val="21"/>
          <w:szCs w:val="21"/>
          <w:highlight w:val="none"/>
          <w:u w:val="single"/>
          <w:lang w:val="en-US" w:eastAsia="zh-CN"/>
        </w:rPr>
      </w:pPr>
      <w:r>
        <w:rPr>
          <w:rFonts w:hint="eastAsia" w:ascii="宋体" w:hAnsi="宋体"/>
          <w:color w:val="000000"/>
          <w:sz w:val="21"/>
          <w:szCs w:val="21"/>
          <w:highlight w:val="none"/>
          <w:u w:val="single"/>
          <w:lang w:eastAsia="zh-CN"/>
        </w:rPr>
        <w:t>自车辆验车上牌合格并试用15天后，采购人组织相关部门进行验收，所有设备验收合格后，</w:t>
      </w:r>
      <w:r>
        <w:rPr>
          <w:rFonts w:hint="eastAsia" w:ascii="宋体" w:hAnsi="宋体" w:eastAsia="宋体" w:cs="宋体"/>
          <w:color w:val="000000"/>
          <w:sz w:val="21"/>
          <w:szCs w:val="21"/>
          <w:highlight w:val="none"/>
          <w:u w:val="single"/>
          <w:lang w:val="en-US" w:eastAsia="zh-CN"/>
        </w:rPr>
        <w:t>采购人在收到付款发票后10个工作日内，付至</w:t>
      </w:r>
      <w:r>
        <w:rPr>
          <w:rFonts w:hint="eastAsia" w:cs="宋体"/>
          <w:color w:val="000000"/>
          <w:sz w:val="21"/>
          <w:szCs w:val="21"/>
          <w:highlight w:val="none"/>
          <w:u w:val="single"/>
          <w:lang w:val="en-US" w:eastAsia="zh-CN"/>
        </w:rPr>
        <w:t>实际结算价</w:t>
      </w:r>
      <w:r>
        <w:rPr>
          <w:rFonts w:hint="eastAsia" w:ascii="宋体" w:hAnsi="宋体" w:eastAsia="宋体" w:cs="宋体"/>
          <w:color w:val="000000"/>
          <w:sz w:val="21"/>
          <w:szCs w:val="21"/>
          <w:highlight w:val="none"/>
          <w:u w:val="single"/>
          <w:lang w:val="en-US" w:eastAsia="zh-CN"/>
        </w:rPr>
        <w:t>的95%；</w:t>
      </w:r>
    </w:p>
    <w:p w14:paraId="77355355">
      <w:pPr>
        <w:pStyle w:val="248"/>
        <w:keepNext w:val="0"/>
        <w:keepLines w:val="0"/>
        <w:pageBreakBefore w:val="0"/>
        <w:widowControl/>
        <w:spacing w:before="0" w:beforeAutospacing="0" w:after="0" w:afterAutospacing="0" w:line="440" w:lineRule="exact"/>
        <w:ind w:firstLine="420"/>
        <w:jc w:val="both"/>
        <w:rPr>
          <w:rFonts w:hint="eastAsia" w:ascii="宋体" w:hAnsi="宋体" w:eastAsia="宋体" w:cs="宋体"/>
          <w:color w:val="000000"/>
          <w:sz w:val="21"/>
          <w:szCs w:val="21"/>
          <w:u w:val="single"/>
          <w:lang w:eastAsia="zh-CN"/>
        </w:rPr>
      </w:pPr>
      <w:r>
        <w:rPr>
          <w:rFonts w:hint="eastAsia" w:ascii="宋体" w:hAnsi="宋体"/>
          <w:color w:val="000000"/>
          <w:sz w:val="21"/>
          <w:szCs w:val="21"/>
          <w:highlight w:val="none"/>
          <w:u w:val="single"/>
          <w:lang w:eastAsia="zh-CN"/>
        </w:rPr>
        <w:t>验收合格满两年后，且设备无主要质量问题的前提下，</w:t>
      </w:r>
      <w:r>
        <w:rPr>
          <w:rFonts w:hint="eastAsia" w:ascii="宋体" w:hAnsi="宋体" w:eastAsia="宋体" w:cs="宋体"/>
          <w:color w:val="000000"/>
          <w:sz w:val="21"/>
          <w:szCs w:val="21"/>
          <w:highlight w:val="none"/>
          <w:u w:val="single"/>
          <w:lang w:val="en-US" w:eastAsia="zh-CN"/>
        </w:rPr>
        <w:t>采购人在收到付款发票后10个工作日内，</w:t>
      </w:r>
      <w:r>
        <w:rPr>
          <w:rFonts w:hint="eastAsia" w:ascii="宋体" w:hAnsi="宋体"/>
          <w:color w:val="000000"/>
          <w:sz w:val="21"/>
          <w:szCs w:val="21"/>
          <w:highlight w:val="none"/>
          <w:u w:val="single"/>
          <w:lang w:val="en-US" w:eastAsia="zh-CN"/>
        </w:rPr>
        <w:t>付清余款。</w:t>
      </w:r>
    </w:p>
    <w:p w14:paraId="4973B14E">
      <w:pPr>
        <w:keepNext w:val="0"/>
        <w:keepLines w:val="0"/>
        <w:pageBreakBefore w:val="0"/>
        <w:widowControl w:val="0"/>
        <w:spacing w:line="440" w:lineRule="exact"/>
        <w:ind w:firstLine="417"/>
        <w:rPr>
          <w:rFonts w:hint="eastAsia" w:ascii="宋体" w:hAnsi="宋体" w:eastAsia="宋体" w:cs="Times New Roman"/>
          <w:sz w:val="21"/>
          <w:szCs w:val="21"/>
        </w:rPr>
      </w:pPr>
      <w:r>
        <w:rPr>
          <w:rFonts w:hint="eastAsia" w:ascii="宋体" w:hAnsi="宋体" w:cs="宋体"/>
          <w:color w:val="000000"/>
          <w:sz w:val="21"/>
          <w:szCs w:val="21"/>
          <w:highlight w:val="none"/>
          <w:u w:val="single"/>
          <w:lang w:val="en-US" w:eastAsia="zh-CN"/>
        </w:rPr>
        <w:t>注：在签订合同时，中标人明确表示无需预付款或者主动要求降低预付款比例的，采购人可不适用前述预付款规定。</w:t>
      </w:r>
    </w:p>
    <w:p w14:paraId="322B7197">
      <w:pPr>
        <w:keepNext w:val="0"/>
        <w:keepLines w:val="0"/>
        <w:pageBreakBefore w:val="0"/>
        <w:widowControl w:val="0"/>
        <w:spacing w:line="440" w:lineRule="exact"/>
        <w:ind w:firstLine="420"/>
        <w:rPr>
          <w:rFonts w:hint="eastAsia" w:ascii="宋体" w:hAnsi="宋体"/>
          <w:szCs w:val="21"/>
          <w:u w:val="single"/>
        </w:rPr>
      </w:pPr>
      <w:r>
        <w:rPr>
          <w:rFonts w:ascii="Wingdings" w:hAnsi="Wingdings" w:eastAsia="Wingdings" w:cs="Wingdings"/>
          <w:szCs w:val="21"/>
        </w:rPr>
        <w:t>¨</w:t>
      </w:r>
      <w:r>
        <w:rPr>
          <w:rFonts w:hint="eastAsia" w:ascii="宋体" w:hAnsi="宋体"/>
          <w:szCs w:val="21"/>
        </w:rPr>
        <w:t>成本补偿：</w:t>
      </w:r>
      <w:r>
        <w:rPr>
          <w:rFonts w:hint="eastAsia" w:ascii="宋体" w:hAnsi="宋体"/>
          <w:szCs w:val="21"/>
          <w:u w:val="single"/>
        </w:rPr>
        <w:t xml:space="preserve">      （应明确按照成本补偿方式的支付方式和支付条件）   </w:t>
      </w:r>
    </w:p>
    <w:p w14:paraId="31280F04">
      <w:pPr>
        <w:keepNext w:val="0"/>
        <w:keepLines w:val="0"/>
        <w:pageBreakBefore w:val="0"/>
        <w:widowControl w:val="0"/>
        <w:spacing w:line="440" w:lineRule="exact"/>
        <w:ind w:firstLine="420"/>
        <w:rPr>
          <w:rFonts w:ascii="宋体" w:hAnsi="宋体"/>
          <w:szCs w:val="21"/>
        </w:rPr>
      </w:pPr>
      <w:r>
        <w:rPr>
          <w:rFonts w:ascii="Wingdings" w:hAnsi="Wingdings" w:eastAsia="Wingdings" w:cs="Wingdings"/>
          <w:szCs w:val="21"/>
        </w:rPr>
        <w:sym w:font="Wingdings" w:char="00A8"/>
      </w:r>
      <w:r>
        <w:rPr>
          <w:rFonts w:hint="eastAsia" w:ascii="宋体" w:hAnsi="宋体"/>
          <w:szCs w:val="21"/>
        </w:rPr>
        <w:t>绩效激励：</w:t>
      </w:r>
      <w:r>
        <w:rPr>
          <w:rFonts w:hint="eastAsia" w:ascii="宋体" w:hAnsi="宋体"/>
          <w:szCs w:val="21"/>
          <w:u w:val="single"/>
        </w:rPr>
        <w:t xml:space="preserve">      （应明确按照绩效激励方式的支付方式和支付条件）   </w:t>
      </w:r>
    </w:p>
    <w:p w14:paraId="76B0E29B">
      <w:pPr>
        <w:numPr>
          <w:ilvl w:val="0"/>
          <w:numId w:val="5"/>
        </w:numPr>
        <w:spacing w:before="0" w:line="400" w:lineRule="exact"/>
        <w:ind w:left="0" w:leftChars="0" w:firstLine="422" w:firstLineChars="0"/>
        <w:rPr>
          <w:rFonts w:hint="eastAsia" w:ascii="宋体" w:hAnsi="宋体"/>
          <w:b/>
          <w:bCs w:val="0"/>
          <w:szCs w:val="21"/>
        </w:rPr>
      </w:pPr>
      <w:r>
        <w:rPr>
          <w:rFonts w:hint="eastAsia" w:ascii="宋体" w:hAnsi="宋体"/>
          <w:b/>
          <w:bCs w:val="0"/>
          <w:szCs w:val="21"/>
        </w:rPr>
        <w:t>合同履行</w:t>
      </w:r>
    </w:p>
    <w:p w14:paraId="08CBEC61">
      <w:pPr>
        <w:numPr>
          <w:ilvl w:val="0"/>
          <w:numId w:val="0"/>
        </w:numPr>
        <w:spacing w:before="0" w:line="400" w:lineRule="exact"/>
        <w:ind w:left="422" w:leftChars="0"/>
        <w:rPr>
          <w:rFonts w:hint="eastAsia" w:ascii="宋体" w:hAnsi="宋体" w:cs="宋体"/>
          <w:szCs w:val="21"/>
        </w:rPr>
      </w:pPr>
      <w:r>
        <w:rPr>
          <w:rFonts w:hint="eastAsia" w:ascii="宋体" w:hAnsi="宋体" w:cs="宋体"/>
          <w:szCs w:val="21"/>
        </w:rPr>
        <w:t>（1）起始日期：</w:t>
      </w:r>
      <w:r>
        <w:rPr>
          <w:rFonts w:hint="eastAsia" w:ascii="宋体" w:hAnsi="宋体" w:cs="宋体"/>
          <w:szCs w:val="21"/>
          <w:u w:val="single"/>
          <w:lang w:val="en-US" w:eastAsia="zh-CN"/>
        </w:rPr>
        <w:t xml:space="preserve">    </w:t>
      </w:r>
      <w:r>
        <w:rPr>
          <w:rFonts w:hint="eastAsia" w:ascii="宋体" w:hAnsi="宋体" w:cs="宋体"/>
          <w:szCs w:val="21"/>
        </w:rPr>
        <w:t>年</w:t>
      </w:r>
      <w:r>
        <w:rPr>
          <w:rFonts w:hint="eastAsia" w:ascii="宋体" w:hAnsi="宋体" w:cs="宋体"/>
          <w:szCs w:val="21"/>
          <w:u w:val="single"/>
        </w:rPr>
        <w:t xml:space="preserve">   </w:t>
      </w:r>
      <w:r>
        <w:rPr>
          <w:rFonts w:hint="eastAsia" w:ascii="宋体" w:hAnsi="宋体" w:cs="宋体"/>
          <w:szCs w:val="21"/>
        </w:rPr>
        <w:t>月</w:t>
      </w:r>
      <w:r>
        <w:rPr>
          <w:rFonts w:hint="eastAsia" w:ascii="宋体" w:hAnsi="宋体" w:cs="宋体"/>
          <w:szCs w:val="21"/>
          <w:u w:val="single"/>
        </w:rPr>
        <w:t xml:space="preserve">   </w:t>
      </w:r>
      <w:r>
        <w:rPr>
          <w:rFonts w:hint="eastAsia" w:ascii="宋体" w:hAnsi="宋体" w:cs="宋体"/>
          <w:szCs w:val="21"/>
        </w:rPr>
        <w:t>日，完成日期：</w:t>
      </w:r>
      <w:r>
        <w:rPr>
          <w:rFonts w:hint="eastAsia" w:ascii="宋体" w:hAnsi="宋体" w:cs="宋体"/>
          <w:szCs w:val="21"/>
          <w:u w:val="single"/>
          <w:lang w:val="en-US" w:eastAsia="zh-CN"/>
        </w:rPr>
        <w:t xml:space="preserve">     </w:t>
      </w:r>
      <w:r>
        <w:rPr>
          <w:rFonts w:hint="eastAsia" w:ascii="宋体" w:hAnsi="宋体" w:cs="宋体"/>
          <w:szCs w:val="21"/>
        </w:rPr>
        <w:t>年</w:t>
      </w:r>
      <w:r>
        <w:rPr>
          <w:rFonts w:hint="eastAsia" w:ascii="宋体" w:hAnsi="宋体" w:cs="宋体"/>
          <w:szCs w:val="21"/>
          <w:u w:val="single"/>
        </w:rPr>
        <w:t xml:space="preserve">   </w:t>
      </w:r>
      <w:r>
        <w:rPr>
          <w:rFonts w:hint="eastAsia" w:ascii="宋体" w:hAnsi="宋体" w:cs="宋体"/>
          <w:szCs w:val="21"/>
        </w:rPr>
        <w:t>月</w:t>
      </w:r>
      <w:r>
        <w:rPr>
          <w:rFonts w:hint="eastAsia" w:ascii="宋体" w:hAnsi="宋体" w:cs="宋体"/>
          <w:szCs w:val="21"/>
          <w:u w:val="single"/>
        </w:rPr>
        <w:t xml:space="preserve">   </w:t>
      </w:r>
      <w:r>
        <w:rPr>
          <w:rFonts w:hint="eastAsia" w:ascii="宋体" w:hAnsi="宋体" w:cs="宋体"/>
          <w:szCs w:val="21"/>
        </w:rPr>
        <w:t>日。</w:t>
      </w:r>
    </w:p>
    <w:p w14:paraId="4160DBD5">
      <w:pPr>
        <w:spacing w:before="0" w:line="400" w:lineRule="exact"/>
        <w:ind w:firstLine="420"/>
        <w:rPr>
          <w:rFonts w:hint="eastAsia" w:ascii="宋体" w:hAnsi="宋体" w:cs="宋体"/>
          <w:szCs w:val="21"/>
          <w:u w:val="single"/>
        </w:rPr>
      </w:pPr>
      <w:r>
        <w:rPr>
          <w:rFonts w:hint="eastAsia" w:ascii="宋体" w:hAnsi="宋体" w:cs="宋体"/>
          <w:szCs w:val="21"/>
        </w:rPr>
        <w:t>（2）</w:t>
      </w:r>
      <w:r>
        <w:rPr>
          <w:rFonts w:hint="eastAsia" w:ascii="宋体" w:hAnsi="宋体" w:cs="宋体"/>
          <w:szCs w:val="21"/>
          <w:lang w:eastAsia="zh-CN"/>
        </w:rPr>
        <w:t>履约</w:t>
      </w:r>
      <w:r>
        <w:rPr>
          <w:rFonts w:hint="eastAsia" w:ascii="宋体" w:hAnsi="宋体" w:cs="宋体"/>
          <w:szCs w:val="21"/>
        </w:rPr>
        <w:t>地点</w:t>
      </w:r>
      <w:r>
        <w:rPr>
          <w:rFonts w:hint="eastAsia" w:ascii="宋体" w:hAnsi="宋体" w:cs="宋体"/>
          <w:b w:val="0"/>
          <w:bCs/>
          <w:szCs w:val="21"/>
        </w:rPr>
        <w:t>：</w:t>
      </w:r>
      <w:r>
        <w:rPr>
          <w:rFonts w:hint="eastAsia" w:ascii="宋体" w:hAnsi="宋体" w:cs="宋体"/>
          <w:szCs w:val="21"/>
          <w:u w:val="single"/>
        </w:rPr>
        <w:t xml:space="preserve"> </w:t>
      </w:r>
      <w:r>
        <w:rPr>
          <w:rFonts w:hint="eastAsia" w:ascii="宋体" w:hAnsi="宋体" w:cs="宋体"/>
          <w:szCs w:val="21"/>
          <w:u w:val="single"/>
          <w:lang w:eastAsia="zh-CN"/>
        </w:rPr>
        <w:t>阜宁县</w:t>
      </w:r>
      <w:r>
        <w:rPr>
          <w:rFonts w:hint="eastAsia" w:ascii="宋体" w:hAnsi="宋体" w:cs="宋体"/>
          <w:szCs w:val="21"/>
          <w:u w:val="single"/>
        </w:rPr>
        <w:t xml:space="preserve">  </w:t>
      </w:r>
    </w:p>
    <w:p w14:paraId="6989B4C6">
      <w:pPr>
        <w:spacing w:before="0" w:line="400" w:lineRule="exact"/>
        <w:ind w:firstLine="420"/>
        <w:rPr>
          <w:rFonts w:hint="eastAsia" w:ascii="宋体" w:hAnsi="宋体" w:eastAsia="宋体" w:cs="宋体"/>
          <w:sz w:val="21"/>
          <w:szCs w:val="21"/>
          <w:lang w:eastAsia="zh-CN"/>
        </w:rPr>
      </w:pPr>
      <w:r>
        <w:rPr>
          <w:rFonts w:hint="eastAsia" w:ascii="宋体" w:hAnsi="宋体" w:cs="宋体"/>
          <w:bCs/>
          <w:szCs w:val="21"/>
        </w:rPr>
        <w:t>（3）履约担保：</w:t>
      </w:r>
      <w:r>
        <w:rPr>
          <w:rFonts w:hint="eastAsia" w:ascii="宋体" w:hAnsi="宋体" w:eastAsia="宋体" w:cs="宋体"/>
          <w:sz w:val="21"/>
          <w:lang w:val="en-US" w:eastAsia="zh-CN"/>
        </w:rPr>
        <w:t>是否收取履约保证金：</w:t>
      </w:r>
      <w:r>
        <w:rPr>
          <w:rFonts w:ascii="Wingdings" w:hAnsi="Wingdings" w:eastAsia="Wingdings" w:cs="Wingdings"/>
          <w:sz w:val="21"/>
          <w:szCs w:val="21"/>
        </w:rPr>
        <w:t>þ</w:t>
      </w:r>
      <w:r>
        <w:rPr>
          <w:rFonts w:hint="eastAsia" w:ascii="宋体" w:hAnsi="宋体" w:eastAsia="宋体" w:cs="宋体"/>
          <w:sz w:val="21"/>
          <w:szCs w:val="21"/>
          <w:lang w:eastAsia="zh-CN"/>
        </w:rPr>
        <w:t>是</w:t>
      </w:r>
      <w:r>
        <w:rPr>
          <w:rFonts w:hint="eastAsia" w:ascii="宋体" w:hAnsi="宋体" w:eastAsia="宋体" w:cs="宋体"/>
          <w:sz w:val="21"/>
          <w:szCs w:val="21"/>
          <w:lang w:val="en-US" w:eastAsia="zh-CN"/>
        </w:rPr>
        <w:t xml:space="preserve">    </w:t>
      </w:r>
      <w:r>
        <w:rPr>
          <w:rFonts w:ascii="Wingdings" w:hAnsi="Wingdings" w:eastAsia="Wingdings" w:cs="Wingdings"/>
          <w:sz w:val="21"/>
          <w:szCs w:val="21"/>
        </w:rPr>
        <w:t>¨</w:t>
      </w:r>
      <w:r>
        <w:rPr>
          <w:rFonts w:hint="eastAsia" w:ascii="宋体" w:hAnsi="宋体" w:eastAsia="宋体" w:cs="宋体"/>
          <w:sz w:val="21"/>
          <w:szCs w:val="21"/>
          <w:lang w:eastAsia="zh-CN"/>
        </w:rPr>
        <w:t>否</w:t>
      </w:r>
    </w:p>
    <w:p w14:paraId="3EBCBF8D">
      <w:pPr>
        <w:spacing w:before="0" w:line="400" w:lineRule="exact"/>
        <w:ind w:firstLine="420"/>
        <w:rPr>
          <w:rFonts w:hint="eastAsia" w:ascii="宋体" w:hAnsi="宋体" w:eastAsia="宋体" w:cs="宋体"/>
          <w:sz w:val="21"/>
          <w:lang w:val="en-US" w:eastAsia="zh-CN"/>
        </w:rPr>
      </w:pPr>
      <w:r>
        <w:rPr>
          <w:rFonts w:hint="eastAsia" w:ascii="宋体" w:hAnsi="宋体" w:eastAsia="宋体" w:cs="宋体"/>
          <w:sz w:val="21"/>
          <w:lang w:val="en-US" w:eastAsia="zh-CN"/>
        </w:rPr>
        <w:t>收取履约保证金形式：</w:t>
      </w:r>
    </w:p>
    <w:p w14:paraId="322DA72B">
      <w:pPr>
        <w:keepNext w:val="0"/>
        <w:keepLines w:val="0"/>
        <w:pageBreakBefore w:val="0"/>
        <w:widowControl w:val="0"/>
        <w:spacing w:line="440" w:lineRule="exact"/>
        <w:ind w:firstLine="420"/>
        <w:rPr>
          <w:rFonts w:hint="eastAsia" w:ascii="宋体" w:hAnsi="宋体" w:eastAsia="宋体" w:cs="宋体"/>
          <w:sz w:val="21"/>
          <w:lang w:val="en-US" w:eastAsia="zh-CN"/>
        </w:rPr>
      </w:pPr>
      <w:r>
        <w:rPr>
          <w:rFonts w:hint="eastAsia" w:ascii="宋体" w:hAnsi="宋体" w:eastAsia="宋体" w:cs="Times New Roman"/>
          <w:sz w:val="21"/>
          <w:szCs w:val="21"/>
        </w:rPr>
        <w:t>供应商可以采用保函形式提交履约保证金，需要办理保函的，可以通过政府采购电子履约保函（保险）平台（在线申请履约保函（保险），也可以自行另行办理。采用保函形式提交的，其受益人为甲方（采购人），保函的有效期不得低于合同的履行期限。</w:t>
      </w:r>
    </w:p>
    <w:p w14:paraId="2A4C8F3D">
      <w:pPr>
        <w:pStyle w:val="322"/>
        <w:rPr>
          <w:rFonts w:hint="eastAsia" w:ascii="宋体" w:hAnsi="宋体" w:eastAsia="宋体" w:cs="宋体"/>
          <w:sz w:val="21"/>
          <w:lang w:val="en-US" w:eastAsia="zh-CN"/>
        </w:rPr>
      </w:pPr>
      <w:r>
        <w:rPr>
          <w:rFonts w:hint="eastAsia" w:ascii="宋体" w:hAnsi="宋体" w:eastAsia="宋体" w:cs="宋体"/>
          <w:sz w:val="21"/>
          <w:lang w:val="en-US" w:eastAsia="zh-CN"/>
        </w:rPr>
        <w:t xml:space="preserve">    收取履约保证金金额：</w:t>
      </w:r>
      <w:r>
        <w:rPr>
          <w:rFonts w:hint="eastAsia" w:ascii="宋体" w:hAnsi="宋体" w:eastAsia="宋体" w:cs="宋体"/>
          <w:bCs/>
          <w:sz w:val="21"/>
          <w:szCs w:val="21"/>
          <w:u w:val="single"/>
        </w:rPr>
        <w:t xml:space="preserve"> 本项目履约保证金按中标（合同）价的5%执行  </w:t>
      </w:r>
    </w:p>
    <w:p w14:paraId="42D61692">
      <w:pPr>
        <w:spacing w:line="400" w:lineRule="exact"/>
        <w:ind w:firstLine="420"/>
        <w:rPr>
          <w:rFonts w:hint="eastAsia" w:ascii="宋体" w:hAnsi="宋体" w:eastAsia="宋体" w:cs="宋体"/>
          <w:sz w:val="21"/>
          <w:lang w:val="en-US" w:eastAsia="zh-CN"/>
        </w:rPr>
      </w:pPr>
      <w:r>
        <w:rPr>
          <w:rFonts w:hint="eastAsia" w:ascii="宋体" w:hAnsi="宋体" w:cs="宋体"/>
          <w:bCs/>
          <w:szCs w:val="21"/>
          <w:u w:val="none"/>
          <w:lang w:val="en-US" w:eastAsia="zh-CN"/>
        </w:rPr>
        <w:t xml:space="preserve">    履约担保期限</w:t>
      </w:r>
      <w:r>
        <w:rPr>
          <w:rFonts w:hint="eastAsia" w:ascii="宋体" w:hAnsi="宋体" w:cs="宋体"/>
          <w:bCs/>
          <w:szCs w:val="21"/>
          <w:u w:val="none"/>
          <w:lang w:eastAsia="zh-CN"/>
        </w:rPr>
        <w:t>：</w:t>
      </w:r>
      <w:r>
        <w:rPr>
          <w:rFonts w:hint="eastAsia" w:ascii="宋体" w:hAnsi="宋体" w:eastAsia="宋体" w:cs="宋体"/>
          <w:bCs/>
          <w:sz w:val="21"/>
          <w:szCs w:val="21"/>
          <w:u w:val="single"/>
          <w:lang w:val="en-US" w:eastAsia="zh-CN"/>
        </w:rPr>
        <w:t xml:space="preserve"> 不得低于合同的履行期限 </w:t>
      </w:r>
      <w:r>
        <w:rPr>
          <w:rFonts w:hint="eastAsia" w:ascii="宋体" w:hAnsi="宋体" w:cs="宋体"/>
          <w:bCs/>
          <w:sz w:val="21"/>
          <w:szCs w:val="21"/>
          <w:u w:val="single"/>
          <w:lang w:val="en-US" w:eastAsia="zh-CN"/>
        </w:rPr>
        <w:t xml:space="preserve">   </w:t>
      </w:r>
      <w:r>
        <w:rPr>
          <w:rFonts w:hint="eastAsia" w:ascii="宋体" w:hAnsi="宋体" w:eastAsia="宋体" w:cs="宋体"/>
          <w:bCs/>
          <w:sz w:val="21"/>
          <w:szCs w:val="21"/>
          <w:u w:val="single"/>
        </w:rPr>
        <w:t xml:space="preserve">      </w:t>
      </w:r>
    </w:p>
    <w:p w14:paraId="62F265D5">
      <w:pPr>
        <w:spacing w:before="0" w:line="400" w:lineRule="exact"/>
        <w:ind w:firstLine="420"/>
        <w:rPr>
          <w:rFonts w:hint="eastAsia" w:ascii="宋体" w:hAnsi="宋体" w:cs="宋体"/>
          <w:bCs/>
          <w:szCs w:val="21"/>
        </w:rPr>
      </w:pPr>
      <w:r>
        <w:rPr>
          <w:rFonts w:hint="eastAsia" w:ascii="宋体" w:hAnsi="宋体" w:cs="宋体"/>
          <w:bCs/>
          <w:szCs w:val="21"/>
        </w:rPr>
        <w:t>（4）分期履行要求：</w:t>
      </w:r>
      <w:r>
        <w:rPr>
          <w:rFonts w:hint="eastAsia" w:ascii="宋体" w:hAnsi="宋体" w:cs="宋体"/>
          <w:bCs/>
          <w:szCs w:val="21"/>
          <w:u w:val="single"/>
          <w:lang w:eastAsia="zh-CN"/>
        </w:rPr>
        <w:t>合同签订后30日历天内供货、安装、调试完毕并交付采购人正常运行使用。</w:t>
      </w:r>
    </w:p>
    <w:p w14:paraId="5FFD1A17">
      <w:pPr>
        <w:spacing w:before="0" w:line="400" w:lineRule="exact"/>
        <w:ind w:firstLine="420"/>
        <w:rPr>
          <w:rFonts w:hint="eastAsia" w:ascii="宋体" w:hAnsi="宋体" w:cs="宋体"/>
          <w:szCs w:val="21"/>
          <w:u w:val="single"/>
        </w:rPr>
      </w:pPr>
      <w:r>
        <w:rPr>
          <w:rFonts w:hint="eastAsia" w:ascii="宋体" w:hAnsi="宋体" w:cs="宋体"/>
          <w:bCs/>
          <w:szCs w:val="21"/>
        </w:rPr>
        <w:t>（5）</w:t>
      </w:r>
      <w:r>
        <w:rPr>
          <w:rFonts w:hint="eastAsia" w:ascii="宋体" w:hAnsi="宋体" w:cs="宋体"/>
          <w:bCs/>
          <w:szCs w:val="21"/>
          <w:lang w:eastAsia="zh-CN"/>
        </w:rPr>
        <w:t>风险处置措施和替代方案</w:t>
      </w:r>
      <w:r>
        <w:rPr>
          <w:rFonts w:hint="eastAsia" w:ascii="宋体" w:hAnsi="宋体" w:cs="宋体"/>
          <w:bCs/>
          <w:szCs w:val="21"/>
        </w:rPr>
        <w:t>：</w:t>
      </w:r>
      <w:r>
        <w:rPr>
          <w:rFonts w:hint="eastAsia" w:ascii="宋体" w:hAnsi="宋体" w:cs="宋体"/>
          <w:color w:val="0000FF"/>
          <w:szCs w:val="21"/>
          <w:u w:val="single"/>
        </w:rPr>
        <w:t xml:space="preserve"> </w:t>
      </w:r>
      <w:r>
        <w:rPr>
          <w:rFonts w:hint="eastAsia" w:ascii="宋体" w:hAnsi="宋体" w:cs="宋体"/>
          <w:color w:val="000000"/>
          <w:szCs w:val="21"/>
          <w:u w:val="single"/>
        </w:rPr>
        <w:t xml:space="preserve"> </w:t>
      </w:r>
      <w:r>
        <w:rPr>
          <w:rFonts w:hint="eastAsia" w:ascii="宋体" w:hAnsi="宋体" w:cs="宋体"/>
          <w:color w:val="000000"/>
          <w:szCs w:val="21"/>
          <w:u w:val="single"/>
          <w:lang w:val="en-US" w:eastAsia="zh-CN"/>
        </w:rPr>
        <w:t>按</w:t>
      </w:r>
      <w:r>
        <w:rPr>
          <w:rFonts w:hint="eastAsia" w:ascii="宋体" w:hAnsi="宋体" w:cs="宋体"/>
          <w:color w:val="000000"/>
          <w:szCs w:val="21"/>
          <w:u w:val="single"/>
          <w:lang w:eastAsia="zh-CN"/>
        </w:rPr>
        <w:t>国家法律法规相关规定</w:t>
      </w:r>
      <w:r>
        <w:rPr>
          <w:rFonts w:hint="eastAsia" w:ascii="宋体" w:hAnsi="宋体" w:cs="宋体"/>
          <w:szCs w:val="21"/>
          <w:u w:val="single"/>
        </w:rPr>
        <w:t xml:space="preserve">         </w:t>
      </w:r>
    </w:p>
    <w:p w14:paraId="029E6D7A">
      <w:pPr>
        <w:numPr>
          <w:ilvl w:val="0"/>
          <w:numId w:val="5"/>
        </w:numPr>
        <w:spacing w:before="0" w:line="400" w:lineRule="exact"/>
        <w:ind w:firstLine="422"/>
        <w:rPr>
          <w:rFonts w:ascii="宋体" w:hAnsi="宋体"/>
          <w:b/>
          <w:szCs w:val="21"/>
        </w:rPr>
      </w:pPr>
      <w:r>
        <w:rPr>
          <w:rFonts w:hint="eastAsia" w:ascii="宋体" w:hAnsi="宋体"/>
          <w:b/>
          <w:szCs w:val="21"/>
        </w:rPr>
        <w:t>合同验收</w:t>
      </w:r>
    </w:p>
    <w:p w14:paraId="7A9DCE50">
      <w:pPr>
        <w:numPr>
          <w:ilvl w:val="0"/>
          <w:numId w:val="7"/>
        </w:numPr>
        <w:spacing w:before="0" w:line="400" w:lineRule="exact"/>
        <w:ind w:firstLine="420"/>
        <w:rPr>
          <w:rFonts w:hint="eastAsia" w:ascii="宋体" w:hAnsi="宋体"/>
          <w:bCs/>
          <w:szCs w:val="21"/>
        </w:rPr>
      </w:pPr>
      <w:r>
        <w:rPr>
          <w:rFonts w:hint="eastAsia" w:ascii="宋体" w:hAnsi="宋体"/>
          <w:bCs/>
          <w:szCs w:val="21"/>
        </w:rPr>
        <w:t>验收组织方式：</w:t>
      </w:r>
      <w:r>
        <w:rPr>
          <w:rFonts w:ascii="Wingdings" w:hAnsi="Wingdings" w:eastAsia="Wingdings" w:cs="Wingdings"/>
          <w:sz w:val="21"/>
          <w:szCs w:val="21"/>
        </w:rPr>
        <w:t>þ</w:t>
      </w:r>
      <w:r>
        <w:rPr>
          <w:rFonts w:hint="eastAsia" w:ascii="宋体" w:hAnsi="宋体"/>
          <w:bCs/>
          <w:szCs w:val="21"/>
        </w:rPr>
        <w:t xml:space="preserve">自行组织 </w:t>
      </w:r>
      <w:r>
        <w:rPr>
          <w:rFonts w:ascii="Wingdings" w:hAnsi="Wingdings" w:eastAsia="Wingdings" w:cs="Wingdings"/>
          <w:sz w:val="21"/>
          <w:szCs w:val="21"/>
        </w:rPr>
        <w:t>¨</w:t>
      </w:r>
      <w:r>
        <w:rPr>
          <w:rFonts w:hint="eastAsia" w:ascii="宋体" w:hAnsi="宋体"/>
          <w:bCs/>
          <w:szCs w:val="21"/>
        </w:rPr>
        <w:t>委托第三方组织</w:t>
      </w:r>
    </w:p>
    <w:p w14:paraId="2B986594">
      <w:pPr>
        <w:numPr>
          <w:ilvl w:val="0"/>
          <w:numId w:val="0"/>
        </w:numPr>
        <w:spacing w:before="0" w:line="400" w:lineRule="exact"/>
        <w:rPr>
          <w:rFonts w:ascii="宋体" w:hAnsi="宋体"/>
          <w:bCs/>
          <w:szCs w:val="21"/>
        </w:rPr>
      </w:pPr>
      <w:r>
        <w:rPr>
          <w:rFonts w:hint="eastAsia" w:ascii="宋体" w:hAnsi="宋体"/>
          <w:bCs/>
          <w:szCs w:val="21"/>
          <w:lang w:val="en-US" w:eastAsia="zh-CN"/>
        </w:rPr>
        <w:t xml:space="preserve">         </w:t>
      </w:r>
      <w:r>
        <w:rPr>
          <w:rFonts w:hint="eastAsia" w:ascii="宋体" w:hAnsi="宋体"/>
          <w:bCs/>
          <w:szCs w:val="21"/>
        </w:rPr>
        <w:t>验收主体：</w:t>
      </w:r>
      <w:r>
        <w:rPr>
          <w:rFonts w:hint="eastAsia" w:ascii="宋体" w:hAnsi="宋体"/>
          <w:bCs/>
          <w:szCs w:val="21"/>
          <w:u w:val="single"/>
          <w:lang w:eastAsia="zh-CN"/>
        </w:rPr>
        <w:t xml:space="preserve"> 阜宁县人民医院</w:t>
      </w:r>
      <w:r>
        <w:rPr>
          <w:rFonts w:hint="eastAsia" w:ascii="宋体" w:hAnsi="宋体"/>
          <w:bCs/>
          <w:szCs w:val="21"/>
          <w:u w:val="single"/>
        </w:rPr>
        <w:t xml:space="preserve"> </w:t>
      </w:r>
    </w:p>
    <w:p w14:paraId="60E3FEEE">
      <w:pPr>
        <w:spacing w:before="0" w:line="400" w:lineRule="exact"/>
        <w:ind w:firstLine="0"/>
        <w:rPr>
          <w:rFonts w:ascii="宋体" w:hAnsi="宋体"/>
          <w:bCs/>
          <w:color w:val="000000"/>
          <w:szCs w:val="21"/>
        </w:rPr>
      </w:pPr>
      <w:r>
        <w:rPr>
          <w:rFonts w:hint="eastAsia" w:ascii="宋体" w:hAnsi="宋体"/>
          <w:bCs/>
          <w:szCs w:val="21"/>
          <w:lang w:val="en-US" w:eastAsia="zh-CN"/>
        </w:rPr>
        <w:t xml:space="preserve">       </w:t>
      </w:r>
      <w:r>
        <w:rPr>
          <w:rFonts w:hint="eastAsia" w:ascii="宋体" w:hAnsi="宋体"/>
          <w:bCs/>
          <w:color w:val="000000"/>
          <w:szCs w:val="21"/>
          <w:lang w:val="en-US" w:eastAsia="zh-CN"/>
        </w:rPr>
        <w:t xml:space="preserve"> </w:t>
      </w:r>
      <w:r>
        <w:rPr>
          <w:rFonts w:hint="eastAsia" w:ascii="宋体" w:hAnsi="宋体"/>
          <w:bCs/>
          <w:color w:val="000000"/>
          <w:szCs w:val="21"/>
        </w:rPr>
        <w:t>是否邀请本项目的其他供应商</w:t>
      </w:r>
      <w:r>
        <w:rPr>
          <w:rFonts w:hint="eastAsia" w:ascii="宋体" w:hAnsi="宋体"/>
          <w:bCs/>
          <w:color w:val="000000"/>
          <w:szCs w:val="21"/>
          <w:lang w:eastAsia="zh-CN"/>
        </w:rPr>
        <w:t>参加验收</w:t>
      </w:r>
      <w:r>
        <w:rPr>
          <w:rFonts w:hint="eastAsia" w:ascii="宋体" w:hAnsi="宋体"/>
          <w:bCs/>
          <w:color w:val="000000"/>
          <w:szCs w:val="21"/>
        </w:rPr>
        <w:t>：</w:t>
      </w:r>
      <w:r>
        <w:rPr>
          <w:rFonts w:ascii="Wingdings" w:hAnsi="Wingdings" w:eastAsia="Wingdings" w:cs="Wingdings"/>
          <w:color w:val="000000"/>
          <w:sz w:val="21"/>
          <w:szCs w:val="21"/>
        </w:rPr>
        <w:t>¨</w:t>
      </w:r>
      <w:r>
        <w:rPr>
          <w:rFonts w:hint="eastAsia" w:ascii="宋体" w:hAnsi="宋体"/>
          <w:bCs/>
          <w:color w:val="000000"/>
          <w:szCs w:val="21"/>
        </w:rPr>
        <w:t xml:space="preserve">是  </w:t>
      </w:r>
      <w:r>
        <w:rPr>
          <w:rFonts w:ascii="Wingdings" w:hAnsi="Wingdings" w:eastAsia="Wingdings" w:cs="Wingdings"/>
          <w:color w:val="000000"/>
          <w:sz w:val="21"/>
          <w:szCs w:val="21"/>
        </w:rPr>
        <w:t>¨</w:t>
      </w:r>
      <w:r>
        <w:rPr>
          <w:rFonts w:hint="eastAsia" w:ascii="宋体" w:hAnsi="宋体"/>
          <w:bCs/>
          <w:color w:val="000000"/>
          <w:szCs w:val="21"/>
        </w:rPr>
        <w:t>否</w:t>
      </w:r>
    </w:p>
    <w:p w14:paraId="55ECF8BC">
      <w:pPr>
        <w:spacing w:before="0" w:line="400" w:lineRule="exact"/>
        <w:ind w:firstLine="840"/>
        <w:rPr>
          <w:rFonts w:ascii="宋体" w:hAnsi="宋体"/>
          <w:bCs/>
          <w:color w:val="000000"/>
          <w:szCs w:val="21"/>
        </w:rPr>
      </w:pPr>
      <w:r>
        <w:rPr>
          <w:rFonts w:hint="eastAsia" w:ascii="宋体" w:hAnsi="宋体"/>
          <w:bCs/>
          <w:color w:val="000000"/>
          <w:szCs w:val="21"/>
        </w:rPr>
        <w:t>是否邀请专家</w:t>
      </w:r>
      <w:r>
        <w:rPr>
          <w:rFonts w:hint="eastAsia" w:ascii="宋体" w:hAnsi="宋体"/>
          <w:bCs/>
          <w:color w:val="000000"/>
          <w:szCs w:val="21"/>
          <w:lang w:eastAsia="zh-CN"/>
        </w:rPr>
        <w:t>参加验收</w:t>
      </w:r>
      <w:r>
        <w:rPr>
          <w:rFonts w:hint="eastAsia" w:ascii="宋体" w:hAnsi="宋体"/>
          <w:bCs/>
          <w:color w:val="000000"/>
          <w:szCs w:val="21"/>
        </w:rPr>
        <w:t>：</w:t>
      </w:r>
      <w:r>
        <w:rPr>
          <w:rFonts w:ascii="Wingdings" w:hAnsi="Wingdings" w:eastAsia="Wingdings" w:cs="Wingdings"/>
          <w:color w:val="000000"/>
          <w:sz w:val="21"/>
          <w:szCs w:val="21"/>
        </w:rPr>
        <w:t>¨</w:t>
      </w:r>
      <w:r>
        <w:rPr>
          <w:rFonts w:hint="eastAsia" w:ascii="宋体" w:hAnsi="宋体"/>
          <w:bCs/>
          <w:color w:val="000000"/>
          <w:szCs w:val="21"/>
        </w:rPr>
        <w:t xml:space="preserve">是  </w:t>
      </w:r>
      <w:r>
        <w:rPr>
          <w:rFonts w:ascii="Wingdings" w:hAnsi="Wingdings" w:eastAsia="Wingdings" w:cs="Wingdings"/>
          <w:color w:val="000000"/>
          <w:sz w:val="21"/>
          <w:szCs w:val="21"/>
        </w:rPr>
        <w:t>¨</w:t>
      </w:r>
      <w:r>
        <w:rPr>
          <w:rFonts w:hint="eastAsia" w:ascii="宋体" w:hAnsi="宋体"/>
          <w:bCs/>
          <w:color w:val="000000"/>
          <w:szCs w:val="21"/>
        </w:rPr>
        <w:t>否</w:t>
      </w:r>
    </w:p>
    <w:p w14:paraId="7248BBDE">
      <w:pPr>
        <w:spacing w:before="0" w:line="400" w:lineRule="exact"/>
        <w:ind w:firstLine="840"/>
        <w:rPr>
          <w:rFonts w:ascii="宋体" w:hAnsi="宋体"/>
          <w:bCs/>
          <w:color w:val="000000"/>
          <w:szCs w:val="21"/>
        </w:rPr>
      </w:pPr>
      <w:r>
        <w:rPr>
          <w:rFonts w:hint="eastAsia" w:ascii="宋体" w:hAnsi="宋体"/>
          <w:bCs/>
          <w:color w:val="000000"/>
          <w:szCs w:val="21"/>
        </w:rPr>
        <w:t>是否邀请服务对象</w:t>
      </w:r>
      <w:r>
        <w:rPr>
          <w:rFonts w:hint="eastAsia" w:ascii="宋体" w:hAnsi="宋体"/>
          <w:bCs/>
          <w:color w:val="000000"/>
          <w:szCs w:val="21"/>
          <w:lang w:eastAsia="zh-CN"/>
        </w:rPr>
        <w:t>参加验收</w:t>
      </w:r>
      <w:r>
        <w:rPr>
          <w:rFonts w:hint="eastAsia" w:ascii="宋体" w:hAnsi="宋体"/>
          <w:bCs/>
          <w:color w:val="000000"/>
          <w:szCs w:val="21"/>
        </w:rPr>
        <w:t>：</w:t>
      </w:r>
      <w:r>
        <w:rPr>
          <w:rFonts w:ascii="Wingdings" w:hAnsi="Wingdings" w:eastAsia="Wingdings" w:cs="Wingdings"/>
          <w:color w:val="000000"/>
          <w:sz w:val="21"/>
          <w:szCs w:val="21"/>
        </w:rPr>
        <w:t>¨</w:t>
      </w:r>
      <w:r>
        <w:rPr>
          <w:rFonts w:hint="eastAsia" w:ascii="宋体" w:hAnsi="宋体"/>
          <w:bCs/>
          <w:color w:val="000000"/>
          <w:szCs w:val="21"/>
        </w:rPr>
        <w:t xml:space="preserve">是  </w:t>
      </w:r>
      <w:r>
        <w:rPr>
          <w:rFonts w:ascii="Wingdings" w:hAnsi="Wingdings" w:eastAsia="Wingdings" w:cs="Wingdings"/>
          <w:color w:val="000000"/>
          <w:sz w:val="21"/>
          <w:szCs w:val="21"/>
        </w:rPr>
        <w:t>¨</w:t>
      </w:r>
      <w:r>
        <w:rPr>
          <w:rFonts w:hint="eastAsia" w:ascii="宋体" w:hAnsi="宋体"/>
          <w:bCs/>
          <w:color w:val="000000"/>
          <w:szCs w:val="21"/>
        </w:rPr>
        <w:t>否</w:t>
      </w:r>
    </w:p>
    <w:p w14:paraId="636A216D">
      <w:pPr>
        <w:spacing w:before="0" w:line="400" w:lineRule="exact"/>
        <w:ind w:firstLine="840"/>
        <w:rPr>
          <w:rFonts w:ascii="宋体" w:hAnsi="宋体"/>
          <w:bCs/>
          <w:color w:val="000000"/>
          <w:szCs w:val="21"/>
        </w:rPr>
      </w:pPr>
      <w:r>
        <w:rPr>
          <w:rFonts w:hint="eastAsia" w:ascii="宋体" w:hAnsi="宋体"/>
          <w:bCs/>
          <w:color w:val="000000"/>
          <w:szCs w:val="21"/>
        </w:rPr>
        <w:t>是否邀请第三方检测机构</w:t>
      </w:r>
      <w:r>
        <w:rPr>
          <w:rFonts w:hint="eastAsia" w:ascii="宋体" w:hAnsi="宋体"/>
          <w:bCs/>
          <w:color w:val="000000"/>
          <w:szCs w:val="21"/>
          <w:lang w:eastAsia="zh-CN"/>
        </w:rPr>
        <w:t>参加验收</w:t>
      </w:r>
      <w:r>
        <w:rPr>
          <w:rFonts w:hint="eastAsia" w:ascii="宋体" w:hAnsi="宋体"/>
          <w:bCs/>
          <w:color w:val="000000"/>
          <w:szCs w:val="21"/>
        </w:rPr>
        <w:t>：</w:t>
      </w:r>
      <w:r>
        <w:rPr>
          <w:rFonts w:ascii="Wingdings" w:hAnsi="Wingdings" w:eastAsia="Wingdings" w:cs="Wingdings"/>
          <w:color w:val="000000"/>
          <w:sz w:val="21"/>
          <w:szCs w:val="21"/>
        </w:rPr>
        <w:t>¨</w:t>
      </w:r>
      <w:r>
        <w:rPr>
          <w:rFonts w:hint="eastAsia" w:ascii="宋体" w:hAnsi="宋体"/>
          <w:bCs/>
          <w:color w:val="000000"/>
          <w:szCs w:val="21"/>
        </w:rPr>
        <w:t xml:space="preserve">是  </w:t>
      </w:r>
      <w:r>
        <w:rPr>
          <w:rFonts w:ascii="Wingdings" w:hAnsi="Wingdings" w:eastAsia="Wingdings" w:cs="Wingdings"/>
          <w:color w:val="000000"/>
          <w:sz w:val="21"/>
          <w:szCs w:val="21"/>
        </w:rPr>
        <w:t>¨</w:t>
      </w:r>
      <w:r>
        <w:rPr>
          <w:rFonts w:hint="eastAsia" w:ascii="宋体" w:hAnsi="宋体"/>
          <w:bCs/>
          <w:color w:val="000000"/>
          <w:szCs w:val="21"/>
        </w:rPr>
        <w:t>否</w:t>
      </w:r>
    </w:p>
    <w:p w14:paraId="532DB38B">
      <w:pPr>
        <w:spacing w:before="0" w:line="400" w:lineRule="exact"/>
        <w:ind w:firstLine="840"/>
        <w:rPr>
          <w:rFonts w:hint="eastAsia" w:ascii="宋体" w:hAnsi="宋体"/>
          <w:bCs/>
          <w:color w:val="000000"/>
          <w:szCs w:val="21"/>
        </w:rPr>
      </w:pPr>
      <w:r>
        <w:rPr>
          <w:rFonts w:hint="eastAsia" w:ascii="宋体" w:hAnsi="宋体"/>
          <w:bCs/>
          <w:color w:val="000000"/>
          <w:szCs w:val="21"/>
          <w:lang w:eastAsia="zh-CN"/>
        </w:rPr>
        <w:t>是否进行抽查检测：</w:t>
      </w:r>
      <w:r>
        <w:rPr>
          <w:rFonts w:ascii="Wingdings" w:hAnsi="Wingdings" w:eastAsia="Wingdings" w:cs="Wingdings"/>
          <w:color w:val="000000"/>
          <w:sz w:val="21"/>
          <w:szCs w:val="21"/>
        </w:rPr>
        <w:t>¨</w:t>
      </w:r>
      <w:r>
        <w:rPr>
          <w:rFonts w:hint="eastAsia" w:ascii="宋体" w:hAnsi="宋体"/>
          <w:bCs/>
          <w:color w:val="000000"/>
          <w:szCs w:val="21"/>
        </w:rPr>
        <w:t>是</w:t>
      </w:r>
      <w:r>
        <w:rPr>
          <w:rFonts w:hint="eastAsia" w:ascii="宋体" w:hAnsi="宋体"/>
          <w:bCs/>
          <w:color w:val="000000"/>
          <w:szCs w:val="21"/>
          <w:lang w:eastAsia="zh-CN"/>
        </w:rPr>
        <w:t>，抽查比例：</w:t>
      </w:r>
      <w:r>
        <w:rPr>
          <w:rFonts w:hint="eastAsia" w:ascii="宋体" w:hAnsi="宋体"/>
          <w:bCs/>
          <w:color w:val="000000"/>
          <w:szCs w:val="21"/>
          <w:u w:val="single"/>
        </w:rPr>
        <w:t xml:space="preserve">   </w:t>
      </w:r>
      <w:r>
        <w:rPr>
          <w:rFonts w:hint="eastAsia" w:ascii="宋体" w:hAnsi="宋体"/>
          <w:bCs/>
          <w:color w:val="000000"/>
          <w:szCs w:val="21"/>
          <w:u w:val="single"/>
          <w:lang w:val="en-US" w:eastAsia="zh-CN"/>
        </w:rPr>
        <w:t xml:space="preserve">     </w:t>
      </w:r>
      <w:r>
        <w:rPr>
          <w:rFonts w:hint="eastAsia" w:ascii="宋体" w:hAnsi="宋体"/>
          <w:bCs/>
          <w:color w:val="000000"/>
          <w:szCs w:val="21"/>
        </w:rPr>
        <w:t xml:space="preserve"> </w:t>
      </w:r>
      <w:r>
        <w:rPr>
          <w:rFonts w:ascii="Wingdings" w:hAnsi="Wingdings" w:eastAsia="Wingdings" w:cs="Wingdings"/>
          <w:color w:val="000000"/>
          <w:sz w:val="21"/>
          <w:szCs w:val="21"/>
        </w:rPr>
        <w:t>¨</w:t>
      </w:r>
      <w:r>
        <w:rPr>
          <w:rFonts w:hint="eastAsia" w:ascii="宋体" w:hAnsi="宋体"/>
          <w:bCs/>
          <w:color w:val="000000"/>
          <w:szCs w:val="21"/>
        </w:rPr>
        <w:t>否</w:t>
      </w:r>
    </w:p>
    <w:p w14:paraId="52B28019">
      <w:pPr>
        <w:spacing w:before="0" w:line="400" w:lineRule="exact"/>
        <w:ind w:firstLine="840"/>
        <w:rPr>
          <w:rFonts w:hint="eastAsia" w:ascii="宋体" w:hAnsi="宋体" w:eastAsia="宋体"/>
          <w:bCs/>
          <w:color w:val="000000"/>
          <w:szCs w:val="21"/>
          <w:u w:val="single"/>
          <w:lang w:eastAsia="zh-CN"/>
        </w:rPr>
      </w:pPr>
      <w:r>
        <w:rPr>
          <w:rFonts w:hint="eastAsia" w:ascii="宋体" w:hAnsi="宋体" w:eastAsia="宋体"/>
          <w:bCs/>
          <w:color w:val="000000"/>
          <w:szCs w:val="21"/>
          <w:lang w:val="en-US" w:eastAsia="zh-CN"/>
        </w:rPr>
        <w:t>是否存在破坏性检测：</w:t>
      </w:r>
      <w:r>
        <w:rPr>
          <w:rFonts w:ascii="Wingdings" w:hAnsi="Wingdings" w:eastAsia="Wingdings" w:cs="Wingdings"/>
          <w:color w:val="000000"/>
          <w:sz w:val="21"/>
          <w:szCs w:val="21"/>
        </w:rPr>
        <w:t>¨</w:t>
      </w:r>
      <w:r>
        <w:rPr>
          <w:rFonts w:hint="eastAsia" w:ascii="宋体" w:hAnsi="宋体" w:eastAsia="宋体"/>
          <w:bCs/>
          <w:color w:val="000000"/>
          <w:szCs w:val="21"/>
        </w:rPr>
        <w:t>是</w:t>
      </w:r>
      <w:r>
        <w:rPr>
          <w:rFonts w:hint="eastAsia" w:ascii="宋体" w:hAnsi="宋体" w:eastAsia="宋体"/>
          <w:bCs/>
          <w:color w:val="000000"/>
          <w:szCs w:val="21"/>
          <w:lang w:eastAsia="zh-CN"/>
        </w:rPr>
        <w:t>，</w:t>
      </w:r>
      <w:r>
        <w:rPr>
          <w:rFonts w:hint="eastAsia" w:ascii="宋体" w:hAnsi="宋体" w:eastAsia="宋体"/>
          <w:bCs/>
          <w:color w:val="000000"/>
          <w:szCs w:val="21"/>
          <w:u w:val="single"/>
          <w:lang w:eastAsia="zh-CN"/>
        </w:rPr>
        <w:t>（应明确对被破坏的检测产品的处理方式）</w:t>
      </w:r>
    </w:p>
    <w:p w14:paraId="03754FAA">
      <w:pPr>
        <w:spacing w:before="0" w:line="400" w:lineRule="exact"/>
        <w:ind w:firstLine="840"/>
        <w:rPr>
          <w:rFonts w:hint="eastAsia" w:ascii="宋体" w:hAnsi="宋体" w:eastAsia="宋体"/>
          <w:bCs/>
          <w:color w:val="000000"/>
          <w:szCs w:val="21"/>
          <w:lang w:eastAsia="zh-CN"/>
        </w:rPr>
      </w:pPr>
      <w:r>
        <w:rPr>
          <w:rFonts w:hint="eastAsia" w:ascii="宋体" w:hAnsi="宋体" w:eastAsia="宋体"/>
          <w:bCs/>
          <w:color w:val="000000"/>
          <w:szCs w:val="21"/>
          <w:lang w:val="en-US" w:eastAsia="zh-CN"/>
        </w:rPr>
        <w:t xml:space="preserve">                    </w:t>
      </w:r>
      <w:r>
        <w:rPr>
          <w:rFonts w:ascii="Wingdings" w:hAnsi="Wingdings" w:eastAsia="Wingdings" w:cs="Wingdings"/>
          <w:color w:val="000000"/>
          <w:sz w:val="21"/>
          <w:szCs w:val="21"/>
        </w:rPr>
        <w:t>¨</w:t>
      </w:r>
      <w:r>
        <w:rPr>
          <w:rFonts w:hint="eastAsia" w:ascii="宋体" w:hAnsi="宋体" w:eastAsia="宋体"/>
          <w:bCs/>
          <w:color w:val="000000"/>
          <w:szCs w:val="21"/>
        </w:rPr>
        <w:t>否</w:t>
      </w:r>
    </w:p>
    <w:p w14:paraId="2FF07E3E">
      <w:pPr>
        <w:spacing w:before="0" w:line="400" w:lineRule="exact"/>
        <w:ind w:firstLine="840"/>
        <w:rPr>
          <w:rFonts w:hint="eastAsia" w:ascii="宋体" w:hAnsi="宋体"/>
          <w:bCs/>
          <w:color w:val="000000"/>
          <w:szCs w:val="21"/>
          <w:u w:val="single"/>
        </w:rPr>
      </w:pPr>
      <w:r>
        <w:rPr>
          <w:rFonts w:hint="eastAsia" w:ascii="宋体" w:hAnsi="宋体"/>
          <w:bCs/>
          <w:color w:val="000000"/>
          <w:szCs w:val="21"/>
        </w:rPr>
        <w:t>验收组织的其他事项：</w:t>
      </w:r>
      <w:r>
        <w:rPr>
          <w:rFonts w:hint="eastAsia" w:ascii="宋体" w:hAnsi="宋体"/>
          <w:bCs/>
          <w:color w:val="000000"/>
          <w:szCs w:val="21"/>
          <w:u w:val="single"/>
        </w:rPr>
        <w:t xml:space="preserve"> </w:t>
      </w:r>
      <w:r>
        <w:rPr>
          <w:rFonts w:hint="eastAsia" w:ascii="宋体" w:hAnsi="宋体"/>
          <w:bCs/>
          <w:color w:val="000000"/>
          <w:szCs w:val="21"/>
          <w:u w:val="single"/>
          <w:lang w:val="en-US" w:eastAsia="zh-CN"/>
        </w:rPr>
        <w:t xml:space="preserve">         </w:t>
      </w:r>
      <w:r>
        <w:rPr>
          <w:rFonts w:hint="eastAsia" w:ascii="宋体" w:hAnsi="宋体" w:eastAsia="宋体" w:cs="Times New Roman"/>
          <w:bCs/>
          <w:color w:val="000000"/>
          <w:szCs w:val="21"/>
          <w:u w:val="single"/>
          <w:lang w:val="en-US" w:eastAsia="zh-CN"/>
        </w:rPr>
        <w:t xml:space="preserve"> </w:t>
      </w:r>
    </w:p>
    <w:p w14:paraId="611036BE">
      <w:pPr>
        <w:spacing w:before="0" w:line="400" w:lineRule="exact"/>
        <w:ind w:firstLine="420"/>
        <w:rPr>
          <w:rFonts w:hint="eastAsia" w:ascii="宋体" w:hAnsi="宋体"/>
          <w:bCs/>
          <w:color w:val="000000"/>
          <w:szCs w:val="21"/>
          <w:u w:val="single"/>
        </w:rPr>
      </w:pPr>
      <w:r>
        <w:rPr>
          <w:rFonts w:hint="eastAsia" w:ascii="宋体" w:hAnsi="宋体"/>
          <w:bCs/>
          <w:color w:val="000000"/>
          <w:szCs w:val="21"/>
        </w:rPr>
        <w:t>（2）履约验收时间：</w:t>
      </w:r>
      <w:r>
        <w:rPr>
          <w:rFonts w:hint="eastAsia" w:ascii="宋体" w:hAnsi="宋体"/>
          <w:bCs/>
          <w:color w:val="000000"/>
          <w:szCs w:val="21"/>
          <w:u w:val="single"/>
        </w:rPr>
        <w:t>供应商提出验收申请之日起</w:t>
      </w:r>
      <w:r>
        <w:rPr>
          <w:rFonts w:hint="eastAsia" w:ascii="宋体" w:hAnsi="宋体"/>
          <w:bCs/>
          <w:color w:val="000000"/>
          <w:szCs w:val="21"/>
          <w:u w:val="single"/>
          <w:lang w:val="en-US" w:eastAsia="zh-CN"/>
        </w:rPr>
        <w:t>15</w:t>
      </w:r>
      <w:r>
        <w:rPr>
          <w:rFonts w:hint="eastAsia" w:ascii="宋体" w:hAnsi="宋体"/>
          <w:bCs/>
          <w:color w:val="000000"/>
          <w:szCs w:val="21"/>
          <w:u w:val="single"/>
        </w:rPr>
        <w:t>日内组织验收</w:t>
      </w:r>
      <w:r>
        <w:rPr>
          <w:rFonts w:hint="eastAsia" w:ascii="宋体" w:hAnsi="宋体"/>
          <w:bCs/>
          <w:color w:val="000000"/>
          <w:szCs w:val="21"/>
          <w:u w:val="single"/>
          <w:lang w:val="en-US" w:eastAsia="zh-CN"/>
        </w:rPr>
        <w:t xml:space="preserve"> </w:t>
      </w:r>
    </w:p>
    <w:p w14:paraId="3F6F88FE">
      <w:pPr>
        <w:spacing w:before="0" w:line="400" w:lineRule="exact"/>
        <w:ind w:firstLine="420"/>
        <w:rPr>
          <w:rFonts w:hint="eastAsia" w:ascii="宋体" w:hAnsi="宋体"/>
          <w:bCs/>
          <w:szCs w:val="21"/>
        </w:rPr>
      </w:pPr>
      <w:r>
        <w:rPr>
          <w:rFonts w:hint="eastAsia" w:ascii="宋体" w:hAnsi="宋体"/>
          <w:bCs/>
          <w:szCs w:val="21"/>
        </w:rPr>
        <w:t>（3）履约验收方式：</w:t>
      </w:r>
      <w:r>
        <w:rPr>
          <w:rFonts w:ascii="Wingdings" w:hAnsi="Wingdings" w:eastAsia="Wingdings" w:cs="Wingdings"/>
          <w:sz w:val="21"/>
          <w:szCs w:val="21"/>
        </w:rPr>
        <w:t>þ</w:t>
      </w:r>
      <w:r>
        <w:rPr>
          <w:rFonts w:hint="eastAsia" w:ascii="宋体" w:hAnsi="宋体"/>
          <w:bCs/>
          <w:szCs w:val="21"/>
        </w:rPr>
        <w:t xml:space="preserve">一次性验收         </w:t>
      </w:r>
    </w:p>
    <w:p w14:paraId="70BF21DB">
      <w:pPr>
        <w:spacing w:before="0" w:line="400" w:lineRule="exact"/>
        <w:ind w:firstLine="0"/>
        <w:rPr>
          <w:rFonts w:hint="eastAsia" w:ascii="宋体" w:hAnsi="宋体" w:eastAsia="宋体"/>
          <w:bCs/>
          <w:szCs w:val="21"/>
          <w:lang w:val="en-US" w:eastAsia="zh-CN"/>
        </w:rPr>
      </w:pPr>
      <w:r>
        <w:rPr>
          <w:rFonts w:hint="eastAsia" w:ascii="宋体" w:hAnsi="宋体"/>
          <w:bCs/>
          <w:szCs w:val="21"/>
          <w:lang w:val="en-US" w:eastAsia="zh-CN"/>
        </w:rPr>
        <w:t xml:space="preserve">                       </w:t>
      </w:r>
      <w:r>
        <w:rPr>
          <w:rFonts w:ascii="Wingdings" w:hAnsi="Wingdings" w:eastAsia="Wingdings" w:cs="Wingdings"/>
          <w:sz w:val="21"/>
          <w:szCs w:val="21"/>
        </w:rPr>
        <w:t>¨</w:t>
      </w:r>
      <w:r>
        <w:rPr>
          <w:rFonts w:hint="eastAsia" w:ascii="宋体" w:hAnsi="宋体"/>
          <w:bCs/>
          <w:szCs w:val="21"/>
        </w:rPr>
        <w:t>分期/分项验收</w:t>
      </w:r>
      <w:r>
        <w:rPr>
          <w:rFonts w:hint="eastAsia" w:ascii="宋体" w:hAnsi="宋体"/>
          <w:bCs/>
          <w:szCs w:val="21"/>
          <w:lang w:eastAsia="zh-CN"/>
        </w:rPr>
        <w:t>：</w:t>
      </w:r>
      <w:r>
        <w:rPr>
          <w:rFonts w:hint="eastAsia" w:ascii="宋体" w:hAnsi="宋体"/>
          <w:bCs/>
          <w:szCs w:val="21"/>
          <w:u w:val="single"/>
        </w:rPr>
        <w:t xml:space="preserve"> </w:t>
      </w:r>
      <w:r>
        <w:rPr>
          <w:rFonts w:hint="eastAsia" w:ascii="宋体" w:hAnsi="宋体"/>
          <w:bCs/>
          <w:szCs w:val="21"/>
          <w:u w:val="single"/>
          <w:lang w:eastAsia="zh-CN"/>
        </w:rPr>
        <w:t>（应明确分期</w:t>
      </w:r>
      <w:r>
        <w:rPr>
          <w:rFonts w:ascii="宋体" w:hAnsi="宋体"/>
          <w:bCs/>
          <w:szCs w:val="21"/>
          <w:u w:val="single"/>
          <w:lang w:val="en" w:eastAsia="zh-CN"/>
        </w:rPr>
        <w:t>/</w:t>
      </w:r>
      <w:r>
        <w:rPr>
          <w:rFonts w:hint="eastAsia" w:ascii="宋体" w:hAnsi="宋体"/>
          <w:bCs/>
          <w:szCs w:val="21"/>
          <w:u w:val="single"/>
          <w:lang w:val="en" w:eastAsia="zh-CN"/>
        </w:rPr>
        <w:t>分项验收的工作安排</w:t>
      </w:r>
      <w:r>
        <w:rPr>
          <w:rFonts w:hint="eastAsia" w:ascii="宋体" w:hAnsi="宋体"/>
          <w:bCs/>
          <w:szCs w:val="21"/>
          <w:u w:val="single"/>
          <w:lang w:eastAsia="zh-CN"/>
        </w:rPr>
        <w:t>）</w:t>
      </w:r>
      <w:r>
        <w:rPr>
          <w:rFonts w:hint="eastAsia" w:ascii="宋体" w:hAnsi="宋体"/>
          <w:bCs/>
          <w:szCs w:val="21"/>
          <w:u w:val="single"/>
        </w:rPr>
        <w:t xml:space="preserve"> </w:t>
      </w:r>
      <w:r>
        <w:rPr>
          <w:rFonts w:hint="eastAsia" w:ascii="宋体" w:hAnsi="宋体"/>
          <w:bCs/>
          <w:szCs w:val="21"/>
          <w:u w:val="single"/>
          <w:lang w:val="en-US" w:eastAsia="zh-CN"/>
        </w:rPr>
        <w:t xml:space="preserve"> </w:t>
      </w:r>
    </w:p>
    <w:p w14:paraId="2F708D89">
      <w:pPr>
        <w:spacing w:before="0" w:line="400" w:lineRule="exact"/>
        <w:ind w:firstLine="420"/>
        <w:rPr>
          <w:rFonts w:ascii="宋体" w:hAnsi="宋体"/>
          <w:bCs/>
          <w:szCs w:val="21"/>
        </w:rPr>
      </w:pPr>
      <w:r>
        <w:rPr>
          <w:rFonts w:hint="eastAsia" w:ascii="宋体" w:hAnsi="宋体"/>
          <w:bCs/>
          <w:szCs w:val="21"/>
        </w:rPr>
        <w:t>（4）履约验收程序：</w:t>
      </w:r>
      <w:r>
        <w:rPr>
          <w:rFonts w:hint="eastAsia" w:ascii="宋体" w:hAnsi="宋体"/>
          <w:bCs/>
          <w:szCs w:val="21"/>
          <w:u w:val="single"/>
        </w:rPr>
        <w:t xml:space="preserve">   </w:t>
      </w:r>
      <w:r>
        <w:rPr>
          <w:rFonts w:hint="eastAsia" w:ascii="宋体" w:hAnsi="宋体"/>
          <w:bCs/>
          <w:szCs w:val="21"/>
          <w:u w:val="single"/>
          <w:lang w:eastAsia="zh-CN"/>
        </w:rPr>
        <w:t>从国家法律法规规定</w:t>
      </w:r>
      <w:r>
        <w:rPr>
          <w:rFonts w:hint="eastAsia" w:ascii="宋体" w:hAnsi="宋体"/>
          <w:bCs/>
          <w:szCs w:val="21"/>
          <w:u w:val="single"/>
        </w:rPr>
        <w:t xml:space="preserve">   </w:t>
      </w:r>
    </w:p>
    <w:p w14:paraId="4A1A7909">
      <w:pPr>
        <w:spacing w:before="0" w:line="400" w:lineRule="exact"/>
        <w:ind w:firstLine="420"/>
        <w:rPr>
          <w:rFonts w:ascii="宋体" w:hAnsi="宋体"/>
          <w:bCs/>
          <w:szCs w:val="21"/>
          <w:u w:val="single"/>
        </w:rPr>
      </w:pPr>
      <w:r>
        <w:rPr>
          <w:rFonts w:hint="eastAsia" w:ascii="宋体" w:hAnsi="宋体"/>
          <w:bCs/>
          <w:szCs w:val="21"/>
        </w:rPr>
        <w:t>（5）履约验收的内容：</w:t>
      </w:r>
      <w:r>
        <w:rPr>
          <w:rFonts w:hint="eastAsia" w:ascii="宋体" w:hAnsi="宋体"/>
          <w:bCs/>
          <w:szCs w:val="21"/>
          <w:u w:val="single"/>
        </w:rPr>
        <w:t xml:space="preserve"> </w:t>
      </w:r>
      <w:r>
        <w:rPr>
          <w:rFonts w:hint="eastAsia" w:ascii="宋体" w:hAnsi="宋体"/>
          <w:bCs/>
          <w:szCs w:val="21"/>
          <w:u w:val="single"/>
          <w:lang w:eastAsia="zh-CN"/>
        </w:rPr>
        <w:t>包括每一项技术和商务要求的履约情况，特别是落实政府采购扶持中小企业，支持绿色发展和乡村振兴等政策情况</w:t>
      </w:r>
      <w:r>
        <w:rPr>
          <w:rFonts w:hint="eastAsia" w:ascii="宋体" w:hAnsi="宋体"/>
          <w:bCs/>
          <w:szCs w:val="21"/>
          <w:u w:val="single"/>
        </w:rPr>
        <w:t xml:space="preserve">  </w:t>
      </w:r>
    </w:p>
    <w:p w14:paraId="2C45D898">
      <w:pPr>
        <w:spacing w:before="0" w:line="400" w:lineRule="exact"/>
        <w:ind w:firstLine="420"/>
        <w:rPr>
          <w:rFonts w:hint="eastAsia" w:ascii="宋体" w:hAnsi="宋体"/>
          <w:bCs/>
          <w:szCs w:val="21"/>
          <w:u w:val="single"/>
        </w:rPr>
      </w:pPr>
      <w:r>
        <w:rPr>
          <w:rFonts w:hint="eastAsia" w:ascii="宋体" w:hAnsi="宋体"/>
          <w:bCs/>
          <w:szCs w:val="21"/>
        </w:rPr>
        <w:t>（6）履约验收标准：</w:t>
      </w:r>
      <w:r>
        <w:rPr>
          <w:rFonts w:hint="eastAsia" w:ascii="宋体" w:hAnsi="宋体"/>
          <w:bCs/>
          <w:szCs w:val="21"/>
          <w:u w:val="single"/>
        </w:rPr>
        <w:t xml:space="preserve">  </w:t>
      </w:r>
      <w:r>
        <w:rPr>
          <w:rFonts w:hint="eastAsia" w:ascii="宋体" w:hAnsi="宋体"/>
          <w:bCs/>
          <w:szCs w:val="21"/>
          <w:u w:val="single"/>
          <w:lang w:eastAsia="zh-CN"/>
        </w:rPr>
        <w:t>从国家法律法规规定</w:t>
      </w:r>
      <w:r>
        <w:rPr>
          <w:rFonts w:hint="eastAsia" w:ascii="宋体" w:hAnsi="宋体"/>
          <w:bCs/>
          <w:szCs w:val="21"/>
          <w:u w:val="single"/>
        </w:rPr>
        <w:t xml:space="preserve">  </w:t>
      </w:r>
    </w:p>
    <w:p w14:paraId="480DC418">
      <w:pPr>
        <w:pStyle w:val="322"/>
        <w:rPr>
          <w:rFonts w:hint="eastAsia" w:ascii="宋体" w:hAnsi="宋体" w:eastAsia="宋体" w:cs="宋体"/>
          <w:sz w:val="21"/>
          <w:lang w:eastAsia="zh-CN"/>
        </w:rPr>
      </w:pPr>
      <w:r>
        <w:rPr>
          <w:rFonts w:hint="eastAsia" w:ascii="宋体" w:hAnsi="宋体" w:eastAsia="宋体" w:cs="宋体"/>
          <w:bCs/>
          <w:sz w:val="21"/>
          <w:szCs w:val="21"/>
          <w:u w:val="none"/>
          <w:lang w:eastAsia="zh-CN"/>
        </w:rPr>
        <w:t>（</w:t>
      </w:r>
      <w:r>
        <w:rPr>
          <w:rFonts w:hint="eastAsia" w:ascii="宋体" w:hAnsi="宋体" w:eastAsia="宋体" w:cs="宋体"/>
          <w:bCs/>
          <w:sz w:val="21"/>
          <w:szCs w:val="21"/>
          <w:u w:val="none"/>
          <w:lang w:val="en-US" w:eastAsia="zh-CN"/>
        </w:rPr>
        <w:t>7</w:t>
      </w:r>
      <w:r>
        <w:rPr>
          <w:rFonts w:hint="eastAsia" w:ascii="宋体" w:hAnsi="宋体" w:eastAsia="宋体" w:cs="宋体"/>
          <w:bCs/>
          <w:sz w:val="21"/>
          <w:szCs w:val="21"/>
          <w:u w:val="none"/>
          <w:lang w:eastAsia="zh-CN"/>
        </w:rPr>
        <w:t>）是否以采购活动中供应商提供的样品作为参考：</w:t>
      </w:r>
      <w:r>
        <w:rPr>
          <w:rFonts w:ascii="Wingdings" w:hAnsi="Wingdings" w:eastAsia="Wingdings" w:cs="Wingdings"/>
          <w:sz w:val="21"/>
          <w:szCs w:val="21"/>
        </w:rPr>
        <w:t>¨</w:t>
      </w:r>
      <w:r>
        <w:rPr>
          <w:rFonts w:hint="eastAsia" w:ascii="宋体" w:hAnsi="宋体" w:eastAsia="宋体" w:cs="宋体"/>
          <w:bCs/>
          <w:sz w:val="21"/>
          <w:szCs w:val="21"/>
        </w:rPr>
        <w:t xml:space="preserve">是  </w:t>
      </w:r>
      <w:r>
        <w:rPr>
          <w:rFonts w:ascii="Wingdings" w:hAnsi="Wingdings" w:eastAsia="Wingdings" w:cs="Wingdings"/>
          <w:sz w:val="21"/>
          <w:szCs w:val="21"/>
        </w:rPr>
        <w:t>þ</w:t>
      </w:r>
      <w:r>
        <w:rPr>
          <w:rFonts w:hint="eastAsia" w:ascii="宋体" w:hAnsi="宋体" w:eastAsia="宋体" w:cs="宋体"/>
          <w:bCs/>
          <w:sz w:val="21"/>
          <w:szCs w:val="21"/>
        </w:rPr>
        <w:t>否</w:t>
      </w:r>
    </w:p>
    <w:p w14:paraId="24FF83BF">
      <w:pPr>
        <w:spacing w:before="0" w:line="400" w:lineRule="exact"/>
        <w:ind w:firstLine="420"/>
        <w:rPr>
          <w:rFonts w:hint="eastAsia" w:ascii="宋体" w:hAnsi="宋体" w:cs="宋体"/>
          <w:bCs/>
          <w:color w:val="000000"/>
          <w:szCs w:val="21"/>
          <w:u w:val="single"/>
        </w:rPr>
      </w:pPr>
      <w:r>
        <w:rPr>
          <w:rFonts w:hint="eastAsia" w:ascii="宋体" w:hAnsi="宋体" w:cs="宋体"/>
          <w:bCs/>
          <w:color w:val="000000"/>
          <w:szCs w:val="21"/>
        </w:rPr>
        <w:t>（8）履约验收其他事项：</w:t>
      </w:r>
      <w:r>
        <w:rPr>
          <w:rFonts w:hint="eastAsia" w:ascii="宋体" w:hAnsi="宋体" w:cs="宋体"/>
          <w:bCs/>
          <w:color w:val="000000"/>
          <w:szCs w:val="21"/>
          <w:u w:val="single"/>
        </w:rPr>
        <w:t xml:space="preserve"> </w:t>
      </w:r>
      <w:r>
        <w:rPr>
          <w:rFonts w:hint="eastAsia" w:ascii="宋体" w:hAnsi="宋体" w:eastAsia="宋体" w:cs="Times New Roman"/>
          <w:bCs/>
          <w:color w:val="000000"/>
          <w:szCs w:val="21"/>
          <w:u w:val="single"/>
          <w:lang w:val="en-US" w:eastAsia="zh-CN"/>
        </w:rPr>
        <w:t>严格按照招标文件要求进行验收。对出现假冒产品、以次充好、质量缺陷的，乙方承担全部责任。</w:t>
      </w:r>
      <w:r>
        <w:rPr>
          <w:rFonts w:hint="eastAsia" w:ascii="宋体" w:hAnsi="宋体" w:cs="宋体"/>
          <w:bCs/>
          <w:color w:val="000000"/>
          <w:szCs w:val="21"/>
          <w:u w:val="single"/>
        </w:rPr>
        <w:t xml:space="preserve"> </w:t>
      </w:r>
    </w:p>
    <w:p w14:paraId="62F1178D">
      <w:pPr>
        <w:numPr>
          <w:ilvl w:val="0"/>
          <w:numId w:val="5"/>
        </w:numPr>
        <w:spacing w:before="0" w:line="400" w:lineRule="exact"/>
        <w:ind w:firstLine="422"/>
        <w:rPr>
          <w:rFonts w:hint="eastAsia" w:ascii="宋体" w:hAnsi="宋体"/>
          <w:b/>
          <w:szCs w:val="21"/>
        </w:rPr>
      </w:pPr>
      <w:r>
        <w:rPr>
          <w:rFonts w:hint="eastAsia" w:ascii="宋体" w:hAnsi="宋体"/>
          <w:b/>
          <w:szCs w:val="21"/>
        </w:rPr>
        <w:t>组成合同的文件</w:t>
      </w:r>
    </w:p>
    <w:p w14:paraId="32F3A858">
      <w:pPr>
        <w:spacing w:before="0" w:line="400" w:lineRule="exact"/>
        <w:ind w:firstLine="420"/>
        <w:rPr>
          <w:rFonts w:ascii="宋体" w:hAnsi="宋体"/>
          <w:szCs w:val="21"/>
        </w:rPr>
      </w:pPr>
      <w:r>
        <w:rPr>
          <w:rFonts w:hint="eastAsia" w:ascii="宋体" w:hAnsi="宋体"/>
          <w:szCs w:val="21"/>
        </w:rPr>
        <w:t>本协议书与下列文件一起构成合同文件，如下述文件之间有任何抵触、矛盾或歧义，应按以下顺序解释：</w:t>
      </w:r>
    </w:p>
    <w:p w14:paraId="782AA49D">
      <w:pPr>
        <w:spacing w:before="0" w:line="400" w:lineRule="exact"/>
        <w:ind w:firstLine="420"/>
        <w:rPr>
          <w:rFonts w:hint="eastAsia" w:ascii="宋体" w:hAnsi="宋体"/>
          <w:color w:val="000000"/>
          <w:szCs w:val="21"/>
          <w:lang w:eastAsia="zh-CN"/>
        </w:rPr>
      </w:pPr>
      <w:r>
        <w:rPr>
          <w:rFonts w:hint="eastAsia" w:ascii="宋体" w:hAnsi="宋体"/>
          <w:color w:val="000000"/>
          <w:szCs w:val="21"/>
        </w:rPr>
        <w:t>（1）</w:t>
      </w:r>
      <w:r>
        <w:rPr>
          <w:rFonts w:hint="eastAsia" w:ascii="宋体" w:hAnsi="宋体"/>
          <w:color w:val="000000"/>
          <w:szCs w:val="21"/>
          <w:lang w:eastAsia="zh-CN"/>
        </w:rPr>
        <w:t>政府采购</w:t>
      </w:r>
      <w:r>
        <w:rPr>
          <w:rFonts w:hint="eastAsia" w:ascii="宋体" w:hAnsi="宋体"/>
          <w:color w:val="000000"/>
          <w:szCs w:val="21"/>
        </w:rPr>
        <w:t>合同协议书及其变更、补充</w:t>
      </w:r>
      <w:r>
        <w:rPr>
          <w:rFonts w:hint="eastAsia" w:ascii="宋体" w:hAnsi="宋体"/>
          <w:color w:val="000000"/>
          <w:szCs w:val="21"/>
          <w:lang w:eastAsia="zh-CN"/>
        </w:rPr>
        <w:t>协议</w:t>
      </w:r>
    </w:p>
    <w:p w14:paraId="556BF384">
      <w:pPr>
        <w:spacing w:before="0" w:line="400" w:lineRule="exact"/>
        <w:ind w:firstLine="420"/>
        <w:rPr>
          <w:rFonts w:ascii="宋体" w:hAnsi="宋体"/>
          <w:szCs w:val="21"/>
        </w:rPr>
      </w:pPr>
      <w:r>
        <w:rPr>
          <w:rFonts w:hint="eastAsia" w:ascii="宋体" w:hAnsi="宋体"/>
          <w:szCs w:val="21"/>
        </w:rPr>
        <w:t>（</w:t>
      </w:r>
      <w:r>
        <w:rPr>
          <w:rFonts w:hint="eastAsia" w:ascii="宋体" w:hAnsi="宋体"/>
          <w:szCs w:val="21"/>
          <w:lang w:val="en-US" w:eastAsia="zh-CN"/>
        </w:rPr>
        <w:t>2</w:t>
      </w:r>
      <w:r>
        <w:rPr>
          <w:rFonts w:hint="eastAsia" w:ascii="宋体" w:hAnsi="宋体"/>
          <w:szCs w:val="21"/>
        </w:rPr>
        <w:t>）政府采购合同专用条款</w:t>
      </w:r>
    </w:p>
    <w:p w14:paraId="18725F1F">
      <w:pPr>
        <w:spacing w:before="0" w:line="400" w:lineRule="exact"/>
        <w:ind w:firstLine="420"/>
        <w:rPr>
          <w:rFonts w:ascii="宋体" w:hAnsi="宋体"/>
          <w:szCs w:val="21"/>
        </w:rPr>
      </w:pPr>
      <w:r>
        <w:rPr>
          <w:rFonts w:hint="eastAsia" w:ascii="宋体" w:hAnsi="宋体"/>
          <w:szCs w:val="21"/>
        </w:rPr>
        <w:t>（</w:t>
      </w:r>
      <w:r>
        <w:rPr>
          <w:rFonts w:hint="eastAsia" w:ascii="宋体" w:hAnsi="宋体"/>
          <w:szCs w:val="21"/>
          <w:lang w:val="en-US" w:eastAsia="zh-CN"/>
        </w:rPr>
        <w:t>3</w:t>
      </w:r>
      <w:r>
        <w:rPr>
          <w:rFonts w:hint="eastAsia" w:ascii="宋体" w:hAnsi="宋体"/>
          <w:szCs w:val="21"/>
        </w:rPr>
        <w:t>）政府采购合同通用条款</w:t>
      </w:r>
    </w:p>
    <w:p w14:paraId="69E813D5">
      <w:pPr>
        <w:spacing w:before="0" w:line="400" w:lineRule="exact"/>
        <w:ind w:firstLine="420"/>
        <w:rPr>
          <w:rFonts w:ascii="宋体" w:hAnsi="宋体"/>
          <w:color w:val="000000"/>
          <w:szCs w:val="21"/>
        </w:rPr>
      </w:pPr>
      <w:r>
        <w:rPr>
          <w:rFonts w:hint="eastAsia" w:ascii="宋体" w:hAnsi="宋体"/>
          <w:color w:val="000000"/>
          <w:szCs w:val="21"/>
        </w:rPr>
        <w:t>（</w:t>
      </w:r>
      <w:r>
        <w:rPr>
          <w:rFonts w:hint="eastAsia" w:ascii="宋体" w:hAnsi="宋体"/>
          <w:color w:val="000000"/>
          <w:szCs w:val="21"/>
          <w:lang w:val="en-US" w:eastAsia="zh-CN"/>
        </w:rPr>
        <w:t>4</w:t>
      </w:r>
      <w:r>
        <w:rPr>
          <w:rFonts w:hint="eastAsia" w:ascii="宋体" w:hAnsi="宋体"/>
          <w:color w:val="000000"/>
          <w:szCs w:val="21"/>
        </w:rPr>
        <w:t>）中标</w:t>
      </w:r>
      <w:r>
        <w:rPr>
          <w:rFonts w:hint="eastAsia" w:ascii="宋体" w:hAnsi="宋体"/>
          <w:color w:val="000000"/>
          <w:szCs w:val="21"/>
          <w:lang w:eastAsia="zh-CN"/>
        </w:rPr>
        <w:t>（成交）</w:t>
      </w:r>
      <w:r>
        <w:rPr>
          <w:rFonts w:hint="eastAsia" w:ascii="宋体" w:hAnsi="宋体"/>
          <w:color w:val="000000"/>
          <w:szCs w:val="21"/>
        </w:rPr>
        <w:t>通知书</w:t>
      </w:r>
    </w:p>
    <w:p w14:paraId="421C13B8">
      <w:pPr>
        <w:spacing w:before="0" w:line="400" w:lineRule="exact"/>
        <w:ind w:firstLine="420"/>
        <w:rPr>
          <w:rFonts w:ascii="宋体" w:hAnsi="宋体"/>
          <w:szCs w:val="21"/>
        </w:rPr>
      </w:pPr>
      <w:r>
        <w:rPr>
          <w:rFonts w:hint="eastAsia" w:ascii="宋体" w:hAnsi="宋体"/>
          <w:szCs w:val="21"/>
        </w:rPr>
        <w:t>（</w:t>
      </w:r>
      <w:r>
        <w:rPr>
          <w:rFonts w:hint="eastAsia" w:ascii="宋体" w:hAnsi="宋体"/>
          <w:szCs w:val="21"/>
          <w:lang w:val="en-US" w:eastAsia="zh-CN"/>
        </w:rPr>
        <w:t>5</w:t>
      </w:r>
      <w:r>
        <w:rPr>
          <w:rFonts w:hint="eastAsia" w:ascii="宋体" w:hAnsi="宋体"/>
          <w:szCs w:val="21"/>
        </w:rPr>
        <w:t>）投标（响应）文件</w:t>
      </w:r>
    </w:p>
    <w:p w14:paraId="4F4E4F80">
      <w:pPr>
        <w:spacing w:before="0" w:line="400" w:lineRule="exact"/>
        <w:ind w:firstLine="420"/>
        <w:rPr>
          <w:rFonts w:ascii="宋体" w:hAnsi="宋体"/>
          <w:szCs w:val="21"/>
        </w:rPr>
      </w:pPr>
      <w:r>
        <w:rPr>
          <w:rFonts w:hint="eastAsia" w:ascii="宋体" w:hAnsi="宋体"/>
          <w:szCs w:val="21"/>
        </w:rPr>
        <w:t>（6）采购文件</w:t>
      </w:r>
    </w:p>
    <w:p w14:paraId="2E8142FE">
      <w:pPr>
        <w:spacing w:before="0" w:line="400" w:lineRule="exact"/>
        <w:ind w:firstLine="420"/>
        <w:rPr>
          <w:rFonts w:ascii="宋体" w:hAnsi="宋体"/>
          <w:szCs w:val="21"/>
        </w:rPr>
      </w:pPr>
      <w:r>
        <w:rPr>
          <w:rFonts w:hint="eastAsia" w:ascii="宋体" w:hAnsi="宋体"/>
          <w:szCs w:val="21"/>
        </w:rPr>
        <w:t>（7）有关技术文件，图纸</w:t>
      </w:r>
    </w:p>
    <w:p w14:paraId="7C71F528">
      <w:pPr>
        <w:pStyle w:val="322"/>
        <w:rPr>
          <w:rFonts w:hint="eastAsia" w:ascii="宋体" w:hAnsi="宋体" w:eastAsia="宋体" w:cs="宋体"/>
          <w:sz w:val="21"/>
          <w:highlight w:val="none"/>
          <w:lang w:eastAsia="zh-CN"/>
        </w:rPr>
      </w:pPr>
      <w:r>
        <w:rPr>
          <w:rFonts w:hint="eastAsia" w:ascii="宋体" w:hAnsi="宋体" w:eastAsia="宋体" w:cs="宋体"/>
          <w:sz w:val="21"/>
          <w:szCs w:val="21"/>
          <w:highlight w:val="none"/>
          <w:lang w:eastAsia="zh-CN"/>
        </w:rPr>
        <w:t>（</w:t>
      </w:r>
      <w:r>
        <w:rPr>
          <w:rFonts w:hint="eastAsia" w:ascii="宋体" w:hAnsi="宋体" w:eastAsia="宋体" w:cs="宋体"/>
          <w:sz w:val="21"/>
          <w:szCs w:val="21"/>
          <w:highlight w:val="none"/>
          <w:lang w:val="en-US" w:eastAsia="zh-CN"/>
        </w:rPr>
        <w:t>8</w:t>
      </w:r>
      <w:r>
        <w:rPr>
          <w:rFonts w:hint="eastAsia" w:ascii="宋体" w:hAnsi="宋体" w:eastAsia="宋体" w:cs="宋体"/>
          <w:sz w:val="21"/>
          <w:szCs w:val="21"/>
          <w:highlight w:val="none"/>
          <w:lang w:eastAsia="zh-CN"/>
        </w:rPr>
        <w:t>）</w:t>
      </w:r>
      <w:r>
        <w:rPr>
          <w:rFonts w:hint="eastAsia" w:ascii="宋体" w:hAnsi="宋体" w:eastAsia="宋体" w:cs="宋体"/>
          <w:bCs w:val="0"/>
          <w:color w:val="000000"/>
          <w:sz w:val="21"/>
          <w:szCs w:val="21"/>
          <w:highlight w:val="none"/>
          <w:lang w:eastAsia="zh-CN"/>
        </w:rPr>
        <w:t>国家法律、行政法规和规章制度规定或合同约定的作为合同组成部分的其他文件。</w:t>
      </w:r>
    </w:p>
    <w:p w14:paraId="4C2A7EBC">
      <w:pPr>
        <w:numPr>
          <w:ilvl w:val="0"/>
          <w:numId w:val="5"/>
        </w:numPr>
        <w:spacing w:before="0" w:line="400" w:lineRule="exact"/>
        <w:ind w:firstLine="422"/>
        <w:rPr>
          <w:rFonts w:hint="eastAsia" w:ascii="宋体" w:hAnsi="宋体"/>
          <w:b/>
          <w:szCs w:val="21"/>
        </w:rPr>
      </w:pPr>
      <w:r>
        <w:rPr>
          <w:rFonts w:hint="eastAsia" w:ascii="宋体" w:hAnsi="宋体"/>
          <w:b/>
          <w:szCs w:val="21"/>
        </w:rPr>
        <w:t>合同生效</w:t>
      </w:r>
    </w:p>
    <w:p w14:paraId="12ACD25A">
      <w:pPr>
        <w:spacing w:before="0" w:line="400" w:lineRule="exact"/>
        <w:ind w:firstLine="420"/>
        <w:rPr>
          <w:rFonts w:ascii="宋体" w:hAnsi="宋体"/>
          <w:szCs w:val="21"/>
        </w:rPr>
      </w:pPr>
      <w:r>
        <w:rPr>
          <w:rFonts w:hint="eastAsia" w:ascii="宋体" w:hAnsi="宋体"/>
          <w:szCs w:val="21"/>
        </w:rPr>
        <w:t>本合同自</w:t>
      </w:r>
      <w:r>
        <w:rPr>
          <w:rFonts w:hint="eastAsia" w:ascii="宋体" w:hAnsi="宋体"/>
          <w:szCs w:val="21"/>
          <w:u w:val="single"/>
        </w:rPr>
        <w:t xml:space="preserve">  </w:t>
      </w:r>
      <w:r>
        <w:rPr>
          <w:rFonts w:hint="eastAsia" w:ascii="宋体" w:hAnsi="宋体"/>
          <w:szCs w:val="21"/>
          <w:u w:val="single"/>
          <w:lang w:eastAsia="zh-CN"/>
        </w:rPr>
        <w:t>甲乙双方签订本合同之日起</w:t>
      </w:r>
      <w:r>
        <w:rPr>
          <w:rFonts w:hint="eastAsia" w:ascii="宋体" w:hAnsi="宋体"/>
          <w:szCs w:val="21"/>
          <w:u w:val="single"/>
        </w:rPr>
        <w:t xml:space="preserve"> </w:t>
      </w:r>
      <w:r>
        <w:rPr>
          <w:rFonts w:hint="eastAsia" w:ascii="宋体" w:hAnsi="宋体"/>
          <w:szCs w:val="21"/>
        </w:rPr>
        <w:t>生效。</w:t>
      </w:r>
    </w:p>
    <w:p w14:paraId="7CAACDDE">
      <w:pPr>
        <w:numPr>
          <w:ilvl w:val="0"/>
          <w:numId w:val="5"/>
        </w:numPr>
        <w:spacing w:before="0" w:line="400" w:lineRule="exact"/>
        <w:ind w:firstLine="422"/>
        <w:rPr>
          <w:rFonts w:hint="eastAsia" w:ascii="宋体" w:hAnsi="宋体"/>
          <w:b/>
          <w:szCs w:val="21"/>
        </w:rPr>
      </w:pPr>
      <w:r>
        <w:rPr>
          <w:rFonts w:hint="eastAsia" w:ascii="宋体" w:hAnsi="宋体"/>
          <w:b/>
          <w:szCs w:val="21"/>
        </w:rPr>
        <w:t>合同份数</w:t>
      </w:r>
    </w:p>
    <w:p w14:paraId="4AEC3C3F">
      <w:pPr>
        <w:spacing w:line="480" w:lineRule="exact"/>
        <w:ind w:firstLine="420"/>
        <w:rPr>
          <w:rFonts w:ascii="宋体" w:hAnsi="宋体"/>
          <w:szCs w:val="21"/>
        </w:rPr>
      </w:pPr>
      <w:r>
        <w:rPr>
          <w:rFonts w:hint="eastAsia" w:ascii="宋体" w:hAnsi="宋体"/>
          <w:szCs w:val="21"/>
        </w:rPr>
        <w:t>本合同一式</w:t>
      </w:r>
      <w:r>
        <w:rPr>
          <w:rFonts w:hint="eastAsia" w:ascii="宋体" w:hAnsi="宋体"/>
          <w:szCs w:val="21"/>
          <w:u w:val="single"/>
          <w:lang w:eastAsia="zh-CN"/>
        </w:rPr>
        <w:t>伍</w:t>
      </w:r>
      <w:r>
        <w:rPr>
          <w:rFonts w:hint="eastAsia" w:ascii="宋体" w:hAnsi="宋体"/>
          <w:szCs w:val="21"/>
        </w:rPr>
        <w:t>份，</w:t>
      </w:r>
      <w:r>
        <w:rPr>
          <w:rFonts w:hint="eastAsia" w:ascii="宋体" w:hAnsi="宋体"/>
          <w:szCs w:val="21"/>
          <w:lang w:eastAsia="zh-CN"/>
        </w:rPr>
        <w:t>甲方</w:t>
      </w:r>
      <w:r>
        <w:rPr>
          <w:rFonts w:hint="eastAsia" w:ascii="宋体" w:hAnsi="宋体"/>
          <w:szCs w:val="21"/>
        </w:rPr>
        <w:t>执</w:t>
      </w:r>
      <w:r>
        <w:rPr>
          <w:rFonts w:hint="eastAsia" w:ascii="宋体" w:hAnsi="宋体"/>
          <w:szCs w:val="21"/>
          <w:u w:val="single"/>
          <w:lang w:val="en-US" w:eastAsia="zh-CN"/>
        </w:rPr>
        <w:t>贰</w:t>
      </w:r>
      <w:r>
        <w:rPr>
          <w:rFonts w:hint="eastAsia" w:ascii="宋体" w:hAnsi="宋体"/>
          <w:szCs w:val="21"/>
        </w:rPr>
        <w:t>份，</w:t>
      </w:r>
      <w:r>
        <w:rPr>
          <w:rFonts w:hint="eastAsia" w:ascii="宋体" w:hAnsi="宋体"/>
          <w:szCs w:val="21"/>
          <w:lang w:eastAsia="zh-CN"/>
        </w:rPr>
        <w:t>乙方</w:t>
      </w:r>
      <w:r>
        <w:rPr>
          <w:rFonts w:hint="eastAsia" w:ascii="宋体" w:hAnsi="宋体"/>
          <w:szCs w:val="21"/>
        </w:rPr>
        <w:t>执</w:t>
      </w:r>
      <w:r>
        <w:rPr>
          <w:rFonts w:hint="eastAsia" w:ascii="宋体" w:hAnsi="宋体"/>
          <w:szCs w:val="21"/>
          <w:u w:val="single"/>
          <w:lang w:eastAsia="zh-CN"/>
        </w:rPr>
        <w:t>贰</w:t>
      </w:r>
      <w:r>
        <w:rPr>
          <w:rFonts w:hint="eastAsia" w:ascii="宋体" w:hAnsi="宋体"/>
          <w:szCs w:val="21"/>
        </w:rPr>
        <w:t>份，</w:t>
      </w:r>
      <w:r>
        <w:rPr>
          <w:rFonts w:hint="eastAsia" w:ascii="宋体" w:hAnsi="宋体" w:eastAsia="宋体" w:cs="Times New Roman"/>
          <w:szCs w:val="21"/>
        </w:rPr>
        <w:t>政府采购监管部门执</w:t>
      </w:r>
      <w:r>
        <w:rPr>
          <w:rFonts w:hint="eastAsia" w:ascii="宋体" w:hAnsi="宋体" w:eastAsia="宋体" w:cs="Times New Roman"/>
          <w:szCs w:val="21"/>
          <w:lang w:eastAsia="zh-CN"/>
        </w:rPr>
        <w:t>壹</w:t>
      </w:r>
      <w:r>
        <w:rPr>
          <w:rFonts w:hint="eastAsia" w:ascii="宋体" w:hAnsi="宋体" w:eastAsia="宋体" w:cs="Times New Roman"/>
          <w:szCs w:val="21"/>
        </w:rPr>
        <w:t>份。</w:t>
      </w:r>
      <w:r>
        <w:rPr>
          <w:rFonts w:hint="eastAsia" w:ascii="宋体" w:hAnsi="宋体"/>
          <w:szCs w:val="21"/>
        </w:rPr>
        <w:t>均具有同等法律效力。</w:t>
      </w:r>
    </w:p>
    <w:p w14:paraId="7743266D">
      <w:pPr>
        <w:spacing w:before="0" w:line="400" w:lineRule="exact"/>
        <w:ind w:firstLine="420"/>
        <w:rPr>
          <w:rFonts w:ascii="宋体" w:hAnsi="宋体"/>
          <w:szCs w:val="21"/>
        </w:rPr>
      </w:pPr>
      <w:r>
        <w:rPr>
          <w:rFonts w:hint="eastAsia" w:ascii="宋体" w:hAnsi="宋体"/>
          <w:szCs w:val="21"/>
        </w:rPr>
        <w:t>合同订立时间：</w:t>
      </w:r>
      <w:r>
        <w:rPr>
          <w:rFonts w:hint="eastAsia" w:ascii="宋体" w:hAnsi="宋体"/>
          <w:szCs w:val="21"/>
          <w:u w:val="single"/>
        </w:rPr>
        <w:t xml:space="preserve">  </w:t>
      </w:r>
      <w:r>
        <w:rPr>
          <w:rFonts w:hint="eastAsia" w:ascii="宋体" w:hAnsi="宋体"/>
          <w:szCs w:val="21"/>
          <w:u w:val="single"/>
          <w:lang w:val="en-US" w:eastAsia="zh-CN"/>
        </w:rPr>
        <w:t xml:space="preserve">   </w:t>
      </w:r>
      <w:r>
        <w:rPr>
          <w:rFonts w:hint="eastAsia" w:ascii="宋体" w:hAnsi="宋体"/>
          <w:szCs w:val="21"/>
        </w:rPr>
        <w:t>年</w:t>
      </w:r>
      <w:r>
        <w:rPr>
          <w:rFonts w:hint="eastAsia" w:ascii="宋体" w:hAnsi="宋体"/>
          <w:szCs w:val="21"/>
          <w:u w:val="single"/>
        </w:rPr>
        <w:t xml:space="preserve"> </w:t>
      </w:r>
      <w:r>
        <w:rPr>
          <w:rFonts w:hint="eastAsia" w:ascii="宋体" w:hAnsi="宋体"/>
          <w:szCs w:val="21"/>
          <w:u w:val="single"/>
          <w:lang w:val="en-US" w:eastAsia="zh-CN"/>
        </w:rPr>
        <w:t xml:space="preserve">   </w:t>
      </w:r>
      <w:r>
        <w:rPr>
          <w:rFonts w:hint="eastAsia" w:ascii="宋体" w:hAnsi="宋体"/>
          <w:szCs w:val="21"/>
          <w:u w:val="single"/>
        </w:rPr>
        <w:t xml:space="preserve"> </w:t>
      </w:r>
      <w:r>
        <w:rPr>
          <w:rFonts w:hint="eastAsia" w:ascii="宋体" w:hAnsi="宋体"/>
          <w:szCs w:val="21"/>
        </w:rPr>
        <w:t>月</w:t>
      </w:r>
      <w:r>
        <w:rPr>
          <w:rFonts w:hint="eastAsia" w:ascii="宋体" w:hAnsi="宋体"/>
          <w:szCs w:val="21"/>
          <w:u w:val="single"/>
        </w:rPr>
        <w:t xml:space="preserve">      </w:t>
      </w:r>
      <w:r>
        <w:rPr>
          <w:rFonts w:hint="eastAsia" w:ascii="宋体" w:hAnsi="宋体"/>
          <w:szCs w:val="21"/>
        </w:rPr>
        <w:t>日</w:t>
      </w:r>
    </w:p>
    <w:p w14:paraId="18DCFFBE">
      <w:pPr>
        <w:spacing w:before="0" w:line="400" w:lineRule="exact"/>
        <w:ind w:firstLine="420"/>
        <w:rPr>
          <w:rFonts w:ascii="宋体" w:hAnsi="宋体"/>
          <w:szCs w:val="21"/>
        </w:rPr>
      </w:pPr>
      <w:r>
        <w:rPr>
          <w:rFonts w:hint="eastAsia" w:ascii="宋体" w:hAnsi="宋体"/>
          <w:szCs w:val="21"/>
        </w:rPr>
        <w:t>合同订立地点：</w:t>
      </w:r>
      <w:r>
        <w:rPr>
          <w:rFonts w:hint="eastAsia" w:ascii="宋体" w:hAnsi="宋体"/>
          <w:szCs w:val="21"/>
          <w:u w:val="single"/>
        </w:rPr>
        <w:t xml:space="preserve">  </w:t>
      </w:r>
      <w:r>
        <w:rPr>
          <w:rFonts w:hint="eastAsia" w:ascii="宋体" w:hAnsi="宋体"/>
          <w:szCs w:val="21"/>
          <w:u w:val="single"/>
          <w:lang w:eastAsia="zh-CN"/>
        </w:rPr>
        <w:t xml:space="preserve"> 阜宁县人民医院</w:t>
      </w:r>
      <w:r>
        <w:rPr>
          <w:rFonts w:hint="eastAsia" w:ascii="宋体" w:hAnsi="宋体"/>
          <w:szCs w:val="21"/>
          <w:u w:val="single"/>
        </w:rPr>
        <w:t xml:space="preserve"> </w:t>
      </w:r>
    </w:p>
    <w:p w14:paraId="2D26D3E4">
      <w:pPr>
        <w:spacing w:before="0" w:line="400" w:lineRule="exact"/>
        <w:ind w:firstLine="420"/>
      </w:pPr>
      <w:r>
        <w:rPr>
          <w:rFonts w:hint="eastAsia" w:ascii="宋体" w:hAnsi="宋体"/>
          <w:szCs w:val="21"/>
        </w:rPr>
        <w:t>附件：具体标</w:t>
      </w:r>
      <w:r>
        <w:rPr>
          <w:rFonts w:hint="eastAsia" w:ascii="宋体" w:hAnsi="宋体"/>
          <w:szCs w:val="21"/>
          <w:lang w:eastAsia="zh-CN"/>
        </w:rPr>
        <w:t>的及其</w:t>
      </w:r>
      <w:r>
        <w:rPr>
          <w:rFonts w:hint="eastAsia" w:ascii="宋体" w:hAnsi="宋体"/>
          <w:szCs w:val="21"/>
          <w:highlight w:val="none"/>
          <w:u w:val="none"/>
          <w:lang w:val="en-US" w:eastAsia="zh-CN"/>
        </w:rPr>
        <w:t>技术要求和商务要求</w:t>
      </w:r>
      <w:r>
        <w:rPr>
          <w:rFonts w:hint="eastAsia" w:ascii="宋体" w:hAnsi="宋体"/>
          <w:szCs w:val="21"/>
        </w:rPr>
        <w:t>、联合协议、分包</w:t>
      </w:r>
      <w:r>
        <w:rPr>
          <w:rFonts w:hint="eastAsia" w:ascii="宋体" w:hAnsi="宋体"/>
          <w:szCs w:val="21"/>
          <w:lang w:eastAsia="zh-CN"/>
        </w:rPr>
        <w:t>意向</w:t>
      </w:r>
      <w:r>
        <w:rPr>
          <w:rFonts w:hint="eastAsia" w:ascii="宋体" w:hAnsi="宋体"/>
          <w:szCs w:val="21"/>
        </w:rPr>
        <w:t>协议等。</w:t>
      </w:r>
    </w:p>
    <w:p w14:paraId="1EDA7392">
      <w:pPr>
        <w:pStyle w:val="281"/>
        <w:spacing w:line="400" w:lineRule="exact"/>
      </w:pPr>
    </w:p>
    <w:tbl>
      <w:tblPr>
        <w:tblStyle w:val="31"/>
        <w:tblW w:w="4923" w:type="pct"/>
        <w:jc w:val="center"/>
        <w:tblBorders>
          <w:top w:val="single" w:color="000000" w:sz="4" w:space="0"/>
          <w:left w:val="single" w:color="000000" w:sz="4" w:space="0"/>
          <w:bottom w:val="single" w:color="000000" w:sz="4" w:space="0"/>
          <w:right w:val="single" w:color="000000" w:sz="4" w:space="0"/>
          <w:insideH w:val="single" w:color="000000" w:sz="2" w:space="0"/>
          <w:insideV w:val="single" w:color="000000" w:sz="2" w:space="0"/>
        </w:tblBorders>
        <w:tblLayout w:type="autofit"/>
        <w:tblCellMar>
          <w:top w:w="0" w:type="dxa"/>
          <w:left w:w="108" w:type="dxa"/>
          <w:bottom w:w="0" w:type="dxa"/>
          <w:right w:w="108" w:type="dxa"/>
        </w:tblCellMar>
      </w:tblPr>
      <w:tblGrid>
        <w:gridCol w:w="1936"/>
        <w:gridCol w:w="2864"/>
        <w:gridCol w:w="1913"/>
        <w:gridCol w:w="2654"/>
      </w:tblGrid>
      <w:tr w14:paraId="28DE91B7">
        <w:tblPrEx>
          <w:tblBorders>
            <w:top w:val="single" w:color="000000" w:sz="4" w:space="0"/>
            <w:left w:val="single" w:color="000000" w:sz="4" w:space="0"/>
            <w:bottom w:val="single" w:color="000000" w:sz="4" w:space="0"/>
            <w:right w:val="single" w:color="000000" w:sz="4" w:space="0"/>
            <w:insideH w:val="single" w:color="000000" w:sz="2" w:space="0"/>
            <w:insideV w:val="single" w:color="000000" w:sz="2" w:space="0"/>
          </w:tblBorders>
          <w:tblCellMar>
            <w:top w:w="0" w:type="dxa"/>
            <w:left w:w="108" w:type="dxa"/>
            <w:bottom w:w="0" w:type="dxa"/>
            <w:right w:w="108" w:type="dxa"/>
          </w:tblCellMar>
        </w:tblPrEx>
        <w:trPr>
          <w:trHeight w:val="794" w:hRule="atLeast"/>
          <w:jc w:val="center"/>
        </w:trPr>
        <w:tc>
          <w:tcPr>
            <w:tcW w:w="4797" w:type="dxa"/>
            <w:gridSpan w:val="2"/>
            <w:noWrap w:val="0"/>
            <w:vAlign w:val="center"/>
          </w:tcPr>
          <w:p w14:paraId="7012C3CB">
            <w:pPr>
              <w:spacing w:line="300" w:lineRule="exact"/>
              <w:jc w:val="center"/>
            </w:pPr>
            <w:r>
              <w:rPr>
                <w:szCs w:val="21"/>
              </w:rPr>
              <w:t>甲方</w:t>
            </w:r>
            <w:r>
              <w:rPr>
                <w:rFonts w:hint="eastAsia"/>
                <w:szCs w:val="21"/>
              </w:rPr>
              <w:t>（采购人</w:t>
            </w:r>
            <w:r>
              <w:rPr>
                <w:rFonts w:hint="eastAsia" w:ascii="宋体" w:hAnsi="宋体"/>
                <w:szCs w:val="21"/>
                <w:lang w:eastAsia="zh-CN"/>
              </w:rPr>
              <w:t>、受采购人委托签订合同的单位</w:t>
            </w:r>
            <w:r>
              <w:rPr>
                <w:rFonts w:hint="eastAsia" w:ascii="宋体" w:hAnsi="宋体"/>
                <w:szCs w:val="21"/>
              </w:rPr>
              <w:t>或</w:t>
            </w:r>
            <w:r>
              <w:rPr>
                <w:rFonts w:hint="eastAsia"/>
                <w:szCs w:val="21"/>
              </w:rPr>
              <w:t>采购文件约定的合同甲方）</w:t>
            </w:r>
          </w:p>
        </w:tc>
        <w:tc>
          <w:tcPr>
            <w:tcW w:w="4565" w:type="dxa"/>
            <w:gridSpan w:val="2"/>
            <w:noWrap w:val="0"/>
            <w:vAlign w:val="center"/>
          </w:tcPr>
          <w:p w14:paraId="7196669E">
            <w:pPr>
              <w:spacing w:line="300" w:lineRule="exact"/>
              <w:jc w:val="center"/>
            </w:pPr>
            <w:r>
              <w:rPr>
                <w:szCs w:val="21"/>
              </w:rPr>
              <w:t>乙方</w:t>
            </w:r>
            <w:r>
              <w:rPr>
                <w:rFonts w:hint="eastAsia"/>
                <w:szCs w:val="21"/>
              </w:rPr>
              <w:t>（供应商）</w:t>
            </w:r>
          </w:p>
        </w:tc>
      </w:tr>
      <w:tr w14:paraId="27C86BE1">
        <w:tblPrEx>
          <w:tblBorders>
            <w:top w:val="single" w:color="000000" w:sz="4" w:space="0"/>
            <w:left w:val="single" w:color="000000" w:sz="4" w:space="0"/>
            <w:bottom w:val="single" w:color="000000" w:sz="4" w:space="0"/>
            <w:right w:val="single" w:color="000000" w:sz="4" w:space="0"/>
            <w:insideH w:val="single" w:color="000000" w:sz="2" w:space="0"/>
            <w:insideV w:val="single" w:color="000000" w:sz="2" w:space="0"/>
          </w:tblBorders>
          <w:tblCellMar>
            <w:top w:w="0" w:type="dxa"/>
            <w:left w:w="108" w:type="dxa"/>
            <w:bottom w:w="0" w:type="dxa"/>
            <w:right w:w="108" w:type="dxa"/>
          </w:tblCellMar>
        </w:tblPrEx>
        <w:trPr>
          <w:trHeight w:val="794" w:hRule="atLeast"/>
          <w:jc w:val="center"/>
        </w:trPr>
        <w:tc>
          <w:tcPr>
            <w:tcW w:w="1935" w:type="dxa"/>
            <w:noWrap w:val="0"/>
            <w:vAlign w:val="center"/>
          </w:tcPr>
          <w:p w14:paraId="0115F343">
            <w:pPr>
              <w:spacing w:line="300" w:lineRule="exact"/>
              <w:jc w:val="center"/>
              <w:rPr>
                <w:szCs w:val="21"/>
              </w:rPr>
            </w:pPr>
            <w:r>
              <w:rPr>
                <w:szCs w:val="21"/>
              </w:rPr>
              <w:t>单位名称</w:t>
            </w:r>
          </w:p>
          <w:p w14:paraId="10B4B235">
            <w:pPr>
              <w:spacing w:line="300" w:lineRule="exact"/>
              <w:jc w:val="left"/>
              <w:rPr>
                <w:szCs w:val="21"/>
              </w:rPr>
            </w:pPr>
            <w:r>
              <w:rPr>
                <w:rFonts w:hint="eastAsia"/>
                <w:szCs w:val="21"/>
              </w:rPr>
              <w:t>（公章</w:t>
            </w:r>
            <w:r>
              <w:rPr>
                <w:rFonts w:hint="eastAsia"/>
                <w:szCs w:val="21"/>
                <w:lang w:eastAsia="zh-CN"/>
              </w:rPr>
              <w:t>或合同章</w:t>
            </w:r>
            <w:r>
              <w:rPr>
                <w:rFonts w:hint="eastAsia"/>
                <w:szCs w:val="21"/>
              </w:rPr>
              <w:t>）</w:t>
            </w:r>
          </w:p>
        </w:tc>
        <w:tc>
          <w:tcPr>
            <w:tcW w:w="2862" w:type="dxa"/>
            <w:noWrap w:val="0"/>
            <w:vAlign w:val="center"/>
          </w:tcPr>
          <w:p w14:paraId="3753C2E8">
            <w:pPr>
              <w:spacing w:line="300" w:lineRule="exact"/>
              <w:jc w:val="center"/>
              <w:rPr>
                <w:szCs w:val="21"/>
              </w:rPr>
            </w:pPr>
          </w:p>
        </w:tc>
        <w:tc>
          <w:tcPr>
            <w:tcW w:w="1912" w:type="dxa"/>
            <w:noWrap w:val="0"/>
            <w:vAlign w:val="center"/>
          </w:tcPr>
          <w:p w14:paraId="7907CD8C">
            <w:pPr>
              <w:spacing w:line="300" w:lineRule="exact"/>
              <w:jc w:val="center"/>
              <w:rPr>
                <w:szCs w:val="21"/>
              </w:rPr>
            </w:pPr>
            <w:r>
              <w:rPr>
                <w:szCs w:val="21"/>
              </w:rPr>
              <w:t>单位名称</w:t>
            </w:r>
          </w:p>
          <w:p w14:paraId="1F5CAFED">
            <w:pPr>
              <w:spacing w:line="300" w:lineRule="exact"/>
              <w:jc w:val="center"/>
              <w:rPr>
                <w:szCs w:val="21"/>
              </w:rPr>
            </w:pPr>
            <w:r>
              <w:rPr>
                <w:rFonts w:hint="eastAsia"/>
                <w:szCs w:val="21"/>
              </w:rPr>
              <w:t>（公章</w:t>
            </w:r>
            <w:r>
              <w:rPr>
                <w:rFonts w:hint="eastAsia"/>
                <w:szCs w:val="21"/>
                <w:lang w:eastAsia="zh-CN"/>
              </w:rPr>
              <w:t>或合同章</w:t>
            </w:r>
            <w:r>
              <w:rPr>
                <w:rFonts w:hint="eastAsia"/>
                <w:szCs w:val="21"/>
              </w:rPr>
              <w:t>）</w:t>
            </w:r>
          </w:p>
        </w:tc>
        <w:tc>
          <w:tcPr>
            <w:tcW w:w="2653" w:type="dxa"/>
            <w:noWrap w:val="0"/>
            <w:vAlign w:val="center"/>
          </w:tcPr>
          <w:p w14:paraId="7125A70B">
            <w:pPr>
              <w:spacing w:line="300" w:lineRule="exact"/>
              <w:jc w:val="center"/>
              <w:rPr>
                <w:spacing w:val="20"/>
                <w:szCs w:val="21"/>
              </w:rPr>
            </w:pPr>
          </w:p>
        </w:tc>
      </w:tr>
      <w:tr w14:paraId="31988653">
        <w:tblPrEx>
          <w:tblBorders>
            <w:top w:val="single" w:color="000000" w:sz="4" w:space="0"/>
            <w:left w:val="single" w:color="000000" w:sz="4" w:space="0"/>
            <w:bottom w:val="single" w:color="000000" w:sz="4" w:space="0"/>
            <w:right w:val="single" w:color="000000" w:sz="4" w:space="0"/>
            <w:insideH w:val="single" w:color="000000" w:sz="2" w:space="0"/>
            <w:insideV w:val="single" w:color="000000" w:sz="2" w:space="0"/>
          </w:tblBorders>
          <w:tblCellMar>
            <w:top w:w="0" w:type="dxa"/>
            <w:left w:w="108" w:type="dxa"/>
            <w:bottom w:w="0" w:type="dxa"/>
            <w:right w:w="108" w:type="dxa"/>
          </w:tblCellMar>
        </w:tblPrEx>
        <w:trPr>
          <w:trHeight w:val="794" w:hRule="atLeast"/>
          <w:jc w:val="center"/>
        </w:trPr>
        <w:tc>
          <w:tcPr>
            <w:tcW w:w="1935" w:type="dxa"/>
            <w:vMerge w:val="restart"/>
            <w:noWrap w:val="0"/>
            <w:vAlign w:val="center"/>
          </w:tcPr>
          <w:p w14:paraId="5784FD12">
            <w:pPr>
              <w:spacing w:line="300" w:lineRule="exact"/>
              <w:jc w:val="center"/>
              <w:rPr>
                <w:szCs w:val="21"/>
              </w:rPr>
            </w:pPr>
            <w:r>
              <w:rPr>
                <w:szCs w:val="21"/>
              </w:rPr>
              <w:t>法定代表人</w:t>
            </w:r>
          </w:p>
          <w:p w14:paraId="4183D091">
            <w:pPr>
              <w:spacing w:line="300" w:lineRule="exact"/>
              <w:ind w:firstLine="100"/>
              <w:jc w:val="center"/>
              <w:rPr>
                <w:szCs w:val="21"/>
              </w:rPr>
            </w:pPr>
            <w:r>
              <w:rPr>
                <w:rFonts w:hint="eastAsia"/>
                <w:szCs w:val="21"/>
              </w:rPr>
              <w:t>或其</w:t>
            </w:r>
            <w:r>
              <w:rPr>
                <w:szCs w:val="21"/>
              </w:rPr>
              <w:t>委托代理人</w:t>
            </w:r>
            <w:r>
              <w:rPr>
                <w:rFonts w:hint="eastAsia"/>
                <w:szCs w:val="21"/>
              </w:rPr>
              <w:t>（签章）</w:t>
            </w:r>
          </w:p>
        </w:tc>
        <w:tc>
          <w:tcPr>
            <w:tcW w:w="2862" w:type="dxa"/>
            <w:vMerge w:val="restart"/>
            <w:noWrap w:val="0"/>
            <w:vAlign w:val="center"/>
          </w:tcPr>
          <w:p w14:paraId="2D438E0B">
            <w:pPr>
              <w:spacing w:line="300" w:lineRule="exact"/>
              <w:jc w:val="center"/>
              <w:rPr>
                <w:szCs w:val="21"/>
              </w:rPr>
            </w:pPr>
          </w:p>
        </w:tc>
        <w:tc>
          <w:tcPr>
            <w:tcW w:w="1912" w:type="dxa"/>
            <w:noWrap w:val="0"/>
            <w:vAlign w:val="center"/>
          </w:tcPr>
          <w:p w14:paraId="60A918BD">
            <w:pPr>
              <w:spacing w:line="300" w:lineRule="exact"/>
              <w:jc w:val="center"/>
              <w:rPr>
                <w:szCs w:val="21"/>
              </w:rPr>
            </w:pPr>
            <w:r>
              <w:rPr>
                <w:szCs w:val="21"/>
              </w:rPr>
              <w:t>法定代表人</w:t>
            </w:r>
          </w:p>
          <w:p w14:paraId="406006F2">
            <w:pPr>
              <w:spacing w:line="300" w:lineRule="exact"/>
              <w:jc w:val="center"/>
              <w:rPr>
                <w:szCs w:val="21"/>
              </w:rPr>
            </w:pPr>
            <w:r>
              <w:rPr>
                <w:rFonts w:hint="eastAsia"/>
                <w:szCs w:val="21"/>
              </w:rPr>
              <w:t>或其</w:t>
            </w:r>
            <w:r>
              <w:rPr>
                <w:szCs w:val="21"/>
              </w:rPr>
              <w:t>委托代理人</w:t>
            </w:r>
            <w:r>
              <w:rPr>
                <w:rFonts w:hint="eastAsia"/>
                <w:szCs w:val="21"/>
              </w:rPr>
              <w:t>（签章）</w:t>
            </w:r>
          </w:p>
        </w:tc>
        <w:tc>
          <w:tcPr>
            <w:tcW w:w="2653" w:type="dxa"/>
            <w:noWrap w:val="0"/>
            <w:vAlign w:val="center"/>
          </w:tcPr>
          <w:p w14:paraId="4F8D9C39">
            <w:pPr>
              <w:spacing w:line="300" w:lineRule="exact"/>
              <w:jc w:val="center"/>
              <w:rPr>
                <w:szCs w:val="21"/>
              </w:rPr>
            </w:pPr>
          </w:p>
        </w:tc>
      </w:tr>
      <w:tr w14:paraId="4AA872E0">
        <w:tblPrEx>
          <w:tblBorders>
            <w:top w:val="single" w:color="000000" w:sz="4" w:space="0"/>
            <w:left w:val="single" w:color="000000" w:sz="4" w:space="0"/>
            <w:bottom w:val="single" w:color="000000" w:sz="4" w:space="0"/>
            <w:right w:val="single" w:color="000000" w:sz="4" w:space="0"/>
            <w:insideH w:val="single" w:color="000000" w:sz="2" w:space="0"/>
            <w:insideV w:val="single" w:color="000000" w:sz="2" w:space="0"/>
          </w:tblBorders>
          <w:tblCellMar>
            <w:top w:w="0" w:type="dxa"/>
            <w:left w:w="108" w:type="dxa"/>
            <w:bottom w:w="0" w:type="dxa"/>
            <w:right w:w="108" w:type="dxa"/>
          </w:tblCellMar>
        </w:tblPrEx>
        <w:trPr>
          <w:trHeight w:val="794" w:hRule="atLeast"/>
          <w:jc w:val="center"/>
        </w:trPr>
        <w:tc>
          <w:tcPr>
            <w:tcW w:w="1935" w:type="dxa"/>
            <w:vMerge w:val="continue"/>
            <w:noWrap w:val="0"/>
            <w:vAlign w:val="center"/>
          </w:tcPr>
          <w:p w14:paraId="7F4495D5">
            <w:pPr>
              <w:spacing w:line="300" w:lineRule="exact"/>
              <w:jc w:val="center"/>
              <w:rPr>
                <w:szCs w:val="21"/>
              </w:rPr>
            </w:pPr>
          </w:p>
        </w:tc>
        <w:tc>
          <w:tcPr>
            <w:tcW w:w="2862" w:type="dxa"/>
            <w:vMerge w:val="continue"/>
            <w:noWrap w:val="0"/>
            <w:vAlign w:val="center"/>
          </w:tcPr>
          <w:p w14:paraId="43D703F6">
            <w:pPr>
              <w:spacing w:line="300" w:lineRule="exact"/>
              <w:jc w:val="center"/>
              <w:rPr>
                <w:szCs w:val="21"/>
              </w:rPr>
            </w:pPr>
          </w:p>
        </w:tc>
        <w:tc>
          <w:tcPr>
            <w:tcW w:w="1912" w:type="dxa"/>
            <w:noWrap w:val="0"/>
            <w:vAlign w:val="center"/>
          </w:tcPr>
          <w:p w14:paraId="0449EB5A">
            <w:pPr>
              <w:spacing w:line="300" w:lineRule="exact"/>
              <w:jc w:val="center"/>
              <w:rPr>
                <w:rFonts w:hint="eastAsia" w:eastAsia="宋体"/>
                <w:szCs w:val="21"/>
                <w:lang w:eastAsia="zh-CN"/>
              </w:rPr>
            </w:pPr>
            <w:r>
              <w:rPr>
                <w:rFonts w:hint="eastAsia"/>
                <w:szCs w:val="21"/>
                <w:lang w:eastAsia="zh-CN"/>
              </w:rPr>
              <w:t>拥有者性别</w:t>
            </w:r>
          </w:p>
        </w:tc>
        <w:tc>
          <w:tcPr>
            <w:tcW w:w="2653" w:type="dxa"/>
            <w:noWrap w:val="0"/>
            <w:vAlign w:val="center"/>
          </w:tcPr>
          <w:p w14:paraId="4CDC425F">
            <w:pPr>
              <w:spacing w:line="300" w:lineRule="exact"/>
              <w:jc w:val="center"/>
              <w:rPr>
                <w:spacing w:val="20"/>
                <w:szCs w:val="21"/>
              </w:rPr>
            </w:pPr>
          </w:p>
        </w:tc>
      </w:tr>
      <w:tr w14:paraId="399461D3">
        <w:tblPrEx>
          <w:tblBorders>
            <w:top w:val="single" w:color="000000" w:sz="4" w:space="0"/>
            <w:left w:val="single" w:color="000000" w:sz="4" w:space="0"/>
            <w:bottom w:val="single" w:color="000000" w:sz="4" w:space="0"/>
            <w:right w:val="single" w:color="000000" w:sz="4" w:space="0"/>
            <w:insideH w:val="single" w:color="000000" w:sz="2" w:space="0"/>
            <w:insideV w:val="single" w:color="000000" w:sz="2" w:space="0"/>
          </w:tblBorders>
          <w:tblCellMar>
            <w:top w:w="0" w:type="dxa"/>
            <w:left w:w="108" w:type="dxa"/>
            <w:bottom w:w="0" w:type="dxa"/>
            <w:right w:w="108" w:type="dxa"/>
          </w:tblCellMar>
        </w:tblPrEx>
        <w:trPr>
          <w:trHeight w:val="794" w:hRule="atLeast"/>
          <w:jc w:val="center"/>
        </w:trPr>
        <w:tc>
          <w:tcPr>
            <w:tcW w:w="1935" w:type="dxa"/>
            <w:noWrap w:val="0"/>
            <w:vAlign w:val="center"/>
          </w:tcPr>
          <w:p w14:paraId="248E295B">
            <w:pPr>
              <w:spacing w:line="300" w:lineRule="exact"/>
              <w:jc w:val="center"/>
              <w:rPr>
                <w:rFonts w:hint="eastAsia" w:eastAsia="宋体"/>
                <w:szCs w:val="21"/>
                <w:lang w:eastAsia="zh-CN"/>
              </w:rPr>
            </w:pPr>
            <w:r>
              <w:rPr>
                <w:rFonts w:hint="eastAsia"/>
                <w:szCs w:val="21"/>
                <w:lang w:eastAsia="zh-CN"/>
              </w:rPr>
              <w:t>住</w:t>
            </w:r>
            <w:r>
              <w:rPr>
                <w:rFonts w:hint="eastAsia"/>
                <w:szCs w:val="21"/>
                <w:lang w:val="en-US" w:eastAsia="zh-CN"/>
              </w:rPr>
              <w:t xml:space="preserve">  </w:t>
            </w:r>
            <w:r>
              <w:rPr>
                <w:rFonts w:hint="eastAsia"/>
                <w:szCs w:val="21"/>
                <w:lang w:eastAsia="zh-CN"/>
              </w:rPr>
              <w:t>所</w:t>
            </w:r>
          </w:p>
        </w:tc>
        <w:tc>
          <w:tcPr>
            <w:tcW w:w="2862" w:type="dxa"/>
            <w:noWrap w:val="0"/>
            <w:vAlign w:val="center"/>
          </w:tcPr>
          <w:p w14:paraId="73C96836">
            <w:pPr>
              <w:spacing w:line="300" w:lineRule="exact"/>
              <w:jc w:val="center"/>
              <w:rPr>
                <w:szCs w:val="21"/>
              </w:rPr>
            </w:pPr>
          </w:p>
        </w:tc>
        <w:tc>
          <w:tcPr>
            <w:tcW w:w="1912" w:type="dxa"/>
            <w:noWrap w:val="0"/>
            <w:vAlign w:val="center"/>
          </w:tcPr>
          <w:p w14:paraId="4B60AFEA">
            <w:pPr>
              <w:spacing w:line="300" w:lineRule="exact"/>
              <w:jc w:val="center"/>
              <w:rPr>
                <w:rFonts w:hint="eastAsia" w:eastAsia="宋体"/>
                <w:szCs w:val="21"/>
                <w:lang w:eastAsia="zh-CN"/>
              </w:rPr>
            </w:pPr>
            <w:r>
              <w:rPr>
                <w:rFonts w:hint="eastAsia"/>
                <w:szCs w:val="21"/>
                <w:lang w:eastAsia="zh-CN"/>
              </w:rPr>
              <w:t>住</w:t>
            </w:r>
            <w:r>
              <w:rPr>
                <w:rFonts w:hint="eastAsia"/>
                <w:szCs w:val="21"/>
                <w:lang w:val="en-US" w:eastAsia="zh-CN"/>
              </w:rPr>
              <w:t xml:space="preserve">  </w:t>
            </w:r>
            <w:r>
              <w:rPr>
                <w:rFonts w:hint="eastAsia"/>
                <w:szCs w:val="21"/>
                <w:lang w:eastAsia="zh-CN"/>
              </w:rPr>
              <w:t>所</w:t>
            </w:r>
          </w:p>
        </w:tc>
        <w:tc>
          <w:tcPr>
            <w:tcW w:w="2653" w:type="dxa"/>
            <w:noWrap w:val="0"/>
            <w:vAlign w:val="center"/>
          </w:tcPr>
          <w:p w14:paraId="3A67DE21">
            <w:pPr>
              <w:spacing w:line="300" w:lineRule="exact"/>
              <w:jc w:val="center"/>
              <w:rPr>
                <w:spacing w:val="20"/>
                <w:szCs w:val="21"/>
              </w:rPr>
            </w:pPr>
          </w:p>
        </w:tc>
      </w:tr>
      <w:tr w14:paraId="460AD261">
        <w:tblPrEx>
          <w:tblBorders>
            <w:top w:val="single" w:color="000000" w:sz="4" w:space="0"/>
            <w:left w:val="single" w:color="000000" w:sz="4" w:space="0"/>
            <w:bottom w:val="single" w:color="000000" w:sz="4" w:space="0"/>
            <w:right w:val="single" w:color="000000" w:sz="4" w:space="0"/>
            <w:insideH w:val="single" w:color="000000" w:sz="2" w:space="0"/>
            <w:insideV w:val="single" w:color="000000" w:sz="2" w:space="0"/>
          </w:tblBorders>
          <w:tblCellMar>
            <w:top w:w="0" w:type="dxa"/>
            <w:left w:w="108" w:type="dxa"/>
            <w:bottom w:w="0" w:type="dxa"/>
            <w:right w:w="108" w:type="dxa"/>
          </w:tblCellMar>
        </w:tblPrEx>
        <w:trPr>
          <w:trHeight w:val="794" w:hRule="atLeast"/>
          <w:jc w:val="center"/>
        </w:trPr>
        <w:tc>
          <w:tcPr>
            <w:tcW w:w="1935" w:type="dxa"/>
            <w:noWrap w:val="0"/>
            <w:vAlign w:val="center"/>
          </w:tcPr>
          <w:p w14:paraId="1932CB3D">
            <w:pPr>
              <w:spacing w:line="300" w:lineRule="exact"/>
              <w:jc w:val="center"/>
              <w:rPr>
                <w:szCs w:val="21"/>
              </w:rPr>
            </w:pPr>
            <w:r>
              <w:rPr>
                <w:szCs w:val="21"/>
              </w:rPr>
              <w:t>联 系 人</w:t>
            </w:r>
          </w:p>
        </w:tc>
        <w:tc>
          <w:tcPr>
            <w:tcW w:w="2862" w:type="dxa"/>
            <w:noWrap w:val="0"/>
            <w:vAlign w:val="center"/>
          </w:tcPr>
          <w:p w14:paraId="29A6508D">
            <w:pPr>
              <w:spacing w:line="300" w:lineRule="exact"/>
              <w:jc w:val="center"/>
              <w:rPr>
                <w:szCs w:val="21"/>
              </w:rPr>
            </w:pPr>
          </w:p>
        </w:tc>
        <w:tc>
          <w:tcPr>
            <w:tcW w:w="1912" w:type="dxa"/>
            <w:noWrap w:val="0"/>
            <w:vAlign w:val="center"/>
          </w:tcPr>
          <w:p w14:paraId="22B4F17C">
            <w:pPr>
              <w:spacing w:line="300" w:lineRule="exact"/>
              <w:jc w:val="center"/>
              <w:rPr>
                <w:szCs w:val="21"/>
              </w:rPr>
            </w:pPr>
            <w:r>
              <w:rPr>
                <w:szCs w:val="21"/>
              </w:rPr>
              <w:t>联 系 人</w:t>
            </w:r>
          </w:p>
        </w:tc>
        <w:tc>
          <w:tcPr>
            <w:tcW w:w="2653" w:type="dxa"/>
            <w:noWrap w:val="0"/>
            <w:vAlign w:val="center"/>
          </w:tcPr>
          <w:p w14:paraId="5BE68BF2">
            <w:pPr>
              <w:spacing w:line="300" w:lineRule="exact"/>
              <w:jc w:val="center"/>
              <w:rPr>
                <w:spacing w:val="20"/>
                <w:szCs w:val="21"/>
              </w:rPr>
            </w:pPr>
          </w:p>
        </w:tc>
      </w:tr>
      <w:tr w14:paraId="1B849754">
        <w:tblPrEx>
          <w:tblBorders>
            <w:top w:val="single" w:color="000000" w:sz="4" w:space="0"/>
            <w:left w:val="single" w:color="000000" w:sz="4" w:space="0"/>
            <w:bottom w:val="single" w:color="000000" w:sz="4" w:space="0"/>
            <w:right w:val="single" w:color="000000" w:sz="4" w:space="0"/>
            <w:insideH w:val="single" w:color="000000" w:sz="2" w:space="0"/>
            <w:insideV w:val="single" w:color="000000" w:sz="2" w:space="0"/>
          </w:tblBorders>
          <w:tblCellMar>
            <w:top w:w="0" w:type="dxa"/>
            <w:left w:w="108" w:type="dxa"/>
            <w:bottom w:w="0" w:type="dxa"/>
            <w:right w:w="108" w:type="dxa"/>
          </w:tblCellMar>
        </w:tblPrEx>
        <w:trPr>
          <w:trHeight w:val="794" w:hRule="atLeast"/>
          <w:jc w:val="center"/>
        </w:trPr>
        <w:tc>
          <w:tcPr>
            <w:tcW w:w="1935" w:type="dxa"/>
            <w:noWrap w:val="0"/>
            <w:vAlign w:val="center"/>
          </w:tcPr>
          <w:p w14:paraId="258705D6">
            <w:pPr>
              <w:spacing w:line="300" w:lineRule="exact"/>
              <w:jc w:val="center"/>
              <w:rPr>
                <w:szCs w:val="21"/>
              </w:rPr>
            </w:pPr>
            <w:r>
              <w:rPr>
                <w:szCs w:val="21"/>
              </w:rPr>
              <w:t>联系电话</w:t>
            </w:r>
          </w:p>
        </w:tc>
        <w:tc>
          <w:tcPr>
            <w:tcW w:w="2862" w:type="dxa"/>
            <w:noWrap w:val="0"/>
            <w:vAlign w:val="center"/>
          </w:tcPr>
          <w:p w14:paraId="62547CDF">
            <w:pPr>
              <w:spacing w:line="300" w:lineRule="exact"/>
              <w:jc w:val="center"/>
              <w:rPr>
                <w:szCs w:val="21"/>
              </w:rPr>
            </w:pPr>
          </w:p>
        </w:tc>
        <w:tc>
          <w:tcPr>
            <w:tcW w:w="1912" w:type="dxa"/>
            <w:noWrap w:val="0"/>
            <w:vAlign w:val="center"/>
          </w:tcPr>
          <w:p w14:paraId="13F96465">
            <w:pPr>
              <w:spacing w:line="300" w:lineRule="exact"/>
              <w:jc w:val="center"/>
              <w:rPr>
                <w:szCs w:val="21"/>
              </w:rPr>
            </w:pPr>
            <w:r>
              <w:rPr>
                <w:szCs w:val="21"/>
              </w:rPr>
              <w:t>联系电话</w:t>
            </w:r>
          </w:p>
        </w:tc>
        <w:tc>
          <w:tcPr>
            <w:tcW w:w="2653" w:type="dxa"/>
            <w:noWrap w:val="0"/>
            <w:vAlign w:val="center"/>
          </w:tcPr>
          <w:p w14:paraId="41986D20">
            <w:pPr>
              <w:spacing w:line="300" w:lineRule="exact"/>
              <w:jc w:val="center"/>
              <w:rPr>
                <w:spacing w:val="20"/>
                <w:szCs w:val="21"/>
              </w:rPr>
            </w:pPr>
          </w:p>
        </w:tc>
      </w:tr>
      <w:tr w14:paraId="611FF0D2">
        <w:tblPrEx>
          <w:tblBorders>
            <w:top w:val="single" w:color="000000" w:sz="4" w:space="0"/>
            <w:left w:val="single" w:color="000000" w:sz="4" w:space="0"/>
            <w:bottom w:val="single" w:color="000000" w:sz="4" w:space="0"/>
            <w:right w:val="single" w:color="000000" w:sz="4" w:space="0"/>
            <w:insideH w:val="single" w:color="000000" w:sz="2" w:space="0"/>
            <w:insideV w:val="single" w:color="000000" w:sz="2" w:space="0"/>
          </w:tblBorders>
          <w:tblCellMar>
            <w:top w:w="0" w:type="dxa"/>
            <w:left w:w="108" w:type="dxa"/>
            <w:bottom w:w="0" w:type="dxa"/>
            <w:right w:w="108" w:type="dxa"/>
          </w:tblCellMar>
        </w:tblPrEx>
        <w:trPr>
          <w:trHeight w:val="794" w:hRule="atLeast"/>
          <w:jc w:val="center"/>
        </w:trPr>
        <w:tc>
          <w:tcPr>
            <w:tcW w:w="1935" w:type="dxa"/>
            <w:noWrap w:val="0"/>
            <w:vAlign w:val="center"/>
          </w:tcPr>
          <w:p w14:paraId="550D3A49">
            <w:pPr>
              <w:spacing w:line="300" w:lineRule="exact"/>
              <w:jc w:val="center"/>
              <w:rPr>
                <w:rFonts w:hint="eastAsia" w:eastAsia="宋体"/>
                <w:szCs w:val="21"/>
                <w:lang w:eastAsia="zh-CN"/>
              </w:rPr>
            </w:pPr>
            <w:r>
              <w:rPr>
                <w:rFonts w:hint="eastAsia"/>
                <w:szCs w:val="21"/>
                <w:lang w:eastAsia="zh-CN"/>
              </w:rPr>
              <w:t>通信地址</w:t>
            </w:r>
          </w:p>
        </w:tc>
        <w:tc>
          <w:tcPr>
            <w:tcW w:w="2862" w:type="dxa"/>
            <w:noWrap w:val="0"/>
            <w:vAlign w:val="center"/>
          </w:tcPr>
          <w:p w14:paraId="70F6C00B">
            <w:pPr>
              <w:spacing w:line="300" w:lineRule="exact"/>
              <w:jc w:val="center"/>
              <w:rPr>
                <w:szCs w:val="21"/>
              </w:rPr>
            </w:pPr>
          </w:p>
        </w:tc>
        <w:tc>
          <w:tcPr>
            <w:tcW w:w="1912" w:type="dxa"/>
            <w:noWrap w:val="0"/>
            <w:vAlign w:val="center"/>
          </w:tcPr>
          <w:p w14:paraId="5C270EC7">
            <w:pPr>
              <w:spacing w:line="300" w:lineRule="exact"/>
              <w:jc w:val="center"/>
              <w:rPr>
                <w:szCs w:val="21"/>
              </w:rPr>
            </w:pPr>
            <w:r>
              <w:rPr>
                <w:rFonts w:hint="eastAsia"/>
                <w:szCs w:val="21"/>
                <w:lang w:eastAsia="zh-CN"/>
              </w:rPr>
              <w:t>通信地址</w:t>
            </w:r>
          </w:p>
        </w:tc>
        <w:tc>
          <w:tcPr>
            <w:tcW w:w="2653" w:type="dxa"/>
            <w:noWrap w:val="0"/>
            <w:vAlign w:val="center"/>
          </w:tcPr>
          <w:p w14:paraId="1A95613E">
            <w:pPr>
              <w:spacing w:line="300" w:lineRule="exact"/>
              <w:jc w:val="center"/>
              <w:rPr>
                <w:spacing w:val="20"/>
                <w:szCs w:val="21"/>
              </w:rPr>
            </w:pPr>
          </w:p>
        </w:tc>
      </w:tr>
      <w:tr w14:paraId="5A503B98">
        <w:tblPrEx>
          <w:tblBorders>
            <w:top w:val="single" w:color="000000" w:sz="4" w:space="0"/>
            <w:left w:val="single" w:color="000000" w:sz="4" w:space="0"/>
            <w:bottom w:val="single" w:color="000000" w:sz="4" w:space="0"/>
            <w:right w:val="single" w:color="000000" w:sz="4" w:space="0"/>
            <w:insideH w:val="single" w:color="000000" w:sz="2" w:space="0"/>
            <w:insideV w:val="single" w:color="000000" w:sz="2" w:space="0"/>
          </w:tblBorders>
          <w:tblCellMar>
            <w:top w:w="0" w:type="dxa"/>
            <w:left w:w="108" w:type="dxa"/>
            <w:bottom w:w="0" w:type="dxa"/>
            <w:right w:w="108" w:type="dxa"/>
          </w:tblCellMar>
        </w:tblPrEx>
        <w:trPr>
          <w:trHeight w:val="794" w:hRule="atLeast"/>
          <w:jc w:val="center"/>
        </w:trPr>
        <w:tc>
          <w:tcPr>
            <w:tcW w:w="1935" w:type="dxa"/>
            <w:noWrap w:val="0"/>
            <w:vAlign w:val="center"/>
          </w:tcPr>
          <w:p w14:paraId="09CEBF11">
            <w:pPr>
              <w:spacing w:line="300" w:lineRule="exact"/>
              <w:jc w:val="center"/>
              <w:rPr>
                <w:szCs w:val="21"/>
              </w:rPr>
            </w:pPr>
            <w:r>
              <w:rPr>
                <w:szCs w:val="21"/>
              </w:rPr>
              <w:t>邮政编码</w:t>
            </w:r>
          </w:p>
        </w:tc>
        <w:tc>
          <w:tcPr>
            <w:tcW w:w="2862" w:type="dxa"/>
            <w:noWrap w:val="0"/>
            <w:vAlign w:val="center"/>
          </w:tcPr>
          <w:p w14:paraId="6CF16299">
            <w:pPr>
              <w:spacing w:line="300" w:lineRule="exact"/>
              <w:jc w:val="center"/>
              <w:rPr>
                <w:szCs w:val="21"/>
              </w:rPr>
            </w:pPr>
          </w:p>
        </w:tc>
        <w:tc>
          <w:tcPr>
            <w:tcW w:w="1912" w:type="dxa"/>
            <w:noWrap w:val="0"/>
            <w:vAlign w:val="center"/>
          </w:tcPr>
          <w:p w14:paraId="0F98AFF9">
            <w:pPr>
              <w:spacing w:line="300" w:lineRule="exact"/>
              <w:jc w:val="center"/>
              <w:rPr>
                <w:szCs w:val="21"/>
              </w:rPr>
            </w:pPr>
            <w:r>
              <w:rPr>
                <w:szCs w:val="21"/>
              </w:rPr>
              <w:t>邮政编码</w:t>
            </w:r>
          </w:p>
        </w:tc>
        <w:tc>
          <w:tcPr>
            <w:tcW w:w="2653" w:type="dxa"/>
            <w:noWrap w:val="0"/>
            <w:vAlign w:val="center"/>
          </w:tcPr>
          <w:p w14:paraId="335EEC62">
            <w:pPr>
              <w:spacing w:line="300" w:lineRule="exact"/>
              <w:jc w:val="center"/>
              <w:rPr>
                <w:spacing w:val="20"/>
                <w:szCs w:val="21"/>
              </w:rPr>
            </w:pPr>
          </w:p>
        </w:tc>
      </w:tr>
      <w:tr w14:paraId="0F3A1FB5">
        <w:tblPrEx>
          <w:tblBorders>
            <w:top w:val="single" w:color="000000" w:sz="4" w:space="0"/>
            <w:left w:val="single" w:color="000000" w:sz="4" w:space="0"/>
            <w:bottom w:val="single" w:color="000000" w:sz="4" w:space="0"/>
            <w:right w:val="single" w:color="000000" w:sz="4" w:space="0"/>
            <w:insideH w:val="single" w:color="000000" w:sz="2" w:space="0"/>
            <w:insideV w:val="single" w:color="000000" w:sz="2" w:space="0"/>
          </w:tblBorders>
          <w:tblCellMar>
            <w:top w:w="0" w:type="dxa"/>
            <w:left w:w="108" w:type="dxa"/>
            <w:bottom w:w="0" w:type="dxa"/>
            <w:right w:w="108" w:type="dxa"/>
          </w:tblCellMar>
        </w:tblPrEx>
        <w:trPr>
          <w:trHeight w:val="794" w:hRule="atLeast"/>
          <w:jc w:val="center"/>
        </w:trPr>
        <w:tc>
          <w:tcPr>
            <w:tcW w:w="1935" w:type="dxa"/>
            <w:noWrap w:val="0"/>
            <w:vAlign w:val="center"/>
          </w:tcPr>
          <w:p w14:paraId="31D9C796">
            <w:pPr>
              <w:spacing w:line="300" w:lineRule="exact"/>
              <w:jc w:val="center"/>
              <w:rPr>
                <w:szCs w:val="21"/>
              </w:rPr>
            </w:pPr>
            <w:r>
              <w:rPr>
                <w:rFonts w:hint="eastAsia"/>
                <w:szCs w:val="21"/>
              </w:rPr>
              <w:t>电子邮箱</w:t>
            </w:r>
          </w:p>
        </w:tc>
        <w:tc>
          <w:tcPr>
            <w:tcW w:w="2862" w:type="dxa"/>
            <w:noWrap w:val="0"/>
            <w:vAlign w:val="center"/>
          </w:tcPr>
          <w:p w14:paraId="1FB32482">
            <w:pPr>
              <w:spacing w:line="300" w:lineRule="exact"/>
              <w:jc w:val="center"/>
              <w:rPr>
                <w:szCs w:val="21"/>
              </w:rPr>
            </w:pPr>
          </w:p>
        </w:tc>
        <w:tc>
          <w:tcPr>
            <w:tcW w:w="1912" w:type="dxa"/>
            <w:noWrap w:val="0"/>
            <w:vAlign w:val="center"/>
          </w:tcPr>
          <w:p w14:paraId="21CD9AAF">
            <w:pPr>
              <w:spacing w:line="300" w:lineRule="exact"/>
              <w:jc w:val="center"/>
              <w:rPr>
                <w:szCs w:val="21"/>
              </w:rPr>
            </w:pPr>
            <w:r>
              <w:rPr>
                <w:rFonts w:hint="eastAsia"/>
                <w:szCs w:val="21"/>
              </w:rPr>
              <w:t>电子邮箱</w:t>
            </w:r>
          </w:p>
        </w:tc>
        <w:tc>
          <w:tcPr>
            <w:tcW w:w="2653" w:type="dxa"/>
            <w:noWrap w:val="0"/>
            <w:vAlign w:val="center"/>
          </w:tcPr>
          <w:p w14:paraId="28C01B80">
            <w:pPr>
              <w:spacing w:line="300" w:lineRule="exact"/>
              <w:jc w:val="center"/>
              <w:rPr>
                <w:spacing w:val="20"/>
                <w:szCs w:val="21"/>
              </w:rPr>
            </w:pPr>
          </w:p>
        </w:tc>
      </w:tr>
      <w:tr w14:paraId="4BC27644">
        <w:tblPrEx>
          <w:tblBorders>
            <w:top w:val="single" w:color="000000" w:sz="4" w:space="0"/>
            <w:left w:val="single" w:color="000000" w:sz="4" w:space="0"/>
            <w:bottom w:val="single" w:color="000000" w:sz="4" w:space="0"/>
            <w:right w:val="single" w:color="000000" w:sz="4" w:space="0"/>
            <w:insideH w:val="single" w:color="000000" w:sz="2" w:space="0"/>
            <w:insideV w:val="single" w:color="000000" w:sz="2" w:space="0"/>
          </w:tblBorders>
          <w:tblCellMar>
            <w:top w:w="0" w:type="dxa"/>
            <w:left w:w="108" w:type="dxa"/>
            <w:bottom w:w="0" w:type="dxa"/>
            <w:right w:w="108" w:type="dxa"/>
          </w:tblCellMar>
        </w:tblPrEx>
        <w:trPr>
          <w:trHeight w:val="794" w:hRule="atLeast"/>
          <w:jc w:val="center"/>
        </w:trPr>
        <w:tc>
          <w:tcPr>
            <w:tcW w:w="1935" w:type="dxa"/>
            <w:noWrap w:val="0"/>
            <w:vAlign w:val="center"/>
          </w:tcPr>
          <w:p w14:paraId="0B2F6E85">
            <w:pPr>
              <w:spacing w:line="300" w:lineRule="exact"/>
              <w:jc w:val="center"/>
              <w:rPr>
                <w:szCs w:val="21"/>
              </w:rPr>
            </w:pPr>
            <w:r>
              <w:rPr>
                <w:rFonts w:hint="eastAsia"/>
                <w:szCs w:val="21"/>
              </w:rPr>
              <w:t>统一社会信用代码</w:t>
            </w:r>
          </w:p>
        </w:tc>
        <w:tc>
          <w:tcPr>
            <w:tcW w:w="2862" w:type="dxa"/>
            <w:noWrap w:val="0"/>
            <w:vAlign w:val="center"/>
          </w:tcPr>
          <w:p w14:paraId="23035613">
            <w:pPr>
              <w:spacing w:line="300" w:lineRule="exact"/>
              <w:jc w:val="center"/>
              <w:rPr>
                <w:szCs w:val="21"/>
              </w:rPr>
            </w:pPr>
          </w:p>
        </w:tc>
        <w:tc>
          <w:tcPr>
            <w:tcW w:w="1912" w:type="dxa"/>
            <w:noWrap w:val="0"/>
            <w:vAlign w:val="center"/>
          </w:tcPr>
          <w:p w14:paraId="4C548892">
            <w:pPr>
              <w:spacing w:line="300" w:lineRule="exact"/>
              <w:jc w:val="center"/>
              <w:rPr>
                <w:szCs w:val="21"/>
              </w:rPr>
            </w:pPr>
            <w:r>
              <w:rPr>
                <w:rFonts w:hint="eastAsia"/>
                <w:szCs w:val="21"/>
              </w:rPr>
              <w:t>统一社会信用代码</w:t>
            </w:r>
          </w:p>
        </w:tc>
        <w:tc>
          <w:tcPr>
            <w:tcW w:w="2653" w:type="dxa"/>
            <w:noWrap w:val="0"/>
            <w:vAlign w:val="center"/>
          </w:tcPr>
          <w:p w14:paraId="5C1ED285">
            <w:pPr>
              <w:spacing w:line="300" w:lineRule="exact"/>
              <w:jc w:val="center"/>
              <w:rPr>
                <w:spacing w:val="20"/>
                <w:szCs w:val="21"/>
              </w:rPr>
            </w:pPr>
          </w:p>
        </w:tc>
      </w:tr>
      <w:tr w14:paraId="79AA3C66">
        <w:tblPrEx>
          <w:tblBorders>
            <w:top w:val="single" w:color="000000" w:sz="4" w:space="0"/>
            <w:left w:val="single" w:color="000000" w:sz="4" w:space="0"/>
            <w:bottom w:val="single" w:color="000000" w:sz="4" w:space="0"/>
            <w:right w:val="single" w:color="000000" w:sz="4" w:space="0"/>
            <w:insideH w:val="single" w:color="000000" w:sz="2" w:space="0"/>
            <w:insideV w:val="single" w:color="000000" w:sz="2" w:space="0"/>
          </w:tblBorders>
          <w:tblCellMar>
            <w:top w:w="0" w:type="dxa"/>
            <w:left w:w="108" w:type="dxa"/>
            <w:bottom w:w="0" w:type="dxa"/>
            <w:right w:w="108" w:type="dxa"/>
          </w:tblCellMar>
        </w:tblPrEx>
        <w:trPr>
          <w:trHeight w:val="794" w:hRule="atLeast"/>
          <w:jc w:val="center"/>
        </w:trPr>
        <w:tc>
          <w:tcPr>
            <w:tcW w:w="1935" w:type="dxa"/>
            <w:noWrap w:val="0"/>
            <w:vAlign w:val="center"/>
          </w:tcPr>
          <w:p w14:paraId="677D2DDD">
            <w:pPr>
              <w:spacing w:line="300" w:lineRule="exact"/>
              <w:jc w:val="center"/>
              <w:rPr>
                <w:szCs w:val="21"/>
              </w:rPr>
            </w:pPr>
          </w:p>
        </w:tc>
        <w:tc>
          <w:tcPr>
            <w:tcW w:w="2862" w:type="dxa"/>
            <w:noWrap w:val="0"/>
            <w:vAlign w:val="center"/>
          </w:tcPr>
          <w:p w14:paraId="0F46108A">
            <w:pPr>
              <w:spacing w:line="300" w:lineRule="exact"/>
              <w:jc w:val="center"/>
              <w:rPr>
                <w:szCs w:val="21"/>
              </w:rPr>
            </w:pPr>
          </w:p>
        </w:tc>
        <w:tc>
          <w:tcPr>
            <w:tcW w:w="1912" w:type="dxa"/>
            <w:noWrap w:val="0"/>
            <w:vAlign w:val="center"/>
          </w:tcPr>
          <w:p w14:paraId="1F2486FB">
            <w:pPr>
              <w:spacing w:line="300" w:lineRule="exact"/>
              <w:jc w:val="center"/>
              <w:rPr>
                <w:szCs w:val="21"/>
              </w:rPr>
            </w:pPr>
            <w:r>
              <w:rPr>
                <w:szCs w:val="21"/>
              </w:rPr>
              <w:t>开户名称</w:t>
            </w:r>
          </w:p>
        </w:tc>
        <w:tc>
          <w:tcPr>
            <w:tcW w:w="2653" w:type="dxa"/>
            <w:noWrap w:val="0"/>
            <w:vAlign w:val="center"/>
          </w:tcPr>
          <w:p w14:paraId="1118BC13">
            <w:pPr>
              <w:spacing w:line="300" w:lineRule="exact"/>
              <w:jc w:val="center"/>
              <w:rPr>
                <w:spacing w:val="20"/>
                <w:szCs w:val="21"/>
              </w:rPr>
            </w:pPr>
          </w:p>
        </w:tc>
      </w:tr>
      <w:tr w14:paraId="1938FD23">
        <w:tblPrEx>
          <w:tblBorders>
            <w:top w:val="single" w:color="000000" w:sz="4" w:space="0"/>
            <w:left w:val="single" w:color="000000" w:sz="4" w:space="0"/>
            <w:bottom w:val="single" w:color="000000" w:sz="4" w:space="0"/>
            <w:right w:val="single" w:color="000000" w:sz="4" w:space="0"/>
            <w:insideH w:val="single" w:color="000000" w:sz="2" w:space="0"/>
            <w:insideV w:val="single" w:color="000000" w:sz="2" w:space="0"/>
          </w:tblBorders>
          <w:tblCellMar>
            <w:top w:w="0" w:type="dxa"/>
            <w:left w:w="108" w:type="dxa"/>
            <w:bottom w:w="0" w:type="dxa"/>
            <w:right w:w="108" w:type="dxa"/>
          </w:tblCellMar>
        </w:tblPrEx>
        <w:trPr>
          <w:trHeight w:val="794" w:hRule="atLeast"/>
          <w:jc w:val="center"/>
        </w:trPr>
        <w:tc>
          <w:tcPr>
            <w:tcW w:w="1935" w:type="dxa"/>
            <w:noWrap w:val="0"/>
            <w:vAlign w:val="center"/>
          </w:tcPr>
          <w:p w14:paraId="7F459F60">
            <w:pPr>
              <w:spacing w:line="300" w:lineRule="exact"/>
              <w:jc w:val="center"/>
              <w:rPr>
                <w:szCs w:val="21"/>
              </w:rPr>
            </w:pPr>
          </w:p>
        </w:tc>
        <w:tc>
          <w:tcPr>
            <w:tcW w:w="2862" w:type="dxa"/>
            <w:noWrap w:val="0"/>
            <w:vAlign w:val="center"/>
          </w:tcPr>
          <w:p w14:paraId="4DBC36AB">
            <w:pPr>
              <w:spacing w:line="300" w:lineRule="exact"/>
              <w:jc w:val="center"/>
              <w:rPr>
                <w:szCs w:val="21"/>
              </w:rPr>
            </w:pPr>
          </w:p>
        </w:tc>
        <w:tc>
          <w:tcPr>
            <w:tcW w:w="1912" w:type="dxa"/>
            <w:noWrap w:val="0"/>
            <w:vAlign w:val="center"/>
          </w:tcPr>
          <w:p w14:paraId="5C21CCF8">
            <w:pPr>
              <w:spacing w:line="300" w:lineRule="exact"/>
              <w:jc w:val="center"/>
              <w:rPr>
                <w:szCs w:val="21"/>
              </w:rPr>
            </w:pPr>
            <w:r>
              <w:rPr>
                <w:szCs w:val="21"/>
              </w:rPr>
              <w:t>开户银行</w:t>
            </w:r>
          </w:p>
        </w:tc>
        <w:tc>
          <w:tcPr>
            <w:tcW w:w="2653" w:type="dxa"/>
            <w:noWrap w:val="0"/>
            <w:vAlign w:val="center"/>
          </w:tcPr>
          <w:p w14:paraId="14E010FB">
            <w:pPr>
              <w:spacing w:line="300" w:lineRule="exact"/>
              <w:jc w:val="center"/>
              <w:rPr>
                <w:spacing w:val="20"/>
                <w:szCs w:val="21"/>
              </w:rPr>
            </w:pPr>
          </w:p>
        </w:tc>
      </w:tr>
      <w:tr w14:paraId="64C77C79">
        <w:tblPrEx>
          <w:tblBorders>
            <w:top w:val="single" w:color="000000" w:sz="4" w:space="0"/>
            <w:left w:val="single" w:color="000000" w:sz="4" w:space="0"/>
            <w:bottom w:val="single" w:color="000000" w:sz="4" w:space="0"/>
            <w:right w:val="single" w:color="000000" w:sz="4" w:space="0"/>
            <w:insideH w:val="single" w:color="000000" w:sz="2" w:space="0"/>
            <w:insideV w:val="single" w:color="000000" w:sz="2" w:space="0"/>
          </w:tblBorders>
          <w:tblCellMar>
            <w:top w:w="0" w:type="dxa"/>
            <w:left w:w="108" w:type="dxa"/>
            <w:bottom w:w="0" w:type="dxa"/>
            <w:right w:w="108" w:type="dxa"/>
          </w:tblCellMar>
        </w:tblPrEx>
        <w:trPr>
          <w:trHeight w:val="794" w:hRule="atLeast"/>
          <w:jc w:val="center"/>
        </w:trPr>
        <w:tc>
          <w:tcPr>
            <w:tcW w:w="1935" w:type="dxa"/>
            <w:noWrap w:val="0"/>
            <w:vAlign w:val="center"/>
          </w:tcPr>
          <w:p w14:paraId="7CDC0B24">
            <w:pPr>
              <w:spacing w:line="300" w:lineRule="exact"/>
              <w:jc w:val="center"/>
              <w:rPr>
                <w:szCs w:val="21"/>
              </w:rPr>
            </w:pPr>
          </w:p>
        </w:tc>
        <w:tc>
          <w:tcPr>
            <w:tcW w:w="2862" w:type="dxa"/>
            <w:noWrap w:val="0"/>
            <w:vAlign w:val="center"/>
          </w:tcPr>
          <w:p w14:paraId="079ADAC5">
            <w:pPr>
              <w:spacing w:line="300" w:lineRule="exact"/>
              <w:jc w:val="center"/>
              <w:rPr>
                <w:szCs w:val="21"/>
              </w:rPr>
            </w:pPr>
          </w:p>
        </w:tc>
        <w:tc>
          <w:tcPr>
            <w:tcW w:w="1912" w:type="dxa"/>
            <w:noWrap w:val="0"/>
            <w:vAlign w:val="center"/>
          </w:tcPr>
          <w:p w14:paraId="0F78AB70">
            <w:pPr>
              <w:spacing w:line="300" w:lineRule="exact"/>
              <w:jc w:val="center"/>
              <w:rPr>
                <w:szCs w:val="21"/>
              </w:rPr>
            </w:pPr>
            <w:r>
              <w:rPr>
                <w:szCs w:val="21"/>
              </w:rPr>
              <w:t>银行账号</w:t>
            </w:r>
          </w:p>
        </w:tc>
        <w:tc>
          <w:tcPr>
            <w:tcW w:w="2653" w:type="dxa"/>
            <w:noWrap w:val="0"/>
            <w:vAlign w:val="center"/>
          </w:tcPr>
          <w:p w14:paraId="7E15449E">
            <w:pPr>
              <w:spacing w:line="300" w:lineRule="exact"/>
              <w:jc w:val="center"/>
              <w:rPr>
                <w:spacing w:val="20"/>
                <w:szCs w:val="21"/>
              </w:rPr>
            </w:pPr>
          </w:p>
        </w:tc>
      </w:tr>
      <w:tr w14:paraId="58B45ECB">
        <w:tblPrEx>
          <w:tblBorders>
            <w:top w:val="single" w:color="000000" w:sz="4" w:space="0"/>
            <w:left w:val="single" w:color="000000" w:sz="4" w:space="0"/>
            <w:bottom w:val="single" w:color="000000" w:sz="4" w:space="0"/>
            <w:right w:val="single" w:color="000000" w:sz="4" w:space="0"/>
            <w:insideH w:val="single" w:color="000000" w:sz="2" w:space="0"/>
            <w:insideV w:val="single" w:color="000000" w:sz="2" w:space="0"/>
          </w:tblBorders>
          <w:tblCellMar>
            <w:top w:w="0" w:type="dxa"/>
            <w:left w:w="108" w:type="dxa"/>
            <w:bottom w:w="0" w:type="dxa"/>
            <w:right w:w="108" w:type="dxa"/>
          </w:tblCellMar>
        </w:tblPrEx>
        <w:trPr>
          <w:trHeight w:val="794" w:hRule="atLeast"/>
          <w:jc w:val="center"/>
        </w:trPr>
        <w:tc>
          <w:tcPr>
            <w:tcW w:w="9362" w:type="dxa"/>
            <w:gridSpan w:val="4"/>
            <w:noWrap w:val="0"/>
            <w:vAlign w:val="center"/>
          </w:tcPr>
          <w:p w14:paraId="785E81E5">
            <w:pPr>
              <w:pStyle w:val="217"/>
              <w:spacing w:before="156" w:after="0" w:line="360" w:lineRule="auto"/>
              <w:ind w:left="0"/>
              <w:jc w:val="left"/>
              <w:rPr>
                <w:spacing w:val="20"/>
                <w:szCs w:val="21"/>
              </w:rPr>
            </w:pPr>
            <w:r>
              <w:rPr>
                <w:rFonts w:hint="eastAsia" w:ascii="宋体" w:hAnsi="宋体"/>
                <w:szCs w:val="21"/>
              </w:rPr>
              <w:t>注：涉及联合体或其他合同主体的信息应按上表格式加列。</w:t>
            </w:r>
          </w:p>
        </w:tc>
      </w:tr>
    </w:tbl>
    <w:p w14:paraId="7820115E">
      <w:pPr>
        <w:pStyle w:val="3"/>
        <w:keepNext/>
        <w:keepLines/>
        <w:pageBreakBefore w:val="0"/>
        <w:widowControl w:val="0"/>
        <w:kinsoku/>
        <w:wordWrap/>
        <w:overflowPunct/>
        <w:topLinePunct w:val="0"/>
        <w:autoSpaceDE/>
        <w:autoSpaceDN/>
        <w:bidi w:val="0"/>
        <w:adjustRightInd w:val="0"/>
        <w:snapToGrid w:val="0"/>
        <w:spacing w:before="156" w:beforeLines="50" w:after="140" w:line="416" w:lineRule="auto"/>
        <w:jc w:val="center"/>
        <w:textAlignment w:val="auto"/>
        <w:rPr>
          <w:rFonts w:ascii="黑体" w:hAnsi="黑体" w:eastAsia="黑体"/>
          <w:sz w:val="28"/>
          <w:szCs w:val="28"/>
        </w:rPr>
      </w:pPr>
      <w:r>
        <w:rPr>
          <w:rFonts w:ascii="宋体" w:hAnsi="宋体"/>
          <w:sz w:val="21"/>
          <w:szCs w:val="21"/>
          <w:u w:val="single"/>
        </w:rPr>
        <w:br w:type="page" w:clear="all"/>
      </w:r>
      <w:bookmarkStart w:id="179" w:name="_Toc27624"/>
      <w:r>
        <w:rPr>
          <w:rFonts w:hint="eastAsia" w:ascii="黑体" w:hAnsi="黑体" w:eastAsia="黑体"/>
          <w:b w:val="0"/>
          <w:bCs w:val="0"/>
          <w:sz w:val="28"/>
          <w:szCs w:val="28"/>
          <w:highlight w:val="none"/>
        </w:rPr>
        <w:t>第二节 政府采购合同通用条款</w:t>
      </w:r>
    </w:p>
    <w:p w14:paraId="3672F57F">
      <w:pPr>
        <w:tabs>
          <w:tab w:val="left" w:pos="8820"/>
          <w:tab w:val="left" w:pos="9345"/>
          <w:tab w:val="left" w:pos="9765"/>
        </w:tabs>
        <w:adjustRightInd w:val="0"/>
        <w:snapToGrid w:val="0"/>
        <w:spacing w:line="400" w:lineRule="exact"/>
        <w:jc w:val="left"/>
        <w:rPr>
          <w:rFonts w:hint="eastAsia" w:ascii="宋体" w:hAnsi="宋体" w:eastAsia="宋体" w:cs="宋体"/>
          <w:b/>
          <w:bCs/>
          <w:sz w:val="21"/>
          <w:szCs w:val="21"/>
        </w:rPr>
      </w:pPr>
      <w:r>
        <w:rPr>
          <w:rFonts w:hint="eastAsia" w:ascii="宋体" w:hAnsi="宋体" w:eastAsia="宋体" w:cs="宋体"/>
          <w:b/>
          <w:sz w:val="21"/>
          <w:szCs w:val="21"/>
        </w:rPr>
        <w:t xml:space="preserve">1. </w:t>
      </w:r>
      <w:r>
        <w:rPr>
          <w:rFonts w:hint="eastAsia" w:ascii="宋体" w:hAnsi="宋体" w:eastAsia="宋体" w:cs="宋体"/>
          <w:b/>
          <w:bCs/>
          <w:sz w:val="21"/>
          <w:szCs w:val="21"/>
        </w:rPr>
        <w:t>定义</w:t>
      </w:r>
    </w:p>
    <w:p w14:paraId="41674B63">
      <w:pPr>
        <w:autoSpaceDE w:val="0"/>
        <w:autoSpaceDN w:val="0"/>
        <w:adjustRightInd w:val="0"/>
        <w:snapToGrid w:val="0"/>
        <w:spacing w:line="400" w:lineRule="exact"/>
        <w:ind w:firstLine="420" w:firstLineChars="200"/>
        <w:jc w:val="left"/>
        <w:rPr>
          <w:rFonts w:hint="eastAsia" w:ascii="宋体" w:hAnsi="宋体" w:eastAsia="宋体" w:cs="宋体"/>
          <w:color w:val="000000"/>
          <w:sz w:val="21"/>
          <w:szCs w:val="21"/>
        </w:rPr>
      </w:pPr>
      <w:r>
        <w:rPr>
          <w:rFonts w:hint="eastAsia" w:ascii="宋体" w:hAnsi="宋体" w:eastAsia="宋体" w:cs="宋体"/>
          <w:color w:val="000000"/>
          <w:sz w:val="21"/>
          <w:szCs w:val="21"/>
        </w:rPr>
        <w:t>1.1合同当事人</w:t>
      </w:r>
    </w:p>
    <w:p w14:paraId="625805FD">
      <w:pPr>
        <w:autoSpaceDE w:val="0"/>
        <w:autoSpaceDN w:val="0"/>
        <w:adjustRightInd w:val="0"/>
        <w:snapToGrid w:val="0"/>
        <w:spacing w:line="400" w:lineRule="exact"/>
        <w:ind w:firstLine="420" w:firstLineChars="200"/>
        <w:jc w:val="left"/>
        <w:rPr>
          <w:rFonts w:hint="eastAsia" w:ascii="宋体" w:hAnsi="宋体" w:eastAsia="宋体" w:cs="宋体"/>
          <w:sz w:val="21"/>
          <w:szCs w:val="21"/>
        </w:rPr>
      </w:pPr>
      <w:r>
        <w:rPr>
          <w:rFonts w:hint="eastAsia" w:ascii="宋体" w:hAnsi="宋体" w:eastAsia="宋体" w:cs="宋体"/>
          <w:sz w:val="21"/>
          <w:szCs w:val="21"/>
        </w:rPr>
        <w:t>（1）采购人（以</w:t>
      </w:r>
      <w:r>
        <w:rPr>
          <w:rFonts w:hint="eastAsia" w:ascii="宋体" w:hAnsi="宋体" w:eastAsia="宋体" w:cs="宋体"/>
          <w:sz w:val="21"/>
          <w:szCs w:val="21"/>
          <w:lang w:eastAsia="zh-CN"/>
        </w:rPr>
        <w:t>下简</w:t>
      </w:r>
      <w:r>
        <w:rPr>
          <w:rFonts w:hint="eastAsia" w:ascii="宋体" w:hAnsi="宋体" w:eastAsia="宋体" w:cs="宋体"/>
          <w:sz w:val="21"/>
          <w:szCs w:val="21"/>
        </w:rPr>
        <w:t>称甲方）是指使用财政性资金，通过政府采购方式向供应商购买货物及其相关服务的国家机关、事业单位、团体组织。</w:t>
      </w:r>
    </w:p>
    <w:p w14:paraId="41A0225F">
      <w:pPr>
        <w:autoSpaceDE w:val="0"/>
        <w:autoSpaceDN w:val="0"/>
        <w:adjustRightInd w:val="0"/>
        <w:snapToGrid w:val="0"/>
        <w:spacing w:line="400" w:lineRule="exact"/>
        <w:ind w:firstLine="420" w:firstLineChars="200"/>
        <w:jc w:val="left"/>
        <w:rPr>
          <w:rFonts w:hint="eastAsia" w:ascii="宋体" w:hAnsi="宋体" w:eastAsia="宋体" w:cs="宋体"/>
          <w:sz w:val="21"/>
          <w:szCs w:val="21"/>
        </w:rPr>
      </w:pPr>
      <w:r>
        <w:rPr>
          <w:rFonts w:hint="eastAsia" w:ascii="宋体" w:hAnsi="宋体" w:eastAsia="宋体" w:cs="宋体"/>
          <w:sz w:val="21"/>
          <w:szCs w:val="21"/>
        </w:rPr>
        <w:t>（2）供应商（以</w:t>
      </w:r>
      <w:r>
        <w:rPr>
          <w:rFonts w:hint="eastAsia" w:ascii="宋体" w:hAnsi="宋体" w:eastAsia="宋体" w:cs="宋体"/>
          <w:sz w:val="21"/>
          <w:szCs w:val="21"/>
          <w:lang w:eastAsia="zh-CN"/>
        </w:rPr>
        <w:t>下简</w:t>
      </w:r>
      <w:r>
        <w:rPr>
          <w:rFonts w:hint="eastAsia" w:ascii="宋体" w:hAnsi="宋体" w:eastAsia="宋体" w:cs="宋体"/>
          <w:sz w:val="21"/>
          <w:szCs w:val="21"/>
        </w:rPr>
        <w:t>称乙方）是指参加政府采购活动并且中标（成交），向采购人提供合同约定的货物及其相关服务的法人、非法人组织或者自然人。</w:t>
      </w:r>
    </w:p>
    <w:p w14:paraId="1AF9A302">
      <w:pPr>
        <w:autoSpaceDE w:val="0"/>
        <w:autoSpaceDN w:val="0"/>
        <w:adjustRightInd w:val="0"/>
        <w:snapToGrid w:val="0"/>
        <w:spacing w:line="400" w:lineRule="exact"/>
        <w:ind w:firstLine="420" w:firstLineChars="200"/>
        <w:jc w:val="left"/>
        <w:rPr>
          <w:rFonts w:hint="eastAsia" w:ascii="宋体" w:hAnsi="宋体" w:eastAsia="宋体" w:cs="宋体"/>
          <w:sz w:val="21"/>
          <w:szCs w:val="21"/>
        </w:rPr>
      </w:pPr>
      <w:r>
        <w:rPr>
          <w:rFonts w:hint="eastAsia" w:ascii="宋体" w:hAnsi="宋体" w:eastAsia="宋体" w:cs="宋体"/>
          <w:sz w:val="21"/>
          <w:szCs w:val="21"/>
        </w:rPr>
        <w:t>（3）其他合同主体是指除采购人和供应商以外，</w:t>
      </w:r>
      <w:r>
        <w:rPr>
          <w:rFonts w:hint="eastAsia" w:ascii="宋体" w:hAnsi="宋体" w:eastAsia="宋体" w:cs="宋体"/>
          <w:bCs/>
          <w:color w:val="000000"/>
          <w:sz w:val="21"/>
          <w:szCs w:val="21"/>
        </w:rPr>
        <w:t>依法参与合同缔结或履行，享有权利、承担义务的合同当事人</w:t>
      </w:r>
      <w:r>
        <w:rPr>
          <w:rFonts w:hint="eastAsia" w:ascii="宋体" w:hAnsi="宋体" w:eastAsia="宋体" w:cs="宋体"/>
          <w:sz w:val="21"/>
          <w:szCs w:val="21"/>
        </w:rPr>
        <w:t>。</w:t>
      </w:r>
    </w:p>
    <w:p w14:paraId="417F45AC">
      <w:pPr>
        <w:tabs>
          <w:tab w:val="left" w:pos="570"/>
          <w:tab w:val="left" w:pos="9240"/>
          <w:tab w:val="left" w:pos="9555"/>
        </w:tabs>
        <w:adjustRightInd w:val="0"/>
        <w:snapToGrid w:val="0"/>
        <w:spacing w:line="400" w:lineRule="exact"/>
        <w:ind w:firstLine="420" w:firstLineChars="200"/>
        <w:jc w:val="left"/>
        <w:rPr>
          <w:rFonts w:hint="eastAsia" w:ascii="宋体" w:hAnsi="宋体" w:eastAsia="宋体" w:cs="宋体"/>
          <w:sz w:val="21"/>
          <w:szCs w:val="21"/>
        </w:rPr>
      </w:pPr>
      <w:r>
        <w:rPr>
          <w:rFonts w:hint="eastAsia" w:ascii="宋体" w:hAnsi="宋体" w:eastAsia="宋体" w:cs="宋体"/>
          <w:sz w:val="21"/>
          <w:szCs w:val="21"/>
        </w:rPr>
        <w:t>1.2本合同下列术语应解释为：</w:t>
      </w:r>
    </w:p>
    <w:p w14:paraId="06150475">
      <w:pPr>
        <w:adjustRightInd w:val="0"/>
        <w:snapToGrid w:val="0"/>
        <w:spacing w:line="400" w:lineRule="exact"/>
        <w:ind w:firstLine="420" w:firstLineChars="200"/>
        <w:jc w:val="left"/>
        <w:rPr>
          <w:rFonts w:hint="eastAsia" w:ascii="宋体" w:hAnsi="宋体" w:eastAsia="宋体" w:cs="宋体"/>
          <w:sz w:val="21"/>
          <w:szCs w:val="21"/>
        </w:rPr>
      </w:pPr>
      <w:r>
        <w:rPr>
          <w:rFonts w:hint="eastAsia" w:ascii="宋体" w:hAnsi="宋体" w:eastAsia="宋体" w:cs="宋体"/>
          <w:sz w:val="21"/>
          <w:szCs w:val="21"/>
        </w:rPr>
        <w:t>（1）“合同”系指</w:t>
      </w:r>
      <w:r>
        <w:rPr>
          <w:rFonts w:hint="eastAsia" w:ascii="宋体" w:hAnsi="宋体" w:eastAsia="宋体" w:cs="宋体"/>
          <w:bCs/>
          <w:color w:val="000000"/>
          <w:sz w:val="21"/>
          <w:szCs w:val="21"/>
        </w:rPr>
        <w:t>合同当事人意思表示达成一致的任何协议，包括签署的</w:t>
      </w:r>
      <w:r>
        <w:rPr>
          <w:rFonts w:hint="eastAsia" w:ascii="宋体" w:hAnsi="宋体" w:eastAsia="宋体" w:cs="宋体"/>
          <w:sz w:val="21"/>
          <w:szCs w:val="21"/>
        </w:rPr>
        <w:t>政府采购合同协议书及其变更、补充协议，政府采购合同专用条款，政府采购合同通用条款，中标（成交）通知书，投标（响应）文件，采购文件，有关技术文件和图纸，以及</w:t>
      </w:r>
      <w:r>
        <w:rPr>
          <w:rFonts w:hint="eastAsia" w:ascii="宋体" w:hAnsi="宋体" w:eastAsia="宋体" w:cs="宋体"/>
          <w:color w:val="000000"/>
          <w:sz w:val="21"/>
          <w:szCs w:val="21"/>
        </w:rPr>
        <w:t>国家法律、行政法规和规章制度规定或合同约定的作为合同组成部分的其他文件</w:t>
      </w:r>
      <w:r>
        <w:rPr>
          <w:rFonts w:hint="eastAsia" w:ascii="宋体" w:hAnsi="宋体" w:eastAsia="宋体" w:cs="宋体"/>
          <w:sz w:val="21"/>
          <w:szCs w:val="21"/>
        </w:rPr>
        <w:t>。</w:t>
      </w:r>
    </w:p>
    <w:p w14:paraId="0846E6FA">
      <w:pPr>
        <w:tabs>
          <w:tab w:val="left" w:pos="570"/>
          <w:tab w:val="left" w:pos="9240"/>
          <w:tab w:val="left" w:pos="9555"/>
        </w:tabs>
        <w:adjustRightInd w:val="0"/>
        <w:snapToGrid w:val="0"/>
        <w:spacing w:line="400" w:lineRule="exact"/>
        <w:ind w:firstLine="420" w:firstLineChars="200"/>
        <w:jc w:val="left"/>
        <w:rPr>
          <w:rFonts w:hint="eastAsia" w:ascii="宋体" w:hAnsi="宋体" w:eastAsia="宋体" w:cs="宋体"/>
          <w:sz w:val="21"/>
          <w:szCs w:val="21"/>
        </w:rPr>
      </w:pPr>
      <w:r>
        <w:rPr>
          <w:rFonts w:hint="eastAsia" w:ascii="宋体" w:hAnsi="宋体" w:eastAsia="宋体" w:cs="宋体"/>
          <w:sz w:val="21"/>
          <w:szCs w:val="21"/>
        </w:rPr>
        <w:t>（2）“合同价款”系指根据本合同规定乙方在全面履行合同义务后甲方应支付给乙方的价款。</w:t>
      </w:r>
    </w:p>
    <w:p w14:paraId="5FAE373F">
      <w:pPr>
        <w:tabs>
          <w:tab w:val="left" w:pos="570"/>
          <w:tab w:val="left" w:pos="9240"/>
          <w:tab w:val="left" w:pos="9555"/>
        </w:tabs>
        <w:adjustRightInd w:val="0"/>
        <w:snapToGrid w:val="0"/>
        <w:spacing w:line="400" w:lineRule="exact"/>
        <w:ind w:firstLine="420" w:firstLineChars="200"/>
        <w:jc w:val="left"/>
        <w:rPr>
          <w:rFonts w:hint="eastAsia" w:ascii="宋体" w:hAnsi="宋体" w:eastAsia="宋体" w:cs="宋体"/>
          <w:color w:val="000000"/>
          <w:sz w:val="21"/>
          <w:szCs w:val="21"/>
        </w:rPr>
      </w:pPr>
      <w:r>
        <w:rPr>
          <w:rFonts w:hint="eastAsia" w:ascii="宋体" w:hAnsi="宋体" w:eastAsia="宋体" w:cs="宋体"/>
          <w:sz w:val="21"/>
          <w:szCs w:val="21"/>
        </w:rPr>
        <w:t>（3）“货物”系指乙方根据本合同规定须向甲方提供的各种形态和种类的物品，包括原材料、设备、产品（</w:t>
      </w:r>
      <w:r>
        <w:rPr>
          <w:rFonts w:hint="eastAsia" w:ascii="宋体" w:hAnsi="宋体" w:eastAsia="宋体" w:cs="宋体"/>
          <w:color w:val="000000"/>
          <w:sz w:val="21"/>
          <w:szCs w:val="21"/>
        </w:rPr>
        <w:t>包括软件）及相关的</w:t>
      </w:r>
      <w:r>
        <w:rPr>
          <w:rFonts w:hint="eastAsia" w:ascii="宋体" w:hAnsi="宋体" w:eastAsia="宋体" w:cs="宋体"/>
          <w:color w:val="000000"/>
          <w:sz w:val="21"/>
          <w:szCs w:val="21"/>
          <w:lang w:eastAsia="zh-CN"/>
        </w:rPr>
        <w:t>其他</w:t>
      </w:r>
      <w:r>
        <w:rPr>
          <w:rFonts w:hint="eastAsia" w:ascii="宋体" w:hAnsi="宋体" w:eastAsia="宋体" w:cs="宋体"/>
          <w:color w:val="000000"/>
          <w:sz w:val="21"/>
          <w:szCs w:val="21"/>
        </w:rPr>
        <w:t>备品备件、工具、手册及</w:t>
      </w:r>
      <w:r>
        <w:rPr>
          <w:rFonts w:hint="eastAsia" w:ascii="宋体" w:hAnsi="宋体" w:eastAsia="宋体" w:cs="宋体"/>
          <w:color w:val="000000"/>
          <w:sz w:val="21"/>
          <w:szCs w:val="21"/>
          <w:lang w:val="en"/>
        </w:rPr>
        <w:t>其他</w:t>
      </w:r>
      <w:r>
        <w:rPr>
          <w:rFonts w:hint="eastAsia" w:ascii="宋体" w:hAnsi="宋体" w:eastAsia="宋体" w:cs="宋体"/>
          <w:color w:val="000000"/>
          <w:sz w:val="21"/>
          <w:szCs w:val="21"/>
        </w:rPr>
        <w:t>技术资料和材料等。</w:t>
      </w:r>
    </w:p>
    <w:p w14:paraId="3B451FA5">
      <w:pPr>
        <w:adjustRightInd w:val="0"/>
        <w:snapToGrid w:val="0"/>
        <w:spacing w:line="400" w:lineRule="exact"/>
        <w:ind w:firstLine="420" w:firstLineChars="200"/>
        <w:jc w:val="left"/>
        <w:rPr>
          <w:rFonts w:hint="eastAsia" w:ascii="宋体" w:hAnsi="宋体" w:eastAsia="宋体" w:cs="宋体"/>
          <w:color w:val="000000"/>
          <w:sz w:val="21"/>
          <w:szCs w:val="21"/>
          <w:highlight w:val="yellow"/>
        </w:rPr>
      </w:pPr>
      <w:r>
        <w:rPr>
          <w:rFonts w:hint="eastAsia" w:ascii="宋体" w:hAnsi="宋体" w:eastAsia="宋体" w:cs="宋体"/>
          <w:color w:val="000000"/>
          <w:sz w:val="21"/>
          <w:szCs w:val="21"/>
        </w:rPr>
        <w:t>（4）“</w:t>
      </w:r>
      <w:r>
        <w:rPr>
          <w:rFonts w:hint="eastAsia" w:ascii="宋体" w:hAnsi="宋体" w:eastAsia="宋体" w:cs="宋体"/>
          <w:sz w:val="21"/>
          <w:szCs w:val="21"/>
        </w:rPr>
        <w:t>相关</w:t>
      </w:r>
      <w:r>
        <w:rPr>
          <w:rFonts w:hint="eastAsia" w:ascii="宋体" w:hAnsi="宋体" w:eastAsia="宋体" w:cs="宋体"/>
          <w:color w:val="000000"/>
          <w:sz w:val="21"/>
          <w:szCs w:val="21"/>
        </w:rPr>
        <w:t>服务”系指根据合同规定，乙方应提供的与货物有关的技术、管理和</w:t>
      </w:r>
      <w:r>
        <w:rPr>
          <w:rFonts w:hint="eastAsia" w:ascii="宋体" w:hAnsi="宋体" w:eastAsia="宋体" w:cs="宋体"/>
          <w:color w:val="000000"/>
          <w:sz w:val="21"/>
          <w:szCs w:val="21"/>
          <w:lang w:val="en"/>
        </w:rPr>
        <w:t>其他</w:t>
      </w:r>
      <w:r>
        <w:rPr>
          <w:rFonts w:hint="eastAsia" w:ascii="宋体" w:hAnsi="宋体" w:eastAsia="宋体" w:cs="宋体"/>
          <w:color w:val="000000"/>
          <w:sz w:val="21"/>
          <w:szCs w:val="21"/>
        </w:rPr>
        <w:t>服务，包括但不限于：管理和质量保证、运输、保险、检验、现场准备、安装、集成、调试、培训、维修、废弃处置、技术支持等以及合同中规定乙方应承担的</w:t>
      </w:r>
      <w:r>
        <w:rPr>
          <w:rFonts w:hint="eastAsia" w:ascii="宋体" w:hAnsi="宋体" w:eastAsia="宋体" w:cs="宋体"/>
          <w:color w:val="000000"/>
          <w:sz w:val="21"/>
          <w:szCs w:val="21"/>
          <w:lang w:val="en"/>
        </w:rPr>
        <w:t>其他</w:t>
      </w:r>
      <w:r>
        <w:rPr>
          <w:rFonts w:hint="eastAsia" w:ascii="宋体" w:hAnsi="宋体" w:eastAsia="宋体" w:cs="宋体"/>
          <w:color w:val="000000"/>
          <w:sz w:val="21"/>
          <w:szCs w:val="21"/>
        </w:rPr>
        <w:t>义务。</w:t>
      </w:r>
    </w:p>
    <w:p w14:paraId="55CC92BC">
      <w:pPr>
        <w:adjustRightInd w:val="0"/>
        <w:snapToGrid w:val="0"/>
        <w:spacing w:line="400" w:lineRule="exact"/>
        <w:ind w:firstLine="420" w:firstLineChars="200"/>
        <w:jc w:val="left"/>
        <w:rPr>
          <w:rFonts w:hint="eastAsia" w:ascii="宋体" w:hAnsi="宋体" w:eastAsia="宋体" w:cs="宋体"/>
          <w:color w:val="000000"/>
          <w:sz w:val="21"/>
          <w:szCs w:val="21"/>
          <w:highlight w:val="yellow"/>
        </w:rPr>
      </w:pPr>
      <w:r>
        <w:rPr>
          <w:rFonts w:hint="eastAsia" w:ascii="宋体" w:hAnsi="宋体" w:eastAsia="宋体" w:cs="宋体"/>
          <w:color w:val="000000"/>
          <w:sz w:val="21"/>
          <w:szCs w:val="21"/>
        </w:rPr>
        <w:t>（5）“分包”系指中标（成交）供应商按采购文件、投标（响应）文件的规定，根据分包意向协议，将中标（成交）项目中的部分履约内容，分给具有相应资质条件的供应商履行合同的行为。</w:t>
      </w:r>
    </w:p>
    <w:p w14:paraId="3BB6560A">
      <w:pPr>
        <w:tabs>
          <w:tab w:val="left" w:pos="570"/>
          <w:tab w:val="left" w:pos="9240"/>
          <w:tab w:val="left" w:pos="9555"/>
        </w:tabs>
        <w:adjustRightInd w:val="0"/>
        <w:snapToGrid w:val="0"/>
        <w:spacing w:line="400" w:lineRule="exact"/>
        <w:ind w:firstLine="420" w:firstLineChars="200"/>
        <w:jc w:val="left"/>
        <w:rPr>
          <w:rFonts w:hint="eastAsia" w:ascii="宋体" w:hAnsi="宋体" w:eastAsia="宋体" w:cs="宋体"/>
          <w:color w:val="000000"/>
          <w:sz w:val="21"/>
          <w:szCs w:val="21"/>
        </w:rPr>
      </w:pPr>
      <w:r>
        <w:rPr>
          <w:rFonts w:hint="eastAsia" w:ascii="宋体" w:hAnsi="宋体" w:eastAsia="宋体" w:cs="宋体"/>
          <w:color w:val="000000"/>
          <w:sz w:val="21"/>
          <w:szCs w:val="21"/>
        </w:rPr>
        <w:t>（6）</w:t>
      </w:r>
      <w:r>
        <w:rPr>
          <w:rFonts w:hint="eastAsia" w:ascii="宋体" w:hAnsi="宋体" w:eastAsia="宋体" w:cs="宋体"/>
          <w:sz w:val="21"/>
          <w:szCs w:val="21"/>
        </w:rPr>
        <w:t>“联合体”系指由两个以上的自然人、法人或者非法人组织组成，以一个供应商的身份共同参加政府采购的主体</w:t>
      </w:r>
      <w:r>
        <w:rPr>
          <w:rFonts w:hint="eastAsia" w:ascii="宋体" w:hAnsi="宋体" w:eastAsia="宋体" w:cs="宋体"/>
          <w:color w:val="000000"/>
          <w:sz w:val="21"/>
          <w:szCs w:val="21"/>
        </w:rPr>
        <w:t>。联合体各方应在签订合同协议书前向甲方提交联合协议，且明确牵头人及各成员单位的工作分工、权利、义务、责任，联合体各方应共同与甲方签订合同，就合同约定的事项对甲方承担连带责任。联合体具体要求见【</w:t>
      </w:r>
      <w:r>
        <w:rPr>
          <w:rFonts w:hint="eastAsia" w:ascii="宋体" w:hAnsi="宋体" w:eastAsia="宋体" w:cs="宋体"/>
          <w:b/>
          <w:bCs/>
          <w:color w:val="000000"/>
          <w:sz w:val="21"/>
          <w:szCs w:val="21"/>
        </w:rPr>
        <w:t>政府采购合同专用条款</w:t>
      </w:r>
      <w:r>
        <w:rPr>
          <w:rFonts w:hint="eastAsia" w:ascii="宋体" w:hAnsi="宋体" w:eastAsia="宋体" w:cs="宋体"/>
          <w:color w:val="000000"/>
          <w:sz w:val="21"/>
          <w:szCs w:val="21"/>
        </w:rPr>
        <w:t>】。</w:t>
      </w:r>
    </w:p>
    <w:p w14:paraId="3E3B6084">
      <w:pPr>
        <w:tabs>
          <w:tab w:val="left" w:pos="570"/>
          <w:tab w:val="left" w:pos="9240"/>
          <w:tab w:val="left" w:pos="9555"/>
        </w:tabs>
        <w:adjustRightInd w:val="0"/>
        <w:snapToGrid w:val="0"/>
        <w:spacing w:line="400" w:lineRule="exact"/>
        <w:ind w:firstLine="420" w:firstLineChars="200"/>
        <w:jc w:val="left"/>
        <w:rPr>
          <w:rFonts w:hint="eastAsia" w:ascii="宋体" w:hAnsi="宋体" w:eastAsia="宋体" w:cs="宋体"/>
          <w:color w:val="000000"/>
          <w:sz w:val="21"/>
          <w:szCs w:val="21"/>
        </w:rPr>
      </w:pPr>
      <w:r>
        <w:rPr>
          <w:rFonts w:hint="eastAsia" w:ascii="宋体" w:hAnsi="宋体" w:eastAsia="宋体" w:cs="宋体"/>
          <w:color w:val="000000"/>
          <w:sz w:val="21"/>
          <w:szCs w:val="21"/>
        </w:rPr>
        <w:t>（7）其他术语解释，见【</w:t>
      </w:r>
      <w:r>
        <w:rPr>
          <w:rFonts w:hint="eastAsia" w:ascii="宋体" w:hAnsi="宋体" w:eastAsia="宋体" w:cs="宋体"/>
          <w:b/>
          <w:bCs/>
          <w:color w:val="000000"/>
          <w:sz w:val="21"/>
          <w:szCs w:val="21"/>
        </w:rPr>
        <w:t>政府采购合同专用条款</w:t>
      </w:r>
      <w:r>
        <w:rPr>
          <w:rFonts w:hint="eastAsia" w:ascii="宋体" w:hAnsi="宋体" w:eastAsia="宋体" w:cs="宋体"/>
          <w:color w:val="000000"/>
          <w:sz w:val="21"/>
          <w:szCs w:val="21"/>
        </w:rPr>
        <w:t>】。</w:t>
      </w:r>
    </w:p>
    <w:p w14:paraId="411A3772">
      <w:pPr>
        <w:numPr>
          <w:ilvl w:val="0"/>
          <w:numId w:val="8"/>
        </w:numPr>
        <w:autoSpaceDE w:val="0"/>
        <w:autoSpaceDN w:val="0"/>
        <w:adjustRightInd w:val="0"/>
        <w:snapToGrid w:val="0"/>
        <w:spacing w:line="400" w:lineRule="exact"/>
        <w:jc w:val="left"/>
        <w:rPr>
          <w:rFonts w:hint="eastAsia" w:ascii="宋体" w:hAnsi="宋体" w:eastAsia="宋体" w:cs="宋体"/>
          <w:b/>
          <w:bCs/>
          <w:color w:val="000000"/>
          <w:sz w:val="21"/>
          <w:szCs w:val="21"/>
        </w:rPr>
      </w:pPr>
      <w:r>
        <w:rPr>
          <w:rFonts w:hint="eastAsia" w:ascii="宋体" w:hAnsi="宋体" w:eastAsia="宋体" w:cs="宋体"/>
          <w:b/>
          <w:color w:val="000000"/>
          <w:sz w:val="21"/>
          <w:szCs w:val="21"/>
        </w:rPr>
        <w:t>合同标的及金额</w:t>
      </w:r>
    </w:p>
    <w:p w14:paraId="45EE8A6E">
      <w:pPr>
        <w:autoSpaceDE w:val="0"/>
        <w:autoSpaceDN w:val="0"/>
        <w:adjustRightInd w:val="0"/>
        <w:snapToGrid w:val="0"/>
        <w:spacing w:line="400" w:lineRule="exact"/>
        <w:ind w:firstLine="420" w:firstLineChars="200"/>
        <w:jc w:val="left"/>
        <w:rPr>
          <w:rFonts w:hint="eastAsia" w:ascii="宋体" w:hAnsi="宋体" w:eastAsia="宋体" w:cs="宋体"/>
          <w:b/>
          <w:bCs/>
          <w:i/>
          <w:iCs/>
          <w:color w:val="000000"/>
          <w:sz w:val="21"/>
          <w:szCs w:val="21"/>
        </w:rPr>
      </w:pPr>
      <w:r>
        <w:rPr>
          <w:rFonts w:hint="eastAsia" w:ascii="宋体" w:hAnsi="宋体" w:eastAsia="宋体" w:cs="宋体"/>
          <w:color w:val="000000"/>
          <w:sz w:val="21"/>
          <w:szCs w:val="21"/>
        </w:rPr>
        <w:t>2.1 合同标的及金额应与中标（成交）结果一致。乙方为履行本合同而发生的所有费用均应包含在合同价款中，甲方不再另行支付</w:t>
      </w:r>
      <w:r>
        <w:rPr>
          <w:rFonts w:hint="eastAsia" w:ascii="宋体" w:hAnsi="宋体" w:eastAsia="宋体" w:cs="宋体"/>
          <w:color w:val="000000"/>
          <w:sz w:val="21"/>
          <w:szCs w:val="21"/>
          <w:lang w:val="en"/>
        </w:rPr>
        <w:t>其他</w:t>
      </w:r>
      <w:r>
        <w:rPr>
          <w:rFonts w:hint="eastAsia" w:ascii="宋体" w:hAnsi="宋体" w:eastAsia="宋体" w:cs="宋体"/>
          <w:color w:val="000000"/>
          <w:sz w:val="21"/>
          <w:szCs w:val="21"/>
        </w:rPr>
        <w:t>任何费用。</w:t>
      </w:r>
    </w:p>
    <w:p w14:paraId="250A5D9F">
      <w:pPr>
        <w:adjustRightInd w:val="0"/>
        <w:snapToGrid w:val="0"/>
        <w:spacing w:line="400" w:lineRule="exact"/>
        <w:jc w:val="left"/>
        <w:rPr>
          <w:rFonts w:hint="eastAsia" w:ascii="宋体" w:hAnsi="宋体" w:eastAsia="宋体" w:cs="宋体"/>
          <w:b/>
          <w:color w:val="000000"/>
          <w:sz w:val="21"/>
          <w:szCs w:val="21"/>
        </w:rPr>
      </w:pPr>
      <w:r>
        <w:rPr>
          <w:rFonts w:hint="eastAsia" w:ascii="宋体" w:hAnsi="宋体" w:eastAsia="宋体" w:cs="宋体"/>
          <w:b/>
          <w:color w:val="000000"/>
          <w:sz w:val="21"/>
          <w:szCs w:val="21"/>
        </w:rPr>
        <w:t>3. 履行合同的时间、地点和方式</w:t>
      </w:r>
    </w:p>
    <w:p w14:paraId="3189AD3B">
      <w:pPr>
        <w:autoSpaceDE w:val="0"/>
        <w:autoSpaceDN w:val="0"/>
        <w:adjustRightInd w:val="0"/>
        <w:snapToGrid w:val="0"/>
        <w:spacing w:line="400" w:lineRule="exact"/>
        <w:ind w:firstLine="420" w:firstLineChars="200"/>
        <w:jc w:val="left"/>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3.1 </w:t>
      </w:r>
      <w:r>
        <w:rPr>
          <w:rFonts w:hint="eastAsia" w:ascii="宋体" w:hAnsi="宋体" w:eastAsia="宋体" w:cs="宋体"/>
          <w:sz w:val="21"/>
          <w:szCs w:val="21"/>
        </w:rPr>
        <w:t>乙方应当在约定的时间、地点，按照约定方式履行合同。</w:t>
      </w:r>
    </w:p>
    <w:p w14:paraId="37C55A4F">
      <w:pPr>
        <w:autoSpaceDE w:val="0"/>
        <w:autoSpaceDN w:val="0"/>
        <w:adjustRightInd w:val="0"/>
        <w:snapToGrid w:val="0"/>
        <w:spacing w:line="400" w:lineRule="exact"/>
        <w:jc w:val="left"/>
        <w:rPr>
          <w:rFonts w:hint="eastAsia" w:ascii="宋体" w:hAnsi="宋体" w:eastAsia="宋体" w:cs="宋体"/>
          <w:b/>
          <w:bCs/>
          <w:color w:val="000000"/>
          <w:sz w:val="21"/>
          <w:szCs w:val="21"/>
        </w:rPr>
      </w:pPr>
      <w:r>
        <w:rPr>
          <w:rFonts w:hint="eastAsia" w:ascii="宋体" w:hAnsi="宋体" w:eastAsia="宋体" w:cs="宋体"/>
          <w:b/>
          <w:bCs/>
          <w:color w:val="000000"/>
          <w:sz w:val="21"/>
          <w:szCs w:val="21"/>
        </w:rPr>
        <w:t>4. 甲方的权利和义务</w:t>
      </w:r>
    </w:p>
    <w:p w14:paraId="7DE606B2">
      <w:pPr>
        <w:autoSpaceDE w:val="0"/>
        <w:autoSpaceDN w:val="0"/>
        <w:adjustRightInd w:val="0"/>
        <w:snapToGrid w:val="0"/>
        <w:spacing w:line="400" w:lineRule="exact"/>
        <w:ind w:firstLine="420" w:firstLineChars="200"/>
        <w:jc w:val="left"/>
        <w:rPr>
          <w:rFonts w:hint="eastAsia" w:ascii="宋体" w:hAnsi="宋体" w:eastAsia="宋体" w:cs="宋体"/>
          <w:color w:val="000000"/>
          <w:sz w:val="21"/>
          <w:szCs w:val="21"/>
        </w:rPr>
      </w:pPr>
      <w:r>
        <w:rPr>
          <w:rFonts w:hint="eastAsia" w:ascii="宋体" w:hAnsi="宋体" w:eastAsia="宋体" w:cs="宋体"/>
          <w:color w:val="000000"/>
          <w:sz w:val="21"/>
          <w:szCs w:val="21"/>
        </w:rPr>
        <w:t>4.1 签署合同后，甲方应确定项目负责人（或项目联系人），负责与本合同有关的事务。甲方有权对乙方的履约行为进行检查，并及时确认乙方提交的事项。甲方应当配合乙方完成相关项目实施工作。</w:t>
      </w:r>
    </w:p>
    <w:p w14:paraId="34C045D4">
      <w:pPr>
        <w:autoSpaceDE w:val="0"/>
        <w:autoSpaceDN w:val="0"/>
        <w:adjustRightInd w:val="0"/>
        <w:snapToGrid w:val="0"/>
        <w:spacing w:line="400" w:lineRule="exact"/>
        <w:ind w:firstLine="420" w:firstLineChars="200"/>
        <w:jc w:val="left"/>
        <w:rPr>
          <w:rFonts w:hint="eastAsia" w:ascii="宋体" w:hAnsi="宋体" w:eastAsia="宋体" w:cs="宋体"/>
          <w:color w:val="000000"/>
          <w:sz w:val="21"/>
          <w:szCs w:val="21"/>
        </w:rPr>
      </w:pPr>
      <w:r>
        <w:rPr>
          <w:rFonts w:hint="eastAsia" w:ascii="宋体" w:hAnsi="宋体" w:eastAsia="宋体" w:cs="宋体"/>
          <w:color w:val="000000"/>
          <w:sz w:val="21"/>
          <w:szCs w:val="21"/>
        </w:rPr>
        <w:t>4.2 甲方有权要求乙方按时提交各阶段有关安排计划，并有权定期核对乙方提供货物数量、规格、质量等内容。甲方有权督促乙方工作并要求乙方更换不符合要求的货物。</w:t>
      </w:r>
    </w:p>
    <w:p w14:paraId="5713ABC4">
      <w:pPr>
        <w:autoSpaceDE w:val="0"/>
        <w:autoSpaceDN w:val="0"/>
        <w:adjustRightInd w:val="0"/>
        <w:snapToGrid w:val="0"/>
        <w:spacing w:line="400" w:lineRule="exact"/>
        <w:ind w:firstLine="420" w:firstLineChars="200"/>
        <w:jc w:val="left"/>
        <w:rPr>
          <w:rFonts w:hint="eastAsia" w:ascii="宋体" w:hAnsi="宋体" w:eastAsia="宋体" w:cs="宋体"/>
          <w:color w:val="000000"/>
          <w:sz w:val="21"/>
          <w:szCs w:val="21"/>
        </w:rPr>
      </w:pPr>
      <w:r>
        <w:rPr>
          <w:rFonts w:hint="eastAsia" w:ascii="宋体" w:hAnsi="宋体" w:eastAsia="宋体" w:cs="宋体"/>
          <w:color w:val="000000"/>
          <w:sz w:val="21"/>
          <w:szCs w:val="21"/>
        </w:rPr>
        <w:t>4.3 甲方有权要求乙方对缺陷部分予以修复，并按合同约定享有货物保修及其他合同约定的权利。</w:t>
      </w:r>
    </w:p>
    <w:p w14:paraId="52CEA00F">
      <w:pPr>
        <w:snapToGrid w:val="0"/>
        <w:spacing w:line="400" w:lineRule="exact"/>
        <w:ind w:firstLine="420" w:firstLineChars="200"/>
        <w:rPr>
          <w:rFonts w:hint="eastAsia" w:ascii="宋体" w:hAnsi="宋体" w:eastAsia="宋体" w:cs="宋体"/>
          <w:sz w:val="21"/>
          <w:szCs w:val="21"/>
        </w:rPr>
      </w:pPr>
      <w:r>
        <w:rPr>
          <w:rFonts w:hint="eastAsia" w:ascii="宋体" w:hAnsi="宋体" w:eastAsia="宋体" w:cs="宋体"/>
          <w:color w:val="000000"/>
          <w:sz w:val="21"/>
          <w:szCs w:val="21"/>
        </w:rPr>
        <w:t>4.4 甲方应当按照合同约定及时对交付的货物进行验收，</w:t>
      </w:r>
      <w:r>
        <w:rPr>
          <w:rFonts w:hint="eastAsia" w:ascii="宋体" w:hAnsi="宋体" w:eastAsia="宋体" w:cs="宋体"/>
          <w:sz w:val="21"/>
          <w:szCs w:val="21"/>
        </w:rPr>
        <w:t>未</w:t>
      </w:r>
      <w:r>
        <w:rPr>
          <w:rFonts w:hint="eastAsia" w:ascii="宋体" w:hAnsi="宋体" w:eastAsia="宋体" w:cs="宋体"/>
          <w:color w:val="000000"/>
          <w:sz w:val="21"/>
          <w:szCs w:val="21"/>
        </w:rPr>
        <w:t>在</w:t>
      </w:r>
      <w:r>
        <w:rPr>
          <w:rFonts w:hint="eastAsia" w:ascii="宋体" w:hAnsi="宋体" w:eastAsia="宋体" w:cs="宋体"/>
          <w:b/>
          <w:bCs/>
          <w:sz w:val="21"/>
          <w:szCs w:val="21"/>
        </w:rPr>
        <w:t>【政府采购合同专用条款】</w:t>
      </w:r>
      <w:r>
        <w:rPr>
          <w:rFonts w:hint="eastAsia" w:ascii="宋体" w:hAnsi="宋体" w:eastAsia="宋体" w:cs="宋体"/>
          <w:sz w:val="21"/>
          <w:szCs w:val="21"/>
        </w:rPr>
        <w:t>约定的期限内对乙方履约提出任何异议或者向乙方作出任何说明的，</w:t>
      </w:r>
      <w:r>
        <w:rPr>
          <w:rFonts w:hint="eastAsia" w:ascii="宋体" w:hAnsi="宋体" w:eastAsia="宋体" w:cs="宋体"/>
          <w:color w:val="000000"/>
          <w:sz w:val="21"/>
          <w:szCs w:val="21"/>
        </w:rPr>
        <w:t>视为验收通过。</w:t>
      </w:r>
    </w:p>
    <w:p w14:paraId="505DB8EB">
      <w:pPr>
        <w:autoSpaceDE w:val="0"/>
        <w:autoSpaceDN w:val="0"/>
        <w:adjustRightInd w:val="0"/>
        <w:snapToGrid w:val="0"/>
        <w:spacing w:line="400" w:lineRule="exact"/>
        <w:ind w:firstLine="420" w:firstLineChars="200"/>
        <w:jc w:val="left"/>
        <w:rPr>
          <w:rFonts w:hint="eastAsia" w:ascii="宋体" w:hAnsi="宋体" w:eastAsia="宋体" w:cs="宋体"/>
          <w:color w:val="000000"/>
          <w:sz w:val="21"/>
          <w:szCs w:val="21"/>
        </w:rPr>
      </w:pPr>
      <w:r>
        <w:rPr>
          <w:rFonts w:hint="eastAsia" w:ascii="宋体" w:hAnsi="宋体" w:eastAsia="宋体" w:cs="宋体"/>
          <w:color w:val="000000"/>
          <w:sz w:val="21"/>
          <w:szCs w:val="21"/>
        </w:rPr>
        <w:t>4.5 甲方应当根据合同约定及时向乙方支付合同价款，不得以内部人员变更、履行内部付款流程等为由，拒绝或迟延支付。</w:t>
      </w:r>
    </w:p>
    <w:p w14:paraId="5A873B7D">
      <w:pPr>
        <w:autoSpaceDE w:val="0"/>
        <w:autoSpaceDN w:val="0"/>
        <w:adjustRightInd w:val="0"/>
        <w:snapToGrid w:val="0"/>
        <w:spacing w:line="400" w:lineRule="exact"/>
        <w:ind w:firstLine="420" w:firstLineChars="200"/>
        <w:jc w:val="left"/>
        <w:rPr>
          <w:rFonts w:hint="eastAsia" w:ascii="宋体" w:hAnsi="宋体" w:eastAsia="宋体" w:cs="宋体"/>
          <w:color w:val="000000"/>
          <w:sz w:val="21"/>
          <w:szCs w:val="21"/>
        </w:rPr>
      </w:pPr>
      <w:r>
        <w:rPr>
          <w:rFonts w:hint="eastAsia" w:ascii="宋体" w:hAnsi="宋体" w:eastAsia="宋体" w:cs="宋体"/>
          <w:color w:val="000000"/>
          <w:sz w:val="21"/>
          <w:szCs w:val="21"/>
        </w:rPr>
        <w:t>4.6 国家法律法规规定及</w:t>
      </w:r>
      <w:r>
        <w:rPr>
          <w:rFonts w:hint="eastAsia" w:ascii="宋体" w:hAnsi="宋体" w:eastAsia="宋体" w:cs="宋体"/>
          <w:b/>
          <w:bCs/>
          <w:sz w:val="21"/>
          <w:szCs w:val="21"/>
        </w:rPr>
        <w:t>【政府采购合同专用条款】</w:t>
      </w:r>
      <w:r>
        <w:rPr>
          <w:rFonts w:hint="eastAsia" w:ascii="宋体" w:hAnsi="宋体" w:eastAsia="宋体" w:cs="宋体"/>
          <w:color w:val="000000"/>
          <w:sz w:val="21"/>
          <w:szCs w:val="21"/>
        </w:rPr>
        <w:t>约定应由甲方承担的其他义务和责任。</w:t>
      </w:r>
    </w:p>
    <w:p w14:paraId="0F033C47">
      <w:pPr>
        <w:autoSpaceDE w:val="0"/>
        <w:autoSpaceDN w:val="0"/>
        <w:adjustRightInd w:val="0"/>
        <w:snapToGrid w:val="0"/>
        <w:spacing w:line="400" w:lineRule="exact"/>
        <w:jc w:val="left"/>
        <w:rPr>
          <w:rFonts w:hint="eastAsia" w:ascii="宋体" w:hAnsi="宋体" w:eastAsia="宋体" w:cs="宋体"/>
          <w:b/>
          <w:bCs/>
          <w:color w:val="000000"/>
          <w:sz w:val="21"/>
          <w:szCs w:val="21"/>
        </w:rPr>
      </w:pPr>
      <w:r>
        <w:rPr>
          <w:rFonts w:hint="eastAsia" w:ascii="宋体" w:hAnsi="宋体" w:eastAsia="宋体" w:cs="宋体"/>
          <w:b/>
          <w:bCs/>
          <w:color w:val="000000"/>
          <w:sz w:val="21"/>
          <w:szCs w:val="21"/>
        </w:rPr>
        <w:t>5. 乙方的权利和义务</w:t>
      </w:r>
    </w:p>
    <w:p w14:paraId="76F9EA94">
      <w:pPr>
        <w:autoSpaceDE w:val="0"/>
        <w:autoSpaceDN w:val="0"/>
        <w:adjustRightInd w:val="0"/>
        <w:snapToGrid w:val="0"/>
        <w:spacing w:line="400" w:lineRule="exact"/>
        <w:ind w:firstLine="420" w:firstLineChars="200"/>
        <w:jc w:val="left"/>
        <w:rPr>
          <w:rFonts w:hint="eastAsia" w:ascii="宋体" w:hAnsi="宋体" w:eastAsia="宋体" w:cs="宋体"/>
          <w:color w:val="000000"/>
          <w:sz w:val="21"/>
          <w:szCs w:val="21"/>
        </w:rPr>
      </w:pPr>
      <w:r>
        <w:rPr>
          <w:rFonts w:hint="eastAsia" w:ascii="宋体" w:hAnsi="宋体" w:eastAsia="宋体" w:cs="宋体"/>
          <w:color w:val="000000"/>
          <w:sz w:val="21"/>
          <w:szCs w:val="21"/>
        </w:rPr>
        <w:t>5.1 签署合同后，乙方应确定项目负责人（或项目联系人），负责与本合同有关的事务。</w:t>
      </w:r>
    </w:p>
    <w:p w14:paraId="551A7ADB">
      <w:pPr>
        <w:autoSpaceDE w:val="0"/>
        <w:autoSpaceDN w:val="0"/>
        <w:adjustRightInd w:val="0"/>
        <w:snapToGrid w:val="0"/>
        <w:spacing w:line="400" w:lineRule="exact"/>
        <w:ind w:firstLine="420" w:firstLineChars="200"/>
        <w:jc w:val="left"/>
        <w:rPr>
          <w:rFonts w:hint="eastAsia" w:ascii="宋体" w:hAnsi="宋体" w:eastAsia="宋体" w:cs="宋体"/>
          <w:color w:val="000000"/>
          <w:sz w:val="21"/>
          <w:szCs w:val="21"/>
        </w:rPr>
      </w:pPr>
      <w:r>
        <w:rPr>
          <w:rFonts w:hint="eastAsia" w:ascii="宋体" w:hAnsi="宋体" w:eastAsia="宋体" w:cs="宋体"/>
          <w:color w:val="000000"/>
          <w:sz w:val="21"/>
          <w:szCs w:val="21"/>
        </w:rPr>
        <w:t>5.2 乙方应按照合同要求履约，充分合理安排，确保提供的货物及相关服务符合合同有关要求。接受项目行业管理部门及政府有关部门的指导，配合甲方的履约检查及验收，并负责项目实施过程中的所有协调工作。</w:t>
      </w:r>
    </w:p>
    <w:p w14:paraId="70DDDFEB">
      <w:pPr>
        <w:autoSpaceDE w:val="0"/>
        <w:autoSpaceDN w:val="0"/>
        <w:adjustRightInd w:val="0"/>
        <w:snapToGrid w:val="0"/>
        <w:spacing w:line="400" w:lineRule="exact"/>
        <w:ind w:firstLine="420" w:firstLineChars="200"/>
        <w:jc w:val="left"/>
        <w:rPr>
          <w:rFonts w:hint="eastAsia" w:ascii="宋体" w:hAnsi="宋体" w:eastAsia="宋体" w:cs="宋体"/>
          <w:color w:val="000000"/>
          <w:sz w:val="21"/>
          <w:szCs w:val="21"/>
        </w:rPr>
      </w:pPr>
      <w:r>
        <w:rPr>
          <w:rFonts w:hint="eastAsia" w:ascii="宋体" w:hAnsi="宋体" w:eastAsia="宋体" w:cs="宋体"/>
          <w:color w:val="000000"/>
          <w:sz w:val="21"/>
          <w:szCs w:val="21"/>
        </w:rPr>
        <w:t>5.3乙方有权根据合同约定向甲方收取合同价款。</w:t>
      </w:r>
    </w:p>
    <w:p w14:paraId="51CB4154">
      <w:pPr>
        <w:autoSpaceDE w:val="0"/>
        <w:autoSpaceDN w:val="0"/>
        <w:adjustRightInd w:val="0"/>
        <w:snapToGrid w:val="0"/>
        <w:spacing w:line="400" w:lineRule="exact"/>
        <w:ind w:firstLine="420" w:firstLineChars="200"/>
        <w:jc w:val="left"/>
        <w:rPr>
          <w:rFonts w:hint="eastAsia" w:ascii="宋体" w:hAnsi="宋体" w:eastAsia="宋体" w:cs="宋体"/>
          <w:color w:val="000000"/>
          <w:sz w:val="21"/>
          <w:szCs w:val="21"/>
        </w:rPr>
      </w:pPr>
      <w:r>
        <w:rPr>
          <w:rFonts w:hint="eastAsia" w:ascii="宋体" w:hAnsi="宋体" w:eastAsia="宋体" w:cs="宋体"/>
          <w:color w:val="000000"/>
          <w:sz w:val="21"/>
          <w:szCs w:val="21"/>
        </w:rPr>
        <w:t>5.4国家法律法规规定及</w:t>
      </w:r>
      <w:r>
        <w:rPr>
          <w:rFonts w:hint="eastAsia" w:ascii="宋体" w:hAnsi="宋体" w:eastAsia="宋体" w:cs="宋体"/>
          <w:b/>
          <w:bCs/>
          <w:sz w:val="21"/>
          <w:szCs w:val="21"/>
        </w:rPr>
        <w:t>【政府采购合同专用条款】</w:t>
      </w:r>
      <w:r>
        <w:rPr>
          <w:rFonts w:hint="eastAsia" w:ascii="宋体" w:hAnsi="宋体" w:eastAsia="宋体" w:cs="宋体"/>
          <w:color w:val="000000"/>
          <w:sz w:val="21"/>
          <w:szCs w:val="21"/>
        </w:rPr>
        <w:t>约定应由乙方承担的其他义务和责任。</w:t>
      </w:r>
    </w:p>
    <w:p w14:paraId="3027ACD9">
      <w:pPr>
        <w:numPr>
          <w:ilvl w:val="0"/>
          <w:numId w:val="9"/>
        </w:numPr>
        <w:autoSpaceDE w:val="0"/>
        <w:autoSpaceDN w:val="0"/>
        <w:adjustRightInd w:val="0"/>
        <w:snapToGrid w:val="0"/>
        <w:spacing w:line="400" w:lineRule="exact"/>
        <w:jc w:val="left"/>
        <w:rPr>
          <w:rFonts w:hint="eastAsia" w:ascii="宋体" w:hAnsi="宋体" w:eastAsia="宋体" w:cs="宋体"/>
          <w:b/>
          <w:bCs/>
          <w:color w:val="000000"/>
          <w:sz w:val="21"/>
          <w:szCs w:val="21"/>
        </w:rPr>
      </w:pPr>
      <w:r>
        <w:rPr>
          <w:rFonts w:hint="eastAsia" w:ascii="宋体" w:hAnsi="宋体" w:eastAsia="宋体" w:cs="宋体"/>
          <w:b/>
          <w:bCs/>
          <w:color w:val="000000"/>
          <w:sz w:val="21"/>
          <w:szCs w:val="21"/>
        </w:rPr>
        <w:t>合同履行</w:t>
      </w:r>
    </w:p>
    <w:p w14:paraId="1D4A0C15">
      <w:pPr>
        <w:autoSpaceDE w:val="0"/>
        <w:autoSpaceDN w:val="0"/>
        <w:adjustRightInd w:val="0"/>
        <w:snapToGrid w:val="0"/>
        <w:spacing w:line="400" w:lineRule="exact"/>
        <w:ind w:firstLine="420" w:firstLineChars="200"/>
        <w:jc w:val="left"/>
        <w:rPr>
          <w:rFonts w:hint="eastAsia" w:ascii="宋体" w:hAnsi="宋体" w:eastAsia="宋体" w:cs="宋体"/>
          <w:color w:val="000000"/>
          <w:sz w:val="21"/>
          <w:szCs w:val="21"/>
        </w:rPr>
      </w:pPr>
      <w:r>
        <w:rPr>
          <w:rFonts w:hint="eastAsia" w:ascii="宋体" w:hAnsi="宋体" w:eastAsia="宋体" w:cs="宋体"/>
          <w:color w:val="000000"/>
          <w:sz w:val="21"/>
          <w:szCs w:val="21"/>
        </w:rPr>
        <w:t>6.1 甲乙双方应当按照</w:t>
      </w:r>
      <w:r>
        <w:rPr>
          <w:rFonts w:hint="eastAsia" w:ascii="宋体" w:hAnsi="宋体" w:eastAsia="宋体" w:cs="宋体"/>
          <w:b/>
          <w:bCs/>
          <w:sz w:val="21"/>
          <w:szCs w:val="21"/>
        </w:rPr>
        <w:t>【政府采购合同专用条款】</w:t>
      </w:r>
      <w:r>
        <w:rPr>
          <w:rFonts w:hint="eastAsia" w:ascii="宋体" w:hAnsi="宋体" w:eastAsia="宋体" w:cs="宋体"/>
          <w:color w:val="000000"/>
          <w:sz w:val="21"/>
          <w:szCs w:val="21"/>
        </w:rPr>
        <w:t>约定顺序履行合同义务；如果没有先后顺序的，应当同时履行。</w:t>
      </w:r>
    </w:p>
    <w:p w14:paraId="71B7E32C">
      <w:pPr>
        <w:autoSpaceDE w:val="0"/>
        <w:autoSpaceDN w:val="0"/>
        <w:adjustRightInd w:val="0"/>
        <w:snapToGrid w:val="0"/>
        <w:spacing w:line="400" w:lineRule="exact"/>
        <w:ind w:firstLine="420" w:firstLineChars="200"/>
        <w:jc w:val="left"/>
        <w:rPr>
          <w:rFonts w:hint="eastAsia" w:ascii="宋体" w:hAnsi="宋体" w:eastAsia="宋体" w:cs="宋体"/>
          <w:sz w:val="21"/>
          <w:szCs w:val="21"/>
        </w:rPr>
      </w:pPr>
      <w:r>
        <w:rPr>
          <w:rFonts w:hint="eastAsia" w:ascii="宋体" w:hAnsi="宋体" w:eastAsia="宋体" w:cs="宋体"/>
          <w:color w:val="000000"/>
          <w:sz w:val="21"/>
          <w:szCs w:val="21"/>
        </w:rPr>
        <w:t>6.2 甲乙双方按照合同约定顺序履行合同义务时，应当先履行一方未履行的，后履行一方有权拒绝其履行请求。先履行一方履行不符合约定的，后履行一方有权拒绝其相应的履行请求。</w:t>
      </w:r>
    </w:p>
    <w:p w14:paraId="190A94A2">
      <w:pPr>
        <w:adjustRightInd w:val="0"/>
        <w:snapToGrid w:val="0"/>
        <w:spacing w:line="400" w:lineRule="exact"/>
        <w:jc w:val="left"/>
        <w:rPr>
          <w:rFonts w:hint="eastAsia" w:ascii="宋体" w:hAnsi="宋体" w:eastAsia="宋体" w:cs="宋体"/>
          <w:b/>
          <w:bCs/>
          <w:color w:val="000000"/>
          <w:sz w:val="21"/>
          <w:szCs w:val="21"/>
        </w:rPr>
      </w:pPr>
      <w:r>
        <w:rPr>
          <w:rFonts w:hint="eastAsia" w:ascii="宋体" w:hAnsi="宋体" w:eastAsia="宋体" w:cs="宋体"/>
          <w:b/>
          <w:bCs/>
          <w:color w:val="000000"/>
          <w:sz w:val="21"/>
          <w:szCs w:val="21"/>
        </w:rPr>
        <w:t>7. 货物包装、运输、保险和交付要求</w:t>
      </w:r>
    </w:p>
    <w:p w14:paraId="3BE6B888">
      <w:pPr>
        <w:autoSpaceDE w:val="0"/>
        <w:autoSpaceDN w:val="0"/>
        <w:adjustRightInd w:val="0"/>
        <w:snapToGrid w:val="0"/>
        <w:spacing w:line="400" w:lineRule="exact"/>
        <w:ind w:firstLine="420" w:firstLineChars="200"/>
        <w:jc w:val="left"/>
        <w:rPr>
          <w:rFonts w:hint="eastAsia" w:ascii="宋体" w:hAnsi="宋体" w:eastAsia="宋体" w:cs="宋体"/>
          <w:color w:val="000000"/>
          <w:sz w:val="21"/>
          <w:szCs w:val="21"/>
        </w:rPr>
      </w:pPr>
      <w:r>
        <w:rPr>
          <w:rFonts w:hint="eastAsia" w:ascii="宋体" w:hAnsi="宋体" w:eastAsia="宋体" w:cs="宋体"/>
          <w:color w:val="000000"/>
          <w:sz w:val="21"/>
          <w:szCs w:val="21"/>
        </w:rPr>
        <w:t>7.1 本合同</w:t>
      </w:r>
      <w:r>
        <w:rPr>
          <w:rFonts w:hint="eastAsia" w:ascii="宋体" w:hAnsi="宋体" w:eastAsia="宋体" w:cs="宋体"/>
          <w:bCs/>
          <w:color w:val="000000"/>
          <w:sz w:val="21"/>
          <w:szCs w:val="21"/>
        </w:rPr>
        <w:t>涉及商品包装、快递包装的，</w:t>
      </w:r>
      <w:r>
        <w:rPr>
          <w:rFonts w:hint="eastAsia" w:ascii="宋体" w:hAnsi="宋体" w:eastAsia="宋体" w:cs="宋体"/>
          <w:color w:val="000000"/>
          <w:sz w:val="21"/>
          <w:szCs w:val="21"/>
        </w:rPr>
        <w:t>除</w:t>
      </w:r>
      <w:r>
        <w:rPr>
          <w:rFonts w:hint="eastAsia" w:ascii="宋体" w:hAnsi="宋体" w:eastAsia="宋体" w:cs="宋体"/>
          <w:b/>
          <w:color w:val="000000"/>
          <w:sz w:val="21"/>
          <w:szCs w:val="21"/>
        </w:rPr>
        <w:t>【政府采购合同专用条款】</w:t>
      </w:r>
      <w:r>
        <w:rPr>
          <w:rFonts w:hint="eastAsia" w:ascii="宋体" w:hAnsi="宋体" w:eastAsia="宋体" w:cs="宋体"/>
          <w:bCs/>
          <w:color w:val="000000"/>
          <w:sz w:val="21"/>
          <w:szCs w:val="21"/>
        </w:rPr>
        <w:t>另有约定外，</w:t>
      </w:r>
      <w:r>
        <w:rPr>
          <w:rFonts w:hint="eastAsia" w:ascii="宋体" w:hAnsi="宋体" w:eastAsia="宋体" w:cs="宋体"/>
          <w:color w:val="000000"/>
          <w:sz w:val="21"/>
          <w:szCs w:val="21"/>
        </w:rPr>
        <w:t>包装应适应远距离运输、防潮、防震、防锈和防野蛮装卸等要求，确保货物安全无损地运抵</w:t>
      </w:r>
      <w:r>
        <w:rPr>
          <w:rFonts w:hint="eastAsia" w:ascii="宋体" w:hAnsi="宋体" w:eastAsia="宋体" w:cs="宋体"/>
          <w:b/>
          <w:color w:val="000000"/>
          <w:sz w:val="21"/>
          <w:szCs w:val="21"/>
        </w:rPr>
        <w:t>【政府采购合同专用条款】</w:t>
      </w:r>
      <w:r>
        <w:rPr>
          <w:rFonts w:hint="eastAsia" w:ascii="宋体" w:hAnsi="宋体" w:eastAsia="宋体" w:cs="宋体"/>
          <w:bCs/>
          <w:color w:val="000000"/>
          <w:sz w:val="21"/>
          <w:szCs w:val="21"/>
        </w:rPr>
        <w:t>约定的</w:t>
      </w:r>
      <w:r>
        <w:rPr>
          <w:rFonts w:hint="eastAsia" w:ascii="宋体" w:hAnsi="宋体" w:eastAsia="宋体" w:cs="宋体"/>
          <w:color w:val="000000"/>
          <w:sz w:val="21"/>
          <w:szCs w:val="21"/>
        </w:rPr>
        <w:t>指定现场。</w:t>
      </w:r>
    </w:p>
    <w:p w14:paraId="1ABE998E">
      <w:pPr>
        <w:adjustRightInd w:val="0"/>
        <w:snapToGrid w:val="0"/>
        <w:spacing w:line="400" w:lineRule="exact"/>
        <w:ind w:firstLine="420" w:firstLineChars="200"/>
        <w:jc w:val="left"/>
        <w:rPr>
          <w:rFonts w:hint="eastAsia" w:ascii="宋体" w:hAnsi="宋体" w:eastAsia="宋体" w:cs="宋体"/>
          <w:color w:val="000000"/>
          <w:sz w:val="21"/>
          <w:szCs w:val="21"/>
        </w:rPr>
      </w:pPr>
      <w:r>
        <w:rPr>
          <w:rFonts w:hint="eastAsia" w:ascii="宋体" w:hAnsi="宋体" w:eastAsia="宋体" w:cs="宋体"/>
          <w:color w:val="000000"/>
          <w:sz w:val="21"/>
          <w:szCs w:val="21"/>
        </w:rPr>
        <w:t>7.2 除</w:t>
      </w:r>
      <w:r>
        <w:rPr>
          <w:rFonts w:hint="eastAsia" w:ascii="宋体" w:hAnsi="宋体" w:eastAsia="宋体" w:cs="宋体"/>
          <w:b/>
          <w:color w:val="000000"/>
          <w:sz w:val="21"/>
          <w:szCs w:val="21"/>
        </w:rPr>
        <w:t>【政府采购合同专用条款】</w:t>
      </w:r>
      <w:r>
        <w:rPr>
          <w:rFonts w:hint="eastAsia" w:ascii="宋体" w:hAnsi="宋体" w:eastAsia="宋体" w:cs="宋体"/>
          <w:bCs/>
          <w:color w:val="000000"/>
          <w:sz w:val="21"/>
          <w:szCs w:val="21"/>
        </w:rPr>
        <w:t>另有约定外，</w:t>
      </w:r>
      <w:r>
        <w:rPr>
          <w:rFonts w:hint="eastAsia" w:ascii="宋体" w:hAnsi="宋体" w:eastAsia="宋体" w:cs="宋体"/>
          <w:color w:val="000000"/>
          <w:sz w:val="21"/>
          <w:szCs w:val="21"/>
        </w:rPr>
        <w:t>乙方负责办理将货物运抵本合同规定的交货地点，并装卸、交付至甲方的一切运输事项，相关费用应包含在合同价款中。</w:t>
      </w:r>
    </w:p>
    <w:p w14:paraId="6829D28F">
      <w:pPr>
        <w:adjustRightInd w:val="0"/>
        <w:snapToGrid w:val="0"/>
        <w:spacing w:line="400" w:lineRule="exact"/>
        <w:ind w:firstLine="420" w:firstLineChars="200"/>
        <w:jc w:val="left"/>
        <w:rPr>
          <w:rFonts w:hint="eastAsia" w:ascii="宋体" w:hAnsi="宋体" w:eastAsia="宋体" w:cs="宋体"/>
          <w:color w:val="000000"/>
          <w:sz w:val="21"/>
          <w:szCs w:val="21"/>
        </w:rPr>
      </w:pPr>
      <w:r>
        <w:rPr>
          <w:rFonts w:hint="eastAsia" w:ascii="宋体" w:hAnsi="宋体" w:eastAsia="宋体" w:cs="宋体"/>
          <w:color w:val="000000"/>
          <w:sz w:val="21"/>
          <w:szCs w:val="21"/>
        </w:rPr>
        <w:t>7.3 货物保险要求按</w:t>
      </w:r>
      <w:r>
        <w:rPr>
          <w:rFonts w:hint="eastAsia" w:ascii="宋体" w:hAnsi="宋体" w:eastAsia="宋体" w:cs="宋体"/>
          <w:b/>
          <w:color w:val="000000"/>
          <w:sz w:val="21"/>
          <w:szCs w:val="21"/>
        </w:rPr>
        <w:t>【政府采购合同专用条款】</w:t>
      </w:r>
      <w:r>
        <w:rPr>
          <w:rFonts w:hint="eastAsia" w:ascii="宋体" w:hAnsi="宋体" w:eastAsia="宋体" w:cs="宋体"/>
          <w:bCs/>
          <w:color w:val="000000"/>
          <w:sz w:val="21"/>
          <w:szCs w:val="21"/>
        </w:rPr>
        <w:t>规定执行</w:t>
      </w:r>
      <w:r>
        <w:rPr>
          <w:rFonts w:hint="eastAsia" w:ascii="宋体" w:hAnsi="宋体" w:eastAsia="宋体" w:cs="宋体"/>
          <w:color w:val="000000"/>
          <w:sz w:val="21"/>
          <w:szCs w:val="21"/>
        </w:rPr>
        <w:t>。</w:t>
      </w:r>
    </w:p>
    <w:p w14:paraId="40F6227D">
      <w:pPr>
        <w:autoSpaceDE w:val="0"/>
        <w:autoSpaceDN w:val="0"/>
        <w:adjustRightInd w:val="0"/>
        <w:snapToGrid w:val="0"/>
        <w:spacing w:line="400" w:lineRule="exact"/>
        <w:ind w:firstLine="420" w:firstLineChars="200"/>
        <w:jc w:val="left"/>
        <w:rPr>
          <w:rFonts w:hint="eastAsia" w:ascii="宋体" w:hAnsi="宋体" w:eastAsia="宋体" w:cs="宋体"/>
          <w:color w:val="000000"/>
          <w:sz w:val="21"/>
          <w:szCs w:val="21"/>
        </w:rPr>
      </w:pPr>
      <w:r>
        <w:rPr>
          <w:rFonts w:hint="eastAsia" w:ascii="宋体" w:hAnsi="宋体" w:eastAsia="宋体" w:cs="宋体"/>
          <w:color w:val="000000"/>
          <w:sz w:val="21"/>
          <w:szCs w:val="21"/>
        </w:rPr>
        <w:t>7.4 除采购活动对商品包装、快递包装达成具体约定外，乙方提供产品及相关快递服务</w:t>
      </w:r>
      <w:r>
        <w:rPr>
          <w:rFonts w:hint="eastAsia" w:ascii="宋体" w:hAnsi="宋体" w:eastAsia="宋体" w:cs="宋体"/>
          <w:color w:val="000000"/>
          <w:sz w:val="21"/>
          <w:szCs w:val="21"/>
          <w:lang w:eastAsia="zh-CN"/>
        </w:rPr>
        <w:t>涉及</w:t>
      </w:r>
      <w:r>
        <w:rPr>
          <w:rFonts w:hint="eastAsia" w:ascii="宋体" w:hAnsi="宋体" w:eastAsia="宋体" w:cs="宋体"/>
          <w:color w:val="000000"/>
          <w:sz w:val="21"/>
          <w:szCs w:val="21"/>
        </w:rPr>
        <w:t>具体包装要求的，应不低于《商品包装政府采购需求标准（试行）》《快递包装政府采购需求标准（试行）》标准，并作为履约验收的内容，必要时甲方可以要求乙方在履约验收环节出具检测报告。</w:t>
      </w:r>
    </w:p>
    <w:p w14:paraId="5B1E5768">
      <w:pPr>
        <w:autoSpaceDE w:val="0"/>
        <w:autoSpaceDN w:val="0"/>
        <w:adjustRightInd w:val="0"/>
        <w:snapToGrid w:val="0"/>
        <w:spacing w:line="400" w:lineRule="exact"/>
        <w:ind w:firstLine="420" w:firstLineChars="200"/>
        <w:jc w:val="left"/>
        <w:rPr>
          <w:rFonts w:hint="eastAsia" w:ascii="宋体" w:hAnsi="宋体" w:eastAsia="宋体" w:cs="宋体"/>
          <w:color w:val="000000"/>
          <w:sz w:val="21"/>
          <w:szCs w:val="21"/>
        </w:rPr>
      </w:pPr>
      <w:r>
        <w:rPr>
          <w:rFonts w:hint="eastAsia" w:ascii="宋体" w:hAnsi="宋体" w:eastAsia="宋体" w:cs="宋体"/>
          <w:color w:val="000000"/>
          <w:sz w:val="21"/>
          <w:szCs w:val="21"/>
        </w:rPr>
        <w:t>7.5 乙方在运输到达之前应提前通知甲方，并提示货物运输装卸的注意事项，甲方配合乙方做好货物的接收工作。</w:t>
      </w:r>
    </w:p>
    <w:p w14:paraId="7937A0EA">
      <w:pPr>
        <w:pStyle w:val="322"/>
        <w:ind w:firstLine="420"/>
        <w:rPr>
          <w:rFonts w:hint="eastAsia" w:ascii="宋体" w:hAnsi="宋体" w:eastAsia="宋体" w:cs="宋体"/>
          <w:sz w:val="21"/>
          <w:szCs w:val="21"/>
        </w:rPr>
      </w:pPr>
      <w:r>
        <w:rPr>
          <w:rFonts w:hint="eastAsia" w:ascii="宋体" w:hAnsi="宋体" w:eastAsia="宋体" w:cs="宋体"/>
          <w:color w:val="000000"/>
          <w:kern w:val="2"/>
          <w:sz w:val="21"/>
          <w:szCs w:val="21"/>
        </w:rPr>
        <w:t>7.6 如因包装、运输问题导致货物损毁、丢失或者品质下降，甲方有权要求降价、换货、拒收部分或整批货物，由此产生的费用和损失，均由乙方承担。</w:t>
      </w:r>
    </w:p>
    <w:p w14:paraId="4FFA95EC">
      <w:pPr>
        <w:adjustRightInd w:val="0"/>
        <w:snapToGrid w:val="0"/>
        <w:spacing w:line="400" w:lineRule="exact"/>
        <w:jc w:val="left"/>
        <w:rPr>
          <w:rFonts w:hint="eastAsia" w:ascii="宋体" w:hAnsi="宋体" w:eastAsia="宋体" w:cs="宋体"/>
          <w:b/>
          <w:sz w:val="21"/>
          <w:szCs w:val="21"/>
        </w:rPr>
      </w:pPr>
      <w:r>
        <w:rPr>
          <w:rFonts w:hint="eastAsia" w:ascii="宋体" w:hAnsi="宋体" w:eastAsia="宋体" w:cs="宋体"/>
          <w:b/>
          <w:color w:val="000000"/>
          <w:sz w:val="21"/>
          <w:szCs w:val="21"/>
        </w:rPr>
        <w:t xml:space="preserve">8. </w:t>
      </w:r>
      <w:r>
        <w:rPr>
          <w:rFonts w:hint="eastAsia" w:ascii="宋体" w:hAnsi="宋体" w:eastAsia="宋体" w:cs="宋体"/>
          <w:b/>
          <w:sz w:val="21"/>
          <w:szCs w:val="21"/>
        </w:rPr>
        <w:t>质量标准和保证</w:t>
      </w:r>
    </w:p>
    <w:p w14:paraId="5EBE1453">
      <w:pPr>
        <w:pStyle w:val="16"/>
        <w:adjustRightInd w:val="0"/>
        <w:snapToGrid w:val="0"/>
        <w:spacing w:line="400" w:lineRule="exact"/>
        <w:ind w:firstLine="420" w:firstLineChars="200"/>
        <w:jc w:val="left"/>
        <w:rPr>
          <w:rFonts w:hint="eastAsia" w:ascii="宋体" w:hAnsi="宋体" w:eastAsia="宋体" w:cs="宋体"/>
          <w:b/>
          <w:sz w:val="21"/>
          <w:szCs w:val="21"/>
        </w:rPr>
      </w:pPr>
      <w:r>
        <w:rPr>
          <w:rFonts w:hint="eastAsia" w:ascii="宋体" w:hAnsi="宋体" w:eastAsia="宋体" w:cs="宋体"/>
          <w:sz w:val="21"/>
          <w:szCs w:val="21"/>
        </w:rPr>
        <w:t>8.1 质量标准</w:t>
      </w:r>
    </w:p>
    <w:p w14:paraId="03882CF8">
      <w:pPr>
        <w:autoSpaceDE w:val="0"/>
        <w:autoSpaceDN w:val="0"/>
        <w:adjustRightInd w:val="0"/>
        <w:snapToGrid w:val="0"/>
        <w:spacing w:line="400" w:lineRule="exact"/>
        <w:ind w:firstLine="420" w:firstLineChars="200"/>
        <w:jc w:val="left"/>
        <w:rPr>
          <w:rFonts w:hint="eastAsia" w:ascii="宋体" w:hAnsi="宋体" w:eastAsia="宋体" w:cs="宋体"/>
          <w:sz w:val="21"/>
          <w:szCs w:val="21"/>
        </w:rPr>
      </w:pPr>
      <w:r>
        <w:rPr>
          <w:rFonts w:hint="eastAsia" w:ascii="宋体" w:hAnsi="宋体" w:eastAsia="宋体" w:cs="宋体"/>
          <w:sz w:val="21"/>
          <w:szCs w:val="21"/>
        </w:rPr>
        <w:t>（1）本合同下提供的货物应符合合同</w:t>
      </w:r>
      <w:r>
        <w:rPr>
          <w:rFonts w:hint="eastAsia" w:ascii="宋体" w:hAnsi="宋体" w:eastAsia="宋体" w:cs="宋体"/>
          <w:color w:val="000000"/>
          <w:sz w:val="21"/>
          <w:szCs w:val="21"/>
        </w:rPr>
        <w:t>约定的</w:t>
      </w:r>
      <w:r>
        <w:rPr>
          <w:rFonts w:hint="eastAsia" w:ascii="宋体" w:hAnsi="宋体" w:eastAsia="宋体" w:cs="宋体"/>
          <w:sz w:val="21"/>
          <w:szCs w:val="21"/>
        </w:rPr>
        <w:t>品牌、规格型号、技术性能、配置、质量、数量等要求。质量要求不明确的，按照强制性国家标准履行；没有强制性国家标准的，按照推荐性国家标准履行；没有推荐性国家标准的，按照行业标准履行；没有国家标准、行业标准的，按照通常标准或者符合合同目的的特定标准履行。</w:t>
      </w:r>
    </w:p>
    <w:p w14:paraId="1991CEC4">
      <w:pPr>
        <w:pStyle w:val="16"/>
        <w:adjustRightInd w:val="0"/>
        <w:snapToGrid w:val="0"/>
        <w:spacing w:line="400" w:lineRule="exact"/>
        <w:ind w:firstLine="420" w:firstLineChars="200"/>
        <w:jc w:val="left"/>
        <w:rPr>
          <w:rFonts w:hint="eastAsia" w:ascii="宋体" w:hAnsi="宋体" w:eastAsia="宋体" w:cs="宋体"/>
          <w:sz w:val="21"/>
          <w:szCs w:val="21"/>
        </w:rPr>
      </w:pPr>
      <w:r>
        <w:rPr>
          <w:rFonts w:hint="eastAsia" w:ascii="宋体" w:hAnsi="宋体" w:eastAsia="宋体" w:cs="宋体"/>
          <w:sz w:val="21"/>
          <w:szCs w:val="21"/>
        </w:rPr>
        <w:t>（2）采用中华人民共和国法定计量单位。</w:t>
      </w:r>
    </w:p>
    <w:p w14:paraId="15C50879">
      <w:pPr>
        <w:autoSpaceDE w:val="0"/>
        <w:autoSpaceDN w:val="0"/>
        <w:adjustRightInd w:val="0"/>
        <w:snapToGrid w:val="0"/>
        <w:spacing w:line="400" w:lineRule="exact"/>
        <w:ind w:firstLine="420" w:firstLineChars="200"/>
        <w:jc w:val="left"/>
        <w:rPr>
          <w:rFonts w:hint="eastAsia" w:ascii="宋体" w:hAnsi="宋体" w:eastAsia="宋体" w:cs="宋体"/>
          <w:sz w:val="21"/>
          <w:szCs w:val="21"/>
        </w:rPr>
      </w:pPr>
      <w:r>
        <w:rPr>
          <w:rFonts w:hint="eastAsia" w:ascii="宋体" w:hAnsi="宋体" w:eastAsia="宋体" w:cs="宋体"/>
          <w:sz w:val="21"/>
          <w:szCs w:val="21"/>
        </w:rPr>
        <w:t>（3）乙方所提供的货物应符合国家有关安全、环保、卫生的规定。</w:t>
      </w:r>
    </w:p>
    <w:p w14:paraId="22BBC623">
      <w:pPr>
        <w:autoSpaceDE w:val="0"/>
        <w:autoSpaceDN w:val="0"/>
        <w:adjustRightInd w:val="0"/>
        <w:snapToGrid w:val="0"/>
        <w:spacing w:line="400" w:lineRule="exact"/>
        <w:ind w:firstLine="420" w:firstLineChars="200"/>
        <w:jc w:val="left"/>
        <w:rPr>
          <w:rFonts w:hint="eastAsia" w:ascii="宋体" w:hAnsi="宋体" w:eastAsia="宋体" w:cs="宋体"/>
          <w:sz w:val="21"/>
          <w:szCs w:val="21"/>
        </w:rPr>
      </w:pPr>
      <w:r>
        <w:rPr>
          <w:rFonts w:hint="eastAsia" w:ascii="宋体" w:hAnsi="宋体" w:eastAsia="宋体" w:cs="宋体"/>
          <w:sz w:val="21"/>
          <w:szCs w:val="21"/>
        </w:rPr>
        <w:t>（4）乙方应向甲方提交所提供货物的技术文件，包括相应的中文技术文件，如：产品目录、图纸、操作手册、使用说明、维护手册或服务指南等。上述文件应包装好随货物一同发运。</w:t>
      </w:r>
    </w:p>
    <w:p w14:paraId="45C46FAA">
      <w:pPr>
        <w:autoSpaceDE w:val="0"/>
        <w:autoSpaceDN w:val="0"/>
        <w:adjustRightInd w:val="0"/>
        <w:snapToGrid w:val="0"/>
        <w:spacing w:line="400" w:lineRule="exact"/>
        <w:ind w:firstLine="420" w:firstLineChars="200"/>
        <w:jc w:val="left"/>
        <w:rPr>
          <w:rFonts w:hint="eastAsia" w:ascii="宋体" w:hAnsi="宋体" w:eastAsia="宋体" w:cs="宋体"/>
          <w:sz w:val="21"/>
          <w:szCs w:val="21"/>
        </w:rPr>
      </w:pPr>
      <w:r>
        <w:rPr>
          <w:rFonts w:hint="eastAsia" w:ascii="宋体" w:hAnsi="宋体" w:eastAsia="宋体" w:cs="宋体"/>
          <w:sz w:val="21"/>
          <w:szCs w:val="21"/>
        </w:rPr>
        <w:t>8.2 保证</w:t>
      </w:r>
    </w:p>
    <w:p w14:paraId="3300BDB5">
      <w:pPr>
        <w:autoSpaceDE w:val="0"/>
        <w:autoSpaceDN w:val="0"/>
        <w:adjustRightInd w:val="0"/>
        <w:snapToGrid w:val="0"/>
        <w:spacing w:line="400" w:lineRule="exact"/>
        <w:ind w:firstLine="420" w:firstLineChars="200"/>
        <w:jc w:val="left"/>
        <w:rPr>
          <w:rFonts w:hint="eastAsia" w:ascii="宋体" w:hAnsi="宋体" w:eastAsia="宋体" w:cs="宋体"/>
          <w:sz w:val="21"/>
          <w:szCs w:val="21"/>
        </w:rPr>
      </w:pPr>
      <w:r>
        <w:rPr>
          <w:rFonts w:hint="eastAsia" w:ascii="宋体" w:hAnsi="宋体" w:eastAsia="宋体" w:cs="宋体"/>
          <w:sz w:val="21"/>
          <w:szCs w:val="21"/>
        </w:rPr>
        <w:t>（1）乙方应保证提供的货物完全符合合同规定的质量、规格和性能要求。乙方应保证货物在正确安装、正常使用和保养条件下，在其使用寿命期内具备合同约定的性能。存在质量保证期的，货物最终交付验收合格后在</w:t>
      </w:r>
      <w:r>
        <w:rPr>
          <w:rFonts w:hint="eastAsia" w:ascii="宋体" w:hAnsi="宋体" w:eastAsia="宋体" w:cs="宋体"/>
          <w:b/>
          <w:sz w:val="21"/>
          <w:szCs w:val="21"/>
        </w:rPr>
        <w:t>【政府采购合同专用条款】</w:t>
      </w:r>
      <w:r>
        <w:rPr>
          <w:rFonts w:hint="eastAsia" w:ascii="宋体" w:hAnsi="宋体" w:eastAsia="宋体" w:cs="宋体"/>
          <w:sz w:val="21"/>
          <w:szCs w:val="21"/>
        </w:rPr>
        <w:t>规定或乙方书面承诺（两者以较长的为准）的质量保证期内，本保证保持有效。</w:t>
      </w:r>
    </w:p>
    <w:p w14:paraId="5ADB4F45">
      <w:pPr>
        <w:autoSpaceDE w:val="0"/>
        <w:autoSpaceDN w:val="0"/>
        <w:adjustRightInd w:val="0"/>
        <w:snapToGrid w:val="0"/>
        <w:spacing w:line="400" w:lineRule="exact"/>
        <w:ind w:firstLine="420" w:firstLineChars="200"/>
        <w:jc w:val="left"/>
        <w:rPr>
          <w:rFonts w:hint="eastAsia" w:ascii="宋体" w:hAnsi="宋体" w:eastAsia="宋体" w:cs="宋体"/>
          <w:sz w:val="21"/>
          <w:szCs w:val="21"/>
        </w:rPr>
      </w:pPr>
      <w:r>
        <w:rPr>
          <w:rFonts w:hint="eastAsia" w:ascii="宋体" w:hAnsi="宋体" w:eastAsia="宋体" w:cs="宋体"/>
          <w:sz w:val="21"/>
          <w:szCs w:val="21"/>
        </w:rPr>
        <w:t>（2）在质量保证期内所发现的缺陷，甲方应尽快以书面形式通知乙方。</w:t>
      </w:r>
    </w:p>
    <w:p w14:paraId="1A92F578">
      <w:pPr>
        <w:autoSpaceDE w:val="0"/>
        <w:autoSpaceDN w:val="0"/>
        <w:adjustRightInd w:val="0"/>
        <w:snapToGrid w:val="0"/>
        <w:spacing w:line="400" w:lineRule="exact"/>
        <w:ind w:firstLine="420" w:firstLineChars="200"/>
        <w:jc w:val="left"/>
        <w:rPr>
          <w:rFonts w:hint="eastAsia" w:ascii="宋体" w:hAnsi="宋体" w:eastAsia="宋体" w:cs="宋体"/>
          <w:sz w:val="21"/>
          <w:szCs w:val="21"/>
        </w:rPr>
      </w:pPr>
      <w:r>
        <w:rPr>
          <w:rFonts w:hint="eastAsia" w:ascii="宋体" w:hAnsi="宋体" w:eastAsia="宋体" w:cs="宋体"/>
          <w:sz w:val="21"/>
          <w:szCs w:val="21"/>
        </w:rPr>
        <w:t>（3）乙方收到通知后，应在</w:t>
      </w:r>
      <w:r>
        <w:rPr>
          <w:rFonts w:hint="eastAsia" w:ascii="宋体" w:hAnsi="宋体" w:eastAsia="宋体" w:cs="宋体"/>
          <w:b/>
          <w:sz w:val="21"/>
          <w:szCs w:val="21"/>
        </w:rPr>
        <w:t>【政府采购合同专用条款】</w:t>
      </w:r>
      <w:r>
        <w:rPr>
          <w:rFonts w:hint="eastAsia" w:ascii="宋体" w:hAnsi="宋体" w:eastAsia="宋体" w:cs="宋体"/>
          <w:sz w:val="21"/>
          <w:szCs w:val="21"/>
        </w:rPr>
        <w:t>规定的响应时间内以合理的速度免费维修或更换有缺陷的货物或部件。</w:t>
      </w:r>
    </w:p>
    <w:p w14:paraId="143836F7">
      <w:pPr>
        <w:autoSpaceDE w:val="0"/>
        <w:autoSpaceDN w:val="0"/>
        <w:adjustRightInd w:val="0"/>
        <w:snapToGrid w:val="0"/>
        <w:spacing w:line="400" w:lineRule="exact"/>
        <w:ind w:firstLine="420" w:firstLineChars="200"/>
        <w:jc w:val="left"/>
        <w:rPr>
          <w:rFonts w:hint="eastAsia" w:ascii="宋体" w:hAnsi="宋体" w:eastAsia="宋体" w:cs="宋体"/>
          <w:sz w:val="21"/>
          <w:szCs w:val="21"/>
        </w:rPr>
      </w:pPr>
      <w:r>
        <w:rPr>
          <w:rFonts w:hint="eastAsia" w:ascii="宋体" w:hAnsi="宋体" w:eastAsia="宋体" w:cs="宋体"/>
          <w:sz w:val="21"/>
          <w:szCs w:val="21"/>
        </w:rPr>
        <w:t>（4）在质量保证期内，如果货物的质量或规格与合同不符，或证实货物是有缺陷的，包括潜在的缺陷或使用不符合要求的材料等，甲方可以根据本合同第1</w:t>
      </w:r>
      <w:r>
        <w:rPr>
          <w:rFonts w:hint="eastAsia" w:ascii="宋体" w:hAnsi="宋体" w:eastAsia="宋体" w:cs="宋体"/>
          <w:color w:val="000000"/>
          <w:sz w:val="21"/>
          <w:szCs w:val="21"/>
        </w:rPr>
        <w:t>5</w:t>
      </w:r>
      <w:r>
        <w:rPr>
          <w:rFonts w:hint="eastAsia" w:ascii="宋体" w:hAnsi="宋体" w:eastAsia="宋体" w:cs="宋体"/>
          <w:sz w:val="21"/>
          <w:szCs w:val="21"/>
        </w:rPr>
        <w:t>.1条规定以书面形式</w:t>
      </w:r>
      <w:r>
        <w:rPr>
          <w:rFonts w:hint="eastAsia" w:ascii="宋体" w:hAnsi="宋体" w:eastAsia="宋体" w:cs="宋体"/>
          <w:color w:val="000000"/>
          <w:sz w:val="21"/>
          <w:szCs w:val="21"/>
        </w:rPr>
        <w:t>追究</w:t>
      </w:r>
      <w:r>
        <w:rPr>
          <w:rFonts w:hint="eastAsia" w:ascii="宋体" w:hAnsi="宋体" w:eastAsia="宋体" w:cs="宋体"/>
          <w:sz w:val="21"/>
          <w:szCs w:val="21"/>
        </w:rPr>
        <w:t>乙方</w:t>
      </w:r>
      <w:r>
        <w:rPr>
          <w:rFonts w:hint="eastAsia" w:ascii="宋体" w:hAnsi="宋体" w:eastAsia="宋体" w:cs="宋体"/>
          <w:color w:val="000000"/>
          <w:sz w:val="21"/>
          <w:szCs w:val="21"/>
        </w:rPr>
        <w:t>的违约责任</w:t>
      </w:r>
      <w:r>
        <w:rPr>
          <w:rFonts w:hint="eastAsia" w:ascii="宋体" w:hAnsi="宋体" w:eastAsia="宋体" w:cs="宋体"/>
          <w:sz w:val="21"/>
          <w:szCs w:val="21"/>
        </w:rPr>
        <w:t>。</w:t>
      </w:r>
    </w:p>
    <w:p w14:paraId="4CB3E8CD">
      <w:pPr>
        <w:adjustRightInd w:val="0"/>
        <w:snapToGrid w:val="0"/>
        <w:spacing w:line="400" w:lineRule="exact"/>
        <w:ind w:firstLine="420" w:firstLineChars="200"/>
        <w:jc w:val="left"/>
        <w:rPr>
          <w:rFonts w:hint="eastAsia" w:ascii="宋体" w:hAnsi="宋体" w:eastAsia="宋体" w:cs="宋体"/>
          <w:sz w:val="21"/>
          <w:szCs w:val="21"/>
        </w:rPr>
      </w:pPr>
      <w:r>
        <w:rPr>
          <w:rFonts w:hint="eastAsia" w:ascii="宋体" w:hAnsi="宋体" w:eastAsia="宋体" w:cs="宋体"/>
          <w:sz w:val="21"/>
          <w:szCs w:val="21"/>
        </w:rPr>
        <w:t>（5）乙方在约定的时间内未能弥补缺陷，甲方可采取必要的补救措施，但其风险和费用将由乙方承担，甲方根据合同约定对乙方行使的其他权利不受影响。</w:t>
      </w:r>
    </w:p>
    <w:p w14:paraId="49917546">
      <w:pPr>
        <w:adjustRightInd w:val="0"/>
        <w:snapToGrid w:val="0"/>
        <w:spacing w:line="400" w:lineRule="exact"/>
        <w:jc w:val="left"/>
        <w:rPr>
          <w:rFonts w:hint="eastAsia" w:ascii="宋体" w:hAnsi="宋体" w:eastAsia="宋体" w:cs="宋体"/>
          <w:b/>
          <w:bCs/>
          <w:sz w:val="21"/>
          <w:szCs w:val="21"/>
        </w:rPr>
      </w:pPr>
      <w:r>
        <w:rPr>
          <w:rFonts w:hint="eastAsia" w:ascii="宋体" w:hAnsi="宋体" w:eastAsia="宋体" w:cs="宋体"/>
          <w:b/>
          <w:bCs/>
          <w:color w:val="000000"/>
          <w:sz w:val="21"/>
          <w:szCs w:val="21"/>
        </w:rPr>
        <w:t>9</w:t>
      </w:r>
      <w:r>
        <w:rPr>
          <w:rFonts w:hint="eastAsia" w:ascii="宋体" w:hAnsi="宋体" w:eastAsia="宋体" w:cs="宋体"/>
          <w:b/>
          <w:bCs/>
          <w:sz w:val="21"/>
          <w:szCs w:val="21"/>
        </w:rPr>
        <w:t>.</w:t>
      </w:r>
      <w:r>
        <w:rPr>
          <w:rFonts w:hint="eastAsia" w:ascii="宋体" w:hAnsi="宋体" w:eastAsia="宋体" w:cs="宋体"/>
          <w:b/>
          <w:bCs/>
          <w:color w:val="000000"/>
          <w:sz w:val="21"/>
          <w:szCs w:val="21"/>
        </w:rPr>
        <w:t xml:space="preserve"> </w:t>
      </w:r>
      <w:r>
        <w:rPr>
          <w:rFonts w:hint="eastAsia" w:ascii="宋体" w:hAnsi="宋体" w:eastAsia="宋体" w:cs="宋体"/>
          <w:b/>
          <w:bCs/>
          <w:sz w:val="21"/>
          <w:szCs w:val="21"/>
        </w:rPr>
        <w:t>权利瑕疵担保</w:t>
      </w:r>
    </w:p>
    <w:p w14:paraId="0286357E">
      <w:pPr>
        <w:autoSpaceDE w:val="0"/>
        <w:autoSpaceDN w:val="0"/>
        <w:adjustRightInd w:val="0"/>
        <w:snapToGrid w:val="0"/>
        <w:spacing w:line="400" w:lineRule="exact"/>
        <w:ind w:firstLine="420" w:firstLineChars="200"/>
        <w:jc w:val="left"/>
        <w:rPr>
          <w:rFonts w:hint="eastAsia" w:ascii="宋体" w:hAnsi="宋体" w:eastAsia="宋体" w:cs="宋体"/>
          <w:color w:val="000000"/>
          <w:sz w:val="21"/>
          <w:szCs w:val="21"/>
        </w:rPr>
      </w:pPr>
      <w:r>
        <w:rPr>
          <w:rFonts w:hint="eastAsia" w:ascii="宋体" w:hAnsi="宋体" w:eastAsia="宋体" w:cs="宋体"/>
          <w:color w:val="000000"/>
          <w:sz w:val="21"/>
          <w:szCs w:val="21"/>
        </w:rPr>
        <w:t>9.1 乙方保证对其出售的货物享有合法的权利。</w:t>
      </w:r>
    </w:p>
    <w:p w14:paraId="3399C1E6">
      <w:pPr>
        <w:autoSpaceDE w:val="0"/>
        <w:autoSpaceDN w:val="0"/>
        <w:adjustRightInd w:val="0"/>
        <w:snapToGrid w:val="0"/>
        <w:spacing w:line="400" w:lineRule="exact"/>
        <w:ind w:firstLine="420" w:firstLineChars="200"/>
        <w:jc w:val="left"/>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9.2 </w:t>
      </w:r>
      <w:r>
        <w:rPr>
          <w:rFonts w:hint="eastAsia" w:ascii="宋体" w:hAnsi="宋体" w:eastAsia="宋体" w:cs="宋体"/>
          <w:sz w:val="21"/>
          <w:szCs w:val="21"/>
        </w:rPr>
        <w:t>乙方保证在交付的货物上不存在抵押权等担保物权。</w:t>
      </w:r>
    </w:p>
    <w:p w14:paraId="056B701F">
      <w:pPr>
        <w:autoSpaceDE w:val="0"/>
        <w:autoSpaceDN w:val="0"/>
        <w:adjustRightInd w:val="0"/>
        <w:snapToGrid w:val="0"/>
        <w:spacing w:line="400" w:lineRule="exact"/>
        <w:ind w:firstLine="420" w:firstLineChars="200"/>
        <w:jc w:val="left"/>
        <w:rPr>
          <w:rFonts w:hint="eastAsia" w:ascii="宋体" w:hAnsi="宋体" w:eastAsia="宋体" w:cs="宋体"/>
          <w:color w:val="000000"/>
          <w:sz w:val="21"/>
          <w:szCs w:val="21"/>
        </w:rPr>
      </w:pPr>
      <w:r>
        <w:rPr>
          <w:rFonts w:hint="eastAsia" w:ascii="宋体" w:hAnsi="宋体" w:eastAsia="宋体" w:cs="宋体"/>
          <w:color w:val="000000"/>
          <w:sz w:val="21"/>
          <w:szCs w:val="21"/>
        </w:rPr>
        <w:t>9.3 如甲方使用上述货物构成对第三人侵权的，则由乙方承担全部责任。</w:t>
      </w:r>
    </w:p>
    <w:p w14:paraId="51525AF3">
      <w:pPr>
        <w:autoSpaceDE w:val="0"/>
        <w:autoSpaceDN w:val="0"/>
        <w:adjustRightInd w:val="0"/>
        <w:snapToGrid w:val="0"/>
        <w:spacing w:line="400" w:lineRule="exact"/>
        <w:jc w:val="left"/>
        <w:rPr>
          <w:rFonts w:hint="eastAsia" w:ascii="宋体" w:hAnsi="宋体" w:eastAsia="宋体" w:cs="宋体"/>
          <w:b/>
          <w:bCs/>
          <w:color w:val="000000"/>
          <w:sz w:val="21"/>
          <w:szCs w:val="21"/>
        </w:rPr>
      </w:pPr>
      <w:r>
        <w:rPr>
          <w:rFonts w:hint="eastAsia" w:ascii="宋体" w:hAnsi="宋体" w:eastAsia="宋体" w:cs="宋体"/>
          <w:b/>
          <w:bCs/>
          <w:color w:val="000000"/>
          <w:sz w:val="21"/>
          <w:szCs w:val="21"/>
        </w:rPr>
        <w:t>10. 知识产权保护</w:t>
      </w:r>
    </w:p>
    <w:p w14:paraId="75AEB2C8">
      <w:pPr>
        <w:autoSpaceDE w:val="0"/>
        <w:autoSpaceDN w:val="0"/>
        <w:adjustRightInd w:val="0"/>
        <w:snapToGrid w:val="0"/>
        <w:spacing w:line="400" w:lineRule="exact"/>
        <w:ind w:firstLine="420" w:firstLineChars="200"/>
        <w:jc w:val="left"/>
        <w:rPr>
          <w:rFonts w:hint="eastAsia" w:ascii="宋体" w:hAnsi="宋体" w:eastAsia="宋体" w:cs="宋体"/>
          <w:sz w:val="21"/>
          <w:szCs w:val="21"/>
        </w:rPr>
      </w:pPr>
      <w:r>
        <w:rPr>
          <w:rFonts w:hint="eastAsia" w:ascii="宋体" w:hAnsi="宋体" w:eastAsia="宋体" w:cs="宋体"/>
          <w:color w:val="000000"/>
          <w:sz w:val="21"/>
          <w:szCs w:val="21"/>
        </w:rPr>
        <w:t>10.1 乙方对其所销售的货物应当享有知识产权或经权利人合法授权，保证没有侵犯任</w:t>
      </w:r>
      <w:r>
        <w:rPr>
          <w:rFonts w:hint="eastAsia" w:ascii="宋体" w:hAnsi="宋体" w:eastAsia="宋体" w:cs="宋体"/>
          <w:sz w:val="21"/>
          <w:szCs w:val="21"/>
        </w:rPr>
        <w:t>何第三人的知识产权等权利。因违反前述约定对第三人构成侵权的，应当由乙方向第三人承担法律责任；甲方依法向第三人赔偿后，有权向乙方追偿。甲方有其他损失的，乙方应当赔偿。</w:t>
      </w:r>
    </w:p>
    <w:p w14:paraId="4007F4C3">
      <w:pPr>
        <w:autoSpaceDE w:val="0"/>
        <w:autoSpaceDN w:val="0"/>
        <w:adjustRightInd w:val="0"/>
        <w:snapToGrid w:val="0"/>
        <w:spacing w:line="400" w:lineRule="exact"/>
        <w:jc w:val="left"/>
        <w:rPr>
          <w:rFonts w:hint="eastAsia" w:ascii="宋体" w:hAnsi="宋体" w:eastAsia="宋体" w:cs="宋体"/>
          <w:b/>
          <w:bCs/>
          <w:sz w:val="21"/>
          <w:szCs w:val="21"/>
        </w:rPr>
      </w:pPr>
      <w:r>
        <w:rPr>
          <w:rFonts w:hint="eastAsia" w:ascii="宋体" w:hAnsi="宋体" w:eastAsia="宋体" w:cs="宋体"/>
          <w:b/>
          <w:bCs/>
          <w:sz w:val="21"/>
          <w:szCs w:val="21"/>
        </w:rPr>
        <w:t>11. 保密义务</w:t>
      </w:r>
    </w:p>
    <w:p w14:paraId="1897D40D">
      <w:pPr>
        <w:autoSpaceDE w:val="0"/>
        <w:autoSpaceDN w:val="0"/>
        <w:adjustRightInd w:val="0"/>
        <w:snapToGrid w:val="0"/>
        <w:spacing w:line="400" w:lineRule="exact"/>
        <w:ind w:firstLine="420" w:firstLineChars="200"/>
        <w:jc w:val="left"/>
        <w:rPr>
          <w:rFonts w:hint="eastAsia" w:ascii="宋体" w:hAnsi="宋体" w:eastAsia="宋体" w:cs="宋体"/>
          <w:sz w:val="21"/>
          <w:szCs w:val="21"/>
        </w:rPr>
      </w:pPr>
      <w:r>
        <w:rPr>
          <w:rFonts w:hint="eastAsia" w:ascii="宋体" w:hAnsi="宋体" w:eastAsia="宋体" w:cs="宋体"/>
          <w:sz w:val="21"/>
          <w:szCs w:val="21"/>
        </w:rPr>
        <w:t>11.1 甲、乙双方对采购和合同履行过程中所获悉的国家秘密、工作秘密、商业秘密或者其他应当保密的信息，均有保密义务且不受合同有效期所限，直至该信息成为公开信息。泄露、不正当地使用国家秘密、工作秘密、商业秘密或者其他应当保密的信息，应当承担相应责任。其他应当保密的信息由双方在</w:t>
      </w:r>
      <w:r>
        <w:rPr>
          <w:rFonts w:hint="eastAsia" w:ascii="宋体" w:hAnsi="宋体" w:eastAsia="宋体" w:cs="宋体"/>
          <w:b/>
          <w:bCs/>
          <w:sz w:val="21"/>
          <w:szCs w:val="21"/>
        </w:rPr>
        <w:t>【政府采购合同专用条款】</w:t>
      </w:r>
      <w:r>
        <w:rPr>
          <w:rFonts w:hint="eastAsia" w:ascii="宋体" w:hAnsi="宋体" w:eastAsia="宋体" w:cs="宋体"/>
          <w:sz w:val="21"/>
          <w:szCs w:val="21"/>
        </w:rPr>
        <w:t>中约定。</w:t>
      </w:r>
    </w:p>
    <w:p w14:paraId="514AB3AA">
      <w:pPr>
        <w:autoSpaceDE w:val="0"/>
        <w:autoSpaceDN w:val="0"/>
        <w:adjustRightInd w:val="0"/>
        <w:snapToGrid w:val="0"/>
        <w:spacing w:line="400" w:lineRule="exact"/>
        <w:jc w:val="left"/>
        <w:rPr>
          <w:rFonts w:hint="eastAsia" w:ascii="宋体" w:hAnsi="宋体" w:eastAsia="宋体" w:cs="宋体"/>
          <w:b/>
          <w:bCs/>
          <w:sz w:val="21"/>
          <w:szCs w:val="21"/>
        </w:rPr>
      </w:pPr>
      <w:r>
        <w:rPr>
          <w:rFonts w:hint="eastAsia" w:ascii="宋体" w:hAnsi="宋体" w:eastAsia="宋体" w:cs="宋体"/>
          <w:b/>
          <w:bCs/>
          <w:sz w:val="21"/>
          <w:szCs w:val="21"/>
        </w:rPr>
        <w:t>12. 合同价款支付</w:t>
      </w:r>
    </w:p>
    <w:p w14:paraId="03A0F580">
      <w:pPr>
        <w:adjustRightInd w:val="0"/>
        <w:snapToGrid w:val="0"/>
        <w:spacing w:line="400" w:lineRule="exact"/>
        <w:ind w:firstLine="420" w:firstLineChars="200"/>
        <w:jc w:val="left"/>
        <w:rPr>
          <w:rFonts w:hint="eastAsia" w:ascii="宋体" w:hAnsi="宋体" w:eastAsia="宋体" w:cs="宋体"/>
          <w:sz w:val="21"/>
          <w:szCs w:val="21"/>
        </w:rPr>
      </w:pPr>
      <w:r>
        <w:rPr>
          <w:rFonts w:hint="eastAsia" w:ascii="宋体" w:hAnsi="宋体" w:eastAsia="宋体" w:cs="宋体"/>
          <w:sz w:val="21"/>
          <w:szCs w:val="21"/>
        </w:rPr>
        <w:t>12.1 合同价款支付按照国库集中支付制度及财政管理相关规定执行。</w:t>
      </w:r>
    </w:p>
    <w:p w14:paraId="272B4F1E">
      <w:pPr>
        <w:adjustRightInd w:val="0"/>
        <w:snapToGrid w:val="0"/>
        <w:spacing w:line="400" w:lineRule="exact"/>
        <w:ind w:firstLine="420" w:firstLineChars="200"/>
        <w:jc w:val="left"/>
        <w:rPr>
          <w:rFonts w:hint="eastAsia" w:ascii="宋体" w:hAnsi="宋体" w:eastAsia="宋体" w:cs="宋体"/>
          <w:sz w:val="21"/>
          <w:szCs w:val="21"/>
        </w:rPr>
      </w:pPr>
      <w:r>
        <w:rPr>
          <w:rFonts w:hint="eastAsia" w:ascii="宋体" w:hAnsi="宋体" w:eastAsia="宋体" w:cs="宋体"/>
          <w:b w:val="0"/>
          <w:bCs w:val="0"/>
          <w:sz w:val="21"/>
          <w:szCs w:val="21"/>
        </w:rPr>
        <w:t>12.2 对于满足合同约定支付条件的，甲方原则上应当自收到发票后10个工作日内将资金支付到合同约定的乙方账户，不得以机构变动、人员更替、政策调整等为由迟延付款，不得将采购文件和合同中未规定的义务作为向乙方付款的条件。具体合同价款支付时间在【</w:t>
      </w:r>
      <w:r>
        <w:rPr>
          <w:rFonts w:hint="eastAsia" w:ascii="宋体" w:hAnsi="宋体" w:eastAsia="宋体" w:cs="宋体"/>
          <w:sz w:val="21"/>
          <w:szCs w:val="21"/>
        </w:rPr>
        <w:t>政府采购合同专用条款</w:t>
      </w:r>
      <w:r>
        <w:rPr>
          <w:rFonts w:hint="eastAsia" w:ascii="宋体" w:hAnsi="宋体" w:eastAsia="宋体" w:cs="宋体"/>
          <w:b w:val="0"/>
          <w:bCs w:val="0"/>
          <w:sz w:val="21"/>
          <w:szCs w:val="21"/>
        </w:rPr>
        <w:t>】中约定。</w:t>
      </w:r>
    </w:p>
    <w:p w14:paraId="5F0F956D">
      <w:pPr>
        <w:pStyle w:val="13"/>
        <w:spacing w:after="0" w:line="400" w:lineRule="exact"/>
        <w:rPr>
          <w:rFonts w:hint="eastAsia" w:ascii="宋体" w:hAnsi="宋体" w:eastAsia="宋体" w:cs="宋体"/>
          <w:b/>
          <w:bCs/>
          <w:sz w:val="21"/>
          <w:szCs w:val="21"/>
        </w:rPr>
      </w:pPr>
      <w:r>
        <w:rPr>
          <w:rFonts w:hint="eastAsia" w:ascii="宋体" w:hAnsi="宋体" w:eastAsia="宋体" w:cs="宋体"/>
          <w:b/>
          <w:bCs/>
          <w:sz w:val="21"/>
          <w:szCs w:val="21"/>
        </w:rPr>
        <w:t>13. 履约保证金</w:t>
      </w:r>
    </w:p>
    <w:p w14:paraId="411942D4">
      <w:pPr>
        <w:adjustRightInd w:val="0"/>
        <w:snapToGrid w:val="0"/>
        <w:spacing w:line="400" w:lineRule="exact"/>
        <w:ind w:firstLine="420" w:firstLineChars="200"/>
        <w:jc w:val="left"/>
        <w:rPr>
          <w:rFonts w:hint="eastAsia" w:ascii="宋体" w:hAnsi="宋体" w:eastAsia="宋体" w:cs="宋体"/>
          <w:sz w:val="21"/>
          <w:szCs w:val="21"/>
        </w:rPr>
      </w:pPr>
      <w:r>
        <w:rPr>
          <w:rFonts w:hint="eastAsia" w:ascii="宋体" w:hAnsi="宋体" w:eastAsia="宋体" w:cs="宋体"/>
          <w:sz w:val="21"/>
          <w:szCs w:val="21"/>
        </w:rPr>
        <w:t>13.1 乙方应当以支票、汇票、本票或者金融机构、担保机构出具的保函等非现金形式提交。</w:t>
      </w:r>
    </w:p>
    <w:p w14:paraId="1DE504CC">
      <w:pPr>
        <w:adjustRightInd w:val="0"/>
        <w:snapToGrid w:val="0"/>
        <w:spacing w:line="400" w:lineRule="exact"/>
        <w:ind w:firstLine="420" w:firstLineChars="200"/>
        <w:jc w:val="left"/>
        <w:rPr>
          <w:rFonts w:hint="eastAsia" w:ascii="宋体" w:hAnsi="宋体" w:eastAsia="宋体" w:cs="宋体"/>
          <w:sz w:val="21"/>
          <w:szCs w:val="21"/>
        </w:rPr>
      </w:pPr>
      <w:r>
        <w:rPr>
          <w:rFonts w:hint="eastAsia" w:ascii="宋体" w:hAnsi="宋体" w:eastAsia="宋体" w:cs="宋体"/>
          <w:sz w:val="21"/>
          <w:szCs w:val="21"/>
        </w:rPr>
        <w:t>13.2 如果乙方出现</w:t>
      </w:r>
      <w:r>
        <w:rPr>
          <w:rFonts w:hint="eastAsia" w:ascii="宋体" w:hAnsi="宋体" w:eastAsia="宋体" w:cs="宋体"/>
          <w:b/>
          <w:bCs/>
          <w:sz w:val="21"/>
          <w:szCs w:val="21"/>
        </w:rPr>
        <w:t>【政府采购合同专用条款】</w:t>
      </w:r>
      <w:r>
        <w:rPr>
          <w:rFonts w:hint="eastAsia" w:ascii="宋体" w:hAnsi="宋体" w:eastAsia="宋体" w:cs="宋体"/>
          <w:sz w:val="21"/>
          <w:szCs w:val="21"/>
        </w:rPr>
        <w:t>约定情形的，履约保证金不予退还；如果乙方未能按合同约定全面履行义务，甲方有权从履约保证金中取得补偿或赔偿，且不影响甲方要求乙方承担合同约定的超过履约保证金的违约责任的权利。</w:t>
      </w:r>
    </w:p>
    <w:p w14:paraId="7AA569B9">
      <w:pPr>
        <w:spacing w:line="400" w:lineRule="exact"/>
        <w:ind w:firstLine="420"/>
        <w:rPr>
          <w:rFonts w:hint="eastAsia" w:ascii="宋体" w:hAnsi="宋体" w:eastAsia="宋体" w:cs="宋体"/>
          <w:sz w:val="21"/>
          <w:szCs w:val="21"/>
        </w:rPr>
      </w:pPr>
      <w:r>
        <w:rPr>
          <w:rFonts w:hint="eastAsia" w:ascii="宋体" w:hAnsi="宋体" w:eastAsia="宋体" w:cs="宋体"/>
          <w:sz w:val="21"/>
          <w:szCs w:val="21"/>
        </w:rPr>
        <w:t>13.3 甲方在项目通过验收后按照</w:t>
      </w:r>
      <w:r>
        <w:rPr>
          <w:rFonts w:hint="eastAsia" w:ascii="宋体" w:hAnsi="宋体" w:eastAsia="宋体" w:cs="宋体"/>
          <w:b/>
          <w:sz w:val="21"/>
          <w:szCs w:val="21"/>
        </w:rPr>
        <w:t>【政府采购合同专用条款】</w:t>
      </w:r>
      <w:r>
        <w:rPr>
          <w:rFonts w:hint="eastAsia" w:ascii="宋体" w:hAnsi="宋体" w:eastAsia="宋体" w:cs="宋体"/>
          <w:sz w:val="21"/>
          <w:szCs w:val="21"/>
        </w:rPr>
        <w:t>规定的时间内将履约保证金退还乙方；逾期退还的，乙方可要求甲方支付违约金，违约金按照</w:t>
      </w:r>
      <w:r>
        <w:rPr>
          <w:rFonts w:hint="eastAsia" w:ascii="宋体" w:hAnsi="宋体" w:eastAsia="宋体" w:cs="宋体"/>
          <w:b/>
          <w:sz w:val="21"/>
          <w:szCs w:val="21"/>
        </w:rPr>
        <w:t>【政府采购合同专用条款】</w:t>
      </w:r>
      <w:r>
        <w:rPr>
          <w:rFonts w:hint="eastAsia" w:ascii="宋体" w:hAnsi="宋体" w:eastAsia="宋体" w:cs="宋体"/>
          <w:sz w:val="21"/>
          <w:szCs w:val="21"/>
        </w:rPr>
        <w:t>规定支付。</w:t>
      </w:r>
    </w:p>
    <w:p w14:paraId="267F17CD">
      <w:pPr>
        <w:autoSpaceDE w:val="0"/>
        <w:autoSpaceDN w:val="0"/>
        <w:adjustRightInd w:val="0"/>
        <w:snapToGrid w:val="0"/>
        <w:spacing w:line="400" w:lineRule="exact"/>
        <w:jc w:val="left"/>
        <w:rPr>
          <w:rFonts w:hint="eastAsia" w:ascii="宋体" w:hAnsi="宋体" w:eastAsia="宋体" w:cs="宋体"/>
          <w:b/>
          <w:sz w:val="21"/>
          <w:szCs w:val="21"/>
        </w:rPr>
      </w:pPr>
      <w:r>
        <w:rPr>
          <w:rFonts w:hint="eastAsia" w:ascii="宋体" w:hAnsi="宋体" w:eastAsia="宋体" w:cs="宋体"/>
          <w:b/>
          <w:bCs/>
          <w:sz w:val="21"/>
          <w:szCs w:val="21"/>
        </w:rPr>
        <w:t xml:space="preserve">14. </w:t>
      </w:r>
      <w:r>
        <w:rPr>
          <w:rFonts w:hint="eastAsia" w:ascii="宋体" w:hAnsi="宋体" w:eastAsia="宋体" w:cs="宋体"/>
          <w:b/>
          <w:sz w:val="21"/>
          <w:szCs w:val="21"/>
        </w:rPr>
        <w:t>售后服务</w:t>
      </w:r>
    </w:p>
    <w:p w14:paraId="25FC62C4">
      <w:pPr>
        <w:autoSpaceDE w:val="0"/>
        <w:autoSpaceDN w:val="0"/>
        <w:adjustRightInd w:val="0"/>
        <w:snapToGrid w:val="0"/>
        <w:spacing w:line="400" w:lineRule="exact"/>
        <w:ind w:firstLine="420" w:firstLineChars="200"/>
        <w:jc w:val="left"/>
        <w:rPr>
          <w:rFonts w:hint="eastAsia" w:ascii="宋体" w:hAnsi="宋体" w:eastAsia="宋体" w:cs="宋体"/>
          <w:sz w:val="21"/>
          <w:szCs w:val="21"/>
        </w:rPr>
      </w:pPr>
      <w:r>
        <w:rPr>
          <w:rFonts w:hint="eastAsia" w:ascii="宋体" w:hAnsi="宋体" w:eastAsia="宋体" w:cs="宋体"/>
          <w:sz w:val="21"/>
          <w:szCs w:val="21"/>
        </w:rPr>
        <w:t>14.1 除项目不涉及或采购活动中明确约定无须承担外，乙方还应提供下列服务：</w:t>
      </w:r>
    </w:p>
    <w:p w14:paraId="43557ADB">
      <w:pPr>
        <w:autoSpaceDE w:val="0"/>
        <w:autoSpaceDN w:val="0"/>
        <w:adjustRightInd w:val="0"/>
        <w:snapToGrid w:val="0"/>
        <w:spacing w:line="400" w:lineRule="exact"/>
        <w:ind w:firstLine="420" w:firstLineChars="200"/>
        <w:jc w:val="left"/>
        <w:rPr>
          <w:rFonts w:hint="eastAsia" w:ascii="宋体" w:hAnsi="宋体" w:eastAsia="宋体" w:cs="宋体"/>
          <w:sz w:val="21"/>
          <w:szCs w:val="21"/>
        </w:rPr>
      </w:pPr>
      <w:r>
        <w:rPr>
          <w:rFonts w:hint="eastAsia" w:ascii="宋体" w:hAnsi="宋体" w:eastAsia="宋体" w:cs="宋体"/>
          <w:sz w:val="21"/>
          <w:szCs w:val="21"/>
        </w:rPr>
        <w:t>（1）货物的现场移动、安装、调试、启动监督及技术支持；</w:t>
      </w:r>
    </w:p>
    <w:p w14:paraId="549DF1A4">
      <w:pPr>
        <w:autoSpaceDE w:val="0"/>
        <w:autoSpaceDN w:val="0"/>
        <w:adjustRightInd w:val="0"/>
        <w:snapToGrid w:val="0"/>
        <w:spacing w:line="400" w:lineRule="exact"/>
        <w:ind w:firstLine="420" w:firstLineChars="200"/>
        <w:jc w:val="left"/>
        <w:rPr>
          <w:rFonts w:hint="eastAsia" w:ascii="宋体" w:hAnsi="宋体" w:eastAsia="宋体" w:cs="宋体"/>
          <w:sz w:val="21"/>
          <w:szCs w:val="21"/>
        </w:rPr>
      </w:pPr>
      <w:r>
        <w:rPr>
          <w:rFonts w:hint="eastAsia" w:ascii="宋体" w:hAnsi="宋体" w:eastAsia="宋体" w:cs="宋体"/>
          <w:sz w:val="21"/>
          <w:szCs w:val="21"/>
        </w:rPr>
        <w:t>（2）提供货物组装和维修所需的专用工具和辅助材料；</w:t>
      </w:r>
    </w:p>
    <w:p w14:paraId="74E21850">
      <w:pPr>
        <w:autoSpaceDE w:val="0"/>
        <w:autoSpaceDN w:val="0"/>
        <w:adjustRightInd w:val="0"/>
        <w:snapToGrid w:val="0"/>
        <w:spacing w:line="400" w:lineRule="exact"/>
        <w:ind w:firstLine="420" w:firstLineChars="200"/>
        <w:jc w:val="left"/>
        <w:rPr>
          <w:rFonts w:hint="eastAsia" w:ascii="宋体" w:hAnsi="宋体" w:eastAsia="宋体" w:cs="宋体"/>
          <w:sz w:val="21"/>
          <w:szCs w:val="21"/>
        </w:rPr>
      </w:pPr>
      <w:r>
        <w:rPr>
          <w:rFonts w:hint="eastAsia" w:ascii="宋体" w:hAnsi="宋体" w:eastAsia="宋体" w:cs="宋体"/>
          <w:sz w:val="21"/>
          <w:szCs w:val="21"/>
        </w:rPr>
        <w:t>（3）在</w:t>
      </w:r>
      <w:r>
        <w:rPr>
          <w:rFonts w:hint="eastAsia" w:ascii="宋体" w:hAnsi="宋体" w:eastAsia="宋体" w:cs="宋体"/>
          <w:b/>
          <w:bCs/>
          <w:sz w:val="21"/>
          <w:szCs w:val="21"/>
        </w:rPr>
        <w:t>【政府采购合同专用条款】</w:t>
      </w:r>
      <w:r>
        <w:rPr>
          <w:rFonts w:hint="eastAsia" w:ascii="宋体" w:hAnsi="宋体" w:eastAsia="宋体" w:cs="宋体"/>
          <w:sz w:val="21"/>
          <w:szCs w:val="21"/>
        </w:rPr>
        <w:t>约定的期限内对所有的货物实施运行监督、维修，但前提条件是该服务并不能免除乙方在质量保证期内所承担的义务；</w:t>
      </w:r>
    </w:p>
    <w:p w14:paraId="7740B115">
      <w:pPr>
        <w:autoSpaceDE w:val="0"/>
        <w:autoSpaceDN w:val="0"/>
        <w:adjustRightInd w:val="0"/>
        <w:snapToGrid w:val="0"/>
        <w:spacing w:line="400" w:lineRule="exact"/>
        <w:ind w:firstLine="420" w:firstLineChars="200"/>
        <w:jc w:val="left"/>
        <w:rPr>
          <w:rFonts w:hint="eastAsia" w:ascii="宋体" w:hAnsi="宋体" w:eastAsia="宋体" w:cs="宋体"/>
          <w:sz w:val="21"/>
          <w:szCs w:val="21"/>
        </w:rPr>
      </w:pPr>
      <w:r>
        <w:rPr>
          <w:rFonts w:hint="eastAsia" w:ascii="宋体" w:hAnsi="宋体" w:eastAsia="宋体" w:cs="宋体"/>
          <w:sz w:val="21"/>
          <w:szCs w:val="21"/>
        </w:rPr>
        <w:t>（4）在制造商所在地或指定现场就货物的安装、启动、运营、维护、废弃处置等对甲方操作人员进行培训；</w:t>
      </w:r>
    </w:p>
    <w:p w14:paraId="0D5204AD">
      <w:pPr>
        <w:pStyle w:val="322"/>
        <w:ind w:firstLine="420"/>
        <w:rPr>
          <w:rFonts w:hint="eastAsia" w:ascii="宋体" w:hAnsi="宋体" w:eastAsia="宋体" w:cs="宋体"/>
          <w:sz w:val="21"/>
          <w:szCs w:val="21"/>
        </w:rPr>
      </w:pPr>
      <w:r>
        <w:rPr>
          <w:rFonts w:hint="eastAsia" w:ascii="宋体" w:hAnsi="宋体" w:eastAsia="宋体" w:cs="宋体"/>
          <w:sz w:val="21"/>
          <w:szCs w:val="21"/>
        </w:rPr>
        <w:t>（5）依照法律、行政法规的规定或者按照</w:t>
      </w:r>
      <w:r>
        <w:rPr>
          <w:rFonts w:hint="eastAsia" w:ascii="宋体" w:hAnsi="宋体" w:eastAsia="宋体" w:cs="宋体"/>
          <w:b/>
          <w:bCs/>
          <w:sz w:val="21"/>
          <w:szCs w:val="21"/>
        </w:rPr>
        <w:t>【政府采购合同专用条款】</w:t>
      </w:r>
      <w:r>
        <w:rPr>
          <w:rFonts w:hint="eastAsia" w:ascii="宋体" w:hAnsi="宋体" w:eastAsia="宋体" w:cs="宋体"/>
          <w:sz w:val="21"/>
          <w:szCs w:val="21"/>
        </w:rPr>
        <w:t>约定，货物在有效使用年限届满后应予回收的，乙方负有自行或者委托第三人对货物予以回收的义务；</w:t>
      </w:r>
    </w:p>
    <w:p w14:paraId="20076EA0">
      <w:pPr>
        <w:autoSpaceDE w:val="0"/>
        <w:autoSpaceDN w:val="0"/>
        <w:adjustRightInd w:val="0"/>
        <w:snapToGrid w:val="0"/>
        <w:spacing w:line="400" w:lineRule="exact"/>
        <w:ind w:firstLine="420" w:firstLineChars="200"/>
        <w:jc w:val="left"/>
        <w:rPr>
          <w:rFonts w:hint="eastAsia" w:ascii="宋体" w:hAnsi="宋体" w:eastAsia="宋体" w:cs="宋体"/>
          <w:sz w:val="21"/>
          <w:szCs w:val="21"/>
        </w:rPr>
      </w:pPr>
      <w:r>
        <w:rPr>
          <w:rFonts w:hint="eastAsia" w:ascii="宋体" w:hAnsi="宋体" w:eastAsia="宋体" w:cs="宋体"/>
          <w:sz w:val="21"/>
          <w:szCs w:val="21"/>
        </w:rPr>
        <w:t>（6）</w:t>
      </w:r>
      <w:r>
        <w:rPr>
          <w:rFonts w:hint="eastAsia" w:ascii="宋体" w:hAnsi="宋体" w:eastAsia="宋体" w:cs="宋体"/>
          <w:b/>
          <w:sz w:val="21"/>
          <w:szCs w:val="21"/>
        </w:rPr>
        <w:t>【政府采购合同专用条款】</w:t>
      </w:r>
      <w:r>
        <w:rPr>
          <w:rFonts w:hint="eastAsia" w:ascii="宋体" w:hAnsi="宋体" w:eastAsia="宋体" w:cs="宋体"/>
          <w:sz w:val="21"/>
          <w:szCs w:val="21"/>
        </w:rPr>
        <w:t>规定由乙方提供的其他服务。</w:t>
      </w:r>
    </w:p>
    <w:p w14:paraId="579657EF">
      <w:pPr>
        <w:autoSpaceDE w:val="0"/>
        <w:autoSpaceDN w:val="0"/>
        <w:adjustRightInd w:val="0"/>
        <w:snapToGrid w:val="0"/>
        <w:spacing w:line="400" w:lineRule="exact"/>
        <w:ind w:firstLine="420" w:firstLineChars="200"/>
        <w:jc w:val="left"/>
        <w:rPr>
          <w:rFonts w:hint="eastAsia" w:ascii="宋体" w:hAnsi="宋体" w:eastAsia="宋体" w:cs="宋体"/>
          <w:sz w:val="21"/>
          <w:szCs w:val="21"/>
        </w:rPr>
      </w:pPr>
      <w:r>
        <w:rPr>
          <w:rFonts w:hint="eastAsia" w:ascii="宋体" w:hAnsi="宋体" w:eastAsia="宋体" w:cs="宋体"/>
          <w:sz w:val="21"/>
          <w:szCs w:val="21"/>
        </w:rPr>
        <w:t>14.2 乙方提供的售后服务的费用已包含在合同价款中，甲方不再另行支付。</w:t>
      </w:r>
    </w:p>
    <w:p w14:paraId="1C81C077">
      <w:pPr>
        <w:adjustRightInd w:val="0"/>
        <w:snapToGrid w:val="0"/>
        <w:spacing w:line="400" w:lineRule="exact"/>
        <w:jc w:val="left"/>
        <w:rPr>
          <w:rFonts w:hint="eastAsia" w:ascii="宋体" w:hAnsi="宋体" w:eastAsia="宋体" w:cs="宋体"/>
          <w:b/>
          <w:bCs/>
          <w:sz w:val="21"/>
          <w:szCs w:val="21"/>
        </w:rPr>
      </w:pPr>
      <w:r>
        <w:rPr>
          <w:rFonts w:hint="eastAsia" w:ascii="宋体" w:hAnsi="宋体" w:eastAsia="宋体" w:cs="宋体"/>
          <w:b/>
          <w:bCs/>
          <w:sz w:val="21"/>
          <w:szCs w:val="21"/>
        </w:rPr>
        <w:t>15. 违约责任</w:t>
      </w:r>
    </w:p>
    <w:p w14:paraId="7B6DCBC5">
      <w:pPr>
        <w:adjustRightInd w:val="0"/>
        <w:snapToGrid w:val="0"/>
        <w:spacing w:line="400" w:lineRule="exact"/>
        <w:ind w:firstLine="420" w:firstLineChars="200"/>
        <w:jc w:val="left"/>
        <w:rPr>
          <w:rFonts w:hint="eastAsia" w:ascii="宋体" w:hAnsi="宋体" w:eastAsia="宋体" w:cs="宋体"/>
          <w:bCs/>
          <w:sz w:val="21"/>
          <w:szCs w:val="21"/>
        </w:rPr>
      </w:pPr>
      <w:r>
        <w:rPr>
          <w:rFonts w:hint="eastAsia" w:ascii="宋体" w:hAnsi="宋体" w:eastAsia="宋体" w:cs="宋体"/>
          <w:bCs/>
          <w:sz w:val="21"/>
          <w:szCs w:val="21"/>
        </w:rPr>
        <w:t>15.1质量瑕疵的违约责任</w:t>
      </w:r>
    </w:p>
    <w:p w14:paraId="3A03A34B">
      <w:pPr>
        <w:autoSpaceDE w:val="0"/>
        <w:autoSpaceDN w:val="0"/>
        <w:adjustRightInd w:val="0"/>
        <w:snapToGrid w:val="0"/>
        <w:spacing w:line="400" w:lineRule="exact"/>
        <w:ind w:firstLine="420" w:firstLineChars="200"/>
        <w:jc w:val="left"/>
        <w:rPr>
          <w:rFonts w:hint="eastAsia" w:ascii="宋体" w:hAnsi="宋体" w:eastAsia="宋体" w:cs="宋体"/>
          <w:sz w:val="21"/>
          <w:szCs w:val="21"/>
        </w:rPr>
      </w:pPr>
      <w:r>
        <w:rPr>
          <w:rFonts w:hint="eastAsia" w:ascii="宋体" w:hAnsi="宋体" w:eastAsia="宋体" w:cs="宋体"/>
          <w:sz w:val="21"/>
          <w:szCs w:val="21"/>
        </w:rPr>
        <w:t>乙方提供的产品不符合合同约定的质量标准或存在产品质量缺陷，甲方有权要求乙方根据</w:t>
      </w:r>
      <w:r>
        <w:rPr>
          <w:rFonts w:hint="eastAsia" w:ascii="宋体" w:hAnsi="宋体" w:eastAsia="宋体" w:cs="宋体"/>
          <w:b/>
          <w:sz w:val="21"/>
          <w:szCs w:val="21"/>
        </w:rPr>
        <w:t>【政府采购合同专用条款】</w:t>
      </w:r>
      <w:r>
        <w:rPr>
          <w:rFonts w:hint="eastAsia" w:ascii="宋体" w:hAnsi="宋体" w:eastAsia="宋体" w:cs="宋体"/>
          <w:bCs/>
          <w:sz w:val="21"/>
          <w:szCs w:val="21"/>
        </w:rPr>
        <w:t>要求</w:t>
      </w:r>
      <w:r>
        <w:rPr>
          <w:rFonts w:hint="eastAsia" w:ascii="宋体" w:hAnsi="宋体" w:eastAsia="宋体" w:cs="宋体"/>
          <w:sz w:val="21"/>
          <w:szCs w:val="21"/>
        </w:rPr>
        <w:t>及时修理、重作、更换，并承担由此给甲方造成的损失。</w:t>
      </w:r>
    </w:p>
    <w:p w14:paraId="4B6B0869">
      <w:pPr>
        <w:autoSpaceDE w:val="0"/>
        <w:autoSpaceDN w:val="0"/>
        <w:adjustRightInd w:val="0"/>
        <w:snapToGrid w:val="0"/>
        <w:spacing w:line="400" w:lineRule="exact"/>
        <w:ind w:firstLine="420" w:firstLineChars="200"/>
        <w:jc w:val="left"/>
        <w:rPr>
          <w:rFonts w:hint="eastAsia" w:ascii="宋体" w:hAnsi="宋体" w:eastAsia="宋体" w:cs="宋体"/>
          <w:bCs/>
          <w:sz w:val="21"/>
          <w:szCs w:val="21"/>
        </w:rPr>
      </w:pPr>
      <w:r>
        <w:rPr>
          <w:rFonts w:hint="eastAsia" w:ascii="宋体" w:hAnsi="宋体" w:eastAsia="宋体" w:cs="宋体"/>
          <w:bCs/>
          <w:sz w:val="21"/>
          <w:szCs w:val="21"/>
        </w:rPr>
        <w:t>15.2 迟延交货的违约责任</w:t>
      </w:r>
    </w:p>
    <w:p w14:paraId="05898B4A">
      <w:pPr>
        <w:autoSpaceDE w:val="0"/>
        <w:autoSpaceDN w:val="0"/>
        <w:adjustRightInd w:val="0"/>
        <w:snapToGrid w:val="0"/>
        <w:spacing w:line="400" w:lineRule="exact"/>
        <w:ind w:firstLine="420" w:firstLineChars="200"/>
        <w:jc w:val="left"/>
        <w:rPr>
          <w:rFonts w:hint="eastAsia" w:ascii="宋体" w:hAnsi="宋体" w:eastAsia="宋体" w:cs="宋体"/>
          <w:sz w:val="21"/>
          <w:szCs w:val="21"/>
        </w:rPr>
      </w:pPr>
      <w:r>
        <w:rPr>
          <w:rFonts w:hint="eastAsia" w:ascii="宋体" w:hAnsi="宋体" w:eastAsia="宋体" w:cs="宋体"/>
          <w:sz w:val="21"/>
          <w:szCs w:val="21"/>
        </w:rPr>
        <w:t>（1）乙方应按照本合同规定的时间、地点交货和提供相关服务。在履行合同过程中，如果乙方遇到可能影响按时交货和提供服务的情形时，应及时以书面形式将迟延的事实、可能迟延的期限和理由通知甲方。甲方在收到乙方通知后，应尽快对情况进行评价，并确定是否同意延长交货时间或延期提供服务。</w:t>
      </w:r>
    </w:p>
    <w:p w14:paraId="21F9EF5B">
      <w:pPr>
        <w:autoSpaceDE w:val="0"/>
        <w:autoSpaceDN w:val="0"/>
        <w:adjustRightInd w:val="0"/>
        <w:snapToGrid w:val="0"/>
        <w:spacing w:line="400" w:lineRule="exact"/>
        <w:ind w:firstLine="420" w:firstLineChars="200"/>
        <w:jc w:val="left"/>
        <w:rPr>
          <w:rFonts w:hint="eastAsia" w:ascii="宋体" w:hAnsi="宋体" w:eastAsia="宋体" w:cs="宋体"/>
          <w:sz w:val="21"/>
          <w:szCs w:val="21"/>
        </w:rPr>
      </w:pPr>
      <w:r>
        <w:rPr>
          <w:rFonts w:hint="eastAsia" w:ascii="宋体" w:hAnsi="宋体" w:eastAsia="宋体" w:cs="宋体"/>
          <w:sz w:val="21"/>
          <w:szCs w:val="21"/>
        </w:rPr>
        <w:t>（2）如果乙方没有按照合同规定的时间交货和提供相关服务，甲方有权从货款中扣除误期赔偿费而不影响合同项下的其他补救方法，赔偿费按</w:t>
      </w:r>
      <w:r>
        <w:rPr>
          <w:rFonts w:hint="eastAsia" w:ascii="宋体" w:hAnsi="宋体" w:eastAsia="宋体" w:cs="宋体"/>
          <w:b/>
          <w:sz w:val="21"/>
          <w:szCs w:val="21"/>
        </w:rPr>
        <w:t>【政府采购合同专用条款】</w:t>
      </w:r>
      <w:r>
        <w:rPr>
          <w:rFonts w:hint="eastAsia" w:ascii="宋体" w:hAnsi="宋体" w:eastAsia="宋体" w:cs="宋体"/>
          <w:sz w:val="21"/>
          <w:szCs w:val="21"/>
        </w:rPr>
        <w:t>规定执行。如果涉及公共利益，且赔偿金额无法弥补公共利益损失，甲方可要求继续履行或者采取其他补救措施。</w:t>
      </w:r>
    </w:p>
    <w:p w14:paraId="034E3D3A">
      <w:pPr>
        <w:autoSpaceDE w:val="0"/>
        <w:autoSpaceDN w:val="0"/>
        <w:adjustRightInd w:val="0"/>
        <w:snapToGrid w:val="0"/>
        <w:spacing w:line="400" w:lineRule="exact"/>
        <w:ind w:firstLine="420" w:firstLineChars="200"/>
        <w:jc w:val="left"/>
        <w:rPr>
          <w:rFonts w:hint="eastAsia" w:ascii="宋体" w:hAnsi="宋体" w:eastAsia="宋体" w:cs="宋体"/>
          <w:sz w:val="21"/>
          <w:szCs w:val="21"/>
        </w:rPr>
      </w:pPr>
      <w:r>
        <w:rPr>
          <w:rFonts w:hint="eastAsia" w:ascii="宋体" w:hAnsi="宋体" w:eastAsia="宋体" w:cs="宋体"/>
          <w:sz w:val="21"/>
          <w:szCs w:val="21"/>
        </w:rPr>
        <w:t>15.3 迟延支付的违约责任</w:t>
      </w:r>
    </w:p>
    <w:p w14:paraId="7A6B996B">
      <w:pPr>
        <w:autoSpaceDE w:val="0"/>
        <w:autoSpaceDN w:val="0"/>
        <w:adjustRightInd w:val="0"/>
        <w:snapToGrid w:val="0"/>
        <w:spacing w:line="400" w:lineRule="exact"/>
        <w:ind w:firstLine="420" w:firstLineChars="200"/>
        <w:jc w:val="left"/>
        <w:rPr>
          <w:rFonts w:hint="eastAsia" w:ascii="宋体" w:hAnsi="宋体" w:eastAsia="宋体" w:cs="宋体"/>
          <w:sz w:val="21"/>
          <w:szCs w:val="21"/>
        </w:rPr>
      </w:pPr>
      <w:r>
        <w:rPr>
          <w:rFonts w:hint="eastAsia" w:ascii="宋体" w:hAnsi="宋体" w:eastAsia="宋体" w:cs="宋体"/>
          <w:sz w:val="21"/>
          <w:szCs w:val="21"/>
        </w:rPr>
        <w:t>甲方存在迟延支付乙方合同款项的，应当承担</w:t>
      </w:r>
      <w:r>
        <w:rPr>
          <w:rFonts w:hint="eastAsia" w:ascii="宋体" w:hAnsi="宋体" w:eastAsia="宋体" w:cs="宋体"/>
          <w:b/>
          <w:bCs/>
          <w:sz w:val="21"/>
          <w:szCs w:val="21"/>
        </w:rPr>
        <w:t>【政府采购合同专用条款】</w:t>
      </w:r>
      <w:r>
        <w:rPr>
          <w:rFonts w:hint="eastAsia" w:ascii="宋体" w:hAnsi="宋体" w:eastAsia="宋体" w:cs="宋体"/>
          <w:sz w:val="21"/>
          <w:szCs w:val="21"/>
        </w:rPr>
        <w:t>规定的逾期付款利息。</w:t>
      </w:r>
    </w:p>
    <w:p w14:paraId="5E487856">
      <w:pPr>
        <w:adjustRightInd w:val="0"/>
        <w:snapToGrid w:val="0"/>
        <w:spacing w:line="400" w:lineRule="exact"/>
        <w:ind w:firstLine="420" w:firstLineChars="200"/>
        <w:jc w:val="left"/>
        <w:rPr>
          <w:rFonts w:hint="eastAsia" w:ascii="宋体" w:hAnsi="宋体" w:eastAsia="宋体" w:cs="宋体"/>
          <w:sz w:val="21"/>
          <w:szCs w:val="21"/>
        </w:rPr>
      </w:pPr>
      <w:r>
        <w:rPr>
          <w:rFonts w:hint="eastAsia" w:ascii="宋体" w:hAnsi="宋体" w:eastAsia="宋体" w:cs="宋体"/>
          <w:bCs/>
          <w:sz w:val="21"/>
          <w:szCs w:val="21"/>
        </w:rPr>
        <w:t>15.4其他违约责任根据项目实际需要按</w:t>
      </w:r>
      <w:r>
        <w:rPr>
          <w:rFonts w:hint="eastAsia" w:ascii="宋体" w:hAnsi="宋体" w:eastAsia="宋体" w:cs="宋体"/>
          <w:b/>
          <w:bCs/>
          <w:sz w:val="21"/>
          <w:szCs w:val="21"/>
        </w:rPr>
        <w:t>【政府采购合同专用条款】</w:t>
      </w:r>
      <w:r>
        <w:rPr>
          <w:rFonts w:hint="eastAsia" w:ascii="宋体" w:hAnsi="宋体" w:eastAsia="宋体" w:cs="宋体"/>
          <w:sz w:val="21"/>
          <w:szCs w:val="21"/>
        </w:rPr>
        <w:t>规定执行。</w:t>
      </w:r>
    </w:p>
    <w:p w14:paraId="10FE3C06">
      <w:pPr>
        <w:numPr>
          <w:ilvl w:val="0"/>
          <w:numId w:val="10"/>
        </w:numPr>
        <w:autoSpaceDE w:val="0"/>
        <w:autoSpaceDN w:val="0"/>
        <w:adjustRightInd w:val="0"/>
        <w:snapToGrid w:val="0"/>
        <w:spacing w:line="400" w:lineRule="exact"/>
        <w:jc w:val="left"/>
        <w:rPr>
          <w:rFonts w:hint="eastAsia" w:ascii="宋体" w:hAnsi="宋体" w:eastAsia="宋体" w:cs="宋体"/>
          <w:b/>
          <w:sz w:val="21"/>
          <w:szCs w:val="21"/>
        </w:rPr>
      </w:pPr>
      <w:r>
        <w:rPr>
          <w:rFonts w:hint="eastAsia" w:ascii="宋体" w:hAnsi="宋体" w:eastAsia="宋体" w:cs="宋体"/>
          <w:b/>
          <w:sz w:val="21"/>
          <w:szCs w:val="21"/>
        </w:rPr>
        <w:t>合同变更、中止与终止</w:t>
      </w:r>
    </w:p>
    <w:p w14:paraId="5E9E2B99">
      <w:pPr>
        <w:adjustRightInd w:val="0"/>
        <w:snapToGrid w:val="0"/>
        <w:spacing w:line="400" w:lineRule="exact"/>
        <w:jc w:val="left"/>
        <w:rPr>
          <w:rFonts w:hint="eastAsia" w:ascii="宋体" w:hAnsi="宋体" w:eastAsia="宋体" w:cs="宋体"/>
          <w:sz w:val="21"/>
          <w:szCs w:val="21"/>
        </w:rPr>
      </w:pPr>
      <w:r>
        <w:rPr>
          <w:rFonts w:hint="eastAsia" w:ascii="宋体" w:hAnsi="宋体" w:eastAsia="宋体" w:cs="宋体"/>
          <w:sz w:val="21"/>
          <w:szCs w:val="21"/>
        </w:rPr>
        <w:t xml:space="preserve">    16.1合同的变更</w:t>
      </w:r>
    </w:p>
    <w:p w14:paraId="675D3CC4">
      <w:pPr>
        <w:autoSpaceDE w:val="0"/>
        <w:autoSpaceDN w:val="0"/>
        <w:adjustRightInd w:val="0"/>
        <w:snapToGrid w:val="0"/>
        <w:spacing w:line="400" w:lineRule="exact"/>
        <w:ind w:firstLine="420" w:firstLineChars="200"/>
        <w:jc w:val="left"/>
        <w:rPr>
          <w:rFonts w:hint="eastAsia" w:ascii="宋体" w:hAnsi="宋体" w:eastAsia="宋体" w:cs="宋体"/>
          <w:sz w:val="21"/>
          <w:szCs w:val="21"/>
        </w:rPr>
      </w:pPr>
      <w:r>
        <w:rPr>
          <w:rFonts w:hint="eastAsia" w:ascii="宋体" w:hAnsi="宋体" w:eastAsia="宋体" w:cs="宋体"/>
          <w:sz w:val="21"/>
          <w:szCs w:val="21"/>
        </w:rPr>
        <w:t>政府采购合同履行中，在不改变合同其他条款的前提下，甲方可以在合同价款10%的范围内追加与合同标的相同的货物，并就此与乙方协商一致后签订补充协议。</w:t>
      </w:r>
    </w:p>
    <w:p w14:paraId="2490B358">
      <w:pPr>
        <w:adjustRightInd w:val="0"/>
        <w:snapToGrid w:val="0"/>
        <w:spacing w:line="400" w:lineRule="exact"/>
        <w:ind w:firstLine="420" w:firstLineChars="200"/>
        <w:jc w:val="left"/>
        <w:rPr>
          <w:rFonts w:hint="eastAsia" w:ascii="宋体" w:hAnsi="宋体" w:eastAsia="宋体" w:cs="宋体"/>
          <w:sz w:val="21"/>
          <w:szCs w:val="21"/>
        </w:rPr>
      </w:pPr>
      <w:r>
        <w:rPr>
          <w:rFonts w:hint="eastAsia" w:ascii="宋体" w:hAnsi="宋体" w:eastAsia="宋体" w:cs="宋体"/>
          <w:sz w:val="21"/>
          <w:szCs w:val="21"/>
        </w:rPr>
        <w:t>16.2合同的中止</w:t>
      </w:r>
    </w:p>
    <w:p w14:paraId="3FE48C67">
      <w:pPr>
        <w:autoSpaceDE w:val="0"/>
        <w:autoSpaceDN w:val="0"/>
        <w:adjustRightInd w:val="0"/>
        <w:snapToGrid w:val="0"/>
        <w:spacing w:line="400" w:lineRule="exact"/>
        <w:ind w:firstLine="420" w:firstLineChars="200"/>
        <w:jc w:val="left"/>
        <w:rPr>
          <w:rFonts w:hint="eastAsia" w:ascii="宋体" w:hAnsi="宋体" w:eastAsia="宋体" w:cs="宋体"/>
          <w:sz w:val="21"/>
          <w:szCs w:val="21"/>
        </w:rPr>
      </w:pPr>
      <w:r>
        <w:rPr>
          <w:rFonts w:hint="eastAsia" w:ascii="宋体" w:hAnsi="宋体" w:eastAsia="宋体" w:cs="宋体"/>
          <w:sz w:val="21"/>
          <w:szCs w:val="21"/>
        </w:rPr>
        <w:t>（1）合同履行过程中因供应商就采购文件、采购过程或结果提起投诉的，甲方认为有必要的，可以中止合同的履行。</w:t>
      </w:r>
    </w:p>
    <w:p w14:paraId="2EC88497">
      <w:pPr>
        <w:autoSpaceDE w:val="0"/>
        <w:autoSpaceDN w:val="0"/>
        <w:adjustRightInd w:val="0"/>
        <w:snapToGrid w:val="0"/>
        <w:spacing w:line="400" w:lineRule="exact"/>
        <w:ind w:firstLine="420" w:firstLineChars="200"/>
        <w:jc w:val="left"/>
        <w:rPr>
          <w:rFonts w:hint="eastAsia" w:ascii="宋体" w:hAnsi="宋体" w:eastAsia="宋体" w:cs="宋体"/>
          <w:sz w:val="21"/>
          <w:szCs w:val="21"/>
        </w:rPr>
      </w:pPr>
      <w:r>
        <w:rPr>
          <w:rFonts w:hint="eastAsia" w:ascii="宋体" w:hAnsi="宋体" w:eastAsia="宋体" w:cs="宋体"/>
          <w:sz w:val="21"/>
          <w:szCs w:val="21"/>
        </w:rPr>
        <w:t>（2）合同履行过程中，如果乙方出现以下情形之一的：1．经营状况严重恶化；2．转移财产、抽逃资金，以逃避债务；3．丧失商业信誉；4．有丧失或者可能丧失履约能力的其他情形，乙方有义务及时告知甲方。甲方有权以书面形式通知乙方中止合同并要求乙方在合理期限内消除相关情形或者提供适当担保。乙方提供适当担保的，合同继续履行；乙方在合理期限内未恢复履约能力且未提供适当担保的，视为拒绝继续履约，甲方有权解除合同并要求乙方承担由此给甲方造成的损失。</w:t>
      </w:r>
    </w:p>
    <w:p w14:paraId="27E1813D">
      <w:pPr>
        <w:pStyle w:val="322"/>
        <w:ind w:firstLine="420"/>
        <w:jc w:val="both"/>
        <w:rPr>
          <w:rFonts w:hint="eastAsia" w:ascii="宋体" w:hAnsi="宋体" w:eastAsia="宋体" w:cs="宋体"/>
          <w:sz w:val="21"/>
          <w:szCs w:val="21"/>
        </w:rPr>
      </w:pPr>
      <w:r>
        <w:rPr>
          <w:rFonts w:hint="eastAsia" w:ascii="宋体" w:hAnsi="宋体" w:eastAsia="宋体" w:cs="宋体"/>
          <w:sz w:val="21"/>
          <w:szCs w:val="21"/>
        </w:rPr>
        <w:t>（3）乙方分立、合并或者变更住所的，应当及时以书面形式告知甲方。乙方没有及时告知甲方，致使合同履行发生困难的，甲方可以中止合同履行并要求乙方承担由此给甲方造成的损失。</w:t>
      </w:r>
    </w:p>
    <w:p w14:paraId="79F6E15B">
      <w:pPr>
        <w:snapToGrid w:val="0"/>
        <w:spacing w:line="400" w:lineRule="exact"/>
        <w:ind w:firstLine="420" w:firstLineChars="200"/>
        <w:jc w:val="left"/>
        <w:rPr>
          <w:rFonts w:hint="eastAsia" w:ascii="宋体" w:hAnsi="宋体" w:eastAsia="宋体" w:cs="宋体"/>
          <w:sz w:val="21"/>
          <w:szCs w:val="21"/>
        </w:rPr>
      </w:pPr>
      <w:r>
        <w:rPr>
          <w:rFonts w:hint="eastAsia" w:ascii="宋体" w:hAnsi="宋体" w:eastAsia="宋体" w:cs="宋体"/>
          <w:sz w:val="21"/>
          <w:szCs w:val="21"/>
        </w:rPr>
        <w:t>（4）甲方不得以行政区划调整、政府换届、机构或者职能调整以及相关责任人更替为由中止合同。</w:t>
      </w:r>
    </w:p>
    <w:p w14:paraId="5FE2331A">
      <w:pPr>
        <w:adjustRightInd w:val="0"/>
        <w:snapToGrid w:val="0"/>
        <w:spacing w:line="400" w:lineRule="exact"/>
        <w:ind w:firstLine="420" w:firstLineChars="200"/>
        <w:jc w:val="left"/>
        <w:rPr>
          <w:rFonts w:hint="eastAsia" w:ascii="宋体" w:hAnsi="宋体" w:eastAsia="宋体" w:cs="宋体"/>
          <w:sz w:val="21"/>
          <w:szCs w:val="21"/>
        </w:rPr>
      </w:pPr>
      <w:r>
        <w:rPr>
          <w:rFonts w:hint="eastAsia" w:ascii="宋体" w:hAnsi="宋体" w:eastAsia="宋体" w:cs="宋体"/>
          <w:sz w:val="21"/>
          <w:szCs w:val="21"/>
        </w:rPr>
        <w:t>16.3合同的终止</w:t>
      </w:r>
    </w:p>
    <w:p w14:paraId="2B33788C">
      <w:pPr>
        <w:autoSpaceDE w:val="0"/>
        <w:autoSpaceDN w:val="0"/>
        <w:adjustRightInd w:val="0"/>
        <w:snapToGrid w:val="0"/>
        <w:spacing w:line="400" w:lineRule="exact"/>
        <w:ind w:firstLine="420" w:firstLineChars="200"/>
        <w:jc w:val="left"/>
        <w:rPr>
          <w:rFonts w:hint="eastAsia" w:ascii="宋体" w:hAnsi="宋体" w:eastAsia="宋体" w:cs="宋体"/>
          <w:sz w:val="21"/>
          <w:szCs w:val="21"/>
        </w:rPr>
      </w:pPr>
      <w:r>
        <w:rPr>
          <w:rFonts w:hint="eastAsia" w:ascii="宋体" w:hAnsi="宋体" w:eastAsia="宋体" w:cs="宋体"/>
          <w:sz w:val="21"/>
          <w:szCs w:val="21"/>
        </w:rPr>
        <w:t>（1）合同因有效期限届满而终止；</w:t>
      </w:r>
    </w:p>
    <w:p w14:paraId="515BAF18">
      <w:pPr>
        <w:snapToGrid w:val="0"/>
        <w:spacing w:line="400" w:lineRule="exact"/>
        <w:ind w:firstLine="420" w:firstLineChars="200"/>
        <w:rPr>
          <w:rFonts w:hint="eastAsia" w:ascii="宋体" w:hAnsi="宋体" w:eastAsia="宋体" w:cs="宋体"/>
          <w:sz w:val="21"/>
          <w:szCs w:val="21"/>
        </w:rPr>
      </w:pPr>
      <w:r>
        <w:rPr>
          <w:rFonts w:hint="eastAsia" w:ascii="宋体" w:hAnsi="宋体" w:eastAsia="宋体" w:cs="宋体"/>
          <w:sz w:val="21"/>
          <w:szCs w:val="21"/>
        </w:rPr>
        <w:t>（2）乙方未按合同约定履行，构成根本性违约的，甲方有权终止合同，并追究乙方的违约责任。</w:t>
      </w:r>
    </w:p>
    <w:p w14:paraId="79353306">
      <w:pPr>
        <w:pStyle w:val="322"/>
        <w:rPr>
          <w:rFonts w:hint="eastAsia" w:ascii="宋体" w:hAnsi="宋体" w:eastAsia="宋体" w:cs="宋体"/>
          <w:sz w:val="21"/>
          <w:szCs w:val="21"/>
        </w:rPr>
      </w:pPr>
      <w:r>
        <w:rPr>
          <w:rFonts w:hint="eastAsia" w:ascii="宋体" w:hAnsi="宋体" w:eastAsia="宋体" w:cs="宋体"/>
          <w:sz w:val="21"/>
          <w:szCs w:val="21"/>
        </w:rPr>
        <w:t xml:space="preserve">16.4 </w:t>
      </w:r>
      <w:r>
        <w:rPr>
          <w:rFonts w:hint="eastAsia" w:ascii="宋体" w:hAnsi="宋体" w:eastAsia="宋体" w:cs="宋体"/>
          <w:kern w:val="2"/>
          <w:sz w:val="21"/>
          <w:szCs w:val="21"/>
        </w:rPr>
        <w:t>涉及国家利益、社会公共利益的情形</w:t>
      </w:r>
    </w:p>
    <w:p w14:paraId="56F9CA15">
      <w:pPr>
        <w:pStyle w:val="322"/>
        <w:ind w:firstLine="420"/>
        <w:jc w:val="both"/>
        <w:rPr>
          <w:rFonts w:hint="eastAsia" w:ascii="宋体" w:hAnsi="宋体" w:eastAsia="宋体" w:cs="宋体"/>
          <w:sz w:val="21"/>
          <w:szCs w:val="21"/>
        </w:rPr>
      </w:pPr>
      <w:r>
        <w:rPr>
          <w:rFonts w:hint="eastAsia" w:ascii="宋体" w:hAnsi="宋体" w:eastAsia="宋体" w:cs="宋体"/>
          <w:sz w:val="21"/>
          <w:szCs w:val="21"/>
        </w:rPr>
        <w:t>政府采购合同继续履行将损害国家利益和社会公共利益的，双方当事人应当变更、中止或者终止合同。有过错的一方应当承担赔偿责任，双方都有过错的，各自承担相应的责任。</w:t>
      </w:r>
    </w:p>
    <w:p w14:paraId="0269690F">
      <w:pPr>
        <w:autoSpaceDE w:val="0"/>
        <w:autoSpaceDN w:val="0"/>
        <w:adjustRightInd w:val="0"/>
        <w:snapToGrid w:val="0"/>
        <w:spacing w:line="400" w:lineRule="exact"/>
        <w:jc w:val="left"/>
        <w:rPr>
          <w:rFonts w:hint="eastAsia" w:ascii="宋体" w:hAnsi="宋体" w:eastAsia="宋体" w:cs="宋体"/>
          <w:b/>
          <w:bCs/>
          <w:sz w:val="21"/>
          <w:szCs w:val="21"/>
        </w:rPr>
      </w:pPr>
      <w:r>
        <w:rPr>
          <w:rFonts w:hint="eastAsia" w:ascii="宋体" w:hAnsi="宋体" w:eastAsia="宋体" w:cs="宋体"/>
          <w:b/>
          <w:bCs/>
          <w:sz w:val="21"/>
          <w:szCs w:val="21"/>
        </w:rPr>
        <w:t>17. 合同分包</w:t>
      </w:r>
    </w:p>
    <w:p w14:paraId="101B61D6">
      <w:pPr>
        <w:autoSpaceDE w:val="0"/>
        <w:autoSpaceDN w:val="0"/>
        <w:adjustRightInd w:val="0"/>
        <w:snapToGrid w:val="0"/>
        <w:spacing w:line="400" w:lineRule="exact"/>
        <w:ind w:firstLine="420" w:firstLineChars="200"/>
        <w:jc w:val="left"/>
        <w:rPr>
          <w:rFonts w:hint="eastAsia" w:ascii="宋体" w:hAnsi="宋体" w:eastAsia="宋体" w:cs="宋体"/>
          <w:sz w:val="21"/>
          <w:szCs w:val="21"/>
        </w:rPr>
      </w:pPr>
      <w:r>
        <w:rPr>
          <w:rFonts w:hint="eastAsia" w:ascii="宋体" w:hAnsi="宋体" w:eastAsia="宋体" w:cs="宋体"/>
          <w:sz w:val="21"/>
          <w:szCs w:val="21"/>
        </w:rPr>
        <w:t>17.1 乙方不得将合同转包给其他供应商。涉及合同分包的，乙方应根据采购文件和投标（响应）文件规定进行合同分包。</w:t>
      </w:r>
    </w:p>
    <w:p w14:paraId="6A4F9E3D">
      <w:pPr>
        <w:autoSpaceDE w:val="0"/>
        <w:autoSpaceDN w:val="0"/>
        <w:adjustRightInd w:val="0"/>
        <w:snapToGrid w:val="0"/>
        <w:spacing w:line="400" w:lineRule="exact"/>
        <w:ind w:firstLine="420" w:firstLineChars="200"/>
        <w:jc w:val="left"/>
        <w:rPr>
          <w:rFonts w:hint="eastAsia" w:ascii="宋体" w:hAnsi="宋体" w:eastAsia="宋体" w:cs="宋体"/>
          <w:sz w:val="21"/>
          <w:szCs w:val="21"/>
        </w:rPr>
      </w:pPr>
      <w:r>
        <w:rPr>
          <w:rFonts w:hint="eastAsia" w:ascii="宋体" w:hAnsi="宋体" w:eastAsia="宋体" w:cs="宋体"/>
          <w:sz w:val="21"/>
          <w:szCs w:val="21"/>
        </w:rPr>
        <w:t>17.2 乙方执行政府采购政策向中小企业依法分包的，乙方应当按采购文件和投标（响应）文件签订分包意向协议，分包意向协议属于本合同组成部分。</w:t>
      </w:r>
    </w:p>
    <w:p w14:paraId="59595606">
      <w:pPr>
        <w:autoSpaceDE w:val="0"/>
        <w:autoSpaceDN w:val="0"/>
        <w:adjustRightInd w:val="0"/>
        <w:snapToGrid w:val="0"/>
        <w:spacing w:line="400" w:lineRule="exact"/>
        <w:jc w:val="left"/>
        <w:rPr>
          <w:rFonts w:hint="eastAsia" w:ascii="宋体" w:hAnsi="宋体" w:eastAsia="宋体" w:cs="宋体"/>
          <w:b/>
          <w:bCs/>
          <w:sz w:val="21"/>
          <w:szCs w:val="21"/>
        </w:rPr>
      </w:pPr>
      <w:r>
        <w:rPr>
          <w:rFonts w:hint="eastAsia" w:ascii="宋体" w:hAnsi="宋体" w:eastAsia="宋体" w:cs="宋体"/>
          <w:b/>
          <w:bCs/>
          <w:sz w:val="21"/>
          <w:szCs w:val="21"/>
        </w:rPr>
        <w:t>18. 不可抗力</w:t>
      </w:r>
    </w:p>
    <w:p w14:paraId="10B9B29F">
      <w:pPr>
        <w:autoSpaceDE w:val="0"/>
        <w:autoSpaceDN w:val="0"/>
        <w:adjustRightInd w:val="0"/>
        <w:snapToGrid w:val="0"/>
        <w:spacing w:line="400" w:lineRule="exact"/>
        <w:ind w:firstLine="420" w:firstLineChars="200"/>
        <w:jc w:val="left"/>
        <w:rPr>
          <w:rFonts w:hint="eastAsia" w:ascii="宋体" w:hAnsi="宋体" w:eastAsia="宋体" w:cs="宋体"/>
          <w:sz w:val="21"/>
          <w:szCs w:val="21"/>
        </w:rPr>
      </w:pPr>
      <w:r>
        <w:rPr>
          <w:rFonts w:hint="eastAsia" w:ascii="宋体" w:hAnsi="宋体" w:eastAsia="宋体" w:cs="宋体"/>
          <w:sz w:val="21"/>
          <w:szCs w:val="21"/>
        </w:rPr>
        <w:t>18.1 不可抗力是指合同双方不能预见、不能避免且不能克服的客观情况。</w:t>
      </w:r>
    </w:p>
    <w:p w14:paraId="2AD9D14D">
      <w:pPr>
        <w:autoSpaceDE w:val="0"/>
        <w:autoSpaceDN w:val="0"/>
        <w:adjustRightInd w:val="0"/>
        <w:snapToGrid w:val="0"/>
        <w:spacing w:line="400" w:lineRule="exact"/>
        <w:ind w:firstLine="420" w:firstLineChars="200"/>
        <w:jc w:val="left"/>
        <w:rPr>
          <w:rFonts w:hint="eastAsia" w:ascii="宋体" w:hAnsi="宋体" w:eastAsia="宋体" w:cs="宋体"/>
          <w:sz w:val="21"/>
          <w:szCs w:val="21"/>
        </w:rPr>
      </w:pPr>
      <w:r>
        <w:rPr>
          <w:rFonts w:hint="eastAsia" w:ascii="宋体" w:hAnsi="宋体" w:eastAsia="宋体" w:cs="宋体"/>
          <w:sz w:val="21"/>
          <w:szCs w:val="21"/>
        </w:rPr>
        <w:t>18.2 任何一方对由于不可抗力造成的部分或全部不能履行合同不承担违约责任。但迟延履行后发生不可抗力的，不能免除责任。</w:t>
      </w:r>
    </w:p>
    <w:p w14:paraId="7E7D081A">
      <w:pPr>
        <w:autoSpaceDE w:val="0"/>
        <w:autoSpaceDN w:val="0"/>
        <w:adjustRightInd w:val="0"/>
        <w:snapToGrid w:val="0"/>
        <w:spacing w:line="400" w:lineRule="exact"/>
        <w:ind w:firstLine="420" w:firstLineChars="200"/>
        <w:jc w:val="left"/>
        <w:rPr>
          <w:rFonts w:hint="eastAsia" w:ascii="宋体" w:hAnsi="宋体" w:eastAsia="宋体" w:cs="宋体"/>
          <w:sz w:val="21"/>
          <w:szCs w:val="21"/>
        </w:rPr>
      </w:pPr>
      <w:r>
        <w:rPr>
          <w:rFonts w:hint="eastAsia" w:ascii="宋体" w:hAnsi="宋体" w:eastAsia="宋体" w:cs="宋体"/>
          <w:sz w:val="21"/>
          <w:szCs w:val="21"/>
        </w:rPr>
        <w:t>18.3 遇有不可抗力的一方，应及时将事件情况以书面形式告知另一方，并在事件发生后及时向另一方提交合同不能履行或部分不能履行或需要延期履行的详细报告，以及证明不可抗力发生及其持续时间的证据。</w:t>
      </w:r>
    </w:p>
    <w:p w14:paraId="570A5C68">
      <w:pPr>
        <w:autoSpaceDE w:val="0"/>
        <w:autoSpaceDN w:val="0"/>
        <w:adjustRightInd w:val="0"/>
        <w:snapToGrid w:val="0"/>
        <w:spacing w:line="400" w:lineRule="exact"/>
        <w:jc w:val="left"/>
        <w:rPr>
          <w:rFonts w:hint="eastAsia" w:ascii="宋体" w:hAnsi="宋体" w:eastAsia="宋体" w:cs="宋体"/>
          <w:b/>
          <w:bCs/>
          <w:sz w:val="21"/>
          <w:szCs w:val="21"/>
        </w:rPr>
      </w:pPr>
      <w:r>
        <w:rPr>
          <w:rFonts w:hint="eastAsia" w:ascii="宋体" w:hAnsi="宋体" w:eastAsia="宋体" w:cs="宋体"/>
          <w:b/>
          <w:bCs/>
          <w:sz w:val="21"/>
          <w:szCs w:val="21"/>
        </w:rPr>
        <w:t>19. 解决争议的方法</w:t>
      </w:r>
    </w:p>
    <w:p w14:paraId="4DF9ECE6">
      <w:pPr>
        <w:pStyle w:val="322"/>
        <w:ind w:firstLine="420"/>
        <w:jc w:val="both"/>
        <w:rPr>
          <w:rFonts w:hint="eastAsia" w:ascii="宋体" w:hAnsi="宋体" w:eastAsia="宋体" w:cs="宋体"/>
          <w:sz w:val="21"/>
          <w:szCs w:val="21"/>
        </w:rPr>
      </w:pPr>
      <w:r>
        <w:rPr>
          <w:rFonts w:hint="eastAsia" w:ascii="宋体" w:hAnsi="宋体" w:eastAsia="宋体" w:cs="宋体"/>
          <w:sz w:val="21"/>
          <w:szCs w:val="21"/>
        </w:rPr>
        <w:t>19.1 因本合同及合同有关事项发生的争议，由甲乙双方友好协商解决。协商不成时，可以向有关组织申请调解。合同一方或双方不愿调解或调解不成的，可以通过仲裁或诉讼的方式解决争议。</w:t>
      </w:r>
    </w:p>
    <w:p w14:paraId="5A19FD83">
      <w:pPr>
        <w:pStyle w:val="322"/>
        <w:ind w:firstLine="420"/>
        <w:jc w:val="both"/>
        <w:rPr>
          <w:rFonts w:hint="eastAsia" w:ascii="宋体" w:hAnsi="宋体" w:eastAsia="宋体" w:cs="宋体"/>
          <w:sz w:val="21"/>
          <w:szCs w:val="21"/>
        </w:rPr>
      </w:pPr>
      <w:r>
        <w:rPr>
          <w:rFonts w:hint="eastAsia" w:ascii="宋体" w:hAnsi="宋体" w:eastAsia="宋体" w:cs="宋体"/>
          <w:sz w:val="21"/>
          <w:szCs w:val="21"/>
        </w:rPr>
        <w:t>19.2 选择仲裁的，应在</w:t>
      </w:r>
      <w:r>
        <w:rPr>
          <w:rFonts w:hint="eastAsia" w:ascii="宋体" w:hAnsi="宋体" w:eastAsia="宋体" w:cs="宋体"/>
          <w:b/>
          <w:bCs/>
          <w:sz w:val="21"/>
          <w:szCs w:val="21"/>
        </w:rPr>
        <w:t>【政府采购合同专用条款】</w:t>
      </w:r>
      <w:r>
        <w:rPr>
          <w:rFonts w:hint="eastAsia" w:ascii="宋体" w:hAnsi="宋体" w:eastAsia="宋体" w:cs="宋体"/>
          <w:sz w:val="21"/>
          <w:szCs w:val="21"/>
        </w:rPr>
        <w:t>中明确仲裁机构及仲裁地；通过诉讼方式解决的，可以在</w:t>
      </w:r>
      <w:r>
        <w:rPr>
          <w:rFonts w:hint="eastAsia" w:ascii="宋体" w:hAnsi="宋体" w:eastAsia="宋体" w:cs="宋体"/>
          <w:b/>
          <w:bCs/>
          <w:sz w:val="21"/>
          <w:szCs w:val="21"/>
        </w:rPr>
        <w:t>【政府采购合同专用条款】</w:t>
      </w:r>
      <w:r>
        <w:rPr>
          <w:rFonts w:hint="eastAsia" w:ascii="宋体" w:hAnsi="宋体" w:eastAsia="宋体" w:cs="宋体"/>
          <w:sz w:val="21"/>
          <w:szCs w:val="21"/>
        </w:rPr>
        <w:t>中进一步约定选择与争议有实际联系的地点的人民法院管辖，但管辖法院的约定不得违反级别管辖和专属管辖的规定。</w:t>
      </w:r>
    </w:p>
    <w:p w14:paraId="6E9974B1">
      <w:pPr>
        <w:pStyle w:val="322"/>
        <w:ind w:firstLine="420"/>
        <w:jc w:val="both"/>
        <w:rPr>
          <w:rFonts w:hint="eastAsia" w:ascii="宋体" w:hAnsi="宋体" w:eastAsia="宋体" w:cs="宋体"/>
          <w:sz w:val="21"/>
          <w:szCs w:val="21"/>
        </w:rPr>
      </w:pPr>
      <w:r>
        <w:rPr>
          <w:rFonts w:hint="eastAsia" w:ascii="宋体" w:hAnsi="宋体" w:eastAsia="宋体" w:cs="宋体"/>
          <w:sz w:val="21"/>
          <w:szCs w:val="21"/>
        </w:rPr>
        <w:t>19.3 如甲乙双方有争议的事项不影响合同其他部分的履行，在争议解决期间，合同其他部分应当继续履行。</w:t>
      </w:r>
    </w:p>
    <w:p w14:paraId="0DE24A84">
      <w:pPr>
        <w:autoSpaceDE w:val="0"/>
        <w:autoSpaceDN w:val="0"/>
        <w:adjustRightInd w:val="0"/>
        <w:snapToGrid w:val="0"/>
        <w:spacing w:line="400" w:lineRule="exact"/>
        <w:jc w:val="left"/>
        <w:rPr>
          <w:rFonts w:hint="eastAsia" w:ascii="宋体" w:hAnsi="宋体" w:eastAsia="宋体" w:cs="宋体"/>
          <w:sz w:val="21"/>
          <w:szCs w:val="21"/>
        </w:rPr>
      </w:pPr>
      <w:r>
        <w:rPr>
          <w:rFonts w:hint="eastAsia" w:ascii="宋体" w:hAnsi="宋体" w:eastAsia="宋体" w:cs="宋体"/>
          <w:b/>
          <w:sz w:val="21"/>
          <w:szCs w:val="21"/>
        </w:rPr>
        <w:t>20. 政府采购政策</w:t>
      </w:r>
    </w:p>
    <w:p w14:paraId="34A1212F">
      <w:pPr>
        <w:autoSpaceDE w:val="0"/>
        <w:autoSpaceDN w:val="0"/>
        <w:adjustRightInd w:val="0"/>
        <w:snapToGrid w:val="0"/>
        <w:spacing w:line="400" w:lineRule="exact"/>
        <w:ind w:firstLine="420" w:firstLineChars="200"/>
        <w:jc w:val="left"/>
        <w:rPr>
          <w:rFonts w:hint="eastAsia" w:ascii="宋体" w:hAnsi="宋体" w:eastAsia="宋体" w:cs="宋体"/>
          <w:sz w:val="21"/>
          <w:szCs w:val="21"/>
        </w:rPr>
      </w:pPr>
      <w:r>
        <w:rPr>
          <w:rFonts w:hint="eastAsia" w:ascii="宋体" w:hAnsi="宋体" w:eastAsia="宋体" w:cs="宋体"/>
          <w:sz w:val="21"/>
          <w:szCs w:val="21"/>
        </w:rPr>
        <w:t xml:space="preserve">20.1 </w:t>
      </w:r>
      <w:r>
        <w:rPr>
          <w:rFonts w:hint="eastAsia" w:ascii="宋体" w:hAnsi="宋体" w:eastAsia="宋体" w:cs="宋体"/>
          <w:sz w:val="21"/>
          <w:szCs w:val="21"/>
          <w:lang w:val="en-GB"/>
        </w:rPr>
        <w:t>本合同应当按照规定执行政府采购政策。</w:t>
      </w:r>
    </w:p>
    <w:p w14:paraId="3E1F0A06">
      <w:pPr>
        <w:autoSpaceDE w:val="0"/>
        <w:autoSpaceDN w:val="0"/>
        <w:adjustRightInd w:val="0"/>
        <w:snapToGrid w:val="0"/>
        <w:spacing w:line="400" w:lineRule="exact"/>
        <w:ind w:firstLine="420" w:firstLineChars="200"/>
        <w:jc w:val="left"/>
        <w:rPr>
          <w:rFonts w:hint="eastAsia" w:ascii="宋体" w:hAnsi="宋体" w:eastAsia="宋体" w:cs="宋体"/>
          <w:sz w:val="21"/>
          <w:szCs w:val="21"/>
        </w:rPr>
      </w:pPr>
      <w:r>
        <w:rPr>
          <w:rFonts w:hint="eastAsia" w:ascii="宋体" w:hAnsi="宋体" w:eastAsia="宋体" w:cs="宋体"/>
          <w:sz w:val="21"/>
          <w:szCs w:val="21"/>
        </w:rPr>
        <w:t>20.2 本合同依法执行政府采购政策的方式和内容，属于合同履约验收的范围。甲乙双方</w:t>
      </w:r>
      <w:r>
        <w:rPr>
          <w:rFonts w:hint="eastAsia" w:ascii="宋体" w:hAnsi="宋体" w:eastAsia="宋体" w:cs="宋体"/>
          <w:sz w:val="21"/>
          <w:szCs w:val="21"/>
          <w:lang w:val="en-GB"/>
        </w:rPr>
        <w:t>未按规定要求执行政府采购政策造成损失的</w:t>
      </w:r>
      <w:r>
        <w:rPr>
          <w:rFonts w:hint="eastAsia" w:ascii="宋体" w:hAnsi="宋体" w:eastAsia="宋体" w:cs="宋体"/>
          <w:sz w:val="21"/>
          <w:szCs w:val="21"/>
        </w:rPr>
        <w:t>，有过错的一方应当承担赔偿责任，双方都有过错的，各自承担相应的责任。</w:t>
      </w:r>
    </w:p>
    <w:p w14:paraId="123461C4">
      <w:pPr>
        <w:pStyle w:val="13"/>
        <w:spacing w:after="0" w:line="400" w:lineRule="exact"/>
        <w:ind w:firstLine="420" w:firstLineChars="200"/>
        <w:rPr>
          <w:rFonts w:hint="eastAsia" w:ascii="宋体" w:hAnsi="宋体" w:eastAsia="宋体" w:cs="宋体"/>
          <w:sz w:val="21"/>
          <w:szCs w:val="21"/>
        </w:rPr>
      </w:pPr>
      <w:r>
        <w:rPr>
          <w:rFonts w:hint="eastAsia" w:ascii="宋体" w:hAnsi="宋体" w:eastAsia="宋体" w:cs="宋体"/>
          <w:sz w:val="21"/>
          <w:szCs w:val="21"/>
        </w:rPr>
        <w:t>20.3 对于为落实中小企业支持政策，通过采购项目整体预留、设置采购包专门预留、要求以联合体形式参加或者合同分包等措施签订的采购合同，应当明确标注本合同为中小企业预留合同。其中，要求以联合体形式参加采购活动或者合同分包的，须将联合协议或者分包意向协议作为采购合同的组成部分。</w:t>
      </w:r>
    </w:p>
    <w:p w14:paraId="3A38989B">
      <w:pPr>
        <w:autoSpaceDE w:val="0"/>
        <w:autoSpaceDN w:val="0"/>
        <w:adjustRightInd w:val="0"/>
        <w:snapToGrid w:val="0"/>
        <w:spacing w:line="400" w:lineRule="exact"/>
        <w:jc w:val="left"/>
        <w:rPr>
          <w:rFonts w:hint="eastAsia" w:ascii="宋体" w:hAnsi="宋体" w:eastAsia="宋体" w:cs="宋体"/>
          <w:b/>
          <w:sz w:val="21"/>
          <w:szCs w:val="21"/>
        </w:rPr>
      </w:pPr>
      <w:r>
        <w:rPr>
          <w:rFonts w:hint="eastAsia" w:ascii="宋体" w:hAnsi="宋体" w:eastAsia="宋体" w:cs="宋体"/>
          <w:b/>
          <w:sz w:val="21"/>
          <w:szCs w:val="21"/>
        </w:rPr>
        <w:t>21. 法律适用</w:t>
      </w:r>
    </w:p>
    <w:p w14:paraId="7F87AE6E">
      <w:pPr>
        <w:pStyle w:val="322"/>
        <w:ind w:firstLine="420"/>
        <w:jc w:val="both"/>
        <w:rPr>
          <w:rFonts w:hint="eastAsia" w:ascii="宋体" w:hAnsi="宋体" w:eastAsia="宋体" w:cs="宋体"/>
          <w:sz w:val="21"/>
          <w:szCs w:val="21"/>
        </w:rPr>
      </w:pPr>
      <w:r>
        <w:rPr>
          <w:rFonts w:hint="eastAsia" w:ascii="宋体" w:hAnsi="宋体" w:eastAsia="宋体" w:cs="宋体"/>
          <w:sz w:val="21"/>
          <w:szCs w:val="21"/>
        </w:rPr>
        <w:t>21.1 本合同的订立、生效、解释、履行及与本合同有关的争议解决，均适用法律、行政法规。</w:t>
      </w:r>
    </w:p>
    <w:p w14:paraId="2DED83E6">
      <w:pPr>
        <w:pStyle w:val="322"/>
        <w:ind w:firstLine="420"/>
        <w:jc w:val="both"/>
        <w:rPr>
          <w:rFonts w:hint="eastAsia" w:ascii="宋体" w:hAnsi="宋体" w:eastAsia="宋体" w:cs="宋体"/>
          <w:sz w:val="21"/>
          <w:szCs w:val="21"/>
        </w:rPr>
      </w:pPr>
      <w:r>
        <w:rPr>
          <w:rFonts w:hint="eastAsia" w:ascii="宋体" w:hAnsi="宋体" w:eastAsia="宋体" w:cs="宋体"/>
          <w:sz w:val="21"/>
          <w:szCs w:val="21"/>
        </w:rPr>
        <w:t>21.2 本合同条款与法律、行政法规的强制性规定不一致的，双方当事人</w:t>
      </w:r>
      <w:r>
        <w:rPr>
          <w:rFonts w:hint="eastAsia" w:ascii="宋体" w:hAnsi="宋体" w:eastAsia="宋体" w:cs="宋体"/>
          <w:sz w:val="21"/>
          <w:szCs w:val="21"/>
          <w:lang w:eastAsia="zh-CN"/>
        </w:rPr>
        <w:t>应当</w:t>
      </w:r>
      <w:r>
        <w:rPr>
          <w:rFonts w:hint="eastAsia" w:ascii="宋体" w:hAnsi="宋体" w:eastAsia="宋体" w:cs="宋体"/>
          <w:sz w:val="21"/>
          <w:szCs w:val="21"/>
        </w:rPr>
        <w:t>按照法律、行政法规的强制性规定修改本合同的相关条款。</w:t>
      </w:r>
    </w:p>
    <w:p w14:paraId="65684F66">
      <w:pPr>
        <w:autoSpaceDE w:val="0"/>
        <w:autoSpaceDN w:val="0"/>
        <w:adjustRightInd w:val="0"/>
        <w:snapToGrid w:val="0"/>
        <w:spacing w:line="400" w:lineRule="exact"/>
        <w:jc w:val="left"/>
        <w:rPr>
          <w:rFonts w:hint="eastAsia" w:ascii="宋体" w:hAnsi="宋体" w:eastAsia="宋体" w:cs="宋体"/>
          <w:b/>
          <w:sz w:val="21"/>
          <w:szCs w:val="21"/>
        </w:rPr>
      </w:pPr>
      <w:r>
        <w:rPr>
          <w:rFonts w:hint="eastAsia" w:ascii="宋体" w:hAnsi="宋体" w:eastAsia="宋体" w:cs="宋体"/>
          <w:b/>
          <w:sz w:val="21"/>
          <w:szCs w:val="21"/>
        </w:rPr>
        <w:t>22. 通知</w:t>
      </w:r>
    </w:p>
    <w:p w14:paraId="6C665033">
      <w:pPr>
        <w:pStyle w:val="322"/>
        <w:ind w:firstLine="420"/>
        <w:jc w:val="both"/>
        <w:rPr>
          <w:rFonts w:hint="eastAsia" w:ascii="宋体" w:hAnsi="宋体" w:eastAsia="宋体" w:cs="宋体"/>
          <w:sz w:val="21"/>
          <w:szCs w:val="21"/>
        </w:rPr>
      </w:pPr>
      <w:r>
        <w:rPr>
          <w:rFonts w:hint="eastAsia" w:ascii="宋体" w:hAnsi="宋体" w:eastAsia="宋体" w:cs="宋体"/>
          <w:sz w:val="21"/>
          <w:szCs w:val="21"/>
        </w:rPr>
        <w:t>22.1 本合同任何一方向对方发出的通知、信件、数据电文等，应当发送至本合同第一部分《政府采购合同协议书》所约定的通讯地址、联系人、联系电话或电子邮箱。</w:t>
      </w:r>
    </w:p>
    <w:p w14:paraId="08B4AC31">
      <w:pPr>
        <w:pStyle w:val="322"/>
        <w:ind w:firstLine="0" w:firstLineChars="0"/>
        <w:jc w:val="both"/>
        <w:rPr>
          <w:rFonts w:hint="eastAsia" w:ascii="宋体" w:hAnsi="宋体" w:eastAsia="宋体" w:cs="宋体"/>
          <w:sz w:val="21"/>
          <w:szCs w:val="21"/>
        </w:rPr>
      </w:pPr>
      <w:r>
        <w:rPr>
          <w:rFonts w:hint="eastAsia" w:ascii="宋体" w:hAnsi="宋体" w:eastAsia="宋体" w:cs="宋体"/>
          <w:sz w:val="21"/>
          <w:szCs w:val="21"/>
        </w:rPr>
        <w:t xml:space="preserve">    22.2 一方当事人变更名称、住所、联系人、联系电话或电子邮箱等信息的，应当在变更后3日内及时书面通知对方，对方实际收到变更通知前的送达仍为有效送达。</w:t>
      </w:r>
    </w:p>
    <w:p w14:paraId="1EA11198">
      <w:pPr>
        <w:adjustRightInd w:val="0"/>
        <w:snapToGrid w:val="0"/>
        <w:spacing w:line="400" w:lineRule="exact"/>
        <w:ind w:firstLine="420" w:firstLineChars="200"/>
        <w:jc w:val="left"/>
        <w:rPr>
          <w:rFonts w:hint="eastAsia" w:ascii="宋体" w:hAnsi="宋体" w:eastAsia="宋体" w:cs="宋体"/>
          <w:sz w:val="21"/>
          <w:szCs w:val="21"/>
        </w:rPr>
      </w:pPr>
      <w:r>
        <w:rPr>
          <w:rFonts w:hint="eastAsia" w:ascii="宋体" w:hAnsi="宋体" w:eastAsia="宋体" w:cs="宋体"/>
          <w:sz w:val="21"/>
          <w:szCs w:val="21"/>
        </w:rPr>
        <w:t>22.3本合同一方给另一方的通知均应采用书面形式，传真或快递送到本合同中规定的对方的地址和办理签收手续。</w:t>
      </w:r>
    </w:p>
    <w:p w14:paraId="3FD47D25">
      <w:pPr>
        <w:adjustRightInd w:val="0"/>
        <w:snapToGrid w:val="0"/>
        <w:spacing w:line="400" w:lineRule="exact"/>
        <w:ind w:firstLine="420" w:firstLineChars="200"/>
        <w:jc w:val="left"/>
        <w:rPr>
          <w:rFonts w:hint="eastAsia" w:ascii="宋体" w:hAnsi="宋体" w:eastAsia="宋体" w:cs="宋体"/>
          <w:sz w:val="21"/>
          <w:szCs w:val="21"/>
        </w:rPr>
      </w:pPr>
      <w:r>
        <w:rPr>
          <w:rFonts w:hint="eastAsia" w:ascii="宋体" w:hAnsi="宋体" w:eastAsia="宋体" w:cs="宋体"/>
          <w:sz w:val="21"/>
          <w:szCs w:val="21"/>
        </w:rPr>
        <w:t>22.4通知以送达之日或通知书中规定的生效之日起生效，两者中以较迟之日为准。</w:t>
      </w:r>
    </w:p>
    <w:p w14:paraId="7CEEB54F">
      <w:pPr>
        <w:numPr>
          <w:ilvl w:val="0"/>
          <w:numId w:val="0"/>
        </w:numPr>
        <w:adjustRightInd w:val="0"/>
        <w:snapToGrid w:val="0"/>
        <w:spacing w:line="400" w:lineRule="exact"/>
        <w:ind w:firstLine="422" w:firstLineChars="200"/>
        <w:jc w:val="left"/>
        <w:rPr>
          <w:rFonts w:hint="eastAsia" w:ascii="宋体" w:hAnsi="宋体" w:eastAsia="宋体" w:cs="宋体"/>
          <w:b/>
          <w:bCs/>
          <w:sz w:val="21"/>
          <w:szCs w:val="21"/>
        </w:rPr>
      </w:pPr>
      <w:r>
        <w:rPr>
          <w:rFonts w:hint="eastAsia" w:ascii="宋体" w:hAnsi="宋体" w:eastAsia="宋体" w:cs="宋体"/>
          <w:b/>
          <w:bCs/>
          <w:sz w:val="21"/>
          <w:szCs w:val="21"/>
          <w:lang w:val="en-US" w:eastAsia="zh-CN"/>
        </w:rPr>
        <w:t>23.</w:t>
      </w:r>
      <w:r>
        <w:rPr>
          <w:rFonts w:hint="eastAsia" w:ascii="宋体" w:hAnsi="宋体" w:eastAsia="宋体" w:cs="宋体"/>
          <w:b/>
          <w:bCs/>
          <w:sz w:val="21"/>
          <w:szCs w:val="21"/>
        </w:rPr>
        <w:t>合同未尽事项</w:t>
      </w:r>
    </w:p>
    <w:p w14:paraId="24E61325">
      <w:pPr>
        <w:adjustRightInd w:val="0"/>
        <w:snapToGrid w:val="0"/>
        <w:spacing w:line="400" w:lineRule="exact"/>
        <w:ind w:firstLine="420" w:firstLineChars="200"/>
        <w:jc w:val="left"/>
        <w:rPr>
          <w:rFonts w:hint="eastAsia" w:ascii="宋体" w:hAnsi="宋体" w:eastAsia="宋体" w:cs="宋体"/>
          <w:bCs/>
          <w:sz w:val="21"/>
          <w:szCs w:val="21"/>
        </w:rPr>
      </w:pPr>
      <w:r>
        <w:rPr>
          <w:rFonts w:hint="eastAsia" w:ascii="宋体" w:hAnsi="宋体" w:eastAsia="宋体" w:cs="宋体"/>
          <w:bCs/>
          <w:sz w:val="21"/>
          <w:szCs w:val="21"/>
        </w:rPr>
        <w:t>23.1合同未尽事项见</w:t>
      </w:r>
      <w:r>
        <w:rPr>
          <w:rFonts w:hint="eastAsia" w:ascii="宋体" w:hAnsi="宋体" w:eastAsia="宋体" w:cs="宋体"/>
          <w:b/>
          <w:sz w:val="21"/>
          <w:szCs w:val="21"/>
        </w:rPr>
        <w:t>【政府采购合同专用条款】</w:t>
      </w:r>
      <w:r>
        <w:rPr>
          <w:rFonts w:hint="eastAsia" w:ascii="宋体" w:hAnsi="宋体" w:eastAsia="宋体" w:cs="宋体"/>
          <w:bCs/>
          <w:sz w:val="21"/>
          <w:szCs w:val="21"/>
        </w:rPr>
        <w:t>。</w:t>
      </w:r>
    </w:p>
    <w:p w14:paraId="29F43F9C">
      <w:pPr>
        <w:adjustRightInd w:val="0"/>
        <w:snapToGrid w:val="0"/>
        <w:spacing w:line="400" w:lineRule="exact"/>
        <w:jc w:val="left"/>
        <w:rPr>
          <w:rFonts w:hint="eastAsia" w:ascii="宋体" w:hAnsi="宋体" w:eastAsia="宋体" w:cs="宋体"/>
          <w:sz w:val="21"/>
          <w:szCs w:val="21"/>
        </w:rPr>
      </w:pPr>
      <w:r>
        <w:rPr>
          <w:rFonts w:hint="eastAsia" w:ascii="宋体" w:hAnsi="宋体" w:eastAsia="宋体" w:cs="宋体"/>
          <w:bCs/>
          <w:sz w:val="21"/>
          <w:szCs w:val="21"/>
        </w:rPr>
        <w:t xml:space="preserve">    23.2 合同附件与合同正文具有同等的法律效力。</w:t>
      </w:r>
    </w:p>
    <w:p w14:paraId="34E18148">
      <w:pPr>
        <w:pStyle w:val="3"/>
        <w:adjustRightInd w:val="0"/>
        <w:snapToGrid w:val="0"/>
        <w:spacing w:before="156" w:beforeLines="50"/>
        <w:jc w:val="center"/>
        <w:rPr>
          <w:rFonts w:ascii="宋体" w:hAnsi="宋体"/>
          <w:sz w:val="21"/>
          <w:szCs w:val="21"/>
          <w:u w:val="single"/>
        </w:rPr>
      </w:pPr>
    </w:p>
    <w:p w14:paraId="06FF5FBC">
      <w:pPr>
        <w:spacing w:line="400" w:lineRule="exact"/>
        <w:jc w:val="left"/>
        <w:rPr>
          <w:rFonts w:hint="eastAsia" w:ascii="黑体" w:hAnsi="华文中宋" w:eastAsia="黑体"/>
          <w:sz w:val="28"/>
          <w:szCs w:val="28"/>
        </w:rPr>
      </w:pPr>
    </w:p>
    <w:p w14:paraId="70B9479C">
      <w:pPr>
        <w:pStyle w:val="186"/>
        <w:spacing w:before="156"/>
        <w:jc w:val="center"/>
        <w:rPr>
          <w:rFonts w:ascii="宋体" w:hAnsi="宋体"/>
          <w:sz w:val="21"/>
          <w:szCs w:val="21"/>
          <w:u w:val="single"/>
        </w:rPr>
      </w:pPr>
    </w:p>
    <w:p w14:paraId="58CC9D8C">
      <w:pPr>
        <w:rPr>
          <w:rFonts w:ascii="宋体" w:hAnsi="宋体"/>
          <w:sz w:val="21"/>
          <w:szCs w:val="21"/>
          <w:u w:val="single"/>
        </w:rPr>
      </w:pPr>
    </w:p>
    <w:p w14:paraId="6486FC42">
      <w:pPr>
        <w:pStyle w:val="221"/>
        <w:rPr>
          <w:rFonts w:ascii="宋体" w:hAnsi="宋体"/>
          <w:sz w:val="21"/>
          <w:szCs w:val="21"/>
          <w:u w:val="single"/>
        </w:rPr>
      </w:pPr>
    </w:p>
    <w:p w14:paraId="2BF2C822">
      <w:pPr>
        <w:rPr>
          <w:rFonts w:ascii="宋体" w:hAnsi="宋体"/>
          <w:sz w:val="21"/>
          <w:szCs w:val="21"/>
          <w:u w:val="single"/>
        </w:rPr>
      </w:pPr>
    </w:p>
    <w:p w14:paraId="73052DE1">
      <w:pPr>
        <w:pStyle w:val="221"/>
        <w:rPr>
          <w:rFonts w:ascii="宋体" w:hAnsi="宋体"/>
          <w:sz w:val="21"/>
          <w:szCs w:val="21"/>
          <w:u w:val="single"/>
        </w:rPr>
      </w:pPr>
    </w:p>
    <w:p w14:paraId="1BFD6859">
      <w:pPr>
        <w:rPr>
          <w:rFonts w:ascii="宋体" w:hAnsi="宋体"/>
          <w:sz w:val="21"/>
          <w:szCs w:val="21"/>
          <w:u w:val="single"/>
        </w:rPr>
      </w:pPr>
    </w:p>
    <w:p w14:paraId="2D4E9188">
      <w:pPr>
        <w:pStyle w:val="221"/>
        <w:rPr>
          <w:rFonts w:ascii="宋体" w:hAnsi="宋体"/>
          <w:sz w:val="21"/>
          <w:szCs w:val="21"/>
          <w:u w:val="single"/>
        </w:rPr>
      </w:pPr>
    </w:p>
    <w:p w14:paraId="6E98C612"/>
    <w:bookmarkEnd w:id="179"/>
    <w:p w14:paraId="740B6AA6">
      <w:pPr>
        <w:jc w:val="center"/>
        <w:rPr>
          <w:rFonts w:ascii="黑体" w:hAnsi="华文中宋" w:eastAsia="黑体"/>
          <w:b w:val="0"/>
          <w:bCs w:val="0"/>
          <w:color w:val="0000FF"/>
          <w:sz w:val="28"/>
          <w:szCs w:val="28"/>
        </w:rPr>
      </w:pPr>
      <w:bookmarkStart w:id="180" w:name="_Toc20313"/>
      <w:r>
        <w:rPr>
          <w:rFonts w:hint="eastAsia" w:ascii="黑体" w:hAnsi="华文中宋" w:eastAsia="黑体"/>
          <w:b w:val="0"/>
          <w:bCs w:val="0"/>
          <w:sz w:val="28"/>
          <w:szCs w:val="28"/>
        </w:rPr>
        <w:br w:type="page" w:clear="all"/>
      </w:r>
      <w:r>
        <w:rPr>
          <w:rFonts w:hint="eastAsia" w:ascii="黑体" w:hAnsi="华文中宋" w:eastAsia="黑体"/>
          <w:b w:val="0"/>
          <w:bCs w:val="0"/>
          <w:color w:val="000000"/>
          <w:sz w:val="28"/>
          <w:szCs w:val="28"/>
        </w:rPr>
        <w:t>第三节 政府采购合同专用条款</w:t>
      </w:r>
      <w:bookmarkEnd w:id="180"/>
    </w:p>
    <w:tbl>
      <w:tblPr>
        <w:tblStyle w:val="31"/>
        <w:tblW w:w="9383" w:type="dxa"/>
        <w:tblInd w:w="0" w:type="dxa"/>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Layout w:type="fixed"/>
        <w:tblCellMar>
          <w:top w:w="0" w:type="dxa"/>
          <w:left w:w="108" w:type="dxa"/>
          <w:bottom w:w="0" w:type="dxa"/>
          <w:right w:w="108" w:type="dxa"/>
        </w:tblCellMar>
      </w:tblPr>
      <w:tblGrid>
        <w:gridCol w:w="1542"/>
        <w:gridCol w:w="1895"/>
        <w:gridCol w:w="5946"/>
      </w:tblGrid>
      <w:tr w14:paraId="06ED4303">
        <w:tblPrEx>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CellMar>
            <w:top w:w="0" w:type="dxa"/>
            <w:left w:w="108" w:type="dxa"/>
            <w:bottom w:w="0" w:type="dxa"/>
            <w:right w:w="108" w:type="dxa"/>
          </w:tblCellMar>
        </w:tblPrEx>
        <w:trPr>
          <w:trHeight w:val="736" w:hRule="atLeast"/>
        </w:trPr>
        <w:tc>
          <w:tcPr>
            <w:tcW w:w="1542" w:type="dxa"/>
            <w:noWrap w:val="0"/>
            <w:vAlign w:val="center"/>
          </w:tcPr>
          <w:p w14:paraId="3666C4A5">
            <w:pPr>
              <w:jc w:val="center"/>
              <w:rPr>
                <w:rFonts w:hint="eastAsia" w:ascii="宋体" w:hAnsi="宋体" w:eastAsia="宋体" w:cs="宋体"/>
                <w:sz w:val="21"/>
                <w:szCs w:val="21"/>
              </w:rPr>
            </w:pPr>
            <w:r>
              <w:rPr>
                <w:rFonts w:hint="eastAsia" w:ascii="宋体" w:hAnsi="宋体" w:eastAsia="宋体" w:cs="宋体"/>
                <w:sz w:val="21"/>
                <w:szCs w:val="21"/>
              </w:rPr>
              <w:t>第二节</w:t>
            </w:r>
          </w:p>
          <w:p w14:paraId="6E7BED81">
            <w:pPr>
              <w:jc w:val="center"/>
              <w:rPr>
                <w:rFonts w:hint="eastAsia" w:ascii="宋体" w:hAnsi="宋体" w:eastAsia="宋体" w:cs="宋体"/>
                <w:sz w:val="21"/>
                <w:szCs w:val="21"/>
              </w:rPr>
            </w:pPr>
            <w:r>
              <w:rPr>
                <w:rFonts w:hint="eastAsia" w:ascii="宋体" w:hAnsi="宋体" w:eastAsia="宋体" w:cs="宋体"/>
                <w:sz w:val="21"/>
                <w:szCs w:val="21"/>
              </w:rPr>
              <w:t>第1.2（</w:t>
            </w:r>
            <w:r>
              <w:rPr>
                <w:rFonts w:hint="eastAsia" w:ascii="宋体" w:hAnsi="宋体" w:eastAsia="宋体" w:cs="宋体"/>
                <w:sz w:val="21"/>
                <w:szCs w:val="21"/>
                <w:lang w:val="en-US" w:eastAsia="zh-CN"/>
              </w:rPr>
              <w:t>6</w:t>
            </w:r>
            <w:r>
              <w:rPr>
                <w:rFonts w:hint="eastAsia" w:ascii="宋体" w:hAnsi="宋体" w:eastAsia="宋体" w:cs="宋体"/>
                <w:sz w:val="21"/>
                <w:szCs w:val="21"/>
              </w:rPr>
              <w:t>）项</w:t>
            </w:r>
          </w:p>
        </w:tc>
        <w:tc>
          <w:tcPr>
            <w:tcW w:w="1895" w:type="dxa"/>
            <w:noWrap w:val="0"/>
            <w:vAlign w:val="center"/>
          </w:tcPr>
          <w:p w14:paraId="697893F1">
            <w:pPr>
              <w:jc w:val="center"/>
              <w:rPr>
                <w:rFonts w:hint="eastAsia" w:ascii="宋体" w:hAnsi="宋体" w:eastAsia="宋体" w:cs="宋体"/>
                <w:sz w:val="21"/>
                <w:szCs w:val="21"/>
              </w:rPr>
            </w:pPr>
            <w:r>
              <w:rPr>
                <w:rFonts w:hint="eastAsia" w:ascii="宋体" w:hAnsi="宋体" w:eastAsia="宋体" w:cs="宋体"/>
                <w:sz w:val="21"/>
                <w:szCs w:val="21"/>
                <w:lang w:eastAsia="zh-CN"/>
              </w:rPr>
              <w:t>联合体具体要求</w:t>
            </w:r>
          </w:p>
        </w:tc>
        <w:tc>
          <w:tcPr>
            <w:tcW w:w="5946" w:type="dxa"/>
            <w:noWrap w:val="0"/>
            <w:vAlign w:val="center"/>
          </w:tcPr>
          <w:p w14:paraId="67A8257A">
            <w:pPr>
              <w:jc w:val="left"/>
              <w:rPr>
                <w:rFonts w:hint="eastAsia" w:ascii="宋体" w:hAnsi="宋体" w:eastAsia="宋体" w:cs="宋体"/>
                <w:sz w:val="21"/>
                <w:szCs w:val="21"/>
              </w:rPr>
            </w:pPr>
            <w:r>
              <w:rPr>
                <w:rFonts w:hint="eastAsia" w:ascii="宋体" w:hAnsi="宋体" w:eastAsia="宋体" w:cs="宋体"/>
                <w:sz w:val="21"/>
                <w:szCs w:val="21"/>
                <w:lang w:eastAsia="zh-CN"/>
              </w:rPr>
              <w:t>本项目不接受联合体投标</w:t>
            </w:r>
          </w:p>
        </w:tc>
      </w:tr>
      <w:tr w14:paraId="14C060B7">
        <w:tblPrEx>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CellMar>
            <w:top w:w="0" w:type="dxa"/>
            <w:left w:w="108" w:type="dxa"/>
            <w:bottom w:w="0" w:type="dxa"/>
            <w:right w:w="108" w:type="dxa"/>
          </w:tblCellMar>
        </w:tblPrEx>
        <w:trPr>
          <w:trHeight w:val="604" w:hRule="atLeast"/>
        </w:trPr>
        <w:tc>
          <w:tcPr>
            <w:tcW w:w="1542" w:type="dxa"/>
            <w:noWrap w:val="0"/>
            <w:vAlign w:val="center"/>
          </w:tcPr>
          <w:p w14:paraId="02920E18">
            <w:pPr>
              <w:jc w:val="center"/>
              <w:rPr>
                <w:rFonts w:hint="eastAsia" w:ascii="宋体" w:hAnsi="宋体" w:eastAsia="宋体" w:cs="宋体"/>
                <w:sz w:val="21"/>
                <w:szCs w:val="21"/>
              </w:rPr>
            </w:pPr>
            <w:r>
              <w:rPr>
                <w:rFonts w:hint="eastAsia" w:ascii="宋体" w:hAnsi="宋体" w:eastAsia="宋体" w:cs="宋体"/>
                <w:sz w:val="21"/>
                <w:szCs w:val="21"/>
              </w:rPr>
              <w:t>第二节</w:t>
            </w:r>
          </w:p>
          <w:p w14:paraId="5FBCD8D2">
            <w:pPr>
              <w:jc w:val="center"/>
              <w:rPr>
                <w:rFonts w:hint="eastAsia" w:ascii="宋体" w:hAnsi="宋体" w:eastAsia="宋体" w:cs="宋体"/>
                <w:sz w:val="21"/>
                <w:szCs w:val="21"/>
                <w:lang w:val="en-US" w:eastAsia="zh-CN" w:bidi="ar-SA"/>
              </w:rPr>
            </w:pPr>
            <w:r>
              <w:rPr>
                <w:rFonts w:hint="eastAsia" w:ascii="宋体" w:hAnsi="宋体" w:eastAsia="宋体" w:cs="宋体"/>
                <w:sz w:val="21"/>
                <w:szCs w:val="21"/>
              </w:rPr>
              <w:t>第1.2（</w:t>
            </w:r>
            <w:r>
              <w:rPr>
                <w:rFonts w:hint="eastAsia" w:ascii="宋体" w:hAnsi="宋体" w:eastAsia="宋体" w:cs="宋体"/>
                <w:sz w:val="21"/>
                <w:szCs w:val="21"/>
                <w:lang w:val="en-US" w:eastAsia="zh-CN"/>
              </w:rPr>
              <w:t>7</w:t>
            </w:r>
            <w:r>
              <w:rPr>
                <w:rFonts w:hint="eastAsia" w:ascii="宋体" w:hAnsi="宋体" w:eastAsia="宋体" w:cs="宋体"/>
                <w:sz w:val="21"/>
                <w:szCs w:val="21"/>
              </w:rPr>
              <w:t>）项</w:t>
            </w:r>
          </w:p>
        </w:tc>
        <w:tc>
          <w:tcPr>
            <w:tcW w:w="1895" w:type="dxa"/>
            <w:noWrap w:val="0"/>
            <w:vAlign w:val="center"/>
          </w:tcPr>
          <w:p w14:paraId="4F4E1283">
            <w:pPr>
              <w:jc w:val="center"/>
              <w:rPr>
                <w:rFonts w:hint="eastAsia" w:ascii="宋体" w:hAnsi="宋体" w:eastAsia="宋体" w:cs="宋体"/>
                <w:sz w:val="21"/>
                <w:szCs w:val="21"/>
                <w:lang w:val="en-US" w:eastAsia="zh-CN" w:bidi="ar-SA"/>
              </w:rPr>
            </w:pPr>
            <w:r>
              <w:rPr>
                <w:rFonts w:hint="eastAsia" w:ascii="宋体" w:hAnsi="宋体" w:eastAsia="宋体" w:cs="宋体"/>
                <w:sz w:val="21"/>
                <w:szCs w:val="21"/>
              </w:rPr>
              <w:t>其他术语解释</w:t>
            </w:r>
          </w:p>
        </w:tc>
        <w:tc>
          <w:tcPr>
            <w:tcW w:w="5946" w:type="dxa"/>
            <w:noWrap w:val="0"/>
            <w:vAlign w:val="center"/>
          </w:tcPr>
          <w:p w14:paraId="4CE9AC82">
            <w:pPr>
              <w:jc w:val="left"/>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无</w:t>
            </w:r>
          </w:p>
        </w:tc>
      </w:tr>
      <w:tr w14:paraId="4F60C2D0">
        <w:tblPrEx>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CellMar>
            <w:top w:w="0" w:type="dxa"/>
            <w:left w:w="108" w:type="dxa"/>
            <w:bottom w:w="0" w:type="dxa"/>
            <w:right w:w="108" w:type="dxa"/>
          </w:tblCellMar>
        </w:tblPrEx>
        <w:trPr>
          <w:trHeight w:val="736" w:hRule="atLeast"/>
        </w:trPr>
        <w:tc>
          <w:tcPr>
            <w:tcW w:w="1542" w:type="dxa"/>
            <w:noWrap w:val="0"/>
            <w:vAlign w:val="center"/>
          </w:tcPr>
          <w:p w14:paraId="2699FA2F">
            <w:pPr>
              <w:jc w:val="center"/>
              <w:rPr>
                <w:rFonts w:hint="eastAsia" w:ascii="宋体" w:hAnsi="宋体" w:eastAsia="宋体" w:cs="宋体"/>
                <w:sz w:val="21"/>
                <w:szCs w:val="21"/>
              </w:rPr>
            </w:pPr>
            <w:r>
              <w:rPr>
                <w:rFonts w:hint="eastAsia" w:ascii="宋体" w:hAnsi="宋体" w:eastAsia="宋体" w:cs="宋体"/>
                <w:sz w:val="21"/>
                <w:szCs w:val="21"/>
              </w:rPr>
              <w:t>第二节</w:t>
            </w:r>
          </w:p>
          <w:p w14:paraId="07BA5F35">
            <w:pPr>
              <w:jc w:val="center"/>
              <w:rPr>
                <w:rFonts w:hint="eastAsia" w:ascii="宋体" w:hAnsi="宋体" w:eastAsia="宋体" w:cs="宋体"/>
                <w:sz w:val="21"/>
                <w:szCs w:val="21"/>
                <w:lang w:val="en-US" w:eastAsia="zh-CN"/>
              </w:rPr>
            </w:pPr>
            <w:r>
              <w:rPr>
                <w:rFonts w:hint="eastAsia" w:ascii="宋体" w:hAnsi="宋体" w:eastAsia="宋体" w:cs="宋体"/>
                <w:sz w:val="21"/>
                <w:szCs w:val="21"/>
                <w:lang w:eastAsia="zh-CN"/>
              </w:rPr>
              <w:t>第</w:t>
            </w:r>
            <w:r>
              <w:rPr>
                <w:rFonts w:hint="eastAsia" w:ascii="宋体" w:hAnsi="宋体" w:eastAsia="宋体" w:cs="宋体"/>
                <w:sz w:val="21"/>
                <w:szCs w:val="21"/>
                <w:lang w:val="en-US" w:eastAsia="zh-CN"/>
              </w:rPr>
              <w:t>4.4款</w:t>
            </w:r>
          </w:p>
        </w:tc>
        <w:tc>
          <w:tcPr>
            <w:tcW w:w="1895" w:type="dxa"/>
            <w:noWrap w:val="0"/>
            <w:vAlign w:val="center"/>
          </w:tcPr>
          <w:p w14:paraId="6D1847DC">
            <w:pPr>
              <w:jc w:val="center"/>
              <w:rPr>
                <w:rFonts w:hint="eastAsia" w:ascii="宋体" w:hAnsi="宋体" w:eastAsia="宋体" w:cs="宋体"/>
                <w:sz w:val="21"/>
                <w:szCs w:val="21"/>
                <w:lang w:eastAsia="zh-CN"/>
              </w:rPr>
            </w:pPr>
            <w:r>
              <w:rPr>
                <w:rFonts w:hint="eastAsia" w:ascii="宋体" w:hAnsi="宋体" w:eastAsia="宋体" w:cs="宋体"/>
                <w:sz w:val="21"/>
                <w:szCs w:val="21"/>
                <w:lang w:eastAsia="zh-CN"/>
              </w:rPr>
              <w:t>履约验收中甲方提出异议或作出说明的期限</w:t>
            </w:r>
          </w:p>
        </w:tc>
        <w:tc>
          <w:tcPr>
            <w:tcW w:w="5946" w:type="dxa"/>
            <w:noWrap w:val="0"/>
            <w:vAlign w:val="center"/>
          </w:tcPr>
          <w:p w14:paraId="20EB204F">
            <w:pPr>
              <w:jc w:val="left"/>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根据招标文件和国家相关法律法规执行。</w:t>
            </w:r>
          </w:p>
        </w:tc>
      </w:tr>
      <w:tr w14:paraId="558BD533">
        <w:tblPrEx>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CellMar>
            <w:top w:w="0" w:type="dxa"/>
            <w:left w:w="108" w:type="dxa"/>
            <w:bottom w:w="0" w:type="dxa"/>
            <w:right w:w="108" w:type="dxa"/>
          </w:tblCellMar>
        </w:tblPrEx>
        <w:trPr>
          <w:trHeight w:val="736" w:hRule="atLeast"/>
        </w:trPr>
        <w:tc>
          <w:tcPr>
            <w:tcW w:w="1542" w:type="dxa"/>
            <w:noWrap w:val="0"/>
            <w:vAlign w:val="center"/>
          </w:tcPr>
          <w:p w14:paraId="6798FF0D">
            <w:pPr>
              <w:jc w:val="center"/>
              <w:rPr>
                <w:rFonts w:hint="eastAsia" w:ascii="宋体" w:hAnsi="宋体" w:eastAsia="宋体" w:cs="宋体"/>
                <w:sz w:val="21"/>
                <w:szCs w:val="21"/>
              </w:rPr>
            </w:pPr>
            <w:r>
              <w:rPr>
                <w:rFonts w:hint="eastAsia" w:ascii="宋体" w:hAnsi="宋体" w:eastAsia="宋体" w:cs="宋体"/>
                <w:sz w:val="21"/>
                <w:szCs w:val="21"/>
              </w:rPr>
              <w:t>第二节</w:t>
            </w:r>
          </w:p>
          <w:p w14:paraId="4E2BE41E">
            <w:pPr>
              <w:jc w:val="center"/>
              <w:rPr>
                <w:rFonts w:hint="eastAsia" w:ascii="宋体" w:hAnsi="宋体" w:eastAsia="宋体" w:cs="宋体"/>
                <w:sz w:val="21"/>
                <w:szCs w:val="21"/>
              </w:rPr>
            </w:pPr>
            <w:r>
              <w:rPr>
                <w:rFonts w:hint="eastAsia" w:ascii="宋体" w:hAnsi="宋体" w:eastAsia="宋体" w:cs="宋体"/>
                <w:sz w:val="21"/>
                <w:szCs w:val="21"/>
                <w:lang w:eastAsia="zh-CN"/>
              </w:rPr>
              <w:t>第</w:t>
            </w:r>
            <w:r>
              <w:rPr>
                <w:rFonts w:hint="eastAsia" w:ascii="宋体" w:hAnsi="宋体" w:eastAsia="宋体" w:cs="宋体"/>
                <w:sz w:val="21"/>
                <w:szCs w:val="21"/>
                <w:lang w:val="en-US" w:eastAsia="zh-CN"/>
              </w:rPr>
              <w:t>4.6款</w:t>
            </w:r>
          </w:p>
        </w:tc>
        <w:tc>
          <w:tcPr>
            <w:tcW w:w="1895" w:type="dxa"/>
            <w:noWrap w:val="0"/>
            <w:vAlign w:val="center"/>
          </w:tcPr>
          <w:p w14:paraId="020E6C71">
            <w:pPr>
              <w:jc w:val="center"/>
              <w:rPr>
                <w:rFonts w:hint="eastAsia" w:ascii="宋体" w:hAnsi="宋体" w:eastAsia="宋体" w:cs="宋体"/>
                <w:sz w:val="21"/>
                <w:szCs w:val="21"/>
                <w:lang w:eastAsia="zh-CN"/>
              </w:rPr>
            </w:pPr>
            <w:r>
              <w:rPr>
                <w:rFonts w:hint="eastAsia" w:ascii="宋体" w:hAnsi="宋体" w:eastAsia="宋体" w:cs="宋体"/>
                <w:sz w:val="21"/>
                <w:szCs w:val="21"/>
                <w:lang w:eastAsia="zh-CN"/>
              </w:rPr>
              <w:t>约定甲方承担的其他义务和责任</w:t>
            </w:r>
          </w:p>
        </w:tc>
        <w:tc>
          <w:tcPr>
            <w:tcW w:w="5946" w:type="dxa"/>
            <w:noWrap w:val="0"/>
            <w:vAlign w:val="center"/>
          </w:tcPr>
          <w:p w14:paraId="7ACE2371">
            <w:pPr>
              <w:jc w:val="left"/>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无</w:t>
            </w:r>
          </w:p>
        </w:tc>
      </w:tr>
      <w:tr w14:paraId="2198DE96">
        <w:tblPrEx>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CellMar>
            <w:top w:w="0" w:type="dxa"/>
            <w:left w:w="108" w:type="dxa"/>
            <w:bottom w:w="0" w:type="dxa"/>
            <w:right w:w="108" w:type="dxa"/>
          </w:tblCellMar>
        </w:tblPrEx>
        <w:trPr>
          <w:trHeight w:val="736" w:hRule="atLeast"/>
        </w:trPr>
        <w:tc>
          <w:tcPr>
            <w:tcW w:w="1542" w:type="dxa"/>
            <w:noWrap w:val="0"/>
            <w:vAlign w:val="center"/>
          </w:tcPr>
          <w:p w14:paraId="4FC13903">
            <w:pPr>
              <w:jc w:val="center"/>
              <w:rPr>
                <w:rFonts w:hint="eastAsia" w:ascii="宋体" w:hAnsi="宋体" w:eastAsia="宋体" w:cs="宋体"/>
                <w:sz w:val="21"/>
                <w:szCs w:val="21"/>
                <w:lang w:eastAsia="zh-CN"/>
              </w:rPr>
            </w:pPr>
            <w:r>
              <w:rPr>
                <w:rFonts w:hint="eastAsia" w:ascii="宋体" w:hAnsi="宋体" w:eastAsia="宋体" w:cs="宋体"/>
                <w:sz w:val="21"/>
                <w:szCs w:val="21"/>
                <w:lang w:eastAsia="zh-CN"/>
              </w:rPr>
              <w:t>第二节</w:t>
            </w:r>
          </w:p>
          <w:p w14:paraId="44108EF0">
            <w:pPr>
              <w:jc w:val="center"/>
              <w:rPr>
                <w:rFonts w:hint="eastAsia" w:ascii="宋体" w:hAnsi="宋体" w:eastAsia="宋体" w:cs="宋体"/>
                <w:sz w:val="21"/>
                <w:szCs w:val="21"/>
                <w:lang w:val="en-US" w:eastAsia="zh-CN"/>
              </w:rPr>
            </w:pPr>
            <w:r>
              <w:rPr>
                <w:rFonts w:hint="eastAsia" w:ascii="宋体" w:hAnsi="宋体" w:eastAsia="宋体" w:cs="宋体"/>
                <w:sz w:val="21"/>
                <w:szCs w:val="21"/>
                <w:lang w:eastAsia="zh-CN"/>
              </w:rPr>
              <w:t>第</w:t>
            </w:r>
            <w:r>
              <w:rPr>
                <w:rFonts w:hint="eastAsia" w:ascii="宋体" w:hAnsi="宋体" w:eastAsia="宋体" w:cs="宋体"/>
                <w:sz w:val="21"/>
                <w:szCs w:val="21"/>
                <w:lang w:val="en-US" w:eastAsia="zh-CN"/>
              </w:rPr>
              <w:t>5.4款</w:t>
            </w:r>
          </w:p>
        </w:tc>
        <w:tc>
          <w:tcPr>
            <w:tcW w:w="1895" w:type="dxa"/>
            <w:noWrap w:val="0"/>
            <w:vAlign w:val="center"/>
          </w:tcPr>
          <w:p w14:paraId="3C3EE8D0">
            <w:pPr>
              <w:jc w:val="center"/>
              <w:rPr>
                <w:rFonts w:hint="eastAsia" w:ascii="宋体" w:hAnsi="宋体" w:eastAsia="宋体" w:cs="宋体"/>
                <w:sz w:val="21"/>
                <w:szCs w:val="21"/>
                <w:lang w:eastAsia="zh-CN"/>
              </w:rPr>
            </w:pPr>
            <w:r>
              <w:rPr>
                <w:rFonts w:hint="eastAsia" w:ascii="宋体" w:hAnsi="宋体" w:eastAsia="宋体" w:cs="宋体"/>
                <w:sz w:val="21"/>
                <w:szCs w:val="21"/>
                <w:lang w:eastAsia="zh-CN"/>
              </w:rPr>
              <w:t>约定乙方承担的其他义务和责任</w:t>
            </w:r>
          </w:p>
        </w:tc>
        <w:tc>
          <w:tcPr>
            <w:tcW w:w="5946" w:type="dxa"/>
            <w:noWrap w:val="0"/>
            <w:vAlign w:val="center"/>
          </w:tcPr>
          <w:p w14:paraId="6EF474C0">
            <w:pPr>
              <w:jc w:val="left"/>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无</w:t>
            </w:r>
          </w:p>
        </w:tc>
      </w:tr>
      <w:tr w14:paraId="5A27A76D">
        <w:tblPrEx>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CellMar>
            <w:top w:w="0" w:type="dxa"/>
            <w:left w:w="108" w:type="dxa"/>
            <w:bottom w:w="0" w:type="dxa"/>
            <w:right w:w="108" w:type="dxa"/>
          </w:tblCellMar>
        </w:tblPrEx>
        <w:trPr>
          <w:trHeight w:val="736" w:hRule="atLeast"/>
        </w:trPr>
        <w:tc>
          <w:tcPr>
            <w:tcW w:w="1542" w:type="dxa"/>
            <w:noWrap w:val="0"/>
            <w:vAlign w:val="center"/>
          </w:tcPr>
          <w:p w14:paraId="69AF03BC">
            <w:pPr>
              <w:jc w:val="center"/>
              <w:rPr>
                <w:rFonts w:hint="eastAsia" w:ascii="宋体" w:hAnsi="宋体" w:eastAsia="宋体" w:cs="宋体"/>
                <w:sz w:val="21"/>
                <w:szCs w:val="21"/>
                <w:lang w:eastAsia="zh-CN"/>
              </w:rPr>
            </w:pPr>
            <w:r>
              <w:rPr>
                <w:rFonts w:hint="eastAsia" w:ascii="宋体" w:hAnsi="宋体" w:eastAsia="宋体" w:cs="宋体"/>
                <w:sz w:val="21"/>
                <w:szCs w:val="21"/>
                <w:lang w:eastAsia="zh-CN"/>
              </w:rPr>
              <w:t>第二节</w:t>
            </w:r>
          </w:p>
          <w:p w14:paraId="2AF9C342">
            <w:pPr>
              <w:jc w:val="center"/>
              <w:rPr>
                <w:rFonts w:hint="eastAsia" w:ascii="宋体" w:hAnsi="宋体" w:eastAsia="宋体" w:cs="宋体"/>
                <w:sz w:val="21"/>
                <w:szCs w:val="21"/>
                <w:lang w:eastAsia="zh-CN"/>
              </w:rPr>
            </w:pPr>
            <w:r>
              <w:rPr>
                <w:rFonts w:hint="eastAsia" w:ascii="宋体" w:hAnsi="宋体" w:eastAsia="宋体" w:cs="宋体"/>
                <w:sz w:val="21"/>
                <w:szCs w:val="21"/>
                <w:lang w:eastAsia="zh-CN"/>
              </w:rPr>
              <w:t>第</w:t>
            </w:r>
            <w:r>
              <w:rPr>
                <w:rFonts w:hint="eastAsia" w:ascii="宋体" w:hAnsi="宋体" w:eastAsia="宋体" w:cs="宋体"/>
                <w:sz w:val="21"/>
                <w:szCs w:val="21"/>
                <w:lang w:val="en-US" w:eastAsia="zh-CN"/>
              </w:rPr>
              <w:t>6.1款</w:t>
            </w:r>
          </w:p>
        </w:tc>
        <w:tc>
          <w:tcPr>
            <w:tcW w:w="1895" w:type="dxa"/>
            <w:noWrap w:val="0"/>
            <w:vAlign w:val="center"/>
          </w:tcPr>
          <w:p w14:paraId="66CB2453">
            <w:pPr>
              <w:jc w:val="center"/>
              <w:rPr>
                <w:rFonts w:hint="eastAsia" w:ascii="宋体" w:hAnsi="宋体" w:eastAsia="宋体" w:cs="宋体"/>
                <w:sz w:val="21"/>
                <w:szCs w:val="21"/>
                <w:lang w:eastAsia="zh-CN"/>
              </w:rPr>
            </w:pPr>
            <w:r>
              <w:rPr>
                <w:rFonts w:hint="eastAsia" w:ascii="宋体" w:hAnsi="宋体" w:eastAsia="宋体" w:cs="宋体"/>
                <w:sz w:val="21"/>
                <w:szCs w:val="21"/>
                <w:lang w:eastAsia="zh-CN"/>
              </w:rPr>
              <w:t>履行合同义务的顺序</w:t>
            </w:r>
          </w:p>
        </w:tc>
        <w:tc>
          <w:tcPr>
            <w:tcW w:w="5946" w:type="dxa"/>
            <w:noWrap w:val="0"/>
            <w:vAlign w:val="center"/>
          </w:tcPr>
          <w:p w14:paraId="406EE629">
            <w:pPr>
              <w:keepNext w:val="0"/>
              <w:keepLines w:val="0"/>
              <w:pageBreakBefore w:val="0"/>
              <w:widowControl w:val="0"/>
              <w:spacing w:line="400" w:lineRule="exact"/>
              <w:jc w:val="left"/>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合同签订后30日历天内供货、安装、调试完毕并交付采购人正常运行使用。</w:t>
            </w:r>
          </w:p>
        </w:tc>
      </w:tr>
      <w:tr w14:paraId="2DE35053">
        <w:tblPrEx>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CellMar>
            <w:top w:w="0" w:type="dxa"/>
            <w:left w:w="108" w:type="dxa"/>
            <w:bottom w:w="0" w:type="dxa"/>
            <w:right w:w="108" w:type="dxa"/>
          </w:tblCellMar>
        </w:tblPrEx>
        <w:trPr>
          <w:trHeight w:val="2216" w:hRule="atLeast"/>
        </w:trPr>
        <w:tc>
          <w:tcPr>
            <w:tcW w:w="1542" w:type="dxa"/>
            <w:vMerge w:val="restart"/>
            <w:noWrap w:val="0"/>
            <w:vAlign w:val="center"/>
          </w:tcPr>
          <w:p w14:paraId="64D629C1">
            <w:pPr>
              <w:jc w:val="center"/>
              <w:rPr>
                <w:rFonts w:hint="eastAsia" w:ascii="宋体" w:hAnsi="宋体" w:eastAsia="宋体" w:cs="宋体"/>
                <w:sz w:val="21"/>
                <w:szCs w:val="21"/>
              </w:rPr>
            </w:pPr>
            <w:r>
              <w:rPr>
                <w:rFonts w:hint="eastAsia" w:ascii="宋体" w:hAnsi="宋体" w:eastAsia="宋体" w:cs="宋体"/>
                <w:sz w:val="21"/>
                <w:szCs w:val="21"/>
              </w:rPr>
              <w:t>第二节</w:t>
            </w:r>
          </w:p>
          <w:p w14:paraId="32460498">
            <w:pPr>
              <w:jc w:val="center"/>
              <w:rPr>
                <w:rFonts w:hint="eastAsia" w:ascii="宋体" w:hAnsi="宋体" w:eastAsia="宋体" w:cs="宋体"/>
                <w:sz w:val="21"/>
                <w:szCs w:val="21"/>
              </w:rPr>
            </w:pPr>
            <w:r>
              <w:rPr>
                <w:rFonts w:hint="eastAsia" w:ascii="宋体" w:hAnsi="宋体" w:eastAsia="宋体" w:cs="宋体"/>
                <w:sz w:val="21"/>
                <w:szCs w:val="21"/>
              </w:rPr>
              <w:t>第</w:t>
            </w:r>
            <w:r>
              <w:rPr>
                <w:rFonts w:hint="eastAsia" w:ascii="宋体" w:hAnsi="宋体" w:eastAsia="宋体" w:cs="宋体"/>
                <w:sz w:val="21"/>
                <w:szCs w:val="21"/>
                <w:lang w:val="en-US" w:eastAsia="zh-CN"/>
              </w:rPr>
              <w:t>7</w:t>
            </w:r>
            <w:r>
              <w:rPr>
                <w:rFonts w:hint="eastAsia" w:ascii="宋体" w:hAnsi="宋体" w:eastAsia="宋体" w:cs="宋体"/>
                <w:sz w:val="21"/>
                <w:szCs w:val="21"/>
              </w:rPr>
              <w:t>.1</w:t>
            </w:r>
            <w:r>
              <w:rPr>
                <w:rFonts w:hint="eastAsia" w:ascii="宋体" w:hAnsi="宋体" w:eastAsia="宋体" w:cs="宋体"/>
                <w:sz w:val="21"/>
                <w:szCs w:val="21"/>
                <w:lang w:val="en-US" w:eastAsia="zh-CN"/>
              </w:rPr>
              <w:t>款</w:t>
            </w:r>
          </w:p>
        </w:tc>
        <w:tc>
          <w:tcPr>
            <w:tcW w:w="1895" w:type="dxa"/>
            <w:noWrap w:val="0"/>
            <w:vAlign w:val="center"/>
          </w:tcPr>
          <w:p w14:paraId="31571254">
            <w:pPr>
              <w:jc w:val="center"/>
              <w:rPr>
                <w:rFonts w:hint="eastAsia" w:ascii="宋体" w:hAnsi="宋体" w:eastAsia="宋体" w:cs="宋体"/>
                <w:sz w:val="21"/>
                <w:szCs w:val="21"/>
              </w:rPr>
            </w:pPr>
            <w:r>
              <w:rPr>
                <w:rFonts w:hint="eastAsia" w:ascii="宋体" w:hAnsi="宋体" w:eastAsia="宋体" w:cs="宋体"/>
                <w:sz w:val="21"/>
                <w:szCs w:val="21"/>
              </w:rPr>
              <w:t>包装</w:t>
            </w:r>
            <w:r>
              <w:rPr>
                <w:rFonts w:hint="eastAsia" w:ascii="宋体" w:hAnsi="宋体" w:eastAsia="宋体" w:cs="宋体"/>
                <w:sz w:val="21"/>
                <w:szCs w:val="21"/>
                <w:lang w:eastAsia="zh-CN"/>
              </w:rPr>
              <w:t>特殊要求</w:t>
            </w:r>
          </w:p>
        </w:tc>
        <w:tc>
          <w:tcPr>
            <w:tcW w:w="5946" w:type="dxa"/>
            <w:noWrap w:val="0"/>
            <w:vAlign w:val="center"/>
          </w:tcPr>
          <w:p w14:paraId="3D9FF26D">
            <w:pPr>
              <w:keepNext w:val="0"/>
              <w:keepLines w:val="0"/>
              <w:pageBreakBefore w:val="0"/>
              <w:widowControl w:val="0"/>
              <w:spacing w:line="400" w:lineRule="exact"/>
              <w:jc w:val="left"/>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1</w:t>
            </w:r>
            <w:r>
              <w:rPr>
                <w:rFonts w:hint="eastAsia" w:ascii="宋体" w:hAnsi="宋体" w:cs="宋体"/>
                <w:sz w:val="21"/>
                <w:szCs w:val="21"/>
                <w:lang w:val="en-US" w:eastAsia="zh-CN" w:bidi="ar-SA"/>
              </w:rPr>
              <w:t>.</w:t>
            </w:r>
            <w:r>
              <w:rPr>
                <w:rFonts w:hint="eastAsia" w:ascii="宋体" w:hAnsi="宋体" w:eastAsia="宋体" w:cs="宋体"/>
                <w:sz w:val="21"/>
                <w:szCs w:val="21"/>
                <w:lang w:val="en-US" w:eastAsia="zh-CN" w:bidi="ar-SA"/>
              </w:rPr>
              <w:t>符合（财办库〔2020〕123号）规定的需求。</w:t>
            </w:r>
          </w:p>
          <w:p w14:paraId="5A1D21B4">
            <w:pPr>
              <w:keepNext w:val="0"/>
              <w:keepLines w:val="0"/>
              <w:pageBreakBefore w:val="0"/>
              <w:widowControl w:val="0"/>
              <w:spacing w:line="400" w:lineRule="exact"/>
              <w:jc w:val="left"/>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2.除合同另有规定外，乙方提供的全部货物均应按标准保护措施进行包装。该包装应适应于远距离运输、防潮、防震、防锈和防野蛮装卸，以确保货物安全无损运抵指定现场。由于包装不善所引起的货物锈蚀、损坏和损失均由乙方承担。</w:t>
            </w:r>
          </w:p>
          <w:p w14:paraId="2DFCA85A">
            <w:pPr>
              <w:rPr>
                <w:rFonts w:hint="eastAsia" w:ascii="宋体" w:hAnsi="宋体" w:eastAsia="宋体" w:cs="宋体"/>
                <w:sz w:val="21"/>
                <w:szCs w:val="21"/>
                <w:lang w:eastAsia="zh-CN"/>
              </w:rPr>
            </w:pPr>
            <w:r>
              <w:rPr>
                <w:rFonts w:hint="eastAsia" w:ascii="宋体" w:hAnsi="宋体" w:eastAsia="宋体" w:cs="宋体"/>
                <w:sz w:val="21"/>
                <w:szCs w:val="21"/>
                <w:lang w:val="en-US" w:eastAsia="zh-CN" w:bidi="ar-SA"/>
              </w:rPr>
              <w:t>3.每件包装箱内应附一份详细装箱单和质量合格凭证。</w:t>
            </w:r>
          </w:p>
        </w:tc>
      </w:tr>
      <w:tr w14:paraId="6CCE2DFB">
        <w:tblPrEx>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CellMar>
            <w:top w:w="0" w:type="dxa"/>
            <w:left w:w="108" w:type="dxa"/>
            <w:bottom w:w="0" w:type="dxa"/>
            <w:right w:w="108" w:type="dxa"/>
          </w:tblCellMar>
        </w:tblPrEx>
        <w:trPr>
          <w:trHeight w:val="667" w:hRule="atLeast"/>
        </w:trPr>
        <w:tc>
          <w:tcPr>
            <w:tcW w:w="1542" w:type="dxa"/>
            <w:vMerge w:val="continue"/>
            <w:noWrap w:val="0"/>
            <w:vAlign w:val="center"/>
          </w:tcPr>
          <w:p w14:paraId="31545470">
            <w:pPr>
              <w:jc w:val="center"/>
              <w:rPr>
                <w:rFonts w:hint="eastAsia" w:ascii="宋体" w:hAnsi="宋体" w:eastAsia="宋体" w:cs="宋体"/>
                <w:sz w:val="21"/>
                <w:szCs w:val="21"/>
              </w:rPr>
            </w:pPr>
          </w:p>
        </w:tc>
        <w:tc>
          <w:tcPr>
            <w:tcW w:w="1895" w:type="dxa"/>
            <w:noWrap w:val="0"/>
            <w:vAlign w:val="center"/>
          </w:tcPr>
          <w:p w14:paraId="18CF604A">
            <w:pPr>
              <w:jc w:val="center"/>
              <w:rPr>
                <w:rFonts w:hint="eastAsia" w:ascii="宋体" w:hAnsi="宋体" w:eastAsia="宋体" w:cs="宋体"/>
                <w:sz w:val="21"/>
                <w:szCs w:val="21"/>
                <w:lang w:eastAsia="zh-CN"/>
              </w:rPr>
            </w:pPr>
            <w:r>
              <w:rPr>
                <w:rFonts w:hint="eastAsia" w:ascii="宋体" w:hAnsi="宋体" w:eastAsia="宋体" w:cs="宋体"/>
                <w:sz w:val="21"/>
                <w:szCs w:val="21"/>
                <w:lang w:eastAsia="zh-CN"/>
              </w:rPr>
              <w:t>指定现场</w:t>
            </w:r>
          </w:p>
        </w:tc>
        <w:tc>
          <w:tcPr>
            <w:tcW w:w="5946" w:type="dxa"/>
            <w:noWrap w:val="0"/>
            <w:vAlign w:val="center"/>
          </w:tcPr>
          <w:p w14:paraId="5E134F37">
            <w:pPr>
              <w:jc w:val="left"/>
              <w:rPr>
                <w:rFonts w:hint="eastAsia" w:ascii="宋体" w:hAnsi="宋体" w:eastAsia="宋体" w:cs="宋体"/>
                <w:sz w:val="21"/>
                <w:szCs w:val="21"/>
                <w:lang w:eastAsia="zh-CN"/>
              </w:rPr>
            </w:pPr>
            <w:r>
              <w:rPr>
                <w:rFonts w:hint="eastAsia" w:ascii="宋体" w:hAnsi="宋体" w:eastAsia="宋体" w:cs="宋体"/>
                <w:sz w:val="21"/>
                <w:szCs w:val="21"/>
                <w:lang w:eastAsia="zh-CN"/>
              </w:rPr>
              <w:t>阜宁县</w:t>
            </w:r>
          </w:p>
        </w:tc>
      </w:tr>
      <w:tr w14:paraId="7A51A2A2">
        <w:tblPrEx>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CellMar>
            <w:top w:w="0" w:type="dxa"/>
            <w:left w:w="108" w:type="dxa"/>
            <w:bottom w:w="0" w:type="dxa"/>
            <w:right w:w="108" w:type="dxa"/>
          </w:tblCellMar>
        </w:tblPrEx>
        <w:trPr>
          <w:trHeight w:val="2167" w:hRule="atLeast"/>
        </w:trPr>
        <w:tc>
          <w:tcPr>
            <w:tcW w:w="1542" w:type="dxa"/>
            <w:noWrap w:val="0"/>
            <w:vAlign w:val="center"/>
          </w:tcPr>
          <w:p w14:paraId="324212E9">
            <w:pPr>
              <w:jc w:val="center"/>
              <w:rPr>
                <w:rFonts w:hint="eastAsia" w:ascii="宋体" w:hAnsi="宋体" w:eastAsia="宋体" w:cs="宋体"/>
                <w:sz w:val="21"/>
                <w:szCs w:val="21"/>
              </w:rPr>
            </w:pPr>
            <w:r>
              <w:rPr>
                <w:rFonts w:hint="eastAsia" w:ascii="宋体" w:hAnsi="宋体" w:eastAsia="宋体" w:cs="宋体"/>
                <w:sz w:val="21"/>
                <w:szCs w:val="21"/>
              </w:rPr>
              <w:t>第二节</w:t>
            </w:r>
          </w:p>
          <w:p w14:paraId="42C42171">
            <w:pPr>
              <w:jc w:val="center"/>
              <w:rPr>
                <w:rFonts w:hint="eastAsia" w:ascii="宋体" w:hAnsi="宋体" w:eastAsia="宋体" w:cs="宋体"/>
                <w:sz w:val="21"/>
                <w:szCs w:val="21"/>
              </w:rPr>
            </w:pPr>
            <w:r>
              <w:rPr>
                <w:rFonts w:hint="eastAsia" w:ascii="宋体" w:hAnsi="宋体" w:eastAsia="宋体" w:cs="宋体"/>
                <w:sz w:val="21"/>
                <w:szCs w:val="21"/>
              </w:rPr>
              <w:t>第</w:t>
            </w:r>
            <w:r>
              <w:rPr>
                <w:rFonts w:hint="eastAsia" w:ascii="宋体" w:hAnsi="宋体" w:eastAsia="宋体" w:cs="宋体"/>
                <w:sz w:val="21"/>
                <w:szCs w:val="21"/>
                <w:lang w:val="en-US" w:eastAsia="zh-CN"/>
              </w:rPr>
              <w:t>7</w:t>
            </w:r>
            <w:r>
              <w:rPr>
                <w:rFonts w:hint="eastAsia" w:ascii="宋体" w:hAnsi="宋体" w:eastAsia="宋体" w:cs="宋体"/>
                <w:sz w:val="21"/>
                <w:szCs w:val="21"/>
              </w:rPr>
              <w:t>.2</w:t>
            </w:r>
            <w:r>
              <w:rPr>
                <w:rFonts w:hint="eastAsia" w:ascii="宋体" w:hAnsi="宋体" w:eastAsia="宋体" w:cs="宋体"/>
                <w:sz w:val="21"/>
                <w:szCs w:val="21"/>
                <w:lang w:val="en-US" w:eastAsia="zh-CN"/>
              </w:rPr>
              <w:t>款</w:t>
            </w:r>
          </w:p>
        </w:tc>
        <w:tc>
          <w:tcPr>
            <w:tcW w:w="1895" w:type="dxa"/>
            <w:noWrap w:val="0"/>
            <w:vAlign w:val="center"/>
          </w:tcPr>
          <w:p w14:paraId="58BEABAA">
            <w:pPr>
              <w:jc w:val="center"/>
              <w:rPr>
                <w:rFonts w:hint="eastAsia" w:ascii="宋体" w:hAnsi="宋体" w:eastAsia="宋体" w:cs="宋体"/>
                <w:sz w:val="21"/>
                <w:szCs w:val="21"/>
                <w:lang w:eastAsia="zh-CN"/>
              </w:rPr>
            </w:pPr>
            <w:r>
              <w:rPr>
                <w:rFonts w:hint="eastAsia" w:ascii="宋体" w:hAnsi="宋体" w:eastAsia="宋体" w:cs="宋体"/>
                <w:sz w:val="21"/>
                <w:szCs w:val="21"/>
                <w:lang w:eastAsia="zh-CN"/>
              </w:rPr>
              <w:t>运输特殊要求</w:t>
            </w:r>
          </w:p>
        </w:tc>
        <w:tc>
          <w:tcPr>
            <w:tcW w:w="5946" w:type="dxa"/>
            <w:noWrap w:val="0"/>
            <w:vAlign w:val="center"/>
          </w:tcPr>
          <w:p w14:paraId="7B454E3C">
            <w:pPr>
              <w:keepNext w:val="0"/>
              <w:keepLines w:val="0"/>
              <w:pageBreakBefore w:val="0"/>
              <w:widowControl w:val="0"/>
              <w:spacing w:line="400" w:lineRule="exact"/>
              <w:jc w:val="left"/>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1.货物验收合格、交付使用并提供所需单据的日期视为交货日期。</w:t>
            </w:r>
          </w:p>
          <w:p w14:paraId="7738815F">
            <w:pPr>
              <w:keepNext w:val="0"/>
              <w:keepLines w:val="0"/>
              <w:pageBreakBefore w:val="0"/>
              <w:widowControl w:val="0"/>
              <w:spacing w:line="400" w:lineRule="exact"/>
              <w:jc w:val="left"/>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2.乙方在货物发运手续办理完毕后24小时内或货到48小时前通知甲方，以准备接货。（具体时间根据双方实际需求调整）</w:t>
            </w:r>
          </w:p>
          <w:p w14:paraId="66C81B3E">
            <w:pPr>
              <w:keepNext w:val="0"/>
              <w:keepLines w:val="0"/>
              <w:pageBreakBefore w:val="0"/>
              <w:widowControl w:val="0"/>
              <w:spacing w:line="400" w:lineRule="exact"/>
              <w:jc w:val="left"/>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3.乙方装运的货物不应超过合同规定的数量或重量。乙方应对超交数量或超重而产生的一切后果负责。</w:t>
            </w:r>
          </w:p>
          <w:p w14:paraId="0F72BA19">
            <w:pPr>
              <w:jc w:val="left"/>
              <w:rPr>
                <w:rFonts w:hint="eastAsia" w:ascii="宋体" w:hAnsi="宋体" w:eastAsia="宋体" w:cs="宋体"/>
                <w:sz w:val="21"/>
                <w:szCs w:val="21"/>
                <w:lang w:eastAsia="zh-CN"/>
              </w:rPr>
            </w:pPr>
            <w:r>
              <w:rPr>
                <w:rFonts w:hint="eastAsia" w:ascii="宋体" w:hAnsi="宋体" w:eastAsia="宋体" w:cs="宋体"/>
                <w:sz w:val="21"/>
                <w:szCs w:val="21"/>
                <w:lang w:val="en-US" w:eastAsia="zh-CN" w:bidi="ar-SA"/>
              </w:rPr>
              <w:t>4.货物在交付甲方前发生的风险均由乙方负责。</w:t>
            </w:r>
          </w:p>
        </w:tc>
      </w:tr>
      <w:tr w14:paraId="32E34E3F">
        <w:tblPrEx>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CellMar>
            <w:top w:w="0" w:type="dxa"/>
            <w:left w:w="108" w:type="dxa"/>
            <w:bottom w:w="0" w:type="dxa"/>
            <w:right w:w="108" w:type="dxa"/>
          </w:tblCellMar>
        </w:tblPrEx>
        <w:trPr>
          <w:trHeight w:val="667" w:hRule="atLeast"/>
        </w:trPr>
        <w:tc>
          <w:tcPr>
            <w:tcW w:w="1542" w:type="dxa"/>
            <w:noWrap w:val="0"/>
            <w:vAlign w:val="center"/>
          </w:tcPr>
          <w:p w14:paraId="45C44443">
            <w:pPr>
              <w:jc w:val="center"/>
              <w:rPr>
                <w:rFonts w:hint="eastAsia" w:ascii="宋体" w:hAnsi="宋体" w:eastAsia="宋体" w:cs="宋体"/>
                <w:sz w:val="21"/>
                <w:szCs w:val="21"/>
              </w:rPr>
            </w:pPr>
            <w:r>
              <w:rPr>
                <w:rFonts w:hint="eastAsia" w:ascii="宋体" w:hAnsi="宋体" w:eastAsia="宋体" w:cs="宋体"/>
                <w:sz w:val="21"/>
                <w:szCs w:val="21"/>
              </w:rPr>
              <w:t>第二节</w:t>
            </w:r>
          </w:p>
          <w:p w14:paraId="2AC3AE70">
            <w:pPr>
              <w:jc w:val="center"/>
              <w:rPr>
                <w:rFonts w:hint="eastAsia" w:ascii="宋体" w:hAnsi="宋体" w:eastAsia="宋体" w:cs="宋体"/>
                <w:sz w:val="21"/>
                <w:szCs w:val="21"/>
              </w:rPr>
            </w:pPr>
            <w:r>
              <w:rPr>
                <w:rFonts w:hint="eastAsia" w:ascii="宋体" w:hAnsi="宋体" w:eastAsia="宋体" w:cs="宋体"/>
                <w:sz w:val="21"/>
                <w:szCs w:val="21"/>
              </w:rPr>
              <w:t>第</w:t>
            </w:r>
            <w:r>
              <w:rPr>
                <w:rFonts w:hint="eastAsia" w:ascii="宋体" w:hAnsi="宋体" w:eastAsia="宋体" w:cs="宋体"/>
                <w:sz w:val="21"/>
                <w:szCs w:val="21"/>
                <w:lang w:val="en-US" w:eastAsia="zh-CN"/>
              </w:rPr>
              <w:t>7</w:t>
            </w:r>
            <w:r>
              <w:rPr>
                <w:rFonts w:hint="eastAsia" w:ascii="宋体" w:hAnsi="宋体" w:eastAsia="宋体" w:cs="宋体"/>
                <w:sz w:val="21"/>
                <w:szCs w:val="21"/>
              </w:rPr>
              <w:t>.3</w:t>
            </w:r>
            <w:r>
              <w:rPr>
                <w:rFonts w:hint="eastAsia" w:ascii="宋体" w:hAnsi="宋体" w:eastAsia="宋体" w:cs="宋体"/>
                <w:sz w:val="21"/>
                <w:szCs w:val="21"/>
                <w:lang w:val="en-US" w:eastAsia="zh-CN"/>
              </w:rPr>
              <w:t>款</w:t>
            </w:r>
          </w:p>
        </w:tc>
        <w:tc>
          <w:tcPr>
            <w:tcW w:w="1895" w:type="dxa"/>
            <w:noWrap w:val="0"/>
            <w:vAlign w:val="center"/>
          </w:tcPr>
          <w:p w14:paraId="6DBE5EB4">
            <w:pPr>
              <w:jc w:val="center"/>
              <w:rPr>
                <w:rFonts w:hint="eastAsia" w:ascii="宋体" w:hAnsi="宋体" w:eastAsia="宋体" w:cs="宋体"/>
                <w:sz w:val="21"/>
                <w:szCs w:val="21"/>
                <w:lang w:eastAsia="zh-CN"/>
              </w:rPr>
            </w:pPr>
            <w:r>
              <w:rPr>
                <w:rFonts w:hint="eastAsia" w:ascii="宋体" w:hAnsi="宋体" w:eastAsia="宋体" w:cs="宋体"/>
                <w:sz w:val="21"/>
                <w:szCs w:val="21"/>
                <w:lang w:eastAsia="zh-CN"/>
              </w:rPr>
              <w:t>保险要求</w:t>
            </w:r>
          </w:p>
        </w:tc>
        <w:tc>
          <w:tcPr>
            <w:tcW w:w="5946" w:type="dxa"/>
            <w:noWrap w:val="0"/>
            <w:vAlign w:val="center"/>
          </w:tcPr>
          <w:p w14:paraId="27D6E197">
            <w:pPr>
              <w:rPr>
                <w:rFonts w:hint="eastAsia" w:ascii="宋体" w:hAnsi="宋体" w:eastAsia="宋体" w:cs="宋体"/>
                <w:sz w:val="21"/>
                <w:szCs w:val="21"/>
                <w:lang w:eastAsia="zh-CN"/>
              </w:rPr>
            </w:pPr>
            <w:r>
              <w:rPr>
                <w:rFonts w:hint="eastAsia" w:ascii="宋体" w:hAnsi="宋体" w:eastAsia="宋体" w:cs="宋体"/>
                <w:color w:val="000000"/>
                <w:sz w:val="21"/>
                <w:szCs w:val="21"/>
                <w:lang w:eastAsia="zh-CN"/>
              </w:rPr>
              <w:t>供货及售后服务期间</w:t>
            </w:r>
            <w:r>
              <w:rPr>
                <w:rFonts w:hint="eastAsia" w:ascii="宋体" w:hAnsi="宋体" w:eastAsia="宋体" w:cs="宋体"/>
                <w:color w:val="000000"/>
                <w:sz w:val="21"/>
                <w:szCs w:val="21"/>
              </w:rPr>
              <w:t>风险均由乙方负责</w:t>
            </w:r>
            <w:r>
              <w:rPr>
                <w:rFonts w:hint="eastAsia" w:ascii="宋体" w:hAnsi="宋体" w:eastAsia="宋体" w:cs="宋体"/>
                <w:color w:val="000000"/>
                <w:sz w:val="21"/>
                <w:szCs w:val="21"/>
                <w:lang w:eastAsia="zh-CN"/>
              </w:rPr>
              <w:t>，乙方自行办理相关保险手续。</w:t>
            </w:r>
          </w:p>
        </w:tc>
      </w:tr>
      <w:tr w14:paraId="2017F330">
        <w:tblPrEx>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CellMar>
            <w:top w:w="0" w:type="dxa"/>
            <w:left w:w="108" w:type="dxa"/>
            <w:bottom w:w="0" w:type="dxa"/>
            <w:right w:w="108" w:type="dxa"/>
          </w:tblCellMar>
        </w:tblPrEx>
        <w:trPr>
          <w:trHeight w:val="736" w:hRule="atLeast"/>
        </w:trPr>
        <w:tc>
          <w:tcPr>
            <w:tcW w:w="1542" w:type="dxa"/>
            <w:noWrap w:val="0"/>
            <w:vAlign w:val="center"/>
          </w:tcPr>
          <w:p w14:paraId="4894DE08">
            <w:pPr>
              <w:jc w:val="center"/>
              <w:rPr>
                <w:rFonts w:hint="eastAsia" w:ascii="宋体" w:hAnsi="宋体" w:eastAsia="宋体" w:cs="宋体"/>
                <w:sz w:val="21"/>
                <w:szCs w:val="21"/>
              </w:rPr>
            </w:pPr>
            <w:r>
              <w:rPr>
                <w:rFonts w:hint="eastAsia" w:ascii="宋体" w:hAnsi="宋体" w:eastAsia="宋体" w:cs="宋体"/>
                <w:sz w:val="21"/>
                <w:szCs w:val="21"/>
              </w:rPr>
              <w:t>第二节</w:t>
            </w:r>
          </w:p>
          <w:p w14:paraId="5E3CAB9B">
            <w:pPr>
              <w:jc w:val="center"/>
              <w:rPr>
                <w:rFonts w:hint="eastAsia" w:ascii="宋体" w:hAnsi="宋体" w:eastAsia="宋体" w:cs="宋体"/>
                <w:sz w:val="21"/>
                <w:szCs w:val="21"/>
              </w:rPr>
            </w:pPr>
            <w:r>
              <w:rPr>
                <w:rFonts w:hint="eastAsia" w:ascii="宋体" w:hAnsi="宋体" w:eastAsia="宋体" w:cs="宋体"/>
                <w:sz w:val="21"/>
                <w:szCs w:val="21"/>
              </w:rPr>
              <w:t>第</w:t>
            </w:r>
            <w:r>
              <w:rPr>
                <w:rFonts w:hint="eastAsia" w:ascii="宋体" w:hAnsi="宋体" w:eastAsia="宋体" w:cs="宋体"/>
                <w:sz w:val="21"/>
                <w:szCs w:val="21"/>
                <w:lang w:val="en-US" w:eastAsia="zh-CN"/>
              </w:rPr>
              <w:t>8</w:t>
            </w:r>
            <w:r>
              <w:rPr>
                <w:rFonts w:hint="eastAsia" w:ascii="宋体" w:hAnsi="宋体" w:eastAsia="宋体" w:cs="宋体"/>
                <w:sz w:val="21"/>
                <w:szCs w:val="21"/>
              </w:rPr>
              <w:t>.2（1）项</w:t>
            </w:r>
          </w:p>
        </w:tc>
        <w:tc>
          <w:tcPr>
            <w:tcW w:w="1895" w:type="dxa"/>
            <w:noWrap w:val="0"/>
            <w:vAlign w:val="center"/>
          </w:tcPr>
          <w:p w14:paraId="6B895837">
            <w:pPr>
              <w:jc w:val="center"/>
              <w:rPr>
                <w:rFonts w:hint="eastAsia" w:ascii="宋体" w:hAnsi="宋体" w:eastAsia="宋体" w:cs="宋体"/>
                <w:sz w:val="21"/>
                <w:szCs w:val="21"/>
              </w:rPr>
            </w:pPr>
            <w:r>
              <w:rPr>
                <w:rFonts w:hint="eastAsia" w:ascii="宋体" w:hAnsi="宋体" w:eastAsia="宋体" w:cs="宋体"/>
                <w:sz w:val="21"/>
                <w:szCs w:val="21"/>
                <w:lang w:eastAsia="zh-CN"/>
              </w:rPr>
              <w:t>质量保证期</w:t>
            </w:r>
          </w:p>
        </w:tc>
        <w:tc>
          <w:tcPr>
            <w:tcW w:w="5946" w:type="dxa"/>
            <w:noWrap w:val="0"/>
            <w:vAlign w:val="center"/>
          </w:tcPr>
          <w:p w14:paraId="4E83EDCC">
            <w:pPr>
              <w:rPr>
                <w:rFonts w:hint="eastAsia" w:ascii="宋体" w:hAnsi="宋体" w:eastAsia="宋体" w:cs="宋体"/>
                <w:sz w:val="21"/>
                <w:szCs w:val="21"/>
                <w:lang w:val="en-US" w:eastAsia="zh-CN"/>
              </w:rPr>
            </w:pPr>
            <w:r>
              <w:rPr>
                <w:rFonts w:hint="eastAsia" w:ascii="宋体" w:hAnsi="宋体" w:eastAsia="宋体" w:cs="宋体"/>
                <w:color w:val="000000"/>
                <w:sz w:val="21"/>
                <w:szCs w:val="21"/>
                <w:lang w:eastAsia="zh-CN"/>
              </w:rPr>
              <w:t>底盘车不少于两年或50000公里</w:t>
            </w:r>
            <w:r>
              <w:rPr>
                <w:rFonts w:hint="eastAsia" w:ascii="宋体" w:hAnsi="宋体" w:cs="宋体"/>
                <w:color w:val="000000"/>
                <w:sz w:val="21"/>
                <w:szCs w:val="21"/>
                <w:lang w:eastAsia="zh-CN"/>
              </w:rPr>
              <w:t>（</w:t>
            </w:r>
            <w:r>
              <w:rPr>
                <w:rFonts w:hint="eastAsia" w:ascii="宋体" w:hAnsi="宋体" w:cs="宋体"/>
                <w:color w:val="000000"/>
                <w:sz w:val="21"/>
                <w:szCs w:val="21"/>
                <w:lang w:val="en-US" w:eastAsia="zh-CN"/>
              </w:rPr>
              <w:t>以先到指标为准）</w:t>
            </w:r>
            <w:r>
              <w:rPr>
                <w:rFonts w:hint="eastAsia" w:ascii="宋体" w:hAnsi="宋体" w:eastAsia="宋体" w:cs="宋体"/>
                <w:color w:val="000000"/>
                <w:sz w:val="21"/>
                <w:szCs w:val="21"/>
                <w:lang w:eastAsia="zh-CN"/>
              </w:rPr>
              <w:t>，医疗舱提供不少于1年的质保期。</w:t>
            </w:r>
          </w:p>
        </w:tc>
      </w:tr>
      <w:tr w14:paraId="3D5E7043">
        <w:tblPrEx>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CellMar>
            <w:top w:w="0" w:type="dxa"/>
            <w:left w:w="108" w:type="dxa"/>
            <w:bottom w:w="0" w:type="dxa"/>
            <w:right w:w="108" w:type="dxa"/>
          </w:tblCellMar>
        </w:tblPrEx>
        <w:trPr>
          <w:trHeight w:val="736" w:hRule="atLeast"/>
        </w:trPr>
        <w:tc>
          <w:tcPr>
            <w:tcW w:w="1542" w:type="dxa"/>
            <w:noWrap w:val="0"/>
            <w:vAlign w:val="center"/>
          </w:tcPr>
          <w:p w14:paraId="22415D73">
            <w:pPr>
              <w:jc w:val="center"/>
              <w:rPr>
                <w:rFonts w:hint="eastAsia" w:ascii="宋体" w:hAnsi="宋体" w:eastAsia="宋体" w:cs="宋体"/>
                <w:sz w:val="21"/>
                <w:szCs w:val="21"/>
              </w:rPr>
            </w:pPr>
            <w:r>
              <w:rPr>
                <w:rFonts w:hint="eastAsia" w:ascii="宋体" w:hAnsi="宋体" w:eastAsia="宋体" w:cs="宋体"/>
                <w:sz w:val="21"/>
                <w:szCs w:val="21"/>
              </w:rPr>
              <w:t>第二节</w:t>
            </w:r>
          </w:p>
          <w:p w14:paraId="57802E0D">
            <w:pPr>
              <w:jc w:val="center"/>
              <w:rPr>
                <w:rFonts w:hint="eastAsia" w:ascii="宋体" w:hAnsi="宋体" w:eastAsia="宋体" w:cs="宋体"/>
                <w:sz w:val="21"/>
                <w:szCs w:val="21"/>
              </w:rPr>
            </w:pPr>
            <w:r>
              <w:rPr>
                <w:rFonts w:hint="eastAsia" w:ascii="宋体" w:hAnsi="宋体" w:eastAsia="宋体" w:cs="宋体"/>
                <w:sz w:val="21"/>
                <w:szCs w:val="21"/>
              </w:rPr>
              <w:t>第</w:t>
            </w:r>
            <w:r>
              <w:rPr>
                <w:rFonts w:hint="eastAsia" w:ascii="宋体" w:hAnsi="宋体" w:eastAsia="宋体" w:cs="宋体"/>
                <w:sz w:val="21"/>
                <w:szCs w:val="21"/>
                <w:lang w:val="en-US" w:eastAsia="zh-CN"/>
              </w:rPr>
              <w:t>8</w:t>
            </w:r>
            <w:r>
              <w:rPr>
                <w:rFonts w:hint="eastAsia" w:ascii="宋体" w:hAnsi="宋体" w:eastAsia="宋体" w:cs="宋体"/>
                <w:sz w:val="21"/>
                <w:szCs w:val="21"/>
              </w:rPr>
              <w:t>.2（3）项</w:t>
            </w:r>
          </w:p>
        </w:tc>
        <w:tc>
          <w:tcPr>
            <w:tcW w:w="1895" w:type="dxa"/>
            <w:noWrap w:val="0"/>
            <w:vAlign w:val="center"/>
          </w:tcPr>
          <w:p w14:paraId="1FFA8CBE">
            <w:pPr>
              <w:jc w:val="center"/>
              <w:rPr>
                <w:rFonts w:hint="eastAsia" w:ascii="宋体" w:hAnsi="宋体" w:eastAsia="宋体" w:cs="宋体"/>
                <w:sz w:val="21"/>
                <w:szCs w:val="21"/>
                <w:lang w:eastAsia="zh-CN"/>
              </w:rPr>
            </w:pPr>
            <w:r>
              <w:rPr>
                <w:rFonts w:hint="eastAsia" w:ascii="宋体" w:hAnsi="宋体" w:eastAsia="宋体" w:cs="宋体"/>
                <w:sz w:val="21"/>
                <w:szCs w:val="21"/>
                <w:lang w:eastAsia="zh-CN"/>
              </w:rPr>
              <w:t>货物质量缺陷</w:t>
            </w:r>
          </w:p>
          <w:p w14:paraId="621F6398">
            <w:pPr>
              <w:jc w:val="center"/>
              <w:rPr>
                <w:rFonts w:hint="eastAsia" w:ascii="宋体" w:hAnsi="宋体" w:eastAsia="宋体" w:cs="宋体"/>
                <w:sz w:val="21"/>
                <w:szCs w:val="21"/>
              </w:rPr>
            </w:pPr>
            <w:r>
              <w:rPr>
                <w:rFonts w:hint="eastAsia" w:ascii="宋体" w:hAnsi="宋体" w:eastAsia="宋体" w:cs="宋体"/>
                <w:sz w:val="21"/>
                <w:szCs w:val="21"/>
              </w:rPr>
              <w:t>响应时间</w:t>
            </w:r>
          </w:p>
        </w:tc>
        <w:tc>
          <w:tcPr>
            <w:tcW w:w="5946" w:type="dxa"/>
            <w:noWrap w:val="0"/>
            <w:vAlign w:val="center"/>
          </w:tcPr>
          <w:p w14:paraId="7A01395B">
            <w:pPr>
              <w:jc w:val="left"/>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1小时</w:t>
            </w:r>
          </w:p>
        </w:tc>
      </w:tr>
      <w:tr w14:paraId="2DD37989">
        <w:tblPrEx>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CellMar>
            <w:top w:w="0" w:type="dxa"/>
            <w:left w:w="108" w:type="dxa"/>
            <w:bottom w:w="0" w:type="dxa"/>
            <w:right w:w="108" w:type="dxa"/>
          </w:tblCellMar>
        </w:tblPrEx>
        <w:trPr>
          <w:trHeight w:val="736" w:hRule="atLeast"/>
        </w:trPr>
        <w:tc>
          <w:tcPr>
            <w:tcW w:w="1542" w:type="dxa"/>
            <w:noWrap w:val="0"/>
            <w:vAlign w:val="center"/>
          </w:tcPr>
          <w:p w14:paraId="065FF7DD">
            <w:pPr>
              <w:jc w:val="center"/>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第二节</w:t>
            </w:r>
          </w:p>
          <w:p w14:paraId="707D118B">
            <w:pPr>
              <w:pStyle w:val="322"/>
              <w:ind w:firstLine="0"/>
              <w:jc w:val="center"/>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第11.1款</w:t>
            </w:r>
          </w:p>
        </w:tc>
        <w:tc>
          <w:tcPr>
            <w:tcW w:w="1895" w:type="dxa"/>
            <w:noWrap w:val="0"/>
            <w:vAlign w:val="center"/>
          </w:tcPr>
          <w:p w14:paraId="6622FA5C">
            <w:pPr>
              <w:jc w:val="center"/>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其他应当保密的信息</w:t>
            </w:r>
          </w:p>
        </w:tc>
        <w:tc>
          <w:tcPr>
            <w:tcW w:w="5946" w:type="dxa"/>
            <w:noWrap w:val="0"/>
            <w:vAlign w:val="center"/>
          </w:tcPr>
          <w:p w14:paraId="53FFC554">
            <w:pPr>
              <w:jc w:val="left"/>
              <w:rPr>
                <w:rFonts w:hint="eastAsia" w:ascii="宋体" w:hAnsi="宋体" w:eastAsia="宋体" w:cs="宋体"/>
                <w:sz w:val="21"/>
                <w:szCs w:val="21"/>
                <w:lang w:eastAsia="zh-CN"/>
              </w:rPr>
            </w:pPr>
            <w:r>
              <w:rPr>
                <w:rFonts w:hint="eastAsia" w:ascii="宋体" w:hAnsi="宋体" w:eastAsia="宋体" w:cs="宋体"/>
                <w:sz w:val="21"/>
                <w:szCs w:val="21"/>
                <w:lang w:eastAsia="zh-CN"/>
              </w:rPr>
              <w:t>无</w:t>
            </w:r>
          </w:p>
        </w:tc>
      </w:tr>
      <w:tr w14:paraId="0F1E94F9">
        <w:tblPrEx>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CellMar>
            <w:top w:w="0" w:type="dxa"/>
            <w:left w:w="108" w:type="dxa"/>
            <w:bottom w:w="0" w:type="dxa"/>
            <w:right w:w="108" w:type="dxa"/>
          </w:tblCellMar>
        </w:tblPrEx>
        <w:trPr>
          <w:trHeight w:val="1102" w:hRule="atLeast"/>
        </w:trPr>
        <w:tc>
          <w:tcPr>
            <w:tcW w:w="1542" w:type="dxa"/>
            <w:noWrap w:val="0"/>
            <w:vAlign w:val="center"/>
          </w:tcPr>
          <w:p w14:paraId="7BB9F9F9">
            <w:pPr>
              <w:jc w:val="center"/>
              <w:rPr>
                <w:rFonts w:hint="eastAsia" w:ascii="宋体" w:hAnsi="宋体" w:eastAsia="宋体" w:cs="宋体"/>
                <w:sz w:val="21"/>
                <w:szCs w:val="21"/>
              </w:rPr>
            </w:pPr>
            <w:r>
              <w:rPr>
                <w:rFonts w:hint="eastAsia" w:ascii="宋体" w:hAnsi="宋体" w:eastAsia="宋体" w:cs="宋体"/>
                <w:sz w:val="21"/>
                <w:szCs w:val="21"/>
              </w:rPr>
              <w:t>第二节</w:t>
            </w:r>
          </w:p>
          <w:p w14:paraId="4622E3D4">
            <w:pPr>
              <w:jc w:val="center"/>
              <w:rPr>
                <w:rFonts w:hint="eastAsia" w:ascii="宋体" w:hAnsi="宋体" w:eastAsia="宋体" w:cs="宋体"/>
                <w:sz w:val="21"/>
                <w:szCs w:val="21"/>
              </w:rPr>
            </w:pPr>
            <w:r>
              <w:rPr>
                <w:rFonts w:hint="eastAsia" w:ascii="宋体" w:hAnsi="宋体" w:eastAsia="宋体" w:cs="宋体"/>
                <w:sz w:val="21"/>
                <w:szCs w:val="21"/>
              </w:rPr>
              <w:t>第1</w:t>
            </w:r>
            <w:r>
              <w:rPr>
                <w:rFonts w:hint="eastAsia" w:ascii="宋体" w:hAnsi="宋体" w:eastAsia="宋体" w:cs="宋体"/>
                <w:sz w:val="21"/>
                <w:szCs w:val="21"/>
                <w:lang w:val="en-US" w:eastAsia="zh-CN"/>
              </w:rPr>
              <w:t>2</w:t>
            </w:r>
            <w:r>
              <w:rPr>
                <w:rFonts w:hint="eastAsia" w:ascii="宋体" w:hAnsi="宋体" w:eastAsia="宋体" w:cs="宋体"/>
                <w:sz w:val="21"/>
                <w:szCs w:val="21"/>
              </w:rPr>
              <w:t>.2款</w:t>
            </w:r>
          </w:p>
        </w:tc>
        <w:tc>
          <w:tcPr>
            <w:tcW w:w="1895" w:type="dxa"/>
            <w:noWrap w:val="0"/>
            <w:vAlign w:val="center"/>
          </w:tcPr>
          <w:p w14:paraId="5D36342D">
            <w:pPr>
              <w:jc w:val="center"/>
              <w:rPr>
                <w:rFonts w:hint="eastAsia" w:ascii="宋体" w:hAnsi="宋体" w:eastAsia="宋体" w:cs="宋体"/>
                <w:sz w:val="21"/>
                <w:szCs w:val="21"/>
                <w:lang w:eastAsia="zh-CN"/>
              </w:rPr>
            </w:pPr>
            <w:r>
              <w:rPr>
                <w:rFonts w:hint="eastAsia" w:ascii="宋体" w:hAnsi="宋体" w:eastAsia="宋体" w:cs="宋体"/>
                <w:sz w:val="21"/>
                <w:szCs w:val="21"/>
              </w:rPr>
              <w:t>合同价款支付</w:t>
            </w:r>
            <w:r>
              <w:rPr>
                <w:rFonts w:hint="eastAsia" w:ascii="宋体" w:hAnsi="宋体" w:eastAsia="宋体" w:cs="宋体"/>
                <w:sz w:val="21"/>
                <w:szCs w:val="21"/>
                <w:lang w:eastAsia="zh-CN"/>
              </w:rPr>
              <w:t>时间</w:t>
            </w:r>
          </w:p>
        </w:tc>
        <w:tc>
          <w:tcPr>
            <w:tcW w:w="5946" w:type="dxa"/>
            <w:noWrap w:val="0"/>
            <w:vAlign w:val="center"/>
          </w:tcPr>
          <w:p w14:paraId="13A55D97">
            <w:pPr>
              <w:jc w:val="left"/>
              <w:rPr>
                <w:rFonts w:hint="eastAsia" w:ascii="宋体" w:hAnsi="宋体" w:eastAsia="宋体" w:cs="宋体"/>
                <w:sz w:val="21"/>
                <w:szCs w:val="21"/>
                <w:lang w:eastAsia="zh-CN"/>
              </w:rPr>
            </w:pPr>
            <w:r>
              <w:rPr>
                <w:rFonts w:hint="eastAsia" w:ascii="宋体" w:hAnsi="宋体" w:eastAsia="宋体" w:cs="宋体"/>
                <w:sz w:val="21"/>
                <w:szCs w:val="21"/>
                <w:lang w:eastAsia="zh-CN"/>
              </w:rPr>
              <w:t>按照招标文件相关要求执行</w:t>
            </w:r>
          </w:p>
        </w:tc>
      </w:tr>
      <w:tr w14:paraId="3A971E5E">
        <w:tblPrEx>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CellMar>
            <w:top w:w="0" w:type="dxa"/>
            <w:left w:w="108" w:type="dxa"/>
            <w:bottom w:w="0" w:type="dxa"/>
            <w:right w:w="108" w:type="dxa"/>
          </w:tblCellMar>
        </w:tblPrEx>
        <w:trPr>
          <w:trHeight w:val="697" w:hRule="atLeast"/>
        </w:trPr>
        <w:tc>
          <w:tcPr>
            <w:tcW w:w="1542" w:type="dxa"/>
            <w:noWrap w:val="0"/>
            <w:vAlign w:val="center"/>
          </w:tcPr>
          <w:p w14:paraId="631DDD26">
            <w:pPr>
              <w:jc w:val="center"/>
              <w:rPr>
                <w:rFonts w:hint="eastAsia" w:ascii="宋体" w:hAnsi="宋体" w:eastAsia="宋体" w:cs="宋体"/>
                <w:sz w:val="21"/>
                <w:szCs w:val="21"/>
              </w:rPr>
            </w:pPr>
            <w:r>
              <w:rPr>
                <w:rFonts w:hint="eastAsia" w:ascii="宋体" w:hAnsi="宋体" w:eastAsia="宋体" w:cs="宋体"/>
                <w:sz w:val="21"/>
                <w:szCs w:val="21"/>
              </w:rPr>
              <w:t>第二节</w:t>
            </w:r>
          </w:p>
          <w:p w14:paraId="7D022B36">
            <w:pPr>
              <w:jc w:val="center"/>
              <w:rPr>
                <w:rFonts w:hint="eastAsia" w:ascii="宋体" w:hAnsi="宋体" w:eastAsia="宋体" w:cs="宋体"/>
                <w:sz w:val="21"/>
                <w:szCs w:val="21"/>
              </w:rPr>
            </w:pPr>
            <w:r>
              <w:rPr>
                <w:rFonts w:hint="eastAsia" w:ascii="宋体" w:hAnsi="宋体" w:eastAsia="宋体" w:cs="宋体"/>
                <w:sz w:val="21"/>
                <w:szCs w:val="21"/>
              </w:rPr>
              <w:t>第</w:t>
            </w:r>
            <w:r>
              <w:rPr>
                <w:rFonts w:hint="eastAsia" w:ascii="宋体" w:hAnsi="宋体" w:eastAsia="宋体" w:cs="宋体"/>
                <w:sz w:val="21"/>
                <w:szCs w:val="21"/>
                <w:lang w:val="en-US" w:eastAsia="zh-CN"/>
              </w:rPr>
              <w:t>13.2</w:t>
            </w:r>
            <w:r>
              <w:rPr>
                <w:rFonts w:hint="eastAsia" w:ascii="宋体" w:hAnsi="宋体" w:eastAsia="宋体" w:cs="宋体"/>
                <w:sz w:val="21"/>
                <w:szCs w:val="21"/>
              </w:rPr>
              <w:t>款</w:t>
            </w:r>
          </w:p>
        </w:tc>
        <w:tc>
          <w:tcPr>
            <w:tcW w:w="1895" w:type="dxa"/>
            <w:noWrap w:val="0"/>
            <w:vAlign w:val="center"/>
          </w:tcPr>
          <w:p w14:paraId="516C39BF">
            <w:pPr>
              <w:jc w:val="center"/>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履约保证金不予退还的情形</w:t>
            </w:r>
          </w:p>
        </w:tc>
        <w:tc>
          <w:tcPr>
            <w:tcW w:w="5946" w:type="dxa"/>
            <w:noWrap w:val="0"/>
            <w:vAlign w:val="center"/>
          </w:tcPr>
          <w:p w14:paraId="33D739A6">
            <w:pPr>
              <w:keepNext w:val="0"/>
              <w:keepLines w:val="0"/>
              <w:pageBreakBefore w:val="0"/>
              <w:widowControl w:val="0"/>
              <w:spacing w:line="320" w:lineRule="exact"/>
              <w:ind w:firstLine="420"/>
              <w:rPr>
                <w:rFonts w:hint="eastAsia" w:ascii="宋体" w:hAnsi="宋体" w:eastAsia="宋体" w:cs="宋体"/>
                <w:sz w:val="21"/>
                <w:szCs w:val="21"/>
              </w:rPr>
            </w:pPr>
            <w:r>
              <w:rPr>
                <w:rFonts w:hint="eastAsia" w:ascii="宋体" w:hAnsi="宋体" w:eastAsia="宋体" w:cs="宋体"/>
                <w:sz w:val="21"/>
                <w:szCs w:val="21"/>
              </w:rPr>
              <w:t>除不可抗力情况外，投标人出现下列情形之一的，其履约保证金，招标人将视情节决定不予退还或部分不予退还。</w:t>
            </w:r>
          </w:p>
          <w:p w14:paraId="396A35B7">
            <w:pPr>
              <w:keepNext w:val="0"/>
              <w:keepLines w:val="0"/>
              <w:pageBreakBefore w:val="0"/>
              <w:widowControl w:val="0"/>
              <w:spacing w:line="320" w:lineRule="exact"/>
              <w:ind w:firstLine="210"/>
              <w:rPr>
                <w:rFonts w:hint="eastAsia" w:ascii="宋体" w:hAnsi="宋体" w:eastAsia="宋体" w:cs="宋体"/>
                <w:sz w:val="21"/>
                <w:szCs w:val="21"/>
              </w:rPr>
            </w:pPr>
            <w:r>
              <w:rPr>
                <w:rFonts w:hint="eastAsia" w:ascii="宋体" w:hAnsi="宋体" w:eastAsia="宋体" w:cs="宋体"/>
                <w:sz w:val="21"/>
                <w:szCs w:val="21"/>
              </w:rPr>
              <w:t>（1）中标人无正当理由拒绝签订合同的，或者在签订合同时向采购人提出附加条件或者更改合同实质性内容要求的；</w:t>
            </w:r>
          </w:p>
          <w:p w14:paraId="04A968A4">
            <w:pPr>
              <w:keepNext w:val="0"/>
              <w:keepLines w:val="0"/>
              <w:pageBreakBefore w:val="0"/>
              <w:widowControl w:val="0"/>
              <w:spacing w:line="320" w:lineRule="exact"/>
              <w:ind w:firstLine="210"/>
              <w:rPr>
                <w:rFonts w:hint="eastAsia" w:ascii="宋体" w:hAnsi="宋体" w:eastAsia="宋体" w:cs="宋体"/>
                <w:sz w:val="21"/>
                <w:szCs w:val="21"/>
              </w:rPr>
            </w:pPr>
            <w:r>
              <w:rPr>
                <w:rFonts w:hint="eastAsia" w:ascii="宋体" w:hAnsi="宋体" w:eastAsia="宋体" w:cs="宋体"/>
                <w:sz w:val="21"/>
                <w:szCs w:val="21"/>
              </w:rPr>
              <w:t>（2）中标人不履行与采购人订立的合同的；</w:t>
            </w:r>
          </w:p>
          <w:p w14:paraId="5A051D33">
            <w:pPr>
              <w:keepNext w:val="0"/>
              <w:keepLines w:val="0"/>
              <w:pageBreakBefore w:val="0"/>
              <w:widowControl w:val="0"/>
              <w:spacing w:line="320" w:lineRule="exact"/>
              <w:ind w:firstLine="210"/>
              <w:rPr>
                <w:rFonts w:hint="eastAsia" w:ascii="宋体" w:hAnsi="宋体" w:eastAsia="宋体" w:cs="宋体"/>
                <w:sz w:val="21"/>
                <w:szCs w:val="21"/>
              </w:rPr>
            </w:pPr>
            <w:r>
              <w:rPr>
                <w:rFonts w:hint="eastAsia" w:ascii="宋体" w:hAnsi="宋体" w:eastAsia="宋体" w:cs="宋体"/>
                <w:sz w:val="21"/>
                <w:szCs w:val="21"/>
              </w:rPr>
              <w:t>（3）中标人所供货物或服务不符合招标文件规定要求的；</w:t>
            </w:r>
          </w:p>
          <w:p w14:paraId="61933447">
            <w:pPr>
              <w:keepNext w:val="0"/>
              <w:keepLines w:val="0"/>
              <w:pageBreakBefore w:val="0"/>
              <w:widowControl w:val="0"/>
              <w:spacing w:line="320" w:lineRule="exact"/>
              <w:ind w:firstLine="210"/>
              <w:rPr>
                <w:rFonts w:hint="eastAsia" w:ascii="宋体" w:hAnsi="宋体" w:eastAsia="宋体" w:cs="宋体"/>
                <w:sz w:val="21"/>
                <w:szCs w:val="21"/>
              </w:rPr>
            </w:pPr>
            <w:r>
              <w:rPr>
                <w:rFonts w:hint="eastAsia" w:ascii="宋体" w:hAnsi="宋体" w:eastAsia="宋体" w:cs="宋体"/>
                <w:sz w:val="21"/>
                <w:szCs w:val="21"/>
              </w:rPr>
              <w:t>（4）中标人采取欺骗、弄虚作假方式投标的或与</w:t>
            </w:r>
            <w:r>
              <w:rPr>
                <w:rFonts w:hint="eastAsia" w:ascii="宋体" w:hAnsi="宋体" w:cs="宋体"/>
                <w:sz w:val="21"/>
                <w:szCs w:val="21"/>
                <w:lang w:eastAsia="zh-CN"/>
              </w:rPr>
              <w:t>其他</w:t>
            </w:r>
            <w:r>
              <w:rPr>
                <w:rFonts w:hint="eastAsia" w:ascii="宋体" w:hAnsi="宋体" w:eastAsia="宋体" w:cs="宋体"/>
                <w:sz w:val="21"/>
                <w:szCs w:val="21"/>
              </w:rPr>
              <w:t>投标人串通投标的；</w:t>
            </w:r>
          </w:p>
          <w:p w14:paraId="275157AF">
            <w:pPr>
              <w:keepNext w:val="0"/>
              <w:keepLines w:val="0"/>
              <w:pageBreakBefore w:val="0"/>
              <w:widowControl w:val="0"/>
              <w:spacing w:line="320" w:lineRule="exact"/>
              <w:ind w:firstLine="210"/>
              <w:rPr>
                <w:rFonts w:hint="eastAsia" w:ascii="宋体" w:hAnsi="宋体" w:eastAsia="宋体" w:cs="宋体"/>
                <w:sz w:val="21"/>
                <w:szCs w:val="21"/>
              </w:rPr>
            </w:pPr>
            <w:r>
              <w:rPr>
                <w:rFonts w:hint="eastAsia" w:ascii="宋体" w:hAnsi="宋体" w:eastAsia="宋体" w:cs="宋体"/>
                <w:sz w:val="21"/>
                <w:szCs w:val="21"/>
              </w:rPr>
              <w:t>（5）中标人将合同内容转包、违法分包的；</w:t>
            </w:r>
          </w:p>
          <w:p w14:paraId="36E0A312">
            <w:pPr>
              <w:keepNext w:val="0"/>
              <w:keepLines w:val="0"/>
              <w:pageBreakBefore w:val="0"/>
              <w:widowControl w:val="0"/>
              <w:spacing w:line="320" w:lineRule="exact"/>
              <w:ind w:firstLine="210"/>
              <w:rPr>
                <w:rFonts w:hint="eastAsia" w:ascii="宋体" w:hAnsi="宋体" w:eastAsia="宋体" w:cs="宋体"/>
                <w:sz w:val="21"/>
                <w:szCs w:val="21"/>
              </w:rPr>
            </w:pPr>
            <w:r>
              <w:rPr>
                <w:rFonts w:hint="eastAsia" w:ascii="宋体" w:hAnsi="宋体" w:eastAsia="宋体" w:cs="宋体"/>
                <w:sz w:val="21"/>
                <w:szCs w:val="21"/>
              </w:rPr>
              <w:t>（6）中标人故意捏造事实或伪造证明材料，进行虚假恶意投诉或反映的。</w:t>
            </w:r>
          </w:p>
          <w:p w14:paraId="4EBBD1C3">
            <w:pPr>
              <w:jc w:val="left"/>
              <w:rPr>
                <w:rFonts w:hint="eastAsia" w:ascii="宋体" w:hAnsi="宋体" w:eastAsia="宋体" w:cs="宋体"/>
                <w:sz w:val="21"/>
                <w:szCs w:val="21"/>
              </w:rPr>
            </w:pPr>
          </w:p>
        </w:tc>
      </w:tr>
      <w:tr w14:paraId="76347B7D">
        <w:tblPrEx>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CellMar>
            <w:top w:w="0" w:type="dxa"/>
            <w:left w:w="108" w:type="dxa"/>
            <w:bottom w:w="0" w:type="dxa"/>
            <w:right w:w="108" w:type="dxa"/>
          </w:tblCellMar>
        </w:tblPrEx>
        <w:trPr>
          <w:trHeight w:val="736" w:hRule="atLeast"/>
        </w:trPr>
        <w:tc>
          <w:tcPr>
            <w:tcW w:w="1542" w:type="dxa"/>
            <w:noWrap w:val="0"/>
            <w:vAlign w:val="center"/>
          </w:tcPr>
          <w:p w14:paraId="77BD32C7">
            <w:pPr>
              <w:jc w:val="center"/>
              <w:rPr>
                <w:rFonts w:hint="eastAsia" w:ascii="宋体" w:hAnsi="宋体" w:eastAsia="宋体" w:cs="宋体"/>
                <w:sz w:val="21"/>
                <w:szCs w:val="21"/>
              </w:rPr>
            </w:pPr>
            <w:r>
              <w:rPr>
                <w:rFonts w:hint="eastAsia" w:ascii="宋体" w:hAnsi="宋体" w:eastAsia="宋体" w:cs="宋体"/>
                <w:sz w:val="21"/>
                <w:szCs w:val="21"/>
              </w:rPr>
              <w:t>第二节</w:t>
            </w:r>
          </w:p>
          <w:p w14:paraId="28957FD8">
            <w:pPr>
              <w:jc w:val="center"/>
              <w:rPr>
                <w:rFonts w:hint="eastAsia" w:ascii="宋体" w:hAnsi="宋体" w:eastAsia="宋体" w:cs="宋体"/>
                <w:sz w:val="21"/>
                <w:szCs w:val="21"/>
              </w:rPr>
            </w:pPr>
            <w:r>
              <w:rPr>
                <w:rFonts w:hint="eastAsia" w:ascii="宋体" w:hAnsi="宋体" w:eastAsia="宋体" w:cs="宋体"/>
                <w:sz w:val="21"/>
                <w:szCs w:val="21"/>
              </w:rPr>
              <w:t>第</w:t>
            </w:r>
            <w:r>
              <w:rPr>
                <w:rFonts w:hint="eastAsia" w:ascii="宋体" w:hAnsi="宋体" w:eastAsia="宋体" w:cs="宋体"/>
                <w:sz w:val="21"/>
                <w:szCs w:val="21"/>
                <w:lang w:val="en-US" w:eastAsia="zh-CN"/>
              </w:rPr>
              <w:t>13.3</w:t>
            </w:r>
            <w:r>
              <w:rPr>
                <w:rFonts w:hint="eastAsia" w:ascii="宋体" w:hAnsi="宋体" w:eastAsia="宋体" w:cs="宋体"/>
                <w:sz w:val="21"/>
                <w:szCs w:val="21"/>
              </w:rPr>
              <w:t>款</w:t>
            </w:r>
          </w:p>
        </w:tc>
        <w:tc>
          <w:tcPr>
            <w:tcW w:w="1895" w:type="dxa"/>
            <w:noWrap w:val="0"/>
            <w:vAlign w:val="center"/>
          </w:tcPr>
          <w:p w14:paraId="0A5749FD">
            <w:pPr>
              <w:jc w:val="center"/>
              <w:rPr>
                <w:rFonts w:hint="eastAsia" w:ascii="宋体" w:hAnsi="宋体" w:eastAsia="宋体" w:cs="宋体"/>
                <w:sz w:val="21"/>
                <w:szCs w:val="21"/>
              </w:rPr>
            </w:pPr>
            <w:r>
              <w:rPr>
                <w:rFonts w:hint="eastAsia" w:ascii="宋体" w:hAnsi="宋体" w:eastAsia="宋体" w:cs="宋体"/>
                <w:sz w:val="21"/>
                <w:szCs w:val="21"/>
              </w:rPr>
              <w:t>履约保证金退还时间及</w:t>
            </w:r>
            <w:r>
              <w:rPr>
                <w:rFonts w:hint="eastAsia" w:ascii="宋体" w:hAnsi="宋体" w:eastAsia="宋体" w:cs="宋体"/>
                <w:sz w:val="21"/>
                <w:szCs w:val="21"/>
                <w:lang w:eastAsia="zh-CN"/>
              </w:rPr>
              <w:t>逾期退还的</w:t>
            </w:r>
            <w:r>
              <w:rPr>
                <w:rFonts w:hint="eastAsia" w:ascii="宋体" w:hAnsi="宋体" w:eastAsia="宋体" w:cs="宋体"/>
                <w:sz w:val="21"/>
                <w:szCs w:val="21"/>
              </w:rPr>
              <w:t>违约金</w:t>
            </w:r>
          </w:p>
        </w:tc>
        <w:tc>
          <w:tcPr>
            <w:tcW w:w="5946" w:type="dxa"/>
            <w:noWrap w:val="0"/>
            <w:vAlign w:val="center"/>
          </w:tcPr>
          <w:p w14:paraId="3EF456DB">
            <w:pPr>
              <w:keepNext w:val="0"/>
              <w:keepLines w:val="0"/>
              <w:pageBreakBefore w:val="0"/>
              <w:widowControl w:val="0"/>
              <w:spacing w:line="320" w:lineRule="exact"/>
              <w:ind w:firstLine="420"/>
              <w:rPr>
                <w:rFonts w:hint="eastAsia" w:ascii="宋体" w:hAnsi="宋体" w:eastAsia="宋体" w:cs="宋体"/>
                <w:sz w:val="21"/>
                <w:szCs w:val="21"/>
              </w:rPr>
            </w:pPr>
            <w:r>
              <w:rPr>
                <w:rFonts w:hint="eastAsia" w:ascii="宋体" w:hAnsi="宋体" w:eastAsia="宋体" w:cs="宋体"/>
                <w:sz w:val="21"/>
                <w:szCs w:val="21"/>
                <w:lang w:val="en-US" w:eastAsia="zh-CN"/>
              </w:rPr>
              <w:t>1.</w:t>
            </w:r>
            <w:r>
              <w:rPr>
                <w:rFonts w:hint="eastAsia" w:ascii="宋体" w:hAnsi="宋体" w:eastAsia="宋体" w:cs="宋体"/>
                <w:sz w:val="21"/>
                <w:szCs w:val="21"/>
              </w:rPr>
              <w:t xml:space="preserve"> 履约保证金退还</w:t>
            </w:r>
            <w:r>
              <w:rPr>
                <w:rFonts w:hint="eastAsia" w:ascii="宋体" w:hAnsi="宋体" w:cs="宋体"/>
                <w:sz w:val="21"/>
                <w:szCs w:val="21"/>
                <w:lang w:eastAsia="zh-CN"/>
              </w:rPr>
              <w:t>：</w:t>
            </w:r>
          </w:p>
          <w:p w14:paraId="641ADA43">
            <w:pPr>
              <w:keepNext w:val="0"/>
              <w:keepLines w:val="0"/>
              <w:pageBreakBefore w:val="0"/>
              <w:widowControl w:val="0"/>
              <w:spacing w:line="320" w:lineRule="exact"/>
              <w:ind w:firstLine="420"/>
              <w:rPr>
                <w:rFonts w:hint="eastAsia" w:ascii="宋体" w:hAnsi="宋体" w:eastAsia="宋体" w:cs="宋体"/>
                <w:sz w:val="21"/>
                <w:szCs w:val="21"/>
              </w:rPr>
            </w:pPr>
            <w:r>
              <w:rPr>
                <w:rFonts w:hint="eastAsia" w:ascii="宋体" w:hAnsi="宋体" w:eastAsia="宋体" w:cs="宋体"/>
                <w:sz w:val="21"/>
                <w:szCs w:val="21"/>
                <w:lang w:val="en-US" w:eastAsia="zh-CN"/>
              </w:rPr>
              <w:t>1</w:t>
            </w:r>
            <w:r>
              <w:rPr>
                <w:rFonts w:hint="eastAsia" w:ascii="宋体" w:hAnsi="宋体" w:eastAsia="宋体" w:cs="宋体"/>
                <w:sz w:val="21"/>
                <w:szCs w:val="21"/>
              </w:rPr>
              <w:t>.1 乙方在本合同全部履行完毕并经验收合格后，并经甲方同意后，原渠道三个工作日内无息退还。因乙方自身原因造成延期退还的，甲方不承担责任。</w:t>
            </w:r>
          </w:p>
          <w:p w14:paraId="4A30F9C9">
            <w:pPr>
              <w:keepNext w:val="0"/>
              <w:keepLines w:val="0"/>
              <w:pageBreakBefore w:val="0"/>
              <w:widowControl w:val="0"/>
              <w:spacing w:line="320" w:lineRule="exact"/>
              <w:ind w:firstLine="420"/>
              <w:rPr>
                <w:rFonts w:hint="eastAsia" w:ascii="宋体" w:hAnsi="宋体" w:eastAsia="宋体" w:cs="宋体"/>
                <w:sz w:val="21"/>
                <w:szCs w:val="21"/>
              </w:rPr>
            </w:pPr>
            <w:r>
              <w:rPr>
                <w:rFonts w:hint="eastAsia" w:ascii="宋体" w:hAnsi="宋体" w:eastAsia="宋体" w:cs="宋体"/>
                <w:sz w:val="21"/>
                <w:szCs w:val="21"/>
                <w:lang w:val="en-US" w:eastAsia="zh-CN"/>
              </w:rPr>
              <w:t>1</w:t>
            </w:r>
            <w:r>
              <w:rPr>
                <w:rFonts w:hint="eastAsia" w:ascii="宋体" w:hAnsi="宋体" w:eastAsia="宋体" w:cs="宋体"/>
                <w:sz w:val="21"/>
                <w:szCs w:val="21"/>
              </w:rPr>
              <w:t>.2 如为保函，在到期时自行失效。</w:t>
            </w:r>
          </w:p>
          <w:p w14:paraId="17C03DB2">
            <w:pPr>
              <w:keepNext w:val="0"/>
              <w:keepLines w:val="0"/>
              <w:pageBreakBefore w:val="0"/>
              <w:widowControl w:val="0"/>
              <w:spacing w:line="320" w:lineRule="exact"/>
              <w:ind w:firstLine="420"/>
              <w:rPr>
                <w:rFonts w:hint="eastAsia" w:ascii="宋体" w:hAnsi="宋体" w:eastAsia="宋体" w:cs="宋体"/>
                <w:sz w:val="21"/>
                <w:szCs w:val="21"/>
              </w:rPr>
            </w:pPr>
            <w:r>
              <w:rPr>
                <w:rFonts w:hint="eastAsia" w:ascii="宋体" w:hAnsi="宋体" w:eastAsia="宋体" w:cs="宋体"/>
                <w:sz w:val="21"/>
                <w:szCs w:val="21"/>
                <w:lang w:val="en-US" w:eastAsia="zh-CN"/>
              </w:rPr>
              <w:t>2.</w:t>
            </w:r>
            <w:r>
              <w:rPr>
                <w:rFonts w:hint="eastAsia" w:ascii="宋体" w:hAnsi="宋体" w:eastAsia="宋体" w:cs="宋体"/>
                <w:sz w:val="21"/>
                <w:szCs w:val="21"/>
              </w:rPr>
              <w:t>逾期退还的违约责任：</w:t>
            </w:r>
          </w:p>
          <w:p w14:paraId="6AC05F30">
            <w:pPr>
              <w:keepNext w:val="0"/>
              <w:keepLines w:val="0"/>
              <w:pageBreakBefore w:val="0"/>
              <w:widowControl w:val="0"/>
              <w:spacing w:line="320" w:lineRule="exact"/>
              <w:ind w:firstLine="420"/>
              <w:rPr>
                <w:rFonts w:hint="eastAsia" w:ascii="宋体" w:hAnsi="宋体" w:eastAsia="宋体" w:cs="宋体"/>
                <w:sz w:val="21"/>
                <w:szCs w:val="21"/>
              </w:rPr>
            </w:pPr>
            <w:r>
              <w:rPr>
                <w:rFonts w:hint="eastAsia" w:ascii="宋体" w:hAnsi="宋体" w:eastAsia="宋体" w:cs="宋体"/>
                <w:sz w:val="21"/>
                <w:szCs w:val="21"/>
              </w:rPr>
              <w:t>采购人逾期无故未退还履约保证金的，按中国人民银行同期贷款基准利率上浮20%后的利率支付超期资金占用费，但因供应商自身原因导致无法及时退还的除外。</w:t>
            </w:r>
          </w:p>
        </w:tc>
      </w:tr>
      <w:tr w14:paraId="66108382">
        <w:tblPrEx>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CellMar>
            <w:top w:w="0" w:type="dxa"/>
            <w:left w:w="108" w:type="dxa"/>
            <w:bottom w:w="0" w:type="dxa"/>
            <w:right w:w="108" w:type="dxa"/>
          </w:tblCellMar>
        </w:tblPrEx>
        <w:trPr>
          <w:trHeight w:val="784" w:hRule="atLeast"/>
        </w:trPr>
        <w:tc>
          <w:tcPr>
            <w:tcW w:w="1542" w:type="dxa"/>
            <w:noWrap w:val="0"/>
            <w:vAlign w:val="center"/>
          </w:tcPr>
          <w:p w14:paraId="7F9537C9">
            <w:pPr>
              <w:jc w:val="center"/>
              <w:rPr>
                <w:rFonts w:hint="eastAsia" w:ascii="宋体" w:hAnsi="宋体" w:eastAsia="宋体" w:cs="宋体"/>
                <w:sz w:val="21"/>
                <w:szCs w:val="21"/>
              </w:rPr>
            </w:pPr>
            <w:r>
              <w:rPr>
                <w:rFonts w:hint="eastAsia" w:ascii="宋体" w:hAnsi="宋体" w:eastAsia="宋体" w:cs="宋体"/>
                <w:sz w:val="21"/>
                <w:szCs w:val="21"/>
              </w:rPr>
              <w:t>第二节</w:t>
            </w:r>
          </w:p>
          <w:p w14:paraId="0D43C8A7">
            <w:pPr>
              <w:jc w:val="center"/>
              <w:rPr>
                <w:rFonts w:hint="eastAsia" w:ascii="宋体" w:hAnsi="宋体" w:eastAsia="宋体" w:cs="宋体"/>
                <w:sz w:val="21"/>
                <w:szCs w:val="21"/>
              </w:rPr>
            </w:pPr>
            <w:r>
              <w:rPr>
                <w:rFonts w:hint="eastAsia" w:ascii="宋体" w:hAnsi="宋体" w:eastAsia="宋体" w:cs="宋体"/>
                <w:sz w:val="21"/>
                <w:szCs w:val="21"/>
              </w:rPr>
              <w:t>第1</w:t>
            </w:r>
            <w:r>
              <w:rPr>
                <w:rFonts w:hint="eastAsia" w:ascii="宋体" w:hAnsi="宋体" w:eastAsia="宋体" w:cs="宋体"/>
                <w:sz w:val="21"/>
                <w:szCs w:val="21"/>
                <w:lang w:val="en-US" w:eastAsia="zh-CN"/>
              </w:rPr>
              <w:t>4</w:t>
            </w:r>
            <w:r>
              <w:rPr>
                <w:rFonts w:hint="eastAsia" w:ascii="宋体" w:hAnsi="宋体" w:eastAsia="宋体" w:cs="宋体"/>
                <w:sz w:val="21"/>
                <w:szCs w:val="21"/>
              </w:rPr>
              <w:t>.1（</w:t>
            </w:r>
            <w:r>
              <w:rPr>
                <w:rFonts w:hint="eastAsia" w:ascii="宋体" w:hAnsi="宋体" w:eastAsia="宋体" w:cs="宋体"/>
                <w:sz w:val="21"/>
                <w:szCs w:val="21"/>
                <w:lang w:val="en-US" w:eastAsia="zh-CN"/>
              </w:rPr>
              <w:t>3</w:t>
            </w:r>
            <w:r>
              <w:rPr>
                <w:rFonts w:hint="eastAsia" w:ascii="宋体" w:hAnsi="宋体" w:eastAsia="宋体" w:cs="宋体"/>
                <w:sz w:val="21"/>
                <w:szCs w:val="21"/>
              </w:rPr>
              <w:t>）项</w:t>
            </w:r>
          </w:p>
        </w:tc>
        <w:tc>
          <w:tcPr>
            <w:tcW w:w="1895" w:type="dxa"/>
            <w:noWrap w:val="0"/>
            <w:vAlign w:val="center"/>
          </w:tcPr>
          <w:p w14:paraId="4D990C35">
            <w:pPr>
              <w:jc w:val="center"/>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运行监督、维修期限</w:t>
            </w:r>
          </w:p>
        </w:tc>
        <w:tc>
          <w:tcPr>
            <w:tcW w:w="5946" w:type="dxa"/>
            <w:noWrap w:val="0"/>
            <w:vAlign w:val="center"/>
          </w:tcPr>
          <w:p w14:paraId="2FEE9BF8">
            <w:pPr>
              <w:jc w:val="left"/>
              <w:rPr>
                <w:rFonts w:hint="eastAsia" w:ascii="宋体" w:hAnsi="宋体" w:eastAsia="宋体" w:cs="宋体"/>
                <w:sz w:val="21"/>
                <w:szCs w:val="21"/>
                <w:lang w:eastAsia="zh-CN"/>
              </w:rPr>
            </w:pPr>
            <w:r>
              <w:rPr>
                <w:rFonts w:hint="eastAsia" w:ascii="宋体" w:hAnsi="宋体" w:eastAsia="宋体" w:cs="宋体"/>
                <w:sz w:val="21"/>
                <w:szCs w:val="21"/>
                <w:lang w:eastAsia="zh-CN"/>
              </w:rPr>
              <w:t>同质保期</w:t>
            </w:r>
          </w:p>
        </w:tc>
      </w:tr>
      <w:tr w14:paraId="46233585">
        <w:tblPrEx>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CellMar>
            <w:top w:w="0" w:type="dxa"/>
            <w:left w:w="108" w:type="dxa"/>
            <w:bottom w:w="0" w:type="dxa"/>
            <w:right w:w="108" w:type="dxa"/>
          </w:tblCellMar>
        </w:tblPrEx>
        <w:trPr>
          <w:trHeight w:val="784" w:hRule="atLeast"/>
        </w:trPr>
        <w:tc>
          <w:tcPr>
            <w:tcW w:w="1542" w:type="dxa"/>
            <w:noWrap w:val="0"/>
            <w:vAlign w:val="center"/>
          </w:tcPr>
          <w:p w14:paraId="69C83C51">
            <w:pPr>
              <w:jc w:val="center"/>
              <w:rPr>
                <w:rFonts w:hint="eastAsia" w:ascii="宋体" w:hAnsi="宋体" w:eastAsia="宋体" w:cs="宋体"/>
                <w:sz w:val="21"/>
                <w:szCs w:val="21"/>
              </w:rPr>
            </w:pPr>
            <w:r>
              <w:rPr>
                <w:rFonts w:hint="eastAsia" w:ascii="宋体" w:hAnsi="宋体" w:eastAsia="宋体" w:cs="宋体"/>
                <w:sz w:val="21"/>
                <w:szCs w:val="21"/>
              </w:rPr>
              <w:t>第二节</w:t>
            </w:r>
          </w:p>
          <w:p w14:paraId="771928D6">
            <w:pPr>
              <w:jc w:val="center"/>
              <w:rPr>
                <w:rFonts w:hint="eastAsia" w:ascii="宋体" w:hAnsi="宋体" w:eastAsia="宋体" w:cs="宋体"/>
                <w:sz w:val="21"/>
                <w:szCs w:val="21"/>
              </w:rPr>
            </w:pPr>
            <w:r>
              <w:rPr>
                <w:rFonts w:hint="eastAsia" w:ascii="宋体" w:hAnsi="宋体" w:eastAsia="宋体" w:cs="宋体"/>
                <w:sz w:val="21"/>
                <w:szCs w:val="21"/>
              </w:rPr>
              <w:t>第1</w:t>
            </w:r>
            <w:r>
              <w:rPr>
                <w:rFonts w:hint="eastAsia" w:ascii="宋体" w:hAnsi="宋体" w:eastAsia="宋体" w:cs="宋体"/>
                <w:sz w:val="21"/>
                <w:szCs w:val="21"/>
                <w:lang w:val="en-US" w:eastAsia="zh-CN"/>
              </w:rPr>
              <w:t>4</w:t>
            </w:r>
            <w:r>
              <w:rPr>
                <w:rFonts w:hint="eastAsia" w:ascii="宋体" w:hAnsi="宋体" w:eastAsia="宋体" w:cs="宋体"/>
                <w:sz w:val="21"/>
                <w:szCs w:val="21"/>
              </w:rPr>
              <w:t>.1（</w:t>
            </w:r>
            <w:r>
              <w:rPr>
                <w:rFonts w:hint="eastAsia" w:ascii="宋体" w:hAnsi="宋体" w:eastAsia="宋体" w:cs="宋体"/>
                <w:sz w:val="21"/>
                <w:szCs w:val="21"/>
                <w:lang w:val="en-US" w:eastAsia="zh-CN"/>
              </w:rPr>
              <w:t>5</w:t>
            </w:r>
            <w:r>
              <w:rPr>
                <w:rFonts w:hint="eastAsia" w:ascii="宋体" w:hAnsi="宋体" w:eastAsia="宋体" w:cs="宋体"/>
                <w:sz w:val="21"/>
                <w:szCs w:val="21"/>
              </w:rPr>
              <w:t>）项</w:t>
            </w:r>
          </w:p>
        </w:tc>
        <w:tc>
          <w:tcPr>
            <w:tcW w:w="1895" w:type="dxa"/>
            <w:noWrap w:val="0"/>
            <w:vAlign w:val="center"/>
          </w:tcPr>
          <w:p w14:paraId="3AB27E53">
            <w:pPr>
              <w:jc w:val="center"/>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货物回收的约定</w:t>
            </w:r>
          </w:p>
        </w:tc>
        <w:tc>
          <w:tcPr>
            <w:tcW w:w="5946" w:type="dxa"/>
            <w:noWrap w:val="0"/>
            <w:vAlign w:val="center"/>
          </w:tcPr>
          <w:p w14:paraId="06E9D321">
            <w:pPr>
              <w:jc w:val="left"/>
              <w:rPr>
                <w:rFonts w:hint="eastAsia" w:ascii="宋体" w:hAnsi="宋体" w:eastAsia="宋体" w:cs="宋体"/>
                <w:color w:val="000000"/>
                <w:sz w:val="21"/>
                <w:szCs w:val="21"/>
                <w:lang w:eastAsia="zh-CN"/>
              </w:rPr>
            </w:pPr>
            <w:r>
              <w:rPr>
                <w:rFonts w:hint="eastAsia" w:ascii="宋体" w:hAnsi="宋体" w:eastAsia="宋体" w:cs="宋体"/>
                <w:color w:val="000000"/>
                <w:sz w:val="21"/>
                <w:szCs w:val="21"/>
                <w:lang w:eastAsia="zh-CN"/>
              </w:rPr>
              <w:t>无</w:t>
            </w:r>
          </w:p>
        </w:tc>
      </w:tr>
      <w:tr w14:paraId="4ED6D363">
        <w:tblPrEx>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CellMar>
            <w:top w:w="0" w:type="dxa"/>
            <w:left w:w="108" w:type="dxa"/>
            <w:bottom w:w="0" w:type="dxa"/>
            <w:right w:w="108" w:type="dxa"/>
          </w:tblCellMar>
        </w:tblPrEx>
        <w:trPr>
          <w:trHeight w:val="736" w:hRule="atLeast"/>
        </w:trPr>
        <w:tc>
          <w:tcPr>
            <w:tcW w:w="1542" w:type="dxa"/>
            <w:noWrap w:val="0"/>
            <w:vAlign w:val="center"/>
          </w:tcPr>
          <w:p w14:paraId="5AEEDFDF">
            <w:pPr>
              <w:jc w:val="center"/>
              <w:rPr>
                <w:rFonts w:hint="eastAsia" w:ascii="宋体" w:hAnsi="宋体" w:eastAsia="宋体" w:cs="宋体"/>
                <w:sz w:val="21"/>
                <w:szCs w:val="21"/>
              </w:rPr>
            </w:pPr>
            <w:r>
              <w:rPr>
                <w:rFonts w:hint="eastAsia" w:ascii="宋体" w:hAnsi="宋体" w:eastAsia="宋体" w:cs="宋体"/>
                <w:sz w:val="21"/>
                <w:szCs w:val="21"/>
              </w:rPr>
              <w:t>第二节</w:t>
            </w:r>
          </w:p>
          <w:p w14:paraId="5734A829">
            <w:pPr>
              <w:jc w:val="center"/>
              <w:rPr>
                <w:rFonts w:hint="eastAsia" w:ascii="宋体" w:hAnsi="宋体" w:eastAsia="宋体" w:cs="宋体"/>
                <w:sz w:val="21"/>
                <w:szCs w:val="21"/>
              </w:rPr>
            </w:pPr>
            <w:r>
              <w:rPr>
                <w:rFonts w:hint="eastAsia" w:ascii="宋体" w:hAnsi="宋体" w:eastAsia="宋体" w:cs="宋体"/>
                <w:sz w:val="21"/>
                <w:szCs w:val="21"/>
              </w:rPr>
              <w:t>第1</w:t>
            </w:r>
            <w:r>
              <w:rPr>
                <w:rFonts w:hint="eastAsia" w:ascii="宋体" w:hAnsi="宋体" w:eastAsia="宋体" w:cs="宋体"/>
                <w:sz w:val="21"/>
                <w:szCs w:val="21"/>
                <w:lang w:val="en-US" w:eastAsia="zh-CN"/>
              </w:rPr>
              <w:t>4</w:t>
            </w:r>
            <w:r>
              <w:rPr>
                <w:rFonts w:hint="eastAsia" w:ascii="宋体" w:hAnsi="宋体" w:eastAsia="宋体" w:cs="宋体"/>
                <w:sz w:val="21"/>
                <w:szCs w:val="21"/>
              </w:rPr>
              <w:t>.1（</w:t>
            </w:r>
            <w:r>
              <w:rPr>
                <w:rFonts w:hint="eastAsia" w:ascii="宋体" w:hAnsi="宋体" w:eastAsia="宋体" w:cs="宋体"/>
                <w:sz w:val="21"/>
                <w:szCs w:val="21"/>
                <w:lang w:val="en-US" w:eastAsia="zh-CN"/>
              </w:rPr>
              <w:t>6</w:t>
            </w:r>
            <w:r>
              <w:rPr>
                <w:rFonts w:hint="eastAsia" w:ascii="宋体" w:hAnsi="宋体" w:eastAsia="宋体" w:cs="宋体"/>
                <w:sz w:val="21"/>
                <w:szCs w:val="21"/>
              </w:rPr>
              <w:t>）项</w:t>
            </w:r>
          </w:p>
        </w:tc>
        <w:tc>
          <w:tcPr>
            <w:tcW w:w="1895" w:type="dxa"/>
            <w:noWrap w:val="0"/>
            <w:vAlign w:val="center"/>
          </w:tcPr>
          <w:p w14:paraId="02599017">
            <w:pPr>
              <w:jc w:val="center"/>
              <w:rPr>
                <w:rFonts w:hint="eastAsia" w:ascii="宋体" w:hAnsi="宋体" w:eastAsia="宋体" w:cs="宋体"/>
                <w:sz w:val="21"/>
                <w:szCs w:val="21"/>
              </w:rPr>
            </w:pPr>
            <w:r>
              <w:rPr>
                <w:rFonts w:hint="eastAsia" w:ascii="宋体" w:hAnsi="宋体" w:eastAsia="宋体" w:cs="宋体"/>
                <w:sz w:val="21"/>
                <w:szCs w:val="21"/>
              </w:rPr>
              <w:t>乙方提供的其他服务</w:t>
            </w:r>
          </w:p>
        </w:tc>
        <w:tc>
          <w:tcPr>
            <w:tcW w:w="5946" w:type="dxa"/>
            <w:noWrap w:val="0"/>
            <w:vAlign w:val="center"/>
          </w:tcPr>
          <w:p w14:paraId="6A657C82">
            <w:pPr>
              <w:jc w:val="left"/>
              <w:rPr>
                <w:rFonts w:hint="eastAsia" w:ascii="宋体" w:hAnsi="宋体" w:eastAsia="宋体" w:cs="宋体"/>
                <w:sz w:val="21"/>
                <w:szCs w:val="21"/>
                <w:lang w:eastAsia="zh-CN"/>
              </w:rPr>
            </w:pPr>
            <w:r>
              <w:rPr>
                <w:rFonts w:hint="eastAsia" w:ascii="宋体" w:hAnsi="宋体" w:eastAsia="宋体" w:cs="宋体"/>
                <w:sz w:val="21"/>
                <w:szCs w:val="21"/>
                <w:lang w:eastAsia="zh-CN"/>
              </w:rPr>
              <w:t>无</w:t>
            </w:r>
          </w:p>
        </w:tc>
      </w:tr>
      <w:tr w14:paraId="03263138">
        <w:tblPrEx>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CellMar>
            <w:top w:w="0" w:type="dxa"/>
            <w:left w:w="108" w:type="dxa"/>
            <w:bottom w:w="0" w:type="dxa"/>
            <w:right w:w="108" w:type="dxa"/>
          </w:tblCellMar>
        </w:tblPrEx>
        <w:trPr>
          <w:trHeight w:val="1966" w:hRule="atLeast"/>
        </w:trPr>
        <w:tc>
          <w:tcPr>
            <w:tcW w:w="1542" w:type="dxa"/>
            <w:noWrap w:val="0"/>
            <w:vAlign w:val="center"/>
          </w:tcPr>
          <w:p w14:paraId="34A68FBC">
            <w:pPr>
              <w:jc w:val="center"/>
              <w:rPr>
                <w:rFonts w:hint="eastAsia" w:ascii="宋体" w:hAnsi="宋体" w:eastAsia="宋体" w:cs="宋体"/>
                <w:sz w:val="21"/>
                <w:szCs w:val="21"/>
              </w:rPr>
            </w:pPr>
            <w:r>
              <w:rPr>
                <w:rFonts w:hint="eastAsia" w:ascii="宋体" w:hAnsi="宋体" w:eastAsia="宋体" w:cs="宋体"/>
                <w:sz w:val="21"/>
                <w:szCs w:val="21"/>
              </w:rPr>
              <w:t>第二节</w:t>
            </w:r>
          </w:p>
          <w:p w14:paraId="73FB605A">
            <w:pPr>
              <w:jc w:val="center"/>
              <w:rPr>
                <w:rFonts w:hint="eastAsia" w:ascii="宋体" w:hAnsi="宋体" w:eastAsia="宋体" w:cs="宋体"/>
                <w:sz w:val="21"/>
                <w:szCs w:val="21"/>
                <w:lang w:val="en-US" w:eastAsia="zh-CN"/>
              </w:rPr>
            </w:pPr>
            <w:r>
              <w:rPr>
                <w:rFonts w:hint="eastAsia" w:ascii="宋体" w:hAnsi="宋体" w:eastAsia="宋体" w:cs="宋体"/>
                <w:sz w:val="21"/>
                <w:szCs w:val="21"/>
              </w:rPr>
              <w:t>第1</w:t>
            </w:r>
            <w:r>
              <w:rPr>
                <w:rFonts w:hint="eastAsia" w:ascii="宋体" w:hAnsi="宋体" w:eastAsia="宋体" w:cs="宋体"/>
                <w:sz w:val="21"/>
                <w:szCs w:val="21"/>
                <w:lang w:val="en-US" w:eastAsia="zh-CN"/>
              </w:rPr>
              <w:t>5</w:t>
            </w:r>
            <w:r>
              <w:rPr>
                <w:rFonts w:hint="eastAsia" w:ascii="宋体" w:hAnsi="宋体" w:eastAsia="宋体" w:cs="宋体"/>
                <w:sz w:val="21"/>
                <w:szCs w:val="21"/>
              </w:rPr>
              <w:t>.</w:t>
            </w:r>
            <w:r>
              <w:rPr>
                <w:rFonts w:hint="eastAsia" w:ascii="宋体" w:hAnsi="宋体" w:eastAsia="宋体" w:cs="宋体"/>
                <w:sz w:val="21"/>
                <w:szCs w:val="21"/>
                <w:lang w:val="en-US" w:eastAsia="zh-CN"/>
              </w:rPr>
              <w:t>1款</w:t>
            </w:r>
          </w:p>
        </w:tc>
        <w:tc>
          <w:tcPr>
            <w:tcW w:w="1895" w:type="dxa"/>
            <w:noWrap w:val="0"/>
            <w:vAlign w:val="center"/>
          </w:tcPr>
          <w:p w14:paraId="7C32D95B">
            <w:pPr>
              <w:jc w:val="center"/>
              <w:rPr>
                <w:rFonts w:hint="eastAsia" w:ascii="宋体" w:hAnsi="宋体" w:eastAsia="宋体" w:cs="宋体"/>
                <w:sz w:val="21"/>
                <w:szCs w:val="21"/>
              </w:rPr>
            </w:pPr>
            <w:r>
              <w:rPr>
                <w:rFonts w:hint="eastAsia" w:ascii="宋体" w:hAnsi="宋体" w:eastAsia="宋体" w:cs="宋体"/>
                <w:color w:val="000000"/>
                <w:sz w:val="21"/>
                <w:szCs w:val="21"/>
                <w:highlight w:val="none"/>
                <w:lang w:eastAsia="zh-CN"/>
              </w:rPr>
              <w:t>修理、重</w:t>
            </w:r>
            <w:r>
              <w:rPr>
                <w:rFonts w:hint="eastAsia" w:ascii="宋体" w:hAnsi="宋体" w:cs="宋体"/>
                <w:color w:val="000000"/>
                <w:sz w:val="21"/>
                <w:szCs w:val="21"/>
                <w:highlight w:val="none"/>
                <w:lang w:eastAsia="zh-CN"/>
              </w:rPr>
              <w:t>做</w:t>
            </w:r>
            <w:r>
              <w:rPr>
                <w:rFonts w:hint="eastAsia" w:ascii="宋体" w:hAnsi="宋体" w:eastAsia="宋体" w:cs="宋体"/>
                <w:color w:val="000000"/>
                <w:sz w:val="21"/>
                <w:szCs w:val="21"/>
                <w:highlight w:val="none"/>
                <w:lang w:eastAsia="zh-CN"/>
              </w:rPr>
              <w:t>、更换相关具体规定</w:t>
            </w:r>
          </w:p>
        </w:tc>
        <w:tc>
          <w:tcPr>
            <w:tcW w:w="5946" w:type="dxa"/>
            <w:noWrap w:val="0"/>
            <w:vAlign w:val="center"/>
          </w:tcPr>
          <w:p w14:paraId="64AA1847">
            <w:pPr>
              <w:pStyle w:val="29"/>
              <w:keepNext w:val="0"/>
              <w:keepLines w:val="0"/>
              <w:pageBreakBefore w:val="0"/>
              <w:widowControl/>
              <w:kinsoku/>
              <w:wordWrap/>
              <w:overflowPunct/>
              <w:topLinePunct w:val="0"/>
              <w:autoSpaceDE/>
              <w:autoSpaceDN/>
              <w:bidi w:val="0"/>
              <w:adjustRightInd/>
              <w:snapToGrid/>
              <w:spacing w:before="0" w:beforeAutospacing="0" w:after="0" w:afterAutospacing="0" w:line="400" w:lineRule="exact"/>
              <w:jc w:val="left"/>
              <w:textAlignment w:val="auto"/>
              <w:rPr>
                <w:rFonts w:hint="eastAsia" w:ascii="宋体" w:hAnsi="宋体" w:eastAsia="宋体" w:cs="宋体"/>
                <w:color w:val="auto"/>
                <w:kern w:val="0"/>
                <w:sz w:val="21"/>
                <w:szCs w:val="21"/>
              </w:rPr>
            </w:pPr>
            <w:r>
              <w:rPr>
                <w:rFonts w:hint="eastAsia" w:ascii="宋体" w:hAnsi="宋体" w:eastAsia="宋体" w:cs="宋体"/>
                <w:color w:val="auto"/>
                <w:kern w:val="0"/>
                <w:sz w:val="21"/>
                <w:szCs w:val="21"/>
              </w:rPr>
              <w:t>乙方提供的货物在质量期内因货物本身的质量问题发生故障，乙方应负责免费更换。对达不到技术要求者，根据实际情况，经双方协商，可按以下办法处理：</w:t>
            </w:r>
          </w:p>
          <w:p w14:paraId="385226CD">
            <w:pPr>
              <w:pStyle w:val="29"/>
              <w:keepNext w:val="0"/>
              <w:keepLines w:val="0"/>
              <w:pageBreakBefore w:val="0"/>
              <w:widowControl/>
              <w:kinsoku/>
              <w:wordWrap/>
              <w:overflowPunct/>
              <w:topLinePunct w:val="0"/>
              <w:autoSpaceDE/>
              <w:autoSpaceDN/>
              <w:bidi w:val="0"/>
              <w:adjustRightInd/>
              <w:snapToGrid/>
              <w:spacing w:before="0" w:beforeAutospacing="0" w:after="0" w:afterAutospacing="0" w:line="400" w:lineRule="exact"/>
              <w:jc w:val="left"/>
              <w:textAlignment w:val="auto"/>
              <w:rPr>
                <w:rFonts w:hint="eastAsia" w:ascii="宋体" w:hAnsi="宋体" w:eastAsia="宋体" w:cs="宋体"/>
                <w:color w:val="auto"/>
                <w:kern w:val="0"/>
                <w:sz w:val="21"/>
                <w:szCs w:val="21"/>
              </w:rPr>
            </w:pPr>
            <w:r>
              <w:rPr>
                <w:rFonts w:hint="eastAsia" w:ascii="宋体" w:hAnsi="宋体" w:eastAsia="宋体" w:cs="宋体"/>
                <w:color w:val="auto"/>
                <w:kern w:val="0"/>
                <w:sz w:val="21"/>
                <w:szCs w:val="21"/>
              </w:rPr>
              <w:t>⑴更换：由乙方承担所发生的全部费用。</w:t>
            </w:r>
          </w:p>
          <w:p w14:paraId="53F9C6E6">
            <w:pPr>
              <w:pStyle w:val="29"/>
              <w:keepNext w:val="0"/>
              <w:keepLines w:val="0"/>
              <w:pageBreakBefore w:val="0"/>
              <w:widowControl/>
              <w:kinsoku/>
              <w:wordWrap/>
              <w:overflowPunct/>
              <w:topLinePunct w:val="0"/>
              <w:autoSpaceDE/>
              <w:autoSpaceDN/>
              <w:bidi w:val="0"/>
              <w:adjustRightInd/>
              <w:snapToGrid/>
              <w:spacing w:before="0" w:beforeAutospacing="0" w:after="0" w:afterAutospacing="0" w:line="400" w:lineRule="exact"/>
              <w:jc w:val="left"/>
              <w:textAlignment w:val="auto"/>
              <w:rPr>
                <w:rFonts w:hint="eastAsia" w:ascii="宋体" w:hAnsi="宋体" w:eastAsia="宋体" w:cs="宋体"/>
                <w:color w:val="auto"/>
                <w:kern w:val="0"/>
                <w:sz w:val="21"/>
                <w:szCs w:val="21"/>
              </w:rPr>
            </w:pPr>
            <w:r>
              <w:rPr>
                <w:rFonts w:hint="eastAsia" w:ascii="宋体" w:hAnsi="宋体" w:eastAsia="宋体" w:cs="宋体"/>
                <w:color w:val="auto"/>
                <w:kern w:val="0"/>
                <w:sz w:val="21"/>
                <w:szCs w:val="21"/>
              </w:rPr>
              <w:t>⑵贬值处理：由甲乙双方合议定价。</w:t>
            </w:r>
          </w:p>
          <w:p w14:paraId="2CF6EAA9">
            <w:pPr>
              <w:pStyle w:val="29"/>
              <w:keepNext w:val="0"/>
              <w:keepLines w:val="0"/>
              <w:pageBreakBefore w:val="0"/>
              <w:widowControl/>
              <w:kinsoku/>
              <w:wordWrap/>
              <w:overflowPunct/>
              <w:topLinePunct w:val="0"/>
              <w:autoSpaceDE/>
              <w:autoSpaceDN/>
              <w:bidi w:val="0"/>
              <w:adjustRightInd/>
              <w:snapToGrid/>
              <w:spacing w:before="0" w:beforeAutospacing="0" w:after="0" w:afterAutospacing="0" w:line="400" w:lineRule="exact"/>
              <w:jc w:val="left"/>
              <w:textAlignment w:val="auto"/>
              <w:rPr>
                <w:rFonts w:hint="eastAsia" w:ascii="宋体" w:hAnsi="宋体" w:eastAsia="宋体" w:cs="宋体"/>
                <w:sz w:val="21"/>
                <w:szCs w:val="21"/>
              </w:rPr>
            </w:pPr>
            <w:r>
              <w:rPr>
                <w:rFonts w:hint="eastAsia" w:ascii="宋体" w:hAnsi="宋体" w:eastAsia="宋体" w:cs="宋体"/>
                <w:color w:val="auto"/>
                <w:kern w:val="0"/>
                <w:sz w:val="21"/>
                <w:szCs w:val="21"/>
              </w:rPr>
              <w:t>⑶退货处理：乙方应退还甲方支付的合同款，同时应承担该货物的直接费用（运输、保险、检验、货款利息及银行手续费等）。</w:t>
            </w:r>
          </w:p>
        </w:tc>
      </w:tr>
      <w:tr w14:paraId="36F8A3D8">
        <w:tblPrEx>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CellMar>
            <w:top w:w="0" w:type="dxa"/>
            <w:left w:w="108" w:type="dxa"/>
            <w:bottom w:w="0" w:type="dxa"/>
            <w:right w:w="108" w:type="dxa"/>
          </w:tblCellMar>
        </w:tblPrEx>
        <w:trPr>
          <w:trHeight w:val="736" w:hRule="atLeast"/>
        </w:trPr>
        <w:tc>
          <w:tcPr>
            <w:tcW w:w="1542" w:type="dxa"/>
            <w:noWrap w:val="0"/>
            <w:vAlign w:val="center"/>
          </w:tcPr>
          <w:p w14:paraId="442F48D8">
            <w:pPr>
              <w:jc w:val="center"/>
              <w:rPr>
                <w:rFonts w:hint="eastAsia" w:ascii="宋体" w:hAnsi="宋体" w:eastAsia="宋体" w:cs="宋体"/>
                <w:sz w:val="21"/>
                <w:szCs w:val="21"/>
              </w:rPr>
            </w:pPr>
            <w:r>
              <w:rPr>
                <w:rFonts w:hint="eastAsia" w:ascii="宋体" w:hAnsi="宋体" w:eastAsia="宋体" w:cs="宋体"/>
                <w:sz w:val="21"/>
                <w:szCs w:val="21"/>
              </w:rPr>
              <w:t>第二节</w:t>
            </w:r>
          </w:p>
          <w:p w14:paraId="14CD4298">
            <w:pPr>
              <w:jc w:val="center"/>
              <w:rPr>
                <w:rFonts w:hint="eastAsia" w:ascii="宋体" w:hAnsi="宋体" w:eastAsia="宋体" w:cs="宋体"/>
                <w:sz w:val="21"/>
                <w:szCs w:val="21"/>
              </w:rPr>
            </w:pPr>
            <w:r>
              <w:rPr>
                <w:rFonts w:hint="eastAsia" w:ascii="宋体" w:hAnsi="宋体" w:eastAsia="宋体" w:cs="宋体"/>
                <w:sz w:val="21"/>
                <w:szCs w:val="21"/>
              </w:rPr>
              <w:t>第1</w:t>
            </w:r>
            <w:r>
              <w:rPr>
                <w:rFonts w:hint="eastAsia" w:ascii="宋体" w:hAnsi="宋体" w:eastAsia="宋体" w:cs="宋体"/>
                <w:sz w:val="21"/>
                <w:szCs w:val="21"/>
                <w:lang w:val="en-US" w:eastAsia="zh-CN"/>
              </w:rPr>
              <w:t>5</w:t>
            </w:r>
            <w:r>
              <w:rPr>
                <w:rFonts w:hint="eastAsia" w:ascii="宋体" w:hAnsi="宋体" w:eastAsia="宋体" w:cs="宋体"/>
                <w:sz w:val="21"/>
                <w:szCs w:val="21"/>
              </w:rPr>
              <w:t>.2（2）项</w:t>
            </w:r>
          </w:p>
        </w:tc>
        <w:tc>
          <w:tcPr>
            <w:tcW w:w="1895" w:type="dxa"/>
            <w:noWrap w:val="0"/>
            <w:vAlign w:val="center"/>
          </w:tcPr>
          <w:p w14:paraId="532A2662">
            <w:pPr>
              <w:jc w:val="center"/>
              <w:rPr>
                <w:rFonts w:hint="eastAsia" w:ascii="宋体" w:hAnsi="宋体" w:eastAsia="宋体" w:cs="宋体"/>
                <w:sz w:val="21"/>
                <w:szCs w:val="21"/>
              </w:rPr>
            </w:pPr>
            <w:r>
              <w:rPr>
                <w:rFonts w:hint="eastAsia" w:ascii="宋体" w:hAnsi="宋体" w:eastAsia="宋体" w:cs="宋体"/>
                <w:sz w:val="21"/>
                <w:szCs w:val="21"/>
              </w:rPr>
              <w:t>迟延交货赔偿费</w:t>
            </w:r>
          </w:p>
        </w:tc>
        <w:tc>
          <w:tcPr>
            <w:tcW w:w="5946" w:type="dxa"/>
            <w:noWrap w:val="0"/>
            <w:vAlign w:val="center"/>
          </w:tcPr>
          <w:p w14:paraId="71ABE574">
            <w:pPr>
              <w:jc w:val="left"/>
              <w:rPr>
                <w:rFonts w:hint="eastAsia" w:ascii="宋体" w:hAnsi="宋体" w:eastAsia="宋体" w:cs="宋体"/>
                <w:sz w:val="21"/>
                <w:szCs w:val="21"/>
                <w:u w:val="single"/>
                <w:lang w:eastAsia="zh-CN"/>
              </w:rPr>
            </w:pPr>
            <w:r>
              <w:rPr>
                <w:rFonts w:hint="eastAsia" w:ascii="宋体" w:hAnsi="宋体" w:eastAsia="宋体" w:cs="宋体"/>
                <w:color w:val="000000"/>
                <w:sz w:val="21"/>
                <w:szCs w:val="21"/>
              </w:rPr>
              <w:t>按逾期交货总额每日</w:t>
            </w:r>
            <w:r>
              <w:rPr>
                <w:rFonts w:hint="eastAsia" w:ascii="宋体" w:hAnsi="宋体" w:cs="宋体"/>
                <w:color w:val="000000"/>
                <w:sz w:val="21"/>
                <w:szCs w:val="21"/>
                <w:lang w:val="en-US" w:eastAsia="zh-CN"/>
              </w:rPr>
              <w:t>万</w:t>
            </w:r>
            <w:r>
              <w:rPr>
                <w:rFonts w:hint="eastAsia" w:ascii="宋体" w:hAnsi="宋体" w:eastAsia="宋体" w:cs="宋体"/>
                <w:color w:val="000000"/>
                <w:sz w:val="21"/>
                <w:szCs w:val="21"/>
              </w:rPr>
              <w:t>分之</w:t>
            </w:r>
            <w:r>
              <w:rPr>
                <w:rFonts w:hint="eastAsia" w:ascii="宋体" w:hAnsi="宋体" w:cs="宋体"/>
                <w:color w:val="000000"/>
                <w:sz w:val="21"/>
                <w:szCs w:val="21"/>
                <w:lang w:val="en-US" w:eastAsia="zh-CN"/>
              </w:rPr>
              <w:t>五</w:t>
            </w:r>
            <w:r>
              <w:rPr>
                <w:rFonts w:hint="eastAsia" w:ascii="宋体" w:hAnsi="宋体" w:eastAsia="宋体" w:cs="宋体"/>
                <w:color w:val="000000"/>
                <w:sz w:val="21"/>
                <w:szCs w:val="21"/>
              </w:rPr>
              <w:t>向甲方支付</w:t>
            </w:r>
            <w:r>
              <w:rPr>
                <w:rFonts w:hint="eastAsia" w:ascii="宋体" w:hAnsi="宋体" w:eastAsia="宋体" w:cs="宋体"/>
                <w:color w:val="000000"/>
                <w:sz w:val="21"/>
                <w:szCs w:val="21"/>
                <w:lang w:eastAsia="zh-CN"/>
              </w:rPr>
              <w:t>赔偿费</w:t>
            </w:r>
          </w:p>
        </w:tc>
      </w:tr>
      <w:tr w14:paraId="0D120C09">
        <w:tblPrEx>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CellMar>
            <w:top w:w="0" w:type="dxa"/>
            <w:left w:w="108" w:type="dxa"/>
            <w:bottom w:w="0" w:type="dxa"/>
            <w:right w:w="108" w:type="dxa"/>
          </w:tblCellMar>
        </w:tblPrEx>
        <w:trPr>
          <w:trHeight w:val="736" w:hRule="atLeast"/>
        </w:trPr>
        <w:tc>
          <w:tcPr>
            <w:tcW w:w="1542" w:type="dxa"/>
            <w:noWrap w:val="0"/>
            <w:vAlign w:val="center"/>
          </w:tcPr>
          <w:p w14:paraId="418B1ECA">
            <w:pPr>
              <w:jc w:val="center"/>
              <w:rPr>
                <w:rFonts w:hint="eastAsia" w:ascii="宋体" w:hAnsi="宋体" w:eastAsia="宋体" w:cs="宋体"/>
                <w:sz w:val="21"/>
                <w:szCs w:val="21"/>
              </w:rPr>
            </w:pPr>
            <w:r>
              <w:rPr>
                <w:rFonts w:hint="eastAsia" w:ascii="宋体" w:hAnsi="宋体" w:eastAsia="宋体" w:cs="宋体"/>
                <w:sz w:val="21"/>
                <w:szCs w:val="21"/>
              </w:rPr>
              <w:t>第二节</w:t>
            </w:r>
          </w:p>
          <w:p w14:paraId="544C3DD1">
            <w:pPr>
              <w:jc w:val="center"/>
              <w:rPr>
                <w:rFonts w:hint="eastAsia" w:ascii="宋体" w:hAnsi="宋体" w:eastAsia="宋体" w:cs="宋体"/>
                <w:sz w:val="21"/>
                <w:szCs w:val="21"/>
              </w:rPr>
            </w:pPr>
            <w:r>
              <w:rPr>
                <w:rFonts w:hint="eastAsia" w:ascii="宋体" w:hAnsi="宋体" w:eastAsia="宋体" w:cs="宋体"/>
                <w:sz w:val="21"/>
                <w:szCs w:val="21"/>
              </w:rPr>
              <w:t>第1</w:t>
            </w:r>
            <w:r>
              <w:rPr>
                <w:rFonts w:hint="eastAsia" w:ascii="宋体" w:hAnsi="宋体" w:eastAsia="宋体" w:cs="宋体"/>
                <w:sz w:val="21"/>
                <w:szCs w:val="21"/>
                <w:lang w:val="en-US" w:eastAsia="zh-CN"/>
              </w:rPr>
              <w:t>5</w:t>
            </w:r>
            <w:r>
              <w:rPr>
                <w:rFonts w:hint="eastAsia" w:ascii="宋体" w:hAnsi="宋体" w:eastAsia="宋体" w:cs="宋体"/>
                <w:sz w:val="21"/>
                <w:szCs w:val="21"/>
              </w:rPr>
              <w:t>.</w:t>
            </w:r>
            <w:r>
              <w:rPr>
                <w:rFonts w:hint="eastAsia" w:ascii="宋体" w:hAnsi="宋体" w:eastAsia="宋体" w:cs="宋体"/>
                <w:sz w:val="21"/>
                <w:szCs w:val="21"/>
                <w:lang w:val="en-US" w:eastAsia="zh-CN"/>
              </w:rPr>
              <w:t>3款</w:t>
            </w:r>
          </w:p>
        </w:tc>
        <w:tc>
          <w:tcPr>
            <w:tcW w:w="1895" w:type="dxa"/>
            <w:noWrap w:val="0"/>
            <w:vAlign w:val="center"/>
          </w:tcPr>
          <w:p w14:paraId="144A9378">
            <w:pPr>
              <w:jc w:val="center"/>
              <w:rPr>
                <w:rFonts w:hint="eastAsia" w:ascii="宋体" w:hAnsi="宋体" w:eastAsia="宋体" w:cs="宋体"/>
                <w:sz w:val="21"/>
                <w:szCs w:val="21"/>
              </w:rPr>
            </w:pPr>
            <w:r>
              <w:rPr>
                <w:rFonts w:hint="eastAsia" w:ascii="宋体" w:hAnsi="宋体" w:eastAsia="宋体" w:cs="宋体"/>
                <w:sz w:val="21"/>
                <w:szCs w:val="21"/>
              </w:rPr>
              <w:t>逾期付款利息</w:t>
            </w:r>
          </w:p>
        </w:tc>
        <w:tc>
          <w:tcPr>
            <w:tcW w:w="5946" w:type="dxa"/>
            <w:noWrap w:val="0"/>
            <w:vAlign w:val="center"/>
          </w:tcPr>
          <w:p w14:paraId="2980FD0B">
            <w:pPr>
              <w:jc w:val="left"/>
              <w:rPr>
                <w:rFonts w:hint="eastAsia" w:ascii="宋体" w:hAnsi="宋体" w:eastAsia="宋体" w:cs="宋体"/>
                <w:sz w:val="21"/>
                <w:szCs w:val="21"/>
                <w:u w:val="single"/>
                <w:lang w:val="en-US" w:eastAsia="zh-CN"/>
              </w:rPr>
            </w:pPr>
            <w:r>
              <w:rPr>
                <w:rFonts w:hint="eastAsia" w:ascii="宋体" w:hAnsi="宋体" w:eastAsia="宋体" w:cs="宋体"/>
                <w:color w:val="000000"/>
                <w:sz w:val="21"/>
                <w:szCs w:val="21"/>
              </w:rPr>
              <w:t>按逾期</w:t>
            </w:r>
            <w:r>
              <w:rPr>
                <w:rFonts w:hint="eastAsia" w:ascii="宋体" w:hAnsi="宋体" w:eastAsia="宋体" w:cs="宋体"/>
                <w:color w:val="000000"/>
                <w:sz w:val="21"/>
                <w:szCs w:val="21"/>
                <w:lang w:eastAsia="zh-CN"/>
              </w:rPr>
              <w:t>付款金</w:t>
            </w:r>
            <w:r>
              <w:rPr>
                <w:rFonts w:hint="eastAsia" w:ascii="宋体" w:hAnsi="宋体" w:eastAsia="宋体" w:cs="宋体"/>
                <w:color w:val="000000"/>
                <w:sz w:val="21"/>
                <w:szCs w:val="21"/>
              </w:rPr>
              <w:t>额每日千分之</w:t>
            </w:r>
            <w:r>
              <w:rPr>
                <w:rFonts w:hint="eastAsia" w:ascii="宋体" w:hAnsi="宋体" w:eastAsia="宋体" w:cs="宋体"/>
                <w:color w:val="000000"/>
                <w:sz w:val="21"/>
                <w:szCs w:val="21"/>
                <w:lang w:eastAsia="zh-CN"/>
              </w:rPr>
              <w:t>一</w:t>
            </w:r>
            <w:r>
              <w:rPr>
                <w:rFonts w:hint="eastAsia" w:ascii="宋体" w:hAnsi="宋体" w:eastAsia="宋体" w:cs="宋体"/>
                <w:color w:val="000000"/>
                <w:sz w:val="21"/>
                <w:szCs w:val="21"/>
              </w:rPr>
              <w:t>向</w:t>
            </w:r>
            <w:r>
              <w:rPr>
                <w:rFonts w:hint="eastAsia" w:ascii="宋体" w:hAnsi="宋体" w:eastAsia="宋体" w:cs="宋体"/>
                <w:color w:val="000000"/>
                <w:sz w:val="21"/>
                <w:szCs w:val="21"/>
                <w:lang w:eastAsia="zh-CN"/>
              </w:rPr>
              <w:t>乙</w:t>
            </w:r>
            <w:r>
              <w:rPr>
                <w:rFonts w:hint="eastAsia" w:ascii="宋体" w:hAnsi="宋体" w:eastAsia="宋体" w:cs="宋体"/>
                <w:color w:val="000000"/>
                <w:sz w:val="21"/>
                <w:szCs w:val="21"/>
              </w:rPr>
              <w:t>方支付</w:t>
            </w:r>
            <w:r>
              <w:rPr>
                <w:rFonts w:hint="eastAsia" w:ascii="宋体" w:hAnsi="宋体" w:eastAsia="宋体" w:cs="宋体"/>
                <w:color w:val="000000"/>
                <w:sz w:val="21"/>
                <w:szCs w:val="21"/>
                <w:lang w:eastAsia="zh-CN"/>
              </w:rPr>
              <w:t>赔偿费</w:t>
            </w:r>
            <w:r>
              <w:rPr>
                <w:rFonts w:hint="eastAsia" w:ascii="宋体" w:hAnsi="宋体" w:cs="宋体"/>
                <w:color w:val="000000"/>
                <w:sz w:val="21"/>
                <w:szCs w:val="21"/>
                <w:lang w:eastAsia="zh-CN"/>
              </w:rPr>
              <w:t>，</w:t>
            </w:r>
            <w:r>
              <w:rPr>
                <w:rFonts w:hint="eastAsia" w:ascii="宋体" w:hAnsi="宋体" w:eastAsia="宋体" w:cs="宋体"/>
                <w:color w:val="000000"/>
                <w:sz w:val="21"/>
                <w:szCs w:val="21"/>
                <w:lang w:val="en-US" w:eastAsia="zh-CN"/>
              </w:rPr>
              <w:t>但累计不超过</w:t>
            </w:r>
            <w:r>
              <w:rPr>
                <w:rFonts w:hint="eastAsia" w:ascii="宋体" w:hAnsi="宋体" w:eastAsia="宋体" w:cs="宋体"/>
                <w:color w:val="000000"/>
                <w:sz w:val="21"/>
                <w:szCs w:val="21"/>
              </w:rPr>
              <w:t>逾期</w:t>
            </w:r>
            <w:r>
              <w:rPr>
                <w:rFonts w:hint="eastAsia" w:ascii="宋体" w:hAnsi="宋体" w:eastAsia="宋体" w:cs="宋体"/>
                <w:color w:val="000000"/>
                <w:sz w:val="21"/>
                <w:szCs w:val="21"/>
                <w:lang w:eastAsia="zh-CN"/>
              </w:rPr>
              <w:t>付款金</w:t>
            </w:r>
            <w:r>
              <w:rPr>
                <w:rFonts w:hint="eastAsia" w:ascii="宋体" w:hAnsi="宋体" w:eastAsia="宋体" w:cs="宋体"/>
                <w:color w:val="000000"/>
                <w:sz w:val="21"/>
                <w:szCs w:val="21"/>
              </w:rPr>
              <w:t>额</w:t>
            </w:r>
            <w:r>
              <w:rPr>
                <w:rFonts w:hint="eastAsia" w:ascii="宋体" w:hAnsi="宋体" w:eastAsia="宋体" w:cs="宋体"/>
                <w:color w:val="000000"/>
                <w:sz w:val="21"/>
                <w:szCs w:val="21"/>
                <w:lang w:eastAsia="zh-CN"/>
              </w:rPr>
              <w:t>的百</w:t>
            </w:r>
            <w:r>
              <w:rPr>
                <w:rFonts w:hint="eastAsia" w:ascii="宋体" w:hAnsi="宋体" w:eastAsia="宋体" w:cs="宋体"/>
                <w:color w:val="000000"/>
                <w:sz w:val="21"/>
                <w:szCs w:val="21"/>
              </w:rPr>
              <w:t>分之</w:t>
            </w:r>
            <w:r>
              <w:rPr>
                <w:rFonts w:hint="eastAsia" w:ascii="宋体" w:hAnsi="宋体" w:eastAsia="宋体" w:cs="宋体"/>
                <w:color w:val="000000"/>
                <w:sz w:val="21"/>
                <w:szCs w:val="21"/>
                <w:lang w:eastAsia="zh-CN"/>
              </w:rPr>
              <w:t>一。因乙方原因造成的，甲方不支付</w:t>
            </w:r>
            <w:r>
              <w:rPr>
                <w:rFonts w:hint="eastAsia" w:ascii="宋体" w:hAnsi="宋体" w:eastAsia="宋体" w:cs="宋体"/>
                <w:sz w:val="21"/>
                <w:szCs w:val="21"/>
              </w:rPr>
              <w:t>逾期付款利息</w:t>
            </w:r>
            <w:r>
              <w:rPr>
                <w:rFonts w:hint="eastAsia" w:ascii="宋体" w:hAnsi="宋体" w:eastAsia="宋体" w:cs="宋体"/>
                <w:sz w:val="21"/>
                <w:szCs w:val="21"/>
                <w:lang w:eastAsia="zh-CN"/>
              </w:rPr>
              <w:t>。</w:t>
            </w:r>
          </w:p>
        </w:tc>
      </w:tr>
      <w:tr w14:paraId="70B651A0">
        <w:tblPrEx>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CellMar>
            <w:top w:w="0" w:type="dxa"/>
            <w:left w:w="108" w:type="dxa"/>
            <w:bottom w:w="0" w:type="dxa"/>
            <w:right w:w="108" w:type="dxa"/>
          </w:tblCellMar>
        </w:tblPrEx>
        <w:trPr>
          <w:trHeight w:val="876" w:hRule="atLeast"/>
        </w:trPr>
        <w:tc>
          <w:tcPr>
            <w:tcW w:w="1542" w:type="dxa"/>
            <w:noWrap w:val="0"/>
            <w:vAlign w:val="center"/>
          </w:tcPr>
          <w:p w14:paraId="666618F3">
            <w:pPr>
              <w:jc w:val="center"/>
              <w:rPr>
                <w:rFonts w:hint="eastAsia" w:ascii="宋体" w:hAnsi="宋体" w:eastAsia="宋体" w:cs="宋体"/>
                <w:sz w:val="21"/>
                <w:szCs w:val="21"/>
              </w:rPr>
            </w:pPr>
            <w:r>
              <w:rPr>
                <w:rFonts w:hint="eastAsia" w:ascii="宋体" w:hAnsi="宋体" w:eastAsia="宋体" w:cs="宋体"/>
                <w:sz w:val="21"/>
                <w:szCs w:val="21"/>
              </w:rPr>
              <w:t>第二节</w:t>
            </w:r>
          </w:p>
          <w:p w14:paraId="6767FBC7">
            <w:pPr>
              <w:jc w:val="center"/>
              <w:rPr>
                <w:rFonts w:hint="eastAsia" w:ascii="宋体" w:hAnsi="宋体" w:eastAsia="宋体" w:cs="宋体"/>
                <w:sz w:val="21"/>
                <w:szCs w:val="21"/>
              </w:rPr>
            </w:pPr>
            <w:r>
              <w:rPr>
                <w:rFonts w:hint="eastAsia" w:ascii="宋体" w:hAnsi="宋体" w:eastAsia="宋体" w:cs="宋体"/>
                <w:sz w:val="21"/>
                <w:szCs w:val="21"/>
              </w:rPr>
              <w:t>第1</w:t>
            </w:r>
            <w:r>
              <w:rPr>
                <w:rFonts w:hint="eastAsia" w:ascii="宋体" w:hAnsi="宋体" w:eastAsia="宋体" w:cs="宋体"/>
                <w:sz w:val="21"/>
                <w:szCs w:val="21"/>
                <w:lang w:val="en-US" w:eastAsia="zh-CN"/>
              </w:rPr>
              <w:t>5</w:t>
            </w:r>
            <w:r>
              <w:rPr>
                <w:rFonts w:hint="eastAsia" w:ascii="宋体" w:hAnsi="宋体" w:eastAsia="宋体" w:cs="宋体"/>
                <w:sz w:val="21"/>
                <w:szCs w:val="21"/>
              </w:rPr>
              <w:t>.4</w:t>
            </w:r>
            <w:r>
              <w:rPr>
                <w:rFonts w:hint="eastAsia" w:ascii="宋体" w:hAnsi="宋体" w:eastAsia="宋体" w:cs="宋体"/>
                <w:sz w:val="21"/>
                <w:szCs w:val="21"/>
                <w:lang w:val="en-US" w:eastAsia="zh-CN"/>
              </w:rPr>
              <w:t>款</w:t>
            </w:r>
          </w:p>
        </w:tc>
        <w:tc>
          <w:tcPr>
            <w:tcW w:w="1895" w:type="dxa"/>
            <w:noWrap w:val="0"/>
            <w:vAlign w:val="center"/>
          </w:tcPr>
          <w:p w14:paraId="377433F4">
            <w:pPr>
              <w:jc w:val="center"/>
              <w:rPr>
                <w:rFonts w:hint="eastAsia" w:ascii="宋体" w:hAnsi="宋体" w:eastAsia="宋体" w:cs="宋体"/>
                <w:sz w:val="21"/>
                <w:szCs w:val="21"/>
              </w:rPr>
            </w:pPr>
            <w:r>
              <w:rPr>
                <w:rFonts w:hint="eastAsia" w:ascii="宋体" w:hAnsi="宋体" w:eastAsia="宋体" w:cs="宋体"/>
                <w:sz w:val="21"/>
                <w:szCs w:val="21"/>
              </w:rPr>
              <w:t>其他违约责任</w:t>
            </w:r>
          </w:p>
        </w:tc>
        <w:tc>
          <w:tcPr>
            <w:tcW w:w="5946" w:type="dxa"/>
            <w:noWrap w:val="0"/>
            <w:vAlign w:val="center"/>
          </w:tcPr>
          <w:p w14:paraId="071A6BBE">
            <w:pPr>
              <w:pStyle w:val="248"/>
              <w:keepNext w:val="0"/>
              <w:keepLines w:val="0"/>
              <w:pageBreakBefore w:val="0"/>
              <w:widowControl/>
              <w:spacing w:before="0" w:beforeAutospacing="0" w:after="0" w:afterAutospacing="0" w:line="440" w:lineRule="exact"/>
              <w:ind w:firstLine="420"/>
              <w:jc w:val="both"/>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逾期超过约定日期10个工作日不能交货的，甲方可解除本合同。乙方因逾期交货或因其他违约行为导致甲方解除合同的，乙方应向甲方支付合同总值</w:t>
            </w:r>
            <w:r>
              <w:rPr>
                <w:rFonts w:hint="eastAsia" w:ascii="宋体" w:hAnsi="宋体" w:eastAsia="宋体" w:cs="宋体"/>
                <w:color w:val="000000"/>
                <w:sz w:val="21"/>
                <w:szCs w:val="21"/>
                <w:u w:val="single"/>
                <w:lang w:val="en-US" w:eastAsia="zh-CN" w:bidi="ar-SA"/>
              </w:rPr>
              <w:t> 5%</w:t>
            </w:r>
            <w:r>
              <w:rPr>
                <w:rFonts w:hint="eastAsia" w:ascii="宋体" w:hAnsi="宋体" w:eastAsia="宋体" w:cs="宋体"/>
                <w:color w:val="000000"/>
                <w:sz w:val="21"/>
                <w:szCs w:val="21"/>
                <w:lang w:val="en-US" w:eastAsia="zh-CN" w:bidi="ar-SA"/>
              </w:rPr>
              <w:t xml:space="preserve"> 的违约金，如造成甲方损失超过违约金的，超出部分由乙方继续承担赔偿责任。</w:t>
            </w:r>
          </w:p>
          <w:p w14:paraId="562F6BED">
            <w:pPr>
              <w:pStyle w:val="248"/>
              <w:keepNext w:val="0"/>
              <w:keepLines w:val="0"/>
              <w:pageBreakBefore w:val="0"/>
              <w:widowControl/>
              <w:spacing w:before="0" w:beforeAutospacing="0" w:after="0" w:afterAutospacing="0" w:line="440" w:lineRule="exact"/>
              <w:ind w:firstLine="420"/>
              <w:jc w:val="both"/>
              <w:rPr>
                <w:rFonts w:hint="eastAsia" w:ascii="宋体" w:hAnsi="宋体" w:eastAsia="宋体" w:cs="宋体"/>
                <w:sz w:val="21"/>
                <w:szCs w:val="21"/>
                <w:u w:val="single"/>
              </w:rPr>
            </w:pPr>
            <w:r>
              <w:rPr>
                <w:rFonts w:hint="eastAsia" w:ascii="宋体" w:hAnsi="宋体" w:eastAsia="宋体" w:cs="宋体"/>
                <w:color w:val="000000"/>
                <w:sz w:val="21"/>
                <w:szCs w:val="21"/>
                <w:lang w:val="en-US" w:eastAsia="zh-CN" w:bidi="ar-SA"/>
              </w:rPr>
              <w:t>乙方所交的货物品种、型号、规格、技术参数、质量不符合合同规定及招标文件规定要求的，甲方有权拒收该货物，乙方愿意更换货物但逾期交货的，按乙方逾期交货处理。乙方拒绝更换货物的，甲方可单方面解除合同。</w:t>
            </w:r>
          </w:p>
        </w:tc>
      </w:tr>
      <w:tr w14:paraId="5E9C0ECF">
        <w:tblPrEx>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CellMar>
            <w:top w:w="0" w:type="dxa"/>
            <w:left w:w="108" w:type="dxa"/>
            <w:bottom w:w="0" w:type="dxa"/>
            <w:right w:w="108" w:type="dxa"/>
          </w:tblCellMar>
        </w:tblPrEx>
        <w:trPr>
          <w:trHeight w:val="90" w:hRule="atLeast"/>
        </w:trPr>
        <w:tc>
          <w:tcPr>
            <w:tcW w:w="1542" w:type="dxa"/>
            <w:noWrap w:val="0"/>
            <w:vAlign w:val="center"/>
          </w:tcPr>
          <w:p w14:paraId="3653FD49">
            <w:pPr>
              <w:jc w:val="center"/>
              <w:rPr>
                <w:rFonts w:hint="eastAsia" w:ascii="宋体" w:hAnsi="宋体" w:eastAsia="宋体" w:cs="宋体"/>
                <w:sz w:val="21"/>
                <w:szCs w:val="21"/>
              </w:rPr>
            </w:pPr>
            <w:r>
              <w:rPr>
                <w:rFonts w:hint="eastAsia" w:ascii="宋体" w:hAnsi="宋体" w:eastAsia="宋体" w:cs="宋体"/>
                <w:sz w:val="21"/>
                <w:szCs w:val="21"/>
              </w:rPr>
              <w:t>第二节</w:t>
            </w:r>
          </w:p>
          <w:p w14:paraId="770E0D1E">
            <w:pPr>
              <w:jc w:val="center"/>
              <w:rPr>
                <w:rFonts w:hint="eastAsia" w:ascii="宋体" w:hAnsi="宋体" w:eastAsia="宋体" w:cs="宋体"/>
                <w:sz w:val="21"/>
                <w:szCs w:val="21"/>
              </w:rPr>
            </w:pPr>
            <w:r>
              <w:rPr>
                <w:rFonts w:hint="eastAsia" w:ascii="宋体" w:hAnsi="宋体" w:eastAsia="宋体" w:cs="宋体"/>
                <w:sz w:val="21"/>
                <w:szCs w:val="21"/>
              </w:rPr>
              <w:t>第</w:t>
            </w:r>
            <w:r>
              <w:rPr>
                <w:rFonts w:hint="eastAsia" w:ascii="宋体" w:hAnsi="宋体" w:eastAsia="宋体" w:cs="宋体"/>
                <w:sz w:val="21"/>
                <w:szCs w:val="21"/>
                <w:lang w:val="en-US" w:eastAsia="zh-CN"/>
              </w:rPr>
              <w:t>19</w:t>
            </w:r>
            <w:r>
              <w:rPr>
                <w:rFonts w:hint="eastAsia" w:ascii="宋体" w:hAnsi="宋体" w:eastAsia="宋体" w:cs="宋体"/>
                <w:sz w:val="21"/>
                <w:szCs w:val="21"/>
              </w:rPr>
              <w:t>.2</w:t>
            </w:r>
            <w:r>
              <w:rPr>
                <w:rFonts w:hint="eastAsia" w:ascii="宋体" w:hAnsi="宋体" w:eastAsia="宋体" w:cs="宋体"/>
                <w:sz w:val="21"/>
                <w:szCs w:val="21"/>
                <w:lang w:val="en-US" w:eastAsia="zh-CN"/>
              </w:rPr>
              <w:t>款</w:t>
            </w:r>
          </w:p>
        </w:tc>
        <w:tc>
          <w:tcPr>
            <w:tcW w:w="1895" w:type="dxa"/>
            <w:noWrap w:val="0"/>
            <w:vAlign w:val="center"/>
          </w:tcPr>
          <w:p w14:paraId="04D94FE6">
            <w:pPr>
              <w:jc w:val="center"/>
              <w:rPr>
                <w:rFonts w:hint="eastAsia" w:ascii="宋体" w:hAnsi="宋体" w:eastAsia="宋体" w:cs="宋体"/>
                <w:sz w:val="21"/>
                <w:szCs w:val="21"/>
              </w:rPr>
            </w:pPr>
            <w:r>
              <w:rPr>
                <w:rFonts w:hint="eastAsia" w:ascii="宋体" w:hAnsi="宋体" w:eastAsia="宋体" w:cs="宋体"/>
                <w:sz w:val="21"/>
                <w:szCs w:val="21"/>
                <w:lang w:val="en-US" w:eastAsia="zh-CN"/>
              </w:rPr>
              <w:t>解决争议的方法</w:t>
            </w:r>
          </w:p>
        </w:tc>
        <w:tc>
          <w:tcPr>
            <w:tcW w:w="5946" w:type="dxa"/>
            <w:noWrap w:val="0"/>
            <w:vAlign w:val="center"/>
          </w:tcPr>
          <w:p w14:paraId="60600825">
            <w:pPr>
              <w:spacing w:line="400" w:lineRule="exact"/>
              <w:jc w:val="left"/>
              <w:rPr>
                <w:rFonts w:hint="eastAsia" w:ascii="宋体" w:hAnsi="宋体" w:eastAsia="宋体" w:cs="宋体"/>
                <w:b w:val="0"/>
                <w:bCs w:val="0"/>
                <w:iCs/>
                <w:sz w:val="21"/>
                <w:szCs w:val="21"/>
              </w:rPr>
            </w:pPr>
            <w:r>
              <w:rPr>
                <w:rFonts w:hint="eastAsia" w:ascii="宋体" w:hAnsi="宋体" w:eastAsia="宋体" w:cs="宋体"/>
                <w:b w:val="0"/>
                <w:bCs w:val="0"/>
                <w:iCs/>
                <w:sz w:val="21"/>
                <w:szCs w:val="21"/>
              </w:rPr>
              <w:t>因本合同及合同有关事项发生的争议，按下列第</w:t>
            </w:r>
            <w:r>
              <w:rPr>
                <w:rFonts w:hint="eastAsia" w:ascii="宋体" w:hAnsi="宋体" w:eastAsia="宋体" w:cs="宋体"/>
                <w:b w:val="0"/>
                <w:bCs w:val="0"/>
                <w:iCs/>
                <w:sz w:val="21"/>
                <w:szCs w:val="21"/>
                <w:u w:val="single"/>
              </w:rPr>
              <w:t xml:space="preserve"> </w:t>
            </w:r>
            <w:r>
              <w:rPr>
                <w:rFonts w:hint="eastAsia" w:ascii="宋体" w:hAnsi="宋体" w:eastAsia="宋体" w:cs="宋体"/>
                <w:b w:val="0"/>
                <w:bCs w:val="0"/>
                <w:iCs/>
                <w:sz w:val="21"/>
                <w:szCs w:val="21"/>
                <w:u w:val="single"/>
                <w:lang w:eastAsia="zh-CN"/>
              </w:rPr>
              <w:t>（</w:t>
            </w:r>
            <w:r>
              <w:rPr>
                <w:rFonts w:hint="eastAsia" w:ascii="宋体" w:hAnsi="宋体" w:eastAsia="宋体" w:cs="宋体"/>
                <w:b w:val="0"/>
                <w:bCs w:val="0"/>
                <w:iCs/>
                <w:sz w:val="21"/>
                <w:szCs w:val="21"/>
                <w:u w:val="single"/>
                <w:lang w:val="en-US" w:eastAsia="zh-CN"/>
              </w:rPr>
              <w:t>2）</w:t>
            </w:r>
            <w:r>
              <w:rPr>
                <w:rFonts w:hint="eastAsia" w:ascii="宋体" w:hAnsi="宋体" w:eastAsia="宋体" w:cs="宋体"/>
                <w:b w:val="0"/>
                <w:bCs w:val="0"/>
                <w:iCs/>
                <w:sz w:val="21"/>
                <w:szCs w:val="21"/>
                <w:u w:val="single"/>
              </w:rPr>
              <w:t xml:space="preserve">  </w:t>
            </w:r>
            <w:r>
              <w:rPr>
                <w:rFonts w:hint="eastAsia" w:ascii="宋体" w:hAnsi="宋体" w:eastAsia="宋体" w:cs="宋体"/>
                <w:b w:val="0"/>
                <w:bCs w:val="0"/>
                <w:iCs/>
                <w:sz w:val="21"/>
                <w:szCs w:val="21"/>
              </w:rPr>
              <w:t>种方式解决：</w:t>
            </w:r>
          </w:p>
          <w:p w14:paraId="7ABD39A6">
            <w:pPr>
              <w:spacing w:line="400" w:lineRule="exact"/>
              <w:jc w:val="left"/>
              <w:rPr>
                <w:rFonts w:hint="eastAsia" w:ascii="宋体" w:hAnsi="宋体" w:eastAsia="宋体" w:cs="宋体"/>
                <w:b w:val="0"/>
                <w:bCs w:val="0"/>
                <w:iCs/>
                <w:sz w:val="21"/>
                <w:szCs w:val="21"/>
              </w:rPr>
            </w:pPr>
            <w:r>
              <w:rPr>
                <w:rFonts w:hint="eastAsia" w:ascii="宋体" w:hAnsi="宋体" w:eastAsia="宋体" w:cs="宋体"/>
                <w:b w:val="0"/>
                <w:bCs w:val="0"/>
                <w:iCs/>
                <w:sz w:val="21"/>
                <w:szCs w:val="21"/>
              </w:rPr>
              <w:t>（1）向</w:t>
            </w:r>
            <w:r>
              <w:rPr>
                <w:rFonts w:hint="eastAsia" w:ascii="宋体" w:hAnsi="宋体" w:eastAsia="宋体" w:cs="宋体"/>
                <w:b w:val="0"/>
                <w:bCs w:val="0"/>
                <w:iCs/>
                <w:sz w:val="21"/>
                <w:szCs w:val="21"/>
                <w:u w:val="single"/>
              </w:rPr>
              <w:t xml:space="preserve">                    </w:t>
            </w:r>
            <w:r>
              <w:rPr>
                <w:rFonts w:hint="eastAsia" w:ascii="宋体" w:hAnsi="宋体" w:eastAsia="宋体" w:cs="宋体"/>
                <w:b w:val="0"/>
                <w:bCs w:val="0"/>
                <w:iCs/>
                <w:sz w:val="21"/>
                <w:szCs w:val="21"/>
              </w:rPr>
              <w:t>仲裁委员会申请仲裁，仲裁地点为</w:t>
            </w:r>
            <w:r>
              <w:rPr>
                <w:rFonts w:hint="eastAsia" w:ascii="宋体" w:hAnsi="宋体" w:eastAsia="宋体" w:cs="宋体"/>
                <w:b w:val="0"/>
                <w:bCs w:val="0"/>
                <w:iCs/>
                <w:sz w:val="21"/>
                <w:szCs w:val="21"/>
                <w:u w:val="single"/>
              </w:rPr>
              <w:t xml:space="preserve">           </w:t>
            </w:r>
            <w:r>
              <w:rPr>
                <w:rFonts w:hint="eastAsia" w:ascii="宋体" w:hAnsi="宋体" w:eastAsia="宋体" w:cs="宋体"/>
                <w:b w:val="0"/>
                <w:bCs w:val="0"/>
                <w:iCs/>
                <w:sz w:val="21"/>
                <w:szCs w:val="21"/>
              </w:rPr>
              <w:t>；</w:t>
            </w:r>
          </w:p>
          <w:p w14:paraId="1610E594">
            <w:pPr>
              <w:ind w:firstLine="0"/>
              <w:jc w:val="left"/>
              <w:rPr>
                <w:rFonts w:hint="eastAsia" w:ascii="宋体" w:hAnsi="宋体" w:eastAsia="宋体" w:cs="宋体"/>
                <w:b w:val="0"/>
                <w:bCs w:val="0"/>
                <w:iCs/>
                <w:sz w:val="21"/>
                <w:szCs w:val="21"/>
              </w:rPr>
            </w:pPr>
            <w:r>
              <w:rPr>
                <w:rFonts w:hint="eastAsia" w:ascii="宋体" w:hAnsi="宋体" w:eastAsia="宋体" w:cs="宋体"/>
                <w:b w:val="0"/>
                <w:bCs w:val="0"/>
                <w:iCs/>
                <w:sz w:val="21"/>
                <w:szCs w:val="21"/>
              </w:rPr>
              <w:t>（2）向</w:t>
            </w:r>
            <w:r>
              <w:rPr>
                <w:rFonts w:hint="eastAsia" w:ascii="宋体" w:hAnsi="宋体" w:eastAsia="宋体" w:cs="宋体"/>
                <w:b w:val="0"/>
                <w:bCs w:val="0"/>
                <w:iCs/>
                <w:sz w:val="21"/>
                <w:szCs w:val="21"/>
                <w:u w:val="single"/>
              </w:rPr>
              <w:t xml:space="preserve">  甲方住所地  </w:t>
            </w:r>
            <w:r>
              <w:rPr>
                <w:rFonts w:hint="eastAsia" w:ascii="宋体" w:hAnsi="宋体" w:eastAsia="宋体" w:cs="宋体"/>
                <w:b w:val="0"/>
                <w:bCs w:val="0"/>
                <w:iCs/>
                <w:sz w:val="21"/>
                <w:szCs w:val="21"/>
              </w:rPr>
              <w:t>人民法院起诉。</w:t>
            </w:r>
          </w:p>
          <w:p w14:paraId="77296924">
            <w:pPr>
              <w:keepNext w:val="0"/>
              <w:keepLines w:val="0"/>
              <w:pageBreakBefore w:val="0"/>
              <w:widowControl w:val="0"/>
              <w:spacing w:line="360" w:lineRule="exact"/>
              <w:jc w:val="left"/>
              <w:rPr>
                <w:rFonts w:hint="eastAsia" w:ascii="宋体" w:hAnsi="宋体" w:eastAsia="宋体" w:cs="宋体"/>
                <w:sz w:val="21"/>
                <w:szCs w:val="21"/>
              </w:rPr>
            </w:pPr>
            <w:r>
              <w:rPr>
                <w:rFonts w:hint="eastAsia" w:ascii="宋体" w:hAnsi="宋体" w:eastAsia="宋体" w:cs="宋体"/>
                <w:sz w:val="21"/>
                <w:szCs w:val="21"/>
              </w:rPr>
              <w:t>2. 纠纷解决办法</w:t>
            </w:r>
          </w:p>
          <w:p w14:paraId="23E3E177">
            <w:pPr>
              <w:pStyle w:val="255"/>
              <w:rPr>
                <w:rFonts w:hint="eastAsia" w:ascii="宋体" w:hAnsi="宋体" w:eastAsia="宋体" w:cs="宋体"/>
                <w:sz w:val="21"/>
                <w:szCs w:val="21"/>
              </w:rPr>
            </w:pPr>
            <w:r>
              <w:rPr>
                <w:rFonts w:hint="eastAsia" w:ascii="宋体" w:hAnsi="宋体" w:eastAsia="宋体" w:cs="宋体"/>
                <w:b w:val="0"/>
                <w:bCs w:val="0"/>
                <w:iCs/>
                <w:sz w:val="21"/>
                <w:szCs w:val="21"/>
              </w:rPr>
              <w:t>2.1因货物的质量问题发生争议的，应当邀请国家认可的质量检测机构对货物质量进行鉴定。货物符合标准的，鉴定费由甲方承担；货物不符合质量标准的，鉴定费由乙方承担，并更换问题货物。</w:t>
            </w:r>
          </w:p>
        </w:tc>
      </w:tr>
      <w:tr w14:paraId="2D371AD0">
        <w:tblPrEx>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CellMar>
            <w:top w:w="0" w:type="dxa"/>
            <w:left w:w="108" w:type="dxa"/>
            <w:bottom w:w="0" w:type="dxa"/>
            <w:right w:w="108" w:type="dxa"/>
          </w:tblCellMar>
        </w:tblPrEx>
        <w:trPr>
          <w:trHeight w:val="770" w:hRule="atLeast"/>
        </w:trPr>
        <w:tc>
          <w:tcPr>
            <w:tcW w:w="1542" w:type="dxa"/>
            <w:vMerge w:val="restart"/>
            <w:noWrap w:val="0"/>
            <w:vAlign w:val="center"/>
          </w:tcPr>
          <w:p w14:paraId="6A3F16B4">
            <w:pPr>
              <w:jc w:val="center"/>
              <w:rPr>
                <w:rFonts w:hint="eastAsia" w:ascii="宋体" w:hAnsi="宋体" w:eastAsia="宋体" w:cs="宋体"/>
                <w:sz w:val="21"/>
                <w:szCs w:val="21"/>
              </w:rPr>
            </w:pPr>
            <w:r>
              <w:rPr>
                <w:rFonts w:hint="eastAsia" w:ascii="宋体" w:hAnsi="宋体" w:eastAsia="宋体" w:cs="宋体"/>
                <w:sz w:val="21"/>
                <w:szCs w:val="21"/>
              </w:rPr>
              <w:t>第二节</w:t>
            </w:r>
          </w:p>
          <w:p w14:paraId="1C4A3C4C">
            <w:pPr>
              <w:jc w:val="center"/>
              <w:rPr>
                <w:rFonts w:hint="eastAsia" w:ascii="宋体" w:hAnsi="宋体" w:eastAsia="宋体" w:cs="宋体"/>
                <w:sz w:val="21"/>
                <w:szCs w:val="21"/>
              </w:rPr>
            </w:pPr>
            <w:r>
              <w:rPr>
                <w:rFonts w:hint="eastAsia" w:ascii="宋体" w:hAnsi="宋体" w:eastAsia="宋体" w:cs="宋体"/>
                <w:sz w:val="21"/>
                <w:szCs w:val="21"/>
              </w:rPr>
              <w:t>第2</w:t>
            </w:r>
            <w:r>
              <w:rPr>
                <w:rFonts w:hint="eastAsia" w:ascii="宋体" w:hAnsi="宋体" w:eastAsia="宋体" w:cs="宋体"/>
                <w:sz w:val="21"/>
                <w:szCs w:val="21"/>
                <w:lang w:val="en-US" w:eastAsia="zh-CN"/>
              </w:rPr>
              <w:t>3.1</w:t>
            </w:r>
            <w:r>
              <w:rPr>
                <w:rFonts w:hint="eastAsia" w:ascii="宋体" w:hAnsi="宋体" w:eastAsia="宋体" w:cs="宋体"/>
                <w:sz w:val="21"/>
                <w:szCs w:val="21"/>
                <w:lang w:eastAsia="zh-CN"/>
              </w:rPr>
              <w:t>款</w:t>
            </w:r>
          </w:p>
        </w:tc>
        <w:tc>
          <w:tcPr>
            <w:tcW w:w="1895" w:type="dxa"/>
            <w:vMerge w:val="restart"/>
            <w:noWrap w:val="0"/>
            <w:vAlign w:val="center"/>
          </w:tcPr>
          <w:p w14:paraId="596B253E">
            <w:pPr>
              <w:jc w:val="center"/>
              <w:rPr>
                <w:rFonts w:hint="eastAsia" w:ascii="宋体" w:hAnsi="宋体" w:eastAsia="宋体" w:cs="宋体"/>
                <w:sz w:val="21"/>
                <w:szCs w:val="21"/>
              </w:rPr>
            </w:pPr>
            <w:r>
              <w:rPr>
                <w:rFonts w:hint="eastAsia" w:ascii="宋体" w:hAnsi="宋体" w:eastAsia="宋体" w:cs="宋体"/>
                <w:bCs/>
                <w:color w:val="000000"/>
                <w:sz w:val="21"/>
                <w:szCs w:val="21"/>
                <w:highlight w:val="none"/>
                <w:lang w:eastAsia="zh-CN"/>
              </w:rPr>
              <w:t>其他专用条款</w:t>
            </w:r>
          </w:p>
        </w:tc>
        <w:tc>
          <w:tcPr>
            <w:tcW w:w="5946" w:type="dxa"/>
            <w:noWrap w:val="0"/>
            <w:vAlign w:val="center"/>
          </w:tcPr>
          <w:p w14:paraId="7BEB06FF">
            <w:pPr>
              <w:jc w:val="left"/>
              <w:rPr>
                <w:rFonts w:hint="eastAsia" w:ascii="宋体" w:hAnsi="宋体" w:eastAsia="宋体" w:cs="宋体"/>
                <w:sz w:val="21"/>
                <w:szCs w:val="21"/>
                <w:lang w:val="en-US" w:eastAsia="zh-CN"/>
              </w:rPr>
            </w:pPr>
            <w:r>
              <w:rPr>
                <w:rFonts w:hint="eastAsia" w:ascii="宋体" w:hAnsi="宋体" w:eastAsia="宋体" w:cs="宋体"/>
                <w:color w:val="000000"/>
                <w:sz w:val="21"/>
                <w:szCs w:val="21"/>
              </w:rPr>
              <w:t>本合同执行中相关的一切税费均由乙方负担。</w:t>
            </w:r>
          </w:p>
        </w:tc>
      </w:tr>
      <w:tr w14:paraId="78581AF2">
        <w:tblPrEx>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CellMar>
            <w:top w:w="0" w:type="dxa"/>
            <w:left w:w="108" w:type="dxa"/>
            <w:bottom w:w="0" w:type="dxa"/>
            <w:right w:w="108" w:type="dxa"/>
          </w:tblCellMar>
        </w:tblPrEx>
        <w:trPr>
          <w:trHeight w:val="770" w:hRule="atLeast"/>
        </w:trPr>
        <w:tc>
          <w:tcPr>
            <w:tcW w:w="1542" w:type="dxa"/>
            <w:vMerge w:val="continue"/>
            <w:noWrap w:val="0"/>
            <w:vAlign w:val="center"/>
          </w:tcPr>
          <w:p w14:paraId="72032841">
            <w:pPr>
              <w:jc w:val="center"/>
              <w:rPr>
                <w:rFonts w:hint="eastAsia" w:ascii="宋体" w:hAnsi="宋体" w:eastAsia="宋体" w:cs="宋体"/>
                <w:sz w:val="21"/>
                <w:szCs w:val="21"/>
              </w:rPr>
            </w:pPr>
          </w:p>
        </w:tc>
        <w:tc>
          <w:tcPr>
            <w:tcW w:w="1895" w:type="dxa"/>
            <w:vMerge w:val="continue"/>
            <w:noWrap w:val="0"/>
            <w:vAlign w:val="center"/>
          </w:tcPr>
          <w:p w14:paraId="434B22A6">
            <w:pPr>
              <w:jc w:val="left"/>
              <w:rPr>
                <w:rFonts w:hint="eastAsia" w:ascii="宋体" w:hAnsi="宋体" w:eastAsia="宋体" w:cs="宋体"/>
                <w:bCs/>
                <w:color w:val="000000"/>
                <w:sz w:val="21"/>
                <w:szCs w:val="21"/>
                <w:highlight w:val="none"/>
                <w:lang w:eastAsia="zh-CN"/>
              </w:rPr>
            </w:pPr>
          </w:p>
        </w:tc>
        <w:tc>
          <w:tcPr>
            <w:tcW w:w="5946" w:type="dxa"/>
            <w:noWrap w:val="0"/>
            <w:vAlign w:val="center"/>
          </w:tcPr>
          <w:p w14:paraId="26FA8C66">
            <w:pPr>
              <w:spacing w:line="420" w:lineRule="exact"/>
              <w:ind w:firstLine="361"/>
              <w:rPr>
                <w:rFonts w:hint="eastAsia" w:ascii="宋体" w:hAnsi="宋体" w:eastAsia="宋体" w:cs="宋体"/>
                <w:sz w:val="21"/>
                <w:szCs w:val="21"/>
              </w:rPr>
            </w:pPr>
            <w:r>
              <w:rPr>
                <w:rFonts w:hint="eastAsia" w:ascii="宋体" w:hAnsi="宋体" w:eastAsia="宋体" w:cs="宋体"/>
                <w:b/>
                <w:bCs/>
                <w:sz w:val="21"/>
                <w:szCs w:val="21"/>
              </w:rPr>
              <w:t>索赔</w:t>
            </w:r>
          </w:p>
          <w:p w14:paraId="551E161C">
            <w:pPr>
              <w:keepNext w:val="0"/>
              <w:keepLines w:val="0"/>
              <w:pageBreakBefore w:val="0"/>
              <w:widowControl w:val="0"/>
              <w:spacing w:line="360" w:lineRule="exact"/>
              <w:ind w:firstLine="420"/>
              <w:rPr>
                <w:rFonts w:hint="eastAsia" w:ascii="宋体" w:hAnsi="宋体" w:eastAsia="宋体" w:cs="宋体"/>
                <w:color w:val="000000"/>
                <w:sz w:val="21"/>
                <w:szCs w:val="21"/>
              </w:rPr>
            </w:pPr>
            <w:r>
              <w:rPr>
                <w:rFonts w:hint="eastAsia" w:ascii="宋体" w:hAnsi="宋体" w:cs="宋体"/>
                <w:color w:val="000000"/>
                <w:sz w:val="21"/>
                <w:szCs w:val="21"/>
                <w:lang w:eastAsia="zh-CN"/>
              </w:rPr>
              <w:t>1.</w:t>
            </w:r>
            <w:r>
              <w:rPr>
                <w:rFonts w:hint="eastAsia" w:ascii="宋体" w:hAnsi="宋体" w:eastAsia="宋体" w:cs="宋体"/>
                <w:color w:val="000000"/>
                <w:sz w:val="21"/>
                <w:szCs w:val="21"/>
              </w:rPr>
              <w:t>甲方有权根据当地法定检验机构出具的检验报告，向乙方提出索赔。</w:t>
            </w:r>
          </w:p>
          <w:p w14:paraId="6A01AA52">
            <w:pPr>
              <w:keepNext w:val="0"/>
              <w:keepLines w:val="0"/>
              <w:pageBreakBefore w:val="0"/>
              <w:widowControl w:val="0"/>
              <w:spacing w:line="360" w:lineRule="exact"/>
              <w:rPr>
                <w:rFonts w:hint="eastAsia" w:ascii="宋体" w:hAnsi="宋体" w:eastAsia="宋体" w:cs="宋体"/>
                <w:color w:val="000000"/>
                <w:sz w:val="21"/>
                <w:szCs w:val="21"/>
              </w:rPr>
            </w:pPr>
            <w:r>
              <w:rPr>
                <w:rFonts w:hint="eastAsia" w:ascii="宋体" w:hAnsi="宋体" w:eastAsia="宋体" w:cs="宋体"/>
                <w:color w:val="000000"/>
                <w:sz w:val="21"/>
                <w:szCs w:val="21"/>
              </w:rPr>
              <w:tab/>
            </w:r>
            <w:r>
              <w:rPr>
                <w:rFonts w:hint="eastAsia" w:ascii="宋体" w:hAnsi="宋体" w:eastAsia="宋体" w:cs="宋体"/>
                <w:color w:val="000000"/>
                <w:sz w:val="21"/>
                <w:szCs w:val="21"/>
              </w:rPr>
              <w:t xml:space="preserve"> 2、根据合同规定的质量保证期内，如果乙方对甲方提出的索赔负有责任，乙方应按照甲方同意的下列一种或多种方式解决索赔事宜：</w:t>
            </w:r>
          </w:p>
          <w:p w14:paraId="56DC58A0">
            <w:pPr>
              <w:keepNext w:val="0"/>
              <w:keepLines w:val="0"/>
              <w:pageBreakBefore w:val="0"/>
              <w:widowControl w:val="0"/>
              <w:spacing w:line="360" w:lineRule="exact"/>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   （1）乙方同意退货，并将货款退还给甲方，并承担由此发生的一切损失和费用，包括利息、银行手续费、运费、保险费、检验费、仓储费、装卸费以及为保护退回货物所需的</w:t>
            </w:r>
            <w:r>
              <w:rPr>
                <w:rFonts w:hint="eastAsia" w:ascii="宋体" w:hAnsi="宋体" w:cs="宋体"/>
                <w:color w:val="000000"/>
                <w:sz w:val="21"/>
                <w:szCs w:val="21"/>
                <w:lang w:eastAsia="zh-CN"/>
              </w:rPr>
              <w:t>其他</w:t>
            </w:r>
            <w:r>
              <w:rPr>
                <w:rFonts w:hint="eastAsia" w:ascii="宋体" w:hAnsi="宋体" w:eastAsia="宋体" w:cs="宋体"/>
                <w:color w:val="000000"/>
                <w:sz w:val="21"/>
                <w:szCs w:val="21"/>
              </w:rPr>
              <w:t>必要费用；</w:t>
            </w:r>
          </w:p>
          <w:p w14:paraId="388B3E76">
            <w:pPr>
              <w:keepNext w:val="0"/>
              <w:keepLines w:val="0"/>
              <w:pageBreakBefore w:val="0"/>
              <w:widowControl w:val="0"/>
              <w:spacing w:line="360" w:lineRule="exact"/>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   （2）根据货物的低劣程度、损坏程度以及甲方所遭受损失的数额，乙方必须按甲方所能接受的数额，降低货物的价格；</w:t>
            </w:r>
          </w:p>
          <w:p w14:paraId="62944E66">
            <w:pPr>
              <w:keepNext w:val="0"/>
              <w:keepLines w:val="0"/>
              <w:pageBreakBefore w:val="0"/>
              <w:widowControl w:val="0"/>
              <w:spacing w:line="360" w:lineRule="exact"/>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   （3）用符合合同规定的规格、质量和性能要求的新货物来更换有缺陷的部分，乙方应承担一切费用和风险，并负担甲方所蒙受的全部直接损失费用。同时，乙方应按合同规定，对修补或更换的货物相应延长质量保证期。</w:t>
            </w:r>
          </w:p>
          <w:p w14:paraId="66CD5EB9">
            <w:pPr>
              <w:keepNext w:val="0"/>
              <w:keepLines w:val="0"/>
              <w:pageBreakBefore w:val="0"/>
              <w:widowControl w:val="0"/>
              <w:spacing w:line="360" w:lineRule="exact"/>
              <w:rPr>
                <w:rFonts w:hint="eastAsia" w:ascii="宋体" w:hAnsi="宋体" w:eastAsia="宋体" w:cs="宋体"/>
                <w:color w:val="00B0F0"/>
                <w:sz w:val="21"/>
                <w:szCs w:val="21"/>
              </w:rPr>
            </w:pPr>
            <w:r>
              <w:rPr>
                <w:rFonts w:hint="eastAsia" w:ascii="宋体" w:hAnsi="宋体" w:eastAsia="宋体" w:cs="宋体"/>
                <w:color w:val="000000"/>
                <w:sz w:val="21"/>
                <w:szCs w:val="21"/>
              </w:rPr>
              <w:t xml:space="preserve">  </w:t>
            </w:r>
            <w:r>
              <w:rPr>
                <w:rFonts w:hint="eastAsia" w:ascii="宋体" w:hAnsi="宋体" w:eastAsia="宋体" w:cs="宋体"/>
                <w:color w:val="000000"/>
                <w:sz w:val="21"/>
                <w:szCs w:val="21"/>
              </w:rPr>
              <w:tab/>
            </w:r>
            <w:r>
              <w:rPr>
                <w:rFonts w:hint="eastAsia" w:ascii="宋体" w:hAnsi="宋体" w:eastAsia="宋体" w:cs="宋体"/>
                <w:color w:val="000000"/>
                <w:sz w:val="21"/>
                <w:szCs w:val="21"/>
              </w:rPr>
              <w:t xml:space="preserve"> 3、如果在甲方发出索赔通知后20 天内，乙方未能作出答复，上述索赔应视为已被乙方接受，如乙方未能在甲方提出索赔通知后20天内或甲方同意的更长时间内，按照本合同规定的任何一种方法解决索赔事宜，甲方将从乙方的履约保证金中扣回索赔金额，或采用法律手段解决索赔事宜。</w:t>
            </w:r>
            <w:r>
              <w:rPr>
                <w:rFonts w:hint="eastAsia" w:ascii="宋体" w:hAnsi="宋体" w:eastAsia="宋体" w:cs="宋体"/>
                <w:b/>
                <w:color w:val="00B0F0"/>
                <w:sz w:val="21"/>
                <w:szCs w:val="21"/>
              </w:rPr>
              <w:t xml:space="preserve"> </w:t>
            </w:r>
          </w:p>
          <w:p w14:paraId="27DACE02">
            <w:pPr>
              <w:jc w:val="left"/>
              <w:rPr>
                <w:rFonts w:hint="eastAsia" w:ascii="宋体" w:hAnsi="宋体" w:eastAsia="宋体" w:cs="宋体"/>
                <w:color w:val="000000"/>
                <w:sz w:val="21"/>
                <w:szCs w:val="21"/>
              </w:rPr>
            </w:pPr>
          </w:p>
        </w:tc>
      </w:tr>
      <w:tr w14:paraId="33D5E6FA">
        <w:tblPrEx>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CellMar>
            <w:top w:w="0" w:type="dxa"/>
            <w:left w:w="108" w:type="dxa"/>
            <w:bottom w:w="0" w:type="dxa"/>
            <w:right w:w="108" w:type="dxa"/>
          </w:tblCellMar>
        </w:tblPrEx>
        <w:trPr>
          <w:trHeight w:val="770" w:hRule="atLeast"/>
        </w:trPr>
        <w:tc>
          <w:tcPr>
            <w:tcW w:w="1542" w:type="dxa"/>
            <w:vMerge w:val="continue"/>
            <w:noWrap w:val="0"/>
            <w:vAlign w:val="center"/>
          </w:tcPr>
          <w:p w14:paraId="353137FF">
            <w:pPr>
              <w:jc w:val="center"/>
              <w:rPr>
                <w:rFonts w:hint="eastAsia" w:ascii="宋体" w:hAnsi="宋体" w:eastAsia="宋体" w:cs="宋体"/>
                <w:sz w:val="21"/>
                <w:szCs w:val="21"/>
              </w:rPr>
            </w:pPr>
          </w:p>
        </w:tc>
        <w:tc>
          <w:tcPr>
            <w:tcW w:w="1895" w:type="dxa"/>
            <w:vMerge w:val="continue"/>
            <w:noWrap w:val="0"/>
            <w:vAlign w:val="center"/>
          </w:tcPr>
          <w:p w14:paraId="79EBE378">
            <w:pPr>
              <w:jc w:val="left"/>
              <w:rPr>
                <w:rFonts w:hint="eastAsia" w:ascii="宋体" w:hAnsi="宋体" w:eastAsia="宋体" w:cs="宋体"/>
                <w:bCs/>
                <w:color w:val="000000"/>
                <w:sz w:val="21"/>
                <w:szCs w:val="21"/>
                <w:highlight w:val="none"/>
                <w:lang w:eastAsia="zh-CN"/>
              </w:rPr>
            </w:pPr>
          </w:p>
        </w:tc>
        <w:tc>
          <w:tcPr>
            <w:tcW w:w="5946" w:type="dxa"/>
            <w:noWrap w:val="0"/>
            <w:vAlign w:val="center"/>
          </w:tcPr>
          <w:p w14:paraId="5684AF47">
            <w:pPr>
              <w:spacing w:line="380" w:lineRule="exact"/>
              <w:ind w:firstLine="425"/>
              <w:rPr>
                <w:rFonts w:hint="eastAsia" w:ascii="宋体" w:hAnsi="宋体" w:eastAsia="宋体" w:cs="宋体"/>
                <w:color w:val="000000"/>
                <w:sz w:val="21"/>
                <w:szCs w:val="21"/>
              </w:rPr>
            </w:pPr>
            <w:r>
              <w:rPr>
                <w:rFonts w:hint="eastAsia" w:ascii="宋体" w:hAnsi="宋体" w:eastAsia="宋体" w:cs="宋体"/>
                <w:b/>
                <w:bCs/>
                <w:sz w:val="21"/>
                <w:szCs w:val="21"/>
                <w:highlight w:val="none"/>
              </w:rPr>
              <w:t>验收</w:t>
            </w:r>
          </w:p>
          <w:p w14:paraId="6140E441">
            <w:pPr>
              <w:spacing w:line="380" w:lineRule="exact"/>
              <w:ind w:firstLine="425"/>
              <w:rPr>
                <w:rFonts w:hint="eastAsia" w:ascii="宋体" w:hAnsi="宋体" w:eastAsia="宋体" w:cs="宋体"/>
                <w:color w:val="000000"/>
                <w:sz w:val="21"/>
                <w:szCs w:val="21"/>
              </w:rPr>
            </w:pPr>
            <w:r>
              <w:rPr>
                <w:rFonts w:hint="eastAsia" w:ascii="宋体" w:hAnsi="宋体" w:cs="宋体"/>
                <w:color w:val="000000"/>
                <w:sz w:val="21"/>
                <w:szCs w:val="21"/>
                <w:lang w:eastAsia="zh-CN"/>
              </w:rPr>
              <w:t>1.</w:t>
            </w:r>
            <w:r>
              <w:rPr>
                <w:rFonts w:hint="eastAsia" w:ascii="宋体" w:hAnsi="宋体" w:eastAsia="宋体" w:cs="宋体"/>
                <w:color w:val="000000"/>
                <w:sz w:val="21"/>
                <w:szCs w:val="21"/>
              </w:rPr>
              <w:t>在交货前，乙方应对标的物的质量、规格、性能、数量等进行详细而全面的检验，并出具一份合格检验证明，合格检验证明作为甲方验收的依据，但不能作为有关标的物质量、规格、数量或性能的最终检验结果。</w:t>
            </w:r>
          </w:p>
          <w:p w14:paraId="0F2CDCFC">
            <w:pPr>
              <w:spacing w:line="400" w:lineRule="exact"/>
              <w:ind w:firstLine="480"/>
              <w:rPr>
                <w:rFonts w:hint="eastAsia" w:ascii="宋体" w:hAnsi="宋体" w:eastAsia="宋体" w:cs="宋体"/>
                <w:color w:val="000000"/>
                <w:sz w:val="21"/>
                <w:szCs w:val="21"/>
              </w:rPr>
            </w:pPr>
            <w:r>
              <w:rPr>
                <w:rFonts w:hint="eastAsia" w:ascii="宋体" w:hAnsi="宋体" w:cs="宋体"/>
                <w:color w:val="000000"/>
                <w:sz w:val="21"/>
                <w:szCs w:val="21"/>
                <w:lang w:eastAsia="zh-CN"/>
              </w:rPr>
              <w:t>2.</w:t>
            </w:r>
            <w:r>
              <w:rPr>
                <w:rFonts w:hint="eastAsia" w:ascii="宋体" w:hAnsi="宋体" w:eastAsia="宋体" w:cs="宋体"/>
                <w:color w:val="000000"/>
                <w:sz w:val="21"/>
                <w:szCs w:val="21"/>
              </w:rPr>
              <w:t>货物运抵现场后，甲方将对货物的质量、规格、数量或重量等有关配置情况进行检验，如发现货物的质量、规格、数量或重量等有关配置情况与招标文件及合同有不符之处，甲方有权在货物运抵现场后90天内，根据甲方按检验标准和自己的检验结果或当地质检部门出具的检验证书向乙方提出更换。</w:t>
            </w:r>
          </w:p>
          <w:p w14:paraId="02D60EB4">
            <w:pPr>
              <w:spacing w:line="400" w:lineRule="exact"/>
              <w:ind w:firstLine="420"/>
              <w:rPr>
                <w:rFonts w:hint="eastAsia" w:ascii="宋体" w:hAnsi="宋体" w:eastAsia="宋体" w:cs="宋体"/>
                <w:color w:val="000000"/>
                <w:sz w:val="21"/>
                <w:szCs w:val="21"/>
              </w:rPr>
            </w:pPr>
            <w:r>
              <w:rPr>
                <w:rFonts w:hint="eastAsia" w:ascii="宋体" w:hAnsi="宋体" w:cs="宋体"/>
                <w:color w:val="000000"/>
                <w:sz w:val="21"/>
                <w:szCs w:val="21"/>
                <w:lang w:eastAsia="zh-CN"/>
              </w:rPr>
              <w:t>3.</w:t>
            </w:r>
            <w:r>
              <w:rPr>
                <w:rFonts w:hint="eastAsia" w:ascii="宋体" w:hAnsi="宋体" w:eastAsia="宋体" w:cs="宋体"/>
                <w:color w:val="000000"/>
                <w:sz w:val="21"/>
                <w:szCs w:val="21"/>
              </w:rPr>
              <w:t xml:space="preserve"> 如果货物的有关质量、规格、性能、数量或重量等有关配置情况与招标文件及合同不符，或在规定的质量保证期内证实货物是有缺陷的，包括潜在的缺陷或使用不符合要求的材料，甲方将有权向乙方提出索赔。</w:t>
            </w:r>
          </w:p>
          <w:p w14:paraId="126755DF">
            <w:pPr>
              <w:spacing w:line="420" w:lineRule="exact"/>
              <w:ind w:firstLine="420"/>
              <w:rPr>
                <w:rFonts w:hint="eastAsia" w:ascii="宋体" w:hAnsi="宋体" w:eastAsia="宋体" w:cs="宋体"/>
                <w:color w:val="000000"/>
                <w:sz w:val="21"/>
                <w:szCs w:val="21"/>
              </w:rPr>
            </w:pPr>
            <w:r>
              <w:rPr>
                <w:rFonts w:hint="eastAsia" w:ascii="宋体" w:hAnsi="宋体" w:cs="宋体"/>
                <w:color w:val="000000"/>
                <w:sz w:val="21"/>
                <w:szCs w:val="21"/>
                <w:lang w:val="en-US" w:eastAsia="zh-CN"/>
              </w:rPr>
              <w:t>4.</w:t>
            </w:r>
            <w:r>
              <w:rPr>
                <w:rFonts w:hint="eastAsia" w:ascii="宋体" w:hAnsi="宋体" w:eastAsia="宋体" w:cs="宋体"/>
                <w:color w:val="000000"/>
                <w:sz w:val="21"/>
                <w:szCs w:val="21"/>
              </w:rPr>
              <w:t>验收期限自车辆验车上牌合格并试用15天后，甲方组织相关部门进行验收，特殊情况需延长的，双方应特别约定。</w:t>
            </w:r>
          </w:p>
          <w:p w14:paraId="32B01130">
            <w:pPr>
              <w:spacing w:line="420" w:lineRule="exact"/>
              <w:ind w:firstLine="420"/>
              <w:rPr>
                <w:rFonts w:hint="eastAsia" w:ascii="宋体" w:hAnsi="宋体" w:eastAsia="宋体" w:cs="宋体"/>
                <w:color w:val="000000"/>
                <w:sz w:val="21"/>
                <w:szCs w:val="21"/>
              </w:rPr>
            </w:pPr>
            <w:r>
              <w:rPr>
                <w:rFonts w:hint="eastAsia" w:ascii="宋体" w:hAnsi="宋体" w:cs="宋体"/>
                <w:color w:val="000000"/>
                <w:sz w:val="21"/>
                <w:szCs w:val="21"/>
                <w:lang w:val="en-US" w:eastAsia="zh-CN"/>
              </w:rPr>
              <w:t>5.</w:t>
            </w:r>
            <w:r>
              <w:rPr>
                <w:rFonts w:hint="eastAsia" w:ascii="宋体" w:hAnsi="宋体" w:eastAsia="宋体" w:cs="宋体"/>
                <w:color w:val="000000"/>
                <w:sz w:val="21"/>
                <w:szCs w:val="21"/>
              </w:rPr>
              <w:t>如双方对验收结果有分歧，则以技术监督</w:t>
            </w:r>
            <w:r>
              <w:rPr>
                <w:rFonts w:hint="eastAsia" w:ascii="宋体" w:hAnsi="宋体" w:eastAsia="宋体" w:cs="宋体"/>
                <w:color w:val="000000"/>
                <w:sz w:val="21"/>
                <w:szCs w:val="21"/>
                <w:lang w:eastAsia="zh-CN"/>
              </w:rPr>
              <w:t>部门</w:t>
            </w:r>
            <w:r>
              <w:rPr>
                <w:rFonts w:hint="eastAsia" w:ascii="宋体" w:hAnsi="宋体" w:eastAsia="宋体" w:cs="宋体"/>
                <w:color w:val="000000"/>
                <w:sz w:val="21"/>
                <w:szCs w:val="21"/>
              </w:rPr>
              <w:t>（或经双方认可的第三方检验检测机构）的检验结果为准，检验费由有过失的一方支付。</w:t>
            </w:r>
          </w:p>
          <w:p w14:paraId="4E241482">
            <w:pPr>
              <w:jc w:val="left"/>
              <w:rPr>
                <w:rFonts w:hint="eastAsia" w:ascii="宋体" w:hAnsi="宋体" w:eastAsia="宋体" w:cs="宋体"/>
                <w:color w:val="000000"/>
                <w:sz w:val="21"/>
                <w:szCs w:val="21"/>
              </w:rPr>
            </w:pPr>
          </w:p>
        </w:tc>
      </w:tr>
    </w:tbl>
    <w:p w14:paraId="45B566E3">
      <w:pPr>
        <w:rPr>
          <w:color w:val="000000"/>
        </w:rPr>
      </w:pPr>
    </w:p>
    <w:p w14:paraId="3A1D4D12"/>
    <w:p w14:paraId="53B02E1E"/>
    <w:bookmarkEnd w:id="68"/>
    <w:bookmarkEnd w:id="69"/>
    <w:bookmarkEnd w:id="70"/>
    <w:p w14:paraId="405B935E">
      <w:pPr>
        <w:pStyle w:val="248"/>
        <w:spacing w:before="120" w:beforeAutospacing="0" w:after="120" w:afterAutospacing="0" w:line="0" w:lineRule="atLeast"/>
        <w:jc w:val="center"/>
        <w:rPr>
          <w:rFonts w:hint="eastAsia" w:ascii="黑体" w:hAnsi="宋体" w:eastAsia="黑体" w:cs="黑体"/>
          <w:color w:val="000000"/>
          <w:sz w:val="44"/>
          <w:szCs w:val="44"/>
        </w:rPr>
      </w:pPr>
      <w:bookmarkStart w:id="181" w:name="_Toc16938590"/>
      <w:bookmarkStart w:id="182" w:name="_Toc120614244"/>
      <w:bookmarkStart w:id="183" w:name="_Toc20823346"/>
      <w:bookmarkStart w:id="184" w:name="_Hlt16619350"/>
      <w:bookmarkStart w:id="185" w:name="_Toc479757211"/>
      <w:bookmarkStart w:id="186" w:name="_Toc462564139"/>
    </w:p>
    <w:p w14:paraId="03F65F97">
      <w:pPr>
        <w:pStyle w:val="248"/>
        <w:spacing w:before="120" w:beforeAutospacing="0" w:after="120" w:afterAutospacing="0" w:line="0" w:lineRule="atLeast"/>
        <w:jc w:val="center"/>
        <w:rPr>
          <w:rFonts w:hint="eastAsia" w:ascii="黑体" w:hAnsi="宋体" w:eastAsia="黑体" w:cs="黑体"/>
          <w:color w:val="000000"/>
          <w:sz w:val="44"/>
          <w:szCs w:val="44"/>
        </w:rPr>
      </w:pPr>
    </w:p>
    <w:p w14:paraId="164AED22">
      <w:pPr>
        <w:pStyle w:val="248"/>
        <w:spacing w:before="120" w:beforeAutospacing="0" w:after="120" w:afterAutospacing="0" w:line="0" w:lineRule="atLeast"/>
        <w:jc w:val="center"/>
      </w:pPr>
      <w:r>
        <w:rPr>
          <w:rFonts w:hint="eastAsia" w:ascii="黑体" w:hAnsi="宋体" w:eastAsia="黑体" w:cs="黑体"/>
          <w:color w:val="000000"/>
          <w:sz w:val="44"/>
          <w:szCs w:val="44"/>
        </w:rPr>
        <w:t>第四章 采购需求</w:t>
      </w:r>
    </w:p>
    <w:p w14:paraId="7CDEF0C4">
      <w:pPr>
        <w:keepNext w:val="0"/>
        <w:keepLines w:val="0"/>
        <w:pageBreakBefore w:val="0"/>
        <w:widowControl w:val="0"/>
        <w:spacing w:line="460" w:lineRule="exact"/>
        <w:jc w:val="center"/>
        <w:rPr>
          <w:rFonts w:hint="eastAsia" w:ascii="宋体" w:hAnsi="宋体" w:eastAsia="宋体" w:cs="宋体"/>
          <w:b/>
          <w:sz w:val="28"/>
          <w:szCs w:val="28"/>
          <w:lang w:val="en-US" w:eastAsia="zh-CN"/>
        </w:rPr>
      </w:pPr>
      <w:r>
        <w:rPr>
          <w:rFonts w:hint="eastAsia" w:ascii="宋体" w:hAnsi="宋体" w:eastAsia="宋体" w:cs="宋体"/>
          <w:b/>
          <w:sz w:val="28"/>
          <w:szCs w:val="28"/>
          <w:lang w:val="en-US" w:eastAsia="zh-CN"/>
        </w:rPr>
        <w:t>项目属性</w:t>
      </w:r>
      <w:r>
        <w:rPr>
          <w:rFonts w:hint="eastAsia" w:ascii="宋体" w:hAnsi="宋体" w:cs="宋体"/>
          <w:b/>
          <w:sz w:val="28"/>
          <w:szCs w:val="28"/>
          <w:lang w:val="en-US" w:eastAsia="zh-CN"/>
        </w:rPr>
        <w:t>：</w:t>
      </w:r>
      <w:r>
        <w:rPr>
          <w:rFonts w:hint="eastAsia" w:ascii="宋体" w:hAnsi="宋体" w:eastAsia="宋体" w:cs="宋体"/>
          <w:b/>
          <w:sz w:val="28"/>
          <w:szCs w:val="28"/>
          <w:lang w:val="en-US" w:eastAsia="zh-CN"/>
        </w:rPr>
        <w:t>货物类项目。</w:t>
      </w:r>
    </w:p>
    <w:p w14:paraId="3CB0D478">
      <w:pPr>
        <w:keepNext w:val="0"/>
        <w:keepLines w:val="0"/>
        <w:pageBreakBefore w:val="0"/>
        <w:widowControl w:val="0"/>
        <w:spacing w:line="460" w:lineRule="exact"/>
        <w:ind w:firstLine="422" w:firstLineChars="200"/>
        <w:jc w:val="both"/>
        <w:rPr>
          <w:rFonts w:hint="eastAsia" w:ascii="宋体" w:hAnsi="宋体" w:eastAsia="宋体" w:cs="宋体"/>
          <w:b/>
          <w:sz w:val="21"/>
          <w:szCs w:val="21"/>
          <w:lang w:eastAsia="zh-CN"/>
        </w:rPr>
      </w:pPr>
      <w:r>
        <w:rPr>
          <w:rFonts w:hint="eastAsia" w:ascii="宋体" w:hAnsi="宋体" w:eastAsia="宋体" w:cs="宋体"/>
          <w:b/>
          <w:sz w:val="21"/>
          <w:szCs w:val="21"/>
          <w:lang w:val="en-US" w:eastAsia="zh-CN"/>
        </w:rPr>
        <w:t>一、</w:t>
      </w:r>
      <w:r>
        <w:rPr>
          <w:rFonts w:hint="eastAsia" w:ascii="宋体" w:hAnsi="宋体" w:eastAsia="宋体" w:cs="宋体"/>
          <w:b/>
          <w:sz w:val="21"/>
          <w:szCs w:val="21"/>
        </w:rPr>
        <w:t>项目概述</w:t>
      </w:r>
    </w:p>
    <w:p w14:paraId="17F3E0FB">
      <w:pPr>
        <w:keepNext w:val="0"/>
        <w:keepLines w:val="0"/>
        <w:pageBreakBefore w:val="0"/>
        <w:widowControl w:val="0"/>
        <w:numPr>
          <w:ilvl w:val="0"/>
          <w:numId w:val="0"/>
        </w:numPr>
        <w:spacing w:line="460" w:lineRule="exact"/>
        <w:ind w:firstLine="420" w:firstLineChars="200"/>
        <w:rPr>
          <w:rFonts w:hint="eastAsia" w:ascii="宋体" w:hAnsi="宋体" w:eastAsia="宋体" w:cs="宋体"/>
          <w:color w:val="000000"/>
          <w:sz w:val="21"/>
          <w:szCs w:val="21"/>
          <w:lang w:val="en-US" w:eastAsia="zh-CN"/>
        </w:rPr>
      </w:pPr>
      <w:r>
        <w:rPr>
          <w:rFonts w:hint="eastAsia" w:ascii="宋体" w:hAnsi="宋体" w:cs="宋体"/>
          <w:color w:val="000000"/>
          <w:sz w:val="21"/>
          <w:szCs w:val="21"/>
          <w:lang w:val="en-US" w:eastAsia="zh-CN"/>
        </w:rPr>
        <w:t>1.</w:t>
      </w:r>
      <w:r>
        <w:rPr>
          <w:rFonts w:hint="eastAsia" w:ascii="宋体" w:hAnsi="宋体" w:eastAsia="宋体" w:cs="宋体"/>
          <w:color w:val="000000"/>
          <w:sz w:val="21"/>
          <w:szCs w:val="21"/>
        </w:rPr>
        <w:t>采购需求</w:t>
      </w:r>
      <w:r>
        <w:rPr>
          <w:rFonts w:hint="eastAsia" w:ascii="宋体" w:hAnsi="宋体" w:cs="宋体"/>
          <w:color w:val="000000"/>
          <w:sz w:val="21"/>
          <w:szCs w:val="21"/>
          <w:lang w:eastAsia="zh-CN"/>
        </w:rPr>
        <w:t>（</w:t>
      </w:r>
      <w:r>
        <w:rPr>
          <w:rFonts w:hint="eastAsia" w:ascii="宋体" w:hAnsi="宋体" w:eastAsia="宋体" w:cs="宋体"/>
          <w:color w:val="000000"/>
          <w:sz w:val="21"/>
          <w:szCs w:val="21"/>
        </w:rPr>
        <w:t>简介</w:t>
      </w:r>
      <w:r>
        <w:rPr>
          <w:rFonts w:hint="eastAsia" w:ascii="宋体" w:hAnsi="宋体" w:cs="宋体"/>
          <w:color w:val="000000"/>
          <w:sz w:val="21"/>
          <w:szCs w:val="21"/>
          <w:lang w:eastAsia="zh-CN"/>
        </w:rPr>
        <w:t>）</w:t>
      </w:r>
      <w:r>
        <w:rPr>
          <w:rFonts w:hint="eastAsia" w:ascii="宋体" w:hAnsi="宋体" w:eastAsia="宋体" w:cs="宋体"/>
          <w:color w:val="000000"/>
          <w:sz w:val="21"/>
          <w:szCs w:val="21"/>
        </w:rPr>
        <w:t>：</w:t>
      </w:r>
      <w:r>
        <w:rPr>
          <w:rFonts w:hint="eastAsia" w:ascii="宋体" w:hAnsi="宋体" w:cs="宋体"/>
          <w:color w:val="000000"/>
          <w:sz w:val="21"/>
          <w:szCs w:val="21"/>
          <w:lang w:eastAsia="zh-CN"/>
        </w:rPr>
        <w:t>阜宁县人民医院救护车采购项目</w:t>
      </w:r>
      <w:r>
        <w:rPr>
          <w:rFonts w:hint="eastAsia" w:ascii="宋体" w:hAnsi="宋体" w:eastAsia="宋体" w:cs="宋体"/>
          <w:color w:val="000000"/>
          <w:sz w:val="21"/>
          <w:szCs w:val="21"/>
          <w:lang w:eastAsia="zh-CN"/>
        </w:rPr>
        <w:t>，</w:t>
      </w:r>
      <w:r>
        <w:rPr>
          <w:rFonts w:hint="eastAsia" w:ascii="宋体" w:hAnsi="宋体" w:eastAsia="宋体" w:cs="宋体"/>
          <w:color w:val="000000"/>
          <w:sz w:val="21"/>
          <w:szCs w:val="21"/>
          <w:lang w:val="en-US" w:eastAsia="zh-CN"/>
        </w:rPr>
        <w:t>主要为</w:t>
      </w:r>
      <w:r>
        <w:rPr>
          <w:rFonts w:hint="eastAsia" w:ascii="宋体" w:hAnsi="宋体" w:cs="宋体"/>
          <w:color w:val="000000"/>
          <w:sz w:val="21"/>
          <w:szCs w:val="21"/>
          <w:lang w:val="en-US" w:eastAsia="zh-CN"/>
        </w:rPr>
        <w:t>3</w:t>
      </w:r>
      <w:r>
        <w:rPr>
          <w:rFonts w:hint="eastAsia" w:ascii="宋体" w:hAnsi="宋体" w:eastAsia="宋体" w:cs="宋体"/>
          <w:color w:val="000000"/>
          <w:sz w:val="21"/>
          <w:szCs w:val="21"/>
          <w:lang w:val="en-US" w:eastAsia="zh-CN"/>
        </w:rPr>
        <w:t>辆救护车</w:t>
      </w:r>
      <w:r>
        <w:rPr>
          <w:rFonts w:hint="eastAsia" w:ascii="宋体" w:hAnsi="宋体" w:eastAsia="宋体" w:cs="宋体"/>
          <w:color w:val="000000"/>
          <w:sz w:val="21"/>
          <w:szCs w:val="21"/>
          <w:lang w:eastAsia="zh-CN"/>
        </w:rPr>
        <w:t>采购、安装、调试及衍生服务等</w:t>
      </w:r>
      <w:r>
        <w:rPr>
          <w:rFonts w:hint="eastAsia" w:ascii="宋体" w:hAnsi="宋体" w:eastAsia="宋体" w:cs="宋体"/>
          <w:color w:val="000000"/>
          <w:sz w:val="21"/>
          <w:szCs w:val="21"/>
          <w:lang w:val="en-US" w:eastAsia="zh-CN"/>
        </w:rPr>
        <w:t>。</w:t>
      </w:r>
    </w:p>
    <w:p w14:paraId="3AD83744">
      <w:pPr>
        <w:keepNext w:val="0"/>
        <w:keepLines w:val="0"/>
        <w:pageBreakBefore w:val="0"/>
        <w:widowControl w:val="0"/>
        <w:numPr>
          <w:ilvl w:val="0"/>
          <w:numId w:val="0"/>
        </w:numPr>
        <w:spacing w:line="460" w:lineRule="exact"/>
        <w:ind w:firstLine="420" w:firstLineChars="200"/>
        <w:rPr>
          <w:rFonts w:hint="eastAsia" w:ascii="宋体" w:hAnsi="宋体" w:eastAsia="宋体" w:cs="宋体"/>
          <w:color w:val="000000"/>
          <w:sz w:val="21"/>
          <w:szCs w:val="21"/>
          <w:lang w:eastAsia="zh-CN"/>
        </w:rPr>
      </w:pPr>
      <w:r>
        <w:rPr>
          <w:rFonts w:hint="eastAsia" w:ascii="宋体" w:hAnsi="宋体" w:cs="宋体"/>
          <w:color w:val="000000"/>
          <w:sz w:val="21"/>
          <w:szCs w:val="21"/>
          <w:lang w:val="en-US" w:eastAsia="zh-CN"/>
        </w:rPr>
        <w:t>2.</w:t>
      </w:r>
      <w:r>
        <w:rPr>
          <w:rFonts w:hint="eastAsia" w:ascii="宋体" w:hAnsi="宋体" w:eastAsia="宋体" w:cs="宋体"/>
          <w:color w:val="000000"/>
          <w:sz w:val="21"/>
          <w:szCs w:val="21"/>
          <w:lang w:eastAsia="zh-CN"/>
        </w:rPr>
        <w:t>质量要求：符合相关国家标准、行业标准及招标文件的要求。质保期：底盘车不少于两年或50000公里</w:t>
      </w:r>
      <w:r>
        <w:rPr>
          <w:rFonts w:hint="eastAsia" w:ascii="宋体" w:hAnsi="宋体" w:cs="宋体"/>
          <w:color w:val="000000"/>
          <w:sz w:val="21"/>
          <w:szCs w:val="21"/>
          <w:lang w:eastAsia="zh-CN"/>
        </w:rPr>
        <w:t>（</w:t>
      </w:r>
      <w:r>
        <w:rPr>
          <w:rFonts w:hint="eastAsia" w:ascii="宋体" w:hAnsi="宋体" w:eastAsia="宋体" w:cs="宋体"/>
          <w:color w:val="000000"/>
          <w:sz w:val="21"/>
          <w:szCs w:val="21"/>
          <w:lang w:val="en-US" w:eastAsia="zh-CN"/>
        </w:rPr>
        <w:t>以先到指标为准</w:t>
      </w:r>
      <w:r>
        <w:rPr>
          <w:rFonts w:hint="eastAsia" w:ascii="宋体" w:hAnsi="宋体" w:cs="宋体"/>
          <w:color w:val="000000"/>
          <w:sz w:val="21"/>
          <w:szCs w:val="21"/>
          <w:lang w:val="en-US" w:eastAsia="zh-CN"/>
        </w:rPr>
        <w:t>）</w:t>
      </w:r>
      <w:r>
        <w:rPr>
          <w:rFonts w:hint="eastAsia" w:ascii="宋体" w:hAnsi="宋体" w:eastAsia="宋体" w:cs="宋体"/>
          <w:color w:val="000000"/>
          <w:sz w:val="21"/>
          <w:szCs w:val="21"/>
          <w:lang w:eastAsia="zh-CN"/>
        </w:rPr>
        <w:t>，医疗舱提供不少于1年的质保期。</w:t>
      </w:r>
    </w:p>
    <w:p w14:paraId="63750AA6">
      <w:pPr>
        <w:keepNext w:val="0"/>
        <w:keepLines w:val="0"/>
        <w:pageBreakBefore w:val="0"/>
        <w:widowControl w:val="0"/>
        <w:numPr>
          <w:ilvl w:val="0"/>
          <w:numId w:val="0"/>
        </w:numPr>
        <w:spacing w:line="460" w:lineRule="exact"/>
        <w:ind w:firstLine="420" w:firstLineChars="200"/>
        <w:rPr>
          <w:rFonts w:hint="eastAsia" w:ascii="宋体" w:hAnsi="宋体" w:eastAsia="宋体" w:cs="宋体"/>
          <w:color w:val="000000"/>
          <w:sz w:val="21"/>
          <w:szCs w:val="21"/>
        </w:rPr>
      </w:pPr>
      <w:r>
        <w:rPr>
          <w:rFonts w:hint="eastAsia" w:ascii="宋体" w:hAnsi="宋体" w:cs="宋体"/>
          <w:color w:val="000000"/>
          <w:sz w:val="21"/>
          <w:szCs w:val="21"/>
          <w:lang w:val="en-US" w:eastAsia="zh-CN"/>
        </w:rPr>
        <w:t>3.</w:t>
      </w:r>
      <w:r>
        <w:rPr>
          <w:rFonts w:hint="eastAsia" w:ascii="宋体" w:hAnsi="宋体" w:eastAsia="宋体" w:cs="宋体"/>
          <w:color w:val="000000"/>
          <w:sz w:val="21"/>
          <w:szCs w:val="21"/>
        </w:rPr>
        <w:t>合同履行期限：</w:t>
      </w:r>
      <w:r>
        <w:rPr>
          <w:rFonts w:hint="eastAsia" w:ascii="宋体" w:hAnsi="宋体" w:eastAsia="宋体" w:cs="宋体"/>
          <w:color w:val="000000"/>
          <w:sz w:val="21"/>
          <w:szCs w:val="21"/>
          <w:lang w:eastAsia="zh-CN"/>
        </w:rPr>
        <w:t>合同签订后30日历天内供货、安装、调试完毕并交付采购人正常运行使用。</w:t>
      </w:r>
    </w:p>
    <w:p w14:paraId="0F6EE9BE">
      <w:pPr>
        <w:keepNext w:val="0"/>
        <w:keepLines w:val="0"/>
        <w:pageBreakBefore w:val="0"/>
        <w:widowControl w:val="0"/>
        <w:spacing w:line="460" w:lineRule="exact"/>
        <w:ind w:firstLine="422" w:firstLineChars="200"/>
        <w:jc w:val="both"/>
        <w:rPr>
          <w:rFonts w:hint="eastAsia" w:ascii="宋体" w:hAnsi="宋体" w:eastAsia="宋体" w:cs="宋体"/>
          <w:b/>
          <w:sz w:val="21"/>
          <w:szCs w:val="21"/>
          <w:lang w:val="en-US" w:eastAsia="zh-CN"/>
        </w:rPr>
      </w:pPr>
      <w:r>
        <w:rPr>
          <w:rFonts w:hint="eastAsia" w:ascii="宋体" w:hAnsi="宋体" w:eastAsia="宋体" w:cs="宋体"/>
          <w:b/>
          <w:sz w:val="21"/>
          <w:szCs w:val="21"/>
          <w:lang w:val="en-US" w:eastAsia="zh-CN"/>
        </w:rPr>
        <w:t xml:space="preserve"> 二、采购需求及要求</w:t>
      </w:r>
    </w:p>
    <w:p w14:paraId="507F9C03">
      <w:pPr>
        <w:keepNext w:val="0"/>
        <w:keepLines w:val="0"/>
        <w:pageBreakBefore w:val="0"/>
        <w:widowControl w:val="0"/>
        <w:numPr>
          <w:ilvl w:val="0"/>
          <w:numId w:val="0"/>
        </w:numPr>
        <w:spacing w:line="460" w:lineRule="exact"/>
        <w:ind w:firstLine="420" w:firstLineChars="200"/>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1.技术要求</w:t>
      </w:r>
    </w:p>
    <w:p w14:paraId="2F3B7267">
      <w:pPr>
        <w:keepNext w:val="0"/>
        <w:keepLines w:val="0"/>
        <w:pageBreakBefore w:val="0"/>
        <w:widowControl w:val="0"/>
        <w:numPr>
          <w:ilvl w:val="0"/>
          <w:numId w:val="0"/>
        </w:numPr>
        <w:spacing w:line="460" w:lineRule="exact"/>
        <w:ind w:firstLine="420" w:firstLineChars="200"/>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1.1采购标的的数量</w:t>
      </w:r>
    </w:p>
    <w:tbl>
      <w:tblPr>
        <w:tblStyle w:val="31"/>
        <w:tblpPr w:leftFromText="180" w:rightFromText="180" w:vertAnchor="text" w:horzAnchor="page" w:tblpXSpec="center" w:tblpY="102"/>
        <w:tblW w:w="9218"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757"/>
        <w:gridCol w:w="1967"/>
        <w:gridCol w:w="1455"/>
        <w:gridCol w:w="4039"/>
      </w:tblGrid>
      <w:tr w14:paraId="34BB337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jc w:val="center"/>
        </w:trPr>
        <w:tc>
          <w:tcPr>
            <w:tcW w:w="1757" w:type="dxa"/>
            <w:noWrap w:val="0"/>
            <w:vAlign w:val="center"/>
          </w:tcPr>
          <w:p w14:paraId="327C1BCC">
            <w:pPr>
              <w:jc w:val="center"/>
              <w:rPr>
                <w:rFonts w:ascii="宋体" w:hAnsi="宋体" w:cs="宋体"/>
                <w:sz w:val="21"/>
                <w:szCs w:val="21"/>
              </w:rPr>
            </w:pPr>
            <w:r>
              <w:rPr>
                <w:rFonts w:hint="eastAsia" w:ascii="宋体" w:hAnsi="宋体" w:cs="宋体"/>
                <w:sz w:val="21"/>
                <w:szCs w:val="21"/>
              </w:rPr>
              <w:t>序号</w:t>
            </w:r>
          </w:p>
        </w:tc>
        <w:tc>
          <w:tcPr>
            <w:tcW w:w="1967" w:type="dxa"/>
            <w:noWrap w:val="0"/>
            <w:vAlign w:val="center"/>
          </w:tcPr>
          <w:p w14:paraId="2BA0F78E">
            <w:pPr>
              <w:jc w:val="center"/>
              <w:rPr>
                <w:rFonts w:hint="eastAsia" w:ascii="宋体" w:hAnsi="宋体" w:cs="宋体"/>
                <w:sz w:val="21"/>
                <w:szCs w:val="21"/>
              </w:rPr>
            </w:pPr>
            <w:r>
              <w:rPr>
                <w:rFonts w:hint="eastAsia" w:ascii="宋体" w:hAnsi="宋体"/>
                <w:sz w:val="21"/>
                <w:szCs w:val="21"/>
              </w:rPr>
              <w:t>采购标的</w:t>
            </w:r>
          </w:p>
        </w:tc>
        <w:tc>
          <w:tcPr>
            <w:tcW w:w="1455" w:type="dxa"/>
            <w:noWrap w:val="0"/>
            <w:vAlign w:val="center"/>
          </w:tcPr>
          <w:p w14:paraId="3A04C8D0">
            <w:pPr>
              <w:jc w:val="center"/>
              <w:rPr>
                <w:rFonts w:hint="eastAsia" w:ascii="宋体" w:hAnsi="宋体" w:cs="宋体"/>
                <w:sz w:val="21"/>
                <w:szCs w:val="21"/>
                <w:lang w:val="en-US" w:eastAsia="zh-CN" w:bidi="ar-SA"/>
              </w:rPr>
            </w:pPr>
            <w:r>
              <w:rPr>
                <w:rFonts w:hint="eastAsia" w:ascii="宋体" w:hAnsi="宋体" w:cs="宋体"/>
                <w:sz w:val="21"/>
                <w:szCs w:val="21"/>
              </w:rPr>
              <w:t>数量</w:t>
            </w:r>
          </w:p>
        </w:tc>
        <w:tc>
          <w:tcPr>
            <w:tcW w:w="4039" w:type="dxa"/>
            <w:noWrap w:val="0"/>
            <w:vAlign w:val="center"/>
          </w:tcPr>
          <w:p w14:paraId="4F80C2AB">
            <w:pPr>
              <w:jc w:val="center"/>
              <w:rPr>
                <w:rFonts w:hint="eastAsia" w:ascii="宋体" w:hAnsi="宋体" w:eastAsia="宋体" w:cs="宋体"/>
                <w:sz w:val="21"/>
                <w:szCs w:val="21"/>
                <w:lang w:eastAsia="zh-CN"/>
              </w:rPr>
            </w:pPr>
            <w:r>
              <w:rPr>
                <w:rFonts w:hint="eastAsia" w:ascii="宋体" w:hAnsi="宋体" w:cs="宋体"/>
                <w:sz w:val="21"/>
                <w:szCs w:val="21"/>
                <w:lang w:eastAsia="zh-CN"/>
              </w:rPr>
              <w:t>单位</w:t>
            </w:r>
          </w:p>
        </w:tc>
      </w:tr>
      <w:tr w14:paraId="293EE73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jc w:val="center"/>
        </w:trPr>
        <w:tc>
          <w:tcPr>
            <w:tcW w:w="1757" w:type="dxa"/>
            <w:noWrap w:val="0"/>
            <w:vAlign w:val="center"/>
          </w:tcPr>
          <w:p w14:paraId="1B583FF4">
            <w:pPr>
              <w:jc w:val="center"/>
              <w:rPr>
                <w:rFonts w:ascii="宋体" w:hAnsi="宋体" w:cs="宋体"/>
                <w:sz w:val="21"/>
                <w:szCs w:val="21"/>
              </w:rPr>
            </w:pPr>
            <w:r>
              <w:rPr>
                <w:rFonts w:hint="eastAsia" w:ascii="宋体" w:hAnsi="宋体" w:cs="宋体"/>
                <w:sz w:val="21"/>
                <w:szCs w:val="21"/>
              </w:rPr>
              <w:t>1</w:t>
            </w:r>
          </w:p>
        </w:tc>
        <w:tc>
          <w:tcPr>
            <w:tcW w:w="1967" w:type="dxa"/>
            <w:noWrap w:val="0"/>
            <w:vAlign w:val="center"/>
          </w:tcPr>
          <w:p w14:paraId="7C8079D0">
            <w:pPr>
              <w:jc w:val="center"/>
              <w:rPr>
                <w:rFonts w:hint="eastAsia" w:ascii="宋体" w:hAnsi="宋体" w:eastAsia="宋体" w:cs="宋体"/>
                <w:color w:val="000000"/>
                <w:sz w:val="21"/>
                <w:szCs w:val="21"/>
                <w:lang w:val="en-US" w:eastAsia="zh-CN"/>
              </w:rPr>
            </w:pPr>
            <w:r>
              <w:rPr>
                <w:rFonts w:hint="eastAsia" w:ascii="宋体" w:hAnsi="宋体" w:eastAsia="宋体" w:cs="Times New Roman"/>
                <w:color w:val="000000"/>
                <w:sz w:val="21"/>
                <w:szCs w:val="21"/>
                <w:lang w:val="en-US" w:eastAsia="zh-CN"/>
              </w:rPr>
              <w:t>救护车</w:t>
            </w:r>
          </w:p>
        </w:tc>
        <w:tc>
          <w:tcPr>
            <w:tcW w:w="1455" w:type="dxa"/>
            <w:noWrap w:val="0"/>
            <w:vAlign w:val="center"/>
          </w:tcPr>
          <w:p w14:paraId="457F2CCF">
            <w:pPr>
              <w:jc w:val="center"/>
              <w:rPr>
                <w:rFonts w:ascii="宋体" w:hAnsi="宋体" w:eastAsia="宋体" w:cs="宋体"/>
                <w:sz w:val="21"/>
                <w:szCs w:val="21"/>
                <w:lang w:val="en-US" w:eastAsia="zh-CN" w:bidi="ar-SA"/>
              </w:rPr>
            </w:pPr>
            <w:r>
              <w:rPr>
                <w:rFonts w:hint="eastAsia" w:ascii="宋体" w:hAnsi="宋体" w:cs="宋体"/>
                <w:sz w:val="21"/>
                <w:szCs w:val="21"/>
                <w:lang w:val="en-US" w:eastAsia="zh-CN"/>
              </w:rPr>
              <w:t>3</w:t>
            </w:r>
          </w:p>
        </w:tc>
        <w:tc>
          <w:tcPr>
            <w:tcW w:w="4039" w:type="dxa"/>
            <w:noWrap w:val="0"/>
            <w:vAlign w:val="center"/>
          </w:tcPr>
          <w:p w14:paraId="0D7FC565">
            <w:pPr>
              <w:jc w:val="center"/>
              <w:rPr>
                <w:rFonts w:hint="eastAsia" w:ascii="宋体" w:hAnsi="宋体" w:cs="宋体"/>
                <w:sz w:val="21"/>
                <w:szCs w:val="21"/>
                <w:lang w:val="en-US" w:eastAsia="zh-CN"/>
              </w:rPr>
            </w:pPr>
            <w:r>
              <w:rPr>
                <w:rFonts w:hint="eastAsia" w:ascii="宋体" w:hAnsi="宋体" w:cs="宋体"/>
                <w:sz w:val="21"/>
                <w:szCs w:val="21"/>
                <w:lang w:val="en-US" w:eastAsia="zh-CN"/>
              </w:rPr>
              <w:t>辆</w:t>
            </w:r>
          </w:p>
        </w:tc>
      </w:tr>
    </w:tbl>
    <w:p w14:paraId="4906C7D5">
      <w:pPr>
        <w:keepNext w:val="0"/>
        <w:keepLines w:val="0"/>
        <w:pageBreakBefore w:val="0"/>
        <w:widowControl w:val="0"/>
        <w:numPr>
          <w:ilvl w:val="0"/>
          <w:numId w:val="0"/>
        </w:numPr>
        <w:spacing w:line="460" w:lineRule="exact"/>
        <w:ind w:firstLine="420" w:firstLineChars="200"/>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1.2采购标的需实现的功能或者目标、质量、规格、物理特性等要求。</w:t>
      </w:r>
    </w:p>
    <w:tbl>
      <w:tblPr>
        <w:tblStyle w:val="31"/>
        <w:tblW w:w="919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084"/>
        <w:gridCol w:w="8108"/>
      </w:tblGrid>
      <w:tr w14:paraId="75F0756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8" w:hRule="atLeast"/>
          <w:jc w:val="center"/>
        </w:trPr>
        <w:tc>
          <w:tcPr>
            <w:tcW w:w="9192" w:type="dxa"/>
            <w:gridSpan w:val="2"/>
            <w:tcBorders>
              <w:top w:val="single" w:color="auto" w:sz="4" w:space="0"/>
              <w:left w:val="single" w:color="auto" w:sz="4" w:space="0"/>
              <w:bottom w:val="single" w:color="auto" w:sz="4" w:space="0"/>
              <w:right w:val="single" w:color="auto" w:sz="4" w:space="0"/>
            </w:tcBorders>
            <w:noWrap/>
            <w:vAlign w:val="center"/>
          </w:tcPr>
          <w:p w14:paraId="13DD3E08">
            <w:pPr>
              <w:keepNext w:val="0"/>
              <w:keepLines w:val="0"/>
              <w:pageBreakBefore w:val="0"/>
              <w:widowControl/>
              <w:kinsoku w:val="0"/>
              <w:wordWrap/>
              <w:overflowPunct/>
              <w:topLinePunct w:val="0"/>
              <w:autoSpaceDE w:val="0"/>
              <w:autoSpaceDN w:val="0"/>
              <w:bidi w:val="0"/>
              <w:adjustRightInd w:val="0"/>
              <w:snapToGrid w:val="0"/>
              <w:spacing w:line="480" w:lineRule="auto"/>
              <w:jc w:val="center"/>
              <w:textAlignment w:val="baseline"/>
              <w:rPr>
                <w:rFonts w:hint="eastAsia" w:ascii="宋体" w:hAnsi="宋体" w:eastAsia="宋体" w:cs="宋体"/>
                <w:sz w:val="18"/>
                <w:szCs w:val="18"/>
                <w:vertAlign w:val="baseline"/>
              </w:rPr>
            </w:pPr>
            <w:r>
              <w:rPr>
                <w:rFonts w:hint="eastAsia" w:ascii="宋体" w:hAnsi="宋体" w:eastAsia="宋体" w:cs="宋体"/>
                <w:b/>
                <w:bCs/>
                <w:sz w:val="18"/>
                <w:szCs w:val="18"/>
                <w:vertAlign w:val="baseline"/>
              </w:rPr>
              <w:t>一</w:t>
            </w:r>
            <w:r>
              <w:rPr>
                <w:rFonts w:hint="eastAsia" w:ascii="宋体" w:hAnsi="宋体" w:eastAsia="宋体" w:cs="宋体"/>
                <w:b/>
                <w:bCs/>
                <w:sz w:val="18"/>
                <w:szCs w:val="18"/>
                <w:vertAlign w:val="baseline"/>
                <w:lang w:eastAsia="zh-CN"/>
              </w:rPr>
              <w:t>、</w:t>
            </w:r>
            <w:r>
              <w:rPr>
                <w:rFonts w:hint="eastAsia" w:ascii="宋体" w:hAnsi="宋体" w:eastAsia="宋体" w:cs="宋体"/>
                <w:b/>
                <w:bCs/>
                <w:sz w:val="18"/>
                <w:szCs w:val="18"/>
                <w:vertAlign w:val="baseline"/>
              </w:rPr>
              <w:t>车辆基本要求</w:t>
            </w:r>
          </w:p>
        </w:tc>
      </w:tr>
      <w:tr w14:paraId="2A81B3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31" w:hRule="atLeast"/>
          <w:jc w:val="center"/>
        </w:trPr>
        <w:tc>
          <w:tcPr>
            <w:tcW w:w="1084" w:type="dxa"/>
            <w:tcBorders>
              <w:top w:val="single" w:color="auto" w:sz="4" w:space="0"/>
              <w:left w:val="single" w:color="auto" w:sz="4" w:space="0"/>
              <w:bottom w:val="single" w:color="auto" w:sz="4" w:space="0"/>
              <w:right w:val="single" w:color="auto" w:sz="4" w:space="0"/>
            </w:tcBorders>
            <w:noWrap/>
            <w:vAlign w:val="center"/>
          </w:tcPr>
          <w:p w14:paraId="1EC9A579">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eastAsia" w:ascii="宋体" w:hAnsi="宋体" w:eastAsia="宋体" w:cs="宋体"/>
                <w:color w:val="auto"/>
                <w:kern w:val="2"/>
                <w:sz w:val="21"/>
                <w:szCs w:val="21"/>
                <w:highlight w:val="none"/>
                <w:lang w:val="en-US" w:eastAsia="zh-CN"/>
              </w:rPr>
            </w:pPr>
            <w:r>
              <w:rPr>
                <w:rFonts w:hint="eastAsia" w:ascii="宋体" w:hAnsi="宋体" w:eastAsia="宋体" w:cs="宋体"/>
                <w:color w:val="auto"/>
                <w:kern w:val="2"/>
                <w:sz w:val="21"/>
                <w:szCs w:val="21"/>
                <w:highlight w:val="none"/>
                <w:lang w:val="en-US" w:eastAsia="zh-CN"/>
              </w:rPr>
              <w:t>1.1</w:t>
            </w:r>
          </w:p>
        </w:tc>
        <w:tc>
          <w:tcPr>
            <w:tcW w:w="8108" w:type="dxa"/>
            <w:tcBorders>
              <w:top w:val="single" w:color="auto" w:sz="4" w:space="0"/>
              <w:left w:val="single" w:color="auto" w:sz="4" w:space="0"/>
              <w:bottom w:val="single" w:color="auto" w:sz="4" w:space="0"/>
              <w:right w:val="single" w:color="auto" w:sz="4" w:space="0"/>
            </w:tcBorders>
            <w:noWrap/>
            <w:vAlign w:val="center"/>
          </w:tcPr>
          <w:p w14:paraId="4173FCD4">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ascii="宋体" w:hAnsi="宋体" w:eastAsia="宋体" w:cs="宋体"/>
                <w:color w:val="auto"/>
                <w:kern w:val="2"/>
                <w:sz w:val="21"/>
                <w:szCs w:val="21"/>
                <w:highlight w:val="none"/>
                <w:lang w:val="en-US" w:eastAsia="zh-CN"/>
              </w:rPr>
            </w:pPr>
            <w:r>
              <w:rPr>
                <w:rFonts w:hint="eastAsia" w:ascii="宋体" w:hAnsi="宋体" w:eastAsia="宋体" w:cs="宋体"/>
                <w:color w:val="auto"/>
                <w:kern w:val="2"/>
                <w:sz w:val="21"/>
                <w:szCs w:val="21"/>
                <w:highlight w:val="none"/>
                <w:lang w:val="en-US" w:eastAsia="zh-CN"/>
              </w:rPr>
              <w:t>整车基本功能：投标车型主要功能为转运、救治和监护病人的专用救护车，车载负压设备一套。</w:t>
            </w:r>
          </w:p>
        </w:tc>
      </w:tr>
      <w:tr w14:paraId="042A85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31" w:hRule="atLeast"/>
          <w:jc w:val="center"/>
        </w:trPr>
        <w:tc>
          <w:tcPr>
            <w:tcW w:w="1084" w:type="dxa"/>
            <w:tcBorders>
              <w:top w:val="single" w:color="auto" w:sz="4" w:space="0"/>
              <w:left w:val="single" w:color="auto" w:sz="4" w:space="0"/>
              <w:bottom w:val="single" w:color="auto" w:sz="4" w:space="0"/>
              <w:right w:val="single" w:color="auto" w:sz="4" w:space="0"/>
            </w:tcBorders>
            <w:noWrap/>
            <w:vAlign w:val="center"/>
          </w:tcPr>
          <w:p w14:paraId="3CC46FAF">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eastAsia" w:ascii="宋体" w:hAnsi="宋体" w:eastAsia="宋体" w:cs="宋体"/>
                <w:color w:val="auto"/>
                <w:kern w:val="2"/>
                <w:sz w:val="21"/>
                <w:szCs w:val="21"/>
                <w:highlight w:val="none"/>
                <w:lang w:val="en-US" w:eastAsia="zh-CN"/>
              </w:rPr>
            </w:pPr>
            <w:r>
              <w:rPr>
                <w:rFonts w:hint="eastAsia" w:ascii="宋体" w:hAnsi="宋体" w:eastAsia="宋体" w:cs="宋体"/>
                <w:color w:val="auto"/>
                <w:kern w:val="2"/>
                <w:sz w:val="21"/>
                <w:szCs w:val="21"/>
                <w:highlight w:val="none"/>
                <w:lang w:val="en-US" w:eastAsia="zh-CN"/>
              </w:rPr>
              <w:t>1.2</w:t>
            </w:r>
          </w:p>
        </w:tc>
        <w:tc>
          <w:tcPr>
            <w:tcW w:w="8108" w:type="dxa"/>
            <w:tcBorders>
              <w:top w:val="single" w:color="auto" w:sz="4" w:space="0"/>
              <w:left w:val="single" w:color="auto" w:sz="4" w:space="0"/>
              <w:bottom w:val="single" w:color="auto" w:sz="4" w:space="0"/>
              <w:right w:val="single" w:color="auto" w:sz="4" w:space="0"/>
            </w:tcBorders>
            <w:noWrap/>
            <w:vAlign w:val="center"/>
          </w:tcPr>
          <w:p w14:paraId="578DACA7">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ascii="宋体" w:hAnsi="宋体" w:eastAsia="宋体" w:cs="宋体"/>
                <w:color w:val="auto"/>
                <w:kern w:val="2"/>
                <w:sz w:val="21"/>
                <w:szCs w:val="21"/>
                <w:highlight w:val="none"/>
                <w:lang w:val="en-US" w:eastAsia="zh-CN"/>
              </w:rPr>
            </w:pPr>
            <w:r>
              <w:rPr>
                <w:rFonts w:hint="eastAsia" w:ascii="宋体" w:hAnsi="宋体" w:eastAsia="宋体" w:cs="宋体"/>
                <w:color w:val="auto"/>
                <w:kern w:val="2"/>
                <w:sz w:val="21"/>
                <w:szCs w:val="21"/>
                <w:highlight w:val="none"/>
                <w:lang w:val="en-US" w:eastAsia="zh-CN"/>
              </w:rPr>
              <w:t>适应环境：投标车型应适应各种自然条件，适应户外长时期作业的需求，适合城市道路，社区通行及郊县崎岖道路，适应气温－35到60摄氏度之间。</w:t>
            </w:r>
          </w:p>
        </w:tc>
      </w:tr>
      <w:tr w14:paraId="6F8CD17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31" w:hRule="atLeast"/>
          <w:jc w:val="center"/>
        </w:trPr>
        <w:tc>
          <w:tcPr>
            <w:tcW w:w="1084" w:type="dxa"/>
            <w:tcBorders>
              <w:top w:val="single" w:color="auto" w:sz="4" w:space="0"/>
              <w:left w:val="single" w:color="auto" w:sz="4" w:space="0"/>
              <w:bottom w:val="single" w:color="auto" w:sz="4" w:space="0"/>
              <w:right w:val="single" w:color="auto" w:sz="4" w:space="0"/>
            </w:tcBorders>
            <w:noWrap/>
            <w:vAlign w:val="center"/>
          </w:tcPr>
          <w:p w14:paraId="57C5F3BD">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eastAsia" w:ascii="宋体" w:hAnsi="宋体" w:eastAsia="宋体" w:cs="宋体"/>
                <w:color w:val="auto"/>
                <w:kern w:val="2"/>
                <w:sz w:val="21"/>
                <w:szCs w:val="21"/>
                <w:highlight w:val="none"/>
                <w:lang w:val="en-US" w:eastAsia="zh-CN"/>
              </w:rPr>
            </w:pPr>
            <w:r>
              <w:rPr>
                <w:rFonts w:hint="eastAsia" w:ascii="宋体" w:hAnsi="宋体" w:eastAsia="宋体" w:cs="宋体"/>
                <w:color w:val="auto"/>
                <w:kern w:val="2"/>
                <w:sz w:val="21"/>
                <w:szCs w:val="21"/>
                <w:highlight w:val="none"/>
                <w:lang w:val="en-US" w:eastAsia="zh-CN"/>
              </w:rPr>
              <w:t>1.3</w:t>
            </w:r>
          </w:p>
        </w:tc>
        <w:tc>
          <w:tcPr>
            <w:tcW w:w="8108" w:type="dxa"/>
            <w:tcBorders>
              <w:top w:val="single" w:color="auto" w:sz="4" w:space="0"/>
              <w:left w:val="single" w:color="auto" w:sz="4" w:space="0"/>
              <w:bottom w:val="single" w:color="auto" w:sz="4" w:space="0"/>
              <w:right w:val="single" w:color="auto" w:sz="4" w:space="0"/>
            </w:tcBorders>
            <w:noWrap/>
            <w:vAlign w:val="center"/>
          </w:tcPr>
          <w:p w14:paraId="2CB98F10">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ascii="宋体" w:hAnsi="宋体" w:eastAsia="宋体" w:cs="宋体"/>
                <w:color w:val="auto"/>
                <w:kern w:val="2"/>
                <w:sz w:val="21"/>
                <w:szCs w:val="21"/>
                <w:highlight w:val="none"/>
                <w:lang w:val="en-US" w:eastAsia="zh-CN"/>
              </w:rPr>
            </w:pPr>
            <w:r>
              <w:rPr>
                <w:rFonts w:hint="eastAsia" w:ascii="宋体" w:hAnsi="宋体" w:eastAsia="宋体" w:cs="宋体"/>
                <w:color w:val="auto"/>
                <w:kern w:val="2"/>
                <w:sz w:val="21"/>
                <w:szCs w:val="21"/>
                <w:highlight w:val="none"/>
                <w:lang w:val="en-US" w:eastAsia="zh-CN"/>
              </w:rPr>
              <w:t>产品公告：投标车型应具备</w:t>
            </w:r>
            <w:r>
              <w:rPr>
                <w:rFonts w:hint="eastAsia" w:ascii="宋体" w:hAnsi="宋体" w:cs="宋体"/>
                <w:color w:val="auto"/>
                <w:kern w:val="2"/>
                <w:sz w:val="21"/>
                <w:szCs w:val="21"/>
                <w:highlight w:val="none"/>
                <w:lang w:val="en-US" w:eastAsia="zh-CN"/>
              </w:rPr>
              <w:t>国家发展改革委</w:t>
            </w:r>
            <w:r>
              <w:rPr>
                <w:rFonts w:hint="eastAsia" w:ascii="宋体" w:hAnsi="宋体" w:eastAsia="宋体" w:cs="宋体"/>
                <w:color w:val="auto"/>
                <w:kern w:val="2"/>
                <w:sz w:val="21"/>
                <w:szCs w:val="21"/>
                <w:highlight w:val="none"/>
                <w:lang w:val="en-US" w:eastAsia="zh-CN"/>
              </w:rPr>
              <w:t>目录公告以及3C认证，能在买方所在地公安交通管理部门办理特种车上牌照手续。</w:t>
            </w:r>
          </w:p>
        </w:tc>
      </w:tr>
      <w:tr w14:paraId="7E64AC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jc w:val="center"/>
        </w:trPr>
        <w:tc>
          <w:tcPr>
            <w:tcW w:w="9192" w:type="dxa"/>
            <w:gridSpan w:val="2"/>
            <w:tcBorders>
              <w:top w:val="single" w:color="auto" w:sz="4" w:space="0"/>
              <w:left w:val="single" w:color="auto" w:sz="4" w:space="0"/>
              <w:bottom w:val="single" w:color="auto" w:sz="4" w:space="0"/>
              <w:right w:val="single" w:color="auto" w:sz="4" w:space="0"/>
            </w:tcBorders>
            <w:noWrap/>
            <w:vAlign w:val="center"/>
          </w:tcPr>
          <w:p w14:paraId="5D57FD59">
            <w:pPr>
              <w:keepNext w:val="0"/>
              <w:keepLines w:val="0"/>
              <w:pageBreakBefore w:val="0"/>
              <w:widowControl/>
              <w:kinsoku w:val="0"/>
              <w:wordWrap/>
              <w:overflowPunct/>
              <w:topLinePunct w:val="0"/>
              <w:autoSpaceDE w:val="0"/>
              <w:autoSpaceDN w:val="0"/>
              <w:bidi w:val="0"/>
              <w:adjustRightInd w:val="0"/>
              <w:snapToGrid w:val="0"/>
              <w:spacing w:line="480" w:lineRule="auto"/>
              <w:jc w:val="center"/>
              <w:textAlignment w:val="baseline"/>
              <w:rPr>
                <w:rFonts w:hint="eastAsia" w:ascii="宋体" w:hAnsi="宋体" w:eastAsia="宋体" w:cs="宋体"/>
                <w:sz w:val="18"/>
                <w:szCs w:val="18"/>
                <w:vertAlign w:val="baseline"/>
              </w:rPr>
            </w:pPr>
            <w:r>
              <w:rPr>
                <w:rFonts w:hint="eastAsia" w:ascii="宋体" w:hAnsi="宋体" w:eastAsia="宋体" w:cs="宋体"/>
                <w:b/>
                <w:bCs/>
                <w:sz w:val="18"/>
                <w:szCs w:val="18"/>
                <w:vertAlign w:val="baseline"/>
              </w:rPr>
              <w:t>二</w:t>
            </w:r>
            <w:r>
              <w:rPr>
                <w:rFonts w:hint="eastAsia" w:ascii="宋体" w:hAnsi="宋体" w:eastAsia="宋体" w:cs="宋体"/>
                <w:b/>
                <w:bCs/>
                <w:sz w:val="18"/>
                <w:szCs w:val="18"/>
                <w:vertAlign w:val="baseline"/>
                <w:lang w:eastAsia="zh-CN"/>
              </w:rPr>
              <w:t>、</w:t>
            </w:r>
            <w:r>
              <w:rPr>
                <w:rFonts w:hint="eastAsia" w:ascii="宋体" w:hAnsi="宋体" w:eastAsia="宋体" w:cs="宋体"/>
                <w:b/>
                <w:bCs/>
                <w:sz w:val="18"/>
                <w:szCs w:val="18"/>
                <w:vertAlign w:val="baseline"/>
              </w:rPr>
              <w:t>车辆技术要求</w:t>
            </w:r>
            <w:r>
              <w:rPr>
                <w:rFonts w:hint="eastAsia" w:ascii="宋体" w:hAnsi="宋体" w:eastAsia="宋体" w:cs="宋体"/>
                <w:b/>
                <w:bCs/>
                <w:sz w:val="18"/>
                <w:szCs w:val="18"/>
                <w:vertAlign w:val="baseline"/>
                <w:lang w:val="en-US" w:eastAsia="zh-CN"/>
              </w:rPr>
              <w:t xml:space="preserve"> </w:t>
            </w:r>
          </w:p>
        </w:tc>
      </w:tr>
      <w:tr w14:paraId="78DF80F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jc w:val="center"/>
        </w:trPr>
        <w:tc>
          <w:tcPr>
            <w:tcW w:w="1084" w:type="dxa"/>
            <w:tcBorders>
              <w:top w:val="single" w:color="auto" w:sz="4" w:space="0"/>
              <w:left w:val="single" w:color="auto" w:sz="4" w:space="0"/>
              <w:bottom w:val="single" w:color="auto" w:sz="4" w:space="0"/>
              <w:right w:val="single" w:color="auto" w:sz="4" w:space="0"/>
            </w:tcBorders>
            <w:noWrap/>
            <w:vAlign w:val="center"/>
          </w:tcPr>
          <w:p w14:paraId="028B0049">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default" w:ascii="宋体" w:hAnsi="宋体" w:eastAsia="宋体" w:cs="宋体"/>
                <w:color w:val="auto"/>
                <w:kern w:val="2"/>
                <w:sz w:val="21"/>
                <w:szCs w:val="21"/>
                <w:highlight w:val="none"/>
                <w:lang w:val="en-US" w:eastAsia="zh-CN"/>
              </w:rPr>
            </w:pPr>
            <w:r>
              <w:rPr>
                <w:rFonts w:hint="eastAsia" w:ascii="宋体" w:hAnsi="宋体" w:eastAsia="宋体" w:cs="宋体"/>
                <w:color w:val="auto"/>
                <w:kern w:val="2"/>
                <w:sz w:val="21"/>
                <w:szCs w:val="21"/>
                <w:highlight w:val="none"/>
                <w:lang w:val="en-US" w:eastAsia="zh-CN"/>
              </w:rPr>
              <w:t>2.1</w:t>
            </w:r>
          </w:p>
        </w:tc>
        <w:tc>
          <w:tcPr>
            <w:tcW w:w="8108" w:type="dxa"/>
            <w:tcBorders>
              <w:top w:val="single" w:color="auto" w:sz="4" w:space="0"/>
              <w:left w:val="single" w:color="auto" w:sz="4" w:space="0"/>
              <w:bottom w:val="single" w:color="auto" w:sz="4" w:space="0"/>
              <w:right w:val="single" w:color="auto" w:sz="4" w:space="0"/>
            </w:tcBorders>
            <w:noWrap/>
            <w:vAlign w:val="center"/>
          </w:tcPr>
          <w:p w14:paraId="170EFABD">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ascii="宋体" w:hAnsi="宋体" w:eastAsia="宋体" w:cs="宋体"/>
                <w:color w:val="auto"/>
                <w:kern w:val="2"/>
                <w:sz w:val="21"/>
                <w:szCs w:val="21"/>
                <w:highlight w:val="none"/>
                <w:lang w:val="en-US" w:eastAsia="zh-CN"/>
              </w:rPr>
            </w:pPr>
            <w:r>
              <w:rPr>
                <w:rFonts w:hint="eastAsia" w:ascii="宋体" w:hAnsi="宋体" w:eastAsia="宋体" w:cs="宋体"/>
                <w:color w:val="auto"/>
                <w:kern w:val="2"/>
                <w:sz w:val="21"/>
                <w:szCs w:val="21"/>
                <w:highlight w:val="none"/>
                <w:lang w:val="en-US" w:eastAsia="zh-CN"/>
              </w:rPr>
              <w:t>★客车底盘</w:t>
            </w:r>
          </w:p>
        </w:tc>
      </w:tr>
      <w:tr w14:paraId="6195F5D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 w:hRule="atLeast"/>
          <w:jc w:val="center"/>
        </w:trPr>
        <w:tc>
          <w:tcPr>
            <w:tcW w:w="1084" w:type="dxa"/>
            <w:tcBorders>
              <w:top w:val="single" w:color="auto" w:sz="4" w:space="0"/>
              <w:left w:val="single" w:color="auto" w:sz="4" w:space="0"/>
              <w:bottom w:val="single" w:color="auto" w:sz="4" w:space="0"/>
              <w:right w:val="single" w:color="auto" w:sz="4" w:space="0"/>
            </w:tcBorders>
            <w:noWrap/>
            <w:vAlign w:val="center"/>
          </w:tcPr>
          <w:p w14:paraId="618B2D28">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eastAsia" w:ascii="宋体" w:hAnsi="宋体" w:eastAsia="宋体" w:cs="宋体"/>
                <w:color w:val="auto"/>
                <w:kern w:val="2"/>
                <w:sz w:val="21"/>
                <w:szCs w:val="21"/>
                <w:highlight w:val="none"/>
                <w:lang w:val="en-US" w:eastAsia="zh-CN"/>
              </w:rPr>
            </w:pPr>
            <w:r>
              <w:rPr>
                <w:rFonts w:hint="eastAsia" w:ascii="宋体" w:hAnsi="宋体" w:eastAsia="宋体" w:cs="宋体"/>
                <w:color w:val="auto"/>
                <w:kern w:val="2"/>
                <w:sz w:val="21"/>
                <w:szCs w:val="21"/>
                <w:highlight w:val="none"/>
                <w:lang w:val="en-US" w:eastAsia="zh-CN"/>
              </w:rPr>
              <w:t>2.2</w:t>
            </w:r>
          </w:p>
        </w:tc>
        <w:tc>
          <w:tcPr>
            <w:tcW w:w="8108" w:type="dxa"/>
            <w:tcBorders>
              <w:top w:val="single" w:color="auto" w:sz="4" w:space="0"/>
              <w:left w:val="single" w:color="auto" w:sz="4" w:space="0"/>
              <w:bottom w:val="single" w:color="auto" w:sz="4" w:space="0"/>
              <w:right w:val="single" w:color="auto" w:sz="4" w:space="0"/>
            </w:tcBorders>
            <w:noWrap/>
            <w:vAlign w:val="center"/>
          </w:tcPr>
          <w:p w14:paraId="26B1449B">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ascii="宋体" w:hAnsi="宋体" w:eastAsia="宋体" w:cs="宋体"/>
                <w:color w:val="auto"/>
                <w:kern w:val="2"/>
                <w:sz w:val="21"/>
                <w:szCs w:val="21"/>
                <w:highlight w:val="none"/>
                <w:lang w:val="en-US" w:eastAsia="zh-CN"/>
              </w:rPr>
            </w:pPr>
            <w:r>
              <w:rPr>
                <w:rFonts w:hint="eastAsia" w:ascii="宋体" w:hAnsi="宋体" w:eastAsia="宋体" w:cs="宋体"/>
                <w:color w:val="auto"/>
                <w:kern w:val="2"/>
                <w:sz w:val="21"/>
                <w:szCs w:val="21"/>
                <w:highlight w:val="none"/>
                <w:lang w:val="en-US" w:eastAsia="zh-CN"/>
              </w:rPr>
              <w:t>★外形尺寸：5400mm≥长≥5300mm、2000mm≥宽≥1900mm、2450mm≥高≥2350mm</w:t>
            </w:r>
          </w:p>
        </w:tc>
      </w:tr>
      <w:tr w14:paraId="4C21948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9" w:hRule="atLeast"/>
          <w:jc w:val="center"/>
        </w:trPr>
        <w:tc>
          <w:tcPr>
            <w:tcW w:w="1084" w:type="dxa"/>
            <w:tcBorders>
              <w:top w:val="single" w:color="auto" w:sz="4" w:space="0"/>
              <w:left w:val="single" w:color="auto" w:sz="4" w:space="0"/>
              <w:bottom w:val="single" w:color="auto" w:sz="4" w:space="0"/>
              <w:right w:val="single" w:color="auto" w:sz="4" w:space="0"/>
            </w:tcBorders>
            <w:noWrap/>
            <w:vAlign w:val="center"/>
          </w:tcPr>
          <w:p w14:paraId="658B4624">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eastAsia" w:ascii="宋体" w:hAnsi="宋体" w:eastAsia="宋体" w:cs="宋体"/>
                <w:color w:val="auto"/>
                <w:kern w:val="2"/>
                <w:sz w:val="21"/>
                <w:szCs w:val="21"/>
                <w:highlight w:val="none"/>
                <w:lang w:val="en-US" w:eastAsia="zh-CN"/>
              </w:rPr>
            </w:pPr>
            <w:r>
              <w:rPr>
                <w:rFonts w:hint="eastAsia" w:ascii="宋体" w:hAnsi="宋体" w:eastAsia="宋体" w:cs="宋体"/>
                <w:color w:val="auto"/>
                <w:kern w:val="2"/>
                <w:sz w:val="21"/>
                <w:szCs w:val="21"/>
                <w:highlight w:val="none"/>
                <w:lang w:val="en-US" w:eastAsia="zh-CN"/>
              </w:rPr>
              <w:t>2.3</w:t>
            </w:r>
          </w:p>
        </w:tc>
        <w:tc>
          <w:tcPr>
            <w:tcW w:w="8108" w:type="dxa"/>
            <w:tcBorders>
              <w:top w:val="single" w:color="auto" w:sz="4" w:space="0"/>
              <w:left w:val="single" w:color="auto" w:sz="4" w:space="0"/>
              <w:bottom w:val="single" w:color="auto" w:sz="4" w:space="0"/>
              <w:right w:val="single" w:color="auto" w:sz="4" w:space="0"/>
            </w:tcBorders>
            <w:noWrap/>
            <w:vAlign w:val="center"/>
          </w:tcPr>
          <w:p w14:paraId="082E1DBC">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ascii="宋体" w:hAnsi="宋体" w:eastAsia="宋体" w:cs="宋体"/>
                <w:color w:val="auto"/>
                <w:kern w:val="2"/>
                <w:sz w:val="21"/>
                <w:szCs w:val="21"/>
                <w:highlight w:val="none"/>
                <w:lang w:val="en-US" w:eastAsia="zh-CN"/>
              </w:rPr>
            </w:pPr>
            <w:r>
              <w:rPr>
                <w:rFonts w:hint="eastAsia" w:ascii="宋体" w:hAnsi="宋体" w:eastAsia="宋体" w:cs="宋体"/>
                <w:color w:val="auto"/>
                <w:kern w:val="2"/>
                <w:sz w:val="21"/>
                <w:szCs w:val="21"/>
                <w:highlight w:val="none"/>
                <w:lang w:val="en-US" w:eastAsia="zh-CN"/>
              </w:rPr>
              <w:t>医疗舱尺度：2800mm≥长≥2700mm、1700mm≥宽≥1600mm、1800mm≥高≥1700mm</w:t>
            </w:r>
          </w:p>
        </w:tc>
      </w:tr>
      <w:tr w14:paraId="5CBE908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jc w:val="center"/>
        </w:trPr>
        <w:tc>
          <w:tcPr>
            <w:tcW w:w="1084" w:type="dxa"/>
            <w:tcBorders>
              <w:top w:val="single" w:color="auto" w:sz="4" w:space="0"/>
              <w:left w:val="single" w:color="auto" w:sz="4" w:space="0"/>
              <w:bottom w:val="single" w:color="auto" w:sz="4" w:space="0"/>
              <w:right w:val="single" w:color="auto" w:sz="4" w:space="0"/>
            </w:tcBorders>
            <w:noWrap/>
            <w:vAlign w:val="center"/>
          </w:tcPr>
          <w:p w14:paraId="3BDF1D94">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eastAsia" w:ascii="宋体" w:hAnsi="宋体" w:eastAsia="宋体" w:cs="宋体"/>
                <w:color w:val="auto"/>
                <w:kern w:val="2"/>
                <w:sz w:val="21"/>
                <w:szCs w:val="21"/>
                <w:highlight w:val="none"/>
                <w:lang w:val="en-US" w:eastAsia="zh-CN"/>
              </w:rPr>
            </w:pPr>
            <w:r>
              <w:rPr>
                <w:rFonts w:hint="eastAsia" w:ascii="宋体" w:hAnsi="宋体" w:eastAsia="宋体" w:cs="宋体"/>
                <w:color w:val="auto"/>
                <w:kern w:val="2"/>
                <w:sz w:val="21"/>
                <w:szCs w:val="21"/>
                <w:highlight w:val="none"/>
                <w:lang w:val="en-US" w:eastAsia="zh-CN"/>
              </w:rPr>
              <w:t>2.4</w:t>
            </w:r>
          </w:p>
        </w:tc>
        <w:tc>
          <w:tcPr>
            <w:tcW w:w="8108" w:type="dxa"/>
            <w:tcBorders>
              <w:top w:val="single" w:color="auto" w:sz="4" w:space="0"/>
              <w:left w:val="single" w:color="auto" w:sz="4" w:space="0"/>
              <w:bottom w:val="single" w:color="auto" w:sz="4" w:space="0"/>
              <w:right w:val="single" w:color="auto" w:sz="4" w:space="0"/>
            </w:tcBorders>
            <w:noWrap/>
            <w:vAlign w:val="center"/>
          </w:tcPr>
          <w:p w14:paraId="61826A2B">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ascii="宋体" w:hAnsi="宋体" w:eastAsia="宋体" w:cs="宋体"/>
                <w:color w:val="auto"/>
                <w:kern w:val="2"/>
                <w:sz w:val="21"/>
                <w:szCs w:val="21"/>
                <w:highlight w:val="none"/>
                <w:lang w:val="en-US" w:eastAsia="zh-CN"/>
              </w:rPr>
            </w:pPr>
            <w:r>
              <w:rPr>
                <w:rFonts w:hint="eastAsia" w:ascii="宋体" w:hAnsi="宋体" w:eastAsia="宋体" w:cs="宋体"/>
                <w:color w:val="auto"/>
                <w:kern w:val="2"/>
                <w:sz w:val="21"/>
                <w:szCs w:val="21"/>
                <w:highlight w:val="none"/>
                <w:lang w:val="en-US" w:eastAsia="zh-CN"/>
              </w:rPr>
              <w:t>轴距：≥3300mm</w:t>
            </w:r>
          </w:p>
        </w:tc>
      </w:tr>
      <w:tr w14:paraId="05B0275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jc w:val="center"/>
        </w:trPr>
        <w:tc>
          <w:tcPr>
            <w:tcW w:w="1084" w:type="dxa"/>
            <w:tcBorders>
              <w:top w:val="single" w:color="auto" w:sz="4" w:space="0"/>
              <w:left w:val="single" w:color="auto" w:sz="4" w:space="0"/>
              <w:bottom w:val="single" w:color="auto" w:sz="4" w:space="0"/>
              <w:right w:val="single" w:color="auto" w:sz="4" w:space="0"/>
            </w:tcBorders>
            <w:noWrap/>
            <w:vAlign w:val="center"/>
          </w:tcPr>
          <w:p w14:paraId="24BFA50B">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eastAsia" w:ascii="宋体" w:hAnsi="宋体" w:eastAsia="宋体" w:cs="宋体"/>
                <w:color w:val="auto"/>
                <w:kern w:val="2"/>
                <w:sz w:val="21"/>
                <w:szCs w:val="21"/>
                <w:highlight w:val="none"/>
                <w:lang w:val="en-US" w:eastAsia="zh-CN"/>
              </w:rPr>
            </w:pPr>
            <w:r>
              <w:rPr>
                <w:rFonts w:hint="eastAsia" w:ascii="宋体" w:hAnsi="宋体" w:eastAsia="宋体" w:cs="宋体"/>
                <w:color w:val="auto"/>
                <w:kern w:val="2"/>
                <w:sz w:val="21"/>
                <w:szCs w:val="21"/>
                <w:highlight w:val="none"/>
                <w:lang w:val="en-US" w:eastAsia="zh-CN"/>
              </w:rPr>
              <w:t>2.5</w:t>
            </w:r>
          </w:p>
        </w:tc>
        <w:tc>
          <w:tcPr>
            <w:tcW w:w="8108" w:type="dxa"/>
            <w:tcBorders>
              <w:top w:val="single" w:color="auto" w:sz="4" w:space="0"/>
              <w:left w:val="single" w:color="auto" w:sz="4" w:space="0"/>
              <w:bottom w:val="single" w:color="auto" w:sz="4" w:space="0"/>
              <w:right w:val="single" w:color="auto" w:sz="4" w:space="0"/>
            </w:tcBorders>
            <w:noWrap/>
            <w:vAlign w:val="center"/>
          </w:tcPr>
          <w:p w14:paraId="1887EC23">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ascii="宋体" w:hAnsi="宋体" w:eastAsia="宋体" w:cs="宋体"/>
                <w:color w:val="auto"/>
                <w:kern w:val="2"/>
                <w:sz w:val="21"/>
                <w:szCs w:val="21"/>
                <w:highlight w:val="none"/>
                <w:lang w:val="en-US" w:eastAsia="zh-CN"/>
              </w:rPr>
            </w:pPr>
            <w:r>
              <w:rPr>
                <w:rFonts w:hint="eastAsia" w:ascii="宋体" w:hAnsi="宋体" w:eastAsia="宋体" w:cs="宋体"/>
                <w:color w:val="auto"/>
                <w:kern w:val="2"/>
                <w:sz w:val="21"/>
                <w:szCs w:val="21"/>
                <w:highlight w:val="none"/>
                <w:lang w:val="en-US" w:eastAsia="zh-CN"/>
              </w:rPr>
              <w:t>最高时速：≥170KM/h</w:t>
            </w:r>
          </w:p>
        </w:tc>
      </w:tr>
      <w:tr w14:paraId="582E69B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1084" w:type="dxa"/>
            <w:tcBorders>
              <w:top w:val="single" w:color="auto" w:sz="4" w:space="0"/>
              <w:left w:val="single" w:color="auto" w:sz="4" w:space="0"/>
              <w:bottom w:val="single" w:color="auto" w:sz="4" w:space="0"/>
              <w:right w:val="single" w:color="auto" w:sz="4" w:space="0"/>
            </w:tcBorders>
            <w:noWrap/>
            <w:vAlign w:val="center"/>
          </w:tcPr>
          <w:p w14:paraId="4C2296A5">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eastAsia" w:ascii="宋体" w:hAnsi="宋体" w:eastAsia="宋体" w:cs="宋体"/>
                <w:color w:val="auto"/>
                <w:kern w:val="2"/>
                <w:sz w:val="21"/>
                <w:szCs w:val="21"/>
                <w:highlight w:val="none"/>
                <w:lang w:val="en-US" w:eastAsia="zh-CN"/>
              </w:rPr>
            </w:pPr>
            <w:r>
              <w:rPr>
                <w:rFonts w:hint="eastAsia" w:ascii="宋体" w:hAnsi="宋体" w:eastAsia="宋体" w:cs="宋体"/>
                <w:color w:val="auto"/>
                <w:kern w:val="2"/>
                <w:sz w:val="21"/>
                <w:szCs w:val="21"/>
                <w:highlight w:val="none"/>
                <w:lang w:val="en-US" w:eastAsia="zh-CN"/>
              </w:rPr>
              <w:t>2.6</w:t>
            </w:r>
          </w:p>
        </w:tc>
        <w:tc>
          <w:tcPr>
            <w:tcW w:w="8108" w:type="dxa"/>
            <w:tcBorders>
              <w:top w:val="single" w:color="auto" w:sz="4" w:space="0"/>
              <w:left w:val="single" w:color="auto" w:sz="4" w:space="0"/>
              <w:bottom w:val="single" w:color="auto" w:sz="4" w:space="0"/>
              <w:right w:val="single" w:color="auto" w:sz="4" w:space="0"/>
            </w:tcBorders>
            <w:noWrap/>
            <w:vAlign w:val="center"/>
          </w:tcPr>
          <w:p w14:paraId="02D7B394">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ascii="宋体" w:hAnsi="宋体" w:eastAsia="宋体" w:cs="宋体"/>
                <w:color w:val="auto"/>
                <w:kern w:val="2"/>
                <w:sz w:val="21"/>
                <w:szCs w:val="21"/>
                <w:highlight w:val="none"/>
                <w:lang w:val="en-US" w:eastAsia="zh-CN"/>
              </w:rPr>
            </w:pPr>
            <w:r>
              <w:rPr>
                <w:rFonts w:hint="eastAsia" w:ascii="宋体" w:hAnsi="宋体" w:eastAsia="宋体" w:cs="宋体"/>
                <w:color w:val="auto"/>
                <w:kern w:val="2"/>
                <w:sz w:val="21"/>
                <w:szCs w:val="21"/>
                <w:highlight w:val="none"/>
                <w:lang w:val="en-US" w:eastAsia="zh-CN"/>
              </w:rPr>
              <w:t>整备质量：≤2500</w:t>
            </w:r>
            <w:r>
              <w:rPr>
                <w:rFonts w:hint="eastAsia" w:ascii="宋体" w:hAnsi="宋体" w:cs="宋体"/>
                <w:color w:val="auto"/>
                <w:kern w:val="2"/>
                <w:sz w:val="21"/>
                <w:szCs w:val="21"/>
                <w:highlight w:val="none"/>
                <w:lang w:val="en-US" w:eastAsia="zh-CN"/>
              </w:rPr>
              <w:t>kg</w:t>
            </w:r>
          </w:p>
        </w:tc>
      </w:tr>
      <w:tr w14:paraId="0E0D391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jc w:val="center"/>
        </w:trPr>
        <w:tc>
          <w:tcPr>
            <w:tcW w:w="1084" w:type="dxa"/>
            <w:tcBorders>
              <w:top w:val="single" w:color="auto" w:sz="4" w:space="0"/>
              <w:left w:val="single" w:color="auto" w:sz="4" w:space="0"/>
              <w:bottom w:val="single" w:color="auto" w:sz="4" w:space="0"/>
              <w:right w:val="single" w:color="auto" w:sz="4" w:space="0"/>
            </w:tcBorders>
            <w:noWrap/>
            <w:vAlign w:val="center"/>
          </w:tcPr>
          <w:p w14:paraId="3E7823AD">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eastAsia" w:ascii="宋体" w:hAnsi="宋体" w:eastAsia="宋体" w:cs="宋体"/>
                <w:color w:val="auto"/>
                <w:kern w:val="2"/>
                <w:sz w:val="21"/>
                <w:szCs w:val="21"/>
                <w:highlight w:val="none"/>
                <w:lang w:val="en-US" w:eastAsia="zh-CN"/>
              </w:rPr>
            </w:pPr>
            <w:r>
              <w:rPr>
                <w:rFonts w:hint="eastAsia" w:ascii="宋体" w:hAnsi="宋体" w:eastAsia="宋体" w:cs="宋体"/>
                <w:color w:val="auto"/>
                <w:kern w:val="2"/>
                <w:sz w:val="21"/>
                <w:szCs w:val="21"/>
                <w:highlight w:val="none"/>
                <w:lang w:val="en-US" w:eastAsia="zh-CN"/>
              </w:rPr>
              <w:t>2.7</w:t>
            </w:r>
          </w:p>
        </w:tc>
        <w:tc>
          <w:tcPr>
            <w:tcW w:w="8108" w:type="dxa"/>
            <w:tcBorders>
              <w:top w:val="single" w:color="auto" w:sz="4" w:space="0"/>
              <w:left w:val="single" w:color="auto" w:sz="4" w:space="0"/>
              <w:bottom w:val="single" w:color="auto" w:sz="4" w:space="0"/>
              <w:right w:val="single" w:color="auto" w:sz="4" w:space="0"/>
            </w:tcBorders>
            <w:noWrap/>
            <w:vAlign w:val="center"/>
          </w:tcPr>
          <w:p w14:paraId="5BE0AFA3">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ascii="宋体" w:hAnsi="宋体" w:eastAsia="宋体" w:cs="宋体"/>
                <w:color w:val="auto"/>
                <w:kern w:val="2"/>
                <w:sz w:val="21"/>
                <w:szCs w:val="21"/>
                <w:highlight w:val="none"/>
                <w:lang w:val="en-US" w:eastAsia="zh-CN"/>
              </w:rPr>
            </w:pPr>
            <w:r>
              <w:rPr>
                <w:rFonts w:hint="eastAsia" w:ascii="宋体" w:hAnsi="宋体" w:eastAsia="宋体" w:cs="宋体"/>
                <w:color w:val="000000"/>
                <w:kern w:val="0"/>
                <w:sz w:val="21"/>
                <w:szCs w:val="21"/>
                <w:lang w:val="en-US" w:eastAsia="zh-CN" w:bidi="ar"/>
              </w:rPr>
              <w:t>★</w:t>
            </w:r>
            <w:r>
              <w:rPr>
                <w:rFonts w:hint="eastAsia" w:ascii="宋体" w:hAnsi="宋体" w:eastAsia="宋体" w:cs="宋体"/>
                <w:color w:val="auto"/>
                <w:kern w:val="2"/>
                <w:sz w:val="21"/>
                <w:szCs w:val="21"/>
                <w:highlight w:val="none"/>
                <w:lang w:val="en-US" w:eastAsia="zh-CN"/>
              </w:rPr>
              <w:t>总质量：≤3300</w:t>
            </w:r>
            <w:r>
              <w:rPr>
                <w:rFonts w:hint="eastAsia" w:ascii="宋体" w:hAnsi="宋体" w:cs="宋体"/>
                <w:color w:val="auto"/>
                <w:kern w:val="2"/>
                <w:sz w:val="21"/>
                <w:szCs w:val="21"/>
                <w:highlight w:val="none"/>
                <w:lang w:val="en-US" w:eastAsia="zh-CN"/>
              </w:rPr>
              <w:t>kg</w:t>
            </w:r>
          </w:p>
        </w:tc>
      </w:tr>
      <w:tr w14:paraId="0F3442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 w:hRule="atLeast"/>
          <w:jc w:val="center"/>
        </w:trPr>
        <w:tc>
          <w:tcPr>
            <w:tcW w:w="1084" w:type="dxa"/>
            <w:tcBorders>
              <w:top w:val="single" w:color="auto" w:sz="4" w:space="0"/>
              <w:left w:val="single" w:color="auto" w:sz="4" w:space="0"/>
              <w:bottom w:val="single" w:color="auto" w:sz="4" w:space="0"/>
              <w:right w:val="single" w:color="auto" w:sz="4" w:space="0"/>
            </w:tcBorders>
            <w:noWrap/>
            <w:vAlign w:val="center"/>
          </w:tcPr>
          <w:p w14:paraId="1EC1B688">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eastAsia" w:ascii="宋体" w:hAnsi="宋体" w:eastAsia="宋体" w:cs="宋体"/>
                <w:color w:val="auto"/>
                <w:kern w:val="2"/>
                <w:sz w:val="21"/>
                <w:szCs w:val="21"/>
                <w:highlight w:val="none"/>
                <w:lang w:val="en-US" w:eastAsia="zh-CN"/>
              </w:rPr>
            </w:pPr>
            <w:r>
              <w:rPr>
                <w:rFonts w:hint="eastAsia" w:ascii="宋体" w:hAnsi="宋体" w:eastAsia="宋体" w:cs="宋体"/>
                <w:color w:val="auto"/>
                <w:kern w:val="2"/>
                <w:sz w:val="21"/>
                <w:szCs w:val="21"/>
                <w:highlight w:val="none"/>
                <w:lang w:val="en-US" w:eastAsia="zh-CN"/>
              </w:rPr>
              <w:t>2.8</w:t>
            </w:r>
          </w:p>
        </w:tc>
        <w:tc>
          <w:tcPr>
            <w:tcW w:w="8108" w:type="dxa"/>
            <w:tcBorders>
              <w:top w:val="single" w:color="auto" w:sz="4" w:space="0"/>
              <w:left w:val="single" w:color="auto" w:sz="4" w:space="0"/>
              <w:bottom w:val="single" w:color="auto" w:sz="4" w:space="0"/>
              <w:right w:val="single" w:color="auto" w:sz="4" w:space="0"/>
            </w:tcBorders>
            <w:noWrap/>
            <w:vAlign w:val="center"/>
          </w:tcPr>
          <w:p w14:paraId="310FBA8E">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ascii="宋体" w:hAnsi="宋体" w:eastAsia="宋体" w:cs="宋体"/>
                <w:color w:val="auto"/>
                <w:kern w:val="2"/>
                <w:sz w:val="21"/>
                <w:szCs w:val="21"/>
                <w:highlight w:val="none"/>
                <w:lang w:val="en-US" w:eastAsia="zh-CN"/>
              </w:rPr>
            </w:pPr>
            <w:r>
              <w:rPr>
                <w:rFonts w:hint="eastAsia" w:ascii="宋体" w:hAnsi="宋体" w:eastAsia="宋体" w:cs="宋体"/>
                <w:color w:val="auto"/>
                <w:kern w:val="2"/>
                <w:sz w:val="21"/>
                <w:szCs w:val="21"/>
                <w:highlight w:val="none"/>
                <w:lang w:val="en-US" w:eastAsia="zh-CN"/>
              </w:rPr>
              <w:t>发动机排量：≥1990ml</w:t>
            </w:r>
          </w:p>
        </w:tc>
      </w:tr>
      <w:tr w14:paraId="32A889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 w:hRule="atLeast"/>
          <w:jc w:val="center"/>
        </w:trPr>
        <w:tc>
          <w:tcPr>
            <w:tcW w:w="1084" w:type="dxa"/>
            <w:tcBorders>
              <w:top w:val="single" w:color="auto" w:sz="4" w:space="0"/>
              <w:left w:val="single" w:color="auto" w:sz="4" w:space="0"/>
              <w:bottom w:val="single" w:color="auto" w:sz="4" w:space="0"/>
              <w:right w:val="single" w:color="auto" w:sz="4" w:space="0"/>
            </w:tcBorders>
            <w:noWrap/>
            <w:vAlign w:val="center"/>
          </w:tcPr>
          <w:p w14:paraId="6726C1D2">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eastAsia" w:ascii="宋体" w:hAnsi="宋体" w:eastAsia="宋体" w:cs="宋体"/>
                <w:color w:val="auto"/>
                <w:kern w:val="2"/>
                <w:sz w:val="21"/>
                <w:szCs w:val="21"/>
                <w:highlight w:val="none"/>
                <w:lang w:val="en-US" w:eastAsia="zh-CN"/>
              </w:rPr>
            </w:pPr>
            <w:r>
              <w:rPr>
                <w:rFonts w:hint="eastAsia" w:ascii="宋体" w:hAnsi="宋体" w:eastAsia="宋体" w:cs="宋体"/>
                <w:color w:val="auto"/>
                <w:kern w:val="2"/>
                <w:sz w:val="21"/>
                <w:szCs w:val="21"/>
                <w:highlight w:val="none"/>
                <w:lang w:val="en-US" w:eastAsia="zh-CN"/>
              </w:rPr>
              <w:t>2.9</w:t>
            </w:r>
          </w:p>
        </w:tc>
        <w:tc>
          <w:tcPr>
            <w:tcW w:w="8108" w:type="dxa"/>
            <w:tcBorders>
              <w:top w:val="single" w:color="auto" w:sz="4" w:space="0"/>
              <w:left w:val="single" w:color="auto" w:sz="4" w:space="0"/>
              <w:bottom w:val="single" w:color="auto" w:sz="4" w:space="0"/>
              <w:right w:val="single" w:color="auto" w:sz="4" w:space="0"/>
            </w:tcBorders>
            <w:noWrap/>
            <w:vAlign w:val="center"/>
          </w:tcPr>
          <w:p w14:paraId="72B1BC21">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ascii="宋体" w:hAnsi="宋体" w:eastAsia="宋体" w:cs="宋体"/>
                <w:color w:val="auto"/>
                <w:kern w:val="2"/>
                <w:sz w:val="21"/>
                <w:szCs w:val="21"/>
                <w:highlight w:val="none"/>
                <w:lang w:val="en-US" w:eastAsia="zh-CN"/>
              </w:rPr>
            </w:pPr>
            <w:r>
              <w:rPr>
                <w:rFonts w:hint="eastAsia" w:ascii="宋体" w:hAnsi="宋体" w:eastAsia="宋体" w:cs="宋体"/>
                <w:color w:val="auto"/>
                <w:kern w:val="2"/>
                <w:sz w:val="21"/>
                <w:szCs w:val="21"/>
                <w:highlight w:val="none"/>
                <w:lang w:val="en-US" w:eastAsia="zh-CN"/>
              </w:rPr>
              <w:t>发动机型式：前置（横置）、直列四缸、液冷、增压中冷、缸内直喷汽油机</w:t>
            </w:r>
          </w:p>
        </w:tc>
      </w:tr>
      <w:tr w14:paraId="1D60D59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jc w:val="center"/>
        </w:trPr>
        <w:tc>
          <w:tcPr>
            <w:tcW w:w="1084" w:type="dxa"/>
            <w:tcBorders>
              <w:top w:val="single" w:color="auto" w:sz="4" w:space="0"/>
              <w:left w:val="single" w:color="auto" w:sz="4" w:space="0"/>
              <w:bottom w:val="single" w:color="auto" w:sz="4" w:space="0"/>
              <w:right w:val="single" w:color="auto" w:sz="4" w:space="0"/>
            </w:tcBorders>
            <w:noWrap/>
            <w:vAlign w:val="center"/>
          </w:tcPr>
          <w:p w14:paraId="6988EAEE">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eastAsia" w:ascii="宋体" w:hAnsi="宋体" w:eastAsia="宋体" w:cs="宋体"/>
                <w:color w:val="auto"/>
                <w:kern w:val="2"/>
                <w:sz w:val="21"/>
                <w:szCs w:val="21"/>
                <w:highlight w:val="none"/>
                <w:lang w:val="en-US" w:eastAsia="zh-CN"/>
              </w:rPr>
            </w:pPr>
            <w:r>
              <w:rPr>
                <w:rFonts w:hint="eastAsia" w:ascii="宋体" w:hAnsi="宋体" w:eastAsia="宋体" w:cs="宋体"/>
                <w:color w:val="auto"/>
                <w:kern w:val="2"/>
                <w:sz w:val="21"/>
                <w:szCs w:val="21"/>
                <w:highlight w:val="none"/>
                <w:lang w:val="en-US" w:eastAsia="zh-CN"/>
              </w:rPr>
              <w:t>2.10</w:t>
            </w:r>
          </w:p>
        </w:tc>
        <w:tc>
          <w:tcPr>
            <w:tcW w:w="8108" w:type="dxa"/>
            <w:tcBorders>
              <w:top w:val="single" w:color="auto" w:sz="4" w:space="0"/>
              <w:left w:val="single" w:color="auto" w:sz="4" w:space="0"/>
              <w:bottom w:val="single" w:color="auto" w:sz="4" w:space="0"/>
              <w:right w:val="single" w:color="auto" w:sz="4" w:space="0"/>
            </w:tcBorders>
            <w:noWrap/>
            <w:vAlign w:val="center"/>
          </w:tcPr>
          <w:p w14:paraId="65CF303D">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ascii="宋体" w:hAnsi="宋体" w:eastAsia="宋体" w:cs="宋体"/>
                <w:color w:val="auto"/>
                <w:kern w:val="2"/>
                <w:sz w:val="21"/>
                <w:szCs w:val="21"/>
                <w:highlight w:val="none"/>
                <w:lang w:val="en-US" w:eastAsia="zh-CN"/>
              </w:rPr>
            </w:pPr>
            <w:r>
              <w:rPr>
                <w:rFonts w:hint="eastAsia" w:ascii="宋体" w:hAnsi="宋体" w:eastAsia="宋体" w:cs="宋体"/>
                <w:color w:val="auto"/>
                <w:kern w:val="2"/>
                <w:sz w:val="21"/>
                <w:szCs w:val="21"/>
                <w:highlight w:val="none"/>
                <w:lang w:val="en-US" w:eastAsia="zh-CN"/>
              </w:rPr>
              <w:t>★燃油种类：汽油</w:t>
            </w:r>
          </w:p>
        </w:tc>
      </w:tr>
      <w:tr w14:paraId="28E30B6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jc w:val="center"/>
        </w:trPr>
        <w:tc>
          <w:tcPr>
            <w:tcW w:w="1084" w:type="dxa"/>
            <w:tcBorders>
              <w:top w:val="single" w:color="auto" w:sz="4" w:space="0"/>
              <w:left w:val="single" w:color="auto" w:sz="4" w:space="0"/>
              <w:bottom w:val="single" w:color="auto" w:sz="4" w:space="0"/>
              <w:right w:val="single" w:color="auto" w:sz="4" w:space="0"/>
            </w:tcBorders>
            <w:noWrap/>
            <w:vAlign w:val="center"/>
          </w:tcPr>
          <w:p w14:paraId="1BC02C6B">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eastAsia" w:ascii="宋体" w:hAnsi="宋体" w:eastAsia="宋体" w:cs="宋体"/>
                <w:color w:val="auto"/>
                <w:kern w:val="2"/>
                <w:sz w:val="21"/>
                <w:szCs w:val="21"/>
                <w:highlight w:val="none"/>
                <w:lang w:val="en-US" w:eastAsia="zh-CN"/>
              </w:rPr>
            </w:pPr>
            <w:r>
              <w:rPr>
                <w:rFonts w:hint="eastAsia" w:ascii="宋体" w:hAnsi="宋体" w:eastAsia="宋体" w:cs="宋体"/>
                <w:color w:val="auto"/>
                <w:kern w:val="2"/>
                <w:sz w:val="21"/>
                <w:szCs w:val="21"/>
                <w:highlight w:val="none"/>
                <w:lang w:val="en-US" w:eastAsia="zh-CN"/>
              </w:rPr>
              <w:t>2.11</w:t>
            </w:r>
          </w:p>
        </w:tc>
        <w:tc>
          <w:tcPr>
            <w:tcW w:w="8108" w:type="dxa"/>
            <w:tcBorders>
              <w:top w:val="single" w:color="auto" w:sz="4" w:space="0"/>
              <w:left w:val="single" w:color="auto" w:sz="4" w:space="0"/>
              <w:bottom w:val="single" w:color="auto" w:sz="4" w:space="0"/>
              <w:right w:val="single" w:color="auto" w:sz="4" w:space="0"/>
            </w:tcBorders>
            <w:noWrap/>
            <w:vAlign w:val="center"/>
          </w:tcPr>
          <w:p w14:paraId="34E16306">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ascii="宋体" w:hAnsi="宋体" w:eastAsia="宋体" w:cs="宋体"/>
                <w:color w:val="auto"/>
                <w:kern w:val="2"/>
                <w:sz w:val="21"/>
                <w:szCs w:val="21"/>
                <w:highlight w:val="none"/>
                <w:lang w:val="en-US" w:eastAsia="zh-CN"/>
              </w:rPr>
            </w:pPr>
            <w:r>
              <w:rPr>
                <w:rFonts w:hint="eastAsia" w:ascii="宋体" w:hAnsi="宋体" w:eastAsia="宋体" w:cs="宋体"/>
                <w:color w:val="auto"/>
                <w:kern w:val="2"/>
                <w:sz w:val="21"/>
                <w:szCs w:val="21"/>
                <w:highlight w:val="none"/>
                <w:lang w:val="en-US" w:eastAsia="zh-CN"/>
              </w:rPr>
              <w:t>额定功率：≥160</w:t>
            </w:r>
            <w:r>
              <w:rPr>
                <w:rFonts w:hint="eastAsia" w:ascii="宋体" w:hAnsi="宋体" w:cs="宋体"/>
                <w:color w:val="auto"/>
                <w:kern w:val="2"/>
                <w:sz w:val="21"/>
                <w:szCs w:val="21"/>
                <w:highlight w:val="none"/>
                <w:lang w:val="en-US" w:eastAsia="zh-CN"/>
              </w:rPr>
              <w:t>kW</w:t>
            </w:r>
          </w:p>
        </w:tc>
      </w:tr>
      <w:tr w14:paraId="499A653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jc w:val="center"/>
        </w:trPr>
        <w:tc>
          <w:tcPr>
            <w:tcW w:w="1084" w:type="dxa"/>
            <w:tcBorders>
              <w:top w:val="single" w:color="auto" w:sz="4" w:space="0"/>
              <w:left w:val="single" w:color="auto" w:sz="4" w:space="0"/>
              <w:bottom w:val="single" w:color="auto" w:sz="4" w:space="0"/>
              <w:right w:val="single" w:color="auto" w:sz="4" w:space="0"/>
            </w:tcBorders>
            <w:noWrap/>
            <w:vAlign w:val="center"/>
          </w:tcPr>
          <w:p w14:paraId="155C798A">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eastAsia" w:ascii="宋体" w:hAnsi="宋体" w:eastAsia="宋体" w:cs="宋体"/>
                <w:color w:val="auto"/>
                <w:kern w:val="2"/>
                <w:sz w:val="21"/>
                <w:szCs w:val="21"/>
                <w:highlight w:val="none"/>
                <w:lang w:val="en-US" w:eastAsia="zh-CN"/>
              </w:rPr>
            </w:pPr>
            <w:r>
              <w:rPr>
                <w:rFonts w:hint="eastAsia" w:ascii="宋体" w:hAnsi="宋体" w:eastAsia="宋体" w:cs="宋体"/>
                <w:color w:val="auto"/>
                <w:kern w:val="2"/>
                <w:sz w:val="21"/>
                <w:szCs w:val="21"/>
                <w:highlight w:val="none"/>
                <w:lang w:val="en-US" w:eastAsia="zh-CN"/>
              </w:rPr>
              <w:t>2.12</w:t>
            </w:r>
          </w:p>
        </w:tc>
        <w:tc>
          <w:tcPr>
            <w:tcW w:w="8108" w:type="dxa"/>
            <w:tcBorders>
              <w:top w:val="single" w:color="auto" w:sz="4" w:space="0"/>
              <w:left w:val="single" w:color="auto" w:sz="4" w:space="0"/>
              <w:bottom w:val="single" w:color="auto" w:sz="4" w:space="0"/>
              <w:right w:val="single" w:color="auto" w:sz="4" w:space="0"/>
            </w:tcBorders>
            <w:noWrap/>
            <w:vAlign w:val="center"/>
          </w:tcPr>
          <w:p w14:paraId="13435081">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ascii="宋体" w:hAnsi="宋体" w:eastAsia="宋体" w:cs="宋体"/>
                <w:color w:val="auto"/>
                <w:kern w:val="2"/>
                <w:sz w:val="21"/>
                <w:szCs w:val="21"/>
                <w:highlight w:val="none"/>
                <w:lang w:val="en-US" w:eastAsia="zh-CN"/>
              </w:rPr>
            </w:pPr>
            <w:r>
              <w:rPr>
                <w:rFonts w:hint="eastAsia" w:ascii="宋体" w:hAnsi="宋体" w:eastAsia="宋体" w:cs="宋体"/>
                <w:color w:val="auto"/>
                <w:kern w:val="2"/>
                <w:sz w:val="21"/>
                <w:szCs w:val="21"/>
                <w:highlight w:val="none"/>
                <w:lang w:val="en-US" w:eastAsia="zh-CN"/>
              </w:rPr>
              <w:t>最大扭矩：≥300N.m</w:t>
            </w:r>
          </w:p>
        </w:tc>
      </w:tr>
      <w:tr w14:paraId="1269DB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jc w:val="center"/>
        </w:trPr>
        <w:tc>
          <w:tcPr>
            <w:tcW w:w="1084" w:type="dxa"/>
            <w:tcBorders>
              <w:top w:val="single" w:color="auto" w:sz="4" w:space="0"/>
              <w:left w:val="single" w:color="auto" w:sz="4" w:space="0"/>
              <w:bottom w:val="single" w:color="auto" w:sz="4" w:space="0"/>
              <w:right w:val="single" w:color="auto" w:sz="4" w:space="0"/>
            </w:tcBorders>
            <w:noWrap/>
            <w:vAlign w:val="center"/>
          </w:tcPr>
          <w:p w14:paraId="4AC563C4">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eastAsia" w:ascii="宋体" w:hAnsi="宋体" w:eastAsia="宋体" w:cs="宋体"/>
                <w:color w:val="auto"/>
                <w:kern w:val="2"/>
                <w:sz w:val="21"/>
                <w:szCs w:val="21"/>
                <w:highlight w:val="none"/>
                <w:lang w:val="en-US" w:eastAsia="zh-CN"/>
              </w:rPr>
            </w:pPr>
            <w:r>
              <w:rPr>
                <w:rFonts w:hint="eastAsia" w:ascii="宋体" w:hAnsi="宋体" w:eastAsia="宋体" w:cs="宋体"/>
                <w:color w:val="auto"/>
                <w:kern w:val="2"/>
                <w:sz w:val="21"/>
                <w:szCs w:val="21"/>
                <w:highlight w:val="none"/>
                <w:lang w:val="en-US" w:eastAsia="zh-CN"/>
              </w:rPr>
              <w:t>2.13</w:t>
            </w:r>
          </w:p>
        </w:tc>
        <w:tc>
          <w:tcPr>
            <w:tcW w:w="8108" w:type="dxa"/>
            <w:tcBorders>
              <w:top w:val="single" w:color="auto" w:sz="4" w:space="0"/>
              <w:left w:val="single" w:color="auto" w:sz="4" w:space="0"/>
              <w:bottom w:val="single" w:color="auto" w:sz="4" w:space="0"/>
              <w:right w:val="single" w:color="auto" w:sz="4" w:space="0"/>
            </w:tcBorders>
            <w:noWrap/>
            <w:vAlign w:val="center"/>
          </w:tcPr>
          <w:p w14:paraId="4EB18D99">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ascii="宋体" w:hAnsi="宋体" w:eastAsia="宋体" w:cs="宋体"/>
                <w:color w:val="auto"/>
                <w:kern w:val="2"/>
                <w:sz w:val="21"/>
                <w:szCs w:val="21"/>
                <w:highlight w:val="none"/>
                <w:lang w:val="en-US" w:eastAsia="zh-CN"/>
              </w:rPr>
            </w:pPr>
            <w:r>
              <w:rPr>
                <w:rFonts w:hint="eastAsia" w:ascii="宋体" w:hAnsi="宋体" w:eastAsia="宋体" w:cs="宋体"/>
                <w:color w:val="auto"/>
                <w:kern w:val="2"/>
                <w:sz w:val="21"/>
                <w:szCs w:val="21"/>
                <w:highlight w:val="none"/>
                <w:lang w:val="en-US" w:eastAsia="zh-CN"/>
              </w:rPr>
              <w:t>排放标准：尾气排放必须符合国VI标准。</w:t>
            </w:r>
          </w:p>
        </w:tc>
      </w:tr>
      <w:tr w14:paraId="6E977B2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jc w:val="center"/>
        </w:trPr>
        <w:tc>
          <w:tcPr>
            <w:tcW w:w="1084" w:type="dxa"/>
            <w:tcBorders>
              <w:top w:val="single" w:color="auto" w:sz="4" w:space="0"/>
              <w:left w:val="single" w:color="auto" w:sz="4" w:space="0"/>
              <w:bottom w:val="single" w:color="auto" w:sz="4" w:space="0"/>
              <w:right w:val="single" w:color="auto" w:sz="4" w:space="0"/>
            </w:tcBorders>
            <w:noWrap/>
            <w:vAlign w:val="center"/>
          </w:tcPr>
          <w:p w14:paraId="6D83AB0A">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eastAsia" w:ascii="宋体" w:hAnsi="宋体" w:eastAsia="宋体" w:cs="宋体"/>
                <w:color w:val="auto"/>
                <w:kern w:val="2"/>
                <w:sz w:val="21"/>
                <w:szCs w:val="21"/>
                <w:highlight w:val="none"/>
                <w:lang w:val="en-US" w:eastAsia="zh-CN"/>
              </w:rPr>
            </w:pPr>
            <w:r>
              <w:rPr>
                <w:rFonts w:hint="eastAsia" w:ascii="宋体" w:hAnsi="宋体" w:eastAsia="宋体" w:cs="宋体"/>
                <w:color w:val="auto"/>
                <w:kern w:val="2"/>
                <w:sz w:val="21"/>
                <w:szCs w:val="21"/>
                <w:highlight w:val="none"/>
                <w:lang w:val="en-US" w:eastAsia="zh-CN"/>
              </w:rPr>
              <w:t>2.14</w:t>
            </w:r>
          </w:p>
        </w:tc>
        <w:tc>
          <w:tcPr>
            <w:tcW w:w="8108" w:type="dxa"/>
            <w:tcBorders>
              <w:top w:val="single" w:color="auto" w:sz="4" w:space="0"/>
              <w:left w:val="single" w:color="auto" w:sz="4" w:space="0"/>
              <w:bottom w:val="single" w:color="auto" w:sz="4" w:space="0"/>
              <w:right w:val="single" w:color="auto" w:sz="4" w:space="0"/>
            </w:tcBorders>
            <w:noWrap/>
            <w:vAlign w:val="center"/>
          </w:tcPr>
          <w:p w14:paraId="1B18BB7A">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ascii="宋体" w:hAnsi="宋体" w:eastAsia="宋体" w:cs="宋体"/>
                <w:color w:val="auto"/>
                <w:kern w:val="2"/>
                <w:sz w:val="21"/>
                <w:szCs w:val="21"/>
                <w:highlight w:val="none"/>
                <w:lang w:val="en-US" w:eastAsia="zh-CN"/>
              </w:rPr>
            </w:pPr>
            <w:r>
              <w:rPr>
                <w:rFonts w:hint="eastAsia" w:ascii="宋体" w:hAnsi="宋体" w:eastAsia="宋体" w:cs="宋体"/>
                <w:color w:val="auto"/>
                <w:kern w:val="2"/>
                <w:sz w:val="21"/>
                <w:szCs w:val="21"/>
                <w:highlight w:val="none"/>
                <w:lang w:val="en-US" w:eastAsia="zh-CN"/>
              </w:rPr>
              <w:t>变速器：5</w:t>
            </w:r>
            <w:r>
              <w:rPr>
                <w:rFonts w:hint="eastAsia" w:ascii="宋体" w:hAnsi="宋体" w:cs="宋体"/>
                <w:color w:val="auto"/>
                <w:kern w:val="2"/>
                <w:sz w:val="21"/>
                <w:szCs w:val="21"/>
                <w:highlight w:val="none"/>
                <w:lang w:val="en-US" w:eastAsia="zh-CN"/>
              </w:rPr>
              <w:t>档手动</w:t>
            </w:r>
          </w:p>
        </w:tc>
      </w:tr>
      <w:tr w14:paraId="7093DB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5" w:hRule="atLeast"/>
          <w:jc w:val="center"/>
        </w:trPr>
        <w:tc>
          <w:tcPr>
            <w:tcW w:w="1084" w:type="dxa"/>
            <w:tcBorders>
              <w:top w:val="single" w:color="auto" w:sz="4" w:space="0"/>
              <w:left w:val="single" w:color="auto" w:sz="4" w:space="0"/>
              <w:bottom w:val="single" w:color="auto" w:sz="4" w:space="0"/>
              <w:right w:val="single" w:color="auto" w:sz="4" w:space="0"/>
            </w:tcBorders>
            <w:noWrap/>
            <w:vAlign w:val="center"/>
          </w:tcPr>
          <w:p w14:paraId="625E7F57">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eastAsia" w:ascii="宋体" w:hAnsi="宋体" w:eastAsia="宋体" w:cs="宋体"/>
                <w:color w:val="auto"/>
                <w:kern w:val="2"/>
                <w:sz w:val="21"/>
                <w:szCs w:val="21"/>
                <w:highlight w:val="none"/>
                <w:lang w:val="en-US" w:eastAsia="zh-CN"/>
              </w:rPr>
            </w:pPr>
            <w:r>
              <w:rPr>
                <w:rFonts w:hint="eastAsia" w:ascii="宋体" w:hAnsi="宋体" w:eastAsia="宋体" w:cs="宋体"/>
                <w:color w:val="auto"/>
                <w:kern w:val="2"/>
                <w:sz w:val="21"/>
                <w:szCs w:val="21"/>
                <w:highlight w:val="none"/>
                <w:lang w:val="en-US" w:eastAsia="zh-CN"/>
              </w:rPr>
              <w:t>2.15</w:t>
            </w:r>
          </w:p>
        </w:tc>
        <w:tc>
          <w:tcPr>
            <w:tcW w:w="8108" w:type="dxa"/>
            <w:tcBorders>
              <w:top w:val="single" w:color="auto" w:sz="4" w:space="0"/>
              <w:left w:val="single" w:color="auto" w:sz="4" w:space="0"/>
              <w:bottom w:val="single" w:color="auto" w:sz="4" w:space="0"/>
              <w:right w:val="single" w:color="auto" w:sz="4" w:space="0"/>
            </w:tcBorders>
            <w:noWrap/>
            <w:vAlign w:val="center"/>
          </w:tcPr>
          <w:p w14:paraId="422E1C64">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ascii="宋体" w:hAnsi="宋体" w:eastAsia="宋体" w:cs="宋体"/>
                <w:color w:val="auto"/>
                <w:kern w:val="2"/>
                <w:sz w:val="21"/>
                <w:szCs w:val="21"/>
                <w:highlight w:val="none"/>
                <w:lang w:val="en-US" w:eastAsia="zh-CN"/>
              </w:rPr>
            </w:pPr>
            <w:r>
              <w:rPr>
                <w:rFonts w:hint="eastAsia" w:ascii="宋体" w:hAnsi="宋体" w:eastAsia="宋体" w:cs="宋体"/>
                <w:color w:val="auto"/>
                <w:kern w:val="2"/>
                <w:sz w:val="21"/>
                <w:szCs w:val="21"/>
                <w:highlight w:val="none"/>
                <w:lang w:val="en-US" w:eastAsia="zh-CN"/>
              </w:rPr>
              <w:t>★发电机：发电机为12V，功率为120AH以上。</w:t>
            </w:r>
          </w:p>
        </w:tc>
      </w:tr>
      <w:tr w14:paraId="2C3600D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3" w:hRule="atLeast"/>
          <w:jc w:val="center"/>
        </w:trPr>
        <w:tc>
          <w:tcPr>
            <w:tcW w:w="1084" w:type="dxa"/>
            <w:tcBorders>
              <w:top w:val="single" w:color="auto" w:sz="4" w:space="0"/>
              <w:left w:val="single" w:color="auto" w:sz="4" w:space="0"/>
              <w:bottom w:val="single" w:color="auto" w:sz="4" w:space="0"/>
              <w:right w:val="single" w:color="auto" w:sz="4" w:space="0"/>
            </w:tcBorders>
            <w:noWrap/>
            <w:vAlign w:val="center"/>
          </w:tcPr>
          <w:p w14:paraId="6FE1097C">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eastAsia" w:ascii="宋体" w:hAnsi="宋体" w:eastAsia="宋体" w:cs="宋体"/>
                <w:color w:val="auto"/>
                <w:kern w:val="2"/>
                <w:sz w:val="21"/>
                <w:szCs w:val="21"/>
                <w:highlight w:val="none"/>
                <w:lang w:val="en-US" w:eastAsia="zh-CN"/>
              </w:rPr>
            </w:pPr>
            <w:r>
              <w:rPr>
                <w:rFonts w:hint="eastAsia" w:ascii="宋体" w:hAnsi="宋体" w:eastAsia="宋体" w:cs="宋体"/>
                <w:color w:val="auto"/>
                <w:kern w:val="2"/>
                <w:sz w:val="21"/>
                <w:szCs w:val="21"/>
                <w:highlight w:val="none"/>
                <w:lang w:val="en-US" w:eastAsia="zh-CN"/>
              </w:rPr>
              <w:t>2.16</w:t>
            </w:r>
          </w:p>
        </w:tc>
        <w:tc>
          <w:tcPr>
            <w:tcW w:w="8108" w:type="dxa"/>
            <w:tcBorders>
              <w:top w:val="single" w:color="auto" w:sz="4" w:space="0"/>
              <w:left w:val="single" w:color="auto" w:sz="4" w:space="0"/>
              <w:bottom w:val="single" w:color="auto" w:sz="4" w:space="0"/>
              <w:right w:val="single" w:color="auto" w:sz="4" w:space="0"/>
            </w:tcBorders>
            <w:noWrap/>
            <w:vAlign w:val="center"/>
          </w:tcPr>
          <w:p w14:paraId="2DFE4EFE">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ascii="宋体" w:hAnsi="宋体" w:eastAsia="宋体" w:cs="宋体"/>
                <w:color w:val="auto"/>
                <w:kern w:val="2"/>
                <w:sz w:val="21"/>
                <w:szCs w:val="21"/>
                <w:highlight w:val="none"/>
                <w:lang w:val="en-US" w:eastAsia="zh-CN"/>
              </w:rPr>
            </w:pPr>
            <w:r>
              <w:rPr>
                <w:rFonts w:hint="eastAsia" w:ascii="宋体" w:hAnsi="宋体" w:eastAsia="宋体" w:cs="宋体"/>
                <w:color w:val="0000FF"/>
                <w:kern w:val="2"/>
                <w:sz w:val="21"/>
                <w:szCs w:val="21"/>
                <w:highlight w:val="none"/>
                <w:lang w:val="en-US" w:eastAsia="zh-CN"/>
              </w:rPr>
              <w:t>★</w:t>
            </w:r>
            <w:r>
              <w:rPr>
                <w:rFonts w:hint="eastAsia" w:ascii="宋体" w:hAnsi="宋体" w:eastAsia="宋体" w:cs="宋体"/>
                <w:color w:val="auto"/>
                <w:kern w:val="2"/>
                <w:sz w:val="21"/>
                <w:szCs w:val="21"/>
                <w:highlight w:val="none"/>
                <w:lang w:val="en-US" w:eastAsia="zh-CN"/>
              </w:rPr>
              <w:t>制动系统：防抱死制动系统ABS+EBD，四轮碟刹</w:t>
            </w:r>
          </w:p>
        </w:tc>
      </w:tr>
      <w:tr w14:paraId="49531BC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 w:hRule="atLeast"/>
          <w:jc w:val="center"/>
        </w:trPr>
        <w:tc>
          <w:tcPr>
            <w:tcW w:w="1084" w:type="dxa"/>
            <w:tcBorders>
              <w:top w:val="single" w:color="auto" w:sz="4" w:space="0"/>
              <w:left w:val="single" w:color="auto" w:sz="4" w:space="0"/>
              <w:bottom w:val="single" w:color="auto" w:sz="4" w:space="0"/>
              <w:right w:val="single" w:color="auto" w:sz="4" w:space="0"/>
            </w:tcBorders>
            <w:noWrap/>
            <w:vAlign w:val="center"/>
          </w:tcPr>
          <w:p w14:paraId="14319A3C">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eastAsia" w:ascii="宋体" w:hAnsi="宋体" w:eastAsia="宋体" w:cs="宋体"/>
                <w:color w:val="auto"/>
                <w:kern w:val="2"/>
                <w:sz w:val="21"/>
                <w:szCs w:val="21"/>
                <w:highlight w:val="none"/>
                <w:lang w:val="en-US" w:eastAsia="zh-CN"/>
              </w:rPr>
            </w:pPr>
            <w:r>
              <w:rPr>
                <w:rFonts w:hint="eastAsia" w:ascii="宋体" w:hAnsi="宋体" w:eastAsia="宋体" w:cs="宋体"/>
                <w:color w:val="auto"/>
                <w:kern w:val="2"/>
                <w:sz w:val="21"/>
                <w:szCs w:val="21"/>
                <w:highlight w:val="none"/>
                <w:lang w:val="en-US" w:eastAsia="zh-CN"/>
              </w:rPr>
              <w:t>2.17</w:t>
            </w:r>
          </w:p>
        </w:tc>
        <w:tc>
          <w:tcPr>
            <w:tcW w:w="8108" w:type="dxa"/>
            <w:tcBorders>
              <w:top w:val="single" w:color="auto" w:sz="4" w:space="0"/>
              <w:left w:val="single" w:color="auto" w:sz="4" w:space="0"/>
              <w:bottom w:val="single" w:color="auto" w:sz="4" w:space="0"/>
              <w:right w:val="single" w:color="auto" w:sz="4" w:space="0"/>
            </w:tcBorders>
            <w:noWrap/>
            <w:vAlign w:val="center"/>
          </w:tcPr>
          <w:p w14:paraId="6D66406D">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ascii="宋体" w:hAnsi="宋体" w:eastAsia="宋体" w:cs="宋体"/>
                <w:color w:val="auto"/>
                <w:kern w:val="2"/>
                <w:sz w:val="21"/>
                <w:szCs w:val="21"/>
                <w:highlight w:val="none"/>
                <w:lang w:val="en-US" w:eastAsia="zh-CN"/>
              </w:rPr>
            </w:pPr>
            <w:r>
              <w:rPr>
                <w:rFonts w:hint="eastAsia" w:ascii="宋体" w:hAnsi="宋体" w:eastAsia="宋体" w:cs="宋体"/>
                <w:color w:val="auto"/>
                <w:kern w:val="2"/>
                <w:sz w:val="21"/>
                <w:szCs w:val="21"/>
                <w:highlight w:val="none"/>
                <w:lang w:val="en-US" w:eastAsia="zh-CN"/>
              </w:rPr>
              <w:t>空调系统：控制：冷暖空调，前后双空调，独立控制。</w:t>
            </w:r>
          </w:p>
        </w:tc>
      </w:tr>
      <w:tr w14:paraId="4700523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 w:hRule="atLeast"/>
          <w:jc w:val="center"/>
        </w:trPr>
        <w:tc>
          <w:tcPr>
            <w:tcW w:w="1084" w:type="dxa"/>
            <w:tcBorders>
              <w:top w:val="single" w:color="auto" w:sz="4" w:space="0"/>
              <w:left w:val="single" w:color="auto" w:sz="4" w:space="0"/>
              <w:bottom w:val="single" w:color="auto" w:sz="4" w:space="0"/>
              <w:right w:val="single" w:color="auto" w:sz="4" w:space="0"/>
            </w:tcBorders>
            <w:noWrap/>
            <w:vAlign w:val="center"/>
          </w:tcPr>
          <w:p w14:paraId="6C795A79">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eastAsia" w:ascii="宋体" w:hAnsi="宋体" w:eastAsia="宋体" w:cs="宋体"/>
                <w:color w:val="auto"/>
                <w:kern w:val="2"/>
                <w:sz w:val="21"/>
                <w:szCs w:val="21"/>
                <w:highlight w:val="none"/>
                <w:lang w:val="en-US" w:eastAsia="zh-CN"/>
              </w:rPr>
            </w:pPr>
            <w:r>
              <w:rPr>
                <w:rFonts w:hint="eastAsia" w:ascii="宋体" w:hAnsi="宋体" w:eastAsia="宋体" w:cs="宋体"/>
                <w:color w:val="auto"/>
                <w:kern w:val="2"/>
                <w:sz w:val="21"/>
                <w:szCs w:val="21"/>
                <w:highlight w:val="none"/>
                <w:lang w:val="en-US" w:eastAsia="zh-CN"/>
              </w:rPr>
              <w:t>2.18</w:t>
            </w:r>
          </w:p>
        </w:tc>
        <w:tc>
          <w:tcPr>
            <w:tcW w:w="8108" w:type="dxa"/>
            <w:tcBorders>
              <w:top w:val="single" w:color="auto" w:sz="4" w:space="0"/>
              <w:left w:val="single" w:color="auto" w:sz="4" w:space="0"/>
              <w:bottom w:val="single" w:color="auto" w:sz="4" w:space="0"/>
              <w:right w:val="single" w:color="auto" w:sz="4" w:space="0"/>
            </w:tcBorders>
            <w:noWrap/>
            <w:vAlign w:val="center"/>
          </w:tcPr>
          <w:p w14:paraId="6E46EF82">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ascii="宋体" w:hAnsi="宋体" w:eastAsia="宋体" w:cs="宋体"/>
                <w:color w:val="auto"/>
                <w:kern w:val="2"/>
                <w:sz w:val="21"/>
                <w:szCs w:val="21"/>
                <w:highlight w:val="none"/>
                <w:lang w:val="en-US" w:eastAsia="zh-CN"/>
              </w:rPr>
            </w:pPr>
            <w:r>
              <w:rPr>
                <w:rFonts w:hint="eastAsia" w:ascii="宋体" w:hAnsi="宋体" w:eastAsia="宋体" w:cs="宋体"/>
                <w:color w:val="auto"/>
                <w:kern w:val="2"/>
                <w:sz w:val="21"/>
                <w:szCs w:val="21"/>
                <w:highlight w:val="none"/>
                <w:lang w:val="en-US" w:eastAsia="zh-CN"/>
              </w:rPr>
              <w:t>要求铝合金轮毂</w:t>
            </w:r>
          </w:p>
        </w:tc>
      </w:tr>
      <w:tr w14:paraId="1931B4A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 w:hRule="atLeast"/>
          <w:jc w:val="center"/>
        </w:trPr>
        <w:tc>
          <w:tcPr>
            <w:tcW w:w="1084" w:type="dxa"/>
            <w:tcBorders>
              <w:top w:val="single" w:color="auto" w:sz="4" w:space="0"/>
              <w:left w:val="single" w:color="auto" w:sz="4" w:space="0"/>
              <w:bottom w:val="single" w:color="auto" w:sz="4" w:space="0"/>
              <w:right w:val="single" w:color="auto" w:sz="4" w:space="0"/>
            </w:tcBorders>
            <w:noWrap/>
            <w:vAlign w:val="center"/>
          </w:tcPr>
          <w:p w14:paraId="1A4E573E">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default" w:ascii="宋体" w:hAnsi="宋体" w:eastAsia="宋体" w:cs="宋体"/>
                <w:color w:val="auto"/>
                <w:kern w:val="2"/>
                <w:sz w:val="21"/>
                <w:szCs w:val="21"/>
                <w:highlight w:val="none"/>
                <w:lang w:val="en-US" w:eastAsia="zh-CN"/>
              </w:rPr>
            </w:pPr>
            <w:r>
              <w:rPr>
                <w:rFonts w:hint="eastAsia" w:ascii="宋体" w:hAnsi="宋体" w:eastAsia="宋体" w:cs="宋体"/>
                <w:color w:val="auto"/>
                <w:kern w:val="2"/>
                <w:sz w:val="21"/>
                <w:szCs w:val="21"/>
                <w:highlight w:val="none"/>
                <w:lang w:val="en-US" w:eastAsia="zh-CN"/>
              </w:rPr>
              <w:t>2.19</w:t>
            </w:r>
          </w:p>
        </w:tc>
        <w:tc>
          <w:tcPr>
            <w:tcW w:w="8108" w:type="dxa"/>
            <w:tcBorders>
              <w:top w:val="single" w:color="auto" w:sz="4" w:space="0"/>
              <w:left w:val="single" w:color="auto" w:sz="4" w:space="0"/>
              <w:bottom w:val="single" w:color="auto" w:sz="4" w:space="0"/>
              <w:right w:val="single" w:color="auto" w:sz="4" w:space="0"/>
            </w:tcBorders>
            <w:noWrap/>
            <w:vAlign w:val="center"/>
          </w:tcPr>
          <w:p w14:paraId="176359D9">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ascii="宋体" w:hAnsi="宋体" w:eastAsia="宋体" w:cs="宋体"/>
                <w:color w:val="auto"/>
                <w:kern w:val="2"/>
                <w:sz w:val="21"/>
                <w:szCs w:val="21"/>
                <w:highlight w:val="none"/>
                <w:lang w:val="en-US" w:eastAsia="zh-CN"/>
              </w:rPr>
            </w:pPr>
            <w:r>
              <w:rPr>
                <w:rFonts w:hint="eastAsia" w:ascii="宋体" w:hAnsi="宋体" w:eastAsia="宋体" w:cs="宋体"/>
                <w:color w:val="auto"/>
                <w:kern w:val="2"/>
                <w:sz w:val="21"/>
                <w:szCs w:val="21"/>
                <w:highlight w:val="none"/>
                <w:lang w:val="en-US" w:eastAsia="zh-CN"/>
              </w:rPr>
              <w:t>★安全气囊：驾驶座应配有安全气囊。</w:t>
            </w:r>
          </w:p>
        </w:tc>
      </w:tr>
      <w:tr w14:paraId="0D6862D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jc w:val="center"/>
        </w:trPr>
        <w:tc>
          <w:tcPr>
            <w:tcW w:w="1084" w:type="dxa"/>
            <w:tcBorders>
              <w:top w:val="single" w:color="auto" w:sz="4" w:space="0"/>
              <w:left w:val="single" w:color="auto" w:sz="4" w:space="0"/>
              <w:bottom w:val="single" w:color="auto" w:sz="4" w:space="0"/>
              <w:right w:val="single" w:color="auto" w:sz="4" w:space="0"/>
            </w:tcBorders>
            <w:noWrap/>
            <w:vAlign w:val="center"/>
          </w:tcPr>
          <w:p w14:paraId="6B8447D1">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default" w:ascii="宋体" w:hAnsi="宋体" w:eastAsia="宋体" w:cs="宋体"/>
                <w:color w:val="auto"/>
                <w:kern w:val="2"/>
                <w:sz w:val="21"/>
                <w:szCs w:val="21"/>
                <w:highlight w:val="none"/>
                <w:lang w:val="en-US" w:eastAsia="zh-CN"/>
              </w:rPr>
            </w:pPr>
            <w:r>
              <w:rPr>
                <w:rFonts w:hint="eastAsia" w:ascii="宋体" w:hAnsi="宋体" w:eastAsia="宋体" w:cs="宋体"/>
                <w:color w:val="auto"/>
                <w:kern w:val="2"/>
                <w:sz w:val="21"/>
                <w:szCs w:val="21"/>
                <w:highlight w:val="none"/>
                <w:lang w:val="en-US" w:eastAsia="zh-CN"/>
              </w:rPr>
              <w:t>2.20</w:t>
            </w:r>
          </w:p>
        </w:tc>
        <w:tc>
          <w:tcPr>
            <w:tcW w:w="8108" w:type="dxa"/>
            <w:tcBorders>
              <w:top w:val="single" w:color="auto" w:sz="4" w:space="0"/>
              <w:left w:val="single" w:color="auto" w:sz="4" w:space="0"/>
              <w:bottom w:val="single" w:color="auto" w:sz="4" w:space="0"/>
              <w:right w:val="single" w:color="auto" w:sz="4" w:space="0"/>
            </w:tcBorders>
            <w:noWrap/>
            <w:vAlign w:val="center"/>
          </w:tcPr>
          <w:p w14:paraId="057A2BAE">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ascii="宋体" w:hAnsi="宋体" w:eastAsia="宋体" w:cs="宋体"/>
                <w:color w:val="auto"/>
                <w:kern w:val="2"/>
                <w:sz w:val="21"/>
                <w:szCs w:val="21"/>
                <w:highlight w:val="none"/>
                <w:lang w:val="en-US" w:eastAsia="zh-CN"/>
              </w:rPr>
            </w:pPr>
            <w:r>
              <w:rPr>
                <w:rFonts w:hint="eastAsia" w:ascii="宋体" w:hAnsi="宋体" w:eastAsia="宋体" w:cs="宋体"/>
                <w:color w:val="auto"/>
                <w:kern w:val="2"/>
                <w:sz w:val="21"/>
                <w:szCs w:val="21"/>
                <w:highlight w:val="none"/>
                <w:lang w:val="en-US" w:eastAsia="zh-CN"/>
              </w:rPr>
              <w:t>车窗：医疗舱右侧侧拉门上应为可开启式玻璃窗。</w:t>
            </w:r>
          </w:p>
        </w:tc>
      </w:tr>
      <w:tr w14:paraId="17EDB5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 w:hRule="atLeast"/>
          <w:jc w:val="center"/>
        </w:trPr>
        <w:tc>
          <w:tcPr>
            <w:tcW w:w="1084" w:type="dxa"/>
            <w:tcBorders>
              <w:top w:val="single" w:color="auto" w:sz="4" w:space="0"/>
              <w:left w:val="single" w:color="auto" w:sz="4" w:space="0"/>
              <w:bottom w:val="single" w:color="auto" w:sz="4" w:space="0"/>
              <w:right w:val="single" w:color="auto" w:sz="4" w:space="0"/>
            </w:tcBorders>
            <w:noWrap/>
            <w:vAlign w:val="center"/>
          </w:tcPr>
          <w:p w14:paraId="6DA437E3">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default" w:ascii="宋体" w:hAnsi="宋体" w:eastAsia="宋体" w:cs="宋体"/>
                <w:color w:val="auto"/>
                <w:kern w:val="2"/>
                <w:sz w:val="21"/>
                <w:szCs w:val="21"/>
                <w:highlight w:val="none"/>
                <w:lang w:val="en-US" w:eastAsia="zh-CN"/>
              </w:rPr>
            </w:pPr>
            <w:r>
              <w:rPr>
                <w:rFonts w:hint="eastAsia" w:ascii="宋体" w:hAnsi="宋体" w:eastAsia="宋体" w:cs="宋体"/>
                <w:color w:val="auto"/>
                <w:kern w:val="2"/>
                <w:sz w:val="21"/>
                <w:szCs w:val="21"/>
                <w:highlight w:val="none"/>
                <w:lang w:val="en-US" w:eastAsia="zh-CN"/>
              </w:rPr>
              <w:t>2.21</w:t>
            </w:r>
          </w:p>
        </w:tc>
        <w:tc>
          <w:tcPr>
            <w:tcW w:w="8108" w:type="dxa"/>
            <w:tcBorders>
              <w:top w:val="single" w:color="auto" w:sz="4" w:space="0"/>
              <w:left w:val="single" w:color="auto" w:sz="4" w:space="0"/>
              <w:bottom w:val="single" w:color="auto" w:sz="4" w:space="0"/>
              <w:right w:val="single" w:color="auto" w:sz="4" w:space="0"/>
            </w:tcBorders>
            <w:noWrap/>
            <w:vAlign w:val="center"/>
          </w:tcPr>
          <w:p w14:paraId="01473B87">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ascii="宋体" w:hAnsi="宋体" w:eastAsia="宋体" w:cs="宋体"/>
                <w:color w:val="auto"/>
                <w:kern w:val="2"/>
                <w:sz w:val="21"/>
                <w:szCs w:val="21"/>
                <w:highlight w:val="none"/>
                <w:lang w:val="en-US" w:eastAsia="zh-CN"/>
              </w:rPr>
            </w:pPr>
            <w:r>
              <w:rPr>
                <w:rFonts w:hint="eastAsia" w:ascii="宋体" w:hAnsi="宋体" w:eastAsia="宋体" w:cs="宋体"/>
                <w:color w:val="auto"/>
                <w:kern w:val="2"/>
                <w:sz w:val="21"/>
                <w:szCs w:val="21"/>
                <w:highlight w:val="none"/>
                <w:lang w:val="en-US" w:eastAsia="zh-CN"/>
              </w:rPr>
              <w:t>侧拉门：医疗舱右侧必须为大开度侧拉门。</w:t>
            </w:r>
          </w:p>
        </w:tc>
      </w:tr>
      <w:tr w14:paraId="0F44238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 w:hRule="atLeast"/>
          <w:jc w:val="center"/>
        </w:trPr>
        <w:tc>
          <w:tcPr>
            <w:tcW w:w="1084" w:type="dxa"/>
            <w:tcBorders>
              <w:top w:val="single" w:color="auto" w:sz="4" w:space="0"/>
              <w:left w:val="single" w:color="auto" w:sz="4" w:space="0"/>
              <w:bottom w:val="single" w:color="auto" w:sz="4" w:space="0"/>
              <w:right w:val="single" w:color="auto" w:sz="4" w:space="0"/>
            </w:tcBorders>
            <w:noWrap/>
            <w:vAlign w:val="center"/>
          </w:tcPr>
          <w:p w14:paraId="243F76B4">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default" w:ascii="宋体" w:hAnsi="宋体" w:eastAsia="宋体" w:cs="宋体"/>
                <w:color w:val="auto"/>
                <w:kern w:val="2"/>
                <w:sz w:val="21"/>
                <w:szCs w:val="21"/>
                <w:highlight w:val="none"/>
                <w:lang w:val="en-US" w:eastAsia="zh-CN"/>
              </w:rPr>
            </w:pPr>
            <w:r>
              <w:rPr>
                <w:rFonts w:hint="eastAsia" w:ascii="宋体" w:hAnsi="宋体" w:eastAsia="宋体" w:cs="宋体"/>
                <w:color w:val="auto"/>
                <w:kern w:val="2"/>
                <w:sz w:val="21"/>
                <w:szCs w:val="21"/>
                <w:highlight w:val="none"/>
                <w:lang w:val="en-US" w:eastAsia="zh-CN"/>
              </w:rPr>
              <w:t>2.22</w:t>
            </w:r>
          </w:p>
        </w:tc>
        <w:tc>
          <w:tcPr>
            <w:tcW w:w="8108" w:type="dxa"/>
            <w:tcBorders>
              <w:top w:val="single" w:color="auto" w:sz="4" w:space="0"/>
              <w:left w:val="single" w:color="auto" w:sz="4" w:space="0"/>
              <w:bottom w:val="single" w:color="auto" w:sz="4" w:space="0"/>
              <w:right w:val="single" w:color="auto" w:sz="4" w:space="0"/>
            </w:tcBorders>
            <w:noWrap/>
            <w:vAlign w:val="center"/>
          </w:tcPr>
          <w:p w14:paraId="3AA66661">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ascii="宋体" w:hAnsi="宋体" w:eastAsia="宋体" w:cs="宋体"/>
                <w:color w:val="auto"/>
                <w:kern w:val="2"/>
                <w:sz w:val="21"/>
                <w:szCs w:val="21"/>
                <w:highlight w:val="none"/>
                <w:lang w:val="en-US" w:eastAsia="zh-CN"/>
              </w:rPr>
            </w:pPr>
            <w:r>
              <w:rPr>
                <w:rFonts w:hint="eastAsia" w:ascii="宋体" w:hAnsi="宋体" w:eastAsia="宋体" w:cs="宋体"/>
                <w:color w:val="auto"/>
                <w:kern w:val="2"/>
                <w:sz w:val="21"/>
                <w:szCs w:val="21"/>
                <w:highlight w:val="none"/>
                <w:lang w:val="en-US" w:eastAsia="zh-CN"/>
              </w:rPr>
              <w:t>尾门：尾门要求对开式，可180度打开。</w:t>
            </w:r>
          </w:p>
        </w:tc>
      </w:tr>
      <w:tr w14:paraId="698B864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 w:hRule="atLeast"/>
          <w:jc w:val="center"/>
        </w:trPr>
        <w:tc>
          <w:tcPr>
            <w:tcW w:w="1084" w:type="dxa"/>
            <w:tcBorders>
              <w:top w:val="single" w:color="auto" w:sz="4" w:space="0"/>
              <w:left w:val="single" w:color="auto" w:sz="4" w:space="0"/>
              <w:bottom w:val="single" w:color="auto" w:sz="4" w:space="0"/>
              <w:right w:val="single" w:color="auto" w:sz="4" w:space="0"/>
            </w:tcBorders>
            <w:noWrap/>
            <w:vAlign w:val="center"/>
          </w:tcPr>
          <w:p w14:paraId="04E31484">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default" w:ascii="宋体" w:hAnsi="宋体" w:eastAsia="宋体" w:cs="宋体"/>
                <w:color w:val="auto"/>
                <w:kern w:val="2"/>
                <w:sz w:val="21"/>
                <w:szCs w:val="21"/>
                <w:highlight w:val="none"/>
                <w:lang w:val="en-US" w:eastAsia="zh-CN"/>
              </w:rPr>
            </w:pPr>
            <w:r>
              <w:rPr>
                <w:rFonts w:hint="eastAsia" w:ascii="宋体" w:hAnsi="宋体" w:eastAsia="宋体" w:cs="宋体"/>
                <w:color w:val="auto"/>
                <w:kern w:val="2"/>
                <w:sz w:val="21"/>
                <w:szCs w:val="21"/>
                <w:highlight w:val="none"/>
                <w:lang w:val="en-US" w:eastAsia="zh-CN"/>
              </w:rPr>
              <w:t>2.23</w:t>
            </w:r>
          </w:p>
        </w:tc>
        <w:tc>
          <w:tcPr>
            <w:tcW w:w="8108" w:type="dxa"/>
            <w:tcBorders>
              <w:top w:val="single" w:color="auto" w:sz="4" w:space="0"/>
              <w:left w:val="single" w:color="auto" w:sz="4" w:space="0"/>
              <w:bottom w:val="single" w:color="auto" w:sz="4" w:space="0"/>
              <w:right w:val="single" w:color="auto" w:sz="4" w:space="0"/>
            </w:tcBorders>
            <w:noWrap/>
            <w:vAlign w:val="center"/>
          </w:tcPr>
          <w:p w14:paraId="75E11EAC">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ascii="宋体" w:hAnsi="宋体" w:eastAsia="宋体" w:cs="宋体"/>
                <w:color w:val="auto"/>
                <w:kern w:val="2"/>
                <w:sz w:val="21"/>
                <w:szCs w:val="21"/>
                <w:highlight w:val="none"/>
                <w:lang w:val="en-US" w:eastAsia="zh-CN"/>
              </w:rPr>
            </w:pPr>
            <w:r>
              <w:rPr>
                <w:rFonts w:hint="eastAsia" w:ascii="宋体" w:hAnsi="宋体" w:eastAsia="宋体" w:cs="宋体"/>
                <w:color w:val="auto"/>
                <w:kern w:val="2"/>
                <w:sz w:val="21"/>
                <w:szCs w:val="21"/>
                <w:highlight w:val="none"/>
                <w:lang w:val="en-US" w:eastAsia="zh-CN"/>
              </w:rPr>
              <w:t>踏板：医疗舱右侧侧拉门处应安装伸缩式上车踏板。</w:t>
            </w:r>
          </w:p>
        </w:tc>
      </w:tr>
      <w:tr w14:paraId="2C9D77B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 w:hRule="atLeast"/>
          <w:jc w:val="center"/>
        </w:trPr>
        <w:tc>
          <w:tcPr>
            <w:tcW w:w="1084" w:type="dxa"/>
            <w:tcBorders>
              <w:top w:val="single" w:color="auto" w:sz="4" w:space="0"/>
              <w:left w:val="single" w:color="auto" w:sz="4" w:space="0"/>
              <w:bottom w:val="single" w:color="auto" w:sz="4" w:space="0"/>
              <w:right w:val="single" w:color="auto" w:sz="4" w:space="0"/>
            </w:tcBorders>
            <w:noWrap/>
            <w:vAlign w:val="center"/>
          </w:tcPr>
          <w:p w14:paraId="3529600D">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default" w:ascii="宋体" w:hAnsi="宋体" w:eastAsia="宋体" w:cs="宋体"/>
                <w:color w:val="auto"/>
                <w:kern w:val="2"/>
                <w:sz w:val="21"/>
                <w:szCs w:val="21"/>
                <w:highlight w:val="none"/>
                <w:lang w:val="en-US" w:eastAsia="zh-CN"/>
              </w:rPr>
            </w:pPr>
            <w:r>
              <w:rPr>
                <w:rFonts w:hint="eastAsia" w:ascii="宋体" w:hAnsi="宋体" w:eastAsia="宋体" w:cs="宋体"/>
                <w:color w:val="auto"/>
                <w:kern w:val="2"/>
                <w:sz w:val="21"/>
                <w:szCs w:val="21"/>
                <w:highlight w:val="none"/>
                <w:lang w:val="en-US" w:eastAsia="zh-CN"/>
              </w:rPr>
              <w:t>2.24</w:t>
            </w:r>
          </w:p>
        </w:tc>
        <w:tc>
          <w:tcPr>
            <w:tcW w:w="8108" w:type="dxa"/>
            <w:tcBorders>
              <w:top w:val="single" w:color="auto" w:sz="4" w:space="0"/>
              <w:left w:val="single" w:color="auto" w:sz="4" w:space="0"/>
              <w:bottom w:val="single" w:color="auto" w:sz="4" w:space="0"/>
              <w:right w:val="single" w:color="auto" w:sz="4" w:space="0"/>
            </w:tcBorders>
            <w:noWrap/>
            <w:vAlign w:val="center"/>
          </w:tcPr>
          <w:p w14:paraId="03305103">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ascii="宋体" w:hAnsi="宋体" w:eastAsia="宋体" w:cs="宋体"/>
                <w:color w:val="auto"/>
                <w:kern w:val="2"/>
                <w:sz w:val="21"/>
                <w:szCs w:val="21"/>
                <w:highlight w:val="none"/>
                <w:lang w:val="en-US" w:eastAsia="zh-CN"/>
              </w:rPr>
            </w:pPr>
            <w:r>
              <w:rPr>
                <w:rFonts w:hint="eastAsia" w:ascii="宋体" w:hAnsi="宋体" w:eastAsia="宋体" w:cs="宋体"/>
                <w:color w:val="auto"/>
                <w:kern w:val="2"/>
                <w:sz w:val="21"/>
                <w:szCs w:val="21"/>
                <w:highlight w:val="none"/>
                <w:lang w:val="en-US" w:eastAsia="zh-CN"/>
              </w:rPr>
              <w:t>倒车雷达、倒车影像：后视镜为电动可调节后视镜。</w:t>
            </w:r>
          </w:p>
        </w:tc>
      </w:tr>
      <w:tr w14:paraId="78D3DB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 w:hRule="atLeast"/>
          <w:jc w:val="center"/>
        </w:trPr>
        <w:tc>
          <w:tcPr>
            <w:tcW w:w="1084" w:type="dxa"/>
            <w:tcBorders>
              <w:top w:val="single" w:color="auto" w:sz="4" w:space="0"/>
              <w:left w:val="single" w:color="auto" w:sz="4" w:space="0"/>
              <w:bottom w:val="single" w:color="auto" w:sz="4" w:space="0"/>
              <w:right w:val="single" w:color="auto" w:sz="4" w:space="0"/>
            </w:tcBorders>
            <w:noWrap/>
            <w:vAlign w:val="center"/>
          </w:tcPr>
          <w:p w14:paraId="4D8DFC6B">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default" w:ascii="宋体" w:hAnsi="宋体" w:eastAsia="宋体" w:cs="宋体"/>
                <w:color w:val="auto"/>
                <w:kern w:val="2"/>
                <w:sz w:val="21"/>
                <w:szCs w:val="21"/>
                <w:highlight w:val="none"/>
                <w:lang w:val="en-US" w:eastAsia="zh-CN"/>
              </w:rPr>
            </w:pPr>
            <w:r>
              <w:rPr>
                <w:rFonts w:hint="eastAsia" w:ascii="宋体" w:hAnsi="宋体" w:cs="宋体"/>
                <w:color w:val="auto"/>
                <w:kern w:val="2"/>
                <w:sz w:val="21"/>
                <w:szCs w:val="21"/>
                <w:highlight w:val="none"/>
                <w:lang w:val="en-US" w:eastAsia="zh-CN"/>
              </w:rPr>
              <w:t>2.25</w:t>
            </w:r>
          </w:p>
        </w:tc>
        <w:tc>
          <w:tcPr>
            <w:tcW w:w="8108" w:type="dxa"/>
            <w:tcBorders>
              <w:top w:val="single" w:color="auto" w:sz="4" w:space="0"/>
              <w:left w:val="single" w:color="auto" w:sz="4" w:space="0"/>
              <w:bottom w:val="single" w:color="auto" w:sz="4" w:space="0"/>
              <w:right w:val="single" w:color="auto" w:sz="4" w:space="0"/>
            </w:tcBorders>
            <w:noWrap/>
            <w:vAlign w:val="center"/>
          </w:tcPr>
          <w:p w14:paraId="69018167">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ascii="宋体" w:hAnsi="宋体" w:eastAsia="宋体" w:cs="宋体"/>
                <w:color w:val="auto"/>
                <w:kern w:val="2"/>
                <w:sz w:val="21"/>
                <w:szCs w:val="21"/>
                <w:highlight w:val="none"/>
                <w:lang w:val="en-US" w:eastAsia="zh-CN"/>
              </w:rPr>
            </w:pPr>
            <w:r>
              <w:rPr>
                <w:rFonts w:hint="eastAsia" w:ascii="宋体" w:hAnsi="宋体" w:eastAsia="宋体" w:cs="宋体"/>
                <w:color w:val="auto"/>
                <w:kern w:val="2"/>
                <w:sz w:val="21"/>
                <w:szCs w:val="21"/>
                <w:highlight w:val="none"/>
                <w:lang w:val="en-US" w:eastAsia="zh-CN"/>
              </w:rPr>
              <w:t>外 观：车身外表颜色为白色，贴红色彩条，按江苏省院前急救标准及客户要求制作。所有标识采用国际知名品牌反光贴。</w:t>
            </w:r>
          </w:p>
        </w:tc>
      </w:tr>
      <w:tr w14:paraId="71ADED0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 w:hRule="atLeast"/>
          <w:jc w:val="center"/>
        </w:trPr>
        <w:tc>
          <w:tcPr>
            <w:tcW w:w="9192" w:type="dxa"/>
            <w:gridSpan w:val="2"/>
            <w:tcBorders>
              <w:top w:val="single" w:color="auto" w:sz="4" w:space="0"/>
              <w:left w:val="single" w:color="auto" w:sz="4" w:space="0"/>
              <w:bottom w:val="single" w:color="auto" w:sz="4" w:space="0"/>
              <w:right w:val="single" w:color="auto" w:sz="4" w:space="0"/>
            </w:tcBorders>
            <w:noWrap/>
            <w:vAlign w:val="center"/>
          </w:tcPr>
          <w:p w14:paraId="5DE45E32">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eastAsia" w:ascii="宋体" w:hAnsi="宋体" w:eastAsia="宋体" w:cs="宋体"/>
                <w:color w:val="auto"/>
                <w:kern w:val="2"/>
                <w:sz w:val="21"/>
                <w:szCs w:val="21"/>
                <w:highlight w:val="none"/>
                <w:lang w:val="en-US" w:eastAsia="zh-CN"/>
              </w:rPr>
            </w:pPr>
            <w:r>
              <w:rPr>
                <w:rFonts w:hint="eastAsia" w:ascii="宋体" w:hAnsi="宋体" w:eastAsia="宋体" w:cs="宋体"/>
                <w:b/>
                <w:bCs/>
                <w:color w:val="auto"/>
                <w:kern w:val="2"/>
                <w:sz w:val="21"/>
                <w:szCs w:val="21"/>
                <w:highlight w:val="none"/>
                <w:lang w:val="en-US" w:eastAsia="zh-CN"/>
              </w:rPr>
              <w:t>三、医疗舱及改装</w:t>
            </w:r>
          </w:p>
        </w:tc>
      </w:tr>
      <w:tr w14:paraId="740DBC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 w:hRule="atLeast"/>
          <w:jc w:val="center"/>
        </w:trPr>
        <w:tc>
          <w:tcPr>
            <w:tcW w:w="1084" w:type="dxa"/>
            <w:tcBorders>
              <w:top w:val="single" w:color="auto" w:sz="4" w:space="0"/>
              <w:left w:val="single" w:color="auto" w:sz="4" w:space="0"/>
              <w:bottom w:val="single" w:color="auto" w:sz="4" w:space="0"/>
              <w:right w:val="single" w:color="auto" w:sz="4" w:space="0"/>
            </w:tcBorders>
            <w:noWrap/>
            <w:vAlign w:val="center"/>
          </w:tcPr>
          <w:p w14:paraId="56D2C555">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default" w:ascii="宋体" w:hAnsi="宋体" w:eastAsia="宋体" w:cs="宋体"/>
                <w:color w:val="auto"/>
                <w:kern w:val="2"/>
                <w:sz w:val="21"/>
                <w:szCs w:val="21"/>
                <w:highlight w:val="none"/>
                <w:lang w:val="en-US" w:eastAsia="zh-CN"/>
              </w:rPr>
            </w:pPr>
            <w:r>
              <w:rPr>
                <w:rFonts w:hint="eastAsia" w:ascii="宋体" w:hAnsi="宋体" w:eastAsia="宋体" w:cs="宋体"/>
                <w:color w:val="auto"/>
                <w:kern w:val="2"/>
                <w:sz w:val="21"/>
                <w:szCs w:val="21"/>
                <w:highlight w:val="none"/>
                <w:lang w:val="en-US" w:eastAsia="zh-CN"/>
              </w:rPr>
              <w:t>3.1</w:t>
            </w:r>
          </w:p>
        </w:tc>
        <w:tc>
          <w:tcPr>
            <w:tcW w:w="8108" w:type="dxa"/>
            <w:tcBorders>
              <w:top w:val="single" w:color="auto" w:sz="4" w:space="0"/>
              <w:left w:val="single" w:color="auto" w:sz="4" w:space="0"/>
              <w:bottom w:val="single" w:color="auto" w:sz="4" w:space="0"/>
              <w:right w:val="single" w:color="auto" w:sz="4" w:space="0"/>
            </w:tcBorders>
            <w:noWrap/>
            <w:vAlign w:val="center"/>
          </w:tcPr>
          <w:p w14:paraId="24359ED6">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ascii="宋体" w:hAnsi="宋体" w:eastAsia="宋体" w:cs="宋体"/>
                <w:color w:val="auto"/>
                <w:kern w:val="2"/>
                <w:sz w:val="21"/>
                <w:szCs w:val="21"/>
                <w:highlight w:val="none"/>
                <w:lang w:val="en-US" w:eastAsia="zh-CN"/>
              </w:rPr>
            </w:pPr>
            <w:r>
              <w:rPr>
                <w:rFonts w:hint="eastAsia" w:ascii="宋体" w:hAnsi="宋体" w:eastAsia="宋体" w:cs="宋体"/>
                <w:color w:val="auto"/>
                <w:kern w:val="2"/>
                <w:sz w:val="21"/>
                <w:szCs w:val="21"/>
                <w:highlight w:val="none"/>
                <w:lang w:val="en-US" w:eastAsia="zh-CN"/>
              </w:rPr>
              <w:t>基本要求：医疗舱内饰材料及装饰材料的防火性能应符合汽车内饰材料特性的要求。</w:t>
            </w:r>
          </w:p>
          <w:p w14:paraId="56EE7381">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ascii="宋体" w:hAnsi="宋体" w:eastAsia="宋体" w:cs="宋体"/>
                <w:color w:val="auto"/>
                <w:kern w:val="2"/>
                <w:sz w:val="21"/>
                <w:szCs w:val="21"/>
                <w:highlight w:val="none"/>
                <w:lang w:val="en-US" w:eastAsia="zh-CN"/>
              </w:rPr>
            </w:pPr>
            <w:r>
              <w:rPr>
                <w:rFonts w:hint="eastAsia" w:ascii="宋体" w:hAnsi="宋体" w:eastAsia="宋体" w:cs="宋体"/>
                <w:color w:val="auto"/>
                <w:kern w:val="2"/>
                <w:sz w:val="21"/>
                <w:szCs w:val="21"/>
                <w:highlight w:val="none"/>
                <w:lang w:val="en-US" w:eastAsia="zh-CN"/>
              </w:rPr>
              <w:t>医疗舱内饰材料应全部模具一次成型工艺，材料应具有无异味、无毒、安全性强等优点。内饰件应无尖锐突出形状，周边应修光，连接应平滑，禁止使用板材拼接工艺。</w:t>
            </w:r>
          </w:p>
          <w:p w14:paraId="13AB0D69">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ascii="宋体" w:hAnsi="宋体" w:eastAsia="宋体" w:cs="宋体"/>
                <w:color w:val="auto"/>
                <w:kern w:val="2"/>
                <w:sz w:val="21"/>
                <w:szCs w:val="21"/>
                <w:highlight w:val="none"/>
                <w:lang w:val="en-US" w:eastAsia="zh-CN"/>
              </w:rPr>
            </w:pPr>
            <w:r>
              <w:rPr>
                <w:rFonts w:hint="eastAsia" w:ascii="宋体" w:hAnsi="宋体" w:eastAsia="宋体" w:cs="宋体"/>
                <w:color w:val="auto"/>
                <w:kern w:val="2"/>
                <w:sz w:val="21"/>
                <w:szCs w:val="21"/>
                <w:highlight w:val="none"/>
                <w:lang w:val="en-US" w:eastAsia="zh-CN"/>
              </w:rPr>
              <w:t>医疗舱内饰及结构件安装必须与车身固定连接，并应形成具有良好密封性和保温性。</w:t>
            </w:r>
          </w:p>
        </w:tc>
      </w:tr>
      <w:tr w14:paraId="075449D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9" w:hRule="atLeast"/>
          <w:jc w:val="center"/>
        </w:trPr>
        <w:tc>
          <w:tcPr>
            <w:tcW w:w="1084" w:type="dxa"/>
            <w:tcBorders>
              <w:top w:val="single" w:color="auto" w:sz="4" w:space="0"/>
              <w:left w:val="single" w:color="auto" w:sz="4" w:space="0"/>
              <w:bottom w:val="single" w:color="auto" w:sz="4" w:space="0"/>
              <w:right w:val="single" w:color="auto" w:sz="4" w:space="0"/>
            </w:tcBorders>
            <w:noWrap/>
            <w:vAlign w:val="center"/>
          </w:tcPr>
          <w:p w14:paraId="33651B72">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eastAsia" w:ascii="宋体" w:hAnsi="宋体" w:eastAsia="宋体" w:cs="宋体"/>
                <w:color w:val="auto"/>
                <w:kern w:val="2"/>
                <w:sz w:val="21"/>
                <w:szCs w:val="21"/>
                <w:highlight w:val="none"/>
                <w:lang w:val="en-US" w:eastAsia="zh-CN"/>
              </w:rPr>
            </w:pPr>
            <w:r>
              <w:rPr>
                <w:rFonts w:hint="eastAsia" w:ascii="宋体" w:hAnsi="宋体" w:eastAsia="宋体" w:cs="宋体"/>
                <w:color w:val="auto"/>
                <w:kern w:val="2"/>
                <w:sz w:val="21"/>
                <w:szCs w:val="21"/>
                <w:highlight w:val="none"/>
                <w:lang w:val="en-US" w:eastAsia="zh-CN"/>
              </w:rPr>
              <w:t>3.2</w:t>
            </w:r>
          </w:p>
        </w:tc>
        <w:tc>
          <w:tcPr>
            <w:tcW w:w="8108" w:type="dxa"/>
            <w:tcBorders>
              <w:top w:val="single" w:color="auto" w:sz="4" w:space="0"/>
              <w:left w:val="single" w:color="auto" w:sz="4" w:space="0"/>
              <w:bottom w:val="single" w:color="auto" w:sz="4" w:space="0"/>
              <w:right w:val="single" w:color="auto" w:sz="4" w:space="0"/>
            </w:tcBorders>
            <w:noWrap/>
            <w:vAlign w:val="center"/>
          </w:tcPr>
          <w:p w14:paraId="63B61DE0">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ascii="宋体" w:hAnsi="宋体" w:eastAsia="宋体" w:cs="宋体"/>
                <w:color w:val="auto"/>
                <w:kern w:val="2"/>
                <w:sz w:val="21"/>
                <w:szCs w:val="21"/>
                <w:highlight w:val="none"/>
                <w:lang w:val="en-US" w:eastAsia="zh-CN"/>
              </w:rPr>
            </w:pPr>
            <w:r>
              <w:rPr>
                <w:rFonts w:hint="eastAsia" w:ascii="宋体" w:hAnsi="宋体" w:eastAsia="宋体" w:cs="宋体"/>
                <w:color w:val="auto"/>
                <w:kern w:val="2"/>
                <w:sz w:val="21"/>
                <w:szCs w:val="21"/>
                <w:highlight w:val="none"/>
                <w:lang w:val="en-US" w:eastAsia="zh-CN"/>
              </w:rPr>
              <w:t>地板：应采用耐磨、阻燃、防滑、防霉、易清洗医疗专用地板。</w:t>
            </w:r>
          </w:p>
        </w:tc>
      </w:tr>
      <w:tr w14:paraId="2F5B318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 w:hRule="atLeast"/>
          <w:jc w:val="center"/>
        </w:trPr>
        <w:tc>
          <w:tcPr>
            <w:tcW w:w="1084" w:type="dxa"/>
            <w:tcBorders>
              <w:top w:val="single" w:color="auto" w:sz="4" w:space="0"/>
              <w:left w:val="single" w:color="auto" w:sz="4" w:space="0"/>
              <w:bottom w:val="single" w:color="auto" w:sz="4" w:space="0"/>
              <w:right w:val="single" w:color="auto" w:sz="4" w:space="0"/>
            </w:tcBorders>
            <w:noWrap/>
            <w:vAlign w:val="center"/>
          </w:tcPr>
          <w:p w14:paraId="7048BA8E">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eastAsia" w:ascii="宋体" w:hAnsi="宋体" w:eastAsia="宋体" w:cs="宋体"/>
                <w:color w:val="auto"/>
                <w:kern w:val="2"/>
                <w:sz w:val="21"/>
                <w:szCs w:val="21"/>
                <w:highlight w:val="none"/>
                <w:lang w:val="en-US" w:eastAsia="zh-CN"/>
              </w:rPr>
            </w:pPr>
            <w:r>
              <w:rPr>
                <w:rFonts w:hint="eastAsia" w:ascii="宋体" w:hAnsi="宋体" w:eastAsia="宋体" w:cs="宋体"/>
                <w:color w:val="auto"/>
                <w:kern w:val="2"/>
                <w:sz w:val="21"/>
                <w:szCs w:val="21"/>
                <w:highlight w:val="none"/>
                <w:lang w:val="en-US" w:eastAsia="zh-CN"/>
              </w:rPr>
              <w:t>3.3</w:t>
            </w:r>
          </w:p>
        </w:tc>
        <w:tc>
          <w:tcPr>
            <w:tcW w:w="8108" w:type="dxa"/>
            <w:tcBorders>
              <w:top w:val="single" w:color="auto" w:sz="4" w:space="0"/>
              <w:left w:val="single" w:color="auto" w:sz="4" w:space="0"/>
              <w:bottom w:val="single" w:color="auto" w:sz="4" w:space="0"/>
              <w:right w:val="single" w:color="auto" w:sz="4" w:space="0"/>
            </w:tcBorders>
            <w:noWrap/>
            <w:vAlign w:val="center"/>
          </w:tcPr>
          <w:p w14:paraId="45214398">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ascii="宋体" w:hAnsi="宋体" w:eastAsia="宋体" w:cs="宋体"/>
                <w:color w:val="auto"/>
                <w:kern w:val="2"/>
                <w:sz w:val="21"/>
                <w:szCs w:val="21"/>
                <w:highlight w:val="none"/>
                <w:lang w:val="en-US" w:eastAsia="zh-CN"/>
              </w:rPr>
            </w:pPr>
            <w:r>
              <w:rPr>
                <w:rFonts w:hint="eastAsia" w:ascii="宋体" w:hAnsi="宋体" w:eastAsia="宋体" w:cs="宋体"/>
                <w:color w:val="auto"/>
                <w:kern w:val="2"/>
                <w:sz w:val="21"/>
                <w:szCs w:val="21"/>
                <w:highlight w:val="none"/>
                <w:lang w:val="en-US" w:eastAsia="zh-CN"/>
              </w:rPr>
              <w:t>中隔墙：采用模具一次成型工艺，隔板加装窗户，隔板安装位置应不影响车辆维修。</w:t>
            </w:r>
          </w:p>
        </w:tc>
      </w:tr>
      <w:tr w14:paraId="36662D3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7" w:hRule="atLeast"/>
          <w:jc w:val="center"/>
        </w:trPr>
        <w:tc>
          <w:tcPr>
            <w:tcW w:w="1084" w:type="dxa"/>
            <w:tcBorders>
              <w:top w:val="single" w:color="auto" w:sz="4" w:space="0"/>
              <w:left w:val="single" w:color="auto" w:sz="4" w:space="0"/>
              <w:bottom w:val="single" w:color="auto" w:sz="4" w:space="0"/>
              <w:right w:val="single" w:color="auto" w:sz="4" w:space="0"/>
            </w:tcBorders>
            <w:noWrap/>
            <w:vAlign w:val="center"/>
          </w:tcPr>
          <w:p w14:paraId="590A44EC">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eastAsia" w:ascii="宋体" w:hAnsi="宋体" w:eastAsia="宋体" w:cs="宋体"/>
                <w:color w:val="auto"/>
                <w:kern w:val="2"/>
                <w:sz w:val="21"/>
                <w:szCs w:val="21"/>
                <w:highlight w:val="none"/>
                <w:lang w:val="en-US" w:eastAsia="zh-CN"/>
              </w:rPr>
            </w:pPr>
            <w:r>
              <w:rPr>
                <w:rFonts w:hint="eastAsia" w:ascii="宋体" w:hAnsi="宋体" w:eastAsia="宋体" w:cs="宋体"/>
                <w:color w:val="auto"/>
                <w:kern w:val="2"/>
                <w:sz w:val="21"/>
                <w:szCs w:val="21"/>
                <w:highlight w:val="none"/>
                <w:lang w:val="en-US" w:eastAsia="zh-CN"/>
              </w:rPr>
              <w:t>3.4</w:t>
            </w:r>
          </w:p>
        </w:tc>
        <w:tc>
          <w:tcPr>
            <w:tcW w:w="8108" w:type="dxa"/>
            <w:tcBorders>
              <w:top w:val="single" w:color="auto" w:sz="4" w:space="0"/>
              <w:left w:val="single" w:color="auto" w:sz="4" w:space="0"/>
              <w:bottom w:val="single" w:color="auto" w:sz="4" w:space="0"/>
              <w:right w:val="single" w:color="auto" w:sz="4" w:space="0"/>
            </w:tcBorders>
            <w:noWrap/>
            <w:vAlign w:val="center"/>
          </w:tcPr>
          <w:p w14:paraId="1905AE94">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ascii="宋体" w:hAnsi="宋体" w:eastAsia="宋体" w:cs="宋体"/>
                <w:color w:val="auto"/>
                <w:kern w:val="2"/>
                <w:sz w:val="21"/>
                <w:szCs w:val="21"/>
                <w:highlight w:val="none"/>
                <w:lang w:val="en-US" w:eastAsia="zh-CN"/>
              </w:rPr>
            </w:pPr>
            <w:r>
              <w:rPr>
                <w:rFonts w:hint="eastAsia" w:ascii="宋体" w:hAnsi="宋体" w:eastAsia="宋体" w:cs="宋体"/>
                <w:color w:val="auto"/>
                <w:kern w:val="2"/>
                <w:sz w:val="21"/>
                <w:szCs w:val="21"/>
                <w:highlight w:val="none"/>
                <w:lang w:val="en-US" w:eastAsia="zh-CN"/>
              </w:rPr>
              <w:t>设备平台：应能够放置监护仪、心电图机、呼吸机、除颤仪等急救设备，安装牢固。尽量减少平台宽度，增加担架过道空间</w:t>
            </w:r>
            <w:r>
              <w:rPr>
                <w:rFonts w:hint="eastAsia" w:ascii="宋体" w:hAnsi="宋体" w:cs="宋体"/>
                <w:color w:val="auto"/>
                <w:kern w:val="2"/>
                <w:sz w:val="21"/>
                <w:szCs w:val="21"/>
                <w:highlight w:val="none"/>
                <w:lang w:val="en-US" w:eastAsia="zh-CN"/>
              </w:rPr>
              <w:t>。</w:t>
            </w:r>
          </w:p>
        </w:tc>
      </w:tr>
      <w:tr w14:paraId="26C1811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7" w:hRule="atLeast"/>
          <w:jc w:val="center"/>
        </w:trPr>
        <w:tc>
          <w:tcPr>
            <w:tcW w:w="1084" w:type="dxa"/>
            <w:tcBorders>
              <w:top w:val="single" w:color="auto" w:sz="4" w:space="0"/>
              <w:left w:val="single" w:color="auto" w:sz="4" w:space="0"/>
              <w:bottom w:val="single" w:color="auto" w:sz="4" w:space="0"/>
              <w:right w:val="single" w:color="auto" w:sz="4" w:space="0"/>
            </w:tcBorders>
            <w:noWrap/>
            <w:vAlign w:val="center"/>
          </w:tcPr>
          <w:p w14:paraId="00289A1A">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eastAsia" w:ascii="宋体" w:hAnsi="宋体" w:eastAsia="宋体" w:cs="宋体"/>
                <w:color w:val="auto"/>
                <w:kern w:val="2"/>
                <w:sz w:val="21"/>
                <w:szCs w:val="21"/>
                <w:highlight w:val="none"/>
                <w:lang w:val="en-US" w:eastAsia="zh-CN"/>
              </w:rPr>
            </w:pPr>
            <w:r>
              <w:rPr>
                <w:rFonts w:hint="eastAsia" w:ascii="宋体" w:hAnsi="宋体" w:eastAsia="宋体" w:cs="宋体"/>
                <w:color w:val="auto"/>
                <w:kern w:val="2"/>
                <w:sz w:val="21"/>
                <w:szCs w:val="21"/>
                <w:highlight w:val="none"/>
                <w:lang w:val="en-US" w:eastAsia="zh-CN"/>
              </w:rPr>
              <w:t>3.5</w:t>
            </w:r>
          </w:p>
        </w:tc>
        <w:tc>
          <w:tcPr>
            <w:tcW w:w="8108" w:type="dxa"/>
            <w:tcBorders>
              <w:top w:val="single" w:color="auto" w:sz="4" w:space="0"/>
              <w:left w:val="single" w:color="auto" w:sz="4" w:space="0"/>
              <w:bottom w:val="single" w:color="auto" w:sz="4" w:space="0"/>
              <w:right w:val="single" w:color="auto" w:sz="4" w:space="0"/>
            </w:tcBorders>
            <w:noWrap/>
            <w:vAlign w:val="center"/>
          </w:tcPr>
          <w:p w14:paraId="0D43FC8C">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ascii="宋体" w:hAnsi="宋体" w:eastAsia="宋体" w:cs="宋体"/>
                <w:color w:val="auto"/>
                <w:kern w:val="2"/>
                <w:sz w:val="21"/>
                <w:szCs w:val="21"/>
                <w:highlight w:val="none"/>
                <w:lang w:val="en-US" w:eastAsia="zh-CN"/>
              </w:rPr>
            </w:pPr>
            <w:r>
              <w:rPr>
                <w:rFonts w:hint="eastAsia" w:ascii="宋体" w:hAnsi="宋体" w:eastAsia="宋体" w:cs="宋体"/>
                <w:color w:val="auto"/>
                <w:kern w:val="2"/>
                <w:sz w:val="21"/>
                <w:szCs w:val="21"/>
                <w:highlight w:val="none"/>
                <w:lang w:val="en-US" w:eastAsia="zh-CN"/>
              </w:rPr>
              <w:t>医生椅：中隔墙配置医生，医生椅的固定应符合汽车座椅、座椅固定装置及头枕强度要求。右侧配置一体成型长排座椅，配防滑座板及靠背板，配2点式安全带。可坐2人，座垫下方设为储物舱，前端为朝前座椅。</w:t>
            </w:r>
          </w:p>
        </w:tc>
      </w:tr>
      <w:tr w14:paraId="2A9C7AB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7" w:hRule="atLeast"/>
          <w:jc w:val="center"/>
        </w:trPr>
        <w:tc>
          <w:tcPr>
            <w:tcW w:w="1084" w:type="dxa"/>
            <w:tcBorders>
              <w:top w:val="single" w:color="auto" w:sz="4" w:space="0"/>
              <w:left w:val="single" w:color="auto" w:sz="4" w:space="0"/>
              <w:bottom w:val="single" w:color="auto" w:sz="4" w:space="0"/>
              <w:right w:val="single" w:color="auto" w:sz="4" w:space="0"/>
            </w:tcBorders>
            <w:noWrap/>
            <w:vAlign w:val="center"/>
          </w:tcPr>
          <w:p w14:paraId="24C0C665">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eastAsia" w:ascii="宋体" w:hAnsi="宋体" w:eastAsia="宋体" w:cs="宋体"/>
                <w:color w:val="auto"/>
                <w:kern w:val="2"/>
                <w:sz w:val="21"/>
                <w:szCs w:val="21"/>
                <w:highlight w:val="none"/>
                <w:lang w:val="en-US" w:eastAsia="zh-CN"/>
              </w:rPr>
            </w:pPr>
            <w:r>
              <w:rPr>
                <w:rFonts w:hint="eastAsia" w:ascii="宋体" w:hAnsi="宋体" w:eastAsia="宋体" w:cs="宋体"/>
                <w:color w:val="auto"/>
                <w:kern w:val="2"/>
                <w:sz w:val="21"/>
                <w:szCs w:val="21"/>
                <w:highlight w:val="none"/>
                <w:lang w:val="en-US" w:eastAsia="zh-CN"/>
              </w:rPr>
              <w:t>3.6</w:t>
            </w:r>
          </w:p>
        </w:tc>
        <w:tc>
          <w:tcPr>
            <w:tcW w:w="8108" w:type="dxa"/>
            <w:tcBorders>
              <w:top w:val="single" w:color="auto" w:sz="4" w:space="0"/>
              <w:left w:val="single" w:color="auto" w:sz="4" w:space="0"/>
              <w:bottom w:val="single" w:color="auto" w:sz="4" w:space="0"/>
              <w:right w:val="single" w:color="auto" w:sz="4" w:space="0"/>
            </w:tcBorders>
            <w:noWrap/>
            <w:vAlign w:val="center"/>
          </w:tcPr>
          <w:p w14:paraId="164901F9">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ascii="宋体" w:hAnsi="宋体" w:eastAsia="宋体" w:cs="宋体"/>
                <w:color w:val="auto"/>
                <w:kern w:val="2"/>
                <w:sz w:val="21"/>
                <w:szCs w:val="21"/>
                <w:highlight w:val="none"/>
                <w:lang w:val="en-US" w:eastAsia="zh-CN"/>
              </w:rPr>
            </w:pPr>
            <w:r>
              <w:rPr>
                <w:rFonts w:hint="eastAsia" w:ascii="宋体" w:hAnsi="宋体" w:eastAsia="宋体" w:cs="宋体"/>
                <w:color w:val="auto"/>
                <w:kern w:val="2"/>
                <w:sz w:val="21"/>
                <w:szCs w:val="21"/>
                <w:highlight w:val="none"/>
                <w:lang w:val="en-US" w:eastAsia="zh-CN"/>
              </w:rPr>
              <w:t>氧气瓶柜：应采用一次成型工艺，位于医疗舱左侧后部，操作方便，并可放置2个10升氧气瓶的空间。</w:t>
            </w:r>
          </w:p>
        </w:tc>
      </w:tr>
      <w:tr w14:paraId="2932CE7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5" w:hRule="atLeast"/>
          <w:jc w:val="center"/>
        </w:trPr>
        <w:tc>
          <w:tcPr>
            <w:tcW w:w="1084" w:type="dxa"/>
            <w:tcBorders>
              <w:top w:val="single" w:color="auto" w:sz="4" w:space="0"/>
              <w:left w:val="single" w:color="auto" w:sz="4" w:space="0"/>
              <w:bottom w:val="single" w:color="auto" w:sz="4" w:space="0"/>
              <w:right w:val="single" w:color="auto" w:sz="4" w:space="0"/>
            </w:tcBorders>
            <w:noWrap/>
            <w:vAlign w:val="center"/>
          </w:tcPr>
          <w:p w14:paraId="1F5808F3">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eastAsia" w:ascii="宋体" w:hAnsi="宋体" w:eastAsia="宋体" w:cs="宋体"/>
                <w:color w:val="auto"/>
                <w:kern w:val="2"/>
                <w:sz w:val="21"/>
                <w:szCs w:val="21"/>
                <w:highlight w:val="none"/>
                <w:lang w:val="en-US" w:eastAsia="zh-CN"/>
              </w:rPr>
            </w:pPr>
            <w:r>
              <w:rPr>
                <w:rFonts w:hint="eastAsia" w:ascii="宋体" w:hAnsi="宋体" w:eastAsia="宋体" w:cs="宋体"/>
                <w:color w:val="auto"/>
                <w:kern w:val="2"/>
                <w:sz w:val="21"/>
                <w:szCs w:val="21"/>
                <w:highlight w:val="none"/>
                <w:lang w:val="en-US" w:eastAsia="zh-CN"/>
              </w:rPr>
              <w:t>3.7</w:t>
            </w:r>
          </w:p>
        </w:tc>
        <w:tc>
          <w:tcPr>
            <w:tcW w:w="8108" w:type="dxa"/>
            <w:tcBorders>
              <w:top w:val="single" w:color="auto" w:sz="4" w:space="0"/>
              <w:left w:val="single" w:color="auto" w:sz="4" w:space="0"/>
              <w:bottom w:val="single" w:color="auto" w:sz="4" w:space="0"/>
              <w:right w:val="single" w:color="auto" w:sz="4" w:space="0"/>
            </w:tcBorders>
            <w:noWrap/>
            <w:vAlign w:val="center"/>
          </w:tcPr>
          <w:p w14:paraId="50B2D7AE">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ascii="宋体" w:hAnsi="宋体" w:eastAsia="宋体" w:cs="宋体"/>
                <w:color w:val="auto"/>
                <w:kern w:val="2"/>
                <w:sz w:val="21"/>
                <w:szCs w:val="21"/>
                <w:highlight w:val="none"/>
                <w:lang w:val="en-US" w:eastAsia="zh-CN"/>
              </w:rPr>
            </w:pPr>
            <w:r>
              <w:rPr>
                <w:rFonts w:hint="eastAsia" w:ascii="宋体" w:hAnsi="宋体" w:eastAsia="宋体" w:cs="宋体"/>
                <w:color w:val="auto"/>
                <w:kern w:val="2"/>
                <w:sz w:val="21"/>
                <w:szCs w:val="21"/>
                <w:highlight w:val="none"/>
                <w:lang w:val="en-US" w:eastAsia="zh-CN"/>
              </w:rPr>
              <w:t>集成内顶：集成内顶应集成照明、储物、杀菌、输液、全方位扶手等功能</w:t>
            </w:r>
            <w:r>
              <w:rPr>
                <w:rFonts w:hint="eastAsia" w:ascii="宋体" w:hAnsi="宋体" w:cs="宋体"/>
                <w:color w:val="auto"/>
                <w:kern w:val="2"/>
                <w:sz w:val="21"/>
                <w:szCs w:val="21"/>
                <w:highlight w:val="none"/>
                <w:lang w:val="en-US" w:eastAsia="zh-CN"/>
              </w:rPr>
              <w:t>于</w:t>
            </w:r>
            <w:r>
              <w:rPr>
                <w:rFonts w:hint="eastAsia" w:ascii="宋体" w:hAnsi="宋体" w:eastAsia="宋体" w:cs="宋体"/>
                <w:color w:val="auto"/>
                <w:kern w:val="2"/>
                <w:sz w:val="21"/>
                <w:szCs w:val="21"/>
                <w:highlight w:val="none"/>
                <w:lang w:val="en-US" w:eastAsia="zh-CN"/>
              </w:rPr>
              <w:t>一体，采用一次成型工艺，其设计合理方便医护人员开展抢救工作。</w:t>
            </w:r>
          </w:p>
        </w:tc>
      </w:tr>
      <w:tr w14:paraId="0CC59C1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3" w:hRule="atLeast"/>
          <w:jc w:val="center"/>
        </w:trPr>
        <w:tc>
          <w:tcPr>
            <w:tcW w:w="1084" w:type="dxa"/>
            <w:tcBorders>
              <w:top w:val="single" w:color="auto" w:sz="4" w:space="0"/>
              <w:left w:val="single" w:color="auto" w:sz="4" w:space="0"/>
              <w:bottom w:val="single" w:color="auto" w:sz="4" w:space="0"/>
              <w:right w:val="single" w:color="auto" w:sz="4" w:space="0"/>
            </w:tcBorders>
            <w:noWrap/>
            <w:vAlign w:val="center"/>
          </w:tcPr>
          <w:p w14:paraId="3B991779">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eastAsia" w:ascii="宋体" w:hAnsi="宋体" w:eastAsia="宋体" w:cs="宋体"/>
                <w:color w:val="auto"/>
                <w:kern w:val="2"/>
                <w:sz w:val="21"/>
                <w:szCs w:val="21"/>
                <w:highlight w:val="none"/>
                <w:lang w:val="en-US" w:eastAsia="zh-CN"/>
              </w:rPr>
            </w:pPr>
            <w:r>
              <w:rPr>
                <w:rFonts w:hint="eastAsia" w:ascii="宋体" w:hAnsi="宋体" w:eastAsia="宋体" w:cs="宋体"/>
                <w:color w:val="auto"/>
                <w:kern w:val="2"/>
                <w:sz w:val="21"/>
                <w:szCs w:val="21"/>
                <w:highlight w:val="none"/>
                <w:lang w:val="en-US" w:eastAsia="zh-CN"/>
              </w:rPr>
              <w:t>3.8</w:t>
            </w:r>
          </w:p>
        </w:tc>
        <w:tc>
          <w:tcPr>
            <w:tcW w:w="8108" w:type="dxa"/>
            <w:tcBorders>
              <w:top w:val="single" w:color="auto" w:sz="4" w:space="0"/>
              <w:left w:val="single" w:color="auto" w:sz="4" w:space="0"/>
              <w:bottom w:val="single" w:color="auto" w:sz="4" w:space="0"/>
              <w:right w:val="single" w:color="auto" w:sz="4" w:space="0"/>
            </w:tcBorders>
            <w:noWrap/>
            <w:vAlign w:val="center"/>
          </w:tcPr>
          <w:p w14:paraId="10712434">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ascii="宋体" w:hAnsi="宋体" w:eastAsia="宋体" w:cs="宋体"/>
                <w:color w:val="auto"/>
                <w:kern w:val="2"/>
                <w:sz w:val="21"/>
                <w:szCs w:val="21"/>
                <w:highlight w:val="none"/>
                <w:lang w:val="en-US" w:eastAsia="zh-CN"/>
              </w:rPr>
            </w:pPr>
            <w:r>
              <w:rPr>
                <w:rFonts w:hint="eastAsia" w:ascii="宋体" w:hAnsi="宋体" w:eastAsia="宋体" w:cs="宋体"/>
                <w:color w:val="auto"/>
                <w:kern w:val="2"/>
                <w:sz w:val="21"/>
                <w:szCs w:val="21"/>
                <w:highlight w:val="none"/>
                <w:lang w:val="en-US" w:eastAsia="zh-CN"/>
              </w:rPr>
              <w:t>污物桶：在不影响医护人员急救工作且方便操作的位置应配有免洗消毒液固定装置、污物桶。</w:t>
            </w:r>
          </w:p>
        </w:tc>
      </w:tr>
      <w:tr w14:paraId="4B26227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5" w:hRule="atLeast"/>
          <w:jc w:val="center"/>
        </w:trPr>
        <w:tc>
          <w:tcPr>
            <w:tcW w:w="1084" w:type="dxa"/>
            <w:tcBorders>
              <w:top w:val="single" w:color="auto" w:sz="4" w:space="0"/>
              <w:left w:val="single" w:color="auto" w:sz="4" w:space="0"/>
              <w:bottom w:val="single" w:color="auto" w:sz="4" w:space="0"/>
              <w:right w:val="single" w:color="auto" w:sz="4" w:space="0"/>
            </w:tcBorders>
            <w:noWrap/>
            <w:vAlign w:val="center"/>
          </w:tcPr>
          <w:p w14:paraId="0C62BB76">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eastAsia" w:ascii="宋体" w:hAnsi="宋体" w:eastAsia="宋体" w:cs="宋体"/>
                <w:color w:val="auto"/>
                <w:kern w:val="2"/>
                <w:sz w:val="21"/>
                <w:szCs w:val="21"/>
                <w:highlight w:val="none"/>
                <w:lang w:val="en-US" w:eastAsia="zh-CN"/>
              </w:rPr>
            </w:pPr>
            <w:r>
              <w:rPr>
                <w:rFonts w:hint="eastAsia" w:ascii="宋体" w:hAnsi="宋体" w:eastAsia="宋体" w:cs="宋体"/>
                <w:color w:val="auto"/>
                <w:kern w:val="2"/>
                <w:sz w:val="21"/>
                <w:szCs w:val="21"/>
                <w:highlight w:val="none"/>
                <w:lang w:val="en-US" w:eastAsia="zh-CN"/>
              </w:rPr>
              <w:t>3.9</w:t>
            </w:r>
          </w:p>
        </w:tc>
        <w:tc>
          <w:tcPr>
            <w:tcW w:w="8108" w:type="dxa"/>
            <w:tcBorders>
              <w:top w:val="single" w:color="auto" w:sz="4" w:space="0"/>
              <w:left w:val="single" w:color="auto" w:sz="4" w:space="0"/>
              <w:bottom w:val="single" w:color="auto" w:sz="4" w:space="0"/>
              <w:right w:val="single" w:color="auto" w:sz="4" w:space="0"/>
            </w:tcBorders>
            <w:noWrap/>
            <w:vAlign w:val="center"/>
          </w:tcPr>
          <w:p w14:paraId="7623D60E">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ascii="宋体" w:hAnsi="宋体" w:eastAsia="宋体" w:cs="宋体"/>
                <w:color w:val="auto"/>
                <w:kern w:val="2"/>
                <w:sz w:val="21"/>
                <w:szCs w:val="21"/>
                <w:highlight w:val="none"/>
                <w:lang w:val="en-US" w:eastAsia="zh-CN"/>
              </w:rPr>
            </w:pPr>
            <w:r>
              <w:rPr>
                <w:rFonts w:hint="eastAsia" w:ascii="宋体" w:hAnsi="宋体" w:eastAsia="宋体" w:cs="宋体"/>
                <w:color w:val="auto"/>
                <w:kern w:val="2"/>
                <w:sz w:val="21"/>
                <w:szCs w:val="21"/>
                <w:highlight w:val="none"/>
                <w:lang w:val="en-US" w:eastAsia="zh-CN"/>
              </w:rPr>
              <w:t>医疗舱至少有2个车窗，至少1个可开启，车窗材料符合车辆有关规定。</w:t>
            </w:r>
          </w:p>
        </w:tc>
      </w:tr>
      <w:tr w14:paraId="5426A14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5" w:hRule="atLeast"/>
          <w:jc w:val="center"/>
        </w:trPr>
        <w:tc>
          <w:tcPr>
            <w:tcW w:w="1084" w:type="dxa"/>
            <w:tcBorders>
              <w:top w:val="single" w:color="auto" w:sz="4" w:space="0"/>
              <w:left w:val="single" w:color="auto" w:sz="4" w:space="0"/>
              <w:bottom w:val="single" w:color="auto" w:sz="4" w:space="0"/>
              <w:right w:val="single" w:color="auto" w:sz="4" w:space="0"/>
            </w:tcBorders>
            <w:noWrap/>
            <w:vAlign w:val="center"/>
          </w:tcPr>
          <w:p w14:paraId="21D88867">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eastAsia" w:ascii="宋体" w:hAnsi="宋体" w:eastAsia="宋体" w:cs="宋体"/>
                <w:color w:val="auto"/>
                <w:kern w:val="2"/>
                <w:sz w:val="21"/>
                <w:szCs w:val="21"/>
                <w:highlight w:val="none"/>
                <w:lang w:val="en-US" w:eastAsia="zh-CN"/>
              </w:rPr>
            </w:pPr>
            <w:r>
              <w:rPr>
                <w:rFonts w:hint="eastAsia" w:ascii="宋体" w:hAnsi="宋体" w:eastAsia="宋体" w:cs="宋体"/>
                <w:color w:val="auto"/>
                <w:kern w:val="2"/>
                <w:sz w:val="21"/>
                <w:szCs w:val="21"/>
                <w:highlight w:val="none"/>
                <w:lang w:val="en-US" w:eastAsia="zh-CN"/>
              </w:rPr>
              <w:t>3.10</w:t>
            </w:r>
          </w:p>
        </w:tc>
        <w:tc>
          <w:tcPr>
            <w:tcW w:w="8108" w:type="dxa"/>
            <w:tcBorders>
              <w:top w:val="single" w:color="auto" w:sz="4" w:space="0"/>
              <w:left w:val="single" w:color="auto" w:sz="4" w:space="0"/>
              <w:bottom w:val="single" w:color="auto" w:sz="4" w:space="0"/>
              <w:right w:val="single" w:color="auto" w:sz="4" w:space="0"/>
            </w:tcBorders>
            <w:noWrap/>
            <w:vAlign w:val="center"/>
          </w:tcPr>
          <w:p w14:paraId="25A599FD">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ascii="宋体" w:hAnsi="宋体" w:eastAsia="宋体" w:cs="宋体"/>
                <w:color w:val="auto"/>
                <w:kern w:val="2"/>
                <w:sz w:val="21"/>
                <w:szCs w:val="21"/>
                <w:highlight w:val="none"/>
                <w:lang w:val="en-US" w:eastAsia="zh-CN"/>
              </w:rPr>
            </w:pPr>
            <w:r>
              <w:rPr>
                <w:rFonts w:hint="eastAsia" w:ascii="宋体" w:hAnsi="宋体" w:eastAsia="宋体" w:cs="宋体"/>
                <w:color w:val="auto"/>
                <w:kern w:val="2"/>
                <w:sz w:val="21"/>
                <w:szCs w:val="21"/>
                <w:highlight w:val="none"/>
                <w:lang w:val="en-US" w:eastAsia="zh-CN"/>
              </w:rPr>
              <w:t>安全扶手：医疗舱的上、下车门处、顶部应安装扶手，确保人员安全。</w:t>
            </w:r>
          </w:p>
        </w:tc>
      </w:tr>
      <w:tr w14:paraId="0BA0E9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4" w:hRule="atLeast"/>
          <w:jc w:val="center"/>
        </w:trPr>
        <w:tc>
          <w:tcPr>
            <w:tcW w:w="1084" w:type="dxa"/>
            <w:tcBorders>
              <w:top w:val="single" w:color="auto" w:sz="4" w:space="0"/>
              <w:left w:val="single" w:color="auto" w:sz="4" w:space="0"/>
              <w:bottom w:val="single" w:color="auto" w:sz="4" w:space="0"/>
              <w:right w:val="single" w:color="auto" w:sz="4" w:space="0"/>
            </w:tcBorders>
            <w:noWrap/>
            <w:vAlign w:val="center"/>
          </w:tcPr>
          <w:p w14:paraId="4EB4274D">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eastAsia" w:ascii="宋体" w:hAnsi="宋体" w:eastAsia="宋体" w:cs="宋体"/>
                <w:color w:val="auto"/>
                <w:kern w:val="2"/>
                <w:sz w:val="21"/>
                <w:szCs w:val="21"/>
                <w:highlight w:val="none"/>
                <w:lang w:val="en-US" w:eastAsia="zh-CN"/>
              </w:rPr>
            </w:pPr>
            <w:r>
              <w:rPr>
                <w:rFonts w:hint="eastAsia" w:ascii="宋体" w:hAnsi="宋体" w:eastAsia="宋体" w:cs="宋体"/>
                <w:color w:val="auto"/>
                <w:kern w:val="2"/>
                <w:sz w:val="21"/>
                <w:szCs w:val="21"/>
                <w:highlight w:val="none"/>
                <w:lang w:val="en-US" w:eastAsia="zh-CN"/>
              </w:rPr>
              <w:t>3.11</w:t>
            </w:r>
          </w:p>
        </w:tc>
        <w:tc>
          <w:tcPr>
            <w:tcW w:w="8108" w:type="dxa"/>
            <w:tcBorders>
              <w:top w:val="single" w:color="auto" w:sz="4" w:space="0"/>
              <w:left w:val="single" w:color="auto" w:sz="4" w:space="0"/>
              <w:bottom w:val="single" w:color="auto" w:sz="4" w:space="0"/>
              <w:right w:val="single" w:color="auto" w:sz="4" w:space="0"/>
            </w:tcBorders>
            <w:noWrap/>
            <w:vAlign w:val="center"/>
          </w:tcPr>
          <w:p w14:paraId="10D103ED">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ascii="宋体" w:hAnsi="宋体" w:eastAsia="宋体" w:cs="宋体"/>
                <w:color w:val="auto"/>
                <w:kern w:val="2"/>
                <w:sz w:val="21"/>
                <w:szCs w:val="21"/>
                <w:highlight w:val="none"/>
                <w:lang w:val="en-US" w:eastAsia="zh-CN"/>
              </w:rPr>
            </w:pPr>
            <w:r>
              <w:rPr>
                <w:rFonts w:hint="eastAsia" w:ascii="宋体" w:hAnsi="宋体" w:eastAsia="宋体" w:cs="宋体"/>
                <w:color w:val="auto"/>
                <w:kern w:val="2"/>
                <w:sz w:val="21"/>
                <w:szCs w:val="21"/>
                <w:highlight w:val="none"/>
                <w:lang w:val="en-US" w:eastAsia="zh-CN"/>
              </w:rPr>
              <w:t>电控系统</w:t>
            </w:r>
          </w:p>
        </w:tc>
      </w:tr>
      <w:tr w14:paraId="5082E17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4" w:hRule="atLeast"/>
          <w:jc w:val="center"/>
        </w:trPr>
        <w:tc>
          <w:tcPr>
            <w:tcW w:w="1084" w:type="dxa"/>
            <w:tcBorders>
              <w:top w:val="single" w:color="auto" w:sz="4" w:space="0"/>
              <w:left w:val="single" w:color="auto" w:sz="4" w:space="0"/>
              <w:bottom w:val="single" w:color="auto" w:sz="4" w:space="0"/>
              <w:right w:val="single" w:color="auto" w:sz="4" w:space="0"/>
            </w:tcBorders>
            <w:noWrap/>
            <w:vAlign w:val="center"/>
          </w:tcPr>
          <w:p w14:paraId="6F3AF4F9">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default" w:ascii="宋体" w:hAnsi="宋体" w:eastAsia="宋体" w:cs="宋体"/>
                <w:color w:val="auto"/>
                <w:kern w:val="2"/>
                <w:sz w:val="21"/>
                <w:szCs w:val="21"/>
                <w:highlight w:val="none"/>
                <w:lang w:val="en-US" w:eastAsia="zh-CN"/>
              </w:rPr>
            </w:pPr>
            <w:r>
              <w:rPr>
                <w:rFonts w:hint="eastAsia" w:ascii="宋体" w:hAnsi="宋体" w:eastAsia="宋体" w:cs="宋体"/>
                <w:color w:val="auto"/>
                <w:kern w:val="2"/>
                <w:sz w:val="21"/>
                <w:szCs w:val="21"/>
                <w:highlight w:val="none"/>
                <w:lang w:val="en-US" w:eastAsia="zh-CN"/>
              </w:rPr>
              <w:t>3.11.1</w:t>
            </w:r>
          </w:p>
        </w:tc>
        <w:tc>
          <w:tcPr>
            <w:tcW w:w="8108" w:type="dxa"/>
            <w:tcBorders>
              <w:top w:val="single" w:color="auto" w:sz="4" w:space="0"/>
              <w:left w:val="single" w:color="auto" w:sz="4" w:space="0"/>
              <w:bottom w:val="single" w:color="auto" w:sz="4" w:space="0"/>
              <w:right w:val="single" w:color="auto" w:sz="4" w:space="0"/>
            </w:tcBorders>
            <w:noWrap/>
            <w:vAlign w:val="center"/>
          </w:tcPr>
          <w:p w14:paraId="79C3BEF1">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ascii="宋体" w:hAnsi="宋体" w:eastAsia="宋体" w:cs="宋体"/>
                <w:color w:val="auto"/>
                <w:kern w:val="2"/>
                <w:sz w:val="21"/>
                <w:szCs w:val="21"/>
                <w:highlight w:val="none"/>
                <w:lang w:val="en-US" w:eastAsia="zh-CN"/>
              </w:rPr>
            </w:pPr>
            <w:r>
              <w:rPr>
                <w:rFonts w:hint="eastAsia" w:ascii="宋体" w:hAnsi="宋体" w:eastAsia="宋体" w:cs="宋体"/>
                <w:color w:val="auto"/>
                <w:kern w:val="2"/>
                <w:sz w:val="21"/>
                <w:szCs w:val="21"/>
                <w:highlight w:val="none"/>
                <w:lang w:val="en-US" w:eastAsia="zh-CN"/>
              </w:rPr>
              <w:t>控制电路：应采用集成电路控制系统，高清液晶屏显示，防水薄膜开关操作，且电瓶电量、工作灯状态、排风状态等相关用电设备的工作状态能够在液晶屏上显示，工作人员能够直观</w:t>
            </w:r>
            <w:r>
              <w:rPr>
                <w:rFonts w:hint="eastAsia" w:ascii="宋体" w:hAnsi="宋体" w:cs="宋体"/>
                <w:color w:val="auto"/>
                <w:kern w:val="2"/>
                <w:sz w:val="21"/>
                <w:szCs w:val="21"/>
                <w:highlight w:val="none"/>
                <w:lang w:val="en-US" w:eastAsia="zh-CN"/>
              </w:rPr>
              <w:t>地</w:t>
            </w:r>
            <w:r>
              <w:rPr>
                <w:rFonts w:hint="eastAsia" w:ascii="宋体" w:hAnsi="宋体" w:eastAsia="宋体" w:cs="宋体"/>
                <w:color w:val="auto"/>
                <w:kern w:val="2"/>
                <w:sz w:val="21"/>
                <w:szCs w:val="21"/>
                <w:highlight w:val="none"/>
                <w:lang w:val="en-US" w:eastAsia="zh-CN"/>
              </w:rPr>
              <w:t>掌握用电设备的工作状态和及时发现故障。</w:t>
            </w:r>
          </w:p>
        </w:tc>
      </w:tr>
      <w:tr w14:paraId="1FDDEC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8" w:hRule="atLeast"/>
          <w:jc w:val="center"/>
        </w:trPr>
        <w:tc>
          <w:tcPr>
            <w:tcW w:w="1084" w:type="dxa"/>
            <w:tcBorders>
              <w:top w:val="single" w:color="auto" w:sz="4" w:space="0"/>
              <w:left w:val="single" w:color="auto" w:sz="4" w:space="0"/>
              <w:bottom w:val="single" w:color="auto" w:sz="4" w:space="0"/>
              <w:right w:val="single" w:color="auto" w:sz="4" w:space="0"/>
            </w:tcBorders>
            <w:noWrap/>
            <w:vAlign w:val="center"/>
          </w:tcPr>
          <w:p w14:paraId="3300E85B">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default" w:ascii="宋体" w:hAnsi="宋体" w:eastAsia="宋体" w:cs="宋体"/>
                <w:color w:val="auto"/>
                <w:kern w:val="2"/>
                <w:sz w:val="21"/>
                <w:szCs w:val="21"/>
                <w:highlight w:val="none"/>
                <w:lang w:val="en-US" w:eastAsia="zh-CN"/>
              </w:rPr>
            </w:pPr>
            <w:r>
              <w:rPr>
                <w:rFonts w:hint="eastAsia" w:ascii="宋体" w:hAnsi="宋体" w:eastAsia="宋体" w:cs="宋体"/>
                <w:color w:val="auto"/>
                <w:kern w:val="2"/>
                <w:sz w:val="21"/>
                <w:szCs w:val="21"/>
                <w:highlight w:val="none"/>
                <w:lang w:val="en-US" w:eastAsia="zh-CN"/>
              </w:rPr>
              <w:t>3.11.2</w:t>
            </w:r>
          </w:p>
        </w:tc>
        <w:tc>
          <w:tcPr>
            <w:tcW w:w="8108" w:type="dxa"/>
            <w:tcBorders>
              <w:top w:val="single" w:color="auto" w:sz="4" w:space="0"/>
              <w:left w:val="single" w:color="auto" w:sz="4" w:space="0"/>
              <w:bottom w:val="single" w:color="auto" w:sz="4" w:space="0"/>
              <w:right w:val="single" w:color="auto" w:sz="4" w:space="0"/>
            </w:tcBorders>
            <w:noWrap/>
            <w:vAlign w:val="center"/>
          </w:tcPr>
          <w:p w14:paraId="68B867C4">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ascii="宋体" w:hAnsi="宋体" w:eastAsia="宋体" w:cs="宋体"/>
                <w:color w:val="auto"/>
                <w:kern w:val="2"/>
                <w:sz w:val="21"/>
                <w:szCs w:val="21"/>
                <w:highlight w:val="none"/>
                <w:lang w:val="en-US" w:eastAsia="zh-CN"/>
              </w:rPr>
            </w:pPr>
            <w:r>
              <w:rPr>
                <w:rFonts w:hint="eastAsia" w:ascii="宋体" w:hAnsi="宋体" w:eastAsia="宋体" w:cs="宋体"/>
                <w:color w:val="auto"/>
                <w:kern w:val="2"/>
                <w:sz w:val="21"/>
                <w:szCs w:val="21"/>
                <w:highlight w:val="none"/>
                <w:lang w:val="en-US" w:eastAsia="zh-CN"/>
              </w:rPr>
              <w:t>附加电瓶：应为汽车专用电瓶，容量不小于65AH，在驻车时可供医疗器械使用。电瓶应该安装在方便检修的位置。蓄电池安装及其所有连接应防止任何情况下发生短路的可能。在车辆熄火后，附加电瓶和启动电瓶自动断开。车辆启动时自动连接，以保证救护车的正常启动和附加电设备的用电需要。</w:t>
            </w:r>
          </w:p>
        </w:tc>
      </w:tr>
      <w:tr w14:paraId="295EEC9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8" w:hRule="atLeast"/>
          <w:jc w:val="center"/>
        </w:trPr>
        <w:tc>
          <w:tcPr>
            <w:tcW w:w="1084" w:type="dxa"/>
            <w:tcBorders>
              <w:top w:val="single" w:color="auto" w:sz="4" w:space="0"/>
              <w:left w:val="single" w:color="auto" w:sz="4" w:space="0"/>
              <w:bottom w:val="single" w:color="auto" w:sz="4" w:space="0"/>
              <w:right w:val="single" w:color="auto" w:sz="4" w:space="0"/>
            </w:tcBorders>
            <w:noWrap/>
            <w:vAlign w:val="center"/>
          </w:tcPr>
          <w:p w14:paraId="3FF36551">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default" w:ascii="宋体" w:hAnsi="宋体" w:eastAsia="宋体" w:cs="宋体"/>
                <w:color w:val="auto"/>
                <w:kern w:val="2"/>
                <w:sz w:val="21"/>
                <w:szCs w:val="21"/>
                <w:highlight w:val="none"/>
                <w:lang w:val="en-US" w:eastAsia="zh-CN"/>
              </w:rPr>
            </w:pPr>
            <w:r>
              <w:rPr>
                <w:rFonts w:hint="eastAsia" w:ascii="宋体" w:hAnsi="宋体" w:eastAsia="宋体" w:cs="宋体"/>
                <w:color w:val="auto"/>
                <w:kern w:val="2"/>
                <w:sz w:val="21"/>
                <w:szCs w:val="21"/>
                <w:highlight w:val="none"/>
                <w:lang w:val="en-US" w:eastAsia="zh-CN"/>
              </w:rPr>
              <w:t>3.11.3</w:t>
            </w:r>
          </w:p>
        </w:tc>
        <w:tc>
          <w:tcPr>
            <w:tcW w:w="8108" w:type="dxa"/>
            <w:tcBorders>
              <w:top w:val="single" w:color="auto" w:sz="4" w:space="0"/>
              <w:left w:val="single" w:color="auto" w:sz="4" w:space="0"/>
              <w:bottom w:val="single" w:color="auto" w:sz="4" w:space="0"/>
              <w:right w:val="single" w:color="auto" w:sz="4" w:space="0"/>
            </w:tcBorders>
            <w:noWrap/>
            <w:vAlign w:val="center"/>
          </w:tcPr>
          <w:p w14:paraId="1C59EF90">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ascii="宋体" w:hAnsi="宋体" w:eastAsia="宋体" w:cs="宋体"/>
                <w:color w:val="auto"/>
                <w:kern w:val="2"/>
                <w:sz w:val="21"/>
                <w:szCs w:val="21"/>
                <w:highlight w:val="none"/>
                <w:lang w:val="en-US" w:eastAsia="zh-CN"/>
              </w:rPr>
            </w:pPr>
            <w:r>
              <w:rPr>
                <w:rFonts w:hint="eastAsia" w:ascii="宋体" w:hAnsi="宋体" w:eastAsia="宋体" w:cs="宋体"/>
                <w:color w:val="auto"/>
                <w:kern w:val="2"/>
                <w:sz w:val="21"/>
                <w:szCs w:val="21"/>
                <w:highlight w:val="none"/>
                <w:lang w:val="en-US" w:eastAsia="zh-CN"/>
              </w:rPr>
              <w:t>逆变器：应为智能逆变/充电一体机，12V输入，输出为220V、不小于600W纯正弦波电源。</w:t>
            </w:r>
          </w:p>
          <w:p w14:paraId="5013D60B">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ascii="宋体" w:hAnsi="宋体" w:eastAsia="宋体" w:cs="宋体"/>
                <w:color w:val="auto"/>
                <w:kern w:val="2"/>
                <w:sz w:val="21"/>
                <w:szCs w:val="21"/>
                <w:highlight w:val="none"/>
                <w:lang w:val="en-US" w:eastAsia="zh-CN"/>
              </w:rPr>
            </w:pPr>
            <w:r>
              <w:rPr>
                <w:rFonts w:hint="eastAsia" w:ascii="宋体" w:hAnsi="宋体" w:eastAsia="宋体" w:cs="宋体"/>
                <w:color w:val="auto"/>
                <w:kern w:val="2"/>
                <w:sz w:val="21"/>
                <w:szCs w:val="21"/>
                <w:highlight w:val="none"/>
                <w:lang w:val="en-US" w:eastAsia="zh-CN"/>
              </w:rPr>
              <w:t>用电安全：220V供电线路要有断电保护和接地保护，要求符合交流工频三级移动电站的要求。</w:t>
            </w:r>
          </w:p>
        </w:tc>
      </w:tr>
      <w:tr w14:paraId="61BC266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8" w:hRule="atLeast"/>
          <w:jc w:val="center"/>
        </w:trPr>
        <w:tc>
          <w:tcPr>
            <w:tcW w:w="1084" w:type="dxa"/>
            <w:tcBorders>
              <w:top w:val="single" w:color="auto" w:sz="4" w:space="0"/>
              <w:left w:val="single" w:color="auto" w:sz="4" w:space="0"/>
              <w:bottom w:val="single" w:color="auto" w:sz="4" w:space="0"/>
              <w:right w:val="single" w:color="auto" w:sz="4" w:space="0"/>
            </w:tcBorders>
            <w:noWrap/>
            <w:vAlign w:val="center"/>
          </w:tcPr>
          <w:p w14:paraId="7288B4CF">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default" w:ascii="宋体" w:hAnsi="宋体" w:eastAsia="宋体" w:cs="宋体"/>
                <w:color w:val="auto"/>
                <w:kern w:val="2"/>
                <w:sz w:val="21"/>
                <w:szCs w:val="21"/>
                <w:highlight w:val="none"/>
                <w:lang w:val="en-US" w:eastAsia="zh-CN"/>
              </w:rPr>
            </w:pPr>
            <w:r>
              <w:rPr>
                <w:rFonts w:hint="eastAsia" w:ascii="宋体" w:hAnsi="宋体" w:eastAsia="宋体" w:cs="宋体"/>
                <w:color w:val="auto"/>
                <w:kern w:val="2"/>
                <w:sz w:val="21"/>
                <w:szCs w:val="21"/>
                <w:highlight w:val="none"/>
                <w:lang w:val="en-US" w:eastAsia="zh-CN"/>
              </w:rPr>
              <w:t>3.11.4</w:t>
            </w:r>
          </w:p>
        </w:tc>
        <w:tc>
          <w:tcPr>
            <w:tcW w:w="8108" w:type="dxa"/>
            <w:tcBorders>
              <w:top w:val="single" w:color="auto" w:sz="4" w:space="0"/>
              <w:left w:val="single" w:color="auto" w:sz="4" w:space="0"/>
              <w:bottom w:val="single" w:color="auto" w:sz="4" w:space="0"/>
              <w:right w:val="single" w:color="auto" w:sz="4" w:space="0"/>
            </w:tcBorders>
            <w:noWrap/>
            <w:vAlign w:val="center"/>
          </w:tcPr>
          <w:p w14:paraId="62DB985B">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ascii="宋体" w:hAnsi="宋体" w:eastAsia="宋体" w:cs="宋体"/>
                <w:color w:val="auto"/>
                <w:kern w:val="2"/>
                <w:sz w:val="21"/>
                <w:szCs w:val="21"/>
                <w:highlight w:val="none"/>
                <w:lang w:val="en-US" w:eastAsia="zh-CN"/>
              </w:rPr>
            </w:pPr>
            <w:r>
              <w:rPr>
                <w:rFonts w:hint="eastAsia" w:ascii="宋体" w:hAnsi="宋体" w:eastAsia="宋体" w:cs="宋体"/>
                <w:color w:val="auto"/>
                <w:kern w:val="2"/>
                <w:sz w:val="21"/>
                <w:szCs w:val="21"/>
                <w:highlight w:val="none"/>
                <w:lang w:val="en-US" w:eastAsia="zh-CN"/>
              </w:rPr>
              <w:t>供电要求：在车辆启动状态下，可实现24小时不间断供电，可输出220V，不小于600W纯正弦波电源可供医疗设备使用，并在相应的位置安置12V电源插座两只、220V电源插座四只、5V USB插座两只。在总开关关闭后所有用电器应与主、副电瓶断开，防止漏电，以保证蓄电池保存充足电力。</w:t>
            </w:r>
          </w:p>
        </w:tc>
      </w:tr>
      <w:tr w14:paraId="1C2A59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6" w:hRule="atLeast"/>
          <w:jc w:val="center"/>
        </w:trPr>
        <w:tc>
          <w:tcPr>
            <w:tcW w:w="1084" w:type="dxa"/>
            <w:tcBorders>
              <w:top w:val="single" w:color="auto" w:sz="4" w:space="0"/>
              <w:left w:val="single" w:color="auto" w:sz="4" w:space="0"/>
              <w:bottom w:val="single" w:color="auto" w:sz="4" w:space="0"/>
              <w:right w:val="single" w:color="auto" w:sz="4" w:space="0"/>
            </w:tcBorders>
            <w:noWrap/>
            <w:vAlign w:val="center"/>
          </w:tcPr>
          <w:p w14:paraId="2E3A10FE">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default" w:ascii="宋体" w:hAnsi="宋体" w:eastAsia="宋体" w:cs="宋体"/>
                <w:color w:val="auto"/>
                <w:kern w:val="2"/>
                <w:sz w:val="21"/>
                <w:szCs w:val="21"/>
                <w:highlight w:val="none"/>
                <w:lang w:val="en-US" w:eastAsia="zh-CN"/>
              </w:rPr>
            </w:pPr>
            <w:r>
              <w:rPr>
                <w:rFonts w:hint="eastAsia" w:ascii="宋体" w:hAnsi="宋体" w:eastAsia="宋体" w:cs="宋体"/>
                <w:color w:val="auto"/>
                <w:kern w:val="2"/>
                <w:sz w:val="21"/>
                <w:szCs w:val="21"/>
                <w:highlight w:val="none"/>
                <w:lang w:val="en-US" w:eastAsia="zh-CN"/>
              </w:rPr>
              <w:t>3.11.5</w:t>
            </w:r>
          </w:p>
        </w:tc>
        <w:tc>
          <w:tcPr>
            <w:tcW w:w="8108" w:type="dxa"/>
            <w:tcBorders>
              <w:top w:val="single" w:color="auto" w:sz="4" w:space="0"/>
              <w:left w:val="single" w:color="auto" w:sz="4" w:space="0"/>
              <w:bottom w:val="single" w:color="auto" w:sz="4" w:space="0"/>
              <w:right w:val="single" w:color="auto" w:sz="4" w:space="0"/>
            </w:tcBorders>
            <w:noWrap/>
            <w:vAlign w:val="center"/>
          </w:tcPr>
          <w:p w14:paraId="2FA21713">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ascii="宋体" w:hAnsi="宋体" w:eastAsia="宋体" w:cs="宋体"/>
                <w:color w:val="auto"/>
                <w:kern w:val="2"/>
                <w:sz w:val="21"/>
                <w:szCs w:val="21"/>
                <w:highlight w:val="none"/>
                <w:lang w:val="en-US" w:eastAsia="zh-CN"/>
              </w:rPr>
            </w:pPr>
            <w:r>
              <w:rPr>
                <w:rFonts w:hint="eastAsia" w:ascii="宋体" w:hAnsi="宋体" w:eastAsia="宋体" w:cs="宋体"/>
                <w:color w:val="auto"/>
                <w:kern w:val="2"/>
                <w:sz w:val="21"/>
                <w:szCs w:val="21"/>
                <w:highlight w:val="none"/>
                <w:lang w:val="en-US" w:eastAsia="zh-CN"/>
              </w:rPr>
              <w:t>安全保护：每个分电路应设有相应规范的过载保护装置，以确保医疗救护设备的电器正常使用。</w:t>
            </w:r>
          </w:p>
        </w:tc>
      </w:tr>
      <w:tr w14:paraId="0932754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15" w:hRule="atLeast"/>
          <w:jc w:val="center"/>
        </w:trPr>
        <w:tc>
          <w:tcPr>
            <w:tcW w:w="1084" w:type="dxa"/>
            <w:tcBorders>
              <w:top w:val="single" w:color="auto" w:sz="4" w:space="0"/>
              <w:left w:val="single" w:color="auto" w:sz="4" w:space="0"/>
              <w:bottom w:val="single" w:color="auto" w:sz="4" w:space="0"/>
              <w:right w:val="single" w:color="auto" w:sz="4" w:space="0"/>
            </w:tcBorders>
            <w:noWrap/>
            <w:vAlign w:val="center"/>
          </w:tcPr>
          <w:p w14:paraId="2CC9D8CD">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default" w:ascii="宋体" w:hAnsi="宋体" w:eastAsia="宋体" w:cs="宋体"/>
                <w:color w:val="auto"/>
                <w:kern w:val="2"/>
                <w:sz w:val="21"/>
                <w:szCs w:val="21"/>
                <w:highlight w:val="none"/>
                <w:lang w:val="en-US" w:eastAsia="zh-CN"/>
              </w:rPr>
            </w:pPr>
            <w:r>
              <w:rPr>
                <w:rFonts w:hint="eastAsia" w:ascii="宋体" w:hAnsi="宋体" w:eastAsia="宋体" w:cs="宋体"/>
                <w:color w:val="auto"/>
                <w:kern w:val="2"/>
                <w:sz w:val="21"/>
                <w:szCs w:val="21"/>
                <w:highlight w:val="none"/>
                <w:lang w:val="en-US" w:eastAsia="zh-CN"/>
              </w:rPr>
              <w:t>3.11.6</w:t>
            </w:r>
          </w:p>
        </w:tc>
        <w:tc>
          <w:tcPr>
            <w:tcW w:w="8108" w:type="dxa"/>
            <w:tcBorders>
              <w:top w:val="single" w:color="auto" w:sz="4" w:space="0"/>
              <w:left w:val="single" w:color="auto" w:sz="4" w:space="0"/>
              <w:bottom w:val="single" w:color="auto" w:sz="4" w:space="0"/>
              <w:right w:val="single" w:color="auto" w:sz="4" w:space="0"/>
            </w:tcBorders>
            <w:noWrap/>
            <w:vAlign w:val="center"/>
          </w:tcPr>
          <w:p w14:paraId="551D6415">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ascii="宋体" w:hAnsi="宋体" w:eastAsia="宋体" w:cs="宋体"/>
                <w:color w:val="auto"/>
                <w:kern w:val="2"/>
                <w:sz w:val="21"/>
                <w:szCs w:val="21"/>
                <w:highlight w:val="none"/>
                <w:lang w:val="en-US" w:eastAsia="zh-CN"/>
              </w:rPr>
            </w:pPr>
            <w:r>
              <w:rPr>
                <w:rFonts w:hint="eastAsia" w:ascii="宋体" w:hAnsi="宋体" w:eastAsia="宋体" w:cs="宋体"/>
                <w:color w:val="auto"/>
                <w:kern w:val="2"/>
                <w:sz w:val="21"/>
                <w:szCs w:val="21"/>
                <w:highlight w:val="none"/>
                <w:lang w:val="en-US" w:eastAsia="zh-CN"/>
              </w:rPr>
              <w:t>驾驶室配电：驾驶舱预留保险盒及连接端口（由电源经由保险盒至用电器连接端口），以便于加装GPS、行车记录仪、计价器等设备，保证车辆电路系统及外接用电器安全。</w:t>
            </w:r>
          </w:p>
        </w:tc>
      </w:tr>
      <w:tr w14:paraId="1AD59D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8" w:hRule="atLeast"/>
          <w:jc w:val="center"/>
        </w:trPr>
        <w:tc>
          <w:tcPr>
            <w:tcW w:w="1084" w:type="dxa"/>
            <w:tcBorders>
              <w:top w:val="single" w:color="auto" w:sz="4" w:space="0"/>
              <w:left w:val="single" w:color="auto" w:sz="4" w:space="0"/>
              <w:bottom w:val="single" w:color="auto" w:sz="4" w:space="0"/>
              <w:right w:val="single" w:color="auto" w:sz="4" w:space="0"/>
            </w:tcBorders>
            <w:noWrap/>
            <w:vAlign w:val="center"/>
          </w:tcPr>
          <w:p w14:paraId="1A32F211">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default" w:ascii="宋体" w:hAnsi="宋体" w:eastAsia="宋体" w:cs="宋体"/>
                <w:color w:val="auto"/>
                <w:kern w:val="2"/>
                <w:sz w:val="21"/>
                <w:szCs w:val="21"/>
                <w:highlight w:val="none"/>
                <w:lang w:val="en-US" w:eastAsia="zh-CN"/>
              </w:rPr>
            </w:pPr>
            <w:r>
              <w:rPr>
                <w:rFonts w:hint="eastAsia" w:ascii="宋体" w:hAnsi="宋体" w:eastAsia="宋体" w:cs="宋体"/>
                <w:color w:val="auto"/>
                <w:kern w:val="2"/>
                <w:sz w:val="21"/>
                <w:szCs w:val="21"/>
                <w:highlight w:val="none"/>
                <w:lang w:val="en-US" w:eastAsia="zh-CN"/>
              </w:rPr>
              <w:t>3.11.7</w:t>
            </w:r>
          </w:p>
        </w:tc>
        <w:tc>
          <w:tcPr>
            <w:tcW w:w="8108" w:type="dxa"/>
            <w:tcBorders>
              <w:top w:val="single" w:color="auto" w:sz="4" w:space="0"/>
              <w:left w:val="single" w:color="auto" w:sz="4" w:space="0"/>
              <w:bottom w:val="single" w:color="auto" w:sz="4" w:space="0"/>
              <w:right w:val="single" w:color="auto" w:sz="4" w:space="0"/>
            </w:tcBorders>
            <w:noWrap/>
            <w:vAlign w:val="center"/>
          </w:tcPr>
          <w:p w14:paraId="2E1C2141">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ascii="宋体" w:hAnsi="宋体" w:eastAsia="宋体" w:cs="宋体"/>
                <w:color w:val="auto"/>
                <w:kern w:val="2"/>
                <w:sz w:val="21"/>
                <w:szCs w:val="21"/>
                <w:highlight w:val="none"/>
                <w:lang w:val="en-US" w:eastAsia="zh-CN"/>
              </w:rPr>
            </w:pPr>
            <w:r>
              <w:rPr>
                <w:rFonts w:hint="eastAsia" w:ascii="宋体" w:hAnsi="宋体" w:eastAsia="宋体" w:cs="宋体"/>
                <w:color w:val="auto"/>
                <w:kern w:val="2"/>
                <w:sz w:val="21"/>
                <w:szCs w:val="21"/>
                <w:highlight w:val="none"/>
                <w:lang w:val="en-US" w:eastAsia="zh-CN"/>
              </w:rPr>
              <w:t>外接充电：应配备内置大功率充电设备，可提供对蓄电池的充电，同时也可提供电力供车载医疗设备充电，需配备防水外接充电接口，外接充电线缆长度≥10M。</w:t>
            </w:r>
          </w:p>
        </w:tc>
      </w:tr>
      <w:tr w14:paraId="183860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1084" w:type="dxa"/>
            <w:tcBorders>
              <w:top w:val="single" w:color="auto" w:sz="4" w:space="0"/>
              <w:left w:val="single" w:color="auto" w:sz="4" w:space="0"/>
              <w:bottom w:val="single" w:color="auto" w:sz="4" w:space="0"/>
              <w:right w:val="single" w:color="auto" w:sz="4" w:space="0"/>
            </w:tcBorders>
            <w:noWrap/>
            <w:vAlign w:val="center"/>
          </w:tcPr>
          <w:p w14:paraId="074F43ED">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default" w:ascii="宋体" w:hAnsi="宋体" w:eastAsia="宋体" w:cs="宋体"/>
                <w:color w:val="auto"/>
                <w:kern w:val="2"/>
                <w:sz w:val="21"/>
                <w:szCs w:val="21"/>
                <w:highlight w:val="none"/>
                <w:lang w:val="en-US" w:eastAsia="zh-CN"/>
              </w:rPr>
            </w:pPr>
            <w:r>
              <w:rPr>
                <w:rFonts w:hint="eastAsia" w:ascii="宋体" w:hAnsi="宋体" w:eastAsia="宋体" w:cs="宋体"/>
                <w:color w:val="auto"/>
                <w:kern w:val="2"/>
                <w:sz w:val="21"/>
                <w:szCs w:val="21"/>
                <w:highlight w:val="none"/>
                <w:lang w:val="en-US" w:eastAsia="zh-CN"/>
              </w:rPr>
              <w:t>3.12</w:t>
            </w:r>
          </w:p>
        </w:tc>
        <w:tc>
          <w:tcPr>
            <w:tcW w:w="8108" w:type="dxa"/>
            <w:tcBorders>
              <w:top w:val="single" w:color="auto" w:sz="4" w:space="0"/>
              <w:left w:val="single" w:color="auto" w:sz="4" w:space="0"/>
              <w:bottom w:val="single" w:color="auto" w:sz="4" w:space="0"/>
              <w:right w:val="single" w:color="auto" w:sz="4" w:space="0"/>
            </w:tcBorders>
            <w:noWrap/>
            <w:vAlign w:val="center"/>
          </w:tcPr>
          <w:p w14:paraId="6ED45808">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ascii="宋体" w:hAnsi="宋体" w:eastAsia="宋体" w:cs="宋体"/>
                <w:color w:val="auto"/>
                <w:kern w:val="2"/>
                <w:sz w:val="21"/>
                <w:szCs w:val="21"/>
                <w:highlight w:val="none"/>
                <w:lang w:val="en-US" w:eastAsia="zh-CN"/>
              </w:rPr>
            </w:pPr>
            <w:r>
              <w:rPr>
                <w:rFonts w:hint="eastAsia" w:ascii="宋体" w:hAnsi="宋体" w:eastAsia="宋体" w:cs="宋体"/>
                <w:color w:val="auto"/>
                <w:kern w:val="2"/>
                <w:sz w:val="21"/>
                <w:szCs w:val="21"/>
                <w:highlight w:val="none"/>
                <w:lang w:val="en-US" w:eastAsia="zh-CN"/>
              </w:rPr>
              <w:t>车载担架系统：自动上车</w:t>
            </w:r>
            <w:r>
              <w:rPr>
                <w:rFonts w:hint="eastAsia" w:ascii="宋体" w:hAnsi="宋体" w:cs="宋体"/>
                <w:color w:val="auto"/>
                <w:kern w:val="2"/>
                <w:sz w:val="21"/>
                <w:szCs w:val="21"/>
                <w:highlight w:val="none"/>
                <w:lang w:val="en-US" w:eastAsia="zh-CN"/>
              </w:rPr>
              <w:t>担架</w:t>
            </w:r>
            <w:r>
              <w:rPr>
                <w:rFonts w:hint="eastAsia" w:ascii="宋体" w:hAnsi="宋体" w:eastAsia="宋体" w:cs="宋体"/>
                <w:color w:val="auto"/>
                <w:kern w:val="2"/>
                <w:sz w:val="21"/>
                <w:szCs w:val="21"/>
                <w:highlight w:val="none"/>
                <w:lang w:val="en-US" w:eastAsia="zh-CN"/>
              </w:rPr>
              <w:t>1付，铲式担架1付，软担架1付</w:t>
            </w:r>
          </w:p>
        </w:tc>
      </w:tr>
      <w:tr w14:paraId="1A13BCE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8" w:hRule="atLeast"/>
          <w:jc w:val="center"/>
        </w:trPr>
        <w:tc>
          <w:tcPr>
            <w:tcW w:w="1084" w:type="dxa"/>
            <w:tcBorders>
              <w:top w:val="single" w:color="auto" w:sz="4" w:space="0"/>
              <w:left w:val="single" w:color="auto" w:sz="4" w:space="0"/>
              <w:bottom w:val="single" w:color="auto" w:sz="4" w:space="0"/>
              <w:right w:val="single" w:color="auto" w:sz="4" w:space="0"/>
            </w:tcBorders>
            <w:noWrap/>
            <w:vAlign w:val="center"/>
          </w:tcPr>
          <w:p w14:paraId="69EDAB7F">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default" w:ascii="宋体" w:hAnsi="宋体" w:eastAsia="宋体" w:cs="宋体"/>
                <w:color w:val="auto"/>
                <w:kern w:val="2"/>
                <w:sz w:val="21"/>
                <w:szCs w:val="21"/>
                <w:highlight w:val="none"/>
                <w:lang w:val="en-US" w:eastAsia="zh-CN"/>
              </w:rPr>
            </w:pPr>
            <w:r>
              <w:rPr>
                <w:rFonts w:hint="eastAsia" w:ascii="宋体" w:hAnsi="宋体" w:eastAsia="宋体" w:cs="宋体"/>
                <w:color w:val="auto"/>
                <w:kern w:val="2"/>
                <w:sz w:val="21"/>
                <w:szCs w:val="21"/>
                <w:highlight w:val="none"/>
                <w:lang w:val="en-US" w:eastAsia="zh-CN"/>
              </w:rPr>
              <w:t>3.13</w:t>
            </w:r>
          </w:p>
        </w:tc>
        <w:tc>
          <w:tcPr>
            <w:tcW w:w="8108" w:type="dxa"/>
            <w:tcBorders>
              <w:top w:val="single" w:color="auto" w:sz="4" w:space="0"/>
              <w:left w:val="single" w:color="auto" w:sz="4" w:space="0"/>
              <w:bottom w:val="single" w:color="auto" w:sz="4" w:space="0"/>
              <w:right w:val="single" w:color="auto" w:sz="4" w:space="0"/>
            </w:tcBorders>
            <w:noWrap/>
            <w:vAlign w:val="center"/>
          </w:tcPr>
          <w:p w14:paraId="7D5ED279">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ascii="宋体" w:hAnsi="宋体" w:eastAsia="宋体" w:cs="宋体"/>
                <w:color w:val="auto"/>
                <w:kern w:val="2"/>
                <w:sz w:val="21"/>
                <w:szCs w:val="21"/>
                <w:highlight w:val="none"/>
                <w:lang w:val="en-US" w:eastAsia="zh-CN"/>
              </w:rPr>
            </w:pPr>
            <w:r>
              <w:rPr>
                <w:rFonts w:hint="eastAsia" w:ascii="宋体" w:hAnsi="宋体" w:eastAsia="宋体" w:cs="宋体"/>
                <w:color w:val="auto"/>
                <w:kern w:val="2"/>
                <w:sz w:val="21"/>
                <w:szCs w:val="21"/>
                <w:highlight w:val="none"/>
                <w:lang w:val="en-US" w:eastAsia="zh-CN"/>
              </w:rPr>
              <w:t>警示系统：</w:t>
            </w:r>
          </w:p>
        </w:tc>
      </w:tr>
      <w:tr w14:paraId="4F75672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jc w:val="center"/>
        </w:trPr>
        <w:tc>
          <w:tcPr>
            <w:tcW w:w="1084" w:type="dxa"/>
            <w:tcBorders>
              <w:top w:val="single" w:color="auto" w:sz="4" w:space="0"/>
              <w:left w:val="single" w:color="auto" w:sz="4" w:space="0"/>
              <w:bottom w:val="single" w:color="auto" w:sz="4" w:space="0"/>
              <w:right w:val="single" w:color="auto" w:sz="4" w:space="0"/>
            </w:tcBorders>
            <w:noWrap/>
            <w:vAlign w:val="center"/>
          </w:tcPr>
          <w:p w14:paraId="7152441A">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default" w:ascii="宋体" w:hAnsi="宋体" w:eastAsia="宋体" w:cs="宋体"/>
                <w:color w:val="auto"/>
                <w:kern w:val="2"/>
                <w:sz w:val="21"/>
                <w:szCs w:val="21"/>
                <w:highlight w:val="none"/>
                <w:lang w:val="en-US" w:eastAsia="zh-CN"/>
              </w:rPr>
            </w:pPr>
            <w:r>
              <w:rPr>
                <w:rFonts w:hint="eastAsia" w:ascii="宋体" w:hAnsi="宋体" w:eastAsia="宋体" w:cs="宋体"/>
                <w:color w:val="auto"/>
                <w:kern w:val="2"/>
                <w:sz w:val="21"/>
                <w:szCs w:val="21"/>
                <w:highlight w:val="none"/>
                <w:lang w:val="en-US" w:eastAsia="zh-CN"/>
              </w:rPr>
              <w:t>3.13.1</w:t>
            </w:r>
          </w:p>
        </w:tc>
        <w:tc>
          <w:tcPr>
            <w:tcW w:w="8108" w:type="dxa"/>
            <w:tcBorders>
              <w:top w:val="single" w:color="auto" w:sz="4" w:space="0"/>
              <w:left w:val="single" w:color="auto" w:sz="4" w:space="0"/>
              <w:bottom w:val="single" w:color="auto" w:sz="4" w:space="0"/>
              <w:right w:val="single" w:color="auto" w:sz="4" w:space="0"/>
            </w:tcBorders>
            <w:noWrap/>
            <w:vAlign w:val="center"/>
          </w:tcPr>
          <w:p w14:paraId="2027FC60">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ascii="宋体" w:hAnsi="宋体" w:eastAsia="宋体" w:cs="宋体"/>
                <w:color w:val="auto"/>
                <w:kern w:val="2"/>
                <w:sz w:val="21"/>
                <w:szCs w:val="21"/>
                <w:highlight w:val="none"/>
                <w:lang w:val="en-US" w:eastAsia="zh-CN"/>
              </w:rPr>
            </w:pPr>
            <w:r>
              <w:rPr>
                <w:rFonts w:hint="eastAsia" w:ascii="宋体" w:hAnsi="宋体" w:eastAsia="宋体" w:cs="宋体"/>
                <w:color w:val="auto"/>
                <w:kern w:val="2"/>
                <w:sz w:val="21"/>
                <w:szCs w:val="21"/>
                <w:highlight w:val="none"/>
                <w:lang w:val="en-US" w:eastAsia="zh-CN"/>
              </w:rPr>
              <w:t>警灯：三段式内嵌式警灯，内部安装超高亮度LED警灯，整体美观大方，流线型设计，视觉冲击力与整体造型与基础车融为一体，警示角度范围大，效果好；左右中部各安装蓝色方形LED警示灯，左右后部安装蓝色菱形LED警示灯，车身后部配有</w:t>
            </w:r>
            <w:r>
              <w:rPr>
                <w:rFonts w:hint="eastAsia" w:ascii="宋体" w:hAnsi="宋体" w:cs="宋体"/>
                <w:color w:val="auto"/>
                <w:kern w:val="2"/>
                <w:sz w:val="21"/>
                <w:szCs w:val="21"/>
                <w:highlight w:val="none"/>
                <w:lang w:val="en-US" w:eastAsia="zh-CN"/>
              </w:rPr>
              <w:t>长条形</w:t>
            </w:r>
            <w:r>
              <w:rPr>
                <w:rFonts w:hint="eastAsia" w:ascii="宋体" w:hAnsi="宋体" w:eastAsia="宋体" w:cs="宋体"/>
                <w:color w:val="auto"/>
                <w:kern w:val="2"/>
                <w:sz w:val="21"/>
                <w:szCs w:val="21"/>
                <w:highlight w:val="none"/>
                <w:lang w:val="en-US" w:eastAsia="zh-CN"/>
              </w:rPr>
              <w:t>尾翼集成警灯。</w:t>
            </w:r>
          </w:p>
        </w:tc>
      </w:tr>
      <w:tr w14:paraId="7269C4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12" w:hRule="atLeast"/>
          <w:jc w:val="center"/>
        </w:trPr>
        <w:tc>
          <w:tcPr>
            <w:tcW w:w="1084" w:type="dxa"/>
            <w:tcBorders>
              <w:top w:val="single" w:color="auto" w:sz="4" w:space="0"/>
              <w:left w:val="single" w:color="auto" w:sz="4" w:space="0"/>
              <w:bottom w:val="single" w:color="auto" w:sz="4" w:space="0"/>
              <w:right w:val="single" w:color="auto" w:sz="4" w:space="0"/>
            </w:tcBorders>
            <w:noWrap/>
            <w:vAlign w:val="center"/>
          </w:tcPr>
          <w:p w14:paraId="50839B79">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default" w:ascii="宋体" w:hAnsi="宋体" w:eastAsia="宋体" w:cs="宋体"/>
                <w:color w:val="auto"/>
                <w:kern w:val="2"/>
                <w:sz w:val="21"/>
                <w:szCs w:val="21"/>
                <w:highlight w:val="none"/>
                <w:lang w:val="en-US" w:eastAsia="zh-CN"/>
              </w:rPr>
            </w:pPr>
            <w:r>
              <w:rPr>
                <w:rFonts w:hint="eastAsia" w:ascii="宋体" w:hAnsi="宋体" w:eastAsia="宋体" w:cs="宋体"/>
                <w:color w:val="auto"/>
                <w:kern w:val="2"/>
                <w:sz w:val="21"/>
                <w:szCs w:val="21"/>
                <w:highlight w:val="none"/>
                <w:lang w:val="en-US" w:eastAsia="zh-CN"/>
              </w:rPr>
              <w:t>3.13.2</w:t>
            </w:r>
          </w:p>
        </w:tc>
        <w:tc>
          <w:tcPr>
            <w:tcW w:w="8108" w:type="dxa"/>
            <w:tcBorders>
              <w:top w:val="single" w:color="auto" w:sz="4" w:space="0"/>
              <w:left w:val="single" w:color="auto" w:sz="4" w:space="0"/>
              <w:bottom w:val="single" w:color="auto" w:sz="4" w:space="0"/>
              <w:right w:val="single" w:color="auto" w:sz="4" w:space="0"/>
            </w:tcBorders>
            <w:noWrap/>
            <w:vAlign w:val="center"/>
          </w:tcPr>
          <w:p w14:paraId="6A8BEC0B">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ascii="宋体" w:hAnsi="宋体" w:eastAsia="宋体" w:cs="宋体"/>
                <w:color w:val="auto"/>
                <w:kern w:val="2"/>
                <w:sz w:val="21"/>
                <w:szCs w:val="21"/>
                <w:highlight w:val="none"/>
                <w:lang w:val="en-US" w:eastAsia="zh-CN"/>
              </w:rPr>
            </w:pPr>
            <w:r>
              <w:rPr>
                <w:rFonts w:hint="eastAsia" w:ascii="宋体" w:hAnsi="宋体" w:eastAsia="宋体" w:cs="宋体"/>
                <w:color w:val="auto"/>
                <w:kern w:val="2"/>
                <w:sz w:val="21"/>
                <w:szCs w:val="21"/>
                <w:highlight w:val="none"/>
                <w:lang w:val="en-US" w:eastAsia="zh-CN"/>
              </w:rPr>
              <w:t>警报器：分体式手柄控制器，多档调节，由驾驶室控制，并符合GB8108规定。</w:t>
            </w:r>
          </w:p>
        </w:tc>
      </w:tr>
      <w:tr w14:paraId="0567E3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16" w:hRule="atLeast"/>
          <w:jc w:val="center"/>
        </w:trPr>
        <w:tc>
          <w:tcPr>
            <w:tcW w:w="1084" w:type="dxa"/>
            <w:tcBorders>
              <w:top w:val="single" w:color="auto" w:sz="4" w:space="0"/>
              <w:left w:val="single" w:color="auto" w:sz="4" w:space="0"/>
              <w:bottom w:val="single" w:color="auto" w:sz="4" w:space="0"/>
              <w:right w:val="single" w:color="auto" w:sz="4" w:space="0"/>
            </w:tcBorders>
            <w:noWrap/>
            <w:vAlign w:val="center"/>
          </w:tcPr>
          <w:p w14:paraId="0921DF62">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default" w:ascii="宋体" w:hAnsi="宋体" w:eastAsia="宋体" w:cs="宋体"/>
                <w:color w:val="auto"/>
                <w:kern w:val="2"/>
                <w:sz w:val="21"/>
                <w:szCs w:val="21"/>
                <w:highlight w:val="none"/>
                <w:lang w:val="en-US" w:eastAsia="zh-CN"/>
              </w:rPr>
            </w:pPr>
            <w:r>
              <w:rPr>
                <w:rFonts w:hint="eastAsia" w:ascii="宋体" w:hAnsi="宋体" w:eastAsia="宋体" w:cs="宋体"/>
                <w:color w:val="auto"/>
                <w:kern w:val="2"/>
                <w:sz w:val="21"/>
                <w:szCs w:val="21"/>
                <w:highlight w:val="none"/>
                <w:lang w:val="en-US" w:eastAsia="zh-CN"/>
              </w:rPr>
              <w:t>3.14</w:t>
            </w:r>
          </w:p>
        </w:tc>
        <w:tc>
          <w:tcPr>
            <w:tcW w:w="8108" w:type="dxa"/>
            <w:tcBorders>
              <w:top w:val="single" w:color="auto" w:sz="4" w:space="0"/>
              <w:left w:val="single" w:color="auto" w:sz="4" w:space="0"/>
              <w:bottom w:val="single" w:color="auto" w:sz="4" w:space="0"/>
              <w:right w:val="single" w:color="auto" w:sz="4" w:space="0"/>
            </w:tcBorders>
            <w:noWrap/>
            <w:vAlign w:val="center"/>
          </w:tcPr>
          <w:p w14:paraId="0389B304">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ascii="宋体" w:hAnsi="宋体" w:eastAsia="宋体" w:cs="宋体"/>
                <w:color w:val="auto"/>
                <w:kern w:val="2"/>
                <w:sz w:val="21"/>
                <w:szCs w:val="21"/>
                <w:highlight w:val="none"/>
                <w:lang w:val="en-US" w:eastAsia="zh-CN"/>
              </w:rPr>
            </w:pPr>
            <w:r>
              <w:rPr>
                <w:rFonts w:hint="eastAsia" w:ascii="宋体" w:hAnsi="宋体" w:eastAsia="宋体" w:cs="宋体"/>
                <w:color w:val="auto"/>
                <w:kern w:val="2"/>
                <w:sz w:val="21"/>
                <w:szCs w:val="21"/>
                <w:highlight w:val="none"/>
                <w:lang w:val="en-US" w:eastAsia="zh-CN"/>
              </w:rPr>
              <w:t>供氧系统：</w:t>
            </w:r>
          </w:p>
        </w:tc>
      </w:tr>
      <w:tr w14:paraId="464EFF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6" w:hRule="atLeast"/>
          <w:jc w:val="center"/>
        </w:trPr>
        <w:tc>
          <w:tcPr>
            <w:tcW w:w="1084" w:type="dxa"/>
            <w:tcBorders>
              <w:top w:val="single" w:color="auto" w:sz="4" w:space="0"/>
              <w:left w:val="single" w:color="auto" w:sz="4" w:space="0"/>
              <w:bottom w:val="single" w:color="auto" w:sz="4" w:space="0"/>
              <w:right w:val="single" w:color="auto" w:sz="4" w:space="0"/>
            </w:tcBorders>
            <w:noWrap/>
            <w:vAlign w:val="center"/>
          </w:tcPr>
          <w:p w14:paraId="7C01BAC1">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default" w:ascii="宋体" w:hAnsi="宋体" w:eastAsia="宋体" w:cs="宋体"/>
                <w:color w:val="auto"/>
                <w:kern w:val="2"/>
                <w:sz w:val="21"/>
                <w:szCs w:val="21"/>
                <w:highlight w:val="none"/>
                <w:lang w:val="en-US" w:eastAsia="zh-CN"/>
              </w:rPr>
            </w:pPr>
            <w:r>
              <w:rPr>
                <w:rFonts w:hint="eastAsia" w:ascii="宋体" w:hAnsi="宋体" w:eastAsia="宋体" w:cs="宋体"/>
                <w:color w:val="auto"/>
                <w:kern w:val="2"/>
                <w:sz w:val="21"/>
                <w:szCs w:val="21"/>
                <w:highlight w:val="none"/>
                <w:lang w:val="en-US" w:eastAsia="zh-CN"/>
              </w:rPr>
              <w:t>3.14.1</w:t>
            </w:r>
          </w:p>
        </w:tc>
        <w:tc>
          <w:tcPr>
            <w:tcW w:w="8108" w:type="dxa"/>
            <w:tcBorders>
              <w:top w:val="single" w:color="auto" w:sz="4" w:space="0"/>
              <w:left w:val="single" w:color="auto" w:sz="4" w:space="0"/>
              <w:bottom w:val="single" w:color="auto" w:sz="4" w:space="0"/>
              <w:right w:val="single" w:color="auto" w:sz="4" w:space="0"/>
            </w:tcBorders>
            <w:noWrap/>
            <w:vAlign w:val="center"/>
          </w:tcPr>
          <w:p w14:paraId="1541F5FB">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ascii="宋体" w:hAnsi="宋体" w:eastAsia="宋体" w:cs="宋体"/>
                <w:color w:val="auto"/>
                <w:kern w:val="2"/>
                <w:sz w:val="21"/>
                <w:szCs w:val="21"/>
                <w:highlight w:val="none"/>
                <w:lang w:val="en-US" w:eastAsia="zh-CN"/>
              </w:rPr>
            </w:pPr>
            <w:r>
              <w:rPr>
                <w:rFonts w:hint="eastAsia" w:ascii="宋体" w:hAnsi="宋体" w:eastAsia="宋体" w:cs="宋体"/>
                <w:color w:val="auto"/>
                <w:kern w:val="2"/>
                <w:sz w:val="21"/>
                <w:szCs w:val="21"/>
                <w:highlight w:val="none"/>
                <w:lang w:val="en-US" w:eastAsia="zh-CN"/>
              </w:rPr>
              <w:t>氧气瓶：救护车应可放置2瓶10升铝合金氧气瓶，带高压减压阀及不锈钢固定装置。</w:t>
            </w:r>
          </w:p>
        </w:tc>
      </w:tr>
      <w:tr w14:paraId="14A9D4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8" w:hRule="atLeast"/>
          <w:jc w:val="center"/>
        </w:trPr>
        <w:tc>
          <w:tcPr>
            <w:tcW w:w="1084" w:type="dxa"/>
            <w:tcBorders>
              <w:top w:val="single" w:color="auto" w:sz="4" w:space="0"/>
              <w:left w:val="single" w:color="auto" w:sz="4" w:space="0"/>
              <w:bottom w:val="single" w:color="auto" w:sz="4" w:space="0"/>
              <w:right w:val="single" w:color="auto" w:sz="4" w:space="0"/>
            </w:tcBorders>
            <w:noWrap/>
            <w:vAlign w:val="center"/>
          </w:tcPr>
          <w:p w14:paraId="6D1291D3">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default" w:ascii="宋体" w:hAnsi="宋体" w:eastAsia="宋体" w:cs="宋体"/>
                <w:color w:val="auto"/>
                <w:kern w:val="2"/>
                <w:sz w:val="21"/>
                <w:szCs w:val="21"/>
                <w:highlight w:val="none"/>
                <w:lang w:val="en-US" w:eastAsia="zh-CN"/>
              </w:rPr>
            </w:pPr>
            <w:r>
              <w:rPr>
                <w:rFonts w:hint="eastAsia" w:ascii="宋体" w:hAnsi="宋体" w:eastAsia="宋体" w:cs="宋体"/>
                <w:color w:val="auto"/>
                <w:kern w:val="2"/>
                <w:sz w:val="21"/>
                <w:szCs w:val="21"/>
                <w:highlight w:val="none"/>
                <w:lang w:val="en-US" w:eastAsia="zh-CN"/>
              </w:rPr>
              <w:t>3.14.2</w:t>
            </w:r>
          </w:p>
        </w:tc>
        <w:tc>
          <w:tcPr>
            <w:tcW w:w="8108" w:type="dxa"/>
            <w:tcBorders>
              <w:top w:val="single" w:color="auto" w:sz="4" w:space="0"/>
              <w:left w:val="single" w:color="auto" w:sz="4" w:space="0"/>
              <w:bottom w:val="single" w:color="auto" w:sz="4" w:space="0"/>
              <w:right w:val="single" w:color="auto" w:sz="4" w:space="0"/>
            </w:tcBorders>
            <w:noWrap/>
            <w:vAlign w:val="center"/>
          </w:tcPr>
          <w:p w14:paraId="35E7875E">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ascii="宋体" w:hAnsi="宋体" w:eastAsia="宋体" w:cs="宋体"/>
                <w:color w:val="auto"/>
                <w:kern w:val="2"/>
                <w:sz w:val="21"/>
                <w:szCs w:val="21"/>
                <w:highlight w:val="none"/>
                <w:lang w:val="en-US" w:eastAsia="zh-CN"/>
              </w:rPr>
            </w:pPr>
            <w:r>
              <w:rPr>
                <w:rFonts w:hint="eastAsia" w:ascii="宋体" w:hAnsi="宋体" w:eastAsia="宋体" w:cs="宋体"/>
                <w:color w:val="auto"/>
                <w:kern w:val="2"/>
                <w:sz w:val="21"/>
                <w:szCs w:val="21"/>
                <w:highlight w:val="none"/>
                <w:lang w:val="en-US" w:eastAsia="zh-CN"/>
              </w:rPr>
              <w:t>氧气管道：氧气主连接管道应采用金属管，并隐藏于内饰与车身之间，氧气阀与管道连接应采用金属快速活接，确保安全性及便捷性</w:t>
            </w:r>
            <w:r>
              <w:rPr>
                <w:rFonts w:hint="eastAsia" w:ascii="宋体" w:hAnsi="宋体" w:cs="宋体"/>
                <w:color w:val="auto"/>
                <w:kern w:val="2"/>
                <w:sz w:val="21"/>
                <w:szCs w:val="21"/>
                <w:highlight w:val="none"/>
                <w:lang w:val="en-US" w:eastAsia="zh-CN"/>
              </w:rPr>
              <w:t>，</w:t>
            </w:r>
            <w:r>
              <w:rPr>
                <w:rFonts w:hint="eastAsia" w:ascii="宋体" w:hAnsi="宋体" w:eastAsia="宋体" w:cs="宋体"/>
                <w:color w:val="auto"/>
                <w:kern w:val="2"/>
                <w:sz w:val="21"/>
                <w:szCs w:val="21"/>
                <w:highlight w:val="none"/>
                <w:lang w:val="en-US" w:eastAsia="zh-CN"/>
              </w:rPr>
              <w:t>氧气管道分2路（1个氧气瓶连接1路）</w:t>
            </w:r>
          </w:p>
        </w:tc>
      </w:tr>
      <w:tr w14:paraId="3D4A492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6" w:hRule="atLeast"/>
          <w:jc w:val="center"/>
        </w:trPr>
        <w:tc>
          <w:tcPr>
            <w:tcW w:w="1084" w:type="dxa"/>
            <w:tcBorders>
              <w:top w:val="single" w:color="auto" w:sz="4" w:space="0"/>
              <w:left w:val="single" w:color="auto" w:sz="4" w:space="0"/>
              <w:bottom w:val="single" w:color="auto" w:sz="4" w:space="0"/>
              <w:right w:val="single" w:color="auto" w:sz="4" w:space="0"/>
            </w:tcBorders>
            <w:noWrap/>
            <w:vAlign w:val="center"/>
          </w:tcPr>
          <w:p w14:paraId="46D8EC11">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default" w:ascii="宋体" w:hAnsi="宋体" w:eastAsia="宋体" w:cs="宋体"/>
                <w:color w:val="auto"/>
                <w:kern w:val="2"/>
                <w:sz w:val="21"/>
                <w:szCs w:val="21"/>
                <w:highlight w:val="none"/>
                <w:lang w:val="en-US" w:eastAsia="zh-CN"/>
              </w:rPr>
            </w:pPr>
            <w:r>
              <w:rPr>
                <w:rFonts w:hint="eastAsia" w:ascii="宋体" w:hAnsi="宋体" w:eastAsia="宋体" w:cs="宋体"/>
                <w:color w:val="auto"/>
                <w:kern w:val="2"/>
                <w:sz w:val="21"/>
                <w:szCs w:val="21"/>
                <w:highlight w:val="none"/>
                <w:lang w:val="en-US" w:eastAsia="zh-CN"/>
              </w:rPr>
              <w:t>3.14.3</w:t>
            </w:r>
          </w:p>
        </w:tc>
        <w:tc>
          <w:tcPr>
            <w:tcW w:w="8108" w:type="dxa"/>
            <w:tcBorders>
              <w:top w:val="single" w:color="auto" w:sz="4" w:space="0"/>
              <w:left w:val="single" w:color="auto" w:sz="4" w:space="0"/>
              <w:bottom w:val="single" w:color="auto" w:sz="4" w:space="0"/>
              <w:right w:val="single" w:color="auto" w:sz="4" w:space="0"/>
            </w:tcBorders>
            <w:noWrap/>
            <w:vAlign w:val="center"/>
          </w:tcPr>
          <w:p w14:paraId="204D0777">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ascii="宋体" w:hAnsi="宋体" w:eastAsia="宋体" w:cs="宋体"/>
                <w:color w:val="auto"/>
                <w:kern w:val="2"/>
                <w:sz w:val="21"/>
                <w:szCs w:val="21"/>
                <w:highlight w:val="none"/>
                <w:lang w:val="en-US" w:eastAsia="zh-CN"/>
              </w:rPr>
            </w:pPr>
            <w:r>
              <w:rPr>
                <w:rFonts w:hint="eastAsia" w:ascii="宋体" w:hAnsi="宋体" w:eastAsia="宋体" w:cs="宋体"/>
                <w:color w:val="auto"/>
                <w:kern w:val="2"/>
                <w:sz w:val="21"/>
                <w:szCs w:val="21"/>
                <w:highlight w:val="none"/>
                <w:lang w:val="en-US" w:eastAsia="zh-CN"/>
              </w:rPr>
              <w:t>湿化瓶：即插即用湿化瓶。</w:t>
            </w:r>
          </w:p>
        </w:tc>
      </w:tr>
      <w:tr w14:paraId="7554CC6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6" w:hRule="atLeast"/>
          <w:jc w:val="center"/>
        </w:trPr>
        <w:tc>
          <w:tcPr>
            <w:tcW w:w="1084" w:type="dxa"/>
            <w:tcBorders>
              <w:top w:val="single" w:color="auto" w:sz="4" w:space="0"/>
              <w:left w:val="single" w:color="auto" w:sz="4" w:space="0"/>
              <w:bottom w:val="single" w:color="auto" w:sz="4" w:space="0"/>
              <w:right w:val="single" w:color="auto" w:sz="4" w:space="0"/>
            </w:tcBorders>
            <w:noWrap/>
            <w:vAlign w:val="center"/>
          </w:tcPr>
          <w:p w14:paraId="3E6A4819">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default" w:ascii="宋体" w:hAnsi="宋体" w:eastAsia="宋体" w:cs="宋体"/>
                <w:color w:val="auto"/>
                <w:kern w:val="2"/>
                <w:sz w:val="21"/>
                <w:szCs w:val="21"/>
                <w:highlight w:val="none"/>
                <w:lang w:val="en-US" w:eastAsia="zh-CN"/>
              </w:rPr>
            </w:pPr>
            <w:r>
              <w:rPr>
                <w:rFonts w:hint="eastAsia" w:ascii="宋体" w:hAnsi="宋体" w:eastAsia="宋体" w:cs="宋体"/>
                <w:color w:val="auto"/>
                <w:kern w:val="2"/>
                <w:sz w:val="21"/>
                <w:szCs w:val="21"/>
                <w:highlight w:val="none"/>
                <w:lang w:val="en-US" w:eastAsia="zh-CN"/>
              </w:rPr>
              <w:t>3.15</w:t>
            </w:r>
          </w:p>
        </w:tc>
        <w:tc>
          <w:tcPr>
            <w:tcW w:w="8108" w:type="dxa"/>
            <w:tcBorders>
              <w:top w:val="single" w:color="auto" w:sz="4" w:space="0"/>
              <w:left w:val="single" w:color="auto" w:sz="4" w:space="0"/>
              <w:bottom w:val="single" w:color="auto" w:sz="4" w:space="0"/>
              <w:right w:val="single" w:color="auto" w:sz="4" w:space="0"/>
            </w:tcBorders>
            <w:noWrap/>
            <w:vAlign w:val="center"/>
          </w:tcPr>
          <w:p w14:paraId="682BDBD7">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ascii="宋体" w:hAnsi="宋体" w:eastAsia="宋体" w:cs="宋体"/>
                <w:color w:val="auto"/>
                <w:kern w:val="2"/>
                <w:sz w:val="21"/>
                <w:szCs w:val="21"/>
                <w:highlight w:val="none"/>
                <w:lang w:val="en-US" w:eastAsia="zh-CN"/>
              </w:rPr>
            </w:pPr>
            <w:r>
              <w:rPr>
                <w:rFonts w:hint="eastAsia" w:ascii="宋体" w:hAnsi="宋体" w:eastAsia="宋体" w:cs="宋体"/>
                <w:color w:val="auto"/>
                <w:kern w:val="2"/>
                <w:sz w:val="21"/>
                <w:szCs w:val="21"/>
                <w:highlight w:val="none"/>
                <w:lang w:val="en-US" w:eastAsia="zh-CN"/>
              </w:rPr>
              <w:t>杀菌消毒系统：适用于救护车封闭空间内的空气持续循环消毒。对车内封闭空间定流消杀防护，适用体积≥30m³。</w:t>
            </w:r>
          </w:p>
          <w:p w14:paraId="697F32E2">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ascii="宋体" w:hAnsi="宋体" w:eastAsia="宋体" w:cs="宋体"/>
                <w:color w:val="auto"/>
                <w:kern w:val="2"/>
                <w:sz w:val="21"/>
                <w:szCs w:val="21"/>
                <w:highlight w:val="none"/>
                <w:lang w:val="en-US" w:eastAsia="zh-CN"/>
              </w:rPr>
            </w:pPr>
            <w:r>
              <w:rPr>
                <w:rFonts w:hint="eastAsia" w:ascii="宋体" w:hAnsi="宋体" w:eastAsia="宋体" w:cs="宋体"/>
                <w:color w:val="auto"/>
                <w:kern w:val="2"/>
                <w:sz w:val="21"/>
                <w:szCs w:val="21"/>
                <w:highlight w:val="none"/>
                <w:lang w:val="en-US" w:eastAsia="zh-CN"/>
              </w:rPr>
              <w:t>★细菌杀灭率≥99.93%，对空气自然菌的消亡率≥90.50%</w:t>
            </w:r>
            <w:r>
              <w:rPr>
                <w:rFonts w:hint="eastAsia" w:ascii="宋体" w:hAnsi="宋体" w:cs="宋体"/>
                <w:color w:val="auto"/>
                <w:kern w:val="2"/>
                <w:sz w:val="21"/>
                <w:szCs w:val="21"/>
                <w:highlight w:val="none"/>
                <w:lang w:val="en-US" w:eastAsia="zh-CN"/>
              </w:rPr>
              <w:t>；</w:t>
            </w:r>
            <w:r>
              <w:rPr>
                <w:rFonts w:hint="eastAsia" w:ascii="宋体" w:hAnsi="宋体" w:eastAsia="宋体" w:cs="宋体"/>
                <w:color w:val="auto"/>
                <w:kern w:val="2"/>
                <w:sz w:val="21"/>
                <w:szCs w:val="21"/>
                <w:highlight w:val="none"/>
                <w:lang w:val="en-US" w:eastAsia="zh-CN"/>
              </w:rPr>
              <w:t>臭氧浓度＜0.003mg/m³，紫外线泄漏量＜0.1uW/c㎡</w:t>
            </w:r>
            <w:r>
              <w:rPr>
                <w:rFonts w:hint="eastAsia" w:ascii="宋体" w:hAnsi="宋体" w:cs="宋体"/>
                <w:color w:val="auto"/>
                <w:kern w:val="2"/>
                <w:sz w:val="21"/>
                <w:szCs w:val="21"/>
                <w:highlight w:val="none"/>
                <w:lang w:val="en-US" w:eastAsia="zh-CN"/>
              </w:rPr>
              <w:t>，</w:t>
            </w:r>
            <w:r>
              <w:rPr>
                <w:rFonts w:hint="eastAsia" w:ascii="宋体" w:hAnsi="宋体" w:eastAsia="宋体" w:cs="宋体"/>
                <w:color w:val="auto"/>
                <w:kern w:val="2"/>
                <w:sz w:val="21"/>
                <w:szCs w:val="21"/>
                <w:highlight w:val="none"/>
                <w:lang w:val="en-US" w:eastAsia="zh-CN"/>
              </w:rPr>
              <w:t>设计循环风量＞240m³/h，可以循环调节风量大小。</w:t>
            </w:r>
          </w:p>
        </w:tc>
      </w:tr>
      <w:tr w14:paraId="3BD1CE6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6" w:hRule="atLeast"/>
          <w:jc w:val="center"/>
        </w:trPr>
        <w:tc>
          <w:tcPr>
            <w:tcW w:w="1084" w:type="dxa"/>
            <w:tcBorders>
              <w:top w:val="single" w:color="auto" w:sz="4" w:space="0"/>
              <w:left w:val="single" w:color="auto" w:sz="4" w:space="0"/>
              <w:bottom w:val="single" w:color="auto" w:sz="4" w:space="0"/>
              <w:right w:val="single" w:color="auto" w:sz="4" w:space="0"/>
            </w:tcBorders>
            <w:noWrap/>
            <w:vAlign w:val="center"/>
          </w:tcPr>
          <w:p w14:paraId="1556A096">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default" w:ascii="宋体" w:hAnsi="宋体" w:eastAsia="宋体" w:cs="宋体"/>
                <w:color w:val="auto"/>
                <w:kern w:val="2"/>
                <w:sz w:val="21"/>
                <w:szCs w:val="21"/>
                <w:highlight w:val="none"/>
                <w:lang w:val="en-US" w:eastAsia="zh-CN"/>
              </w:rPr>
            </w:pPr>
            <w:r>
              <w:rPr>
                <w:rFonts w:hint="eastAsia" w:ascii="宋体" w:hAnsi="宋体" w:eastAsia="宋体" w:cs="宋体"/>
                <w:color w:val="auto"/>
                <w:kern w:val="2"/>
                <w:sz w:val="21"/>
                <w:szCs w:val="21"/>
                <w:highlight w:val="none"/>
                <w:lang w:val="en-US" w:eastAsia="zh-CN"/>
              </w:rPr>
              <w:t>3.16</w:t>
            </w:r>
          </w:p>
        </w:tc>
        <w:tc>
          <w:tcPr>
            <w:tcW w:w="8108" w:type="dxa"/>
            <w:tcBorders>
              <w:top w:val="single" w:color="auto" w:sz="4" w:space="0"/>
              <w:left w:val="single" w:color="auto" w:sz="4" w:space="0"/>
              <w:bottom w:val="single" w:color="auto" w:sz="4" w:space="0"/>
              <w:right w:val="single" w:color="auto" w:sz="4" w:space="0"/>
            </w:tcBorders>
            <w:noWrap/>
            <w:vAlign w:val="center"/>
          </w:tcPr>
          <w:p w14:paraId="3D924481">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ascii="宋体" w:hAnsi="宋体" w:eastAsia="宋体" w:cs="宋体"/>
                <w:color w:val="auto"/>
                <w:kern w:val="2"/>
                <w:sz w:val="21"/>
                <w:szCs w:val="21"/>
                <w:highlight w:val="none"/>
                <w:lang w:val="en-US" w:eastAsia="zh-CN"/>
              </w:rPr>
            </w:pPr>
            <w:r>
              <w:rPr>
                <w:rFonts w:hint="eastAsia" w:ascii="宋体" w:hAnsi="宋体" w:eastAsia="宋体" w:cs="宋体"/>
                <w:color w:val="auto"/>
                <w:kern w:val="2"/>
                <w:sz w:val="21"/>
                <w:szCs w:val="21"/>
                <w:highlight w:val="none"/>
                <w:lang w:val="en-US" w:eastAsia="zh-CN"/>
              </w:rPr>
              <w:t>照明系统</w:t>
            </w:r>
          </w:p>
        </w:tc>
      </w:tr>
      <w:tr w14:paraId="23145A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6" w:hRule="atLeast"/>
          <w:jc w:val="center"/>
        </w:trPr>
        <w:tc>
          <w:tcPr>
            <w:tcW w:w="1084" w:type="dxa"/>
            <w:tcBorders>
              <w:top w:val="single" w:color="auto" w:sz="4" w:space="0"/>
              <w:left w:val="single" w:color="auto" w:sz="4" w:space="0"/>
              <w:bottom w:val="single" w:color="auto" w:sz="4" w:space="0"/>
              <w:right w:val="single" w:color="auto" w:sz="4" w:space="0"/>
            </w:tcBorders>
            <w:noWrap/>
            <w:vAlign w:val="center"/>
          </w:tcPr>
          <w:p w14:paraId="577833F8">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eastAsia" w:ascii="宋体" w:hAnsi="宋体" w:eastAsia="宋体" w:cs="宋体"/>
                <w:color w:val="auto"/>
                <w:kern w:val="2"/>
                <w:sz w:val="21"/>
                <w:szCs w:val="21"/>
                <w:highlight w:val="none"/>
                <w:lang w:val="en-US" w:eastAsia="zh-CN"/>
              </w:rPr>
            </w:pPr>
            <w:r>
              <w:rPr>
                <w:rFonts w:hint="eastAsia" w:ascii="宋体" w:hAnsi="宋体" w:eastAsia="宋体" w:cs="宋体"/>
                <w:color w:val="auto"/>
                <w:kern w:val="2"/>
                <w:sz w:val="21"/>
                <w:szCs w:val="21"/>
                <w:highlight w:val="none"/>
                <w:lang w:val="en-US" w:eastAsia="zh-CN"/>
              </w:rPr>
              <w:t>3.16.1</w:t>
            </w:r>
          </w:p>
        </w:tc>
        <w:tc>
          <w:tcPr>
            <w:tcW w:w="8108" w:type="dxa"/>
            <w:tcBorders>
              <w:top w:val="single" w:color="auto" w:sz="4" w:space="0"/>
              <w:left w:val="single" w:color="auto" w:sz="4" w:space="0"/>
              <w:bottom w:val="single" w:color="auto" w:sz="4" w:space="0"/>
              <w:right w:val="single" w:color="auto" w:sz="4" w:space="0"/>
            </w:tcBorders>
            <w:noWrap/>
            <w:vAlign w:val="center"/>
          </w:tcPr>
          <w:p w14:paraId="0C5FF190">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ascii="宋体" w:hAnsi="宋体" w:eastAsia="宋体" w:cs="宋体"/>
                <w:color w:val="auto"/>
                <w:kern w:val="2"/>
                <w:sz w:val="21"/>
                <w:szCs w:val="21"/>
                <w:highlight w:val="none"/>
                <w:lang w:val="en-US" w:eastAsia="zh-CN"/>
              </w:rPr>
            </w:pPr>
            <w:r>
              <w:rPr>
                <w:rFonts w:hint="eastAsia" w:ascii="宋体" w:hAnsi="宋体" w:eastAsia="宋体" w:cs="宋体"/>
                <w:color w:val="auto"/>
                <w:kern w:val="2"/>
                <w:sz w:val="21"/>
                <w:szCs w:val="21"/>
                <w:highlight w:val="none"/>
                <w:lang w:val="en-US" w:eastAsia="zh-CN"/>
              </w:rPr>
              <w:t>工作灯：应配有LED平板光带，光线均匀、柔和，考虑病人直视的舒适性。在病人区域最高照度为不小于300lx，也可根据实际情况调节亮度。</w:t>
            </w:r>
          </w:p>
        </w:tc>
      </w:tr>
      <w:tr w14:paraId="43B8B54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6" w:hRule="atLeast"/>
          <w:jc w:val="center"/>
        </w:trPr>
        <w:tc>
          <w:tcPr>
            <w:tcW w:w="1084" w:type="dxa"/>
            <w:tcBorders>
              <w:top w:val="single" w:color="auto" w:sz="4" w:space="0"/>
              <w:left w:val="single" w:color="auto" w:sz="4" w:space="0"/>
              <w:bottom w:val="single" w:color="auto" w:sz="4" w:space="0"/>
              <w:right w:val="single" w:color="auto" w:sz="4" w:space="0"/>
            </w:tcBorders>
            <w:noWrap/>
            <w:vAlign w:val="center"/>
          </w:tcPr>
          <w:p w14:paraId="079436A9">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eastAsia" w:ascii="宋体" w:hAnsi="宋体" w:eastAsia="宋体" w:cs="宋体"/>
                <w:color w:val="auto"/>
                <w:kern w:val="2"/>
                <w:sz w:val="21"/>
                <w:szCs w:val="21"/>
                <w:highlight w:val="none"/>
                <w:lang w:val="en-US" w:eastAsia="zh-CN"/>
              </w:rPr>
            </w:pPr>
            <w:r>
              <w:rPr>
                <w:rFonts w:hint="eastAsia" w:ascii="宋体" w:hAnsi="宋体" w:eastAsia="宋体" w:cs="宋体"/>
                <w:color w:val="auto"/>
                <w:kern w:val="2"/>
                <w:sz w:val="21"/>
                <w:szCs w:val="21"/>
                <w:highlight w:val="none"/>
                <w:lang w:val="en-US" w:eastAsia="zh-CN"/>
              </w:rPr>
              <w:t>3.16.2</w:t>
            </w:r>
          </w:p>
        </w:tc>
        <w:tc>
          <w:tcPr>
            <w:tcW w:w="8108" w:type="dxa"/>
            <w:tcBorders>
              <w:top w:val="single" w:color="auto" w:sz="4" w:space="0"/>
              <w:left w:val="single" w:color="auto" w:sz="4" w:space="0"/>
              <w:bottom w:val="single" w:color="auto" w:sz="4" w:space="0"/>
              <w:right w:val="single" w:color="auto" w:sz="4" w:space="0"/>
            </w:tcBorders>
            <w:noWrap/>
            <w:vAlign w:val="center"/>
          </w:tcPr>
          <w:p w14:paraId="0C2EAA81">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ascii="宋体" w:hAnsi="宋体" w:eastAsia="宋体" w:cs="宋体"/>
                <w:color w:val="auto"/>
                <w:kern w:val="2"/>
                <w:sz w:val="21"/>
                <w:szCs w:val="21"/>
                <w:highlight w:val="none"/>
                <w:lang w:val="en-US" w:eastAsia="zh-CN"/>
              </w:rPr>
            </w:pPr>
            <w:r>
              <w:rPr>
                <w:rFonts w:hint="eastAsia" w:ascii="宋体" w:hAnsi="宋体" w:eastAsia="宋体" w:cs="宋体"/>
                <w:color w:val="auto"/>
                <w:kern w:val="2"/>
                <w:sz w:val="21"/>
                <w:szCs w:val="21"/>
                <w:highlight w:val="none"/>
                <w:lang w:val="en-US" w:eastAsia="zh-CN"/>
              </w:rPr>
              <w:t>专用射灯：应配有专用射灯2组，LED冷光源，聚光型，高亮度，可调节照射角度，可在实施急救时辅助照明使用。</w:t>
            </w:r>
          </w:p>
        </w:tc>
      </w:tr>
      <w:tr w14:paraId="1157084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6" w:hRule="atLeast"/>
          <w:jc w:val="center"/>
        </w:trPr>
        <w:tc>
          <w:tcPr>
            <w:tcW w:w="1084" w:type="dxa"/>
            <w:tcBorders>
              <w:top w:val="single" w:color="auto" w:sz="4" w:space="0"/>
              <w:left w:val="single" w:color="auto" w:sz="4" w:space="0"/>
              <w:bottom w:val="single" w:color="auto" w:sz="4" w:space="0"/>
              <w:right w:val="single" w:color="auto" w:sz="4" w:space="0"/>
            </w:tcBorders>
            <w:noWrap/>
            <w:vAlign w:val="center"/>
          </w:tcPr>
          <w:p w14:paraId="490A2BD8">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default" w:ascii="宋体" w:hAnsi="宋体" w:eastAsia="宋体" w:cs="宋体"/>
                <w:color w:val="auto"/>
                <w:kern w:val="2"/>
                <w:sz w:val="21"/>
                <w:szCs w:val="21"/>
                <w:highlight w:val="none"/>
                <w:lang w:val="en-US" w:eastAsia="zh-CN"/>
              </w:rPr>
            </w:pPr>
            <w:r>
              <w:rPr>
                <w:rFonts w:hint="eastAsia" w:ascii="宋体" w:hAnsi="宋体" w:eastAsia="宋体" w:cs="宋体"/>
                <w:color w:val="auto"/>
                <w:kern w:val="2"/>
                <w:sz w:val="21"/>
                <w:szCs w:val="21"/>
                <w:highlight w:val="none"/>
                <w:lang w:val="en-US" w:eastAsia="zh-CN"/>
              </w:rPr>
              <w:t>3.16.3</w:t>
            </w:r>
          </w:p>
        </w:tc>
        <w:tc>
          <w:tcPr>
            <w:tcW w:w="8108" w:type="dxa"/>
            <w:tcBorders>
              <w:top w:val="single" w:color="auto" w:sz="4" w:space="0"/>
              <w:left w:val="single" w:color="auto" w:sz="4" w:space="0"/>
              <w:bottom w:val="single" w:color="auto" w:sz="4" w:space="0"/>
              <w:right w:val="single" w:color="auto" w:sz="4" w:space="0"/>
            </w:tcBorders>
            <w:noWrap/>
            <w:vAlign w:val="center"/>
          </w:tcPr>
          <w:p w14:paraId="79C90EE6">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ascii="宋体" w:hAnsi="宋体" w:eastAsia="宋体" w:cs="宋体"/>
                <w:color w:val="auto"/>
                <w:kern w:val="2"/>
                <w:sz w:val="21"/>
                <w:szCs w:val="21"/>
                <w:highlight w:val="none"/>
                <w:lang w:val="en-US" w:eastAsia="zh-CN"/>
              </w:rPr>
            </w:pPr>
            <w:r>
              <w:rPr>
                <w:rFonts w:hint="eastAsia" w:ascii="宋体" w:hAnsi="宋体" w:eastAsia="宋体" w:cs="宋体"/>
                <w:color w:val="auto"/>
                <w:kern w:val="2"/>
                <w:sz w:val="21"/>
                <w:szCs w:val="21"/>
                <w:highlight w:val="none"/>
                <w:lang w:val="en-US" w:eastAsia="zh-CN"/>
              </w:rPr>
              <w:t>后照灯：应采用大功率LED后射灯，有效距离不小于10米。</w:t>
            </w:r>
          </w:p>
        </w:tc>
      </w:tr>
      <w:tr w14:paraId="59814C2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6" w:hRule="atLeast"/>
          <w:jc w:val="center"/>
        </w:trPr>
        <w:tc>
          <w:tcPr>
            <w:tcW w:w="1084" w:type="dxa"/>
            <w:tcBorders>
              <w:top w:val="single" w:color="auto" w:sz="4" w:space="0"/>
              <w:left w:val="single" w:color="auto" w:sz="4" w:space="0"/>
              <w:bottom w:val="single" w:color="auto" w:sz="4" w:space="0"/>
              <w:right w:val="single" w:color="auto" w:sz="4" w:space="0"/>
            </w:tcBorders>
            <w:noWrap/>
            <w:vAlign w:val="center"/>
          </w:tcPr>
          <w:p w14:paraId="7425552C">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default" w:ascii="宋体" w:hAnsi="宋体" w:eastAsia="宋体" w:cs="宋体"/>
                <w:color w:val="auto"/>
                <w:kern w:val="2"/>
                <w:sz w:val="21"/>
                <w:szCs w:val="21"/>
                <w:highlight w:val="none"/>
                <w:lang w:val="en-US" w:eastAsia="zh-CN"/>
              </w:rPr>
            </w:pPr>
            <w:r>
              <w:rPr>
                <w:rFonts w:hint="eastAsia" w:ascii="宋体" w:hAnsi="宋体" w:eastAsia="宋体" w:cs="宋体"/>
                <w:color w:val="auto"/>
                <w:kern w:val="2"/>
                <w:sz w:val="21"/>
                <w:szCs w:val="21"/>
                <w:highlight w:val="none"/>
                <w:lang w:val="en-US" w:eastAsia="zh-CN"/>
              </w:rPr>
              <w:t>3.16.4</w:t>
            </w:r>
          </w:p>
        </w:tc>
        <w:tc>
          <w:tcPr>
            <w:tcW w:w="8108" w:type="dxa"/>
            <w:tcBorders>
              <w:top w:val="single" w:color="auto" w:sz="4" w:space="0"/>
              <w:left w:val="single" w:color="auto" w:sz="4" w:space="0"/>
              <w:bottom w:val="single" w:color="auto" w:sz="4" w:space="0"/>
              <w:right w:val="single" w:color="auto" w:sz="4" w:space="0"/>
            </w:tcBorders>
            <w:noWrap/>
            <w:vAlign w:val="center"/>
          </w:tcPr>
          <w:p w14:paraId="3DC77378">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ascii="宋体" w:hAnsi="宋体" w:eastAsia="宋体" w:cs="宋体"/>
                <w:color w:val="auto"/>
                <w:kern w:val="2"/>
                <w:sz w:val="21"/>
                <w:szCs w:val="21"/>
                <w:highlight w:val="none"/>
                <w:lang w:val="en-US" w:eastAsia="zh-CN"/>
              </w:rPr>
            </w:pPr>
            <w:r>
              <w:rPr>
                <w:rFonts w:hint="eastAsia" w:ascii="宋体" w:hAnsi="宋体" w:eastAsia="宋体" w:cs="宋体"/>
                <w:color w:val="auto"/>
                <w:kern w:val="2"/>
                <w:sz w:val="21"/>
                <w:szCs w:val="21"/>
                <w:highlight w:val="none"/>
                <w:lang w:val="en-US" w:eastAsia="zh-CN"/>
              </w:rPr>
              <w:t>夜间外部照明系统：应配备夜间外部照明系统，便于夜间急救工作的开展。</w:t>
            </w:r>
          </w:p>
        </w:tc>
      </w:tr>
      <w:tr w14:paraId="124AD7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jc w:val="center"/>
        </w:trPr>
        <w:tc>
          <w:tcPr>
            <w:tcW w:w="1084" w:type="dxa"/>
            <w:tcBorders>
              <w:top w:val="single" w:color="auto" w:sz="4" w:space="0"/>
              <w:left w:val="single" w:color="auto" w:sz="4" w:space="0"/>
              <w:bottom w:val="single" w:color="auto" w:sz="4" w:space="0"/>
              <w:right w:val="single" w:color="auto" w:sz="4" w:space="0"/>
            </w:tcBorders>
            <w:noWrap/>
            <w:vAlign w:val="center"/>
          </w:tcPr>
          <w:p w14:paraId="1305DC82">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default" w:ascii="宋体" w:hAnsi="宋体" w:eastAsia="宋体" w:cs="宋体"/>
                <w:color w:val="auto"/>
                <w:kern w:val="2"/>
                <w:sz w:val="21"/>
                <w:szCs w:val="21"/>
                <w:highlight w:val="none"/>
                <w:lang w:val="en-US" w:eastAsia="zh-CN"/>
              </w:rPr>
            </w:pPr>
            <w:r>
              <w:rPr>
                <w:rFonts w:hint="eastAsia" w:ascii="宋体" w:hAnsi="宋体" w:eastAsia="宋体" w:cs="宋体"/>
                <w:color w:val="auto"/>
                <w:kern w:val="2"/>
                <w:sz w:val="21"/>
                <w:szCs w:val="21"/>
                <w:highlight w:val="none"/>
                <w:lang w:val="en-US" w:eastAsia="zh-CN"/>
              </w:rPr>
              <w:t>3.17</w:t>
            </w:r>
          </w:p>
        </w:tc>
        <w:tc>
          <w:tcPr>
            <w:tcW w:w="8108" w:type="dxa"/>
            <w:tcBorders>
              <w:top w:val="single" w:color="auto" w:sz="4" w:space="0"/>
              <w:left w:val="single" w:color="auto" w:sz="4" w:space="0"/>
              <w:bottom w:val="single" w:color="auto" w:sz="4" w:space="0"/>
              <w:right w:val="single" w:color="auto" w:sz="4" w:space="0"/>
            </w:tcBorders>
            <w:noWrap/>
            <w:vAlign w:val="center"/>
          </w:tcPr>
          <w:p w14:paraId="1DB7C816">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ascii="宋体" w:hAnsi="宋体" w:eastAsia="宋体" w:cs="宋体"/>
                <w:color w:val="auto"/>
                <w:kern w:val="2"/>
                <w:sz w:val="21"/>
                <w:szCs w:val="21"/>
                <w:highlight w:val="none"/>
                <w:lang w:val="en-US" w:eastAsia="zh-CN"/>
              </w:rPr>
            </w:pPr>
            <w:r>
              <w:rPr>
                <w:rFonts w:hint="eastAsia" w:ascii="宋体" w:hAnsi="宋体" w:eastAsia="宋体" w:cs="宋体"/>
                <w:color w:val="auto"/>
                <w:kern w:val="2"/>
                <w:sz w:val="21"/>
                <w:szCs w:val="21"/>
                <w:highlight w:val="none"/>
                <w:lang w:val="en-US" w:eastAsia="zh-CN"/>
              </w:rPr>
              <w:t>输液固定器：在担架车上方应装有输液架以及输液泵固定支架。</w:t>
            </w:r>
          </w:p>
        </w:tc>
      </w:tr>
      <w:tr w14:paraId="512297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6" w:hRule="atLeast"/>
          <w:jc w:val="center"/>
        </w:trPr>
        <w:tc>
          <w:tcPr>
            <w:tcW w:w="1084" w:type="dxa"/>
            <w:tcBorders>
              <w:top w:val="single" w:color="auto" w:sz="4" w:space="0"/>
              <w:left w:val="single" w:color="auto" w:sz="4" w:space="0"/>
              <w:bottom w:val="single" w:color="auto" w:sz="4" w:space="0"/>
              <w:right w:val="single" w:color="auto" w:sz="4" w:space="0"/>
            </w:tcBorders>
            <w:noWrap/>
            <w:vAlign w:val="center"/>
          </w:tcPr>
          <w:p w14:paraId="061C3B89">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eastAsia" w:ascii="宋体" w:hAnsi="宋体" w:eastAsia="宋体" w:cs="宋体"/>
                <w:color w:val="auto"/>
                <w:kern w:val="2"/>
                <w:sz w:val="21"/>
                <w:szCs w:val="21"/>
                <w:highlight w:val="none"/>
                <w:lang w:val="en-US" w:eastAsia="zh-CN"/>
              </w:rPr>
            </w:pPr>
            <w:r>
              <w:rPr>
                <w:rFonts w:hint="eastAsia" w:ascii="宋体" w:hAnsi="宋体" w:eastAsia="宋体" w:cs="宋体"/>
                <w:color w:val="auto"/>
                <w:kern w:val="2"/>
                <w:sz w:val="21"/>
                <w:szCs w:val="21"/>
                <w:highlight w:val="none"/>
                <w:lang w:val="en-US" w:eastAsia="zh-CN"/>
              </w:rPr>
              <w:t>3.18</w:t>
            </w:r>
          </w:p>
        </w:tc>
        <w:tc>
          <w:tcPr>
            <w:tcW w:w="8108" w:type="dxa"/>
            <w:tcBorders>
              <w:top w:val="single" w:color="auto" w:sz="4" w:space="0"/>
              <w:left w:val="single" w:color="auto" w:sz="4" w:space="0"/>
              <w:bottom w:val="single" w:color="auto" w:sz="4" w:space="0"/>
              <w:right w:val="single" w:color="auto" w:sz="4" w:space="0"/>
            </w:tcBorders>
            <w:noWrap/>
            <w:vAlign w:val="center"/>
          </w:tcPr>
          <w:p w14:paraId="298FEB17">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ascii="宋体" w:hAnsi="宋体" w:eastAsia="宋体" w:cs="宋体"/>
                <w:color w:val="auto"/>
                <w:kern w:val="2"/>
                <w:sz w:val="21"/>
                <w:szCs w:val="21"/>
                <w:highlight w:val="none"/>
                <w:lang w:val="en-US" w:eastAsia="zh-CN"/>
              </w:rPr>
            </w:pPr>
            <w:r>
              <w:rPr>
                <w:rFonts w:hint="eastAsia" w:ascii="宋体" w:hAnsi="宋体" w:eastAsia="宋体" w:cs="宋体"/>
                <w:color w:val="auto"/>
                <w:kern w:val="2"/>
                <w:sz w:val="21"/>
                <w:szCs w:val="21"/>
                <w:highlight w:val="none"/>
                <w:lang w:val="en-US" w:eastAsia="zh-CN"/>
              </w:rPr>
              <w:t>通讯系统：在驾驶室和医疗舱相应的位置预留通讯系统的电源接线柱和安装监控设备及GPS天线的空线孔。</w:t>
            </w:r>
          </w:p>
        </w:tc>
      </w:tr>
      <w:tr w14:paraId="2BC0E89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6" w:hRule="atLeast"/>
          <w:jc w:val="center"/>
        </w:trPr>
        <w:tc>
          <w:tcPr>
            <w:tcW w:w="9192" w:type="dxa"/>
            <w:gridSpan w:val="2"/>
            <w:tcBorders>
              <w:top w:val="single" w:color="auto" w:sz="4" w:space="0"/>
              <w:left w:val="single" w:color="auto" w:sz="4" w:space="0"/>
              <w:bottom w:val="single" w:color="auto" w:sz="4" w:space="0"/>
              <w:right w:val="single" w:color="auto" w:sz="4" w:space="0"/>
            </w:tcBorders>
            <w:noWrap/>
            <w:vAlign w:val="center"/>
          </w:tcPr>
          <w:p w14:paraId="41B8AB38">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eastAsia" w:ascii="宋体" w:hAnsi="宋体" w:eastAsia="宋体" w:cs="宋体"/>
                <w:color w:val="auto"/>
                <w:kern w:val="2"/>
                <w:sz w:val="21"/>
                <w:szCs w:val="21"/>
                <w:highlight w:val="none"/>
                <w:lang w:val="en-US" w:eastAsia="zh-CN"/>
              </w:rPr>
            </w:pPr>
            <w:r>
              <w:rPr>
                <w:rFonts w:hint="eastAsia" w:ascii="宋体" w:hAnsi="宋体" w:eastAsia="宋体" w:cs="宋体"/>
                <w:b/>
                <w:bCs/>
                <w:color w:val="auto"/>
                <w:kern w:val="2"/>
                <w:sz w:val="21"/>
                <w:szCs w:val="21"/>
                <w:highlight w:val="none"/>
                <w:lang w:val="en-US" w:eastAsia="zh-CN"/>
              </w:rPr>
              <w:t>四、呼吸机</w:t>
            </w:r>
          </w:p>
        </w:tc>
      </w:tr>
      <w:tr w14:paraId="41FD41D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6" w:hRule="atLeast"/>
          <w:jc w:val="center"/>
        </w:trPr>
        <w:tc>
          <w:tcPr>
            <w:tcW w:w="1084" w:type="dxa"/>
            <w:tcBorders>
              <w:top w:val="single" w:color="auto" w:sz="4" w:space="0"/>
              <w:left w:val="single" w:color="auto" w:sz="4" w:space="0"/>
              <w:bottom w:val="single" w:color="auto" w:sz="4" w:space="0"/>
              <w:right w:val="single" w:color="auto" w:sz="4" w:space="0"/>
            </w:tcBorders>
            <w:noWrap/>
            <w:vAlign w:val="center"/>
          </w:tcPr>
          <w:p w14:paraId="272D79EF">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ascii="宋体" w:hAnsi="宋体" w:eastAsia="宋体" w:cs="宋体"/>
                <w:color w:val="auto"/>
                <w:kern w:val="2"/>
                <w:sz w:val="21"/>
                <w:szCs w:val="21"/>
                <w:highlight w:val="none"/>
                <w:lang w:val="en-US" w:eastAsia="zh-CN"/>
              </w:rPr>
            </w:pPr>
          </w:p>
        </w:tc>
        <w:tc>
          <w:tcPr>
            <w:tcW w:w="8108" w:type="dxa"/>
            <w:tcBorders>
              <w:top w:val="single" w:color="auto" w:sz="4" w:space="0"/>
              <w:left w:val="single" w:color="auto" w:sz="4" w:space="0"/>
              <w:bottom w:val="single" w:color="auto" w:sz="4" w:space="0"/>
              <w:right w:val="single" w:color="auto" w:sz="4" w:space="0"/>
            </w:tcBorders>
            <w:noWrap/>
            <w:vAlign w:val="center"/>
          </w:tcPr>
          <w:p w14:paraId="2E271371">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ascii="宋体" w:hAnsi="宋体" w:eastAsia="宋体" w:cs="宋体"/>
                <w:color w:val="auto"/>
                <w:kern w:val="2"/>
                <w:sz w:val="21"/>
                <w:szCs w:val="21"/>
                <w:highlight w:val="none"/>
                <w:lang w:val="en-US" w:eastAsia="zh-CN"/>
              </w:rPr>
            </w:pPr>
            <w:r>
              <w:rPr>
                <w:rFonts w:hint="eastAsia" w:ascii="宋体" w:hAnsi="宋体" w:eastAsia="宋体" w:cs="宋体"/>
                <w:color w:val="auto"/>
                <w:kern w:val="2"/>
                <w:sz w:val="21"/>
                <w:szCs w:val="21"/>
                <w:highlight w:val="none"/>
                <w:lang w:val="en-US" w:eastAsia="zh-CN"/>
              </w:rPr>
              <w:t>1.功能：气动电控，用于急诊抢救</w:t>
            </w:r>
            <w:r>
              <w:rPr>
                <w:rFonts w:hint="eastAsia" w:ascii="宋体" w:hAnsi="宋体" w:cs="宋体"/>
                <w:color w:val="auto"/>
                <w:kern w:val="2"/>
                <w:sz w:val="21"/>
                <w:szCs w:val="21"/>
                <w:highlight w:val="none"/>
                <w:lang w:val="en-US" w:eastAsia="zh-CN"/>
              </w:rPr>
              <w:t>，</w:t>
            </w:r>
            <w:r>
              <w:rPr>
                <w:rFonts w:hint="eastAsia" w:ascii="宋体" w:hAnsi="宋体" w:eastAsia="宋体" w:cs="宋体"/>
                <w:color w:val="auto"/>
                <w:kern w:val="2"/>
                <w:sz w:val="21"/>
                <w:szCs w:val="21"/>
                <w:highlight w:val="none"/>
                <w:lang w:val="en-US" w:eastAsia="zh-CN"/>
              </w:rPr>
              <w:t>野外急救及长途转运；</w:t>
            </w:r>
          </w:p>
          <w:p w14:paraId="31D04B45">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ascii="宋体" w:hAnsi="宋体" w:eastAsia="宋体" w:cs="宋体"/>
                <w:color w:val="auto"/>
                <w:kern w:val="2"/>
                <w:sz w:val="21"/>
                <w:szCs w:val="21"/>
                <w:highlight w:val="none"/>
                <w:lang w:val="en-US" w:eastAsia="zh-CN"/>
              </w:rPr>
            </w:pPr>
            <w:r>
              <w:rPr>
                <w:rFonts w:hint="eastAsia" w:ascii="宋体" w:hAnsi="宋体" w:eastAsia="宋体" w:cs="宋体"/>
                <w:color w:val="auto"/>
                <w:kern w:val="2"/>
                <w:sz w:val="21"/>
                <w:szCs w:val="21"/>
                <w:highlight w:val="none"/>
                <w:lang w:val="en-US" w:eastAsia="zh-CN"/>
              </w:rPr>
              <w:t>2.显示方式： 4.5寸以上液晶显示屏幕；</w:t>
            </w:r>
          </w:p>
          <w:p w14:paraId="0551125B">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ascii="宋体" w:hAnsi="宋体" w:eastAsia="宋体" w:cs="宋体"/>
                <w:color w:val="auto"/>
                <w:kern w:val="2"/>
                <w:sz w:val="21"/>
                <w:szCs w:val="21"/>
                <w:highlight w:val="none"/>
                <w:lang w:val="en-US" w:eastAsia="zh-CN"/>
              </w:rPr>
            </w:pPr>
            <w:r>
              <w:rPr>
                <w:rFonts w:hint="eastAsia" w:ascii="宋体" w:hAnsi="宋体" w:eastAsia="宋体" w:cs="宋体"/>
                <w:color w:val="auto"/>
                <w:kern w:val="2"/>
                <w:sz w:val="21"/>
                <w:szCs w:val="21"/>
                <w:highlight w:val="none"/>
                <w:lang w:val="en-US" w:eastAsia="zh-CN"/>
              </w:rPr>
              <w:t>3.工作方式：容量控制，压力限制，时间切换；</w:t>
            </w:r>
          </w:p>
          <w:p w14:paraId="78FD1DBE">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ascii="宋体" w:hAnsi="宋体" w:eastAsia="宋体" w:cs="宋体"/>
                <w:color w:val="auto"/>
                <w:kern w:val="2"/>
                <w:sz w:val="21"/>
                <w:szCs w:val="21"/>
                <w:highlight w:val="none"/>
                <w:lang w:val="en-US" w:eastAsia="zh-CN"/>
              </w:rPr>
            </w:pPr>
            <w:r>
              <w:rPr>
                <w:rFonts w:hint="eastAsia" w:ascii="宋体" w:hAnsi="宋体" w:eastAsia="宋体" w:cs="宋体"/>
                <w:color w:val="auto"/>
                <w:kern w:val="2"/>
                <w:sz w:val="21"/>
                <w:szCs w:val="21"/>
                <w:highlight w:val="none"/>
                <w:lang w:val="en-US" w:eastAsia="zh-CN"/>
              </w:rPr>
              <w:t>4.操作方式：一键飞梭旋钮及触摸按键；</w:t>
            </w:r>
          </w:p>
          <w:p w14:paraId="3888B6F1">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ascii="宋体" w:hAnsi="宋体" w:eastAsia="宋体" w:cs="宋体"/>
                <w:color w:val="auto"/>
                <w:kern w:val="2"/>
                <w:sz w:val="21"/>
                <w:szCs w:val="21"/>
                <w:highlight w:val="none"/>
                <w:lang w:val="en-US" w:eastAsia="zh-CN"/>
              </w:rPr>
            </w:pPr>
            <w:r>
              <w:rPr>
                <w:rFonts w:hint="eastAsia" w:ascii="宋体" w:hAnsi="宋体" w:eastAsia="宋体" w:cs="宋体"/>
                <w:color w:val="auto"/>
                <w:kern w:val="2"/>
                <w:sz w:val="21"/>
                <w:szCs w:val="21"/>
                <w:highlight w:val="none"/>
                <w:lang w:val="en-US" w:eastAsia="zh-CN"/>
              </w:rPr>
              <w:t>★5.为方便携带及急救需要，主机重量要求小于3.5KG，携带包配置附件后的携带重量小于8KG；</w:t>
            </w:r>
          </w:p>
          <w:p w14:paraId="3E941561">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ascii="宋体" w:hAnsi="宋体" w:eastAsia="宋体" w:cs="宋体"/>
                <w:color w:val="auto"/>
                <w:kern w:val="2"/>
                <w:sz w:val="21"/>
                <w:szCs w:val="21"/>
                <w:highlight w:val="none"/>
                <w:lang w:val="en-US" w:eastAsia="zh-CN"/>
              </w:rPr>
            </w:pPr>
            <w:r>
              <w:rPr>
                <w:rFonts w:hint="eastAsia" w:ascii="宋体" w:hAnsi="宋体" w:eastAsia="宋体" w:cs="宋体"/>
                <w:color w:val="auto"/>
                <w:kern w:val="2"/>
                <w:sz w:val="21"/>
                <w:szCs w:val="21"/>
                <w:highlight w:val="none"/>
                <w:lang w:val="en-US" w:eastAsia="zh-CN"/>
              </w:rPr>
              <w:t>6.配备挂架，方便设备固定于救护车内；配备携带包，方便机器转运使用；</w:t>
            </w:r>
          </w:p>
          <w:p w14:paraId="6BDB24B2">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ascii="宋体" w:hAnsi="宋体" w:eastAsia="宋体" w:cs="宋体"/>
                <w:color w:val="auto"/>
                <w:kern w:val="2"/>
                <w:sz w:val="21"/>
                <w:szCs w:val="21"/>
                <w:highlight w:val="none"/>
                <w:lang w:val="en-US" w:eastAsia="zh-CN"/>
              </w:rPr>
            </w:pPr>
            <w:r>
              <w:rPr>
                <w:rFonts w:hint="eastAsia" w:ascii="宋体" w:hAnsi="宋体" w:eastAsia="宋体" w:cs="宋体"/>
                <w:color w:val="auto"/>
                <w:kern w:val="2"/>
                <w:sz w:val="21"/>
                <w:szCs w:val="21"/>
                <w:highlight w:val="none"/>
                <w:lang w:val="en-US" w:eastAsia="zh-CN"/>
              </w:rPr>
              <w:t>7.至少具备以下通气模式</w:t>
            </w:r>
            <w:r>
              <w:rPr>
                <w:rFonts w:hint="eastAsia" w:ascii="宋体" w:hAnsi="宋体" w:cs="宋体"/>
                <w:color w:val="auto"/>
                <w:kern w:val="2"/>
                <w:sz w:val="21"/>
                <w:szCs w:val="21"/>
                <w:highlight w:val="none"/>
                <w:lang w:val="en-US" w:eastAsia="zh-CN"/>
              </w:rPr>
              <w:t>：</w:t>
            </w:r>
            <w:r>
              <w:rPr>
                <w:rFonts w:hint="eastAsia" w:ascii="宋体" w:hAnsi="宋体" w:eastAsia="宋体" w:cs="宋体"/>
                <w:color w:val="auto"/>
                <w:kern w:val="2"/>
                <w:sz w:val="21"/>
                <w:szCs w:val="21"/>
                <w:highlight w:val="none"/>
                <w:lang w:val="en-US" w:eastAsia="zh-CN"/>
              </w:rPr>
              <w:t xml:space="preserve"> CMV、A/C、SIMV、CPAP、SIGH；</w:t>
            </w:r>
          </w:p>
          <w:p w14:paraId="5B4FE2F3">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ascii="宋体" w:hAnsi="宋体" w:eastAsia="宋体" w:cs="宋体"/>
                <w:color w:val="auto"/>
                <w:kern w:val="2"/>
                <w:sz w:val="21"/>
                <w:szCs w:val="21"/>
                <w:highlight w:val="none"/>
                <w:lang w:val="en-US" w:eastAsia="zh-CN"/>
              </w:rPr>
            </w:pPr>
            <w:r>
              <w:rPr>
                <w:rFonts w:hint="eastAsia" w:ascii="宋体" w:hAnsi="宋体" w:eastAsia="宋体" w:cs="宋体"/>
                <w:color w:val="auto"/>
                <w:kern w:val="2"/>
                <w:sz w:val="21"/>
                <w:szCs w:val="21"/>
                <w:highlight w:val="none"/>
                <w:lang w:val="en-US" w:eastAsia="zh-CN"/>
              </w:rPr>
              <w:t>8.潮气量</w:t>
            </w:r>
            <w:r>
              <w:rPr>
                <w:rFonts w:hint="eastAsia" w:ascii="宋体" w:hAnsi="宋体" w:cs="宋体"/>
                <w:color w:val="auto"/>
                <w:kern w:val="2"/>
                <w:sz w:val="21"/>
                <w:szCs w:val="21"/>
                <w:highlight w:val="none"/>
                <w:lang w:val="en-US" w:eastAsia="zh-CN"/>
              </w:rPr>
              <w:t>：</w:t>
            </w:r>
            <w:r>
              <w:rPr>
                <w:rFonts w:hint="eastAsia" w:ascii="宋体" w:hAnsi="宋体" w:eastAsia="宋体" w:cs="宋体"/>
                <w:color w:val="auto"/>
                <w:kern w:val="2"/>
                <w:sz w:val="21"/>
                <w:szCs w:val="21"/>
                <w:highlight w:val="none"/>
                <w:lang w:val="en-US" w:eastAsia="zh-CN"/>
              </w:rPr>
              <w:t>50</w:t>
            </w:r>
            <w:r>
              <w:rPr>
                <w:rFonts w:hint="eastAsia" w:ascii="宋体" w:hAnsi="宋体" w:cs="宋体"/>
                <w:color w:val="auto"/>
                <w:kern w:val="2"/>
                <w:sz w:val="21"/>
                <w:szCs w:val="21"/>
                <w:highlight w:val="none"/>
                <w:lang w:val="en-US" w:eastAsia="zh-CN"/>
              </w:rPr>
              <w:t>—</w:t>
            </w:r>
            <w:r>
              <w:rPr>
                <w:rFonts w:hint="eastAsia" w:ascii="宋体" w:hAnsi="宋体" w:eastAsia="宋体" w:cs="宋体"/>
                <w:color w:val="auto"/>
                <w:kern w:val="2"/>
                <w:sz w:val="21"/>
                <w:szCs w:val="21"/>
                <w:highlight w:val="none"/>
                <w:lang w:val="en-US" w:eastAsia="zh-CN"/>
              </w:rPr>
              <w:t>2000ml，采用数字方式调节，方便直观，精确度高；</w:t>
            </w:r>
          </w:p>
          <w:p w14:paraId="159F641D">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ascii="宋体" w:hAnsi="宋体" w:eastAsia="宋体" w:cs="宋体"/>
                <w:color w:val="auto"/>
                <w:kern w:val="2"/>
                <w:sz w:val="21"/>
                <w:szCs w:val="21"/>
                <w:highlight w:val="none"/>
                <w:lang w:val="en-US" w:eastAsia="zh-CN"/>
              </w:rPr>
            </w:pPr>
            <w:r>
              <w:rPr>
                <w:rFonts w:hint="eastAsia" w:ascii="宋体" w:hAnsi="宋体" w:eastAsia="宋体" w:cs="宋体"/>
                <w:color w:val="auto"/>
                <w:kern w:val="2"/>
                <w:sz w:val="21"/>
                <w:szCs w:val="21"/>
                <w:highlight w:val="none"/>
                <w:lang w:val="en-US" w:eastAsia="zh-CN"/>
              </w:rPr>
              <w:t>9.呼吸频率</w:t>
            </w:r>
            <w:r>
              <w:rPr>
                <w:rFonts w:hint="eastAsia" w:ascii="宋体" w:hAnsi="宋体" w:cs="宋体"/>
                <w:color w:val="auto"/>
                <w:kern w:val="2"/>
                <w:sz w:val="21"/>
                <w:szCs w:val="21"/>
                <w:highlight w:val="none"/>
                <w:lang w:val="en-US" w:eastAsia="zh-CN"/>
              </w:rPr>
              <w:t>：</w:t>
            </w:r>
            <w:r>
              <w:rPr>
                <w:rFonts w:hint="eastAsia" w:ascii="宋体" w:hAnsi="宋体" w:eastAsia="宋体" w:cs="宋体"/>
                <w:color w:val="auto"/>
                <w:kern w:val="2"/>
                <w:sz w:val="21"/>
                <w:szCs w:val="21"/>
                <w:highlight w:val="none"/>
                <w:lang w:val="en-US" w:eastAsia="zh-CN"/>
              </w:rPr>
              <w:t>1-100bpm，数字方式调节；</w:t>
            </w:r>
          </w:p>
          <w:p w14:paraId="50D056E0">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ascii="宋体" w:hAnsi="宋体" w:eastAsia="宋体" w:cs="宋体"/>
                <w:color w:val="auto"/>
                <w:kern w:val="2"/>
                <w:sz w:val="21"/>
                <w:szCs w:val="21"/>
                <w:highlight w:val="none"/>
                <w:lang w:val="en-US" w:eastAsia="zh-CN"/>
              </w:rPr>
            </w:pPr>
            <w:r>
              <w:rPr>
                <w:rFonts w:hint="eastAsia" w:ascii="宋体" w:hAnsi="宋体" w:eastAsia="宋体" w:cs="宋体"/>
                <w:color w:val="auto"/>
                <w:kern w:val="2"/>
                <w:sz w:val="21"/>
                <w:szCs w:val="21"/>
                <w:highlight w:val="none"/>
                <w:lang w:val="en-US" w:eastAsia="zh-CN"/>
              </w:rPr>
              <w:t>10.氧浓度</w:t>
            </w:r>
            <w:r>
              <w:rPr>
                <w:rFonts w:hint="eastAsia" w:ascii="宋体" w:hAnsi="宋体" w:cs="宋体"/>
                <w:color w:val="auto"/>
                <w:kern w:val="2"/>
                <w:sz w:val="21"/>
                <w:szCs w:val="21"/>
                <w:highlight w:val="none"/>
                <w:lang w:val="en-US" w:eastAsia="zh-CN"/>
              </w:rPr>
              <w:t>：40%—100%</w:t>
            </w:r>
            <w:r>
              <w:rPr>
                <w:rFonts w:hint="eastAsia" w:ascii="宋体" w:hAnsi="宋体" w:eastAsia="宋体" w:cs="宋体"/>
                <w:color w:val="auto"/>
                <w:kern w:val="2"/>
                <w:sz w:val="21"/>
                <w:szCs w:val="21"/>
                <w:highlight w:val="none"/>
                <w:lang w:val="en-US" w:eastAsia="zh-CN"/>
              </w:rPr>
              <w:t>，数字方式调节；</w:t>
            </w:r>
          </w:p>
          <w:p w14:paraId="79715DA5">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ascii="宋体" w:hAnsi="宋体" w:eastAsia="宋体" w:cs="宋体"/>
                <w:color w:val="auto"/>
                <w:kern w:val="2"/>
                <w:sz w:val="21"/>
                <w:szCs w:val="21"/>
                <w:highlight w:val="none"/>
                <w:lang w:val="en-US" w:eastAsia="zh-CN"/>
              </w:rPr>
            </w:pPr>
            <w:r>
              <w:rPr>
                <w:rFonts w:hint="eastAsia" w:ascii="宋体" w:hAnsi="宋体" w:eastAsia="宋体" w:cs="宋体"/>
                <w:color w:val="auto"/>
                <w:kern w:val="2"/>
                <w:sz w:val="21"/>
                <w:szCs w:val="21"/>
                <w:highlight w:val="none"/>
                <w:lang w:val="en-US" w:eastAsia="zh-CN"/>
              </w:rPr>
              <w:t>11.同步触发灵敏度</w:t>
            </w:r>
            <w:r>
              <w:rPr>
                <w:rFonts w:hint="eastAsia" w:ascii="宋体" w:hAnsi="宋体" w:cs="宋体"/>
                <w:color w:val="auto"/>
                <w:kern w:val="2"/>
                <w:sz w:val="21"/>
                <w:szCs w:val="21"/>
                <w:highlight w:val="none"/>
                <w:lang w:val="en-US" w:eastAsia="zh-CN"/>
              </w:rPr>
              <w:t>：</w:t>
            </w:r>
            <w:r>
              <w:rPr>
                <w:rFonts w:hint="eastAsia" w:ascii="宋体" w:hAnsi="宋体" w:eastAsia="宋体" w:cs="宋体"/>
                <w:color w:val="auto"/>
                <w:kern w:val="2"/>
                <w:sz w:val="21"/>
                <w:szCs w:val="21"/>
                <w:highlight w:val="none"/>
                <w:lang w:val="en-US" w:eastAsia="zh-CN"/>
              </w:rPr>
              <w:t>-19-19hpa，数字方式调节；</w:t>
            </w:r>
          </w:p>
          <w:p w14:paraId="39661A41">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ascii="宋体" w:hAnsi="宋体" w:eastAsia="宋体" w:cs="宋体"/>
                <w:color w:val="auto"/>
                <w:kern w:val="2"/>
                <w:sz w:val="21"/>
                <w:szCs w:val="21"/>
                <w:highlight w:val="none"/>
                <w:lang w:val="en-US" w:eastAsia="zh-CN"/>
              </w:rPr>
            </w:pPr>
            <w:r>
              <w:rPr>
                <w:rFonts w:hint="eastAsia" w:ascii="宋体" w:hAnsi="宋体" w:eastAsia="宋体" w:cs="宋体"/>
                <w:color w:val="auto"/>
                <w:kern w:val="2"/>
                <w:sz w:val="21"/>
                <w:szCs w:val="21"/>
                <w:highlight w:val="none"/>
                <w:lang w:val="en-US" w:eastAsia="zh-CN"/>
              </w:rPr>
              <w:t>12.峰值压力</w:t>
            </w:r>
            <w:r>
              <w:rPr>
                <w:rFonts w:hint="eastAsia" w:ascii="宋体" w:hAnsi="宋体" w:cs="宋体"/>
                <w:color w:val="auto"/>
                <w:kern w:val="2"/>
                <w:sz w:val="21"/>
                <w:szCs w:val="21"/>
                <w:highlight w:val="none"/>
                <w:lang w:val="en-US" w:eastAsia="zh-CN"/>
              </w:rPr>
              <w:t>：</w:t>
            </w:r>
            <w:r>
              <w:rPr>
                <w:rFonts w:hint="eastAsia" w:ascii="宋体" w:hAnsi="宋体" w:eastAsia="宋体" w:cs="宋体"/>
                <w:color w:val="auto"/>
                <w:kern w:val="2"/>
                <w:sz w:val="21"/>
                <w:szCs w:val="21"/>
                <w:highlight w:val="none"/>
                <w:lang w:val="en-US" w:eastAsia="zh-CN"/>
              </w:rPr>
              <w:t>0-55hPa ，数字方式调节；</w:t>
            </w:r>
          </w:p>
          <w:p w14:paraId="256328EB">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ascii="宋体" w:hAnsi="宋体" w:eastAsia="宋体" w:cs="宋体"/>
                <w:color w:val="auto"/>
                <w:kern w:val="2"/>
                <w:sz w:val="21"/>
                <w:szCs w:val="21"/>
                <w:highlight w:val="none"/>
                <w:lang w:val="en-US" w:eastAsia="zh-CN"/>
              </w:rPr>
            </w:pPr>
            <w:r>
              <w:rPr>
                <w:rFonts w:hint="eastAsia" w:ascii="宋体" w:hAnsi="宋体" w:eastAsia="宋体" w:cs="宋体"/>
                <w:color w:val="auto"/>
                <w:kern w:val="2"/>
                <w:sz w:val="21"/>
                <w:szCs w:val="21"/>
                <w:highlight w:val="none"/>
                <w:lang w:val="en-US" w:eastAsia="zh-CN"/>
              </w:rPr>
              <w:t>13.CPAP压力</w:t>
            </w:r>
            <w:r>
              <w:rPr>
                <w:rFonts w:hint="eastAsia" w:ascii="宋体" w:hAnsi="宋体" w:cs="宋体"/>
                <w:color w:val="auto"/>
                <w:kern w:val="2"/>
                <w:sz w:val="21"/>
                <w:szCs w:val="21"/>
                <w:highlight w:val="none"/>
                <w:lang w:val="en-US" w:eastAsia="zh-CN"/>
              </w:rPr>
              <w:t>：</w:t>
            </w:r>
            <w:r>
              <w:rPr>
                <w:rFonts w:hint="eastAsia" w:ascii="宋体" w:hAnsi="宋体" w:eastAsia="宋体" w:cs="宋体"/>
                <w:color w:val="auto"/>
                <w:kern w:val="2"/>
                <w:sz w:val="21"/>
                <w:szCs w:val="21"/>
                <w:highlight w:val="none"/>
                <w:lang w:val="en-US" w:eastAsia="zh-CN"/>
              </w:rPr>
              <w:t>5-15hPa，数字方式调节；</w:t>
            </w:r>
          </w:p>
          <w:p w14:paraId="6E648F14">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ascii="宋体" w:hAnsi="宋体" w:eastAsia="宋体" w:cs="宋体"/>
                <w:color w:val="auto"/>
                <w:kern w:val="2"/>
                <w:sz w:val="21"/>
                <w:szCs w:val="21"/>
                <w:highlight w:val="none"/>
                <w:lang w:val="en-US" w:eastAsia="zh-CN"/>
              </w:rPr>
            </w:pPr>
            <w:r>
              <w:rPr>
                <w:rFonts w:hint="eastAsia" w:ascii="宋体" w:hAnsi="宋体" w:eastAsia="宋体" w:cs="宋体"/>
                <w:color w:val="auto"/>
                <w:kern w:val="2"/>
                <w:sz w:val="21"/>
                <w:szCs w:val="21"/>
                <w:highlight w:val="none"/>
                <w:lang w:val="en-US" w:eastAsia="zh-CN"/>
              </w:rPr>
              <w:t>14.PEEP压力</w:t>
            </w:r>
            <w:r>
              <w:rPr>
                <w:rFonts w:hint="eastAsia" w:ascii="宋体" w:hAnsi="宋体" w:cs="宋体"/>
                <w:color w:val="auto"/>
                <w:kern w:val="2"/>
                <w:sz w:val="21"/>
                <w:szCs w:val="21"/>
                <w:highlight w:val="none"/>
                <w:lang w:val="en-US" w:eastAsia="zh-CN"/>
              </w:rPr>
              <w:t>：</w:t>
            </w:r>
            <w:r>
              <w:rPr>
                <w:rFonts w:hint="eastAsia" w:ascii="宋体" w:hAnsi="宋体" w:eastAsia="宋体" w:cs="宋体"/>
                <w:color w:val="auto"/>
                <w:kern w:val="2"/>
                <w:sz w:val="21"/>
                <w:szCs w:val="21"/>
                <w:highlight w:val="none"/>
                <w:lang w:val="en-US" w:eastAsia="zh-CN"/>
              </w:rPr>
              <w:t>0，5-20hPa；</w:t>
            </w:r>
          </w:p>
          <w:p w14:paraId="31F1F15A">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ascii="宋体" w:hAnsi="宋体" w:eastAsia="宋体" w:cs="宋体"/>
                <w:color w:val="auto"/>
                <w:kern w:val="2"/>
                <w:sz w:val="21"/>
                <w:szCs w:val="21"/>
                <w:highlight w:val="none"/>
                <w:lang w:val="en-US" w:eastAsia="zh-CN"/>
              </w:rPr>
            </w:pPr>
            <w:r>
              <w:rPr>
                <w:rFonts w:hint="eastAsia" w:ascii="宋体" w:hAnsi="宋体" w:eastAsia="宋体" w:cs="宋体"/>
                <w:color w:val="auto"/>
                <w:kern w:val="2"/>
                <w:sz w:val="21"/>
                <w:szCs w:val="21"/>
                <w:highlight w:val="none"/>
                <w:lang w:val="en-US" w:eastAsia="zh-CN"/>
              </w:rPr>
              <w:t>15.安全压力≤72hPa；</w:t>
            </w:r>
          </w:p>
          <w:p w14:paraId="0C3074FC">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ascii="宋体" w:hAnsi="宋体" w:eastAsia="宋体" w:cs="宋体"/>
                <w:color w:val="auto"/>
                <w:kern w:val="2"/>
                <w:sz w:val="21"/>
                <w:szCs w:val="21"/>
                <w:highlight w:val="none"/>
                <w:lang w:val="en-US" w:eastAsia="zh-CN"/>
              </w:rPr>
            </w:pPr>
            <w:r>
              <w:rPr>
                <w:rFonts w:hint="eastAsia" w:ascii="宋体" w:hAnsi="宋体" w:eastAsia="宋体" w:cs="宋体"/>
                <w:color w:val="auto"/>
                <w:kern w:val="2"/>
                <w:sz w:val="21"/>
                <w:szCs w:val="21"/>
                <w:highlight w:val="none"/>
                <w:lang w:val="en-US" w:eastAsia="zh-CN"/>
              </w:rPr>
              <w:t>16.监测显示：潮气量（分钟通气量），气道压力（触发灵敏度压、峰值压、PEEP压力），叹息，呼吸频率（自主呼吸频率监测），报警信息，气道压力时间波形，充电状态，吸气、呼气状态指示；</w:t>
            </w:r>
          </w:p>
          <w:p w14:paraId="489AE36F">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ascii="宋体" w:hAnsi="宋体" w:eastAsia="宋体" w:cs="宋体"/>
                <w:color w:val="auto"/>
                <w:kern w:val="2"/>
                <w:sz w:val="21"/>
                <w:szCs w:val="21"/>
                <w:highlight w:val="none"/>
                <w:lang w:val="en-US" w:eastAsia="zh-CN"/>
              </w:rPr>
            </w:pPr>
            <w:r>
              <w:rPr>
                <w:rFonts w:hint="eastAsia" w:ascii="宋体" w:hAnsi="宋体" w:eastAsia="宋体" w:cs="宋体"/>
                <w:color w:val="auto"/>
                <w:kern w:val="2"/>
                <w:sz w:val="21"/>
                <w:szCs w:val="21"/>
                <w:highlight w:val="none"/>
                <w:lang w:val="en-US" w:eastAsia="zh-CN"/>
              </w:rPr>
              <w:t>17.报警参数：压力高报警（5-60 hPa）、压力低报警（2-40 hPa）、气源压力不足报警（小于0.28MPA）、电池电量不足报警（小于30分钟）、频率高报警（10-100）；</w:t>
            </w:r>
          </w:p>
          <w:p w14:paraId="55AE13F1">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ascii="宋体" w:hAnsi="宋体" w:eastAsia="宋体" w:cs="宋体"/>
                <w:color w:val="auto"/>
                <w:kern w:val="2"/>
                <w:sz w:val="21"/>
                <w:szCs w:val="21"/>
                <w:highlight w:val="none"/>
                <w:lang w:val="en-US" w:eastAsia="zh-CN"/>
              </w:rPr>
            </w:pPr>
            <w:r>
              <w:rPr>
                <w:rFonts w:hint="eastAsia" w:ascii="宋体" w:hAnsi="宋体" w:eastAsia="宋体" w:cs="宋体"/>
                <w:color w:val="auto"/>
                <w:kern w:val="2"/>
                <w:sz w:val="21"/>
                <w:szCs w:val="21"/>
                <w:highlight w:val="none"/>
                <w:lang w:val="en-US" w:eastAsia="zh-CN"/>
              </w:rPr>
              <w:t>18.自检功能：检测电池电量、气源压力、回路密封性，保证使用安全；</w:t>
            </w:r>
          </w:p>
          <w:p w14:paraId="6E373BE0">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ascii="宋体" w:hAnsi="宋体" w:eastAsia="宋体" w:cs="宋体"/>
                <w:color w:val="auto"/>
                <w:kern w:val="2"/>
                <w:sz w:val="21"/>
                <w:szCs w:val="21"/>
                <w:highlight w:val="none"/>
                <w:lang w:val="en-US" w:eastAsia="zh-CN"/>
              </w:rPr>
            </w:pPr>
            <w:r>
              <w:rPr>
                <w:rFonts w:hint="eastAsia" w:ascii="宋体" w:hAnsi="宋体" w:eastAsia="宋体" w:cs="宋体"/>
                <w:color w:val="auto"/>
                <w:kern w:val="2"/>
                <w:sz w:val="21"/>
                <w:szCs w:val="21"/>
                <w:highlight w:val="none"/>
                <w:lang w:val="en-US" w:eastAsia="zh-CN"/>
              </w:rPr>
              <w:t>19.安全保护：具有防止使用中的误碰、误操作的安全锁保护功能；</w:t>
            </w:r>
          </w:p>
          <w:p w14:paraId="099ABF0A">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ascii="宋体" w:hAnsi="宋体" w:eastAsia="宋体" w:cs="宋体"/>
                <w:color w:val="auto"/>
                <w:kern w:val="2"/>
                <w:sz w:val="21"/>
                <w:szCs w:val="21"/>
                <w:highlight w:val="none"/>
                <w:lang w:val="en-US" w:eastAsia="zh-CN"/>
              </w:rPr>
            </w:pPr>
            <w:r>
              <w:rPr>
                <w:rFonts w:hint="eastAsia" w:ascii="宋体" w:hAnsi="宋体" w:eastAsia="宋体" w:cs="宋体"/>
                <w:color w:val="auto"/>
                <w:kern w:val="2"/>
                <w:sz w:val="21"/>
                <w:szCs w:val="21"/>
                <w:highlight w:val="none"/>
                <w:lang w:val="en-US" w:eastAsia="zh-CN"/>
              </w:rPr>
              <w:t>20.电源要求：电源输入AC110V-220V、50/60</w:t>
            </w:r>
            <w:r>
              <w:rPr>
                <w:rFonts w:hint="eastAsia" w:ascii="宋体" w:hAnsi="宋体" w:cs="宋体"/>
                <w:color w:val="auto"/>
                <w:kern w:val="2"/>
                <w:sz w:val="21"/>
                <w:szCs w:val="21"/>
                <w:highlight w:val="none"/>
                <w:lang w:val="en-US" w:eastAsia="zh-CN"/>
              </w:rPr>
              <w:t>Hz</w:t>
            </w:r>
            <w:r>
              <w:rPr>
                <w:rFonts w:hint="eastAsia" w:ascii="宋体" w:hAnsi="宋体" w:eastAsia="宋体" w:cs="宋体"/>
                <w:color w:val="auto"/>
                <w:kern w:val="2"/>
                <w:sz w:val="21"/>
                <w:szCs w:val="21"/>
                <w:highlight w:val="none"/>
                <w:lang w:val="en-US" w:eastAsia="zh-CN"/>
              </w:rPr>
              <w:t>；内置锂电池，工作时间大于8小时；具有DC12V电源输入口；</w:t>
            </w:r>
          </w:p>
          <w:p w14:paraId="44D1B0D4">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ascii="宋体" w:hAnsi="宋体" w:eastAsia="宋体" w:cs="宋体"/>
                <w:color w:val="auto"/>
                <w:kern w:val="2"/>
                <w:sz w:val="21"/>
                <w:szCs w:val="21"/>
                <w:highlight w:val="none"/>
                <w:lang w:val="en-US" w:eastAsia="zh-CN"/>
              </w:rPr>
            </w:pPr>
            <w:r>
              <w:rPr>
                <w:rFonts w:hint="eastAsia" w:ascii="宋体" w:hAnsi="宋体" w:eastAsia="宋体" w:cs="宋体"/>
                <w:color w:val="auto"/>
                <w:kern w:val="2"/>
                <w:sz w:val="21"/>
                <w:szCs w:val="21"/>
                <w:highlight w:val="none"/>
                <w:lang w:val="en-US" w:eastAsia="zh-CN"/>
              </w:rPr>
              <w:t>21.气源要求：配备2L铝合金氧气瓶，配备大小瓶通用型减压装置，可连接中心供氧使用；</w:t>
            </w:r>
          </w:p>
          <w:p w14:paraId="1A6FC4DE">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ascii="宋体" w:hAnsi="宋体" w:eastAsia="宋体" w:cs="宋体"/>
                <w:color w:val="auto"/>
                <w:kern w:val="2"/>
                <w:sz w:val="21"/>
                <w:szCs w:val="21"/>
                <w:highlight w:val="none"/>
                <w:lang w:val="en-US" w:eastAsia="zh-CN"/>
              </w:rPr>
            </w:pPr>
            <w:r>
              <w:rPr>
                <w:rFonts w:hint="eastAsia" w:ascii="宋体" w:hAnsi="宋体" w:eastAsia="宋体" w:cs="宋体"/>
                <w:color w:val="auto"/>
                <w:kern w:val="2"/>
                <w:sz w:val="21"/>
                <w:szCs w:val="21"/>
                <w:highlight w:val="none"/>
                <w:lang w:val="en-US" w:eastAsia="zh-CN"/>
              </w:rPr>
              <w:t>22.配置要求：呼吸机主机、携带包、呼吸管路组（呼吸阀可拆卸可高温高压消毒，硅胶呼吸管路及采样管）、带管路布套、2L铝合金氧气瓶及减压阀、气源高压管，充电器，救护车挂架、硅胶面罩，头带等；</w:t>
            </w:r>
          </w:p>
        </w:tc>
      </w:tr>
      <w:tr w14:paraId="3300FB9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6" w:hRule="atLeast"/>
          <w:jc w:val="center"/>
        </w:trPr>
        <w:tc>
          <w:tcPr>
            <w:tcW w:w="9192" w:type="dxa"/>
            <w:gridSpan w:val="2"/>
            <w:tcBorders>
              <w:top w:val="single" w:color="auto" w:sz="4" w:space="0"/>
              <w:left w:val="single" w:color="auto" w:sz="4" w:space="0"/>
              <w:bottom w:val="single" w:color="auto" w:sz="4" w:space="0"/>
              <w:right w:val="single" w:color="auto" w:sz="4" w:space="0"/>
            </w:tcBorders>
            <w:noWrap/>
            <w:vAlign w:val="center"/>
          </w:tcPr>
          <w:p w14:paraId="787929C4">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eastAsia" w:ascii="宋体" w:hAnsi="宋体" w:eastAsia="宋体" w:cs="宋体"/>
                <w:color w:val="auto"/>
                <w:kern w:val="2"/>
                <w:sz w:val="21"/>
                <w:szCs w:val="21"/>
                <w:highlight w:val="none"/>
                <w:lang w:val="en-US" w:eastAsia="zh-CN"/>
              </w:rPr>
            </w:pPr>
            <w:r>
              <w:rPr>
                <w:rFonts w:hint="eastAsia" w:ascii="宋体" w:hAnsi="宋体" w:eastAsia="宋体" w:cs="宋体"/>
                <w:b/>
                <w:bCs/>
                <w:color w:val="auto"/>
                <w:kern w:val="2"/>
                <w:sz w:val="21"/>
                <w:szCs w:val="21"/>
                <w:highlight w:val="none"/>
                <w:lang w:val="en-US" w:eastAsia="zh-CN"/>
              </w:rPr>
              <w:t>五、除颤监护仪</w:t>
            </w:r>
          </w:p>
        </w:tc>
      </w:tr>
      <w:tr w14:paraId="571A058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6" w:hRule="atLeast"/>
          <w:jc w:val="center"/>
        </w:trPr>
        <w:tc>
          <w:tcPr>
            <w:tcW w:w="1084" w:type="dxa"/>
            <w:tcBorders>
              <w:top w:val="single" w:color="auto" w:sz="4" w:space="0"/>
              <w:left w:val="single" w:color="auto" w:sz="4" w:space="0"/>
              <w:bottom w:val="single" w:color="auto" w:sz="4" w:space="0"/>
              <w:right w:val="single" w:color="auto" w:sz="4" w:space="0"/>
            </w:tcBorders>
            <w:noWrap/>
            <w:vAlign w:val="center"/>
          </w:tcPr>
          <w:p w14:paraId="6F969299">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ascii="宋体" w:hAnsi="宋体" w:eastAsia="宋体" w:cs="宋体"/>
                <w:color w:val="auto"/>
                <w:kern w:val="2"/>
                <w:sz w:val="21"/>
                <w:szCs w:val="21"/>
                <w:highlight w:val="none"/>
                <w:lang w:val="en-US" w:eastAsia="zh-CN"/>
              </w:rPr>
            </w:pPr>
          </w:p>
        </w:tc>
        <w:tc>
          <w:tcPr>
            <w:tcW w:w="8108" w:type="dxa"/>
            <w:tcBorders>
              <w:top w:val="single" w:color="auto" w:sz="4" w:space="0"/>
              <w:left w:val="single" w:color="auto" w:sz="4" w:space="0"/>
              <w:bottom w:val="single" w:color="auto" w:sz="4" w:space="0"/>
              <w:right w:val="single" w:color="auto" w:sz="4" w:space="0"/>
            </w:tcBorders>
            <w:noWrap/>
            <w:vAlign w:val="center"/>
          </w:tcPr>
          <w:p w14:paraId="4E55CAB9">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ascii="宋体" w:hAnsi="宋体" w:eastAsia="宋体" w:cs="宋体"/>
                <w:color w:val="auto"/>
                <w:kern w:val="2"/>
                <w:sz w:val="21"/>
                <w:szCs w:val="21"/>
                <w:highlight w:val="none"/>
                <w:lang w:val="en-US" w:eastAsia="zh-CN"/>
              </w:rPr>
            </w:pPr>
            <w:r>
              <w:rPr>
                <w:rFonts w:hint="eastAsia" w:ascii="宋体" w:hAnsi="宋体" w:cs="宋体"/>
                <w:color w:val="auto"/>
                <w:kern w:val="2"/>
                <w:sz w:val="21"/>
                <w:szCs w:val="21"/>
                <w:highlight w:val="none"/>
                <w:lang w:val="en-US" w:eastAsia="zh-CN"/>
              </w:rPr>
              <w:t>1.</w:t>
            </w:r>
            <w:r>
              <w:rPr>
                <w:rFonts w:hint="eastAsia" w:ascii="宋体" w:hAnsi="宋体" w:eastAsia="宋体" w:cs="宋体"/>
                <w:color w:val="auto"/>
                <w:kern w:val="2"/>
                <w:sz w:val="21"/>
                <w:szCs w:val="21"/>
                <w:highlight w:val="none"/>
                <w:lang w:val="en-US" w:eastAsia="zh-CN"/>
              </w:rPr>
              <w:t>重量：≤4.2kg（含电极板）。</w:t>
            </w:r>
          </w:p>
          <w:p w14:paraId="76CC959A">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ascii="宋体" w:hAnsi="宋体" w:eastAsia="宋体" w:cs="宋体"/>
                <w:color w:val="auto"/>
                <w:kern w:val="2"/>
                <w:sz w:val="21"/>
                <w:szCs w:val="21"/>
                <w:highlight w:val="none"/>
                <w:lang w:val="en-US" w:eastAsia="zh-CN"/>
              </w:rPr>
            </w:pPr>
            <w:r>
              <w:rPr>
                <w:rFonts w:hint="eastAsia" w:ascii="宋体" w:hAnsi="宋体" w:cs="宋体"/>
                <w:color w:val="auto"/>
                <w:kern w:val="2"/>
                <w:sz w:val="21"/>
                <w:szCs w:val="21"/>
                <w:highlight w:val="none"/>
                <w:lang w:val="en-US" w:eastAsia="zh-CN"/>
              </w:rPr>
              <w:t>2.</w:t>
            </w:r>
            <w:r>
              <w:rPr>
                <w:rFonts w:hint="eastAsia" w:ascii="宋体" w:hAnsi="宋体" w:eastAsia="宋体" w:cs="宋体"/>
                <w:color w:val="auto"/>
                <w:kern w:val="2"/>
                <w:sz w:val="21"/>
                <w:szCs w:val="21"/>
                <w:highlight w:val="none"/>
                <w:lang w:val="en-US" w:eastAsia="zh-CN"/>
              </w:rPr>
              <w:t>彩色电容触摸屏≥8英寸</w:t>
            </w:r>
            <w:r>
              <w:rPr>
                <w:rFonts w:hint="eastAsia" w:ascii="宋体" w:hAnsi="宋体" w:cs="宋体"/>
                <w:color w:val="auto"/>
                <w:kern w:val="2"/>
                <w:sz w:val="21"/>
                <w:szCs w:val="21"/>
                <w:highlight w:val="none"/>
                <w:lang w:val="en-US" w:eastAsia="zh-CN"/>
              </w:rPr>
              <w:t>，</w:t>
            </w:r>
            <w:r>
              <w:rPr>
                <w:rFonts w:hint="eastAsia" w:ascii="宋体" w:hAnsi="宋体" w:eastAsia="宋体" w:cs="宋体"/>
                <w:color w:val="auto"/>
                <w:kern w:val="2"/>
                <w:sz w:val="21"/>
                <w:szCs w:val="21"/>
                <w:highlight w:val="none"/>
                <w:lang w:val="en-US" w:eastAsia="zh-CN"/>
              </w:rPr>
              <w:t xml:space="preserve"> 分辨率1024×768像素，可显示≥5通道监护参数波形，支持手势操作、自动亮度调节。</w:t>
            </w:r>
          </w:p>
          <w:p w14:paraId="0FADB7D8">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ascii="宋体" w:hAnsi="宋体" w:eastAsia="宋体" w:cs="宋体"/>
                <w:color w:val="auto"/>
                <w:kern w:val="2"/>
                <w:sz w:val="21"/>
                <w:szCs w:val="21"/>
                <w:highlight w:val="none"/>
                <w:lang w:val="en-US" w:eastAsia="zh-CN"/>
              </w:rPr>
            </w:pPr>
            <w:r>
              <w:rPr>
                <w:rFonts w:hint="eastAsia" w:ascii="宋体" w:hAnsi="宋体" w:cs="宋体"/>
                <w:color w:val="auto"/>
                <w:kern w:val="2"/>
                <w:sz w:val="21"/>
                <w:szCs w:val="21"/>
                <w:highlight w:val="none"/>
                <w:lang w:val="en-US" w:eastAsia="zh-CN"/>
              </w:rPr>
              <w:t>3.</w:t>
            </w:r>
            <w:r>
              <w:rPr>
                <w:rFonts w:hint="eastAsia" w:ascii="宋体" w:hAnsi="宋体" w:eastAsia="宋体" w:cs="宋体"/>
                <w:color w:val="auto"/>
                <w:kern w:val="2"/>
                <w:sz w:val="21"/>
                <w:szCs w:val="21"/>
                <w:highlight w:val="none"/>
                <w:lang w:val="en-US" w:eastAsia="zh-CN"/>
              </w:rPr>
              <w:t>提供图形化故障排除指引，帮助医护人员快速解决设备故障。</w:t>
            </w:r>
          </w:p>
          <w:p w14:paraId="0926B530">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ascii="宋体" w:hAnsi="宋体" w:eastAsia="宋体" w:cs="宋体"/>
                <w:color w:val="auto"/>
                <w:kern w:val="2"/>
                <w:sz w:val="21"/>
                <w:szCs w:val="21"/>
                <w:highlight w:val="none"/>
                <w:lang w:val="en-US" w:eastAsia="zh-CN"/>
              </w:rPr>
            </w:pPr>
            <w:r>
              <w:rPr>
                <w:rFonts w:hint="eastAsia" w:ascii="宋体" w:hAnsi="宋体" w:cs="宋体"/>
                <w:color w:val="auto"/>
                <w:kern w:val="2"/>
                <w:sz w:val="21"/>
                <w:szCs w:val="21"/>
                <w:highlight w:val="none"/>
                <w:lang w:val="en-US" w:eastAsia="zh-CN"/>
              </w:rPr>
              <w:t>4.</w:t>
            </w:r>
            <w:r>
              <w:rPr>
                <w:rFonts w:hint="eastAsia" w:ascii="宋体" w:hAnsi="宋体" w:eastAsia="宋体" w:cs="宋体"/>
                <w:color w:val="auto"/>
                <w:kern w:val="2"/>
                <w:sz w:val="21"/>
                <w:szCs w:val="21"/>
                <w:highlight w:val="none"/>
                <w:lang w:val="en-US" w:eastAsia="zh-CN"/>
              </w:rPr>
              <w:t>具备手动除颤、心电监护、呼吸监护、自动体外除颤（AED）功能。</w:t>
            </w:r>
          </w:p>
          <w:p w14:paraId="30F058D0">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ascii="宋体" w:hAnsi="宋体" w:eastAsia="宋体" w:cs="宋体"/>
                <w:color w:val="auto"/>
                <w:kern w:val="2"/>
                <w:sz w:val="21"/>
                <w:szCs w:val="21"/>
                <w:highlight w:val="none"/>
                <w:lang w:val="en-US" w:eastAsia="zh-CN"/>
              </w:rPr>
            </w:pPr>
            <w:r>
              <w:rPr>
                <w:rFonts w:hint="eastAsia" w:ascii="宋体" w:hAnsi="宋体" w:cs="宋体"/>
                <w:color w:val="auto"/>
                <w:kern w:val="2"/>
                <w:sz w:val="21"/>
                <w:szCs w:val="21"/>
                <w:highlight w:val="none"/>
                <w:lang w:val="en-US" w:eastAsia="zh-CN"/>
              </w:rPr>
              <w:t>5.</w:t>
            </w:r>
            <w:r>
              <w:rPr>
                <w:rFonts w:hint="eastAsia" w:ascii="宋体" w:hAnsi="宋体" w:eastAsia="宋体" w:cs="宋体"/>
                <w:color w:val="auto"/>
                <w:kern w:val="2"/>
                <w:sz w:val="21"/>
                <w:szCs w:val="21"/>
                <w:highlight w:val="none"/>
                <w:lang w:val="en-US" w:eastAsia="zh-CN"/>
              </w:rPr>
              <w:t>除颤采用双相波技术，具备自动阻抗补偿功能。</w:t>
            </w:r>
          </w:p>
          <w:p w14:paraId="661C436E">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ascii="宋体" w:hAnsi="宋体" w:eastAsia="宋体" w:cs="宋体"/>
                <w:color w:val="auto"/>
                <w:kern w:val="2"/>
                <w:sz w:val="21"/>
                <w:szCs w:val="21"/>
                <w:highlight w:val="none"/>
                <w:lang w:val="en-US" w:eastAsia="zh-CN"/>
              </w:rPr>
            </w:pPr>
            <w:r>
              <w:rPr>
                <w:rFonts w:hint="eastAsia" w:ascii="宋体" w:hAnsi="宋体" w:cs="宋体"/>
                <w:color w:val="auto"/>
                <w:kern w:val="2"/>
                <w:sz w:val="21"/>
                <w:szCs w:val="21"/>
                <w:highlight w:val="none"/>
                <w:lang w:val="en-US" w:eastAsia="zh-CN"/>
              </w:rPr>
              <w:t>6.</w:t>
            </w:r>
            <w:r>
              <w:rPr>
                <w:rFonts w:hint="eastAsia" w:ascii="宋体" w:hAnsi="宋体" w:eastAsia="宋体" w:cs="宋体"/>
                <w:color w:val="auto"/>
                <w:kern w:val="2"/>
                <w:sz w:val="21"/>
                <w:szCs w:val="21"/>
                <w:highlight w:val="none"/>
                <w:lang w:val="en-US" w:eastAsia="zh-CN"/>
              </w:rPr>
              <w:t>★电极板支持能量选择，充电和放电三步操作，满足单人除颤操作。</w:t>
            </w:r>
          </w:p>
          <w:p w14:paraId="5651B317">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ascii="宋体" w:hAnsi="宋体" w:eastAsia="宋体" w:cs="宋体"/>
                <w:color w:val="auto"/>
                <w:kern w:val="2"/>
                <w:sz w:val="21"/>
                <w:szCs w:val="21"/>
                <w:highlight w:val="none"/>
                <w:lang w:val="en-US" w:eastAsia="zh-CN"/>
              </w:rPr>
            </w:pPr>
            <w:r>
              <w:rPr>
                <w:rFonts w:hint="eastAsia" w:ascii="宋体" w:hAnsi="宋体" w:cs="宋体"/>
                <w:color w:val="auto"/>
                <w:kern w:val="2"/>
                <w:sz w:val="21"/>
                <w:szCs w:val="21"/>
                <w:highlight w:val="none"/>
                <w:lang w:val="en-US" w:eastAsia="zh-CN"/>
              </w:rPr>
              <w:t>7.</w:t>
            </w:r>
            <w:r>
              <w:rPr>
                <w:rFonts w:hint="eastAsia" w:ascii="宋体" w:hAnsi="宋体" w:eastAsia="宋体" w:cs="宋体"/>
                <w:color w:val="auto"/>
                <w:kern w:val="2"/>
                <w:sz w:val="21"/>
                <w:szCs w:val="21"/>
                <w:highlight w:val="none"/>
                <w:lang w:val="en-US" w:eastAsia="zh-CN"/>
              </w:rPr>
              <w:t>开机到可正常使用时间≤2s，符合临床使用，除颤后心电基线恢复时间≤2.5s。</w:t>
            </w:r>
          </w:p>
          <w:p w14:paraId="15249359">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ascii="宋体" w:hAnsi="宋体" w:eastAsia="宋体" w:cs="宋体"/>
                <w:color w:val="auto"/>
                <w:kern w:val="2"/>
                <w:sz w:val="21"/>
                <w:szCs w:val="21"/>
                <w:highlight w:val="none"/>
                <w:lang w:val="en-US" w:eastAsia="zh-CN"/>
              </w:rPr>
            </w:pPr>
            <w:r>
              <w:rPr>
                <w:rFonts w:hint="eastAsia" w:ascii="宋体" w:hAnsi="宋体" w:cs="宋体"/>
                <w:color w:val="auto"/>
                <w:kern w:val="2"/>
                <w:sz w:val="21"/>
                <w:szCs w:val="21"/>
                <w:highlight w:val="none"/>
                <w:lang w:val="en-US" w:eastAsia="zh-CN"/>
              </w:rPr>
              <w:t>8.</w:t>
            </w:r>
            <w:r>
              <w:rPr>
                <w:rFonts w:hint="eastAsia" w:ascii="宋体" w:hAnsi="宋体" w:eastAsia="宋体" w:cs="宋体"/>
                <w:color w:val="auto"/>
                <w:kern w:val="2"/>
                <w:sz w:val="21"/>
                <w:szCs w:val="21"/>
                <w:highlight w:val="none"/>
                <w:lang w:val="en-US" w:eastAsia="zh-CN"/>
              </w:rPr>
              <w:t>除颤充电迅速，充电至200J≤4s。</w:t>
            </w:r>
          </w:p>
          <w:p w14:paraId="1354B3CD">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ascii="宋体" w:hAnsi="宋体" w:eastAsia="宋体" w:cs="宋体"/>
                <w:color w:val="auto"/>
                <w:kern w:val="2"/>
                <w:sz w:val="21"/>
                <w:szCs w:val="21"/>
                <w:highlight w:val="none"/>
                <w:lang w:val="en-US" w:eastAsia="zh-CN"/>
              </w:rPr>
            </w:pPr>
            <w:r>
              <w:rPr>
                <w:rFonts w:hint="eastAsia" w:ascii="宋体" w:hAnsi="宋体" w:cs="宋体"/>
                <w:color w:val="auto"/>
                <w:kern w:val="2"/>
                <w:sz w:val="21"/>
                <w:szCs w:val="21"/>
                <w:highlight w:val="none"/>
                <w:lang w:val="en-US" w:eastAsia="zh-CN"/>
              </w:rPr>
              <w:t>9.</w:t>
            </w:r>
            <w:r>
              <w:rPr>
                <w:rFonts w:hint="eastAsia" w:ascii="宋体" w:hAnsi="宋体" w:eastAsia="宋体" w:cs="宋体"/>
                <w:color w:val="auto"/>
                <w:kern w:val="2"/>
                <w:sz w:val="21"/>
                <w:szCs w:val="21"/>
                <w:highlight w:val="none"/>
                <w:lang w:val="en-US" w:eastAsia="zh-CN"/>
              </w:rPr>
              <w:t>从开始AED分析到放电准备就绪≤10s。</w:t>
            </w:r>
          </w:p>
          <w:p w14:paraId="2902FBE7">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ascii="宋体" w:hAnsi="宋体" w:eastAsia="宋体" w:cs="宋体"/>
                <w:color w:val="auto"/>
                <w:kern w:val="2"/>
                <w:sz w:val="21"/>
                <w:szCs w:val="21"/>
                <w:highlight w:val="none"/>
                <w:lang w:val="en-US" w:eastAsia="zh-CN"/>
              </w:rPr>
            </w:pPr>
            <w:r>
              <w:rPr>
                <w:rFonts w:hint="eastAsia" w:ascii="宋体" w:hAnsi="宋体" w:cs="宋体"/>
                <w:color w:val="auto"/>
                <w:kern w:val="2"/>
                <w:sz w:val="21"/>
                <w:szCs w:val="21"/>
                <w:highlight w:val="none"/>
                <w:lang w:val="en-US" w:eastAsia="zh-CN"/>
              </w:rPr>
              <w:t>10.</w:t>
            </w:r>
            <w:r>
              <w:rPr>
                <w:rFonts w:hint="eastAsia" w:ascii="宋体" w:hAnsi="宋体" w:eastAsia="宋体" w:cs="宋体"/>
                <w:color w:val="auto"/>
                <w:kern w:val="2"/>
                <w:sz w:val="21"/>
                <w:szCs w:val="21"/>
                <w:highlight w:val="none"/>
                <w:lang w:val="en-US" w:eastAsia="zh-CN"/>
              </w:rPr>
              <w:t>体外电极板支持病人接触状态显示。</w:t>
            </w:r>
          </w:p>
          <w:p w14:paraId="6E09E1FC">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ascii="宋体" w:hAnsi="宋体" w:eastAsia="宋体" w:cs="宋体"/>
                <w:color w:val="auto"/>
                <w:kern w:val="2"/>
                <w:sz w:val="21"/>
                <w:szCs w:val="21"/>
                <w:highlight w:val="none"/>
                <w:lang w:val="en-US" w:eastAsia="zh-CN"/>
              </w:rPr>
            </w:pPr>
            <w:r>
              <w:rPr>
                <w:rFonts w:hint="eastAsia" w:ascii="宋体" w:hAnsi="宋体" w:cs="宋体"/>
                <w:color w:val="auto"/>
                <w:kern w:val="2"/>
                <w:sz w:val="21"/>
                <w:szCs w:val="21"/>
                <w:highlight w:val="none"/>
                <w:lang w:val="en-US" w:eastAsia="zh-CN"/>
              </w:rPr>
              <w:t>11.</w:t>
            </w:r>
            <w:r>
              <w:rPr>
                <w:rFonts w:hint="eastAsia" w:ascii="宋体" w:hAnsi="宋体" w:eastAsia="宋体" w:cs="宋体"/>
                <w:color w:val="auto"/>
                <w:kern w:val="2"/>
                <w:sz w:val="21"/>
                <w:szCs w:val="21"/>
                <w:highlight w:val="none"/>
                <w:lang w:val="en-US" w:eastAsia="zh-CN"/>
              </w:rPr>
              <w:t>可选配CPR辅助功能，CPR传感器设计符合2020 AHA指南，提供即时的按压反馈，设备界面提供按压深度、频率实时参数显示。</w:t>
            </w:r>
          </w:p>
          <w:p w14:paraId="57D617C0">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ascii="宋体" w:hAnsi="宋体" w:eastAsia="宋体" w:cs="宋体"/>
                <w:color w:val="auto"/>
                <w:kern w:val="2"/>
                <w:sz w:val="21"/>
                <w:szCs w:val="21"/>
                <w:highlight w:val="none"/>
                <w:lang w:val="en-US" w:eastAsia="zh-CN"/>
              </w:rPr>
            </w:pPr>
            <w:r>
              <w:rPr>
                <w:rFonts w:hint="eastAsia" w:ascii="宋体" w:hAnsi="宋体" w:cs="宋体"/>
                <w:color w:val="auto"/>
                <w:kern w:val="2"/>
                <w:sz w:val="21"/>
                <w:szCs w:val="21"/>
                <w:highlight w:val="none"/>
                <w:lang w:val="en-US" w:eastAsia="zh-CN"/>
              </w:rPr>
              <w:t>12.</w:t>
            </w:r>
            <w:r>
              <w:rPr>
                <w:rFonts w:hint="eastAsia" w:ascii="宋体" w:hAnsi="宋体" w:eastAsia="宋体" w:cs="宋体"/>
                <w:color w:val="auto"/>
                <w:kern w:val="2"/>
                <w:sz w:val="21"/>
                <w:szCs w:val="21"/>
                <w:highlight w:val="none"/>
                <w:lang w:val="en-US" w:eastAsia="zh-CN"/>
              </w:rPr>
              <w:t>可选配基于脉搏氧波形分析的心肺复苏质量指数，实现无创、实时评估人工心肺复苏质量。</w:t>
            </w:r>
          </w:p>
          <w:p w14:paraId="0B011964">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ascii="宋体" w:hAnsi="宋体" w:eastAsia="宋体" w:cs="宋体"/>
                <w:color w:val="auto"/>
                <w:kern w:val="2"/>
                <w:sz w:val="21"/>
                <w:szCs w:val="21"/>
                <w:highlight w:val="none"/>
                <w:lang w:val="en-US" w:eastAsia="zh-CN"/>
              </w:rPr>
            </w:pPr>
            <w:r>
              <w:rPr>
                <w:rFonts w:hint="eastAsia" w:ascii="宋体" w:hAnsi="宋体" w:cs="宋体"/>
                <w:color w:val="auto"/>
                <w:kern w:val="2"/>
                <w:sz w:val="21"/>
                <w:szCs w:val="21"/>
                <w:highlight w:val="none"/>
                <w:lang w:val="en-US" w:eastAsia="zh-CN"/>
              </w:rPr>
              <w:t>13.</w:t>
            </w:r>
            <w:r>
              <w:rPr>
                <w:rFonts w:hint="eastAsia" w:ascii="宋体" w:hAnsi="宋体" w:eastAsia="宋体" w:cs="宋体"/>
                <w:color w:val="auto"/>
                <w:kern w:val="2"/>
                <w:sz w:val="21"/>
                <w:szCs w:val="21"/>
                <w:highlight w:val="none"/>
                <w:lang w:val="en-US" w:eastAsia="zh-CN"/>
              </w:rPr>
              <w:t>提供CPR按压干扰滤过功能，通过除颤电极片或CPR传感器自动检测按压干扰并实时滤波，减少按压中断。</w:t>
            </w:r>
          </w:p>
          <w:p w14:paraId="1F2E28B1">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ascii="宋体" w:hAnsi="宋体" w:eastAsia="宋体" w:cs="宋体"/>
                <w:color w:val="auto"/>
                <w:kern w:val="2"/>
                <w:sz w:val="21"/>
                <w:szCs w:val="21"/>
                <w:highlight w:val="none"/>
                <w:lang w:val="en-US" w:eastAsia="zh-CN"/>
              </w:rPr>
            </w:pPr>
            <w:r>
              <w:rPr>
                <w:rFonts w:hint="eastAsia" w:ascii="宋体" w:hAnsi="宋体" w:cs="宋体"/>
                <w:color w:val="auto"/>
                <w:kern w:val="2"/>
                <w:sz w:val="21"/>
                <w:szCs w:val="21"/>
                <w:highlight w:val="none"/>
                <w:lang w:val="en-US" w:eastAsia="zh-CN"/>
              </w:rPr>
              <w:t>14.</w:t>
            </w:r>
            <w:r>
              <w:rPr>
                <w:rFonts w:hint="eastAsia" w:ascii="宋体" w:hAnsi="宋体" w:eastAsia="宋体" w:cs="宋体"/>
                <w:color w:val="auto"/>
                <w:kern w:val="2"/>
                <w:sz w:val="21"/>
                <w:szCs w:val="21"/>
                <w:highlight w:val="none"/>
                <w:lang w:val="en-US" w:eastAsia="zh-CN"/>
              </w:rPr>
              <w:t>抢救结束后自动生成抢救报告，并可通过网络将除颤和按压数据自动上传至急救数据分析系统；急救数据分析系统提供抢救数据复盘、分析工具。</w:t>
            </w:r>
          </w:p>
          <w:p w14:paraId="6F5B0D1D">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ascii="宋体" w:hAnsi="宋体" w:eastAsia="宋体" w:cs="宋体"/>
                <w:color w:val="auto"/>
                <w:kern w:val="2"/>
                <w:sz w:val="21"/>
                <w:szCs w:val="21"/>
                <w:highlight w:val="none"/>
                <w:lang w:val="en-US" w:eastAsia="zh-CN"/>
              </w:rPr>
            </w:pPr>
            <w:r>
              <w:rPr>
                <w:rFonts w:hint="eastAsia" w:ascii="宋体" w:hAnsi="宋体" w:cs="宋体"/>
                <w:color w:val="auto"/>
                <w:kern w:val="2"/>
                <w:sz w:val="21"/>
                <w:szCs w:val="21"/>
                <w:highlight w:val="none"/>
                <w:lang w:val="en-US" w:eastAsia="zh-CN"/>
              </w:rPr>
              <w:t>15.</w:t>
            </w:r>
            <w:r>
              <w:rPr>
                <w:rFonts w:hint="eastAsia" w:ascii="宋体" w:hAnsi="宋体" w:eastAsia="宋体" w:cs="宋体"/>
                <w:color w:val="auto"/>
                <w:kern w:val="2"/>
                <w:sz w:val="21"/>
                <w:szCs w:val="21"/>
                <w:highlight w:val="none"/>
                <w:lang w:val="en-US" w:eastAsia="zh-CN"/>
              </w:rPr>
              <w:t>支持培训模式，包含CPR操作培训、抢救操作培训；可提供培训考核系统，支持多台设备同时接入进行在线培训、考核。</w:t>
            </w:r>
          </w:p>
          <w:p w14:paraId="553B4C38">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ascii="宋体" w:hAnsi="宋体" w:eastAsia="宋体" w:cs="宋体"/>
                <w:color w:val="auto"/>
                <w:kern w:val="2"/>
                <w:sz w:val="21"/>
                <w:szCs w:val="21"/>
                <w:highlight w:val="none"/>
                <w:lang w:val="en-US" w:eastAsia="zh-CN"/>
              </w:rPr>
            </w:pPr>
            <w:r>
              <w:rPr>
                <w:rFonts w:hint="eastAsia" w:ascii="宋体" w:hAnsi="宋体" w:cs="宋体"/>
                <w:color w:val="auto"/>
                <w:kern w:val="2"/>
                <w:sz w:val="21"/>
                <w:szCs w:val="21"/>
                <w:highlight w:val="none"/>
                <w:lang w:val="en-US" w:eastAsia="zh-CN"/>
              </w:rPr>
              <w:t>16.</w:t>
            </w:r>
            <w:r>
              <w:rPr>
                <w:rFonts w:hint="eastAsia" w:ascii="宋体" w:hAnsi="宋体" w:eastAsia="宋体" w:cs="宋体"/>
                <w:color w:val="auto"/>
                <w:kern w:val="2"/>
                <w:sz w:val="21"/>
                <w:szCs w:val="21"/>
                <w:highlight w:val="none"/>
                <w:lang w:val="en-US" w:eastAsia="zh-CN"/>
              </w:rPr>
              <w:t>通过心电电极片可监测的心律失常分析种类不少于27种。</w:t>
            </w:r>
          </w:p>
          <w:p w14:paraId="7B42D9BC">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ascii="宋体" w:hAnsi="宋体" w:eastAsia="宋体" w:cs="宋体"/>
                <w:color w:val="auto"/>
                <w:kern w:val="2"/>
                <w:sz w:val="21"/>
                <w:szCs w:val="21"/>
                <w:highlight w:val="none"/>
                <w:lang w:val="en-US" w:eastAsia="zh-CN"/>
              </w:rPr>
            </w:pPr>
            <w:r>
              <w:rPr>
                <w:rFonts w:hint="eastAsia" w:ascii="宋体" w:hAnsi="宋体" w:cs="宋体"/>
                <w:color w:val="auto"/>
                <w:kern w:val="2"/>
                <w:sz w:val="21"/>
                <w:szCs w:val="21"/>
                <w:highlight w:val="none"/>
                <w:lang w:val="en-US" w:eastAsia="zh-CN"/>
              </w:rPr>
              <w:t>17.</w:t>
            </w:r>
            <w:r>
              <w:rPr>
                <w:rFonts w:hint="eastAsia" w:ascii="宋体" w:hAnsi="宋体" w:eastAsia="宋体" w:cs="宋体"/>
                <w:color w:val="auto"/>
                <w:kern w:val="2"/>
                <w:sz w:val="21"/>
                <w:szCs w:val="21"/>
                <w:highlight w:val="none"/>
                <w:lang w:val="en-US" w:eastAsia="zh-CN"/>
              </w:rPr>
              <w:t>标配：12导心电、无创血压、血氧饱和度、wifi</w:t>
            </w:r>
          </w:p>
          <w:p w14:paraId="1313D40A">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ascii="宋体" w:hAnsi="宋体" w:eastAsia="宋体" w:cs="宋体"/>
                <w:color w:val="auto"/>
                <w:kern w:val="2"/>
                <w:sz w:val="21"/>
                <w:szCs w:val="21"/>
                <w:highlight w:val="none"/>
                <w:lang w:val="en-US" w:eastAsia="zh-CN"/>
              </w:rPr>
            </w:pPr>
            <w:r>
              <w:rPr>
                <w:rFonts w:hint="eastAsia" w:ascii="宋体" w:hAnsi="宋体" w:cs="宋体"/>
                <w:color w:val="auto"/>
                <w:kern w:val="2"/>
                <w:sz w:val="21"/>
                <w:szCs w:val="21"/>
                <w:highlight w:val="none"/>
                <w:lang w:val="en-US" w:eastAsia="zh-CN"/>
              </w:rPr>
              <w:t>18.</w:t>
            </w:r>
            <w:r>
              <w:rPr>
                <w:rFonts w:hint="eastAsia" w:ascii="宋体" w:hAnsi="宋体" w:eastAsia="宋体" w:cs="宋体"/>
                <w:color w:val="auto"/>
                <w:kern w:val="2"/>
                <w:sz w:val="21"/>
                <w:szCs w:val="21"/>
                <w:highlight w:val="none"/>
                <w:lang w:val="en-US" w:eastAsia="zh-CN"/>
              </w:rPr>
              <w:t>提供的监护参数适用于成人，小儿和新生儿，并通过国家三类注册、CE</w:t>
            </w:r>
            <w:r>
              <w:rPr>
                <w:rFonts w:hint="eastAsia" w:ascii="宋体" w:hAnsi="宋体" w:cs="宋体"/>
                <w:color w:val="auto"/>
                <w:kern w:val="2"/>
                <w:sz w:val="21"/>
                <w:szCs w:val="21"/>
                <w:highlight w:val="none"/>
                <w:lang w:val="en-US" w:eastAsia="zh-CN"/>
              </w:rPr>
              <w:t>（</w:t>
            </w:r>
            <w:r>
              <w:rPr>
                <w:rFonts w:hint="eastAsia" w:ascii="宋体" w:hAnsi="宋体" w:eastAsia="宋体" w:cs="宋体"/>
                <w:color w:val="auto"/>
                <w:kern w:val="2"/>
                <w:sz w:val="21"/>
                <w:szCs w:val="21"/>
                <w:highlight w:val="none"/>
                <w:lang w:val="en-US" w:eastAsia="zh-CN"/>
              </w:rPr>
              <w:t>MDR</w:t>
            </w:r>
            <w:r>
              <w:rPr>
                <w:rFonts w:hint="eastAsia" w:ascii="宋体" w:hAnsi="宋体" w:cs="宋体"/>
                <w:color w:val="auto"/>
                <w:kern w:val="2"/>
                <w:sz w:val="21"/>
                <w:szCs w:val="21"/>
                <w:highlight w:val="none"/>
                <w:lang w:val="en-US" w:eastAsia="zh-CN"/>
              </w:rPr>
              <w:t>）</w:t>
            </w:r>
            <w:r>
              <w:rPr>
                <w:rFonts w:hint="eastAsia" w:ascii="宋体" w:hAnsi="宋体" w:eastAsia="宋体" w:cs="宋体"/>
                <w:color w:val="auto"/>
                <w:kern w:val="2"/>
                <w:sz w:val="21"/>
                <w:szCs w:val="21"/>
                <w:highlight w:val="none"/>
                <w:lang w:val="en-US" w:eastAsia="zh-CN"/>
              </w:rPr>
              <w:t>认证。</w:t>
            </w:r>
          </w:p>
          <w:p w14:paraId="2AE7DB58">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ascii="宋体" w:hAnsi="宋体" w:eastAsia="宋体" w:cs="宋体"/>
                <w:color w:val="auto"/>
                <w:kern w:val="2"/>
                <w:sz w:val="21"/>
                <w:szCs w:val="21"/>
                <w:highlight w:val="none"/>
                <w:lang w:val="en-US" w:eastAsia="zh-CN"/>
              </w:rPr>
            </w:pPr>
            <w:r>
              <w:rPr>
                <w:rFonts w:hint="eastAsia" w:ascii="宋体" w:hAnsi="宋体" w:cs="宋体"/>
                <w:color w:val="auto"/>
                <w:kern w:val="2"/>
                <w:sz w:val="21"/>
                <w:szCs w:val="21"/>
                <w:highlight w:val="none"/>
                <w:lang w:val="en-US" w:eastAsia="zh-CN"/>
              </w:rPr>
              <w:t>19.</w:t>
            </w:r>
            <w:r>
              <w:rPr>
                <w:rFonts w:hint="eastAsia" w:ascii="宋体" w:hAnsi="宋体" w:eastAsia="宋体" w:cs="宋体"/>
                <w:color w:val="auto"/>
                <w:kern w:val="2"/>
                <w:sz w:val="21"/>
                <w:szCs w:val="21"/>
                <w:highlight w:val="none"/>
                <w:lang w:val="en-US" w:eastAsia="zh-CN"/>
              </w:rPr>
              <w:t>可选配病情严重程度筛查评分工具，如Glasgow昏迷评分、早期预警评分等。</w:t>
            </w:r>
          </w:p>
          <w:p w14:paraId="5EBDF51C">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ascii="宋体" w:hAnsi="宋体" w:eastAsia="宋体" w:cs="宋体"/>
                <w:color w:val="auto"/>
                <w:kern w:val="2"/>
                <w:sz w:val="21"/>
                <w:szCs w:val="21"/>
                <w:highlight w:val="none"/>
                <w:lang w:val="en-US" w:eastAsia="zh-CN"/>
              </w:rPr>
            </w:pPr>
            <w:r>
              <w:rPr>
                <w:rFonts w:hint="eastAsia" w:ascii="宋体" w:hAnsi="宋体" w:eastAsia="宋体" w:cs="宋体"/>
                <w:color w:val="auto"/>
                <w:kern w:val="2"/>
                <w:sz w:val="21"/>
                <w:szCs w:val="21"/>
                <w:highlight w:val="none"/>
                <w:lang w:val="en-US" w:eastAsia="zh-CN"/>
              </w:rPr>
              <w:t>可选配5G模块，支持病人生命体征实时传输和12导报告远程发送。</w:t>
            </w:r>
          </w:p>
          <w:p w14:paraId="4A5B788A">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ascii="宋体" w:hAnsi="宋体" w:eastAsia="宋体" w:cs="宋体"/>
                <w:color w:val="auto"/>
                <w:kern w:val="2"/>
                <w:sz w:val="21"/>
                <w:szCs w:val="21"/>
                <w:highlight w:val="none"/>
                <w:lang w:val="en-US" w:eastAsia="zh-CN"/>
              </w:rPr>
            </w:pPr>
            <w:r>
              <w:rPr>
                <w:rFonts w:hint="eastAsia" w:ascii="宋体" w:hAnsi="宋体" w:cs="宋体"/>
                <w:color w:val="auto"/>
                <w:kern w:val="2"/>
                <w:sz w:val="21"/>
                <w:szCs w:val="21"/>
                <w:highlight w:val="none"/>
                <w:lang w:val="en-US" w:eastAsia="zh-CN"/>
              </w:rPr>
              <w:t>20.</w:t>
            </w:r>
            <w:r>
              <w:rPr>
                <w:rFonts w:hint="eastAsia" w:ascii="宋体" w:hAnsi="宋体" w:eastAsia="宋体" w:cs="宋体"/>
                <w:color w:val="auto"/>
                <w:kern w:val="2"/>
                <w:sz w:val="21"/>
                <w:szCs w:val="21"/>
                <w:highlight w:val="none"/>
                <w:lang w:val="en-US" w:eastAsia="zh-CN"/>
              </w:rPr>
              <w:t>支持通过中央站远程修改病人信息和系统时间同步。</w:t>
            </w:r>
          </w:p>
          <w:p w14:paraId="085AAB8A">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ascii="宋体" w:hAnsi="宋体" w:eastAsia="宋体" w:cs="宋体"/>
                <w:color w:val="auto"/>
                <w:kern w:val="2"/>
                <w:sz w:val="21"/>
                <w:szCs w:val="21"/>
                <w:highlight w:val="none"/>
                <w:lang w:val="en-US" w:eastAsia="zh-CN"/>
              </w:rPr>
            </w:pPr>
            <w:r>
              <w:rPr>
                <w:rFonts w:hint="eastAsia" w:ascii="宋体" w:hAnsi="宋体" w:cs="宋体"/>
                <w:color w:val="auto"/>
                <w:kern w:val="2"/>
                <w:sz w:val="21"/>
                <w:szCs w:val="21"/>
                <w:highlight w:val="none"/>
                <w:lang w:val="en-US" w:eastAsia="zh-CN"/>
              </w:rPr>
              <w:t>21.</w:t>
            </w:r>
            <w:r>
              <w:rPr>
                <w:rFonts w:hint="eastAsia" w:ascii="宋体" w:hAnsi="宋体" w:eastAsia="宋体" w:cs="宋体"/>
                <w:color w:val="auto"/>
                <w:kern w:val="2"/>
                <w:sz w:val="21"/>
                <w:szCs w:val="21"/>
                <w:highlight w:val="none"/>
                <w:lang w:val="en-US" w:eastAsia="zh-CN"/>
              </w:rPr>
              <w:t>配外置智能锂电池，其中单电池可支持连续监护≥6小时，200J除颤≥300次。</w:t>
            </w:r>
          </w:p>
          <w:p w14:paraId="29A2480A">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ascii="宋体" w:hAnsi="宋体" w:eastAsia="宋体" w:cs="宋体"/>
                <w:color w:val="auto"/>
                <w:kern w:val="2"/>
                <w:sz w:val="21"/>
                <w:szCs w:val="21"/>
                <w:highlight w:val="none"/>
                <w:lang w:val="en-US" w:eastAsia="zh-CN"/>
              </w:rPr>
            </w:pPr>
            <w:r>
              <w:rPr>
                <w:rFonts w:hint="eastAsia" w:ascii="宋体" w:hAnsi="宋体" w:cs="宋体"/>
                <w:color w:val="auto"/>
                <w:kern w:val="2"/>
                <w:sz w:val="21"/>
                <w:szCs w:val="21"/>
                <w:highlight w:val="none"/>
                <w:lang w:val="en-US" w:eastAsia="zh-CN"/>
              </w:rPr>
              <w:t>22.</w:t>
            </w:r>
            <w:r>
              <w:rPr>
                <w:rFonts w:hint="eastAsia" w:ascii="宋体" w:hAnsi="宋体" w:eastAsia="宋体" w:cs="宋体"/>
                <w:color w:val="auto"/>
                <w:kern w:val="2"/>
                <w:sz w:val="21"/>
                <w:szCs w:val="21"/>
                <w:highlight w:val="none"/>
                <w:lang w:val="en-US" w:eastAsia="zh-CN"/>
              </w:rPr>
              <w:t>无需开机或拆机即可查看电池电量；电池可徒手拆卸，无需拆机，便于维护</w:t>
            </w:r>
          </w:p>
          <w:p w14:paraId="256B2A8A">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ascii="宋体" w:hAnsi="宋体" w:eastAsia="宋体" w:cs="宋体"/>
                <w:color w:val="auto"/>
                <w:kern w:val="2"/>
                <w:sz w:val="21"/>
                <w:szCs w:val="21"/>
                <w:highlight w:val="none"/>
                <w:lang w:val="en-US" w:eastAsia="zh-CN"/>
              </w:rPr>
            </w:pPr>
            <w:r>
              <w:rPr>
                <w:rFonts w:hint="eastAsia" w:ascii="宋体" w:hAnsi="宋体" w:eastAsia="宋体" w:cs="宋体"/>
                <w:color w:val="auto"/>
                <w:kern w:val="2"/>
                <w:sz w:val="21"/>
                <w:szCs w:val="21"/>
                <w:highlight w:val="none"/>
                <w:lang w:val="en-US" w:eastAsia="zh-CN"/>
              </w:rPr>
              <w:t>关机状态下设备支持每天定时自动运行自检（含监护模块和治疗模块），支持定期自动大能量自检（最大放电能量）。</w:t>
            </w:r>
          </w:p>
          <w:p w14:paraId="4AC2F14B">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ascii="宋体" w:hAnsi="宋体" w:eastAsia="宋体" w:cs="宋体"/>
                <w:color w:val="FF0000"/>
                <w:kern w:val="2"/>
                <w:sz w:val="21"/>
                <w:szCs w:val="21"/>
                <w:highlight w:val="none"/>
                <w:lang w:val="en-US" w:eastAsia="zh-CN"/>
              </w:rPr>
            </w:pPr>
            <w:r>
              <w:rPr>
                <w:rFonts w:hint="eastAsia" w:ascii="宋体" w:hAnsi="宋体" w:cs="宋体"/>
                <w:color w:val="FF0000"/>
                <w:kern w:val="2"/>
                <w:sz w:val="21"/>
                <w:szCs w:val="21"/>
                <w:highlight w:val="none"/>
                <w:lang w:val="en-US" w:eastAsia="zh-CN"/>
              </w:rPr>
              <w:t>23.</w:t>
            </w:r>
            <w:r>
              <w:rPr>
                <w:rFonts w:hint="eastAsia" w:ascii="宋体" w:hAnsi="宋体" w:eastAsia="宋体" w:cs="宋体"/>
                <w:color w:val="FF0000"/>
                <w:kern w:val="2"/>
                <w:sz w:val="21"/>
                <w:szCs w:val="21"/>
                <w:highlight w:val="none"/>
                <w:lang w:val="en-US" w:eastAsia="zh-CN"/>
              </w:rPr>
              <w:t>设备自检后支持</w:t>
            </w:r>
            <w:r>
              <w:rPr>
                <w:rFonts w:hint="eastAsia" w:ascii="宋体" w:hAnsi="宋体" w:cs="宋体"/>
                <w:color w:val="FF0000"/>
                <w:kern w:val="2"/>
                <w:sz w:val="21"/>
                <w:szCs w:val="21"/>
                <w:highlight w:val="none"/>
                <w:lang w:val="en-US" w:eastAsia="zh-CN"/>
              </w:rPr>
              <w:t>对</w:t>
            </w:r>
            <w:r>
              <w:rPr>
                <w:rFonts w:hint="eastAsia" w:ascii="宋体" w:hAnsi="宋体" w:eastAsia="宋体" w:cs="宋体"/>
                <w:color w:val="FF0000"/>
                <w:kern w:val="2"/>
                <w:sz w:val="21"/>
                <w:szCs w:val="21"/>
                <w:highlight w:val="none"/>
                <w:lang w:val="en-US" w:eastAsia="zh-CN"/>
              </w:rPr>
              <w:t>自检报告进行自动打印或按需打印。</w:t>
            </w:r>
          </w:p>
          <w:p w14:paraId="0880E31C">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ascii="宋体" w:hAnsi="宋体" w:eastAsia="宋体" w:cs="宋体"/>
                <w:color w:val="auto"/>
                <w:kern w:val="2"/>
                <w:sz w:val="21"/>
                <w:szCs w:val="21"/>
                <w:highlight w:val="none"/>
                <w:lang w:val="en-US" w:eastAsia="zh-CN"/>
              </w:rPr>
            </w:pPr>
            <w:r>
              <w:rPr>
                <w:rFonts w:hint="eastAsia" w:ascii="宋体" w:hAnsi="宋体" w:cs="宋体"/>
                <w:color w:val="auto"/>
                <w:kern w:val="2"/>
                <w:sz w:val="21"/>
                <w:szCs w:val="21"/>
                <w:highlight w:val="none"/>
                <w:lang w:val="en-US" w:eastAsia="zh-CN"/>
              </w:rPr>
              <w:t>24.</w:t>
            </w:r>
            <w:r>
              <w:rPr>
                <w:rFonts w:hint="eastAsia" w:ascii="宋体" w:hAnsi="宋体" w:eastAsia="宋体" w:cs="宋体"/>
                <w:color w:val="auto"/>
                <w:kern w:val="2"/>
                <w:sz w:val="21"/>
                <w:szCs w:val="21"/>
                <w:highlight w:val="none"/>
                <w:lang w:val="en-US" w:eastAsia="zh-CN"/>
              </w:rPr>
              <w:t>支持自检放电能量精度显示和打印，支持设备状态指示灯用户检测。</w:t>
            </w:r>
          </w:p>
          <w:p w14:paraId="5277A017">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ascii="宋体" w:hAnsi="宋体" w:eastAsia="宋体" w:cs="宋体"/>
                <w:color w:val="auto"/>
                <w:kern w:val="2"/>
                <w:sz w:val="21"/>
                <w:szCs w:val="21"/>
                <w:highlight w:val="none"/>
                <w:lang w:val="en-US" w:eastAsia="zh-CN"/>
              </w:rPr>
            </w:pPr>
            <w:r>
              <w:rPr>
                <w:rFonts w:hint="eastAsia" w:ascii="宋体" w:hAnsi="宋体" w:cs="宋体"/>
                <w:color w:val="auto"/>
                <w:kern w:val="2"/>
                <w:sz w:val="21"/>
                <w:szCs w:val="21"/>
                <w:highlight w:val="none"/>
                <w:lang w:val="en-US" w:eastAsia="zh-CN"/>
              </w:rPr>
              <w:t>25.</w:t>
            </w:r>
            <w:r>
              <w:rPr>
                <w:rFonts w:hint="eastAsia" w:ascii="宋体" w:hAnsi="宋体" w:eastAsia="宋体" w:cs="宋体"/>
                <w:color w:val="auto"/>
                <w:kern w:val="2"/>
                <w:sz w:val="21"/>
                <w:szCs w:val="21"/>
                <w:highlight w:val="none"/>
                <w:lang w:val="en-US" w:eastAsia="zh-CN"/>
              </w:rPr>
              <w:t>自动上传自检报告，并支持在设备管理系统或中央站集中查看除颤设备状态。</w:t>
            </w:r>
          </w:p>
          <w:p w14:paraId="1D41267B">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ascii="宋体" w:hAnsi="宋体" w:eastAsia="宋体" w:cs="宋体"/>
                <w:color w:val="auto"/>
                <w:kern w:val="2"/>
                <w:sz w:val="21"/>
                <w:szCs w:val="21"/>
                <w:highlight w:val="none"/>
                <w:lang w:val="en-US" w:eastAsia="zh-CN"/>
              </w:rPr>
            </w:pPr>
            <w:r>
              <w:rPr>
                <w:rFonts w:hint="eastAsia" w:ascii="宋体" w:hAnsi="宋体" w:cs="宋体"/>
                <w:color w:val="auto"/>
                <w:kern w:val="2"/>
                <w:sz w:val="21"/>
                <w:szCs w:val="21"/>
                <w:highlight w:val="none"/>
                <w:lang w:val="en-US" w:eastAsia="zh-CN"/>
              </w:rPr>
              <w:t>26.</w:t>
            </w:r>
            <w:r>
              <w:rPr>
                <w:rFonts w:hint="eastAsia" w:ascii="宋体" w:hAnsi="宋体" w:eastAsia="宋体" w:cs="宋体"/>
                <w:color w:val="auto"/>
                <w:kern w:val="2"/>
                <w:sz w:val="21"/>
                <w:szCs w:val="21"/>
                <w:highlight w:val="none"/>
                <w:lang w:val="en-US" w:eastAsia="zh-CN"/>
              </w:rPr>
              <w:t>具备良好的防尘防水性能，防尘防水级别IP55。</w:t>
            </w:r>
          </w:p>
          <w:p w14:paraId="2351CCC1">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ascii="宋体" w:hAnsi="宋体" w:eastAsia="宋体" w:cs="宋体"/>
                <w:color w:val="auto"/>
                <w:kern w:val="2"/>
                <w:sz w:val="21"/>
                <w:szCs w:val="21"/>
                <w:highlight w:val="none"/>
                <w:lang w:val="en-US" w:eastAsia="zh-CN"/>
              </w:rPr>
            </w:pPr>
            <w:r>
              <w:rPr>
                <w:rFonts w:hint="eastAsia" w:ascii="宋体" w:hAnsi="宋体" w:cs="宋体"/>
                <w:color w:val="auto"/>
                <w:kern w:val="2"/>
                <w:sz w:val="21"/>
                <w:szCs w:val="21"/>
                <w:highlight w:val="none"/>
                <w:lang w:val="en-US" w:eastAsia="zh-CN"/>
              </w:rPr>
              <w:t>27.</w:t>
            </w:r>
            <w:r>
              <w:rPr>
                <w:rFonts w:hint="eastAsia" w:ascii="宋体" w:hAnsi="宋体" w:eastAsia="宋体" w:cs="宋体"/>
                <w:color w:val="auto"/>
                <w:kern w:val="2"/>
                <w:sz w:val="21"/>
                <w:szCs w:val="21"/>
                <w:highlight w:val="none"/>
                <w:lang w:val="en-US" w:eastAsia="zh-CN"/>
              </w:rPr>
              <w:t>具备优异的抗跌落性能，满足救护车标准EN1789 中6.3.4.3 关于跌落试验的要求，可承受1.5米跌落冲击。</w:t>
            </w:r>
          </w:p>
          <w:p w14:paraId="16A61B59">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ascii="宋体" w:hAnsi="宋体" w:eastAsia="宋体" w:cs="宋体"/>
                <w:color w:val="auto"/>
                <w:kern w:val="2"/>
                <w:sz w:val="21"/>
                <w:szCs w:val="21"/>
                <w:highlight w:val="none"/>
                <w:lang w:val="en-US" w:eastAsia="zh-CN"/>
              </w:rPr>
            </w:pPr>
            <w:r>
              <w:rPr>
                <w:rFonts w:hint="eastAsia" w:ascii="宋体" w:hAnsi="宋体" w:cs="宋体"/>
                <w:color w:val="auto"/>
                <w:kern w:val="2"/>
                <w:sz w:val="21"/>
                <w:szCs w:val="21"/>
                <w:highlight w:val="none"/>
                <w:lang w:val="en-US" w:eastAsia="zh-CN"/>
              </w:rPr>
              <w:t>28.</w:t>
            </w:r>
            <w:r>
              <w:rPr>
                <w:rFonts w:hint="eastAsia" w:ascii="宋体" w:hAnsi="宋体" w:eastAsia="宋体" w:cs="宋体"/>
                <w:color w:val="auto"/>
                <w:kern w:val="2"/>
                <w:sz w:val="21"/>
                <w:szCs w:val="21"/>
                <w:highlight w:val="none"/>
                <w:lang w:val="en-US" w:eastAsia="zh-CN"/>
              </w:rPr>
              <w:t>工作环境温度范围：-20°C-55°C，湿度范围：</w:t>
            </w:r>
            <w:r>
              <w:rPr>
                <w:rFonts w:hint="eastAsia" w:ascii="宋体" w:hAnsi="宋体" w:cs="宋体"/>
                <w:color w:val="auto"/>
                <w:kern w:val="2"/>
                <w:sz w:val="21"/>
                <w:szCs w:val="21"/>
                <w:highlight w:val="none"/>
                <w:lang w:val="en-US" w:eastAsia="zh-CN"/>
              </w:rPr>
              <w:t>5%—95%</w:t>
            </w:r>
            <w:r>
              <w:rPr>
                <w:rFonts w:hint="eastAsia" w:ascii="宋体" w:hAnsi="宋体" w:eastAsia="宋体" w:cs="宋体"/>
                <w:color w:val="auto"/>
                <w:kern w:val="2"/>
                <w:sz w:val="21"/>
                <w:szCs w:val="21"/>
                <w:highlight w:val="none"/>
                <w:lang w:val="en-US" w:eastAsia="zh-CN"/>
              </w:rPr>
              <w:t>，大气压范围：57.0 kPa ～ 106.2 kPa。</w:t>
            </w:r>
          </w:p>
          <w:p w14:paraId="4C67464A">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ascii="宋体" w:hAnsi="宋体" w:eastAsia="宋体" w:cs="宋体"/>
                <w:color w:val="auto"/>
                <w:kern w:val="2"/>
                <w:sz w:val="21"/>
                <w:szCs w:val="21"/>
                <w:highlight w:val="none"/>
                <w:lang w:val="en-US" w:eastAsia="zh-CN"/>
              </w:rPr>
            </w:pPr>
            <w:r>
              <w:rPr>
                <w:rFonts w:hint="eastAsia" w:ascii="宋体" w:hAnsi="宋体" w:cs="宋体"/>
                <w:color w:val="auto"/>
                <w:kern w:val="2"/>
                <w:sz w:val="21"/>
                <w:szCs w:val="21"/>
                <w:highlight w:val="none"/>
                <w:lang w:val="en-US" w:eastAsia="zh-CN"/>
              </w:rPr>
              <w:t>29.</w:t>
            </w:r>
            <w:r>
              <w:rPr>
                <w:rFonts w:hint="eastAsia" w:ascii="宋体" w:hAnsi="宋体" w:eastAsia="宋体" w:cs="宋体"/>
                <w:color w:val="auto"/>
                <w:kern w:val="2"/>
                <w:sz w:val="21"/>
                <w:szCs w:val="21"/>
                <w:highlight w:val="none"/>
                <w:lang w:val="en-US" w:eastAsia="zh-CN"/>
              </w:rPr>
              <w:t>为保证设备参数采集准确性及稳定性，所提供附件（如体外除颤电极板及心电导连线）与除颤仪需为同一品牌</w:t>
            </w:r>
          </w:p>
          <w:p w14:paraId="6B9C66FA">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ascii="宋体" w:hAnsi="宋体" w:eastAsia="宋体" w:cs="宋体"/>
                <w:color w:val="auto"/>
                <w:kern w:val="2"/>
                <w:sz w:val="21"/>
                <w:szCs w:val="21"/>
                <w:highlight w:val="none"/>
                <w:lang w:val="en-US" w:eastAsia="zh-CN"/>
              </w:rPr>
            </w:pPr>
            <w:r>
              <w:rPr>
                <w:rFonts w:hint="eastAsia" w:ascii="宋体" w:hAnsi="宋体" w:cs="宋体"/>
                <w:color w:val="auto"/>
                <w:kern w:val="2"/>
                <w:sz w:val="21"/>
                <w:szCs w:val="21"/>
                <w:highlight w:val="none"/>
                <w:lang w:val="en-US" w:eastAsia="zh-CN"/>
              </w:rPr>
              <w:t>30.</w:t>
            </w:r>
            <w:r>
              <w:rPr>
                <w:rFonts w:hint="eastAsia" w:ascii="宋体" w:hAnsi="宋体" w:eastAsia="宋体" w:cs="宋体"/>
                <w:color w:val="auto"/>
                <w:kern w:val="2"/>
                <w:sz w:val="21"/>
                <w:szCs w:val="21"/>
                <w:highlight w:val="none"/>
                <w:lang w:val="en-US" w:eastAsia="zh-CN"/>
              </w:rPr>
              <w:t>除颤仪的报警可升级通过手表实时分发给医护人员，保障患者安全。</w:t>
            </w:r>
          </w:p>
          <w:p w14:paraId="609FB382">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ascii="宋体" w:hAnsi="宋体" w:eastAsia="宋体" w:cs="宋体"/>
                <w:color w:val="auto"/>
                <w:kern w:val="2"/>
                <w:sz w:val="21"/>
                <w:szCs w:val="21"/>
                <w:highlight w:val="none"/>
                <w:lang w:val="en-US" w:eastAsia="zh-CN"/>
              </w:rPr>
            </w:pPr>
            <w:r>
              <w:rPr>
                <w:rFonts w:hint="eastAsia" w:ascii="宋体" w:hAnsi="宋体" w:cs="宋体"/>
                <w:color w:val="auto"/>
                <w:kern w:val="2"/>
                <w:sz w:val="21"/>
                <w:szCs w:val="21"/>
                <w:highlight w:val="none"/>
                <w:lang w:val="en-US" w:eastAsia="zh-CN"/>
              </w:rPr>
              <w:t>31.</w:t>
            </w:r>
            <w:r>
              <w:rPr>
                <w:rFonts w:hint="eastAsia" w:ascii="宋体" w:hAnsi="宋体" w:eastAsia="宋体" w:cs="宋体"/>
                <w:color w:val="auto"/>
                <w:kern w:val="2"/>
                <w:sz w:val="21"/>
                <w:szCs w:val="21"/>
                <w:highlight w:val="none"/>
                <w:lang w:val="en-US" w:eastAsia="zh-CN"/>
              </w:rPr>
              <w:t>为了保证产品质量，本项目不接受最近一年内因违反《医疗器械生产质量管理规范》被停业整顿的生产厂家产品。</w:t>
            </w:r>
          </w:p>
          <w:p w14:paraId="59360819">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ascii="宋体" w:hAnsi="宋体" w:eastAsia="宋体" w:cs="宋体"/>
                <w:color w:val="auto"/>
                <w:kern w:val="2"/>
                <w:sz w:val="21"/>
                <w:szCs w:val="21"/>
                <w:highlight w:val="none"/>
                <w:lang w:val="en-US" w:eastAsia="zh-CN"/>
              </w:rPr>
            </w:pPr>
            <w:r>
              <w:rPr>
                <w:rFonts w:hint="eastAsia" w:ascii="宋体" w:hAnsi="宋体" w:cs="宋体"/>
                <w:color w:val="auto"/>
                <w:kern w:val="2"/>
                <w:sz w:val="21"/>
                <w:szCs w:val="21"/>
                <w:highlight w:val="none"/>
                <w:lang w:val="en-US" w:eastAsia="zh-CN"/>
              </w:rPr>
              <w:t>32.</w:t>
            </w:r>
            <w:r>
              <w:rPr>
                <w:rFonts w:hint="eastAsia" w:ascii="宋体" w:hAnsi="宋体" w:eastAsia="宋体" w:cs="宋体"/>
                <w:color w:val="auto"/>
                <w:kern w:val="2"/>
                <w:sz w:val="21"/>
                <w:szCs w:val="21"/>
                <w:highlight w:val="none"/>
                <w:lang w:val="en-US" w:eastAsia="zh-CN"/>
              </w:rPr>
              <w:t>为避免纠纷、保护知识产权，本项目不接受最近一年内被</w:t>
            </w:r>
            <w:r>
              <w:rPr>
                <w:rFonts w:hint="eastAsia" w:ascii="宋体" w:hAnsi="宋体" w:cs="宋体"/>
                <w:color w:val="auto"/>
                <w:kern w:val="2"/>
                <w:sz w:val="21"/>
                <w:szCs w:val="21"/>
                <w:highlight w:val="none"/>
                <w:lang w:val="en-US" w:eastAsia="zh-CN"/>
              </w:rPr>
              <w:t>最高人民法院</w:t>
            </w:r>
            <w:r>
              <w:rPr>
                <w:rFonts w:hint="eastAsia" w:ascii="宋体" w:hAnsi="宋体" w:eastAsia="宋体" w:cs="宋体"/>
                <w:color w:val="auto"/>
                <w:kern w:val="2"/>
                <w:sz w:val="21"/>
                <w:szCs w:val="21"/>
                <w:highlight w:val="none"/>
                <w:lang w:val="en-US" w:eastAsia="zh-CN"/>
              </w:rPr>
              <w:t>判决专利侵权的生产厂家的产品。</w:t>
            </w:r>
          </w:p>
          <w:p w14:paraId="1671CE11">
            <w:pPr>
              <w:keepNext w:val="0"/>
              <w:keepLines w:val="0"/>
              <w:pageBreakBefore w:val="0"/>
              <w:widowControl w:val="0"/>
              <w:kinsoku/>
              <w:wordWrap/>
              <w:overflowPunct/>
              <w:topLinePunct w:val="0"/>
              <w:autoSpaceDE/>
              <w:autoSpaceDN/>
              <w:bidi w:val="0"/>
              <w:adjustRightInd/>
              <w:snapToGrid/>
              <w:spacing w:line="440" w:lineRule="exact"/>
              <w:textAlignment w:val="auto"/>
              <w:rPr>
                <w:rFonts w:hint="default" w:ascii="宋体" w:hAnsi="宋体" w:eastAsia="宋体" w:cs="宋体"/>
                <w:color w:val="auto"/>
                <w:kern w:val="2"/>
                <w:sz w:val="21"/>
                <w:szCs w:val="21"/>
                <w:highlight w:val="none"/>
                <w:lang w:val="en-US" w:eastAsia="zh-CN"/>
              </w:rPr>
            </w:pPr>
            <w:r>
              <w:rPr>
                <w:rFonts w:hint="eastAsia" w:ascii="宋体" w:hAnsi="宋体" w:eastAsia="宋体" w:cs="宋体"/>
                <w:color w:val="auto"/>
                <w:kern w:val="2"/>
                <w:sz w:val="21"/>
                <w:szCs w:val="21"/>
                <w:highlight w:val="none"/>
                <w:lang w:val="en-US" w:eastAsia="zh-CN"/>
              </w:rPr>
              <w:t>★</w:t>
            </w:r>
            <w:r>
              <w:rPr>
                <w:rFonts w:hint="eastAsia" w:ascii="宋体" w:hAnsi="宋体" w:cs="宋体"/>
                <w:color w:val="auto"/>
                <w:kern w:val="2"/>
                <w:sz w:val="21"/>
                <w:szCs w:val="21"/>
                <w:highlight w:val="none"/>
                <w:lang w:val="en-US" w:eastAsia="zh-CN"/>
              </w:rPr>
              <w:t>33.</w:t>
            </w:r>
            <w:r>
              <w:rPr>
                <w:rFonts w:hint="eastAsia" w:ascii="宋体" w:hAnsi="宋体" w:eastAsia="宋体" w:cs="宋体"/>
                <w:color w:val="auto"/>
                <w:kern w:val="2"/>
                <w:sz w:val="21"/>
                <w:szCs w:val="21"/>
                <w:highlight w:val="none"/>
                <w:lang w:val="en-US" w:eastAsia="zh-CN"/>
              </w:rPr>
              <w:t>除颤仪</w:t>
            </w:r>
            <w:r>
              <w:rPr>
                <w:rFonts w:hint="eastAsia" w:ascii="宋体" w:hAnsi="宋体" w:cs="宋体"/>
                <w:color w:val="auto"/>
                <w:kern w:val="2"/>
                <w:sz w:val="21"/>
                <w:szCs w:val="21"/>
                <w:highlight w:val="none"/>
                <w:lang w:val="en-US" w:eastAsia="zh-CN"/>
              </w:rPr>
              <w:t>需接入安克急救调度系统。</w:t>
            </w:r>
          </w:p>
        </w:tc>
      </w:tr>
      <w:tr w14:paraId="654D9A8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jc w:val="center"/>
        </w:trPr>
        <w:tc>
          <w:tcPr>
            <w:tcW w:w="9192" w:type="dxa"/>
            <w:gridSpan w:val="2"/>
            <w:tcBorders>
              <w:top w:val="single" w:color="auto" w:sz="4" w:space="0"/>
              <w:left w:val="single" w:color="auto" w:sz="4" w:space="0"/>
              <w:bottom w:val="single" w:color="auto" w:sz="4" w:space="0"/>
              <w:right w:val="single" w:color="auto" w:sz="4" w:space="0"/>
            </w:tcBorders>
            <w:noWrap/>
            <w:vAlign w:val="center"/>
          </w:tcPr>
          <w:p w14:paraId="51BC7064">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eastAsia" w:ascii="宋体" w:hAnsi="宋体" w:eastAsia="宋体" w:cs="宋体"/>
                <w:color w:val="auto"/>
                <w:kern w:val="2"/>
                <w:sz w:val="21"/>
                <w:szCs w:val="21"/>
                <w:highlight w:val="none"/>
                <w:lang w:val="en-US" w:eastAsia="zh-CN"/>
              </w:rPr>
            </w:pPr>
            <w:r>
              <w:rPr>
                <w:rFonts w:hint="eastAsia" w:ascii="宋体" w:hAnsi="宋体" w:eastAsia="宋体" w:cs="宋体"/>
                <w:b/>
                <w:bCs/>
                <w:color w:val="auto"/>
                <w:kern w:val="2"/>
                <w:sz w:val="21"/>
                <w:szCs w:val="21"/>
                <w:highlight w:val="none"/>
                <w:lang w:val="en-US" w:eastAsia="zh-CN"/>
              </w:rPr>
              <w:t>六、心电图机</w:t>
            </w:r>
          </w:p>
        </w:tc>
      </w:tr>
      <w:tr w14:paraId="5FAA008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6" w:hRule="atLeast"/>
          <w:jc w:val="center"/>
        </w:trPr>
        <w:tc>
          <w:tcPr>
            <w:tcW w:w="1084" w:type="dxa"/>
            <w:tcBorders>
              <w:top w:val="single" w:color="auto" w:sz="4" w:space="0"/>
              <w:left w:val="single" w:color="auto" w:sz="4" w:space="0"/>
              <w:bottom w:val="single" w:color="auto" w:sz="4" w:space="0"/>
              <w:right w:val="single" w:color="auto" w:sz="4" w:space="0"/>
            </w:tcBorders>
            <w:noWrap/>
            <w:vAlign w:val="center"/>
          </w:tcPr>
          <w:p w14:paraId="6C399813">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ascii="宋体" w:hAnsi="宋体" w:eastAsia="宋体" w:cs="宋体"/>
                <w:color w:val="auto"/>
                <w:kern w:val="2"/>
                <w:sz w:val="21"/>
                <w:szCs w:val="21"/>
                <w:highlight w:val="none"/>
                <w:lang w:val="en-US" w:eastAsia="zh-CN"/>
              </w:rPr>
            </w:pPr>
          </w:p>
        </w:tc>
        <w:tc>
          <w:tcPr>
            <w:tcW w:w="8108" w:type="dxa"/>
            <w:tcBorders>
              <w:top w:val="single" w:color="auto" w:sz="4" w:space="0"/>
              <w:left w:val="single" w:color="auto" w:sz="4" w:space="0"/>
              <w:bottom w:val="single" w:color="auto" w:sz="4" w:space="0"/>
              <w:right w:val="single" w:color="auto" w:sz="4" w:space="0"/>
            </w:tcBorders>
            <w:noWrap/>
            <w:vAlign w:val="center"/>
          </w:tcPr>
          <w:p w14:paraId="4833D95D">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ascii="宋体" w:hAnsi="宋体" w:eastAsia="宋体" w:cs="宋体"/>
                <w:color w:val="auto"/>
                <w:kern w:val="2"/>
                <w:sz w:val="21"/>
                <w:szCs w:val="21"/>
                <w:highlight w:val="none"/>
                <w:lang w:val="en-US" w:eastAsia="zh-CN"/>
              </w:rPr>
            </w:pPr>
            <w:r>
              <w:rPr>
                <w:rFonts w:hint="eastAsia" w:ascii="宋体" w:hAnsi="宋体" w:eastAsia="宋体" w:cs="宋体"/>
                <w:color w:val="auto"/>
                <w:kern w:val="2"/>
                <w:sz w:val="21"/>
                <w:szCs w:val="21"/>
                <w:highlight w:val="none"/>
                <w:lang w:val="en-US" w:eastAsia="zh-CN"/>
              </w:rPr>
              <w:t>一、工作条件</w:t>
            </w:r>
          </w:p>
          <w:p w14:paraId="20076578">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ascii="宋体" w:hAnsi="宋体" w:eastAsia="宋体" w:cs="宋体"/>
                <w:color w:val="auto"/>
                <w:kern w:val="2"/>
                <w:sz w:val="21"/>
                <w:szCs w:val="21"/>
                <w:highlight w:val="none"/>
                <w:lang w:val="en-US" w:eastAsia="zh-CN"/>
              </w:rPr>
            </w:pPr>
            <w:r>
              <w:rPr>
                <w:rFonts w:hint="eastAsia" w:ascii="宋体" w:hAnsi="宋体" w:eastAsia="宋体" w:cs="宋体"/>
                <w:color w:val="auto"/>
                <w:kern w:val="2"/>
                <w:sz w:val="21"/>
                <w:szCs w:val="21"/>
                <w:highlight w:val="none"/>
                <w:lang w:val="en-US" w:eastAsia="zh-CN"/>
              </w:rPr>
              <w:t>1.1  产品可在交流电源100V</w:t>
            </w:r>
            <w:r>
              <w:rPr>
                <w:rFonts w:hint="eastAsia" w:ascii="宋体" w:hAnsi="宋体" w:cs="宋体"/>
                <w:color w:val="auto"/>
                <w:kern w:val="2"/>
                <w:sz w:val="21"/>
                <w:szCs w:val="21"/>
                <w:highlight w:val="none"/>
                <w:lang w:val="en-US" w:eastAsia="zh-CN"/>
              </w:rPr>
              <w:t>～</w:t>
            </w:r>
            <w:r>
              <w:rPr>
                <w:rFonts w:hint="eastAsia" w:ascii="宋体" w:hAnsi="宋体" w:eastAsia="宋体" w:cs="宋体"/>
                <w:color w:val="auto"/>
                <w:kern w:val="2"/>
                <w:sz w:val="21"/>
                <w:szCs w:val="21"/>
                <w:highlight w:val="none"/>
                <w:lang w:val="en-US" w:eastAsia="zh-CN"/>
              </w:rPr>
              <w:t>240V，50/60Hz，室温5—40℃，相对湿度15% ~95%，大气压57.0 kPa ～ 107.4 kPa的环境下正常工作</w:t>
            </w:r>
          </w:p>
          <w:p w14:paraId="546A346D">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ascii="宋体" w:hAnsi="宋体" w:eastAsia="宋体" w:cs="宋体"/>
                <w:color w:val="auto"/>
                <w:kern w:val="2"/>
                <w:sz w:val="21"/>
                <w:szCs w:val="21"/>
                <w:highlight w:val="none"/>
                <w:lang w:val="en-US" w:eastAsia="zh-CN"/>
              </w:rPr>
            </w:pPr>
            <w:r>
              <w:rPr>
                <w:rFonts w:hint="eastAsia" w:ascii="宋体" w:hAnsi="宋体" w:eastAsia="宋体" w:cs="宋体"/>
                <w:color w:val="auto"/>
                <w:kern w:val="2"/>
                <w:sz w:val="21"/>
                <w:szCs w:val="21"/>
                <w:highlight w:val="none"/>
                <w:lang w:val="en-US" w:eastAsia="zh-CN"/>
              </w:rPr>
              <w:t>1.2  产品电源插头符合中国标准，无需适配器</w:t>
            </w:r>
          </w:p>
          <w:p w14:paraId="00EC6CAB">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ascii="宋体" w:hAnsi="宋体" w:eastAsia="宋体" w:cs="宋体"/>
                <w:color w:val="auto"/>
                <w:kern w:val="2"/>
                <w:sz w:val="21"/>
                <w:szCs w:val="21"/>
                <w:highlight w:val="none"/>
                <w:lang w:val="en-US" w:eastAsia="zh-CN"/>
              </w:rPr>
            </w:pPr>
            <w:r>
              <w:rPr>
                <w:rFonts w:hint="eastAsia" w:ascii="宋体" w:hAnsi="宋体" w:eastAsia="宋体" w:cs="宋体"/>
                <w:color w:val="auto"/>
                <w:kern w:val="2"/>
                <w:sz w:val="21"/>
                <w:szCs w:val="21"/>
                <w:highlight w:val="none"/>
                <w:lang w:val="en-US" w:eastAsia="zh-CN"/>
              </w:rPr>
              <w:t>1.3  内置可充电锂电池，连续工作时间不少于500 份自动报告，或不少于2 小时连续记录，或不少于6 小时无记录测量</w:t>
            </w:r>
          </w:p>
          <w:p w14:paraId="4BE5A57B">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ascii="宋体" w:hAnsi="宋体" w:eastAsia="宋体" w:cs="宋体"/>
                <w:color w:val="auto"/>
                <w:kern w:val="2"/>
                <w:sz w:val="21"/>
                <w:szCs w:val="21"/>
                <w:highlight w:val="none"/>
                <w:lang w:val="en-US" w:eastAsia="zh-CN"/>
              </w:rPr>
            </w:pPr>
            <w:r>
              <w:rPr>
                <w:rFonts w:hint="eastAsia" w:ascii="宋体" w:hAnsi="宋体" w:eastAsia="宋体" w:cs="宋体"/>
                <w:color w:val="auto"/>
                <w:kern w:val="2"/>
                <w:sz w:val="21"/>
                <w:szCs w:val="21"/>
                <w:highlight w:val="none"/>
                <w:lang w:val="en-US" w:eastAsia="zh-CN"/>
              </w:rPr>
              <w:t>二、物理规格</w:t>
            </w:r>
          </w:p>
          <w:p w14:paraId="388A885D">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ascii="宋体" w:hAnsi="宋体" w:eastAsia="宋体" w:cs="宋体"/>
                <w:color w:val="auto"/>
                <w:kern w:val="2"/>
                <w:sz w:val="21"/>
                <w:szCs w:val="21"/>
                <w:highlight w:val="none"/>
                <w:lang w:val="en-US" w:eastAsia="zh-CN"/>
              </w:rPr>
            </w:pPr>
            <w:r>
              <w:rPr>
                <w:rFonts w:hint="eastAsia" w:ascii="宋体" w:hAnsi="宋体" w:eastAsia="宋体" w:cs="宋体"/>
                <w:color w:val="auto"/>
                <w:kern w:val="2"/>
                <w:sz w:val="21"/>
                <w:szCs w:val="21"/>
                <w:highlight w:val="none"/>
                <w:lang w:val="en-US" w:eastAsia="zh-CN"/>
              </w:rPr>
              <w:t>2.1  产品重量≤1.5kg（包含电池和记录仪，不含记录纸和附件线缆）</w:t>
            </w:r>
          </w:p>
          <w:p w14:paraId="1EADBC6D">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ascii="宋体" w:hAnsi="宋体" w:eastAsia="宋体" w:cs="宋体"/>
                <w:color w:val="auto"/>
                <w:kern w:val="2"/>
                <w:sz w:val="21"/>
                <w:szCs w:val="21"/>
                <w:highlight w:val="none"/>
                <w:lang w:val="en-US" w:eastAsia="zh-CN"/>
              </w:rPr>
            </w:pPr>
            <w:r>
              <w:rPr>
                <w:rFonts w:hint="eastAsia" w:ascii="宋体" w:hAnsi="宋体" w:eastAsia="宋体" w:cs="宋体"/>
                <w:color w:val="auto"/>
                <w:kern w:val="2"/>
                <w:sz w:val="21"/>
                <w:szCs w:val="21"/>
                <w:highlight w:val="none"/>
                <w:lang w:val="en-US" w:eastAsia="zh-CN"/>
              </w:rPr>
              <w:t>2.2  主机轻巧便携，厚度≤60mm</w:t>
            </w:r>
          </w:p>
          <w:p w14:paraId="666DF901">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ascii="宋体" w:hAnsi="宋体" w:eastAsia="宋体" w:cs="宋体"/>
                <w:color w:val="auto"/>
                <w:kern w:val="2"/>
                <w:sz w:val="21"/>
                <w:szCs w:val="21"/>
                <w:highlight w:val="none"/>
                <w:lang w:val="en-US" w:eastAsia="zh-CN"/>
              </w:rPr>
            </w:pPr>
            <w:r>
              <w:rPr>
                <w:rFonts w:hint="eastAsia" w:ascii="宋体" w:hAnsi="宋体" w:eastAsia="宋体" w:cs="宋体"/>
                <w:color w:val="auto"/>
                <w:kern w:val="2"/>
                <w:sz w:val="21"/>
                <w:szCs w:val="21"/>
                <w:highlight w:val="none"/>
                <w:lang w:val="en-US" w:eastAsia="zh-CN"/>
              </w:rPr>
              <w:t>三、ECG测量规格</w:t>
            </w:r>
          </w:p>
          <w:p w14:paraId="20E919D5">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ascii="宋体" w:hAnsi="宋体" w:eastAsia="宋体" w:cs="宋体"/>
                <w:color w:val="auto"/>
                <w:kern w:val="2"/>
                <w:sz w:val="21"/>
                <w:szCs w:val="21"/>
                <w:highlight w:val="none"/>
                <w:lang w:val="en-US" w:eastAsia="zh-CN"/>
              </w:rPr>
            </w:pPr>
            <w:r>
              <w:rPr>
                <w:rFonts w:hint="eastAsia" w:ascii="宋体" w:hAnsi="宋体" w:eastAsia="宋体" w:cs="宋体"/>
                <w:color w:val="auto"/>
                <w:kern w:val="2"/>
                <w:sz w:val="21"/>
                <w:szCs w:val="21"/>
                <w:highlight w:val="none"/>
                <w:lang w:val="en-US" w:eastAsia="zh-CN"/>
              </w:rPr>
              <w:t>3.1  ★频率响应：0.01Hz ~ 500Hz</w:t>
            </w:r>
          </w:p>
          <w:p w14:paraId="092AA78E">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ascii="宋体" w:hAnsi="宋体" w:eastAsia="宋体" w:cs="宋体"/>
                <w:color w:val="auto"/>
                <w:kern w:val="2"/>
                <w:sz w:val="21"/>
                <w:szCs w:val="21"/>
                <w:highlight w:val="none"/>
                <w:lang w:val="en-US" w:eastAsia="zh-CN"/>
              </w:rPr>
            </w:pPr>
            <w:r>
              <w:rPr>
                <w:rFonts w:hint="eastAsia" w:ascii="宋体" w:hAnsi="宋体" w:eastAsia="宋体" w:cs="宋体"/>
                <w:color w:val="auto"/>
                <w:kern w:val="2"/>
                <w:sz w:val="21"/>
                <w:szCs w:val="21"/>
                <w:highlight w:val="none"/>
                <w:lang w:val="en-US" w:eastAsia="zh-CN"/>
              </w:rPr>
              <w:t>3.2  采样率：64 kHz</w:t>
            </w:r>
          </w:p>
          <w:p w14:paraId="73461953">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ascii="宋体" w:hAnsi="宋体" w:eastAsia="宋体" w:cs="宋体"/>
                <w:color w:val="auto"/>
                <w:kern w:val="2"/>
                <w:sz w:val="21"/>
                <w:szCs w:val="21"/>
                <w:highlight w:val="none"/>
                <w:lang w:val="en-US" w:eastAsia="zh-CN"/>
              </w:rPr>
            </w:pPr>
            <w:r>
              <w:rPr>
                <w:rFonts w:hint="eastAsia" w:ascii="宋体" w:hAnsi="宋体" w:eastAsia="宋体" w:cs="宋体"/>
                <w:color w:val="auto"/>
                <w:kern w:val="2"/>
                <w:sz w:val="21"/>
                <w:szCs w:val="21"/>
                <w:highlight w:val="none"/>
                <w:lang w:val="en-US" w:eastAsia="zh-CN"/>
              </w:rPr>
              <w:t>3.3  起搏器采样率：96 kHz</w:t>
            </w:r>
          </w:p>
          <w:p w14:paraId="1334AFC2">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ascii="宋体" w:hAnsi="宋体" w:eastAsia="宋体" w:cs="宋体"/>
                <w:color w:val="auto"/>
                <w:kern w:val="2"/>
                <w:sz w:val="21"/>
                <w:szCs w:val="21"/>
                <w:highlight w:val="none"/>
                <w:lang w:val="en-US" w:eastAsia="zh-CN"/>
              </w:rPr>
            </w:pPr>
            <w:r>
              <w:rPr>
                <w:rFonts w:hint="eastAsia" w:ascii="宋体" w:hAnsi="宋体" w:eastAsia="宋体" w:cs="宋体"/>
                <w:color w:val="auto"/>
                <w:kern w:val="2"/>
                <w:sz w:val="21"/>
                <w:szCs w:val="21"/>
                <w:highlight w:val="none"/>
                <w:lang w:val="en-US" w:eastAsia="zh-CN"/>
              </w:rPr>
              <w:t>3.4  输入阻抗：≥100MΩ（10Hz）</w:t>
            </w:r>
          </w:p>
          <w:p w14:paraId="364ECA88">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ascii="宋体" w:hAnsi="宋体" w:eastAsia="宋体" w:cs="宋体"/>
                <w:color w:val="auto"/>
                <w:kern w:val="2"/>
                <w:sz w:val="21"/>
                <w:szCs w:val="21"/>
                <w:highlight w:val="none"/>
                <w:lang w:val="en-US" w:eastAsia="zh-CN"/>
              </w:rPr>
            </w:pPr>
            <w:r>
              <w:rPr>
                <w:rFonts w:hint="eastAsia" w:ascii="宋体" w:hAnsi="宋体" w:eastAsia="宋体" w:cs="宋体"/>
                <w:color w:val="auto"/>
                <w:kern w:val="2"/>
                <w:sz w:val="21"/>
                <w:szCs w:val="21"/>
                <w:highlight w:val="none"/>
                <w:lang w:val="en-US" w:eastAsia="zh-CN"/>
              </w:rPr>
              <w:t>3.5  定标电压：1mV±1%</w:t>
            </w:r>
          </w:p>
          <w:p w14:paraId="30B3BA4A">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ascii="宋体" w:hAnsi="宋体" w:eastAsia="宋体" w:cs="宋体"/>
                <w:color w:val="auto"/>
                <w:kern w:val="2"/>
                <w:sz w:val="21"/>
                <w:szCs w:val="21"/>
                <w:highlight w:val="none"/>
                <w:lang w:val="en-US" w:eastAsia="zh-CN"/>
              </w:rPr>
            </w:pPr>
            <w:r>
              <w:rPr>
                <w:rFonts w:hint="eastAsia" w:ascii="宋体" w:hAnsi="宋体" w:eastAsia="宋体" w:cs="宋体"/>
                <w:color w:val="auto"/>
                <w:kern w:val="2"/>
                <w:sz w:val="21"/>
                <w:szCs w:val="21"/>
                <w:highlight w:val="none"/>
                <w:lang w:val="en-US" w:eastAsia="zh-CN"/>
              </w:rPr>
              <w:t>3.6  耐极化电压：≥±900mV（±5%）</w:t>
            </w:r>
          </w:p>
          <w:p w14:paraId="7E2D8725">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ascii="宋体" w:hAnsi="宋体" w:eastAsia="宋体" w:cs="宋体"/>
                <w:color w:val="auto"/>
                <w:kern w:val="2"/>
                <w:sz w:val="21"/>
                <w:szCs w:val="21"/>
                <w:highlight w:val="none"/>
                <w:lang w:val="en-US" w:eastAsia="zh-CN"/>
              </w:rPr>
            </w:pPr>
            <w:r>
              <w:rPr>
                <w:rFonts w:hint="eastAsia" w:ascii="宋体" w:hAnsi="宋体" w:eastAsia="宋体" w:cs="宋体"/>
                <w:color w:val="auto"/>
                <w:kern w:val="2"/>
                <w:sz w:val="21"/>
                <w:szCs w:val="21"/>
                <w:highlight w:val="none"/>
                <w:lang w:val="en-US" w:eastAsia="zh-CN"/>
              </w:rPr>
              <w:t>3.7  内部噪声：≤12.5µVp-p</w:t>
            </w:r>
          </w:p>
          <w:p w14:paraId="79E30255">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ascii="宋体" w:hAnsi="宋体" w:eastAsia="宋体" w:cs="宋体"/>
                <w:color w:val="auto"/>
                <w:kern w:val="2"/>
                <w:sz w:val="21"/>
                <w:szCs w:val="21"/>
                <w:highlight w:val="none"/>
                <w:lang w:val="en-US" w:eastAsia="zh-CN"/>
              </w:rPr>
            </w:pPr>
            <w:r>
              <w:rPr>
                <w:rFonts w:hint="eastAsia" w:ascii="宋体" w:hAnsi="宋体" w:eastAsia="宋体" w:cs="宋体"/>
                <w:color w:val="auto"/>
                <w:kern w:val="2"/>
                <w:sz w:val="21"/>
                <w:szCs w:val="21"/>
                <w:highlight w:val="none"/>
                <w:lang w:val="en-US" w:eastAsia="zh-CN"/>
              </w:rPr>
              <w:t xml:space="preserve">3.8  共模抑制比： ≥140dB（AC滤波开启） </w:t>
            </w:r>
          </w:p>
          <w:p w14:paraId="77596A52">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ascii="宋体" w:hAnsi="宋体" w:eastAsia="宋体" w:cs="宋体"/>
                <w:color w:val="auto"/>
                <w:kern w:val="2"/>
                <w:sz w:val="21"/>
                <w:szCs w:val="21"/>
                <w:highlight w:val="none"/>
                <w:lang w:val="en-US" w:eastAsia="zh-CN"/>
              </w:rPr>
            </w:pPr>
            <w:r>
              <w:rPr>
                <w:rFonts w:hint="eastAsia" w:ascii="宋体" w:hAnsi="宋体" w:eastAsia="宋体" w:cs="宋体"/>
                <w:color w:val="auto"/>
                <w:kern w:val="2"/>
                <w:sz w:val="21"/>
                <w:szCs w:val="21"/>
                <w:highlight w:val="none"/>
                <w:lang w:val="en-US" w:eastAsia="zh-CN"/>
              </w:rPr>
              <w:t>3.9  灵敏度选择：1.25、2.5、5、10、20、10/5、20/10、自动mm/mV ±5%</w:t>
            </w:r>
          </w:p>
          <w:p w14:paraId="02F50A23">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ascii="宋体" w:hAnsi="宋体" w:eastAsia="宋体" w:cs="宋体"/>
                <w:color w:val="auto"/>
                <w:kern w:val="2"/>
                <w:sz w:val="21"/>
                <w:szCs w:val="21"/>
                <w:highlight w:val="none"/>
                <w:lang w:val="en-US" w:eastAsia="zh-CN"/>
              </w:rPr>
            </w:pPr>
            <w:r>
              <w:rPr>
                <w:rFonts w:hint="eastAsia" w:ascii="宋体" w:hAnsi="宋体" w:eastAsia="宋体" w:cs="宋体"/>
                <w:color w:val="auto"/>
                <w:kern w:val="2"/>
                <w:sz w:val="21"/>
                <w:szCs w:val="21"/>
                <w:highlight w:val="none"/>
                <w:lang w:val="en-US" w:eastAsia="zh-CN"/>
              </w:rPr>
              <w:t>3.10 除颤防护：承受5000V(360J) 除颤放电，无数据丢失和损坏</w:t>
            </w:r>
          </w:p>
          <w:p w14:paraId="24219EEF">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ascii="宋体" w:hAnsi="宋体" w:eastAsia="宋体" w:cs="宋体"/>
                <w:color w:val="auto"/>
                <w:kern w:val="2"/>
                <w:sz w:val="21"/>
                <w:szCs w:val="21"/>
                <w:highlight w:val="none"/>
                <w:lang w:val="en-US" w:eastAsia="zh-CN"/>
              </w:rPr>
            </w:pPr>
            <w:r>
              <w:rPr>
                <w:rFonts w:hint="eastAsia" w:ascii="宋体" w:hAnsi="宋体" w:eastAsia="宋体" w:cs="宋体"/>
                <w:color w:val="auto"/>
                <w:kern w:val="2"/>
                <w:sz w:val="21"/>
                <w:szCs w:val="21"/>
                <w:highlight w:val="none"/>
                <w:lang w:val="en-US" w:eastAsia="zh-CN"/>
              </w:rPr>
              <w:t>四、显示器</w:t>
            </w:r>
          </w:p>
          <w:p w14:paraId="3D1ECDF8">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ascii="宋体" w:hAnsi="宋体" w:eastAsia="宋体" w:cs="宋体"/>
                <w:color w:val="auto"/>
                <w:kern w:val="2"/>
                <w:sz w:val="21"/>
                <w:szCs w:val="21"/>
                <w:highlight w:val="none"/>
                <w:lang w:val="en-US" w:eastAsia="zh-CN"/>
              </w:rPr>
            </w:pPr>
            <w:r>
              <w:rPr>
                <w:rFonts w:hint="eastAsia" w:ascii="宋体" w:hAnsi="宋体" w:eastAsia="宋体" w:cs="宋体"/>
                <w:color w:val="auto"/>
                <w:kern w:val="2"/>
                <w:sz w:val="21"/>
                <w:szCs w:val="21"/>
                <w:highlight w:val="none"/>
                <w:lang w:val="en-US" w:eastAsia="zh-CN"/>
              </w:rPr>
              <w:t>4.1  5英寸彩色液晶屏</w:t>
            </w:r>
          </w:p>
          <w:p w14:paraId="4F99AA72">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ascii="宋体" w:hAnsi="宋体" w:eastAsia="宋体" w:cs="宋体"/>
                <w:color w:val="auto"/>
                <w:kern w:val="2"/>
                <w:sz w:val="21"/>
                <w:szCs w:val="21"/>
                <w:highlight w:val="none"/>
                <w:lang w:val="en-US" w:eastAsia="zh-CN"/>
              </w:rPr>
            </w:pPr>
            <w:r>
              <w:rPr>
                <w:rFonts w:hint="eastAsia" w:ascii="宋体" w:hAnsi="宋体" w:eastAsia="宋体" w:cs="宋体"/>
                <w:color w:val="auto"/>
                <w:kern w:val="2"/>
                <w:sz w:val="21"/>
                <w:szCs w:val="21"/>
                <w:highlight w:val="none"/>
                <w:lang w:val="en-US" w:eastAsia="zh-CN"/>
              </w:rPr>
              <w:t>4.2  分辨率不小于800×480 pixels</w:t>
            </w:r>
          </w:p>
          <w:p w14:paraId="08CCB47C">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ascii="宋体" w:hAnsi="宋体" w:eastAsia="宋体" w:cs="宋体"/>
                <w:color w:val="auto"/>
                <w:kern w:val="2"/>
                <w:sz w:val="21"/>
                <w:szCs w:val="21"/>
                <w:highlight w:val="none"/>
                <w:lang w:val="en-US" w:eastAsia="zh-CN"/>
              </w:rPr>
            </w:pPr>
            <w:r>
              <w:rPr>
                <w:rFonts w:hint="eastAsia" w:ascii="宋体" w:hAnsi="宋体" w:eastAsia="宋体" w:cs="宋体"/>
                <w:color w:val="auto"/>
                <w:kern w:val="2"/>
                <w:sz w:val="21"/>
                <w:szCs w:val="21"/>
                <w:highlight w:val="none"/>
                <w:lang w:val="en-US" w:eastAsia="zh-CN"/>
              </w:rPr>
              <w:t>4.3  支持屏幕背景网格显示</w:t>
            </w:r>
          </w:p>
          <w:p w14:paraId="3BDC8F9B">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ascii="宋体" w:hAnsi="宋体" w:eastAsia="宋体" w:cs="宋体"/>
                <w:color w:val="auto"/>
                <w:kern w:val="2"/>
                <w:sz w:val="21"/>
                <w:szCs w:val="21"/>
                <w:highlight w:val="none"/>
                <w:lang w:val="en-US" w:eastAsia="zh-CN"/>
              </w:rPr>
            </w:pPr>
            <w:r>
              <w:rPr>
                <w:rFonts w:hint="eastAsia" w:ascii="宋体" w:hAnsi="宋体" w:eastAsia="宋体" w:cs="宋体"/>
                <w:color w:val="auto"/>
                <w:kern w:val="2"/>
                <w:sz w:val="21"/>
                <w:szCs w:val="21"/>
                <w:highlight w:val="none"/>
                <w:lang w:val="en-US" w:eastAsia="zh-CN"/>
              </w:rPr>
              <w:t>五、存储器</w:t>
            </w:r>
          </w:p>
          <w:p w14:paraId="2CB71AFF">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ascii="宋体" w:hAnsi="宋体" w:eastAsia="宋体" w:cs="宋体"/>
                <w:color w:val="auto"/>
                <w:kern w:val="2"/>
                <w:sz w:val="21"/>
                <w:szCs w:val="21"/>
                <w:highlight w:val="none"/>
                <w:lang w:val="en-US" w:eastAsia="zh-CN"/>
              </w:rPr>
            </w:pPr>
            <w:r>
              <w:rPr>
                <w:rFonts w:hint="eastAsia" w:ascii="宋体" w:hAnsi="宋体" w:eastAsia="宋体" w:cs="宋体"/>
                <w:color w:val="auto"/>
                <w:kern w:val="2"/>
                <w:sz w:val="21"/>
                <w:szCs w:val="21"/>
                <w:highlight w:val="none"/>
                <w:lang w:val="en-US" w:eastAsia="zh-CN"/>
              </w:rPr>
              <w:t>5.1  内置存储器支持存储1200 份心电图报告</w:t>
            </w:r>
          </w:p>
          <w:p w14:paraId="5AB273EF">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ascii="宋体" w:hAnsi="宋体" w:eastAsia="宋体" w:cs="宋体"/>
                <w:color w:val="auto"/>
                <w:kern w:val="2"/>
                <w:sz w:val="21"/>
                <w:szCs w:val="21"/>
                <w:highlight w:val="none"/>
                <w:lang w:val="en-US" w:eastAsia="zh-CN"/>
              </w:rPr>
            </w:pPr>
            <w:r>
              <w:rPr>
                <w:rFonts w:hint="eastAsia" w:ascii="宋体" w:hAnsi="宋体" w:eastAsia="宋体" w:cs="宋体"/>
                <w:color w:val="auto"/>
                <w:kern w:val="2"/>
                <w:sz w:val="21"/>
                <w:szCs w:val="21"/>
                <w:highlight w:val="none"/>
                <w:lang w:val="en-US" w:eastAsia="zh-CN"/>
              </w:rPr>
              <w:t>5.2  支持外接U盘扩展存储空间</w:t>
            </w:r>
          </w:p>
          <w:p w14:paraId="0DFD2E46">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ascii="宋体" w:hAnsi="宋体" w:eastAsia="宋体" w:cs="宋体"/>
                <w:color w:val="auto"/>
                <w:kern w:val="2"/>
                <w:sz w:val="21"/>
                <w:szCs w:val="21"/>
                <w:highlight w:val="none"/>
                <w:lang w:val="en-US" w:eastAsia="zh-CN"/>
              </w:rPr>
            </w:pPr>
            <w:r>
              <w:rPr>
                <w:rFonts w:hint="eastAsia" w:ascii="宋体" w:hAnsi="宋体" w:eastAsia="宋体" w:cs="宋体"/>
                <w:color w:val="auto"/>
                <w:kern w:val="2"/>
                <w:sz w:val="21"/>
                <w:szCs w:val="21"/>
                <w:highlight w:val="none"/>
                <w:lang w:val="en-US" w:eastAsia="zh-CN"/>
              </w:rPr>
              <w:t>六、打印机</w:t>
            </w:r>
          </w:p>
          <w:p w14:paraId="1949A8A7">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ascii="宋体" w:hAnsi="宋体" w:eastAsia="宋体" w:cs="宋体"/>
                <w:color w:val="auto"/>
                <w:kern w:val="2"/>
                <w:sz w:val="21"/>
                <w:szCs w:val="21"/>
                <w:highlight w:val="none"/>
                <w:lang w:val="en-US" w:eastAsia="zh-CN"/>
              </w:rPr>
            </w:pPr>
            <w:r>
              <w:rPr>
                <w:rFonts w:hint="eastAsia" w:ascii="宋体" w:hAnsi="宋体" w:eastAsia="宋体" w:cs="宋体"/>
                <w:color w:val="auto"/>
                <w:kern w:val="2"/>
                <w:sz w:val="21"/>
                <w:szCs w:val="21"/>
                <w:highlight w:val="none"/>
                <w:lang w:val="en-US" w:eastAsia="zh-CN"/>
              </w:rPr>
              <w:t>6.1  内置高分辨率热敏式点阵打印机，最大记录通道数为4通道</w:t>
            </w:r>
          </w:p>
          <w:p w14:paraId="218379F4">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ascii="宋体" w:hAnsi="宋体" w:eastAsia="宋体" w:cs="宋体"/>
                <w:color w:val="auto"/>
                <w:kern w:val="2"/>
                <w:sz w:val="21"/>
                <w:szCs w:val="21"/>
                <w:highlight w:val="none"/>
                <w:lang w:val="en-US" w:eastAsia="zh-CN"/>
              </w:rPr>
            </w:pPr>
            <w:r>
              <w:rPr>
                <w:rFonts w:hint="eastAsia" w:ascii="宋体" w:hAnsi="宋体" w:eastAsia="宋体" w:cs="宋体"/>
                <w:color w:val="auto"/>
                <w:kern w:val="2"/>
                <w:sz w:val="21"/>
                <w:szCs w:val="21"/>
                <w:highlight w:val="none"/>
                <w:lang w:val="en-US" w:eastAsia="zh-CN"/>
              </w:rPr>
              <w:t>6.2  走纸速度：5mm/s、12.5mm/s、25mm/s、50mm/s，误差不大于±5%</w:t>
            </w:r>
          </w:p>
          <w:p w14:paraId="13AA9B83">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ascii="宋体" w:hAnsi="宋体" w:eastAsia="宋体" w:cs="宋体"/>
                <w:color w:val="auto"/>
                <w:kern w:val="2"/>
                <w:sz w:val="21"/>
                <w:szCs w:val="21"/>
                <w:highlight w:val="none"/>
                <w:lang w:val="en-US" w:eastAsia="zh-CN"/>
              </w:rPr>
            </w:pPr>
            <w:r>
              <w:rPr>
                <w:rFonts w:hint="eastAsia" w:ascii="宋体" w:hAnsi="宋体" w:eastAsia="宋体" w:cs="宋体"/>
                <w:color w:val="auto"/>
                <w:kern w:val="2"/>
                <w:sz w:val="21"/>
                <w:szCs w:val="21"/>
                <w:highlight w:val="none"/>
                <w:lang w:val="en-US" w:eastAsia="zh-CN"/>
              </w:rPr>
              <w:t>6.3  打印分辨率：垂直分辨率≥8点/mm，水平分辨率≥32点/mm（25mm/s）</w:t>
            </w:r>
          </w:p>
          <w:p w14:paraId="70A7AF16">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ascii="宋体" w:hAnsi="宋体" w:eastAsia="宋体" w:cs="宋体"/>
                <w:color w:val="auto"/>
                <w:kern w:val="2"/>
                <w:sz w:val="21"/>
                <w:szCs w:val="21"/>
                <w:highlight w:val="none"/>
                <w:lang w:val="en-US" w:eastAsia="zh-CN"/>
              </w:rPr>
            </w:pPr>
            <w:r>
              <w:rPr>
                <w:rFonts w:hint="eastAsia" w:ascii="宋体" w:hAnsi="宋体" w:eastAsia="宋体" w:cs="宋体"/>
                <w:color w:val="auto"/>
                <w:kern w:val="2"/>
                <w:sz w:val="21"/>
                <w:szCs w:val="21"/>
                <w:highlight w:val="none"/>
                <w:lang w:val="en-US" w:eastAsia="zh-CN"/>
              </w:rPr>
              <w:t>七、软件功能</w:t>
            </w:r>
          </w:p>
          <w:p w14:paraId="718407ED">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ascii="宋体" w:hAnsi="宋体" w:eastAsia="宋体" w:cs="宋体"/>
                <w:color w:val="auto"/>
                <w:kern w:val="2"/>
                <w:sz w:val="21"/>
                <w:szCs w:val="21"/>
                <w:highlight w:val="none"/>
                <w:lang w:val="en-US" w:eastAsia="zh-CN"/>
              </w:rPr>
            </w:pPr>
            <w:r>
              <w:rPr>
                <w:rFonts w:hint="eastAsia" w:ascii="宋体" w:hAnsi="宋体" w:eastAsia="宋体" w:cs="宋体"/>
                <w:color w:val="auto"/>
                <w:kern w:val="2"/>
                <w:sz w:val="21"/>
                <w:szCs w:val="21"/>
                <w:highlight w:val="none"/>
                <w:lang w:val="en-US" w:eastAsia="zh-CN"/>
              </w:rPr>
              <w:t xml:space="preserve">7.1  支持一维码/二维码条码扫描仪，可快速输入病人信息 </w:t>
            </w:r>
          </w:p>
          <w:p w14:paraId="6ADE84B4">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ascii="宋体" w:hAnsi="宋体" w:eastAsia="宋体" w:cs="宋体"/>
                <w:color w:val="auto"/>
                <w:kern w:val="2"/>
                <w:sz w:val="21"/>
                <w:szCs w:val="21"/>
                <w:highlight w:val="none"/>
                <w:lang w:val="en-US" w:eastAsia="zh-CN"/>
              </w:rPr>
            </w:pPr>
            <w:r>
              <w:rPr>
                <w:rFonts w:hint="eastAsia" w:ascii="宋体" w:hAnsi="宋体" w:eastAsia="宋体" w:cs="宋体"/>
                <w:color w:val="auto"/>
                <w:kern w:val="2"/>
                <w:sz w:val="21"/>
                <w:szCs w:val="21"/>
                <w:highlight w:val="none"/>
                <w:lang w:val="en-US" w:eastAsia="zh-CN"/>
              </w:rPr>
              <w:t>7.2  具有关机延迟功能：自第一次低电量提示后，有至少5分钟的关机延迟时间</w:t>
            </w:r>
          </w:p>
          <w:p w14:paraId="3E46A3B6">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ascii="宋体" w:hAnsi="宋体" w:eastAsia="宋体" w:cs="宋体"/>
                <w:color w:val="auto"/>
                <w:kern w:val="2"/>
                <w:sz w:val="21"/>
                <w:szCs w:val="21"/>
                <w:highlight w:val="none"/>
                <w:lang w:val="en-US" w:eastAsia="zh-CN"/>
              </w:rPr>
            </w:pPr>
            <w:r>
              <w:rPr>
                <w:rFonts w:hint="eastAsia" w:ascii="宋体" w:hAnsi="宋体" w:eastAsia="宋体" w:cs="宋体"/>
                <w:color w:val="auto"/>
                <w:kern w:val="2"/>
                <w:sz w:val="21"/>
                <w:szCs w:val="21"/>
                <w:highlight w:val="none"/>
                <w:lang w:val="en-US" w:eastAsia="zh-CN"/>
              </w:rPr>
              <w:t>八、数据传输</w:t>
            </w:r>
          </w:p>
          <w:p w14:paraId="0A70D77E">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ascii="宋体" w:hAnsi="宋体" w:eastAsia="宋体" w:cs="宋体"/>
                <w:color w:val="auto"/>
                <w:kern w:val="2"/>
                <w:sz w:val="21"/>
                <w:szCs w:val="21"/>
                <w:highlight w:val="none"/>
                <w:lang w:val="en-US" w:eastAsia="zh-CN"/>
              </w:rPr>
            </w:pPr>
            <w:r>
              <w:rPr>
                <w:rFonts w:hint="eastAsia" w:ascii="宋体" w:hAnsi="宋体" w:eastAsia="宋体" w:cs="宋体"/>
                <w:color w:val="auto"/>
                <w:kern w:val="2"/>
                <w:sz w:val="21"/>
                <w:szCs w:val="21"/>
                <w:highlight w:val="none"/>
                <w:lang w:val="en-US" w:eastAsia="zh-CN"/>
              </w:rPr>
              <w:t>8.1  外部接口：USB接口*2，网络接口</w:t>
            </w:r>
          </w:p>
          <w:p w14:paraId="40E825F0">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ascii="宋体" w:hAnsi="宋体" w:eastAsia="宋体" w:cs="宋体"/>
                <w:color w:val="auto"/>
                <w:kern w:val="2"/>
                <w:sz w:val="21"/>
                <w:szCs w:val="21"/>
                <w:highlight w:val="none"/>
                <w:lang w:val="en-US" w:eastAsia="zh-CN"/>
              </w:rPr>
            </w:pPr>
            <w:r>
              <w:rPr>
                <w:rFonts w:hint="eastAsia" w:ascii="宋体" w:hAnsi="宋体" w:eastAsia="宋体" w:cs="宋体"/>
                <w:color w:val="auto"/>
                <w:kern w:val="2"/>
                <w:sz w:val="21"/>
                <w:szCs w:val="21"/>
                <w:highlight w:val="none"/>
                <w:lang w:val="en-US" w:eastAsia="zh-CN"/>
              </w:rPr>
              <w:t>8.2  支持无线</w:t>
            </w:r>
            <w:r>
              <w:rPr>
                <w:rFonts w:hint="eastAsia" w:ascii="宋体" w:hAnsi="宋体" w:cs="宋体"/>
                <w:color w:val="auto"/>
                <w:kern w:val="2"/>
                <w:sz w:val="21"/>
                <w:szCs w:val="21"/>
                <w:highlight w:val="none"/>
                <w:lang w:val="en-US" w:eastAsia="zh-CN"/>
              </w:rPr>
              <w:t>Wi-Fi</w:t>
            </w:r>
            <w:r>
              <w:rPr>
                <w:rFonts w:hint="eastAsia" w:ascii="宋体" w:hAnsi="宋体" w:eastAsia="宋体" w:cs="宋体"/>
                <w:color w:val="auto"/>
                <w:kern w:val="2"/>
                <w:sz w:val="21"/>
                <w:szCs w:val="21"/>
                <w:highlight w:val="none"/>
                <w:lang w:val="en-US" w:eastAsia="zh-CN"/>
              </w:rPr>
              <w:t>模块，具有2.4G/5G双频</w:t>
            </w:r>
          </w:p>
          <w:p w14:paraId="03F6F38A">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ascii="宋体" w:hAnsi="宋体" w:eastAsia="宋体" w:cs="宋体"/>
                <w:color w:val="auto"/>
                <w:kern w:val="2"/>
                <w:sz w:val="21"/>
                <w:szCs w:val="21"/>
                <w:highlight w:val="none"/>
                <w:lang w:val="en-US" w:eastAsia="zh-CN"/>
              </w:rPr>
            </w:pPr>
            <w:r>
              <w:rPr>
                <w:rFonts w:hint="eastAsia" w:ascii="宋体" w:hAnsi="宋体" w:eastAsia="宋体" w:cs="宋体"/>
                <w:color w:val="auto"/>
                <w:kern w:val="2"/>
                <w:sz w:val="21"/>
                <w:szCs w:val="21"/>
                <w:highlight w:val="none"/>
                <w:lang w:val="en-US" w:eastAsia="zh-CN"/>
              </w:rPr>
              <w:t>★</w:t>
            </w:r>
            <w:r>
              <w:rPr>
                <w:rFonts w:hint="eastAsia" w:ascii="宋体" w:hAnsi="宋体" w:eastAsia="宋体" w:cs="宋体"/>
                <w:color w:val="auto"/>
                <w:kern w:val="2"/>
                <w:sz w:val="21"/>
                <w:szCs w:val="21"/>
                <w:highlight w:val="yellow"/>
                <w:lang w:val="en-US" w:eastAsia="zh-CN"/>
              </w:rPr>
              <w:t>8.3  支持HL7/DICOM/FTP标准协议，满足医院联网需求</w:t>
            </w:r>
          </w:p>
        </w:tc>
      </w:tr>
    </w:tbl>
    <w:p w14:paraId="245FB5BE">
      <w:pPr>
        <w:keepNext w:val="0"/>
        <w:keepLines w:val="0"/>
        <w:pageBreakBefore w:val="0"/>
        <w:widowControl/>
        <w:suppressLineNumbers w:val="0"/>
        <w:spacing w:line="460" w:lineRule="exact"/>
        <w:ind w:firstLine="480"/>
        <w:jc w:val="left"/>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1.3</w:t>
      </w:r>
      <w:r>
        <w:rPr>
          <w:rFonts w:hint="eastAsia" w:ascii="宋体" w:hAnsi="宋体" w:eastAsia="宋体" w:cs="宋体"/>
          <w:color w:val="000000"/>
          <w:sz w:val="21"/>
          <w:szCs w:val="21"/>
        </w:rPr>
        <w:t>需执行的相关标准</w:t>
      </w:r>
      <w:r>
        <w:rPr>
          <w:rFonts w:hint="eastAsia" w:ascii="宋体" w:hAnsi="宋体" w:eastAsia="宋体" w:cs="宋体"/>
          <w:color w:val="000000"/>
          <w:sz w:val="21"/>
          <w:szCs w:val="21"/>
          <w:lang w:eastAsia="zh-CN"/>
        </w:rPr>
        <w:t>及其他要求</w:t>
      </w:r>
    </w:p>
    <w:p w14:paraId="3595D6BF">
      <w:pPr>
        <w:spacing w:line="420" w:lineRule="exact"/>
        <w:ind w:firstLine="480"/>
        <w:rPr>
          <w:rStyle w:val="326"/>
          <w:rFonts w:hint="eastAsia" w:ascii="宋体" w:hAnsi="宋体" w:eastAsia="宋体" w:cs="宋体"/>
          <w:sz w:val="21"/>
          <w:szCs w:val="21"/>
        </w:rPr>
      </w:pPr>
      <w:r>
        <w:rPr>
          <w:rStyle w:val="326"/>
          <w:rFonts w:hint="eastAsia" w:ascii="宋体" w:hAnsi="宋体" w:eastAsia="宋体" w:cs="宋体"/>
          <w:sz w:val="21"/>
          <w:szCs w:val="21"/>
          <w:lang w:val="en-US" w:eastAsia="zh-CN"/>
        </w:rPr>
        <w:t>1.3.1</w:t>
      </w:r>
      <w:r>
        <w:rPr>
          <w:rStyle w:val="326"/>
          <w:rFonts w:hint="eastAsia" w:ascii="宋体" w:hAnsi="宋体" w:eastAsia="宋体" w:cs="宋体"/>
          <w:sz w:val="21"/>
          <w:szCs w:val="21"/>
        </w:rPr>
        <w:t>质量要求符合国家现行质量验收规范合格标准。乙方所提供货物的系统规格和技术标准必须符合</w:t>
      </w:r>
      <w:r>
        <w:rPr>
          <w:rStyle w:val="326"/>
          <w:rFonts w:hint="eastAsia" w:ascii="宋体" w:hAnsi="宋体" w:eastAsia="宋体" w:cs="宋体"/>
          <w:sz w:val="21"/>
          <w:szCs w:val="21"/>
          <w:lang w:eastAsia="zh-CN"/>
        </w:rPr>
        <w:t>国家</w:t>
      </w:r>
      <w:r>
        <w:rPr>
          <w:rStyle w:val="326"/>
          <w:rFonts w:hint="eastAsia" w:ascii="宋体" w:hAnsi="宋体" w:eastAsia="宋体" w:cs="宋体"/>
          <w:sz w:val="21"/>
          <w:szCs w:val="21"/>
        </w:rPr>
        <w:t>有关部门最新颁布的标准及规范。车辆性能必须符合国家相关标准、行业标准的要求。乙方施工所用材料必须符合招标文件及投标文件中所确认的品牌或厂家所生产的产品。如有不符合的，由乙方承担全部责任。</w:t>
      </w:r>
    </w:p>
    <w:p w14:paraId="678D8907">
      <w:pPr>
        <w:spacing w:line="420" w:lineRule="exact"/>
        <w:ind w:firstLine="480"/>
        <w:rPr>
          <w:rStyle w:val="326"/>
          <w:rFonts w:hint="eastAsia" w:ascii="宋体" w:hAnsi="宋体" w:eastAsia="宋体" w:cs="宋体"/>
          <w:sz w:val="21"/>
          <w:szCs w:val="21"/>
          <w:lang w:val="en-US" w:eastAsia="zh-CN"/>
        </w:rPr>
      </w:pPr>
      <w:r>
        <w:rPr>
          <w:rStyle w:val="326"/>
          <w:rFonts w:hint="eastAsia" w:ascii="宋体" w:hAnsi="宋体" w:eastAsia="宋体" w:cs="宋体"/>
          <w:sz w:val="21"/>
          <w:szCs w:val="21"/>
          <w:lang w:val="en-US" w:eastAsia="zh-CN"/>
        </w:rPr>
        <w:t>1.3.2</w:t>
      </w:r>
      <w:r>
        <w:rPr>
          <w:rStyle w:val="326"/>
          <w:rFonts w:hint="eastAsia" w:ascii="宋体" w:hAnsi="宋体" w:eastAsia="宋体" w:cs="宋体"/>
          <w:sz w:val="21"/>
          <w:szCs w:val="21"/>
        </w:rPr>
        <w:t>车辆所采用的底盘需为知名公司的成熟产品，质量可靠，售后服务方便快捷。整车外表需符合江苏省统一标准。</w:t>
      </w:r>
      <w:r>
        <w:rPr>
          <w:rStyle w:val="326"/>
          <w:rFonts w:hint="eastAsia" w:ascii="宋体" w:hAnsi="宋体" w:cs="宋体"/>
          <w:sz w:val="21"/>
          <w:szCs w:val="21"/>
          <w:lang w:eastAsia="zh-CN"/>
        </w:rPr>
        <w:t>须</w:t>
      </w:r>
      <w:r>
        <w:rPr>
          <w:rStyle w:val="326"/>
          <w:rFonts w:hint="eastAsia" w:ascii="宋体" w:hAnsi="宋体" w:eastAsia="宋体" w:cs="宋体"/>
          <w:sz w:val="21"/>
          <w:szCs w:val="21"/>
        </w:rPr>
        <w:t>配有报警装置</w:t>
      </w:r>
      <w:r>
        <w:rPr>
          <w:rStyle w:val="326"/>
          <w:rFonts w:hint="eastAsia" w:ascii="宋体" w:hAnsi="宋体" w:eastAsia="宋体" w:cs="宋体"/>
          <w:sz w:val="21"/>
          <w:szCs w:val="21"/>
          <w:lang w:eastAsia="zh-CN"/>
        </w:rPr>
        <w:t>【电子警报器（警笛）】；具有</w:t>
      </w:r>
      <w:r>
        <w:rPr>
          <w:rStyle w:val="326"/>
          <w:rFonts w:hint="eastAsia" w:ascii="宋体" w:hAnsi="宋体" w:eastAsia="宋体" w:cs="宋体"/>
          <w:sz w:val="21"/>
          <w:szCs w:val="21"/>
        </w:rPr>
        <w:t>准确</w:t>
      </w:r>
      <w:r>
        <w:rPr>
          <w:rStyle w:val="326"/>
          <w:rFonts w:hint="eastAsia" w:ascii="宋体" w:hAnsi="宋体" w:eastAsia="宋体" w:cs="宋体"/>
          <w:sz w:val="21"/>
          <w:szCs w:val="21"/>
          <w:lang w:eastAsia="zh-CN"/>
        </w:rPr>
        <w:t>的</w:t>
      </w:r>
      <w:r>
        <w:rPr>
          <w:rStyle w:val="326"/>
          <w:rFonts w:hint="eastAsia" w:ascii="宋体" w:hAnsi="宋体" w:eastAsia="宋体" w:cs="宋体"/>
          <w:sz w:val="21"/>
          <w:szCs w:val="21"/>
        </w:rPr>
        <w:t>各种安全提示和故障</w:t>
      </w:r>
      <w:r>
        <w:rPr>
          <w:rStyle w:val="326"/>
          <w:rFonts w:hint="eastAsia" w:ascii="宋体" w:hAnsi="宋体" w:eastAsia="宋体" w:cs="宋体"/>
          <w:sz w:val="21"/>
          <w:szCs w:val="21"/>
          <w:lang w:eastAsia="zh-CN"/>
        </w:rPr>
        <w:t>提示功能</w:t>
      </w:r>
      <w:r>
        <w:rPr>
          <w:rStyle w:val="326"/>
          <w:rFonts w:hint="eastAsia" w:ascii="宋体" w:hAnsi="宋体" w:eastAsia="宋体" w:cs="宋体"/>
          <w:sz w:val="21"/>
          <w:szCs w:val="21"/>
        </w:rPr>
        <w:t>。</w:t>
      </w:r>
    </w:p>
    <w:p w14:paraId="487AD888">
      <w:pPr>
        <w:keepNext w:val="0"/>
        <w:keepLines w:val="0"/>
        <w:pageBreakBefore w:val="0"/>
        <w:widowControl w:val="0"/>
        <w:spacing w:before="146" w:line="420" w:lineRule="exact"/>
        <w:ind w:left="0" w:firstLine="482"/>
        <w:jc w:val="left"/>
        <w:rPr>
          <w:rFonts w:hint="eastAsia" w:ascii="宋体" w:hAnsi="宋体" w:eastAsia="宋体" w:cs="宋体"/>
          <w:b/>
          <w:sz w:val="21"/>
          <w:szCs w:val="21"/>
        </w:rPr>
      </w:pPr>
      <w:r>
        <w:rPr>
          <w:rFonts w:hint="eastAsia" w:ascii="宋体" w:hAnsi="宋体" w:eastAsia="宋体" w:cs="宋体"/>
          <w:b/>
          <w:sz w:val="21"/>
          <w:szCs w:val="21"/>
          <w:lang w:val="en-US" w:eastAsia="zh-CN"/>
        </w:rPr>
        <w:t>2.</w:t>
      </w:r>
      <w:r>
        <w:rPr>
          <w:rFonts w:hint="eastAsia" w:ascii="宋体" w:hAnsi="宋体" w:eastAsia="宋体" w:cs="宋体"/>
          <w:b/>
          <w:sz w:val="21"/>
          <w:szCs w:val="21"/>
        </w:rPr>
        <w:t>商务要求</w:t>
      </w:r>
    </w:p>
    <w:p w14:paraId="0F46E060">
      <w:pPr>
        <w:pStyle w:val="248"/>
        <w:keepNext w:val="0"/>
        <w:keepLines w:val="0"/>
        <w:pageBreakBefore w:val="0"/>
        <w:widowControl w:val="0"/>
        <w:spacing w:before="0" w:beforeAutospacing="0" w:after="0" w:afterAutospacing="0" w:line="440" w:lineRule="exact"/>
        <w:ind w:firstLine="482"/>
        <w:jc w:val="both"/>
        <w:rPr>
          <w:rFonts w:hint="eastAsia" w:ascii="宋体" w:hAnsi="宋体" w:eastAsia="宋体" w:cs="宋体"/>
          <w:b/>
          <w:i/>
          <w:iCs/>
          <w:sz w:val="21"/>
          <w:szCs w:val="21"/>
          <w:u w:val="single"/>
        </w:rPr>
      </w:pPr>
      <w:r>
        <w:rPr>
          <w:rFonts w:hint="eastAsia" w:ascii="宋体" w:hAnsi="宋体" w:eastAsia="宋体" w:cs="宋体"/>
          <w:b/>
          <w:i/>
          <w:iCs/>
          <w:sz w:val="21"/>
          <w:szCs w:val="21"/>
          <w:u w:val="single"/>
          <w:lang w:val="en-US" w:eastAsia="zh-CN"/>
        </w:rPr>
        <w:t>2.1</w:t>
      </w:r>
      <w:r>
        <w:rPr>
          <w:rFonts w:hint="eastAsia" w:ascii="宋体" w:hAnsi="宋体" w:eastAsia="宋体" w:cs="宋体"/>
          <w:b/>
          <w:i/>
          <w:iCs/>
          <w:sz w:val="21"/>
          <w:szCs w:val="21"/>
          <w:u w:val="single"/>
        </w:rPr>
        <w:t>质保期与售后服务</w:t>
      </w:r>
    </w:p>
    <w:p w14:paraId="2892178B">
      <w:pPr>
        <w:keepNext w:val="0"/>
        <w:keepLines w:val="0"/>
        <w:pageBreakBefore w:val="0"/>
        <w:widowControl w:val="0"/>
        <w:spacing w:line="440" w:lineRule="exact"/>
        <w:ind w:firstLine="480"/>
        <w:rPr>
          <w:rFonts w:hint="eastAsia" w:ascii="宋体" w:hAnsi="宋体" w:eastAsia="宋体" w:cs="宋体"/>
          <w:i/>
          <w:iCs/>
          <w:color w:val="000000"/>
          <w:sz w:val="21"/>
          <w:szCs w:val="21"/>
          <w:u w:val="single"/>
        </w:rPr>
      </w:pPr>
      <w:r>
        <w:rPr>
          <w:rFonts w:hint="eastAsia" w:ascii="宋体" w:hAnsi="宋体" w:eastAsia="宋体" w:cs="宋体"/>
          <w:i/>
          <w:iCs/>
          <w:color w:val="000000"/>
          <w:sz w:val="21"/>
          <w:szCs w:val="21"/>
          <w:u w:val="single"/>
          <w:lang w:val="en-US" w:eastAsia="zh-CN"/>
        </w:rPr>
        <w:t>2.1.1质量保证期：</w:t>
      </w:r>
      <w:r>
        <w:rPr>
          <w:rFonts w:hint="eastAsia" w:ascii="宋体" w:hAnsi="宋体" w:eastAsia="宋体" w:cs="宋体"/>
          <w:i/>
          <w:iCs/>
          <w:color w:val="000000"/>
          <w:sz w:val="21"/>
          <w:szCs w:val="21"/>
          <w:u w:val="single"/>
        </w:rPr>
        <w:t>经双方验收合格之日起为质量保证期开始</w:t>
      </w:r>
      <w:r>
        <w:rPr>
          <w:rFonts w:hint="eastAsia" w:ascii="宋体" w:hAnsi="宋体" w:eastAsia="宋体" w:cs="宋体"/>
          <w:i/>
          <w:iCs/>
          <w:color w:val="000000"/>
          <w:sz w:val="21"/>
          <w:szCs w:val="21"/>
          <w:u w:val="single"/>
          <w:lang w:val="en-US" w:eastAsia="zh-CN"/>
        </w:rPr>
        <w:t>。</w:t>
      </w:r>
      <w:r>
        <w:rPr>
          <w:rFonts w:hint="eastAsia" w:ascii="宋体" w:hAnsi="宋体" w:eastAsia="宋体" w:cs="宋体"/>
          <w:i/>
          <w:iCs/>
          <w:color w:val="000000"/>
          <w:sz w:val="21"/>
          <w:szCs w:val="21"/>
          <w:u w:val="single"/>
          <w:lang w:eastAsia="zh-CN"/>
        </w:rPr>
        <w:t>质保期：底盘车不少于两年或50000公里</w:t>
      </w:r>
      <w:r>
        <w:rPr>
          <w:rFonts w:hint="eastAsia" w:ascii="宋体" w:hAnsi="宋体" w:cs="宋体"/>
          <w:i/>
          <w:iCs/>
          <w:color w:val="000000"/>
          <w:sz w:val="21"/>
          <w:szCs w:val="21"/>
          <w:u w:val="single"/>
          <w:lang w:eastAsia="zh-CN"/>
        </w:rPr>
        <w:t>（</w:t>
      </w:r>
      <w:r>
        <w:rPr>
          <w:rFonts w:hint="eastAsia" w:ascii="宋体" w:hAnsi="宋体" w:eastAsia="宋体" w:cs="宋体"/>
          <w:i/>
          <w:iCs/>
          <w:color w:val="000000"/>
          <w:sz w:val="21"/>
          <w:szCs w:val="21"/>
          <w:u w:val="single"/>
          <w:lang w:val="en-US" w:eastAsia="zh-CN"/>
        </w:rPr>
        <w:t>以先到指标为准</w:t>
      </w:r>
      <w:r>
        <w:rPr>
          <w:rFonts w:hint="eastAsia" w:ascii="宋体" w:hAnsi="宋体" w:cs="宋体"/>
          <w:i/>
          <w:iCs/>
          <w:color w:val="000000"/>
          <w:sz w:val="21"/>
          <w:szCs w:val="21"/>
          <w:u w:val="single"/>
          <w:lang w:val="en-US" w:eastAsia="zh-CN"/>
        </w:rPr>
        <w:t>）</w:t>
      </w:r>
      <w:r>
        <w:rPr>
          <w:rFonts w:hint="eastAsia" w:ascii="宋体" w:hAnsi="宋体" w:eastAsia="宋体" w:cs="宋体"/>
          <w:i/>
          <w:iCs/>
          <w:color w:val="000000"/>
          <w:sz w:val="21"/>
          <w:szCs w:val="21"/>
          <w:u w:val="single"/>
          <w:lang w:eastAsia="zh-CN"/>
        </w:rPr>
        <w:t>，医疗舱提供不少于1年的质保期。</w:t>
      </w:r>
      <w:r>
        <w:rPr>
          <w:rFonts w:hint="eastAsia" w:ascii="宋体" w:hAnsi="宋体" w:eastAsia="宋体" w:cs="宋体"/>
          <w:i/>
          <w:iCs/>
          <w:color w:val="000000"/>
          <w:sz w:val="21"/>
          <w:szCs w:val="21"/>
          <w:u w:val="single"/>
        </w:rPr>
        <w:t>若国家和/或生产厂家对本项目所涉及货物的质量保证期的规定高于本项目的要求，应按国家和/或生产厂家的规定执行。货物最终验收后，在质量保证期内，乙方应对</w:t>
      </w:r>
      <w:r>
        <w:rPr>
          <w:rFonts w:hint="eastAsia" w:ascii="宋体" w:hAnsi="宋体" w:cs="宋体"/>
          <w:i/>
          <w:iCs/>
          <w:color w:val="000000"/>
          <w:sz w:val="21"/>
          <w:szCs w:val="21"/>
          <w:u w:val="single"/>
          <w:lang w:eastAsia="zh-CN"/>
        </w:rPr>
        <w:t>由于</w:t>
      </w:r>
      <w:r>
        <w:rPr>
          <w:rFonts w:hint="eastAsia" w:ascii="宋体" w:hAnsi="宋体" w:eastAsia="宋体" w:cs="宋体"/>
          <w:i/>
          <w:iCs/>
          <w:color w:val="000000"/>
          <w:sz w:val="21"/>
          <w:szCs w:val="21"/>
          <w:u w:val="single"/>
        </w:rPr>
        <w:t>设计、工艺或材料的缺陷以及其他由于生产厂家或乙方的原因而发生的任何不足或故障负责，费用由乙方承担。</w:t>
      </w:r>
    </w:p>
    <w:p w14:paraId="3C0D1FCF">
      <w:pPr>
        <w:keepNext w:val="0"/>
        <w:keepLines w:val="0"/>
        <w:pageBreakBefore w:val="0"/>
        <w:widowControl w:val="0"/>
        <w:spacing w:line="440" w:lineRule="exact"/>
        <w:ind w:firstLine="480"/>
        <w:rPr>
          <w:rFonts w:hint="eastAsia" w:ascii="宋体" w:hAnsi="宋体" w:eastAsia="宋体" w:cs="宋体"/>
          <w:i/>
          <w:iCs/>
          <w:color w:val="000000"/>
          <w:sz w:val="21"/>
          <w:szCs w:val="21"/>
          <w:u w:val="single"/>
          <w:lang w:val="en-US" w:eastAsia="zh-CN"/>
        </w:rPr>
      </w:pPr>
      <w:r>
        <w:rPr>
          <w:rFonts w:hint="eastAsia" w:ascii="宋体" w:hAnsi="宋体" w:eastAsia="宋体" w:cs="宋体"/>
          <w:i/>
          <w:iCs/>
          <w:sz w:val="21"/>
          <w:szCs w:val="21"/>
          <w:u w:val="single"/>
          <w:lang w:val="en-US" w:eastAsia="zh-CN"/>
        </w:rPr>
        <w:t>2.1.2</w:t>
      </w:r>
      <w:r>
        <w:rPr>
          <w:rFonts w:hint="eastAsia" w:ascii="宋体" w:hAnsi="宋体" w:eastAsia="宋体" w:cs="宋体"/>
          <w:i/>
          <w:iCs/>
          <w:color w:val="000000"/>
          <w:sz w:val="21"/>
          <w:szCs w:val="21"/>
          <w:u w:val="single"/>
          <w:lang w:val="en-US" w:eastAsia="zh-CN"/>
        </w:rPr>
        <w:t>在质保期内，对采购人的服务请求，如不能按时完成，甲方可采取必要的补救措施，但风险和费用由乙方承担，并向甲方支付违约金 500 元 / 次，维修费用及罚款在合同价款中扣除。</w:t>
      </w:r>
    </w:p>
    <w:p w14:paraId="487B85BC">
      <w:pPr>
        <w:keepNext w:val="0"/>
        <w:keepLines w:val="0"/>
        <w:pageBreakBefore w:val="0"/>
        <w:widowControl w:val="0"/>
        <w:spacing w:line="440" w:lineRule="exact"/>
        <w:ind w:firstLine="480"/>
        <w:rPr>
          <w:rFonts w:hint="eastAsia" w:ascii="宋体" w:hAnsi="宋体" w:eastAsia="宋体" w:cs="宋体"/>
          <w:i/>
          <w:iCs/>
          <w:sz w:val="21"/>
          <w:szCs w:val="21"/>
          <w:u w:val="single"/>
        </w:rPr>
      </w:pPr>
      <w:r>
        <w:rPr>
          <w:rFonts w:hint="eastAsia" w:ascii="宋体" w:hAnsi="宋体" w:eastAsia="宋体" w:cs="宋体"/>
          <w:i/>
          <w:iCs/>
          <w:sz w:val="21"/>
          <w:szCs w:val="21"/>
          <w:u w:val="single"/>
          <w:lang w:val="en-US" w:eastAsia="zh-CN"/>
        </w:rPr>
        <w:t>2.1.3</w:t>
      </w:r>
      <w:r>
        <w:rPr>
          <w:rFonts w:hint="eastAsia" w:ascii="宋体" w:hAnsi="宋体" w:eastAsia="宋体" w:cs="宋体"/>
          <w:i/>
          <w:iCs/>
          <w:sz w:val="21"/>
          <w:szCs w:val="21"/>
          <w:u w:val="single"/>
        </w:rPr>
        <w:t>技术指导：中标单位应免费进行技术培训和今后使用中的技术指导。</w:t>
      </w:r>
    </w:p>
    <w:p w14:paraId="0175EF19">
      <w:pPr>
        <w:keepNext w:val="0"/>
        <w:keepLines w:val="0"/>
        <w:pageBreakBefore w:val="0"/>
        <w:widowControl w:val="0"/>
        <w:spacing w:line="440" w:lineRule="exact"/>
        <w:ind w:firstLine="480"/>
        <w:rPr>
          <w:rFonts w:hint="eastAsia" w:ascii="宋体" w:hAnsi="宋体" w:eastAsia="宋体" w:cs="宋体"/>
          <w:i/>
          <w:iCs/>
          <w:sz w:val="21"/>
          <w:szCs w:val="21"/>
          <w:u w:val="single"/>
          <w:lang w:val="en-US" w:eastAsia="zh-CN"/>
        </w:rPr>
      </w:pPr>
      <w:r>
        <w:rPr>
          <w:rFonts w:hint="eastAsia" w:ascii="宋体" w:hAnsi="宋体" w:eastAsia="宋体" w:cs="宋体"/>
          <w:i/>
          <w:iCs/>
          <w:sz w:val="21"/>
          <w:szCs w:val="21"/>
          <w:u w:val="single"/>
          <w:lang w:val="en-US" w:eastAsia="zh-CN"/>
        </w:rPr>
        <w:t>2.1.4在质保期内，如设备或零部件因非人为因素出现故障而造成短期停用时，则质保期和免费维护期相应顺延。如停用时间累计超过60 天则质保期重新计算。车辆的第一次保养必须在盐城或江苏地区进行，车辆的第一次保养为完全免费，所有费用由供应商负责。</w:t>
      </w:r>
    </w:p>
    <w:p w14:paraId="1F752E87">
      <w:pPr>
        <w:pStyle w:val="248"/>
        <w:keepNext w:val="0"/>
        <w:keepLines w:val="0"/>
        <w:pageBreakBefore w:val="0"/>
        <w:widowControl w:val="0"/>
        <w:spacing w:before="0" w:beforeAutospacing="0" w:after="0" w:afterAutospacing="0" w:line="440" w:lineRule="exact"/>
        <w:ind w:firstLine="482"/>
        <w:jc w:val="both"/>
        <w:rPr>
          <w:rFonts w:hint="eastAsia" w:ascii="宋体" w:hAnsi="宋体" w:eastAsia="宋体" w:cs="宋体"/>
          <w:i/>
          <w:iCs/>
          <w:color w:val="000000"/>
          <w:sz w:val="21"/>
          <w:szCs w:val="21"/>
          <w:u w:val="single"/>
        </w:rPr>
      </w:pPr>
      <w:r>
        <w:rPr>
          <w:rFonts w:hint="eastAsia" w:ascii="宋体" w:hAnsi="宋体" w:eastAsia="宋体" w:cs="宋体"/>
          <w:b/>
          <w:i/>
          <w:iCs/>
          <w:sz w:val="21"/>
          <w:szCs w:val="21"/>
          <w:u w:val="single"/>
          <w:lang w:val="en-US" w:eastAsia="zh-CN"/>
        </w:rPr>
        <w:t>2.2</w:t>
      </w:r>
      <w:r>
        <w:rPr>
          <w:rFonts w:hint="eastAsia" w:ascii="宋体" w:hAnsi="宋体" w:eastAsia="宋体" w:cs="宋体"/>
          <w:b/>
          <w:i/>
          <w:iCs/>
          <w:sz w:val="21"/>
          <w:szCs w:val="21"/>
          <w:u w:val="single"/>
        </w:rPr>
        <w:t>工期要求：</w:t>
      </w:r>
      <w:r>
        <w:rPr>
          <w:rFonts w:hint="eastAsia" w:ascii="宋体" w:hAnsi="宋体" w:eastAsia="宋体" w:cs="宋体"/>
          <w:i/>
          <w:iCs/>
          <w:color w:val="000000"/>
          <w:sz w:val="21"/>
          <w:szCs w:val="21"/>
          <w:u w:val="single"/>
          <w:lang w:eastAsia="zh-CN"/>
        </w:rPr>
        <w:t>合同签订后30日历天内供货、安装、调试完毕并交付采购人正常运行使用。</w:t>
      </w:r>
    </w:p>
    <w:p w14:paraId="74904609">
      <w:pPr>
        <w:keepNext w:val="0"/>
        <w:keepLines w:val="0"/>
        <w:pageBreakBefore w:val="0"/>
        <w:spacing w:line="440" w:lineRule="exact"/>
        <w:ind w:left="-1" w:firstLine="482"/>
        <w:jc w:val="left"/>
        <w:rPr>
          <w:rFonts w:hint="eastAsia" w:ascii="宋体" w:hAnsi="宋体" w:eastAsia="宋体" w:cs="宋体"/>
          <w:i/>
          <w:iCs/>
          <w:sz w:val="21"/>
          <w:szCs w:val="21"/>
          <w:u w:val="single"/>
        </w:rPr>
      </w:pPr>
      <w:r>
        <w:rPr>
          <w:rFonts w:hint="eastAsia" w:ascii="宋体" w:hAnsi="宋体" w:eastAsia="宋体" w:cs="宋体"/>
          <w:b/>
          <w:i/>
          <w:iCs/>
          <w:sz w:val="21"/>
          <w:szCs w:val="21"/>
          <w:u w:val="single"/>
          <w:lang w:val="en-US" w:eastAsia="zh-CN"/>
        </w:rPr>
        <w:t>2.3</w:t>
      </w:r>
      <w:r>
        <w:rPr>
          <w:rFonts w:hint="eastAsia" w:ascii="宋体" w:hAnsi="宋体" w:eastAsia="宋体" w:cs="宋体"/>
          <w:b/>
          <w:i/>
          <w:iCs/>
          <w:sz w:val="21"/>
          <w:szCs w:val="21"/>
          <w:u w:val="single"/>
        </w:rPr>
        <w:t>交货地点：</w:t>
      </w:r>
      <w:r>
        <w:rPr>
          <w:rFonts w:hint="eastAsia" w:ascii="宋体" w:hAnsi="宋体" w:eastAsia="宋体" w:cs="宋体"/>
          <w:i/>
          <w:iCs/>
          <w:sz w:val="21"/>
          <w:szCs w:val="21"/>
          <w:u w:val="single"/>
          <w:lang w:eastAsia="zh-CN"/>
        </w:rPr>
        <w:t>阜宁县</w:t>
      </w:r>
      <w:r>
        <w:rPr>
          <w:rFonts w:hint="eastAsia" w:ascii="宋体" w:hAnsi="宋体" w:eastAsia="宋体" w:cs="宋体"/>
          <w:i/>
          <w:iCs/>
          <w:sz w:val="21"/>
          <w:szCs w:val="21"/>
          <w:u w:val="single"/>
        </w:rPr>
        <w:t>。</w:t>
      </w:r>
    </w:p>
    <w:p w14:paraId="60B3EC60">
      <w:pPr>
        <w:keepNext w:val="0"/>
        <w:keepLines w:val="0"/>
        <w:pageBreakBefore w:val="0"/>
        <w:spacing w:line="440" w:lineRule="exact"/>
        <w:ind w:left="-1" w:firstLine="482"/>
        <w:jc w:val="left"/>
        <w:rPr>
          <w:rFonts w:hint="eastAsia" w:ascii="宋体" w:hAnsi="宋体" w:eastAsia="宋体" w:cs="宋体"/>
          <w:b/>
          <w:i/>
          <w:iCs/>
          <w:sz w:val="21"/>
          <w:szCs w:val="21"/>
          <w:u w:val="single"/>
        </w:rPr>
      </w:pPr>
      <w:r>
        <w:rPr>
          <w:rFonts w:hint="eastAsia" w:ascii="宋体" w:hAnsi="宋体" w:eastAsia="宋体" w:cs="宋体"/>
          <w:b/>
          <w:i/>
          <w:iCs/>
          <w:sz w:val="21"/>
          <w:szCs w:val="21"/>
          <w:u w:val="single"/>
          <w:lang w:val="en-US" w:eastAsia="zh-CN"/>
        </w:rPr>
        <w:t>2.4</w:t>
      </w:r>
      <w:r>
        <w:rPr>
          <w:rFonts w:hint="eastAsia" w:ascii="宋体" w:hAnsi="宋体" w:eastAsia="宋体" w:cs="宋体"/>
          <w:b/>
          <w:i/>
          <w:iCs/>
          <w:sz w:val="21"/>
          <w:szCs w:val="21"/>
          <w:u w:val="single"/>
        </w:rPr>
        <w:t>验收标准和方法</w:t>
      </w:r>
    </w:p>
    <w:p w14:paraId="261D14E0">
      <w:pPr>
        <w:keepNext w:val="0"/>
        <w:keepLines w:val="0"/>
        <w:pageBreakBefore w:val="0"/>
        <w:widowControl w:val="0"/>
        <w:spacing w:line="440" w:lineRule="exact"/>
        <w:ind w:firstLine="480"/>
        <w:rPr>
          <w:rFonts w:hint="eastAsia" w:ascii="宋体" w:hAnsi="宋体" w:eastAsia="宋体" w:cs="宋体"/>
          <w:b/>
          <w:bCs/>
          <w:i/>
          <w:iCs/>
          <w:sz w:val="21"/>
          <w:szCs w:val="21"/>
          <w:u w:val="single"/>
        </w:rPr>
      </w:pPr>
      <w:r>
        <w:rPr>
          <w:rFonts w:hint="eastAsia" w:ascii="宋体" w:hAnsi="宋体" w:eastAsia="宋体" w:cs="宋体"/>
          <w:i/>
          <w:iCs/>
          <w:sz w:val="21"/>
          <w:szCs w:val="21"/>
          <w:u w:val="single"/>
          <w:lang w:val="en-US" w:eastAsia="zh-CN"/>
        </w:rPr>
        <w:t>2.4.1</w:t>
      </w:r>
      <w:r>
        <w:rPr>
          <w:rFonts w:hint="eastAsia" w:ascii="宋体" w:hAnsi="宋体" w:eastAsia="宋体" w:cs="宋体"/>
          <w:i/>
          <w:iCs/>
          <w:sz w:val="21"/>
          <w:szCs w:val="21"/>
          <w:u w:val="single"/>
        </w:rPr>
        <w:t>在交付前，乙方应对货物的品牌、规格型号、技术指标、性能、质量（包括货物的外观）和数量等进行准确而全面的检验。</w:t>
      </w:r>
    </w:p>
    <w:p w14:paraId="02F81A25">
      <w:pPr>
        <w:keepNext w:val="0"/>
        <w:keepLines w:val="0"/>
        <w:pageBreakBefore w:val="0"/>
        <w:widowControl/>
        <w:suppressLineNumbers w:val="0"/>
        <w:spacing w:line="440" w:lineRule="exact"/>
        <w:ind w:firstLine="480"/>
        <w:jc w:val="left"/>
        <w:rPr>
          <w:rFonts w:hint="eastAsia" w:ascii="宋体" w:hAnsi="宋体" w:eastAsia="宋体" w:cs="宋体"/>
          <w:i/>
          <w:iCs/>
          <w:color w:val="000000"/>
          <w:sz w:val="21"/>
          <w:szCs w:val="21"/>
          <w:u w:val="single"/>
          <w:lang w:val="en-US" w:eastAsia="zh-CN" w:bidi="ar"/>
        </w:rPr>
      </w:pPr>
      <w:r>
        <w:rPr>
          <w:rFonts w:hint="eastAsia" w:ascii="宋体" w:hAnsi="宋体" w:eastAsia="宋体" w:cs="宋体"/>
          <w:i/>
          <w:iCs/>
          <w:color w:val="000000"/>
          <w:sz w:val="21"/>
          <w:szCs w:val="21"/>
          <w:u w:val="single"/>
          <w:lang w:val="en-US" w:eastAsia="zh-CN" w:bidi="ar"/>
        </w:rPr>
        <w:t>2.4.2验收工作按照相关行业规范、标准和本项目采购文件约定的技术指标组织。</w:t>
      </w:r>
    </w:p>
    <w:p w14:paraId="55FCBC96">
      <w:pPr>
        <w:keepNext w:val="0"/>
        <w:keepLines w:val="0"/>
        <w:pageBreakBefore w:val="0"/>
        <w:spacing w:line="440" w:lineRule="exact"/>
        <w:ind w:firstLine="480"/>
        <w:rPr>
          <w:rFonts w:hint="eastAsia" w:ascii="宋体" w:hAnsi="宋体" w:eastAsia="宋体" w:cs="宋体"/>
          <w:bCs/>
          <w:i/>
          <w:iCs/>
          <w:sz w:val="21"/>
          <w:szCs w:val="21"/>
          <w:u w:val="single"/>
        </w:rPr>
      </w:pPr>
      <w:r>
        <w:rPr>
          <w:rFonts w:hint="eastAsia" w:ascii="宋体" w:hAnsi="宋体" w:eastAsia="宋体" w:cs="宋体"/>
          <w:bCs/>
          <w:i/>
          <w:iCs/>
          <w:sz w:val="21"/>
          <w:szCs w:val="21"/>
          <w:u w:val="single"/>
          <w:lang w:val="en-US" w:eastAsia="zh-CN"/>
        </w:rPr>
        <w:t>2.4.3</w:t>
      </w:r>
      <w:r>
        <w:rPr>
          <w:rFonts w:hint="eastAsia" w:ascii="宋体" w:hAnsi="宋体" w:eastAsia="宋体" w:cs="宋体"/>
          <w:bCs/>
          <w:i/>
          <w:iCs/>
          <w:sz w:val="21"/>
          <w:szCs w:val="21"/>
          <w:u w:val="single"/>
        </w:rPr>
        <w:t>采购人组成验收小组按国家有关规定，规范进行验收，必要时邀请相关的专业人员或机构参与验收。</w:t>
      </w:r>
    </w:p>
    <w:p w14:paraId="617D852A">
      <w:pPr>
        <w:keepNext w:val="0"/>
        <w:keepLines w:val="0"/>
        <w:pageBreakBefore w:val="0"/>
        <w:spacing w:line="440" w:lineRule="exact"/>
        <w:ind w:firstLine="480"/>
        <w:rPr>
          <w:rFonts w:hint="eastAsia" w:ascii="宋体" w:hAnsi="宋体" w:eastAsia="宋体" w:cs="宋体"/>
          <w:bCs/>
          <w:i/>
          <w:iCs/>
          <w:sz w:val="21"/>
          <w:szCs w:val="21"/>
          <w:u w:val="single"/>
          <w:lang w:val="en-US" w:eastAsia="zh-CN"/>
        </w:rPr>
      </w:pPr>
      <w:r>
        <w:rPr>
          <w:rFonts w:hint="eastAsia" w:ascii="宋体" w:hAnsi="宋体" w:eastAsia="宋体" w:cs="宋体"/>
          <w:bCs/>
          <w:i/>
          <w:iCs/>
          <w:sz w:val="21"/>
          <w:szCs w:val="21"/>
          <w:u w:val="single"/>
          <w:lang w:val="en-US" w:eastAsia="zh-CN"/>
        </w:rPr>
        <w:t xml:space="preserve">2.4.4配套设备及资料 </w:t>
      </w:r>
    </w:p>
    <w:p w14:paraId="02466CBB">
      <w:pPr>
        <w:keepNext w:val="0"/>
        <w:keepLines w:val="0"/>
        <w:pageBreakBefore w:val="0"/>
        <w:spacing w:line="440" w:lineRule="exact"/>
        <w:ind w:firstLine="480"/>
        <w:rPr>
          <w:rFonts w:hint="eastAsia" w:ascii="宋体" w:hAnsi="宋体" w:eastAsia="宋体" w:cs="宋体"/>
          <w:bCs/>
          <w:i/>
          <w:iCs/>
          <w:sz w:val="21"/>
          <w:szCs w:val="21"/>
          <w:u w:val="single"/>
        </w:rPr>
      </w:pPr>
      <w:r>
        <w:rPr>
          <w:rFonts w:hint="eastAsia" w:ascii="宋体" w:hAnsi="宋体" w:eastAsia="宋体" w:cs="宋体"/>
          <w:bCs/>
          <w:i/>
          <w:iCs/>
          <w:sz w:val="21"/>
          <w:szCs w:val="21"/>
          <w:u w:val="single"/>
          <w:lang w:val="en-US" w:eastAsia="zh-CN"/>
        </w:rPr>
        <w:t xml:space="preserve">配备必要的随机工具，提供技术手册、使用说明书等随机资料，以满足设备正常运行和维护保障需要。 </w:t>
      </w:r>
    </w:p>
    <w:p w14:paraId="6B0969F1">
      <w:pPr>
        <w:keepNext w:val="0"/>
        <w:keepLines w:val="0"/>
        <w:pageBreakBefore w:val="0"/>
        <w:spacing w:line="440" w:lineRule="exact"/>
        <w:ind w:firstLine="480"/>
        <w:rPr>
          <w:rFonts w:hint="eastAsia" w:ascii="宋体" w:hAnsi="宋体" w:eastAsia="宋体" w:cs="宋体"/>
          <w:bCs/>
          <w:i/>
          <w:iCs/>
          <w:sz w:val="21"/>
          <w:szCs w:val="21"/>
          <w:u w:val="single"/>
        </w:rPr>
      </w:pPr>
      <w:r>
        <w:rPr>
          <w:rFonts w:hint="eastAsia" w:ascii="宋体" w:hAnsi="宋体" w:eastAsia="宋体" w:cs="宋体"/>
          <w:bCs/>
          <w:i/>
          <w:iCs/>
          <w:sz w:val="21"/>
          <w:szCs w:val="21"/>
          <w:u w:val="single"/>
          <w:lang w:val="en-US" w:eastAsia="zh-CN"/>
        </w:rPr>
        <w:t>2.4.5</w:t>
      </w:r>
      <w:r>
        <w:rPr>
          <w:rFonts w:hint="eastAsia" w:ascii="宋体" w:hAnsi="宋体" w:eastAsia="宋体" w:cs="宋体"/>
          <w:bCs/>
          <w:i/>
          <w:iCs/>
          <w:sz w:val="21"/>
          <w:szCs w:val="21"/>
          <w:u w:val="single"/>
        </w:rPr>
        <w:t>供货产品需与项目需求中内容相符；如有不符的，由</w:t>
      </w:r>
      <w:r>
        <w:rPr>
          <w:rFonts w:hint="eastAsia" w:ascii="宋体" w:hAnsi="宋体" w:eastAsia="宋体" w:cs="宋体"/>
          <w:bCs/>
          <w:i/>
          <w:iCs/>
          <w:sz w:val="21"/>
          <w:szCs w:val="21"/>
          <w:u w:val="single"/>
          <w:lang w:eastAsia="zh-CN"/>
        </w:rPr>
        <w:t>中标人</w:t>
      </w:r>
      <w:r>
        <w:rPr>
          <w:rFonts w:hint="eastAsia" w:ascii="宋体" w:hAnsi="宋体" w:eastAsia="宋体" w:cs="宋体"/>
          <w:bCs/>
          <w:i/>
          <w:iCs/>
          <w:sz w:val="21"/>
          <w:szCs w:val="21"/>
          <w:u w:val="single"/>
        </w:rPr>
        <w:t>整改或换货，造成所有的损失（包括：因此给采购人造成的损失），由</w:t>
      </w:r>
      <w:r>
        <w:rPr>
          <w:rFonts w:hint="eastAsia" w:ascii="宋体" w:hAnsi="宋体" w:eastAsia="宋体" w:cs="宋体"/>
          <w:bCs/>
          <w:i/>
          <w:iCs/>
          <w:sz w:val="21"/>
          <w:szCs w:val="21"/>
          <w:u w:val="single"/>
          <w:lang w:eastAsia="zh-CN"/>
        </w:rPr>
        <w:t>中标人</w:t>
      </w:r>
      <w:r>
        <w:rPr>
          <w:rFonts w:hint="eastAsia" w:ascii="宋体" w:hAnsi="宋体" w:eastAsia="宋体" w:cs="宋体"/>
          <w:bCs/>
          <w:i/>
          <w:iCs/>
          <w:sz w:val="21"/>
          <w:szCs w:val="21"/>
          <w:u w:val="single"/>
        </w:rPr>
        <w:t>承担。</w:t>
      </w:r>
    </w:p>
    <w:p w14:paraId="526752E9">
      <w:pPr>
        <w:keepNext w:val="0"/>
        <w:keepLines w:val="0"/>
        <w:pageBreakBefore w:val="0"/>
        <w:widowControl/>
        <w:suppressLineNumbers w:val="0"/>
        <w:spacing w:line="440" w:lineRule="exact"/>
        <w:ind w:firstLine="480"/>
        <w:jc w:val="left"/>
        <w:rPr>
          <w:rFonts w:hint="eastAsia" w:ascii="宋体" w:hAnsi="宋体" w:eastAsia="宋体" w:cs="宋体"/>
          <w:i/>
          <w:iCs/>
          <w:color w:val="000000"/>
          <w:sz w:val="21"/>
          <w:szCs w:val="21"/>
          <w:u w:val="single"/>
        </w:rPr>
      </w:pPr>
      <w:r>
        <w:rPr>
          <w:rFonts w:hint="eastAsia" w:ascii="宋体" w:hAnsi="宋体" w:eastAsia="宋体" w:cs="宋体"/>
          <w:i/>
          <w:iCs/>
          <w:color w:val="000000"/>
          <w:sz w:val="21"/>
          <w:szCs w:val="21"/>
          <w:u w:val="single"/>
          <w:lang w:val="en-US" w:eastAsia="zh-CN"/>
        </w:rPr>
        <w:t>2.5</w:t>
      </w:r>
      <w:r>
        <w:rPr>
          <w:rFonts w:hint="eastAsia" w:ascii="宋体" w:hAnsi="宋体" w:eastAsia="宋体" w:cs="宋体"/>
          <w:i/>
          <w:iCs/>
          <w:color w:val="000000"/>
          <w:sz w:val="21"/>
          <w:szCs w:val="21"/>
          <w:u w:val="single"/>
        </w:rPr>
        <w:t>其他要求</w:t>
      </w:r>
    </w:p>
    <w:p w14:paraId="5EEE26B9">
      <w:pPr>
        <w:keepNext w:val="0"/>
        <w:keepLines w:val="0"/>
        <w:pageBreakBefore w:val="0"/>
        <w:widowControl w:val="0"/>
        <w:tabs>
          <w:tab w:val="left" w:pos="0"/>
          <w:tab w:val="left" w:pos="360"/>
        </w:tabs>
        <w:spacing w:line="440" w:lineRule="exact"/>
        <w:ind w:right="19" w:firstLine="480"/>
        <w:rPr>
          <w:rFonts w:hint="eastAsia" w:ascii="宋体" w:hAnsi="宋体" w:eastAsia="宋体" w:cs="宋体"/>
          <w:i/>
          <w:iCs/>
          <w:sz w:val="21"/>
          <w:szCs w:val="21"/>
          <w:u w:val="single"/>
        </w:rPr>
      </w:pPr>
      <w:r>
        <w:rPr>
          <w:rFonts w:hint="eastAsia" w:ascii="宋体" w:hAnsi="宋体" w:eastAsia="宋体" w:cs="宋体"/>
          <w:i/>
          <w:iCs/>
          <w:sz w:val="21"/>
          <w:szCs w:val="21"/>
          <w:u w:val="single"/>
          <w:lang w:val="en-US" w:eastAsia="zh-CN"/>
        </w:rPr>
        <w:t>2.5.1</w:t>
      </w:r>
      <w:r>
        <w:rPr>
          <w:rFonts w:hint="eastAsia" w:ascii="宋体" w:hAnsi="宋体" w:eastAsia="宋体" w:cs="宋体"/>
          <w:i/>
          <w:iCs/>
          <w:sz w:val="21"/>
          <w:szCs w:val="21"/>
          <w:u w:val="single"/>
        </w:rPr>
        <w:t>车辆所采用的底盘需质量可靠，售后服务方便快捷。</w:t>
      </w:r>
    </w:p>
    <w:p w14:paraId="3DEFF93D">
      <w:pPr>
        <w:keepNext w:val="0"/>
        <w:keepLines w:val="0"/>
        <w:pageBreakBefore w:val="0"/>
        <w:widowControl w:val="0"/>
        <w:spacing w:line="440" w:lineRule="exact"/>
        <w:ind w:firstLine="482"/>
        <w:jc w:val="left"/>
        <w:rPr>
          <w:rFonts w:hint="eastAsia" w:ascii="宋体" w:hAnsi="宋体" w:eastAsia="宋体" w:cs="宋体"/>
          <w:b w:val="0"/>
          <w:bCs w:val="0"/>
          <w:i/>
          <w:iCs/>
          <w:color w:val="000000"/>
          <w:sz w:val="21"/>
          <w:szCs w:val="21"/>
          <w:u w:val="single"/>
        </w:rPr>
      </w:pPr>
      <w:r>
        <w:rPr>
          <w:rFonts w:hint="eastAsia" w:ascii="宋体" w:hAnsi="宋体" w:eastAsia="宋体" w:cs="宋体"/>
          <w:b/>
          <w:bCs/>
          <w:i/>
          <w:iCs/>
          <w:sz w:val="21"/>
          <w:szCs w:val="21"/>
          <w:u w:val="single"/>
          <w:lang w:val="en-US" w:eastAsia="zh-CN"/>
        </w:rPr>
        <w:t>2.5.2</w:t>
      </w:r>
      <w:r>
        <w:rPr>
          <w:rFonts w:hint="eastAsia" w:ascii="宋体" w:hAnsi="宋体" w:eastAsia="宋体" w:cs="宋体"/>
          <w:b w:val="0"/>
          <w:bCs w:val="0"/>
          <w:i/>
          <w:iCs/>
          <w:sz w:val="21"/>
          <w:szCs w:val="21"/>
          <w:u w:val="single"/>
        </w:rPr>
        <w:t>中标供应商应确保本次采购产品为全新产品，且车辆能够顺利上牌。</w:t>
      </w:r>
      <w:r>
        <w:rPr>
          <w:rFonts w:hint="eastAsia" w:ascii="宋体" w:hAnsi="宋体" w:eastAsia="宋体" w:cs="宋体"/>
          <w:b w:val="0"/>
          <w:bCs w:val="0"/>
          <w:i/>
          <w:iCs/>
          <w:color w:val="000000"/>
          <w:sz w:val="21"/>
          <w:szCs w:val="21"/>
          <w:u w:val="single"/>
        </w:rPr>
        <w:t>中标供应商在供货前，所采购产品须经采购人现场初步验收确认后方可供货。</w:t>
      </w:r>
    </w:p>
    <w:p w14:paraId="50D9DACF">
      <w:pPr>
        <w:pStyle w:val="248"/>
        <w:keepNext w:val="0"/>
        <w:keepLines w:val="0"/>
        <w:pageBreakBefore w:val="0"/>
        <w:widowControl w:val="0"/>
        <w:spacing w:before="0" w:beforeAutospacing="0" w:after="0" w:afterAutospacing="0" w:line="440" w:lineRule="exact"/>
        <w:ind w:firstLine="482"/>
        <w:jc w:val="both"/>
        <w:rPr>
          <w:rFonts w:hint="eastAsia" w:ascii="宋体" w:hAnsi="宋体" w:eastAsia="宋体" w:cs="宋体"/>
          <w:i/>
          <w:iCs/>
          <w:color w:val="000000"/>
          <w:sz w:val="21"/>
          <w:szCs w:val="21"/>
          <w:u w:val="single"/>
          <w:lang w:val="en-US" w:eastAsia="zh-CN"/>
        </w:rPr>
      </w:pPr>
      <w:r>
        <w:rPr>
          <w:rFonts w:hint="eastAsia" w:ascii="宋体" w:hAnsi="宋体" w:eastAsia="宋体" w:cs="宋体"/>
          <w:i/>
          <w:iCs/>
          <w:color w:val="000000"/>
          <w:sz w:val="21"/>
          <w:szCs w:val="21"/>
          <w:u w:val="single"/>
          <w:lang w:eastAsia="zh-CN"/>
        </w:rPr>
        <w:t>中标后供应商负责在采购人所在地验车上牌、办理行驶证，车辆不能正常上牌、办理行驶证的，采购人可拒付所有款项，因此给采购人造成损失的，由供应商负责赔偿。</w:t>
      </w:r>
    </w:p>
    <w:p w14:paraId="1D97CD04">
      <w:pPr>
        <w:keepNext w:val="0"/>
        <w:keepLines w:val="0"/>
        <w:pageBreakBefore w:val="0"/>
        <w:spacing w:line="440" w:lineRule="exact"/>
        <w:ind w:left="-1" w:firstLine="482"/>
        <w:jc w:val="left"/>
        <w:rPr>
          <w:rFonts w:hint="eastAsia" w:ascii="宋体" w:hAnsi="宋体" w:eastAsia="宋体" w:cs="宋体"/>
          <w:b/>
          <w:i/>
          <w:iCs/>
          <w:sz w:val="21"/>
          <w:szCs w:val="21"/>
          <w:u w:val="single"/>
        </w:rPr>
      </w:pPr>
      <w:r>
        <w:rPr>
          <w:rFonts w:hint="eastAsia" w:ascii="宋体" w:hAnsi="宋体" w:eastAsia="宋体" w:cs="宋体"/>
          <w:b/>
          <w:i/>
          <w:iCs/>
          <w:sz w:val="21"/>
          <w:szCs w:val="21"/>
          <w:u w:val="single"/>
          <w:lang w:val="en-US" w:eastAsia="zh-CN"/>
        </w:rPr>
        <w:t>2.6</w:t>
      </w:r>
      <w:r>
        <w:rPr>
          <w:rFonts w:hint="eastAsia" w:ascii="宋体" w:hAnsi="宋体" w:eastAsia="宋体" w:cs="宋体"/>
          <w:b/>
          <w:i/>
          <w:iCs/>
          <w:sz w:val="21"/>
          <w:szCs w:val="21"/>
          <w:u w:val="single"/>
        </w:rPr>
        <w:t>付款方式</w:t>
      </w:r>
      <w:r>
        <w:rPr>
          <w:rFonts w:hint="eastAsia" w:ascii="宋体" w:hAnsi="宋体" w:cs="宋体"/>
          <w:b/>
          <w:i/>
          <w:iCs/>
          <w:sz w:val="21"/>
          <w:szCs w:val="21"/>
          <w:u w:val="single"/>
          <w:lang w:eastAsia="zh-CN"/>
        </w:rPr>
        <w:t>：</w:t>
      </w:r>
      <w:r>
        <w:rPr>
          <w:rFonts w:hint="eastAsia" w:ascii="宋体" w:hAnsi="宋体" w:eastAsia="宋体" w:cs="宋体"/>
          <w:b/>
          <w:i/>
          <w:iCs/>
          <w:sz w:val="21"/>
          <w:szCs w:val="21"/>
          <w:u w:val="single"/>
        </w:rPr>
        <w:t>详见合同条款。</w:t>
      </w:r>
      <w:bookmarkEnd w:id="181"/>
      <w:bookmarkEnd w:id="182"/>
      <w:bookmarkEnd w:id="183"/>
      <w:bookmarkEnd w:id="184"/>
      <w:bookmarkStart w:id="187" w:name="_Toc26554093"/>
      <w:bookmarkStart w:id="188" w:name="_Toc120614281"/>
      <w:bookmarkStart w:id="189" w:name="_Toc49090575"/>
    </w:p>
    <w:p w14:paraId="6405455B">
      <w:pPr>
        <w:keepNext w:val="0"/>
        <w:keepLines w:val="0"/>
        <w:pageBreakBefore w:val="0"/>
        <w:numPr>
          <w:ilvl w:val="0"/>
          <w:numId w:val="11"/>
        </w:numPr>
        <w:spacing w:line="440" w:lineRule="exact"/>
        <w:ind w:left="-1" w:firstLine="482"/>
        <w:jc w:val="left"/>
        <w:rPr>
          <w:rFonts w:hint="eastAsia" w:ascii="宋体" w:hAnsi="宋体" w:eastAsia="宋体" w:cs="宋体"/>
          <w:b/>
          <w:color w:val="000000"/>
          <w:position w:val="6"/>
          <w:sz w:val="21"/>
          <w:szCs w:val="21"/>
          <w:highlight w:val="none"/>
          <w:lang w:val="en-US" w:eastAsia="zh-CN"/>
        </w:rPr>
      </w:pPr>
      <w:r>
        <w:rPr>
          <w:rFonts w:hint="eastAsia" w:ascii="宋体" w:hAnsi="宋体" w:eastAsia="宋体" w:cs="宋体"/>
          <w:b/>
          <w:color w:val="000000"/>
          <w:position w:val="6"/>
          <w:sz w:val="21"/>
          <w:szCs w:val="21"/>
          <w:highlight w:val="none"/>
          <w:lang w:val="en-US" w:eastAsia="zh-CN"/>
        </w:rPr>
        <w:t>履约能力要求</w:t>
      </w:r>
    </w:p>
    <w:p w14:paraId="63CBED9D">
      <w:pPr>
        <w:keepNext w:val="0"/>
        <w:keepLines w:val="0"/>
        <w:pageBreakBefore w:val="0"/>
        <w:numPr>
          <w:ilvl w:val="0"/>
          <w:numId w:val="0"/>
        </w:numPr>
        <w:spacing w:line="440" w:lineRule="exact"/>
        <w:ind w:left="481" w:leftChars="0"/>
        <w:jc w:val="left"/>
        <w:rPr>
          <w:rFonts w:hint="eastAsia" w:ascii="宋体" w:hAnsi="宋体" w:eastAsia="宋体" w:cs="宋体"/>
          <w:bCs/>
          <w:color w:val="000000"/>
          <w:sz w:val="21"/>
          <w:szCs w:val="21"/>
          <w:lang w:val="en-US" w:eastAsia="zh-CN"/>
        </w:rPr>
      </w:pPr>
      <w:r>
        <w:rPr>
          <w:rFonts w:hint="eastAsia" w:ascii="宋体" w:hAnsi="宋体" w:eastAsia="宋体" w:cs="宋体"/>
          <w:bCs/>
          <w:color w:val="000000"/>
          <w:sz w:val="21"/>
          <w:szCs w:val="21"/>
          <w:lang w:val="en-US" w:eastAsia="zh-CN"/>
        </w:rPr>
        <w:t>1.投标人具有救护车业绩。</w:t>
      </w:r>
    </w:p>
    <w:p w14:paraId="3A6C8EF8">
      <w:pPr>
        <w:keepNext w:val="0"/>
        <w:keepLines w:val="0"/>
        <w:pageBreakBefore w:val="0"/>
        <w:widowControl w:val="0"/>
        <w:numPr>
          <w:ilvl w:val="0"/>
          <w:numId w:val="0"/>
        </w:numPr>
        <w:spacing w:line="420" w:lineRule="exact"/>
        <w:ind w:firstLine="480"/>
        <w:rPr>
          <w:rFonts w:hint="eastAsia" w:ascii="宋体" w:hAnsi="宋体" w:eastAsia="宋体" w:cs="宋体"/>
          <w:bCs/>
          <w:color w:val="000000"/>
          <w:sz w:val="21"/>
          <w:szCs w:val="21"/>
          <w:lang w:val="en-US" w:eastAsia="zh-CN"/>
        </w:rPr>
      </w:pPr>
      <w:r>
        <w:rPr>
          <w:rFonts w:hint="eastAsia" w:ascii="宋体" w:hAnsi="宋体" w:eastAsia="宋体" w:cs="宋体"/>
          <w:bCs/>
          <w:color w:val="000000"/>
          <w:sz w:val="21"/>
          <w:szCs w:val="21"/>
          <w:lang w:val="en-US" w:eastAsia="zh-CN"/>
        </w:rPr>
        <w:t>2.投标人具有质量管理和质量保证能力。</w:t>
      </w:r>
    </w:p>
    <w:p w14:paraId="26260039">
      <w:pPr>
        <w:keepNext w:val="0"/>
        <w:keepLines w:val="0"/>
        <w:pageBreakBefore w:val="0"/>
        <w:widowControl w:val="0"/>
        <w:numPr>
          <w:ilvl w:val="0"/>
          <w:numId w:val="0"/>
        </w:numPr>
        <w:spacing w:line="420" w:lineRule="exact"/>
        <w:ind w:firstLine="480"/>
        <w:rPr>
          <w:rFonts w:hint="eastAsia" w:ascii="宋体" w:hAnsi="宋体" w:eastAsia="宋体" w:cs="宋体"/>
          <w:bCs/>
          <w:color w:val="000000"/>
          <w:sz w:val="21"/>
          <w:szCs w:val="21"/>
          <w:lang w:val="en-US" w:eastAsia="zh-CN"/>
        </w:rPr>
      </w:pPr>
      <w:r>
        <w:rPr>
          <w:rFonts w:hint="eastAsia" w:ascii="宋体" w:hAnsi="宋体" w:eastAsia="宋体" w:cs="宋体"/>
          <w:bCs/>
          <w:color w:val="000000"/>
          <w:sz w:val="21"/>
          <w:szCs w:val="21"/>
          <w:lang w:val="en-US" w:eastAsia="zh-CN"/>
        </w:rPr>
        <w:t>3.投标人具有按既定</w:t>
      </w:r>
      <w:r>
        <w:rPr>
          <w:rFonts w:hint="eastAsia" w:ascii="宋体" w:hAnsi="宋体" w:eastAsia="宋体" w:cs="宋体"/>
          <w:bCs/>
          <w:color w:val="000000"/>
          <w:sz w:val="21"/>
          <w:szCs w:val="21"/>
          <w:lang w:val="en-US" w:eastAsia="zh-CN"/>
        </w:rPr>
        <w:fldChar w:fldCharType="begin"/>
      </w:r>
      <w:r>
        <w:rPr>
          <w:rFonts w:hint="eastAsia" w:ascii="宋体" w:hAnsi="宋体" w:eastAsia="宋体" w:cs="宋体"/>
          <w:bCs/>
          <w:color w:val="000000"/>
          <w:sz w:val="21"/>
          <w:szCs w:val="21"/>
          <w:lang w:val="en-US" w:eastAsia="zh-CN"/>
        </w:rPr>
        <w:instrText xml:space="preserve"> HYPERLINK "https://baike.baidu.com/item/%E7%8E%AF%E5%A2%83%E4%BF%9D%E6%8A%A4%E6%A0%87%E5%87%86/3570118?fromModule=lemma_inlink" \t "https://baike.baidu.com/item/%E7%8E%AF%E5%A2%83%E7%AE%A1%E7%90%86%E4%BD%93%E7%B3%BB%E8%AE%A4%E8%AF%81/_blank" </w:instrText>
      </w:r>
      <w:r>
        <w:rPr>
          <w:rFonts w:hint="eastAsia" w:ascii="宋体" w:hAnsi="宋体" w:eastAsia="宋体" w:cs="宋体"/>
          <w:bCs/>
          <w:color w:val="000000"/>
          <w:sz w:val="21"/>
          <w:szCs w:val="21"/>
          <w:lang w:val="en-US" w:eastAsia="zh-CN"/>
        </w:rPr>
        <w:fldChar w:fldCharType="separate"/>
      </w:r>
      <w:r>
        <w:rPr>
          <w:rFonts w:hint="eastAsia" w:ascii="宋体" w:hAnsi="宋体" w:eastAsia="宋体" w:cs="宋体"/>
          <w:bCs/>
          <w:color w:val="000000"/>
          <w:sz w:val="21"/>
          <w:szCs w:val="21"/>
          <w:lang w:val="en-US" w:eastAsia="zh-CN"/>
        </w:rPr>
        <w:t>环境保护标准</w:t>
      </w:r>
      <w:r>
        <w:rPr>
          <w:rFonts w:hint="eastAsia" w:ascii="宋体" w:hAnsi="宋体" w:eastAsia="宋体" w:cs="宋体"/>
          <w:bCs/>
          <w:color w:val="000000"/>
          <w:sz w:val="21"/>
          <w:szCs w:val="21"/>
          <w:lang w:val="en-US" w:eastAsia="zh-CN"/>
        </w:rPr>
        <w:fldChar w:fldCharType="end"/>
      </w:r>
      <w:r>
        <w:rPr>
          <w:rFonts w:hint="eastAsia" w:ascii="宋体" w:hAnsi="宋体" w:eastAsia="宋体" w:cs="宋体"/>
          <w:bCs/>
          <w:color w:val="000000"/>
          <w:sz w:val="21"/>
          <w:szCs w:val="21"/>
          <w:lang w:val="en-US" w:eastAsia="zh-CN"/>
        </w:rPr>
        <w:t>和法规要求提供产品的环境保证能力。</w:t>
      </w:r>
    </w:p>
    <w:p w14:paraId="6D0402D4">
      <w:pPr>
        <w:keepNext w:val="0"/>
        <w:keepLines w:val="0"/>
        <w:pageBreakBefore w:val="0"/>
        <w:widowControl w:val="0"/>
        <w:numPr>
          <w:ilvl w:val="0"/>
          <w:numId w:val="0"/>
        </w:numPr>
        <w:spacing w:line="420" w:lineRule="exact"/>
        <w:ind w:firstLine="480"/>
        <w:rPr>
          <w:rFonts w:hint="eastAsia" w:ascii="宋体" w:hAnsi="宋体" w:eastAsia="宋体" w:cs="宋体"/>
          <w:bCs/>
          <w:color w:val="000000"/>
          <w:sz w:val="21"/>
          <w:szCs w:val="21"/>
          <w:lang w:val="en-US" w:eastAsia="zh-CN"/>
        </w:rPr>
      </w:pPr>
      <w:r>
        <w:rPr>
          <w:rFonts w:hint="eastAsia" w:ascii="宋体" w:hAnsi="宋体" w:eastAsia="宋体" w:cs="宋体"/>
          <w:bCs/>
          <w:color w:val="000000"/>
          <w:sz w:val="21"/>
          <w:szCs w:val="21"/>
          <w:lang w:val="en-US" w:eastAsia="zh-CN"/>
        </w:rPr>
        <w:t>4.投标人具有系统化的管理流程，以确保员工在工作环境中的健康与安全。</w:t>
      </w:r>
    </w:p>
    <w:p w14:paraId="6949835F">
      <w:pPr>
        <w:keepNext w:val="0"/>
        <w:keepLines w:val="0"/>
        <w:pageBreakBefore w:val="0"/>
        <w:spacing w:line="420" w:lineRule="exact"/>
        <w:ind w:left="0" w:firstLine="480"/>
        <w:jc w:val="left"/>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bidi="ar-SA"/>
        </w:rPr>
        <w:t>5.</w:t>
      </w:r>
      <w:r>
        <w:rPr>
          <w:rFonts w:hint="eastAsia" w:ascii="宋体" w:hAnsi="宋体" w:eastAsia="宋体" w:cs="宋体"/>
          <w:color w:val="000000"/>
          <w:sz w:val="21"/>
          <w:szCs w:val="21"/>
          <w:highlight w:val="none"/>
          <w:lang w:val="en-US" w:eastAsia="zh-CN"/>
        </w:rPr>
        <w:t>实施方案、售后方案及其他</w:t>
      </w:r>
    </w:p>
    <w:p w14:paraId="20E220F7">
      <w:pPr>
        <w:keepNext w:val="0"/>
        <w:keepLines w:val="0"/>
        <w:pageBreakBefore w:val="0"/>
        <w:widowControl w:val="0"/>
        <w:numPr>
          <w:ilvl w:val="0"/>
          <w:numId w:val="0"/>
        </w:numPr>
        <w:spacing w:line="420" w:lineRule="exact"/>
        <w:ind w:firstLine="480"/>
        <w:rPr>
          <w:rFonts w:hint="eastAsia" w:ascii="宋体" w:hAnsi="宋体" w:eastAsia="宋体" w:cs="宋体"/>
          <w:bCs/>
          <w:color w:val="000000"/>
          <w:sz w:val="21"/>
          <w:szCs w:val="21"/>
          <w:lang w:val="en-US" w:eastAsia="zh-CN"/>
        </w:rPr>
      </w:pPr>
      <w:r>
        <w:rPr>
          <w:rFonts w:hint="eastAsia" w:ascii="宋体" w:hAnsi="宋体" w:cs="宋体"/>
          <w:bCs/>
          <w:color w:val="000000"/>
          <w:sz w:val="21"/>
          <w:szCs w:val="21"/>
          <w:lang w:val="en-US" w:eastAsia="zh-CN"/>
        </w:rPr>
        <w:t>5.1</w:t>
      </w:r>
      <w:r>
        <w:rPr>
          <w:rFonts w:hint="eastAsia" w:ascii="宋体" w:hAnsi="宋体" w:eastAsia="宋体" w:cs="宋体"/>
          <w:spacing w:val="8"/>
          <w:szCs w:val="21"/>
          <w:lang w:val="en-US" w:eastAsia="zh-CN"/>
        </w:rPr>
        <w:t>服务保障方案</w:t>
      </w:r>
    </w:p>
    <w:p w14:paraId="2473D82C">
      <w:pPr>
        <w:keepNext w:val="0"/>
        <w:keepLines w:val="0"/>
        <w:pageBreakBefore w:val="0"/>
        <w:widowControl w:val="0"/>
        <w:numPr>
          <w:ilvl w:val="0"/>
          <w:numId w:val="0"/>
        </w:numPr>
        <w:spacing w:line="420" w:lineRule="exact"/>
        <w:ind w:firstLine="480"/>
        <w:rPr>
          <w:rFonts w:hint="eastAsia" w:ascii="宋体" w:hAnsi="宋体" w:eastAsia="宋体" w:cs="宋体"/>
          <w:bCs/>
          <w:color w:val="000000"/>
          <w:sz w:val="21"/>
          <w:szCs w:val="21"/>
          <w:lang w:val="en-US" w:eastAsia="zh-CN"/>
        </w:rPr>
      </w:pPr>
      <w:r>
        <w:rPr>
          <w:rFonts w:hint="eastAsia" w:ascii="宋体" w:hAnsi="宋体" w:eastAsia="宋体" w:cs="宋体"/>
          <w:bCs/>
          <w:color w:val="000000"/>
          <w:sz w:val="21"/>
          <w:szCs w:val="21"/>
          <w:lang w:val="en-US" w:eastAsia="zh-CN"/>
        </w:rPr>
        <w:t>包括但不限于</w:t>
      </w:r>
      <w:r>
        <w:rPr>
          <w:rFonts w:hint="eastAsia" w:ascii="宋体" w:hAnsi="宋体" w:eastAsia="宋体" w:cs="宋体"/>
          <w:sz w:val="21"/>
          <w:szCs w:val="21"/>
          <w:lang w:val="en-US" w:eastAsia="zh-CN"/>
        </w:rPr>
        <w:t>专属固定项目组织架构与专人驻场对接方案</w:t>
      </w:r>
      <w:r>
        <w:rPr>
          <w:rFonts w:hint="eastAsia" w:ascii="宋体" w:hAnsi="宋体" w:cs="宋体"/>
          <w:bCs/>
          <w:color w:val="000000"/>
          <w:sz w:val="21"/>
          <w:szCs w:val="21"/>
          <w:lang w:val="en-US" w:eastAsia="zh-CN"/>
        </w:rPr>
        <w:t>；</w:t>
      </w:r>
      <w:r>
        <w:rPr>
          <w:rFonts w:hint="eastAsia" w:ascii="宋体" w:hAnsi="宋体" w:eastAsia="宋体" w:cs="宋体"/>
          <w:sz w:val="21"/>
          <w:szCs w:val="21"/>
          <w:lang w:val="en-US" w:eastAsia="zh-CN"/>
        </w:rPr>
        <w:t>原厂整车品牌直供与全链条溯源管控方案</w:t>
      </w:r>
      <w:r>
        <w:rPr>
          <w:rFonts w:hint="eastAsia" w:ascii="宋体" w:hAnsi="宋体" w:cs="宋体"/>
          <w:sz w:val="21"/>
          <w:szCs w:val="21"/>
          <w:lang w:val="en-US" w:eastAsia="zh-CN"/>
        </w:rPr>
        <w:t>；</w:t>
      </w:r>
      <w:r>
        <w:rPr>
          <w:rFonts w:hint="eastAsia" w:ascii="宋体" w:hAnsi="宋体" w:eastAsia="宋体" w:cs="宋体"/>
          <w:sz w:val="21"/>
          <w:szCs w:val="21"/>
          <w:lang w:val="en-US" w:eastAsia="zh-CN"/>
        </w:rPr>
        <w:t>交付进度分段管控方案</w:t>
      </w:r>
      <w:r>
        <w:rPr>
          <w:rFonts w:hint="eastAsia" w:ascii="宋体" w:hAnsi="宋体" w:cs="宋体"/>
          <w:sz w:val="21"/>
          <w:szCs w:val="21"/>
          <w:lang w:val="en-US" w:eastAsia="zh-CN"/>
        </w:rPr>
        <w:t>；</w:t>
      </w:r>
      <w:r>
        <w:rPr>
          <w:rFonts w:hint="eastAsia" w:ascii="宋体" w:hAnsi="宋体" w:eastAsia="宋体" w:cs="宋体"/>
          <w:sz w:val="21"/>
          <w:szCs w:val="21"/>
          <w:lang w:val="en-US" w:eastAsia="zh-CN"/>
        </w:rPr>
        <w:t>标准化验收、对账、资料移交闭环管理方案</w:t>
      </w:r>
      <w:r>
        <w:rPr>
          <w:rFonts w:hint="eastAsia" w:ascii="宋体" w:hAnsi="宋体" w:eastAsia="宋体" w:cs="宋体"/>
          <w:bCs/>
          <w:color w:val="000000"/>
          <w:sz w:val="21"/>
          <w:szCs w:val="21"/>
          <w:lang w:val="en-US" w:eastAsia="zh-CN"/>
        </w:rPr>
        <w:t>等。</w:t>
      </w:r>
    </w:p>
    <w:p w14:paraId="7537F85B">
      <w:pPr>
        <w:pStyle w:val="328"/>
        <w:keepNext w:val="0"/>
        <w:keepLines w:val="0"/>
        <w:pageBreakBefore w:val="0"/>
        <w:numPr>
          <w:ilvl w:val="0"/>
          <w:numId w:val="0"/>
        </w:numPr>
        <w:spacing w:line="420" w:lineRule="exact"/>
        <w:ind w:firstLine="480"/>
        <w:rPr>
          <w:rFonts w:hint="eastAsia" w:ascii="宋体" w:hAnsi="宋体" w:eastAsia="宋体" w:cs="宋体"/>
          <w:color w:val="000000"/>
          <w:sz w:val="21"/>
          <w:szCs w:val="21"/>
          <w:highlight w:val="none"/>
        </w:rPr>
      </w:pPr>
      <w:r>
        <w:rPr>
          <w:rFonts w:hint="eastAsia" w:ascii="宋体" w:hAnsi="宋体" w:eastAsia="宋体" w:cs="宋体"/>
          <w:color w:val="000000"/>
          <w:sz w:val="21"/>
          <w:szCs w:val="21"/>
        </w:rPr>
        <w:t>投标人应按照采购人的要求，保证实施方案内容</w:t>
      </w:r>
      <w:r>
        <w:rPr>
          <w:rFonts w:hint="eastAsia" w:ascii="宋体" w:hAnsi="宋体" w:eastAsia="宋体" w:cs="宋体"/>
          <w:color w:val="000000"/>
          <w:sz w:val="21"/>
          <w:szCs w:val="21"/>
          <w:lang w:val="en-US" w:eastAsia="zh-CN"/>
        </w:rPr>
        <w:t>及</w:t>
      </w:r>
      <w:r>
        <w:rPr>
          <w:rFonts w:hint="eastAsia" w:ascii="宋体" w:hAnsi="宋体" w:eastAsia="宋体" w:cs="宋体"/>
          <w:color w:val="000000"/>
          <w:sz w:val="21"/>
          <w:szCs w:val="21"/>
        </w:rPr>
        <w:t>实施流程的</w:t>
      </w:r>
      <w:r>
        <w:rPr>
          <w:rFonts w:hint="eastAsia" w:ascii="宋体" w:hAnsi="宋体" w:eastAsia="宋体" w:cs="宋体"/>
          <w:color w:val="000000"/>
          <w:sz w:val="21"/>
          <w:szCs w:val="21"/>
          <w:lang w:eastAsia="zh-CN"/>
        </w:rPr>
        <w:t>科学性、</w:t>
      </w:r>
      <w:r>
        <w:rPr>
          <w:rFonts w:hint="eastAsia" w:ascii="宋体" w:hAnsi="宋体" w:eastAsia="宋体" w:cs="宋体"/>
          <w:color w:val="000000"/>
          <w:sz w:val="21"/>
          <w:szCs w:val="21"/>
        </w:rPr>
        <w:t>完整性；投标人及实施工作人员应按照采购人的要求采取严格的管理措施，应充分考虑项目实施对最终用户正常工作可</w:t>
      </w:r>
      <w:r>
        <w:rPr>
          <w:rFonts w:hint="eastAsia" w:ascii="宋体" w:hAnsi="宋体" w:eastAsia="宋体" w:cs="宋体"/>
          <w:color w:val="000000"/>
          <w:sz w:val="21"/>
          <w:szCs w:val="21"/>
          <w:highlight w:val="none"/>
        </w:rPr>
        <w:t>能产生的不利影响，采取必要的措施将影响降到最低。</w:t>
      </w:r>
    </w:p>
    <w:p w14:paraId="2B208657">
      <w:pPr>
        <w:keepNext w:val="0"/>
        <w:keepLines w:val="0"/>
        <w:pageBreakBefore w:val="0"/>
        <w:widowControl w:val="0"/>
        <w:numPr>
          <w:ilvl w:val="0"/>
          <w:numId w:val="0"/>
        </w:numPr>
        <w:spacing w:line="420" w:lineRule="exact"/>
        <w:ind w:left="480" w:leftChars="0"/>
        <w:rPr>
          <w:rFonts w:hint="eastAsia" w:ascii="宋体" w:hAnsi="宋体" w:eastAsia="宋体" w:cs="宋体"/>
          <w:bCs/>
          <w:color w:val="000000"/>
          <w:sz w:val="21"/>
          <w:szCs w:val="21"/>
          <w:lang w:val="en-US" w:eastAsia="zh-CN"/>
        </w:rPr>
      </w:pPr>
      <w:r>
        <w:rPr>
          <w:rFonts w:hint="eastAsia" w:ascii="宋体" w:hAnsi="宋体" w:cs="宋体"/>
          <w:bCs/>
          <w:color w:val="000000"/>
          <w:sz w:val="21"/>
          <w:szCs w:val="21"/>
          <w:lang w:val="en-US" w:eastAsia="zh-CN"/>
        </w:rPr>
        <w:t>5.2</w:t>
      </w:r>
      <w:r>
        <w:rPr>
          <w:rFonts w:hint="eastAsia" w:ascii="宋体" w:hAnsi="宋体" w:eastAsia="宋体" w:cs="宋体"/>
          <w:spacing w:val="8"/>
          <w:sz w:val="21"/>
          <w:szCs w:val="21"/>
          <w:lang w:val="en-US" w:eastAsia="zh-CN"/>
        </w:rPr>
        <w:t>车辆改装实施方案</w:t>
      </w:r>
    </w:p>
    <w:p w14:paraId="3FA151FC">
      <w:pPr>
        <w:pStyle w:val="328"/>
        <w:keepNext w:val="0"/>
        <w:keepLines w:val="0"/>
        <w:pageBreakBefore w:val="0"/>
        <w:numPr>
          <w:ilvl w:val="0"/>
          <w:numId w:val="0"/>
        </w:numPr>
        <w:spacing w:line="420" w:lineRule="exact"/>
        <w:ind w:firstLine="480"/>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包括但不限于：</w:t>
      </w:r>
      <w:r>
        <w:rPr>
          <w:rFonts w:hint="eastAsia" w:ascii="宋体" w:hAnsi="宋体" w:eastAsia="宋体" w:cs="宋体"/>
          <w:spacing w:val="8"/>
          <w:sz w:val="21"/>
          <w:szCs w:val="21"/>
          <w:lang w:val="en-US" w:eastAsia="zh-CN"/>
        </w:rPr>
        <w:t>全套整车改装图纸与效果图交付方案</w:t>
      </w:r>
      <w:r>
        <w:rPr>
          <w:rFonts w:hint="eastAsia" w:ascii="宋体" w:eastAsia="宋体" w:cs="宋体"/>
          <w:color w:val="000000"/>
          <w:sz w:val="21"/>
          <w:szCs w:val="21"/>
          <w:lang w:val="en-US" w:eastAsia="zh-CN"/>
        </w:rPr>
        <w:t>；</w:t>
      </w:r>
      <w:r>
        <w:rPr>
          <w:rFonts w:hint="eastAsia" w:ascii="宋体" w:hAnsi="宋体" w:eastAsia="宋体" w:cs="宋体"/>
          <w:spacing w:val="8"/>
          <w:sz w:val="21"/>
          <w:szCs w:val="21"/>
          <w:lang w:val="en-US" w:eastAsia="zh-CN"/>
        </w:rPr>
        <w:t>底盘与医疗舱一体化合规改装工艺方案</w:t>
      </w:r>
      <w:r>
        <w:rPr>
          <w:rFonts w:hint="eastAsia" w:ascii="宋体" w:eastAsia="宋体" w:cs="宋体"/>
          <w:spacing w:val="8"/>
          <w:sz w:val="21"/>
          <w:szCs w:val="21"/>
          <w:lang w:val="en-US" w:eastAsia="zh-CN"/>
        </w:rPr>
        <w:t>；</w:t>
      </w:r>
      <w:r>
        <w:rPr>
          <w:rFonts w:hint="eastAsia" w:ascii="宋体" w:hAnsi="宋体" w:eastAsia="宋体" w:cs="宋体"/>
          <w:spacing w:val="8"/>
          <w:sz w:val="21"/>
          <w:szCs w:val="21"/>
          <w:lang w:val="en-US" w:eastAsia="zh-CN"/>
        </w:rPr>
        <w:t>车载电气、供氧、负压系统标准化集成改装方案</w:t>
      </w:r>
      <w:r>
        <w:rPr>
          <w:rFonts w:hint="eastAsia" w:ascii="宋体" w:eastAsia="宋体" w:cs="宋体"/>
          <w:spacing w:val="8"/>
          <w:sz w:val="21"/>
          <w:szCs w:val="21"/>
          <w:lang w:val="en-US" w:eastAsia="zh-CN"/>
        </w:rPr>
        <w:t>；</w:t>
      </w:r>
      <w:r>
        <w:rPr>
          <w:rFonts w:hint="eastAsia" w:ascii="宋体" w:hAnsi="宋体" w:eastAsia="宋体" w:cs="宋体"/>
          <w:spacing w:val="8"/>
          <w:sz w:val="21"/>
          <w:szCs w:val="21"/>
          <w:lang w:val="en-US" w:eastAsia="zh-CN"/>
        </w:rPr>
        <w:t>全套急救设备一体化固定装配方案</w:t>
      </w:r>
      <w:r>
        <w:rPr>
          <w:rFonts w:hint="eastAsia" w:ascii="宋体" w:hAnsi="宋体" w:eastAsia="宋体" w:cs="宋体"/>
          <w:color w:val="000000"/>
          <w:sz w:val="21"/>
          <w:szCs w:val="21"/>
          <w:lang w:val="en-US" w:eastAsia="zh-CN"/>
        </w:rPr>
        <w:t>等内容。</w:t>
      </w:r>
    </w:p>
    <w:p w14:paraId="06B5F309">
      <w:pPr>
        <w:pStyle w:val="328"/>
        <w:keepNext w:val="0"/>
        <w:keepLines w:val="0"/>
        <w:pageBreakBefore w:val="0"/>
        <w:numPr>
          <w:ilvl w:val="0"/>
          <w:numId w:val="0"/>
        </w:numPr>
        <w:spacing w:line="420" w:lineRule="exact"/>
        <w:ind w:firstLine="480"/>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提供的改装方案及图纸内容齐全、效果清晰、能完整体现车辆情况，方案设计科学合理实用</w:t>
      </w:r>
    </w:p>
    <w:p w14:paraId="4E252F00">
      <w:pPr>
        <w:pStyle w:val="328"/>
        <w:keepNext w:val="0"/>
        <w:keepLines w:val="0"/>
        <w:pageBreakBefore w:val="0"/>
        <w:numPr>
          <w:ilvl w:val="0"/>
          <w:numId w:val="0"/>
        </w:numPr>
        <w:spacing w:line="420" w:lineRule="exact"/>
        <w:ind w:firstLine="480"/>
        <w:rPr>
          <w:rFonts w:hint="eastAsia" w:ascii="宋体" w:hAnsi="宋体" w:eastAsia="宋体" w:cs="宋体"/>
          <w:spacing w:val="8"/>
          <w:sz w:val="21"/>
          <w:szCs w:val="21"/>
          <w:lang w:val="en-US" w:eastAsia="zh-CN"/>
        </w:rPr>
      </w:pPr>
      <w:r>
        <w:rPr>
          <w:rFonts w:hint="eastAsia" w:ascii="宋体" w:eastAsia="宋体" w:cs="宋体"/>
          <w:color w:val="000000"/>
          <w:sz w:val="21"/>
          <w:szCs w:val="21"/>
          <w:lang w:val="en-US" w:eastAsia="zh-CN"/>
        </w:rPr>
        <w:t>5.3</w:t>
      </w:r>
      <w:r>
        <w:rPr>
          <w:rFonts w:hint="eastAsia" w:ascii="宋体" w:hAnsi="宋体" w:eastAsia="宋体" w:cs="宋体"/>
          <w:spacing w:val="8"/>
          <w:sz w:val="21"/>
          <w:szCs w:val="21"/>
          <w:lang w:val="en-US" w:eastAsia="zh-CN"/>
        </w:rPr>
        <w:t>项目重点难点分析及管控方案</w:t>
      </w:r>
    </w:p>
    <w:p w14:paraId="141E1128">
      <w:pPr>
        <w:pStyle w:val="328"/>
        <w:keepNext w:val="0"/>
        <w:keepLines w:val="0"/>
        <w:pageBreakBefore w:val="0"/>
        <w:numPr>
          <w:ilvl w:val="0"/>
          <w:numId w:val="0"/>
        </w:numPr>
        <w:spacing w:line="420" w:lineRule="exact"/>
        <w:ind w:firstLine="480"/>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包括但不限于：整车尺寸、舱体参数严格达标管控方案；医疗设备参数合规与第三方检测资料齐全</w:t>
      </w:r>
      <w:r>
        <w:rPr>
          <w:rFonts w:hint="eastAsia" w:ascii="宋体" w:eastAsia="宋体" w:cs="宋体"/>
          <w:spacing w:val="8"/>
          <w:sz w:val="21"/>
          <w:szCs w:val="21"/>
          <w:lang w:val="en-US" w:eastAsia="zh-CN"/>
        </w:rPr>
        <w:t>；交付与上牌流程管控方案；</w:t>
      </w:r>
      <w:r>
        <w:rPr>
          <w:rFonts w:hint="eastAsia" w:ascii="宋体" w:hAnsi="宋体" w:eastAsia="宋体" w:cs="宋体"/>
          <w:spacing w:val="8"/>
          <w:sz w:val="21"/>
          <w:szCs w:val="21"/>
          <w:lang w:val="en-US" w:eastAsia="zh-CN"/>
        </w:rPr>
        <w:t>整车质保分阶段落地管控方案</w:t>
      </w:r>
      <w:r>
        <w:rPr>
          <w:rFonts w:hint="eastAsia" w:ascii="宋体" w:hAnsi="宋体" w:eastAsia="宋体" w:cs="宋体"/>
          <w:color w:val="000000"/>
          <w:sz w:val="21"/>
          <w:szCs w:val="21"/>
          <w:lang w:val="en-US" w:eastAsia="zh-CN"/>
        </w:rPr>
        <w:t>等内容。</w:t>
      </w:r>
    </w:p>
    <w:p w14:paraId="42EA6957">
      <w:pPr>
        <w:pStyle w:val="328"/>
        <w:keepNext w:val="0"/>
        <w:keepLines w:val="0"/>
        <w:pageBreakBefore w:val="0"/>
        <w:numPr>
          <w:ilvl w:val="0"/>
          <w:numId w:val="0"/>
        </w:numPr>
        <w:spacing w:line="420" w:lineRule="exact"/>
        <w:ind w:firstLine="480"/>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需根据采购清单结合现场实际情况明确本项目的重点与难点，进行合理分析，并提出明确的、具有针对性的重难点控制和解决方案</w:t>
      </w:r>
      <w:r>
        <w:rPr>
          <w:rFonts w:hint="eastAsia" w:ascii="宋体" w:eastAsia="宋体" w:cs="宋体"/>
          <w:color w:val="000000"/>
          <w:sz w:val="21"/>
          <w:szCs w:val="21"/>
          <w:lang w:val="en-US" w:eastAsia="zh-CN"/>
        </w:rPr>
        <w:t>，</w:t>
      </w:r>
      <w:r>
        <w:rPr>
          <w:rFonts w:hint="eastAsia" w:ascii="宋体" w:hAnsi="宋体" w:eastAsia="宋体" w:cs="宋体"/>
          <w:color w:val="000000"/>
          <w:sz w:val="21"/>
          <w:szCs w:val="21"/>
          <w:lang w:val="en-US" w:eastAsia="zh-CN"/>
        </w:rPr>
        <w:t>方案要求科学合理、可行、具有针对性。</w:t>
      </w:r>
    </w:p>
    <w:p w14:paraId="034378C3">
      <w:pPr>
        <w:pStyle w:val="328"/>
        <w:keepNext w:val="0"/>
        <w:keepLines w:val="0"/>
        <w:pageBreakBefore w:val="0"/>
        <w:numPr>
          <w:ilvl w:val="0"/>
          <w:numId w:val="0"/>
        </w:numPr>
        <w:spacing w:line="420" w:lineRule="exact"/>
        <w:ind w:firstLine="420" w:firstLineChars="200"/>
        <w:rPr>
          <w:rFonts w:hint="eastAsia" w:ascii="宋体" w:hAnsi="宋体" w:eastAsia="宋体" w:cs="宋体"/>
          <w:bCs/>
          <w:color w:val="000000"/>
          <w:sz w:val="21"/>
          <w:szCs w:val="21"/>
          <w:lang w:val="en-US" w:eastAsia="zh-CN"/>
        </w:rPr>
      </w:pPr>
      <w:r>
        <w:rPr>
          <w:rFonts w:hint="eastAsia" w:ascii="宋体" w:eastAsia="宋体" w:cs="宋体"/>
          <w:bCs/>
          <w:color w:val="000000"/>
          <w:sz w:val="21"/>
          <w:szCs w:val="21"/>
          <w:lang w:val="en-US" w:eastAsia="zh-CN"/>
        </w:rPr>
        <w:t>5.4</w:t>
      </w:r>
      <w:r>
        <w:rPr>
          <w:rFonts w:hint="eastAsia" w:ascii="宋体" w:hAnsi="宋体" w:eastAsia="宋体" w:cs="宋体"/>
          <w:spacing w:val="8"/>
          <w:sz w:val="21"/>
          <w:szCs w:val="21"/>
          <w:lang w:val="en-US" w:eastAsia="zh-CN"/>
        </w:rPr>
        <w:t>专项培训方案</w:t>
      </w:r>
    </w:p>
    <w:p w14:paraId="5CC57E6C">
      <w:pPr>
        <w:pStyle w:val="328"/>
        <w:keepNext w:val="0"/>
        <w:keepLines w:val="0"/>
        <w:pageBreakBefore w:val="0"/>
        <w:numPr>
          <w:ilvl w:val="0"/>
          <w:numId w:val="0"/>
        </w:numPr>
        <w:spacing w:line="420" w:lineRule="exact"/>
        <w:ind w:firstLine="420" w:firstLineChars="200"/>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包括但不限于：分层分类全员定制培训方案</w:t>
      </w:r>
      <w:r>
        <w:rPr>
          <w:rFonts w:hint="eastAsia" w:ascii="宋体" w:eastAsia="宋体" w:cs="宋体"/>
          <w:color w:val="000000"/>
          <w:sz w:val="21"/>
          <w:szCs w:val="21"/>
          <w:lang w:val="en-US" w:eastAsia="zh-CN"/>
        </w:rPr>
        <w:t>；整车底盘与行车安全操作培训方案；车载急救设备实操专项培训方案；整车电气、负压、供氧系统运维培训方案</w:t>
      </w:r>
      <w:r>
        <w:rPr>
          <w:rFonts w:hint="eastAsia" w:ascii="宋体" w:hAnsi="宋体" w:eastAsia="宋体" w:cs="宋体"/>
          <w:color w:val="000000"/>
          <w:sz w:val="21"/>
          <w:szCs w:val="21"/>
          <w:lang w:val="en-US" w:eastAsia="zh-CN"/>
        </w:rPr>
        <w:t>等。</w:t>
      </w:r>
    </w:p>
    <w:p w14:paraId="3D42AD11">
      <w:pPr>
        <w:pStyle w:val="328"/>
        <w:keepNext w:val="0"/>
        <w:keepLines w:val="0"/>
        <w:pageBreakBefore w:val="0"/>
        <w:numPr>
          <w:ilvl w:val="0"/>
          <w:numId w:val="0"/>
        </w:numPr>
        <w:spacing w:line="420" w:lineRule="exact"/>
        <w:ind w:firstLine="420" w:firstLineChars="200"/>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培训目标：使采购人达到能独立进行管理、维护和故障处理等工作，以便供应商所提供的设备能够正常、安全</w:t>
      </w:r>
      <w:r>
        <w:rPr>
          <w:rFonts w:hint="eastAsia" w:ascii="宋体" w:eastAsia="宋体" w:cs="宋体"/>
          <w:color w:val="000000"/>
          <w:sz w:val="21"/>
          <w:szCs w:val="21"/>
          <w:lang w:val="en-US" w:eastAsia="zh-CN"/>
        </w:rPr>
        <w:t>地</w:t>
      </w:r>
      <w:r>
        <w:rPr>
          <w:rFonts w:hint="eastAsia" w:ascii="宋体" w:hAnsi="宋体" w:eastAsia="宋体" w:cs="宋体"/>
          <w:color w:val="000000"/>
          <w:sz w:val="21"/>
          <w:szCs w:val="21"/>
          <w:lang w:val="en-US" w:eastAsia="zh-CN"/>
        </w:rPr>
        <w:t>运行。</w:t>
      </w:r>
    </w:p>
    <w:p w14:paraId="35E51950">
      <w:pPr>
        <w:pStyle w:val="328"/>
        <w:keepNext w:val="0"/>
        <w:keepLines w:val="0"/>
        <w:pageBreakBefore w:val="0"/>
        <w:numPr>
          <w:ilvl w:val="0"/>
          <w:numId w:val="0"/>
        </w:numPr>
        <w:spacing w:line="420" w:lineRule="exact"/>
        <w:ind w:leftChars="200"/>
        <w:rPr>
          <w:rFonts w:hint="eastAsia" w:ascii="宋体" w:hAnsi="宋体" w:eastAsia="宋体" w:cs="宋体"/>
          <w:bCs/>
          <w:color w:val="000000"/>
          <w:sz w:val="21"/>
          <w:szCs w:val="21"/>
          <w:lang w:val="en-US" w:eastAsia="zh-CN"/>
        </w:rPr>
      </w:pPr>
      <w:r>
        <w:rPr>
          <w:rFonts w:hint="eastAsia" w:ascii="宋体" w:eastAsia="宋体" w:cs="宋体"/>
          <w:bCs/>
          <w:color w:val="000000"/>
          <w:sz w:val="21"/>
          <w:szCs w:val="21"/>
          <w:lang w:val="en-US" w:eastAsia="zh-CN"/>
        </w:rPr>
        <w:t>5.5</w:t>
      </w:r>
      <w:r>
        <w:rPr>
          <w:rFonts w:hint="eastAsia" w:ascii="宋体" w:hAnsi="宋体" w:eastAsia="宋体" w:cs="宋体"/>
          <w:bCs/>
          <w:color w:val="000000"/>
          <w:sz w:val="21"/>
          <w:szCs w:val="21"/>
          <w:lang w:val="en-US" w:eastAsia="zh-CN"/>
        </w:rPr>
        <w:t>售后服务方案</w:t>
      </w:r>
    </w:p>
    <w:p w14:paraId="49B4D181">
      <w:pPr>
        <w:pStyle w:val="328"/>
        <w:keepNext w:val="0"/>
        <w:keepLines w:val="0"/>
        <w:pageBreakBefore w:val="0"/>
        <w:numPr>
          <w:ilvl w:val="0"/>
          <w:numId w:val="0"/>
        </w:numPr>
        <w:spacing w:line="420" w:lineRule="exact"/>
        <w:ind w:firstLine="420" w:firstLineChars="200"/>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包括但不限于：全天候响应报修方案</w:t>
      </w:r>
      <w:r>
        <w:rPr>
          <w:rFonts w:hint="eastAsia" w:ascii="宋体" w:eastAsia="宋体" w:cs="宋体"/>
          <w:color w:val="000000"/>
          <w:sz w:val="21"/>
          <w:szCs w:val="21"/>
          <w:lang w:val="en-US" w:eastAsia="zh-CN"/>
        </w:rPr>
        <w:t>；分周期免费上门巡检维保方案；原厂备件长效供应与故障赔付方案；质保到期长效技术支持服务方案</w:t>
      </w:r>
      <w:r>
        <w:rPr>
          <w:rFonts w:hint="eastAsia" w:ascii="宋体" w:hAnsi="宋体" w:eastAsia="宋体" w:cs="宋体"/>
          <w:color w:val="000000"/>
          <w:sz w:val="21"/>
          <w:szCs w:val="21"/>
          <w:lang w:val="en-US" w:eastAsia="zh-CN"/>
        </w:rPr>
        <w:t>等。</w:t>
      </w:r>
    </w:p>
    <w:p w14:paraId="1E5B9AF6">
      <w:pPr>
        <w:pStyle w:val="328"/>
        <w:keepNext w:val="0"/>
        <w:keepLines w:val="0"/>
        <w:pageBreakBefore w:val="0"/>
        <w:numPr>
          <w:ilvl w:val="0"/>
          <w:numId w:val="0"/>
        </w:numPr>
        <w:spacing w:line="420" w:lineRule="exact"/>
        <w:ind w:firstLine="480"/>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在质保期内，对采购人的服务请求，供应商应在接报后1小时内响应，4小时内派出工程师尽快查清故障所在位置和故障的原因，并向采购人及时报告故障的原因和排除方法，24小时内恢复设备正常运行。</w:t>
      </w:r>
    </w:p>
    <w:p w14:paraId="763E1BB2">
      <w:pPr>
        <w:pStyle w:val="331"/>
        <w:keepNext w:val="0"/>
        <w:keepLines w:val="0"/>
        <w:pageBreakBefore w:val="0"/>
        <w:spacing w:before="0" w:beforeAutospacing="0" w:after="0" w:afterAutospacing="0" w:line="420" w:lineRule="exact"/>
        <w:ind w:firstLine="480"/>
        <w:jc w:val="both"/>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rPr>
        <w:t>提供技术服务热线（7*24小时），负责解答采购人在设备使用中遇到的问题，并及时提出解决问题的建议和操作方法</w:t>
      </w:r>
      <w:r>
        <w:rPr>
          <w:rFonts w:hint="eastAsia" w:ascii="宋体" w:hAnsi="宋体" w:eastAsia="宋体" w:cs="宋体"/>
          <w:color w:val="000000"/>
          <w:sz w:val="21"/>
          <w:szCs w:val="21"/>
          <w:lang w:eastAsia="zh-CN"/>
        </w:rPr>
        <w:t>。</w:t>
      </w:r>
    </w:p>
    <w:p w14:paraId="5E56855C">
      <w:pPr>
        <w:spacing w:line="420" w:lineRule="exact"/>
        <w:ind w:left="-1" w:firstLine="482"/>
        <w:jc w:val="left"/>
        <w:rPr>
          <w:rFonts w:hint="eastAsia" w:ascii="宋体" w:hAnsi="宋体" w:eastAsia="宋体" w:cs="宋体"/>
          <w:b/>
          <w:i w:val="0"/>
          <w:iCs w:val="0"/>
          <w:sz w:val="21"/>
          <w:szCs w:val="21"/>
          <w:u w:val="none"/>
        </w:rPr>
      </w:pPr>
      <w:r>
        <w:rPr>
          <w:rFonts w:hint="eastAsia" w:ascii="宋体" w:hAnsi="宋体" w:eastAsia="宋体" w:cs="宋体"/>
          <w:b/>
          <w:i w:val="0"/>
          <w:iCs w:val="0"/>
          <w:sz w:val="21"/>
          <w:szCs w:val="21"/>
          <w:u w:val="none"/>
          <w:lang w:val="en-US" w:eastAsia="zh-CN"/>
        </w:rPr>
        <w:t>四、</w:t>
      </w:r>
      <w:r>
        <w:rPr>
          <w:rFonts w:hint="eastAsia" w:ascii="宋体" w:hAnsi="宋体" w:eastAsia="宋体" w:cs="宋体"/>
          <w:b/>
          <w:i w:val="0"/>
          <w:iCs w:val="0"/>
          <w:sz w:val="21"/>
          <w:szCs w:val="21"/>
          <w:u w:val="none"/>
        </w:rPr>
        <w:t>报价要求</w:t>
      </w:r>
    </w:p>
    <w:p w14:paraId="45D7D09A">
      <w:pPr>
        <w:spacing w:line="420" w:lineRule="exact"/>
        <w:ind w:firstLine="480"/>
        <w:rPr>
          <w:rFonts w:hint="eastAsia" w:ascii="宋体" w:hAnsi="宋体" w:eastAsia="宋体" w:cs="宋体"/>
          <w:sz w:val="21"/>
          <w:szCs w:val="21"/>
        </w:rPr>
      </w:pPr>
      <w:r>
        <w:rPr>
          <w:rFonts w:hint="eastAsia" w:ascii="宋体" w:hAnsi="宋体" w:eastAsia="宋体" w:cs="宋体"/>
          <w:sz w:val="21"/>
          <w:szCs w:val="21"/>
          <w:lang w:val="en-US" w:eastAsia="zh-CN"/>
        </w:rPr>
        <w:t>1.</w:t>
      </w:r>
      <w:r>
        <w:rPr>
          <w:rFonts w:hint="eastAsia" w:ascii="宋体" w:hAnsi="宋体" w:eastAsia="宋体" w:cs="宋体"/>
          <w:sz w:val="21"/>
          <w:szCs w:val="21"/>
        </w:rPr>
        <w:t>本次招标结算价以采购人和中标人双方确认的数量乘以中标人的投标单价计算（</w:t>
      </w:r>
      <w:r>
        <w:rPr>
          <w:rFonts w:hint="eastAsia" w:ascii="宋体" w:hAnsi="宋体" w:eastAsia="宋体" w:cs="宋体"/>
          <w:sz w:val="21"/>
          <w:szCs w:val="21"/>
          <w:lang w:eastAsia="zh-CN"/>
        </w:rPr>
        <w:t>单价</w:t>
      </w:r>
      <w:r>
        <w:rPr>
          <w:rFonts w:hint="eastAsia" w:ascii="宋体" w:hAnsi="宋体" w:eastAsia="宋体" w:cs="宋体"/>
          <w:sz w:val="21"/>
          <w:szCs w:val="21"/>
        </w:rPr>
        <w:t>不随市场和国家政策性文件调整而调整）；</w:t>
      </w:r>
    </w:p>
    <w:p w14:paraId="744F9B8F">
      <w:pPr>
        <w:spacing w:line="420" w:lineRule="exact"/>
        <w:ind w:firstLine="480"/>
        <w:rPr>
          <w:rFonts w:hint="eastAsia" w:ascii="宋体" w:hAnsi="宋体" w:eastAsia="宋体" w:cs="宋体"/>
          <w:sz w:val="21"/>
          <w:szCs w:val="21"/>
        </w:rPr>
      </w:pPr>
      <w:r>
        <w:rPr>
          <w:rFonts w:hint="eastAsia" w:ascii="宋体" w:hAnsi="宋体" w:eastAsia="宋体" w:cs="宋体"/>
          <w:sz w:val="21"/>
          <w:szCs w:val="21"/>
          <w:lang w:val="en-US" w:eastAsia="zh-CN"/>
        </w:rPr>
        <w:t>2.</w:t>
      </w:r>
      <w:r>
        <w:rPr>
          <w:rFonts w:hint="eastAsia" w:ascii="宋体" w:hAnsi="宋体" w:eastAsia="宋体" w:cs="宋体"/>
          <w:sz w:val="21"/>
          <w:szCs w:val="21"/>
        </w:rPr>
        <w:t>报价单必须按照采购文件所提供的格式填入，其中的</w:t>
      </w:r>
      <w:r>
        <w:rPr>
          <w:rFonts w:hint="eastAsia" w:ascii="宋体" w:hAnsi="宋体" w:eastAsia="宋体" w:cs="宋体"/>
          <w:bCs/>
          <w:sz w:val="21"/>
          <w:szCs w:val="21"/>
        </w:rPr>
        <w:t>序号、项目名称、项目特征、计量单位、工程量</w:t>
      </w:r>
      <w:r>
        <w:rPr>
          <w:rFonts w:hint="eastAsia" w:ascii="宋体" w:hAnsi="宋体" w:eastAsia="宋体" w:cs="宋体"/>
          <w:sz w:val="21"/>
          <w:szCs w:val="21"/>
        </w:rPr>
        <w:t>等，供应商在投标报价时不得作任何更改变动，否则一切责任由供应商自负；</w:t>
      </w:r>
    </w:p>
    <w:p w14:paraId="177AFE15">
      <w:pPr>
        <w:spacing w:line="420" w:lineRule="exact"/>
        <w:ind w:firstLine="480"/>
        <w:rPr>
          <w:rFonts w:hint="eastAsia" w:ascii="宋体" w:hAnsi="宋体" w:eastAsia="宋体" w:cs="宋体"/>
          <w:sz w:val="21"/>
          <w:szCs w:val="21"/>
        </w:rPr>
      </w:pPr>
      <w:r>
        <w:rPr>
          <w:rFonts w:hint="eastAsia" w:ascii="宋体" w:hAnsi="宋体" w:eastAsia="宋体" w:cs="宋体"/>
          <w:sz w:val="21"/>
          <w:szCs w:val="21"/>
          <w:lang w:val="en-US" w:eastAsia="zh-CN"/>
        </w:rPr>
        <w:t>3.</w:t>
      </w:r>
      <w:r>
        <w:rPr>
          <w:rFonts w:hint="eastAsia" w:ascii="宋体" w:hAnsi="宋体" w:eastAsia="宋体" w:cs="宋体"/>
          <w:sz w:val="21"/>
          <w:szCs w:val="21"/>
        </w:rPr>
        <w:t>供应商在投标报价单中未填报全费用固定综合单价、合价的清单项目，采购人视为已包括在清单计价的其他报价中，无论何种原因，结算时均不作调整；</w:t>
      </w:r>
    </w:p>
    <w:p w14:paraId="7770E9A2">
      <w:pPr>
        <w:spacing w:line="420" w:lineRule="exact"/>
        <w:ind w:firstLine="480"/>
        <w:rPr>
          <w:rFonts w:hint="eastAsia" w:ascii="宋体" w:hAnsi="宋体" w:eastAsia="宋体" w:cs="宋体"/>
          <w:color w:val="000000"/>
          <w:sz w:val="21"/>
          <w:szCs w:val="21"/>
        </w:rPr>
      </w:pPr>
      <w:r>
        <w:rPr>
          <w:rFonts w:hint="eastAsia" w:ascii="宋体" w:hAnsi="宋体" w:eastAsia="宋体" w:cs="宋体"/>
          <w:color w:val="000000"/>
          <w:sz w:val="21"/>
          <w:szCs w:val="21"/>
          <w:lang w:val="en-US" w:eastAsia="zh-CN"/>
        </w:rPr>
        <w:t>4.</w:t>
      </w:r>
      <w:r>
        <w:rPr>
          <w:rFonts w:hint="eastAsia" w:ascii="宋体" w:hAnsi="宋体" w:eastAsia="宋体" w:cs="宋体"/>
          <w:color w:val="000000"/>
          <w:sz w:val="21"/>
          <w:szCs w:val="21"/>
        </w:rPr>
        <w:t xml:space="preserve"> </w:t>
      </w:r>
      <w:r>
        <w:rPr>
          <w:rFonts w:hint="eastAsia" w:ascii="宋体" w:hAnsi="宋体" w:eastAsia="宋体" w:cs="宋体"/>
          <w:b/>
          <w:color w:val="000000"/>
          <w:sz w:val="21"/>
          <w:szCs w:val="21"/>
        </w:rPr>
        <w:t>投标报价中要求包括本次采购及安装服务的所有费用的总和。</w:t>
      </w:r>
    </w:p>
    <w:p w14:paraId="7C509837">
      <w:pPr>
        <w:spacing w:line="420" w:lineRule="exact"/>
        <w:ind w:firstLine="480"/>
        <w:rPr>
          <w:rFonts w:hint="eastAsia" w:ascii="宋体" w:hAnsi="宋体" w:eastAsia="宋体" w:cs="宋体"/>
          <w:sz w:val="21"/>
          <w:szCs w:val="21"/>
        </w:rPr>
      </w:pPr>
      <w:r>
        <w:rPr>
          <w:rFonts w:hint="eastAsia" w:ascii="宋体" w:hAnsi="宋体" w:eastAsia="宋体" w:cs="宋体"/>
          <w:sz w:val="21"/>
          <w:szCs w:val="21"/>
        </w:rPr>
        <w:t>此报价应包括投标人为完成投标报价文件所确定的采购范围内的全部内容，以及投标人为完成上述内容</w:t>
      </w:r>
      <w:r>
        <w:rPr>
          <w:rFonts w:hint="eastAsia" w:ascii="宋体" w:hAnsi="宋体" w:eastAsia="宋体" w:cs="宋体"/>
          <w:sz w:val="21"/>
          <w:szCs w:val="21"/>
          <w:lang w:eastAsia="zh-CN"/>
        </w:rPr>
        <w:t>所必需的</w:t>
      </w:r>
      <w:r>
        <w:rPr>
          <w:rFonts w:hint="eastAsia" w:ascii="宋体" w:hAnsi="宋体" w:eastAsia="宋体" w:cs="宋体"/>
          <w:sz w:val="21"/>
          <w:szCs w:val="21"/>
        </w:rPr>
        <w:t>质量保证与技术支持、采购、供货、运输、装卸、验收、检测、安装、调试、</w:t>
      </w:r>
      <w:r>
        <w:rPr>
          <w:rFonts w:hint="eastAsia" w:ascii="宋体" w:hAnsi="宋体" w:eastAsia="宋体" w:cs="宋体"/>
          <w:sz w:val="21"/>
          <w:szCs w:val="21"/>
          <w:lang w:eastAsia="zh-CN"/>
        </w:rPr>
        <w:t>上牌、</w:t>
      </w:r>
      <w:r>
        <w:rPr>
          <w:rFonts w:hint="eastAsia" w:ascii="宋体" w:hAnsi="宋体" w:eastAsia="宋体" w:cs="宋体"/>
          <w:sz w:val="21"/>
          <w:szCs w:val="21"/>
        </w:rPr>
        <w:t>售后服务以及临时工作、材料、劳务、管理费、利润、税金、代理服务费和政策性文件规定的各项所需的全部费用、不可预见费及其他一切相关费用。</w:t>
      </w:r>
    </w:p>
    <w:p w14:paraId="6880F794">
      <w:pPr>
        <w:keepNext w:val="0"/>
        <w:keepLines w:val="0"/>
        <w:pageBreakBefore w:val="0"/>
        <w:widowControl w:val="0"/>
        <w:spacing w:line="420" w:lineRule="exact"/>
        <w:ind w:firstLine="480"/>
        <w:rPr>
          <w:rFonts w:hint="eastAsia" w:ascii="宋体" w:hAnsi="宋体" w:eastAsia="宋体" w:cs="宋体"/>
          <w:sz w:val="21"/>
          <w:szCs w:val="21"/>
          <w:lang w:eastAsia="zh-CN"/>
        </w:rPr>
      </w:pPr>
      <w:r>
        <w:rPr>
          <w:rFonts w:hint="eastAsia" w:ascii="宋体" w:hAnsi="宋体" w:eastAsia="宋体" w:cs="宋体"/>
          <w:sz w:val="21"/>
          <w:szCs w:val="21"/>
          <w:lang w:eastAsia="zh-CN"/>
        </w:rPr>
        <w:t>报价中</w:t>
      </w:r>
      <w:r>
        <w:rPr>
          <w:rFonts w:hint="eastAsia" w:ascii="宋体" w:hAnsi="宋体" w:eastAsia="宋体" w:cs="宋体"/>
          <w:sz w:val="21"/>
          <w:szCs w:val="21"/>
          <w:lang w:val="en-US" w:eastAsia="zh-CN"/>
        </w:rPr>
        <w:t>包括车辆购置税、交强险、商业三者险、上牌杂费。</w:t>
      </w:r>
    </w:p>
    <w:p w14:paraId="5E778F32">
      <w:pPr>
        <w:spacing w:line="420" w:lineRule="exact"/>
        <w:ind w:left="-1" w:firstLine="482"/>
        <w:jc w:val="left"/>
        <w:rPr>
          <w:rFonts w:hint="eastAsia" w:ascii="宋体" w:hAnsi="宋体" w:eastAsia="宋体" w:cs="宋体"/>
          <w:b/>
          <w:i w:val="0"/>
          <w:iCs w:val="0"/>
          <w:sz w:val="21"/>
          <w:szCs w:val="21"/>
          <w:u w:val="none"/>
          <w:lang w:eastAsia="zh-CN"/>
        </w:rPr>
      </w:pPr>
      <w:r>
        <w:rPr>
          <w:rFonts w:hint="eastAsia" w:ascii="宋体" w:hAnsi="宋体" w:eastAsia="宋体" w:cs="宋体"/>
          <w:b/>
          <w:i w:val="0"/>
          <w:iCs w:val="0"/>
          <w:sz w:val="21"/>
          <w:szCs w:val="21"/>
          <w:u w:val="none"/>
          <w:lang w:eastAsia="zh-CN"/>
        </w:rPr>
        <w:t>五、其他要求</w:t>
      </w:r>
    </w:p>
    <w:p w14:paraId="27433874">
      <w:pPr>
        <w:spacing w:line="420" w:lineRule="exact"/>
        <w:ind w:firstLine="480"/>
        <w:rPr>
          <w:rFonts w:hint="eastAsia" w:ascii="宋体" w:hAnsi="宋体" w:eastAsia="宋体" w:cs="宋体"/>
          <w:sz w:val="21"/>
          <w:szCs w:val="21"/>
        </w:rPr>
      </w:pPr>
      <w:r>
        <w:rPr>
          <w:rFonts w:hint="eastAsia" w:ascii="宋体" w:hAnsi="宋体" w:eastAsia="宋体" w:cs="宋体"/>
          <w:sz w:val="21"/>
          <w:szCs w:val="21"/>
          <w:lang w:val="en-US" w:eastAsia="zh-CN"/>
        </w:rPr>
        <w:t>1.</w:t>
      </w:r>
      <w:r>
        <w:rPr>
          <w:rFonts w:hint="eastAsia" w:ascii="宋体" w:hAnsi="宋体" w:eastAsia="宋体" w:cs="宋体"/>
          <w:sz w:val="21"/>
          <w:szCs w:val="21"/>
        </w:rPr>
        <w:t>本项目</w:t>
      </w:r>
      <w:r>
        <w:rPr>
          <w:rFonts w:hint="eastAsia" w:ascii="宋体" w:hAnsi="宋体" w:eastAsia="宋体" w:cs="宋体"/>
          <w:sz w:val="21"/>
          <w:szCs w:val="21"/>
          <w:u w:val="single"/>
          <w:lang w:val="en-US" w:eastAsia="zh-CN"/>
        </w:rPr>
        <w:t xml:space="preserve"> </w:t>
      </w:r>
      <w:r>
        <w:rPr>
          <w:rFonts w:hint="eastAsia" w:ascii="宋体" w:hAnsi="宋体" w:eastAsia="宋体" w:cs="宋体"/>
          <w:sz w:val="21"/>
          <w:szCs w:val="21"/>
          <w:u w:val="single"/>
        </w:rPr>
        <w:t>不接受</w:t>
      </w:r>
      <w:r>
        <w:rPr>
          <w:rFonts w:hint="eastAsia" w:ascii="宋体" w:hAnsi="宋体" w:eastAsia="宋体" w:cs="宋体"/>
          <w:sz w:val="21"/>
          <w:szCs w:val="21"/>
          <w:u w:val="single"/>
          <w:lang w:val="en-US" w:eastAsia="zh-CN"/>
        </w:rPr>
        <w:t xml:space="preserve"> </w:t>
      </w:r>
      <w:r>
        <w:rPr>
          <w:rFonts w:hint="eastAsia" w:ascii="宋体" w:hAnsi="宋体" w:eastAsia="宋体" w:cs="宋体"/>
          <w:sz w:val="21"/>
          <w:szCs w:val="21"/>
        </w:rPr>
        <w:t>进口产品投标</w:t>
      </w:r>
    </w:p>
    <w:p w14:paraId="01B4D3F7">
      <w:pPr>
        <w:keepNext w:val="0"/>
        <w:keepLines w:val="0"/>
        <w:pageBreakBefore w:val="0"/>
        <w:widowControl w:val="0"/>
        <w:spacing w:line="440" w:lineRule="exact"/>
        <w:ind w:firstLine="480"/>
        <w:rPr>
          <w:rFonts w:hint="eastAsia" w:ascii="宋体" w:hAnsi="宋体" w:eastAsia="宋体" w:cs="宋体"/>
          <w:i w:val="0"/>
          <w:iCs w:val="0"/>
          <w:sz w:val="21"/>
          <w:szCs w:val="21"/>
          <w:u w:val="none"/>
        </w:rPr>
      </w:pPr>
      <w:r>
        <w:rPr>
          <w:rFonts w:hint="eastAsia" w:ascii="宋体" w:hAnsi="宋体" w:eastAsia="宋体" w:cs="宋体"/>
          <w:i w:val="0"/>
          <w:iCs w:val="0"/>
          <w:sz w:val="21"/>
          <w:szCs w:val="21"/>
          <w:u w:val="none"/>
          <w:lang w:val="en-US" w:eastAsia="zh-CN"/>
        </w:rPr>
        <w:t>2.</w:t>
      </w:r>
      <w:r>
        <w:rPr>
          <w:rFonts w:hint="eastAsia" w:ascii="宋体" w:hAnsi="宋体" w:eastAsia="宋体" w:cs="宋体"/>
          <w:i w:val="0"/>
          <w:iCs w:val="0"/>
          <w:sz w:val="21"/>
          <w:szCs w:val="21"/>
          <w:u w:val="none"/>
        </w:rPr>
        <w:t>采购标的对应的中小企业划分标准所属行业一览表</w:t>
      </w:r>
    </w:p>
    <w:tbl>
      <w:tblPr>
        <w:tblStyle w:val="31"/>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348"/>
        <w:gridCol w:w="3041"/>
        <w:gridCol w:w="4431"/>
      </w:tblGrid>
      <w:tr w14:paraId="0BEED5D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510" w:hRule="atLeast"/>
          <w:jc w:val="center"/>
        </w:trPr>
        <w:tc>
          <w:tcPr>
            <w:tcW w:w="1348" w:type="dxa"/>
            <w:noWrap w:val="0"/>
            <w:vAlign w:val="center"/>
          </w:tcPr>
          <w:p w14:paraId="18A1D030">
            <w:pPr>
              <w:spacing w:line="0" w:lineRule="atLeast"/>
              <w:jc w:val="center"/>
              <w:rPr>
                <w:rFonts w:ascii="宋体" w:hAnsi="宋体"/>
                <w:i w:val="0"/>
                <w:iCs w:val="0"/>
                <w:color w:val="000000"/>
                <w:sz w:val="21"/>
                <w:szCs w:val="21"/>
                <w:u w:val="none"/>
              </w:rPr>
            </w:pPr>
            <w:r>
              <w:rPr>
                <w:rFonts w:hint="eastAsia" w:ascii="宋体" w:hAnsi="宋体"/>
                <w:i w:val="0"/>
                <w:iCs w:val="0"/>
                <w:color w:val="000000"/>
                <w:sz w:val="21"/>
                <w:szCs w:val="21"/>
                <w:u w:val="none"/>
              </w:rPr>
              <w:t>序号</w:t>
            </w:r>
          </w:p>
        </w:tc>
        <w:tc>
          <w:tcPr>
            <w:tcW w:w="3041" w:type="dxa"/>
            <w:noWrap w:val="0"/>
            <w:vAlign w:val="center"/>
          </w:tcPr>
          <w:p w14:paraId="1E0FCC85">
            <w:pPr>
              <w:spacing w:line="0" w:lineRule="atLeast"/>
              <w:jc w:val="center"/>
              <w:rPr>
                <w:rFonts w:ascii="宋体" w:hAnsi="宋体"/>
                <w:i w:val="0"/>
                <w:iCs w:val="0"/>
                <w:color w:val="000000"/>
                <w:sz w:val="21"/>
                <w:szCs w:val="21"/>
                <w:u w:val="none"/>
              </w:rPr>
            </w:pPr>
            <w:r>
              <w:rPr>
                <w:rFonts w:hint="eastAsia" w:ascii="宋体" w:hAnsi="宋体"/>
                <w:i w:val="0"/>
                <w:iCs w:val="0"/>
                <w:color w:val="000000"/>
                <w:sz w:val="21"/>
                <w:szCs w:val="21"/>
                <w:u w:val="none"/>
              </w:rPr>
              <w:t>采购</w:t>
            </w:r>
            <w:r>
              <w:rPr>
                <w:rFonts w:ascii="宋体" w:hAnsi="宋体"/>
                <w:i w:val="0"/>
                <w:iCs w:val="0"/>
                <w:color w:val="000000"/>
                <w:sz w:val="21"/>
                <w:szCs w:val="21"/>
                <w:u w:val="none"/>
              </w:rPr>
              <w:t>标的</w:t>
            </w:r>
          </w:p>
        </w:tc>
        <w:tc>
          <w:tcPr>
            <w:tcW w:w="4431" w:type="dxa"/>
            <w:noWrap w:val="0"/>
            <w:vAlign w:val="center"/>
          </w:tcPr>
          <w:p w14:paraId="52129278">
            <w:pPr>
              <w:spacing w:line="0" w:lineRule="atLeast"/>
              <w:jc w:val="center"/>
              <w:rPr>
                <w:rFonts w:ascii="宋体" w:hAnsi="宋体"/>
                <w:i w:val="0"/>
                <w:iCs w:val="0"/>
                <w:color w:val="000000"/>
                <w:sz w:val="21"/>
                <w:szCs w:val="21"/>
                <w:u w:val="none"/>
              </w:rPr>
            </w:pPr>
            <w:r>
              <w:rPr>
                <w:rFonts w:hint="eastAsia" w:ascii="宋体" w:hAnsi="宋体"/>
                <w:i w:val="0"/>
                <w:iCs w:val="0"/>
                <w:color w:val="000000"/>
                <w:sz w:val="21"/>
                <w:szCs w:val="21"/>
                <w:u w:val="none"/>
              </w:rPr>
              <w:t>对应中</w:t>
            </w:r>
            <w:r>
              <w:rPr>
                <w:rFonts w:ascii="宋体" w:hAnsi="宋体"/>
                <w:i w:val="0"/>
                <w:iCs w:val="0"/>
                <w:color w:val="000000"/>
                <w:sz w:val="21"/>
                <w:szCs w:val="21"/>
                <w:u w:val="none"/>
              </w:rPr>
              <w:t>小企业划分标准所属行业</w:t>
            </w:r>
          </w:p>
        </w:tc>
      </w:tr>
      <w:tr w14:paraId="4CDAB79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510" w:hRule="atLeast"/>
          <w:jc w:val="center"/>
        </w:trPr>
        <w:tc>
          <w:tcPr>
            <w:tcW w:w="1348" w:type="dxa"/>
            <w:noWrap w:val="0"/>
            <w:vAlign w:val="center"/>
          </w:tcPr>
          <w:p w14:paraId="5FB04F4A">
            <w:pPr>
              <w:jc w:val="center"/>
              <w:rPr>
                <w:rFonts w:hint="eastAsia" w:ascii="宋体" w:hAnsi="宋体" w:eastAsia="宋体" w:cs="Times New Roman"/>
                <w:i w:val="0"/>
                <w:iCs w:val="0"/>
                <w:color w:val="000000"/>
                <w:sz w:val="21"/>
                <w:szCs w:val="21"/>
                <w:u w:val="none"/>
              </w:rPr>
            </w:pPr>
            <w:r>
              <w:rPr>
                <w:rFonts w:hint="eastAsia" w:ascii="宋体" w:hAnsi="宋体" w:cs="宋体"/>
                <w:i w:val="0"/>
                <w:iCs w:val="0"/>
                <w:sz w:val="21"/>
                <w:szCs w:val="21"/>
                <w:u w:val="none"/>
              </w:rPr>
              <w:t>1</w:t>
            </w:r>
          </w:p>
        </w:tc>
        <w:tc>
          <w:tcPr>
            <w:tcW w:w="3041" w:type="dxa"/>
            <w:noWrap w:val="0"/>
            <w:vAlign w:val="center"/>
          </w:tcPr>
          <w:p w14:paraId="7BA8AFEB">
            <w:pPr>
              <w:jc w:val="center"/>
              <w:rPr>
                <w:rFonts w:hint="eastAsia" w:ascii="宋体" w:hAnsi="宋体" w:eastAsia="宋体" w:cs="宋体"/>
                <w:i w:val="0"/>
                <w:iCs w:val="0"/>
                <w:color w:val="000000"/>
                <w:sz w:val="21"/>
                <w:szCs w:val="21"/>
                <w:u w:val="none"/>
                <w:lang w:eastAsia="zh-CN"/>
              </w:rPr>
            </w:pPr>
            <w:r>
              <w:rPr>
                <w:rFonts w:hint="eastAsia" w:ascii="宋体" w:hAnsi="宋体" w:eastAsia="宋体" w:cs="Times New Roman"/>
                <w:i w:val="0"/>
                <w:iCs w:val="0"/>
                <w:color w:val="000000"/>
                <w:sz w:val="21"/>
                <w:szCs w:val="21"/>
                <w:u w:val="none"/>
                <w:lang w:eastAsia="zh-CN"/>
              </w:rPr>
              <w:t>救护车</w:t>
            </w:r>
          </w:p>
        </w:tc>
        <w:tc>
          <w:tcPr>
            <w:tcW w:w="4431" w:type="dxa"/>
            <w:noWrap w:val="0"/>
            <w:vAlign w:val="center"/>
          </w:tcPr>
          <w:p w14:paraId="5C5557DA">
            <w:pPr>
              <w:spacing w:line="0" w:lineRule="atLeast"/>
              <w:jc w:val="center"/>
              <w:rPr>
                <w:rFonts w:hint="eastAsia" w:ascii="宋体" w:hAnsi="宋体" w:eastAsia="宋体" w:cs="宋体"/>
                <w:i w:val="0"/>
                <w:iCs w:val="0"/>
                <w:color w:val="000000"/>
                <w:sz w:val="21"/>
                <w:szCs w:val="21"/>
                <w:u w:val="none"/>
                <w:lang w:eastAsia="zh-CN"/>
              </w:rPr>
            </w:pPr>
            <w:r>
              <w:rPr>
                <w:rFonts w:hint="eastAsia" w:ascii="宋体" w:hAnsi="宋体" w:eastAsia="宋体" w:cs="宋体"/>
                <w:i w:val="0"/>
                <w:iCs w:val="0"/>
                <w:color w:val="000000"/>
                <w:sz w:val="21"/>
                <w:szCs w:val="21"/>
                <w:u w:val="none"/>
                <w:lang w:eastAsia="zh-CN"/>
              </w:rPr>
              <w:t>工业</w:t>
            </w:r>
          </w:p>
        </w:tc>
      </w:tr>
    </w:tbl>
    <w:p w14:paraId="3BC82131">
      <w:pPr>
        <w:rPr>
          <w:rFonts w:hint="eastAsia"/>
        </w:rPr>
      </w:pPr>
    </w:p>
    <w:p w14:paraId="0ADF10C3">
      <w:pPr>
        <w:spacing w:line="420" w:lineRule="exact"/>
        <w:ind w:firstLine="480"/>
        <w:rPr>
          <w:rFonts w:hint="eastAsia" w:ascii="宋体" w:hAnsi="宋体" w:eastAsia="宋体" w:cs="宋体"/>
          <w:sz w:val="21"/>
          <w:szCs w:val="21"/>
        </w:rPr>
      </w:pPr>
    </w:p>
    <w:p w14:paraId="4E3091E8">
      <w:pPr>
        <w:spacing w:line="420" w:lineRule="exact"/>
        <w:ind w:firstLine="480"/>
        <w:rPr>
          <w:rFonts w:hint="eastAsia" w:ascii="宋体" w:hAnsi="宋体" w:eastAsia="宋体" w:cs="宋体"/>
          <w:sz w:val="21"/>
          <w:szCs w:val="21"/>
        </w:rPr>
      </w:pPr>
    </w:p>
    <w:p w14:paraId="7065294B">
      <w:pPr>
        <w:spacing w:line="420" w:lineRule="exact"/>
        <w:ind w:firstLine="480"/>
        <w:rPr>
          <w:rFonts w:hint="eastAsia" w:ascii="宋体" w:hAnsi="宋体" w:eastAsia="宋体" w:cs="宋体"/>
          <w:sz w:val="21"/>
          <w:szCs w:val="21"/>
        </w:rPr>
      </w:pPr>
    </w:p>
    <w:p w14:paraId="3B45B772">
      <w:pPr>
        <w:spacing w:line="420" w:lineRule="exact"/>
        <w:ind w:firstLine="480"/>
        <w:rPr>
          <w:rFonts w:hint="eastAsia" w:ascii="宋体" w:hAnsi="宋体" w:eastAsia="宋体" w:cs="宋体"/>
          <w:sz w:val="21"/>
          <w:szCs w:val="21"/>
        </w:rPr>
      </w:pPr>
    </w:p>
    <w:p w14:paraId="6711F7F4">
      <w:pPr>
        <w:spacing w:line="420" w:lineRule="exact"/>
        <w:ind w:firstLine="480"/>
        <w:rPr>
          <w:rFonts w:hint="eastAsia" w:ascii="宋体" w:hAnsi="宋体" w:eastAsia="宋体" w:cs="宋体"/>
          <w:sz w:val="21"/>
          <w:szCs w:val="21"/>
        </w:rPr>
      </w:pPr>
    </w:p>
    <w:p w14:paraId="49DB4F54">
      <w:pPr>
        <w:spacing w:line="420" w:lineRule="exact"/>
        <w:ind w:firstLine="480"/>
        <w:rPr>
          <w:rFonts w:hint="eastAsia" w:ascii="宋体" w:hAnsi="宋体" w:eastAsia="宋体" w:cs="宋体"/>
          <w:sz w:val="21"/>
          <w:szCs w:val="21"/>
        </w:rPr>
      </w:pPr>
    </w:p>
    <w:p w14:paraId="0C902457">
      <w:pPr>
        <w:spacing w:line="420" w:lineRule="exact"/>
        <w:ind w:firstLine="480"/>
        <w:rPr>
          <w:rFonts w:hint="eastAsia" w:ascii="宋体" w:hAnsi="宋体" w:eastAsia="宋体" w:cs="宋体"/>
          <w:sz w:val="21"/>
          <w:szCs w:val="21"/>
        </w:rPr>
      </w:pPr>
    </w:p>
    <w:p w14:paraId="01EB0151">
      <w:pPr>
        <w:spacing w:line="420" w:lineRule="exact"/>
        <w:ind w:firstLine="480"/>
        <w:rPr>
          <w:rFonts w:hint="eastAsia" w:ascii="宋体" w:hAnsi="宋体" w:eastAsia="宋体" w:cs="宋体"/>
          <w:sz w:val="21"/>
          <w:szCs w:val="21"/>
        </w:rPr>
      </w:pPr>
    </w:p>
    <w:p w14:paraId="03625049">
      <w:pPr>
        <w:spacing w:line="420" w:lineRule="exact"/>
        <w:ind w:firstLine="480"/>
        <w:rPr>
          <w:rFonts w:hint="eastAsia" w:ascii="宋体" w:hAnsi="宋体" w:eastAsia="宋体" w:cs="宋体"/>
          <w:sz w:val="21"/>
          <w:szCs w:val="21"/>
        </w:rPr>
      </w:pPr>
    </w:p>
    <w:p w14:paraId="55ED01BF">
      <w:pPr>
        <w:spacing w:line="420" w:lineRule="exact"/>
        <w:ind w:firstLine="480"/>
        <w:rPr>
          <w:rFonts w:hint="eastAsia" w:ascii="宋体" w:hAnsi="宋体" w:eastAsia="宋体" w:cs="宋体"/>
          <w:sz w:val="21"/>
          <w:szCs w:val="21"/>
        </w:rPr>
      </w:pPr>
    </w:p>
    <w:p w14:paraId="2BFDD834">
      <w:pPr>
        <w:spacing w:line="420" w:lineRule="exact"/>
        <w:ind w:firstLine="480"/>
        <w:rPr>
          <w:rFonts w:hint="eastAsia" w:ascii="宋体" w:hAnsi="宋体" w:eastAsia="宋体" w:cs="宋体"/>
          <w:sz w:val="21"/>
          <w:szCs w:val="21"/>
        </w:rPr>
      </w:pPr>
    </w:p>
    <w:p w14:paraId="599FC125">
      <w:pPr>
        <w:spacing w:line="420" w:lineRule="exact"/>
        <w:ind w:firstLine="480"/>
        <w:rPr>
          <w:rFonts w:hint="eastAsia" w:ascii="宋体" w:hAnsi="宋体" w:eastAsia="宋体" w:cs="宋体"/>
          <w:sz w:val="21"/>
          <w:szCs w:val="21"/>
        </w:rPr>
      </w:pPr>
    </w:p>
    <w:p w14:paraId="17FD81D6">
      <w:pPr>
        <w:spacing w:line="420" w:lineRule="exact"/>
        <w:ind w:firstLine="480"/>
        <w:rPr>
          <w:rFonts w:hint="eastAsia" w:ascii="宋体" w:hAnsi="宋体" w:eastAsia="宋体" w:cs="宋体"/>
          <w:sz w:val="21"/>
          <w:szCs w:val="21"/>
        </w:rPr>
      </w:pPr>
    </w:p>
    <w:p w14:paraId="219DA09E">
      <w:pPr>
        <w:spacing w:line="420" w:lineRule="exact"/>
        <w:ind w:firstLine="480"/>
        <w:rPr>
          <w:rFonts w:hint="eastAsia" w:ascii="宋体" w:hAnsi="宋体" w:eastAsia="宋体" w:cs="宋体"/>
          <w:sz w:val="21"/>
          <w:szCs w:val="21"/>
        </w:rPr>
      </w:pPr>
    </w:p>
    <w:p w14:paraId="39153F6D">
      <w:pPr>
        <w:spacing w:line="420" w:lineRule="exact"/>
        <w:ind w:firstLine="480"/>
        <w:rPr>
          <w:rFonts w:hint="eastAsia" w:ascii="宋体" w:hAnsi="宋体" w:eastAsia="宋体" w:cs="宋体"/>
          <w:sz w:val="21"/>
          <w:szCs w:val="21"/>
        </w:rPr>
      </w:pPr>
    </w:p>
    <w:p w14:paraId="694E4EA7">
      <w:pPr>
        <w:spacing w:line="420" w:lineRule="exact"/>
        <w:ind w:firstLine="480"/>
        <w:rPr>
          <w:rFonts w:hint="eastAsia" w:ascii="宋体" w:hAnsi="宋体" w:eastAsia="宋体" w:cs="宋体"/>
          <w:sz w:val="21"/>
          <w:szCs w:val="21"/>
        </w:rPr>
      </w:pPr>
    </w:p>
    <w:p w14:paraId="4BF0FD17">
      <w:pPr>
        <w:spacing w:line="420" w:lineRule="exact"/>
        <w:ind w:firstLine="480"/>
        <w:rPr>
          <w:rFonts w:hint="eastAsia" w:ascii="宋体" w:hAnsi="宋体" w:eastAsia="宋体" w:cs="宋体"/>
          <w:sz w:val="21"/>
          <w:szCs w:val="21"/>
        </w:rPr>
      </w:pPr>
    </w:p>
    <w:p w14:paraId="3B31D8E3">
      <w:pPr>
        <w:spacing w:line="420" w:lineRule="exact"/>
        <w:ind w:firstLine="480"/>
        <w:rPr>
          <w:rFonts w:hint="eastAsia" w:ascii="宋体" w:hAnsi="宋体" w:eastAsia="宋体" w:cs="宋体"/>
          <w:sz w:val="21"/>
          <w:szCs w:val="21"/>
        </w:rPr>
      </w:pPr>
    </w:p>
    <w:p w14:paraId="5D416F57">
      <w:pPr>
        <w:keepNext/>
        <w:jc w:val="center"/>
        <w:outlineLvl w:val="0"/>
        <w:rPr>
          <w:rFonts w:hint="eastAsia" w:ascii="黑体" w:hAnsi="Times New Roman" w:eastAsia="黑体"/>
          <w:bCs/>
          <w:color w:val="000000"/>
          <w:sz w:val="44"/>
          <w:szCs w:val="28"/>
          <w:highlight w:val="none"/>
        </w:rPr>
      </w:pPr>
      <w:r>
        <w:rPr>
          <w:rFonts w:hint="eastAsia" w:ascii="黑体" w:hAnsi="Times New Roman" w:eastAsia="黑体"/>
          <w:bCs/>
          <w:color w:val="000000"/>
          <w:sz w:val="44"/>
          <w:szCs w:val="28"/>
          <w:highlight w:val="none"/>
        </w:rPr>
        <w:t xml:space="preserve">第五章  </w:t>
      </w:r>
      <w:r>
        <w:rPr>
          <w:rFonts w:hint="eastAsia" w:ascii="黑体" w:hAnsi="Times New Roman" w:eastAsia="黑体"/>
          <w:b/>
          <w:bCs/>
          <w:color w:val="000000"/>
          <w:sz w:val="44"/>
          <w:szCs w:val="28"/>
          <w:highlight w:val="none"/>
        </w:rPr>
        <w:t>评标方法与评标标准</w:t>
      </w:r>
    </w:p>
    <w:p w14:paraId="27A2453D">
      <w:pPr>
        <w:rPr>
          <w:rFonts w:hint="eastAsia" w:ascii="Times New Roman" w:hAnsi="Times New Roman"/>
          <w:color w:val="000000"/>
          <w:szCs w:val="21"/>
        </w:rPr>
      </w:pPr>
    </w:p>
    <w:p w14:paraId="5C8A57FF">
      <w:pPr>
        <w:keepNext w:val="0"/>
        <w:keepLines w:val="0"/>
        <w:pageBreakBefore w:val="0"/>
        <w:widowControl w:val="0"/>
        <w:spacing w:line="460" w:lineRule="exact"/>
        <w:ind w:firstLine="439"/>
        <w:jc w:val="left"/>
        <w:rPr>
          <w:rFonts w:hint="eastAsia" w:ascii="宋体" w:hAnsi="宋体" w:eastAsia="宋体" w:cs="宋体"/>
          <w:color w:val="000000"/>
          <w:sz w:val="21"/>
          <w:szCs w:val="21"/>
        </w:rPr>
      </w:pPr>
      <w:r>
        <w:rPr>
          <w:rFonts w:hint="eastAsia" w:ascii="宋体" w:hAnsi="宋体" w:eastAsia="宋体" w:cs="宋体"/>
          <w:color w:val="000000"/>
          <w:sz w:val="21"/>
          <w:szCs w:val="21"/>
        </w:rPr>
        <w:t>采用综合评分法的，评标结果按评审后得分由高到低顺序排列。得分相同的，按投标报价由低到高顺序排列。得分且投标报价相同的并列。投标文件满足招标文件全部实质性要求，且按照评审因素的量化指标评审得分最高的投标人为中标候选人。本项目选取</w:t>
      </w:r>
      <w:r>
        <w:rPr>
          <w:rFonts w:hint="eastAsia" w:ascii="宋体" w:hAnsi="宋体" w:eastAsia="宋体" w:cs="宋体"/>
          <w:color w:val="000000"/>
          <w:sz w:val="21"/>
          <w:szCs w:val="21"/>
          <w:lang w:val="en-US" w:eastAsia="zh-CN"/>
        </w:rPr>
        <w:t>1</w:t>
      </w:r>
      <w:r>
        <w:rPr>
          <w:rFonts w:hint="eastAsia" w:ascii="宋体" w:hAnsi="宋体" w:eastAsia="宋体" w:cs="宋体"/>
          <w:color w:val="000000"/>
          <w:sz w:val="21"/>
          <w:szCs w:val="21"/>
        </w:rPr>
        <w:t>名中标候选人。</w:t>
      </w:r>
    </w:p>
    <w:p w14:paraId="52FB013D">
      <w:pPr>
        <w:keepNext w:val="0"/>
        <w:keepLines w:val="0"/>
        <w:pageBreakBefore w:val="0"/>
        <w:widowControl w:val="0"/>
        <w:spacing w:line="460" w:lineRule="exact"/>
        <w:ind w:firstLine="439"/>
        <w:jc w:val="left"/>
        <w:rPr>
          <w:rFonts w:hint="eastAsia" w:ascii="宋体" w:hAnsi="宋体" w:eastAsia="宋体" w:cs="宋体"/>
          <w:color w:val="000000"/>
          <w:sz w:val="21"/>
          <w:szCs w:val="21"/>
        </w:rPr>
      </w:pPr>
      <w:r>
        <w:rPr>
          <w:rFonts w:hint="eastAsia" w:ascii="宋体" w:hAnsi="宋体" w:eastAsia="宋体" w:cs="宋体"/>
          <w:b/>
          <w:bCs/>
          <w:color w:val="000000"/>
          <w:sz w:val="21"/>
          <w:szCs w:val="21"/>
        </w:rPr>
        <w:t>政府采购政策功能落实</w:t>
      </w:r>
    </w:p>
    <w:p w14:paraId="48D9FB6E">
      <w:pPr>
        <w:keepNext w:val="0"/>
        <w:keepLines w:val="0"/>
        <w:pageBreakBefore w:val="0"/>
        <w:widowControl w:val="0"/>
        <w:spacing w:line="460" w:lineRule="exact"/>
        <w:ind w:firstLine="439"/>
        <w:jc w:val="left"/>
        <w:rPr>
          <w:rFonts w:hint="eastAsia" w:ascii="宋体" w:hAnsi="宋体" w:eastAsia="宋体" w:cs="宋体"/>
          <w:color w:val="000000"/>
          <w:sz w:val="21"/>
          <w:szCs w:val="21"/>
        </w:rPr>
      </w:pPr>
      <w:r>
        <w:rPr>
          <w:rFonts w:hint="eastAsia" w:ascii="宋体" w:hAnsi="宋体" w:eastAsia="宋体" w:cs="宋体"/>
          <w:color w:val="000000"/>
          <w:sz w:val="21"/>
          <w:szCs w:val="21"/>
          <w:lang w:val="en-US" w:eastAsia="zh-CN"/>
        </w:rPr>
        <w:t>1.</w:t>
      </w:r>
      <w:r>
        <w:rPr>
          <w:rFonts w:hint="eastAsia" w:ascii="宋体" w:hAnsi="宋体" w:eastAsia="宋体" w:cs="宋体"/>
          <w:color w:val="000000"/>
          <w:sz w:val="21"/>
          <w:szCs w:val="21"/>
        </w:rPr>
        <w:t>因本项目属专门面向中小企业采购项目，</w:t>
      </w:r>
      <w:r>
        <w:rPr>
          <w:rFonts w:hint="eastAsia" w:ascii="宋体" w:hAnsi="宋体" w:eastAsia="宋体" w:cs="宋体"/>
          <w:color w:val="000000"/>
          <w:sz w:val="21"/>
          <w:szCs w:val="21"/>
          <w:lang w:val="en-US" w:eastAsia="zh-CN"/>
        </w:rPr>
        <w:t>只接受中小微企业投标，</w:t>
      </w:r>
      <w:r>
        <w:rPr>
          <w:rFonts w:hint="eastAsia" w:ascii="宋体" w:hAnsi="宋体" w:eastAsia="宋体" w:cs="宋体"/>
          <w:color w:val="000000"/>
          <w:sz w:val="21"/>
          <w:szCs w:val="21"/>
        </w:rPr>
        <w:t>故本项目在评审时，不再对小型和微型企业投标价格给予扣除，请各供应商予以关注。</w:t>
      </w:r>
    </w:p>
    <w:p w14:paraId="01436251">
      <w:pPr>
        <w:keepNext w:val="0"/>
        <w:keepLines w:val="0"/>
        <w:pageBreakBefore w:val="0"/>
        <w:widowControl w:val="0"/>
        <w:spacing w:line="460" w:lineRule="exact"/>
        <w:ind w:firstLine="439"/>
        <w:jc w:val="left"/>
        <w:rPr>
          <w:rFonts w:hint="eastAsia" w:ascii="宋体" w:hAnsi="宋体" w:eastAsia="宋体" w:cs="宋体"/>
          <w:color w:val="000000"/>
          <w:sz w:val="21"/>
          <w:szCs w:val="21"/>
        </w:rPr>
      </w:pPr>
      <w:r>
        <w:rPr>
          <w:rFonts w:hint="eastAsia" w:ascii="宋体" w:hAnsi="宋体" w:eastAsia="宋体" w:cs="宋体"/>
          <w:color w:val="000000"/>
          <w:sz w:val="21"/>
          <w:szCs w:val="21"/>
          <w:lang w:val="en-US" w:eastAsia="zh-CN"/>
        </w:rPr>
        <w:t>2.</w:t>
      </w:r>
      <w:r>
        <w:rPr>
          <w:rFonts w:hint="eastAsia" w:ascii="宋体" w:hAnsi="宋体" w:eastAsia="宋体" w:cs="宋体"/>
          <w:color w:val="000000"/>
          <w:sz w:val="21"/>
          <w:szCs w:val="21"/>
        </w:rPr>
        <w:t>中小</w:t>
      </w:r>
      <w:r>
        <w:rPr>
          <w:rFonts w:hint="eastAsia" w:ascii="宋体" w:hAnsi="宋体" w:eastAsia="宋体" w:cs="宋体"/>
          <w:color w:val="000000"/>
          <w:sz w:val="21"/>
          <w:szCs w:val="21"/>
          <w:lang w:val="en-US" w:eastAsia="zh-CN"/>
        </w:rPr>
        <w:t>微</w:t>
      </w:r>
      <w:r>
        <w:rPr>
          <w:rFonts w:hint="eastAsia" w:ascii="宋体" w:hAnsi="宋体" w:eastAsia="宋体" w:cs="宋体"/>
          <w:color w:val="000000"/>
          <w:sz w:val="21"/>
          <w:szCs w:val="21"/>
        </w:rPr>
        <w:t>企业供应商参加</w:t>
      </w:r>
      <w:r>
        <w:rPr>
          <w:rFonts w:hint="eastAsia" w:ascii="宋体" w:hAnsi="宋体" w:eastAsia="宋体" w:cs="宋体"/>
          <w:color w:val="000000"/>
          <w:sz w:val="21"/>
          <w:szCs w:val="21"/>
          <w:lang w:eastAsia="zh-CN"/>
        </w:rPr>
        <w:t>本项目</w:t>
      </w:r>
      <w:r>
        <w:rPr>
          <w:rFonts w:hint="eastAsia" w:ascii="宋体" w:hAnsi="宋体" w:eastAsia="宋体" w:cs="宋体"/>
          <w:color w:val="000000"/>
          <w:sz w:val="21"/>
          <w:szCs w:val="21"/>
        </w:rPr>
        <w:t>政府采购活动的，应当按照采购文件的要求提供相应的《中小企业声明函》。除此之外，供应商无需提供《中小企业声明函》之外的中小企业身份证明文件。</w:t>
      </w:r>
    </w:p>
    <w:p w14:paraId="17A167F9">
      <w:pPr>
        <w:keepNext w:val="0"/>
        <w:keepLines w:val="0"/>
        <w:pageBreakBefore w:val="0"/>
        <w:widowControl w:val="0"/>
        <w:spacing w:line="460" w:lineRule="exact"/>
        <w:ind w:firstLine="439"/>
        <w:jc w:val="left"/>
        <w:rPr>
          <w:rFonts w:hint="eastAsia" w:ascii="宋体" w:hAnsi="宋体" w:eastAsia="宋体" w:cs="宋体"/>
          <w:color w:val="000000"/>
          <w:sz w:val="21"/>
          <w:szCs w:val="21"/>
        </w:rPr>
      </w:pPr>
      <w:r>
        <w:rPr>
          <w:rFonts w:hint="eastAsia" w:ascii="宋体" w:hAnsi="宋体" w:eastAsia="宋体" w:cs="宋体"/>
          <w:color w:val="000000"/>
          <w:sz w:val="21"/>
          <w:szCs w:val="21"/>
          <w:lang w:val="en-US" w:eastAsia="zh-CN"/>
        </w:rPr>
        <w:t>3.</w:t>
      </w:r>
      <w:r>
        <w:rPr>
          <w:rFonts w:hint="eastAsia" w:ascii="宋体" w:hAnsi="宋体" w:eastAsia="宋体" w:cs="宋体"/>
          <w:color w:val="000000"/>
          <w:sz w:val="21"/>
          <w:szCs w:val="21"/>
        </w:rPr>
        <w:t>企业标准请参照《关于印发中小企业划型标准规定的通知》（工信部联企业</w:t>
      </w:r>
      <w:r>
        <w:rPr>
          <w:rFonts w:hint="eastAsia" w:ascii="宋体" w:hAnsi="宋体" w:eastAsia="宋体" w:cs="宋体"/>
          <w:color w:val="000000"/>
          <w:sz w:val="21"/>
          <w:szCs w:val="21"/>
          <w:lang w:eastAsia="zh-CN"/>
        </w:rPr>
        <w:t>〔2011〕300号</w:t>
      </w:r>
      <w:r>
        <w:rPr>
          <w:rFonts w:hint="eastAsia" w:ascii="宋体" w:hAnsi="宋体" w:eastAsia="宋体" w:cs="宋体"/>
          <w:color w:val="000000"/>
          <w:sz w:val="21"/>
          <w:szCs w:val="21"/>
        </w:rPr>
        <w:t>）文件规定自行填写。</w:t>
      </w:r>
    </w:p>
    <w:p w14:paraId="44B6B196">
      <w:pPr>
        <w:keepNext w:val="0"/>
        <w:keepLines w:val="0"/>
        <w:pageBreakBefore w:val="0"/>
        <w:widowControl w:val="0"/>
        <w:spacing w:line="460" w:lineRule="exact"/>
        <w:ind w:firstLine="439"/>
        <w:jc w:val="left"/>
        <w:rPr>
          <w:rFonts w:hint="eastAsia" w:ascii="宋体" w:hAnsi="宋体" w:eastAsia="宋体" w:cs="宋体"/>
          <w:color w:val="000000"/>
          <w:sz w:val="21"/>
          <w:szCs w:val="21"/>
        </w:rPr>
      </w:pPr>
      <w:r>
        <w:rPr>
          <w:rFonts w:hint="eastAsia" w:ascii="宋体" w:hAnsi="宋体" w:eastAsia="宋体" w:cs="宋体"/>
          <w:color w:val="000000"/>
          <w:sz w:val="21"/>
          <w:szCs w:val="21"/>
          <w:lang w:val="en-US" w:eastAsia="zh-CN"/>
        </w:rPr>
        <w:t>4.</w:t>
      </w:r>
      <w:r>
        <w:rPr>
          <w:rFonts w:hint="eastAsia" w:ascii="宋体" w:hAnsi="宋体" w:eastAsia="宋体" w:cs="宋体"/>
          <w:color w:val="000000"/>
          <w:sz w:val="21"/>
          <w:szCs w:val="21"/>
        </w:rPr>
        <w:t>残疾人就业政策：本项目对残疾人福利性单位视同小型、微型企业，符合条件的残疾人福利性单位在参加政府采购活动时，应当提供《残疾人福利性单位声明函》，残疾人福利单位标准详见《关于促进残疾人就业政府采购政策的通知》财库〔2017〕141号。</w:t>
      </w:r>
    </w:p>
    <w:p w14:paraId="265E977D">
      <w:pPr>
        <w:keepNext w:val="0"/>
        <w:keepLines w:val="0"/>
        <w:pageBreakBefore w:val="0"/>
        <w:widowControl w:val="0"/>
        <w:spacing w:line="460" w:lineRule="exact"/>
        <w:ind w:firstLine="439"/>
        <w:jc w:val="left"/>
        <w:rPr>
          <w:rFonts w:hint="eastAsia" w:ascii="宋体" w:hAnsi="宋体" w:eastAsia="宋体" w:cs="宋体"/>
          <w:color w:val="000000"/>
          <w:sz w:val="21"/>
          <w:szCs w:val="21"/>
        </w:rPr>
      </w:pPr>
      <w:r>
        <w:rPr>
          <w:rFonts w:hint="eastAsia" w:ascii="宋体" w:hAnsi="宋体" w:eastAsia="宋体" w:cs="宋体"/>
          <w:color w:val="000000"/>
          <w:sz w:val="21"/>
          <w:szCs w:val="21"/>
          <w:lang w:val="en-US" w:eastAsia="zh-CN"/>
        </w:rPr>
        <w:t>5.</w:t>
      </w:r>
      <w:r>
        <w:rPr>
          <w:rFonts w:hint="eastAsia" w:ascii="宋体" w:hAnsi="宋体" w:eastAsia="宋体" w:cs="宋体"/>
          <w:color w:val="000000"/>
          <w:sz w:val="21"/>
          <w:szCs w:val="21"/>
        </w:rPr>
        <w:t>监狱和戒毒企业发展政策：政府采购支持监狱和戒毒企业发展政策，本项目对监狱和戒毒企业（简称监狱企业）视同小型、微型企业，监狱企业参加政府采购活动时，应当提供由省级以上监狱管理局、戒毒管理局（含新疆生产建设兵团）出具的属于监狱企业的证明文件，监狱企业标准</w:t>
      </w:r>
      <w:r>
        <w:rPr>
          <w:rFonts w:hint="eastAsia" w:ascii="宋体" w:hAnsi="宋体" w:eastAsia="宋体" w:cs="宋体"/>
          <w:color w:val="000000"/>
          <w:sz w:val="21"/>
          <w:szCs w:val="21"/>
          <w:lang w:eastAsia="zh-CN"/>
        </w:rPr>
        <w:t>详见</w:t>
      </w:r>
      <w:r>
        <w:rPr>
          <w:rFonts w:hint="eastAsia" w:ascii="宋体" w:hAnsi="宋体" w:eastAsia="宋体" w:cs="宋体"/>
          <w:color w:val="000000"/>
          <w:sz w:val="21"/>
          <w:szCs w:val="21"/>
        </w:rPr>
        <w:t>《关于政府采购支持监狱企业发展有关问题的通知》财库〔2014〕68号。</w:t>
      </w:r>
    </w:p>
    <w:p w14:paraId="252D2126">
      <w:pPr>
        <w:keepNext w:val="0"/>
        <w:keepLines w:val="0"/>
        <w:pageBreakBefore w:val="0"/>
        <w:widowControl w:val="0"/>
        <w:spacing w:line="460" w:lineRule="exact"/>
        <w:ind w:firstLine="439"/>
        <w:jc w:val="left"/>
        <w:rPr>
          <w:rFonts w:hint="eastAsia" w:ascii="宋体" w:hAnsi="宋体" w:eastAsia="宋体" w:cs="宋体"/>
          <w:color w:val="000000"/>
          <w:sz w:val="21"/>
          <w:szCs w:val="21"/>
          <w:lang w:eastAsia="zh-CN"/>
        </w:rPr>
      </w:pPr>
      <w:r>
        <w:rPr>
          <w:rFonts w:hint="eastAsia" w:ascii="宋体" w:hAnsi="宋体" w:eastAsia="宋体" w:cs="宋体"/>
          <w:color w:val="000000"/>
          <w:sz w:val="21"/>
          <w:szCs w:val="21"/>
          <w:lang w:val="en-US" w:eastAsia="zh-CN"/>
        </w:rPr>
        <w:t>6.</w:t>
      </w:r>
      <w:r>
        <w:rPr>
          <w:rFonts w:hint="eastAsia" w:ascii="宋体" w:hAnsi="宋体" w:eastAsia="宋体" w:cs="宋体"/>
          <w:color w:val="000000"/>
          <w:sz w:val="21"/>
          <w:szCs w:val="21"/>
        </w:rPr>
        <w:t>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w:t>
      </w:r>
      <w:r>
        <w:rPr>
          <w:rFonts w:hint="eastAsia" w:ascii="宋体" w:hAnsi="宋体" w:cs="宋体"/>
          <w:color w:val="000000"/>
          <w:sz w:val="21"/>
          <w:szCs w:val="21"/>
          <w:lang w:eastAsia="zh-CN"/>
        </w:rPr>
        <w:t>（</w:t>
      </w:r>
      <w:r>
        <w:rPr>
          <w:rFonts w:hint="eastAsia" w:ascii="宋体" w:hAnsi="宋体" w:eastAsia="宋体" w:cs="宋体"/>
          <w:color w:val="000000"/>
          <w:sz w:val="21"/>
          <w:szCs w:val="21"/>
        </w:rPr>
        <w:t>由国家确定的认证机构出具的、处于有效期之内的节能产品、环境标志产品认证证书</w:t>
      </w:r>
      <w:r>
        <w:rPr>
          <w:rFonts w:hint="eastAsia" w:ascii="宋体" w:hAnsi="宋体" w:cs="宋体"/>
          <w:color w:val="000000"/>
          <w:sz w:val="21"/>
          <w:szCs w:val="21"/>
          <w:lang w:eastAsia="zh-CN"/>
        </w:rPr>
        <w:t>）</w:t>
      </w:r>
      <w:r>
        <w:rPr>
          <w:rFonts w:hint="eastAsia" w:ascii="宋体" w:hAnsi="宋体" w:eastAsia="宋体" w:cs="宋体"/>
          <w:color w:val="000000"/>
          <w:sz w:val="21"/>
          <w:szCs w:val="21"/>
        </w:rPr>
        <w:t>。节能产品、环境标志产品品目清单以递交响应文件截止时已正式公布的最近一期信息为准，</w:t>
      </w:r>
      <w:r>
        <w:rPr>
          <w:rFonts w:hint="eastAsia" w:ascii="宋体" w:hAnsi="宋体" w:eastAsia="宋体" w:cs="宋体"/>
          <w:b/>
          <w:bCs/>
          <w:i/>
          <w:iCs/>
          <w:color w:val="000000"/>
          <w:sz w:val="21"/>
          <w:szCs w:val="21"/>
          <w:u w:val="single"/>
        </w:rPr>
        <w:t>如属政府强制采购产品未提供认证证书的或认证证书提供不全的将视为未实质性响应采购要求。</w:t>
      </w:r>
      <w:r>
        <w:rPr>
          <w:rFonts w:hint="eastAsia" w:ascii="宋体" w:hAnsi="宋体" w:eastAsia="宋体" w:cs="宋体"/>
          <w:color w:val="000000"/>
          <w:sz w:val="21"/>
          <w:szCs w:val="21"/>
        </w:rPr>
        <w:t>其他条件相同情况下，应当优先采购节能产品、环境标志产品。</w:t>
      </w:r>
    </w:p>
    <w:p w14:paraId="2076B55C">
      <w:pPr>
        <w:keepNext w:val="0"/>
        <w:keepLines w:val="0"/>
        <w:pageBreakBefore w:val="0"/>
        <w:widowControl w:val="0"/>
        <w:spacing w:line="460" w:lineRule="exact"/>
        <w:ind w:firstLine="439"/>
        <w:jc w:val="left"/>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7.采购本国产品的支持政策</w:t>
      </w:r>
    </w:p>
    <w:p w14:paraId="5E2A4166">
      <w:pPr>
        <w:keepNext w:val="0"/>
        <w:keepLines w:val="0"/>
        <w:pageBreakBefore w:val="0"/>
        <w:widowControl w:val="0"/>
        <w:spacing w:line="460" w:lineRule="exact"/>
        <w:ind w:firstLine="439"/>
        <w:jc w:val="left"/>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7.1 本项目政府采购活动中既有本国产品又有非本国产品参与竞争的，依法对本国产品给予价格评审优惠，对本国产品的报价给予 20%的价格扣除，用扣除后的价格参与评审。</w:t>
      </w:r>
    </w:p>
    <w:p w14:paraId="1948169E">
      <w:pPr>
        <w:keepNext w:val="0"/>
        <w:keepLines w:val="0"/>
        <w:pageBreakBefore w:val="0"/>
        <w:widowControl w:val="0"/>
        <w:spacing w:line="460" w:lineRule="exact"/>
        <w:ind w:firstLine="439"/>
        <w:jc w:val="left"/>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7.2 当采购项目或者采购包中含有多种产品，供应商为该采购项目或者采购包提供的符合本国产品标准的产品成本之和占该供应商提供的全部产品成本之和的比例达到80%以上时（供应商需在“第六章 投标文件格式”的“ 投标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p>
    <w:p w14:paraId="5011EEF8">
      <w:pPr>
        <w:keepNext w:val="0"/>
        <w:keepLines w:val="0"/>
        <w:pageBreakBefore w:val="0"/>
        <w:widowControl w:val="0"/>
        <w:spacing w:line="460" w:lineRule="exact"/>
        <w:ind w:firstLine="439"/>
        <w:jc w:val="left"/>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7.3 供应商需按照招标文件的要求提供《关于符合本国产品标准的声明函》（以下简称《声明函》），如不提供将不享受本国产品价格评审优惠。</w:t>
      </w:r>
    </w:p>
    <w:p w14:paraId="7E47954A">
      <w:pPr>
        <w:keepNext w:val="0"/>
        <w:keepLines w:val="0"/>
        <w:pageBreakBefore w:val="0"/>
        <w:widowControl w:val="0"/>
        <w:spacing w:line="460" w:lineRule="exact"/>
        <w:ind w:firstLine="439"/>
        <w:jc w:val="left"/>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7.4 供应商需在《声明函》中逐一、准确填写产品名称、厂名、生产厂址三项信息（《声明函》中用横线划除的地方无需填写），三项信息中任意一项未填写的视为该项产品不符合本国产品标准，不享受本国产品价格评审优惠。</w:t>
      </w:r>
    </w:p>
    <w:p w14:paraId="43EA1455">
      <w:pPr>
        <w:keepNext w:val="0"/>
        <w:keepLines w:val="0"/>
        <w:pageBreakBefore w:val="0"/>
        <w:widowControl w:val="0"/>
        <w:spacing w:line="460" w:lineRule="exact"/>
        <w:ind w:firstLine="439"/>
        <w:jc w:val="left"/>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7.5 评标过程中，如发现供应商在《声明函》内容含义不明确、同类事项与投标（响应）文件表述不一致或者有明显文字错误等情况的，评标委员会应当在苏采云系统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p>
    <w:p w14:paraId="402C9C26">
      <w:pPr>
        <w:keepNext w:val="0"/>
        <w:keepLines w:val="0"/>
        <w:pageBreakBefore w:val="0"/>
        <w:widowControl w:val="0"/>
        <w:spacing w:line="460" w:lineRule="exact"/>
        <w:ind w:firstLine="439"/>
        <w:jc w:val="left"/>
        <w:rPr>
          <w:rFonts w:hint="eastAsia" w:ascii="宋体" w:hAnsi="宋体" w:eastAsia="宋体" w:cs="宋体"/>
          <w:b/>
          <w:bCs/>
          <w:color w:val="000000"/>
          <w:sz w:val="21"/>
          <w:szCs w:val="21"/>
        </w:rPr>
      </w:pPr>
      <w:r>
        <w:rPr>
          <w:rFonts w:hint="eastAsia" w:ascii="宋体" w:hAnsi="宋体" w:eastAsia="宋体" w:cs="宋体"/>
          <w:b/>
          <w:bCs/>
          <w:color w:val="000000"/>
          <w:sz w:val="21"/>
          <w:szCs w:val="21"/>
        </w:rPr>
        <w:t>评标方法与评标标准</w:t>
      </w:r>
    </w:p>
    <w:p w14:paraId="2EEB2663">
      <w:pPr>
        <w:rPr>
          <w:rFonts w:hint="eastAsia" w:ascii="Times New Roman" w:hAnsi="Times New Roman"/>
          <w:color w:val="000000"/>
          <w:szCs w:val="21"/>
        </w:rPr>
      </w:pPr>
    </w:p>
    <w:tbl>
      <w:tblPr>
        <w:tblStyle w:val="31"/>
        <w:tblW w:w="9211"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88"/>
        <w:gridCol w:w="914"/>
        <w:gridCol w:w="6832"/>
        <w:gridCol w:w="877"/>
      </w:tblGrid>
      <w:tr w14:paraId="3444F2C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7" w:hRule="atLeast"/>
        </w:trPr>
        <w:tc>
          <w:tcPr>
            <w:tcW w:w="588" w:type="dxa"/>
            <w:noWrap w:val="0"/>
            <w:vAlign w:val="center"/>
          </w:tcPr>
          <w:p w14:paraId="6CCD5884">
            <w:pPr>
              <w:jc w:val="center"/>
              <w:rPr>
                <w:rFonts w:hint="eastAsia" w:ascii="宋体" w:hAnsi="宋体" w:eastAsia="宋体" w:cs="宋体"/>
                <w:sz w:val="21"/>
                <w:szCs w:val="21"/>
              </w:rPr>
            </w:pPr>
            <w:r>
              <w:rPr>
                <w:rFonts w:hint="eastAsia" w:ascii="宋体" w:hAnsi="宋体" w:eastAsia="宋体" w:cs="宋体"/>
                <w:b/>
                <w:bCs/>
                <w:color w:val="000000"/>
                <w:sz w:val="21"/>
                <w:szCs w:val="21"/>
              </w:rPr>
              <w:t>序号</w:t>
            </w:r>
          </w:p>
        </w:tc>
        <w:tc>
          <w:tcPr>
            <w:tcW w:w="914" w:type="dxa"/>
            <w:noWrap w:val="0"/>
            <w:vAlign w:val="center"/>
          </w:tcPr>
          <w:p w14:paraId="3C012B70">
            <w:pPr>
              <w:jc w:val="center"/>
              <w:rPr>
                <w:rFonts w:hint="eastAsia" w:ascii="宋体" w:hAnsi="宋体" w:eastAsia="宋体" w:cs="宋体"/>
                <w:b/>
                <w:bCs/>
                <w:color w:val="000000"/>
                <w:sz w:val="21"/>
                <w:szCs w:val="21"/>
              </w:rPr>
            </w:pPr>
            <w:r>
              <w:rPr>
                <w:rFonts w:hint="eastAsia" w:ascii="宋体" w:hAnsi="宋体" w:eastAsia="宋体" w:cs="宋体"/>
                <w:b/>
                <w:bCs/>
                <w:color w:val="000000"/>
                <w:sz w:val="21"/>
                <w:szCs w:val="21"/>
              </w:rPr>
              <w:t>评审</w:t>
            </w:r>
          </w:p>
          <w:p w14:paraId="447352F9">
            <w:pPr>
              <w:jc w:val="center"/>
              <w:rPr>
                <w:rFonts w:hint="eastAsia" w:ascii="宋体" w:hAnsi="宋体" w:eastAsia="宋体" w:cs="宋体"/>
                <w:sz w:val="21"/>
                <w:szCs w:val="21"/>
              </w:rPr>
            </w:pPr>
            <w:r>
              <w:rPr>
                <w:rFonts w:hint="eastAsia" w:ascii="宋体" w:hAnsi="宋体" w:eastAsia="宋体" w:cs="宋体"/>
                <w:b/>
                <w:bCs/>
                <w:color w:val="000000"/>
                <w:sz w:val="21"/>
                <w:szCs w:val="21"/>
              </w:rPr>
              <w:t>因素</w:t>
            </w:r>
          </w:p>
        </w:tc>
        <w:tc>
          <w:tcPr>
            <w:tcW w:w="6832" w:type="dxa"/>
            <w:noWrap w:val="0"/>
            <w:vAlign w:val="center"/>
          </w:tcPr>
          <w:p w14:paraId="0D724580">
            <w:pPr>
              <w:jc w:val="center"/>
              <w:rPr>
                <w:rFonts w:hint="eastAsia" w:ascii="宋体" w:hAnsi="宋体" w:eastAsia="宋体" w:cs="宋体"/>
                <w:sz w:val="21"/>
                <w:szCs w:val="21"/>
              </w:rPr>
            </w:pPr>
            <w:r>
              <w:rPr>
                <w:rFonts w:hint="eastAsia" w:ascii="宋体" w:hAnsi="宋体" w:eastAsia="宋体" w:cs="宋体"/>
                <w:b/>
                <w:bCs/>
                <w:color w:val="000000"/>
                <w:sz w:val="21"/>
                <w:szCs w:val="21"/>
              </w:rPr>
              <w:t>评审细则</w:t>
            </w:r>
          </w:p>
        </w:tc>
        <w:tc>
          <w:tcPr>
            <w:tcW w:w="877" w:type="dxa"/>
            <w:noWrap w:val="0"/>
            <w:vAlign w:val="center"/>
          </w:tcPr>
          <w:p w14:paraId="6DCA3611">
            <w:pPr>
              <w:jc w:val="center"/>
              <w:rPr>
                <w:rFonts w:hint="eastAsia" w:ascii="宋体" w:hAnsi="宋体" w:eastAsia="宋体" w:cs="宋体"/>
                <w:sz w:val="21"/>
                <w:szCs w:val="21"/>
              </w:rPr>
            </w:pPr>
            <w:r>
              <w:rPr>
                <w:rFonts w:hint="eastAsia" w:ascii="宋体" w:hAnsi="宋体" w:eastAsia="宋体" w:cs="宋体"/>
                <w:b/>
                <w:bCs/>
                <w:color w:val="000000"/>
                <w:sz w:val="21"/>
                <w:szCs w:val="21"/>
              </w:rPr>
              <w:t>分值</w:t>
            </w:r>
          </w:p>
        </w:tc>
      </w:tr>
      <w:tr w14:paraId="0FAF25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7" w:hRule="atLeast"/>
        </w:trPr>
        <w:tc>
          <w:tcPr>
            <w:tcW w:w="9211" w:type="dxa"/>
            <w:gridSpan w:val="4"/>
            <w:noWrap w:val="0"/>
            <w:vAlign w:val="center"/>
          </w:tcPr>
          <w:p w14:paraId="0FF81D67">
            <w:pPr>
              <w:jc w:val="center"/>
              <w:rPr>
                <w:rFonts w:hint="eastAsia" w:ascii="宋体" w:hAnsi="宋体" w:eastAsia="宋体" w:cs="宋体"/>
                <w:sz w:val="21"/>
                <w:szCs w:val="21"/>
              </w:rPr>
            </w:pPr>
            <w:r>
              <w:rPr>
                <w:rFonts w:hint="eastAsia" w:ascii="宋体" w:hAnsi="宋体" w:eastAsia="宋体" w:cs="宋体"/>
                <w:b/>
                <w:bCs/>
                <w:color w:val="000000"/>
                <w:sz w:val="21"/>
                <w:szCs w:val="21"/>
              </w:rPr>
              <w:t>一、价格分（</w:t>
            </w:r>
            <w:r>
              <w:rPr>
                <w:rFonts w:hint="eastAsia" w:ascii="宋体" w:hAnsi="宋体" w:eastAsia="宋体" w:cs="宋体"/>
                <w:b/>
                <w:bCs/>
                <w:color w:val="000000"/>
                <w:sz w:val="21"/>
                <w:szCs w:val="21"/>
                <w:lang w:val="en-US" w:eastAsia="zh-CN"/>
              </w:rPr>
              <w:t>3</w:t>
            </w:r>
            <w:r>
              <w:rPr>
                <w:rFonts w:hint="eastAsia" w:ascii="宋体" w:hAnsi="宋体" w:eastAsia="宋体" w:cs="宋体"/>
                <w:b/>
                <w:bCs/>
                <w:color w:val="000000"/>
                <w:sz w:val="21"/>
                <w:szCs w:val="21"/>
              </w:rPr>
              <w:t>0分）</w:t>
            </w:r>
          </w:p>
        </w:tc>
      </w:tr>
      <w:tr w14:paraId="60BC821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3" w:hRule="atLeast"/>
        </w:trPr>
        <w:tc>
          <w:tcPr>
            <w:tcW w:w="588" w:type="dxa"/>
            <w:noWrap w:val="0"/>
            <w:vAlign w:val="center"/>
          </w:tcPr>
          <w:p w14:paraId="42E90333">
            <w:pPr>
              <w:jc w:val="center"/>
              <w:rPr>
                <w:rFonts w:hint="eastAsia" w:ascii="宋体" w:hAnsi="宋体" w:eastAsia="宋体" w:cs="宋体"/>
                <w:sz w:val="21"/>
                <w:szCs w:val="21"/>
              </w:rPr>
            </w:pPr>
            <w:r>
              <w:rPr>
                <w:rFonts w:hint="eastAsia" w:ascii="宋体" w:hAnsi="宋体" w:eastAsia="宋体" w:cs="宋体"/>
                <w:b w:val="0"/>
                <w:bCs w:val="0"/>
                <w:sz w:val="21"/>
                <w:szCs w:val="21"/>
              </w:rPr>
              <w:t>1.1</w:t>
            </w:r>
          </w:p>
        </w:tc>
        <w:tc>
          <w:tcPr>
            <w:tcW w:w="914" w:type="dxa"/>
            <w:noWrap w:val="0"/>
            <w:vAlign w:val="center"/>
          </w:tcPr>
          <w:p w14:paraId="3D3B81D1">
            <w:pPr>
              <w:jc w:val="center"/>
              <w:rPr>
                <w:rFonts w:hint="eastAsia" w:ascii="宋体" w:hAnsi="宋体" w:eastAsia="宋体" w:cs="宋体"/>
                <w:sz w:val="21"/>
                <w:szCs w:val="21"/>
              </w:rPr>
            </w:pPr>
            <w:r>
              <w:rPr>
                <w:rFonts w:hint="eastAsia" w:ascii="宋体" w:hAnsi="宋体" w:eastAsia="宋体" w:cs="宋体"/>
                <w:sz w:val="21"/>
                <w:szCs w:val="21"/>
              </w:rPr>
              <w:t>价格</w:t>
            </w:r>
          </w:p>
        </w:tc>
        <w:tc>
          <w:tcPr>
            <w:tcW w:w="6832" w:type="dxa"/>
            <w:noWrap w:val="0"/>
            <w:vAlign w:val="center"/>
          </w:tcPr>
          <w:p w14:paraId="47AF7801">
            <w:pPr>
              <w:ind w:firstLine="420" w:firstLineChars="200"/>
              <w:rPr>
                <w:rFonts w:hint="default" w:ascii="宋体" w:hAnsi="宋体" w:eastAsia="宋体" w:cs="宋体"/>
                <w:sz w:val="21"/>
                <w:szCs w:val="21"/>
                <w:lang w:val="en-US" w:eastAsia="zh-CN"/>
              </w:rPr>
            </w:pPr>
            <w:r>
              <w:rPr>
                <w:rFonts w:hint="eastAsia" w:ascii="宋体" w:hAnsi="宋体" w:cs="宋体"/>
                <w:szCs w:val="21"/>
                <w:lang w:val="en-US" w:eastAsia="zh-CN"/>
              </w:rPr>
              <w:t xml:space="preserve"> </w:t>
            </w:r>
            <w:r>
              <w:rPr>
                <w:rFonts w:hint="eastAsia" w:ascii="宋体" w:hAnsi="宋体" w:cs="宋体"/>
                <w:szCs w:val="21"/>
              </w:rPr>
              <w:t>价格分采用低价优先法计算，即满足招标文件要求且报价最低的投标单位报价为评标基准价，其价格分为满分</w:t>
            </w:r>
            <w:r>
              <w:rPr>
                <w:rFonts w:hint="eastAsia" w:ascii="宋体" w:hAnsi="宋体" w:cs="宋体"/>
                <w:szCs w:val="21"/>
                <w:lang w:val="en-US" w:eastAsia="zh-CN"/>
              </w:rPr>
              <w:t>3</w:t>
            </w:r>
            <w:r>
              <w:rPr>
                <w:rFonts w:hint="eastAsia" w:ascii="宋体" w:hAnsi="宋体" w:cs="宋体"/>
                <w:szCs w:val="21"/>
              </w:rPr>
              <w:t>0分，</w:t>
            </w:r>
            <w:r>
              <w:rPr>
                <w:rFonts w:hint="eastAsia" w:ascii="宋体" w:hAnsi="宋体" w:cs="宋体"/>
                <w:szCs w:val="21"/>
                <w:lang w:eastAsia="zh-CN"/>
              </w:rPr>
              <w:t>其他</w:t>
            </w:r>
            <w:r>
              <w:rPr>
                <w:rFonts w:hint="eastAsia" w:ascii="宋体" w:hAnsi="宋体" w:cs="宋体"/>
                <w:szCs w:val="21"/>
              </w:rPr>
              <w:t>投标人的价格分统一按照以下公式计算：投标报价得分=（最低报价/该投标人的投标报价）×</w:t>
            </w:r>
            <w:r>
              <w:rPr>
                <w:rFonts w:hint="eastAsia" w:ascii="宋体" w:hAnsi="宋体" w:cs="宋体"/>
                <w:szCs w:val="21"/>
                <w:lang w:val="en-US" w:eastAsia="zh-CN"/>
              </w:rPr>
              <w:t>3</w:t>
            </w:r>
            <w:r>
              <w:rPr>
                <w:rFonts w:hint="eastAsia" w:ascii="宋体" w:hAnsi="宋体" w:cs="宋体"/>
                <w:szCs w:val="21"/>
              </w:rPr>
              <w:t>0分。</w:t>
            </w:r>
            <w:r>
              <w:rPr>
                <w:rFonts w:hint="eastAsia" w:ascii="宋体" w:hAnsi="宋体" w:cs="宋体"/>
                <w:szCs w:val="21"/>
                <w:lang w:val="en-US" w:eastAsia="zh-CN"/>
              </w:rPr>
              <w:t>保留小数点后两位，第三位四舍五入。</w:t>
            </w:r>
          </w:p>
        </w:tc>
        <w:tc>
          <w:tcPr>
            <w:tcW w:w="877" w:type="dxa"/>
            <w:noWrap w:val="0"/>
            <w:vAlign w:val="center"/>
          </w:tcPr>
          <w:p w14:paraId="38325E90">
            <w:pPr>
              <w:jc w:val="center"/>
              <w:rPr>
                <w:rFonts w:hint="eastAsia" w:ascii="宋体" w:hAnsi="宋体" w:eastAsia="宋体" w:cs="宋体"/>
                <w:sz w:val="21"/>
                <w:szCs w:val="21"/>
              </w:rPr>
            </w:pPr>
            <w:r>
              <w:rPr>
                <w:rFonts w:hint="eastAsia" w:ascii="宋体" w:hAnsi="宋体" w:eastAsia="宋体" w:cs="宋体"/>
                <w:sz w:val="21"/>
                <w:szCs w:val="21"/>
                <w:lang w:val="en-US" w:eastAsia="zh-CN"/>
              </w:rPr>
              <w:t>30</w:t>
            </w:r>
            <w:r>
              <w:rPr>
                <w:rFonts w:hint="eastAsia" w:ascii="宋体" w:hAnsi="宋体" w:eastAsia="宋体" w:cs="宋体"/>
                <w:sz w:val="21"/>
                <w:szCs w:val="21"/>
              </w:rPr>
              <w:t>分</w:t>
            </w:r>
          </w:p>
        </w:tc>
      </w:tr>
      <w:tr w14:paraId="14080BA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7" w:hRule="atLeast"/>
        </w:trPr>
        <w:tc>
          <w:tcPr>
            <w:tcW w:w="9211" w:type="dxa"/>
            <w:gridSpan w:val="4"/>
            <w:noWrap w:val="0"/>
            <w:vAlign w:val="center"/>
          </w:tcPr>
          <w:p w14:paraId="419A9186">
            <w:pPr>
              <w:jc w:val="center"/>
              <w:rPr>
                <w:rFonts w:hint="eastAsia" w:ascii="宋体" w:hAnsi="宋体" w:eastAsia="宋体" w:cs="宋体"/>
                <w:sz w:val="21"/>
                <w:szCs w:val="21"/>
              </w:rPr>
            </w:pPr>
            <w:r>
              <w:rPr>
                <w:rFonts w:hint="eastAsia" w:ascii="宋体" w:hAnsi="宋体" w:eastAsia="宋体" w:cs="宋体"/>
                <w:b/>
                <w:bCs/>
                <w:color w:val="000000"/>
                <w:sz w:val="21"/>
                <w:szCs w:val="21"/>
                <w:lang w:val="en-US" w:eastAsia="zh-CN"/>
              </w:rPr>
              <w:t>二</w:t>
            </w:r>
            <w:r>
              <w:rPr>
                <w:rFonts w:hint="eastAsia" w:ascii="宋体" w:hAnsi="宋体" w:eastAsia="宋体" w:cs="宋体"/>
                <w:b/>
                <w:bCs/>
                <w:color w:val="000000"/>
                <w:sz w:val="21"/>
                <w:szCs w:val="21"/>
              </w:rPr>
              <w:t>、</w:t>
            </w:r>
            <w:r>
              <w:rPr>
                <w:rFonts w:hint="eastAsia" w:ascii="宋体" w:hAnsi="宋体" w:eastAsia="宋体" w:cs="宋体"/>
                <w:b/>
                <w:bCs/>
                <w:color w:val="000000"/>
                <w:sz w:val="21"/>
                <w:szCs w:val="21"/>
                <w:lang w:val="en-US" w:eastAsia="zh-CN"/>
              </w:rPr>
              <w:t>技术参数响应</w:t>
            </w:r>
            <w:r>
              <w:rPr>
                <w:rFonts w:hint="eastAsia" w:ascii="宋体" w:hAnsi="宋体" w:eastAsia="宋体" w:cs="宋体"/>
                <w:b/>
                <w:bCs/>
                <w:color w:val="000000"/>
                <w:sz w:val="21"/>
                <w:szCs w:val="21"/>
              </w:rPr>
              <w:t>（</w:t>
            </w:r>
            <w:r>
              <w:rPr>
                <w:rFonts w:hint="eastAsia" w:ascii="宋体" w:hAnsi="宋体" w:eastAsia="宋体" w:cs="宋体"/>
                <w:b/>
                <w:bCs/>
                <w:color w:val="000000"/>
                <w:sz w:val="21"/>
                <w:szCs w:val="21"/>
                <w:lang w:val="en-US" w:eastAsia="zh-CN"/>
              </w:rPr>
              <w:t>30</w:t>
            </w:r>
            <w:r>
              <w:rPr>
                <w:rFonts w:hint="eastAsia" w:ascii="宋体" w:hAnsi="宋体" w:eastAsia="宋体" w:cs="宋体"/>
                <w:b/>
                <w:bCs/>
                <w:color w:val="000000"/>
                <w:sz w:val="21"/>
                <w:szCs w:val="21"/>
              </w:rPr>
              <w:t>分）</w:t>
            </w:r>
          </w:p>
        </w:tc>
      </w:tr>
      <w:tr w14:paraId="1C8E43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7" w:hRule="atLeast"/>
        </w:trPr>
        <w:tc>
          <w:tcPr>
            <w:tcW w:w="588" w:type="dxa"/>
            <w:noWrap w:val="0"/>
            <w:vAlign w:val="center"/>
          </w:tcPr>
          <w:p w14:paraId="4B09F3BE">
            <w:pPr>
              <w:jc w:val="center"/>
              <w:rPr>
                <w:rFonts w:hint="default" w:ascii="宋体" w:hAnsi="宋体" w:eastAsia="宋体" w:cs="宋体"/>
                <w:color w:val="FF0000"/>
                <w:sz w:val="21"/>
                <w:szCs w:val="21"/>
                <w:lang w:val="en-US" w:eastAsia="zh-CN"/>
              </w:rPr>
            </w:pPr>
            <w:r>
              <w:rPr>
                <w:rFonts w:hint="eastAsia" w:ascii="宋体" w:hAnsi="宋体" w:eastAsia="宋体" w:cs="宋体"/>
                <w:color w:val="000000"/>
                <w:sz w:val="21"/>
                <w:szCs w:val="21"/>
                <w:shd w:val="clear" w:color="auto" w:fill="auto"/>
                <w:lang w:val="en-US" w:eastAsia="zh-CN"/>
              </w:rPr>
              <w:t>2.1</w:t>
            </w:r>
          </w:p>
        </w:tc>
        <w:tc>
          <w:tcPr>
            <w:tcW w:w="914" w:type="dxa"/>
            <w:noWrap w:val="0"/>
            <w:vAlign w:val="center"/>
          </w:tcPr>
          <w:p w14:paraId="13FBB8B1">
            <w:pPr>
              <w:jc w:val="center"/>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技术</w:t>
            </w:r>
          </w:p>
          <w:p w14:paraId="3E415679">
            <w:pPr>
              <w:jc w:val="center"/>
              <w:rPr>
                <w:rFonts w:hint="default" w:ascii="宋体" w:hAnsi="宋体" w:eastAsia="宋体" w:cs="宋体"/>
                <w:color w:val="FF0000"/>
                <w:spacing w:val="8"/>
                <w:szCs w:val="21"/>
                <w:lang w:val="en-US" w:eastAsia="zh-CN"/>
              </w:rPr>
            </w:pPr>
            <w:r>
              <w:rPr>
                <w:rFonts w:hint="eastAsia" w:ascii="宋体" w:hAnsi="宋体" w:eastAsia="宋体" w:cs="宋体"/>
                <w:sz w:val="21"/>
                <w:szCs w:val="21"/>
                <w:lang w:val="en-US" w:eastAsia="zh-CN"/>
              </w:rPr>
              <w:t>参数</w:t>
            </w:r>
          </w:p>
        </w:tc>
        <w:tc>
          <w:tcPr>
            <w:tcW w:w="6832" w:type="dxa"/>
            <w:noWrap w:val="0"/>
            <w:vAlign w:val="center"/>
          </w:tcPr>
          <w:p w14:paraId="4C3670CD">
            <w:pPr>
              <w:spacing w:line="320" w:lineRule="exact"/>
              <w:ind w:firstLine="420" w:firstLineChars="200"/>
              <w:rPr>
                <w:rFonts w:hint="default" w:ascii="宋体" w:hAnsi="宋体" w:eastAsia="宋体" w:cs="宋体"/>
                <w:b w:val="0"/>
                <w:bCs w:val="0"/>
                <w:color w:val="FF0000"/>
                <w:sz w:val="21"/>
                <w:szCs w:val="21"/>
                <w:lang w:val="en-US" w:eastAsia="zh-CN"/>
              </w:rPr>
            </w:pPr>
            <w:r>
              <w:rPr>
                <w:rFonts w:hint="eastAsia" w:ascii="宋体" w:hAnsi="宋体" w:eastAsia="宋体" w:cs="宋体"/>
                <w:szCs w:val="21"/>
              </w:rPr>
              <w:t>根据</w:t>
            </w:r>
            <w:r>
              <w:rPr>
                <w:rFonts w:hint="eastAsia" w:ascii="宋体" w:hAnsi="宋体" w:eastAsia="宋体" w:cs="宋体"/>
                <w:szCs w:val="21"/>
                <w:lang w:val="en-US" w:eastAsia="zh-CN"/>
              </w:rPr>
              <w:t>投标文件</w:t>
            </w:r>
            <w:r>
              <w:rPr>
                <w:rFonts w:hint="eastAsia" w:ascii="宋体" w:hAnsi="宋体" w:eastAsia="宋体" w:cs="宋体"/>
                <w:szCs w:val="21"/>
              </w:rPr>
              <w:t>对</w:t>
            </w:r>
            <w:r>
              <w:rPr>
                <w:rFonts w:hint="eastAsia" w:ascii="宋体" w:hAnsi="宋体" w:eastAsia="宋体" w:cs="宋体"/>
                <w:szCs w:val="21"/>
                <w:lang w:val="en-US" w:eastAsia="zh-CN"/>
              </w:rPr>
              <w:t>项目</w:t>
            </w:r>
            <w:r>
              <w:rPr>
                <w:rFonts w:hint="eastAsia" w:ascii="宋体" w:hAnsi="宋体" w:eastAsia="宋体" w:cs="宋体"/>
                <w:szCs w:val="21"/>
              </w:rPr>
              <w:t>需求部分的响应程度进行评分：</w:t>
            </w:r>
            <w:r>
              <w:rPr>
                <w:rFonts w:hint="eastAsia" w:ascii="宋体" w:hAnsi="宋体" w:eastAsia="宋体" w:cs="宋体"/>
                <w:szCs w:val="21"/>
                <w:lang w:val="en-US" w:eastAsia="zh-CN"/>
              </w:rPr>
              <w:t>投标文件</w:t>
            </w:r>
            <w:r>
              <w:rPr>
                <w:rFonts w:hint="eastAsia" w:ascii="宋体" w:hAnsi="宋体" w:eastAsia="宋体" w:cs="宋体"/>
                <w:szCs w:val="21"/>
              </w:rPr>
              <w:t>中</w:t>
            </w:r>
            <w:r>
              <w:rPr>
                <w:rFonts w:hint="eastAsia" w:ascii="宋体" w:hAnsi="宋体" w:cs="宋体"/>
                <w:szCs w:val="21"/>
                <w:lang w:eastAsia="zh-CN"/>
              </w:rPr>
              <w:t>，</w:t>
            </w:r>
            <w:r>
              <w:rPr>
                <w:rFonts w:hint="eastAsia" w:ascii="宋体" w:hAnsi="宋体" w:eastAsia="宋体" w:cs="宋体"/>
                <w:szCs w:val="21"/>
                <w:lang w:val="en-US" w:eastAsia="zh-CN"/>
              </w:rPr>
              <w:t>完全满足采购文件的重要技术参数的得30分，最多得30分；标注“★”的技术条款均为实质性条款，负偏离将导致其投标文件作无效标处理，未标注“★”</w:t>
            </w:r>
            <w:r>
              <w:rPr>
                <w:rFonts w:hint="eastAsia" w:ascii="宋体" w:hAnsi="宋体" w:eastAsia="宋体" w:cs="宋体"/>
                <w:szCs w:val="21"/>
              </w:rPr>
              <w:t>技术参数每出现一项不满足</w:t>
            </w:r>
            <w:r>
              <w:rPr>
                <w:rFonts w:hint="eastAsia" w:ascii="宋体" w:hAnsi="宋体" w:cs="宋体"/>
                <w:szCs w:val="21"/>
                <w:lang w:val="en-US" w:eastAsia="zh-CN"/>
              </w:rPr>
              <w:t>采购</w:t>
            </w:r>
            <w:r>
              <w:rPr>
                <w:rFonts w:hint="eastAsia" w:ascii="宋体" w:hAnsi="宋体" w:eastAsia="宋体" w:cs="宋体"/>
                <w:szCs w:val="21"/>
                <w:lang w:val="en-US" w:eastAsia="zh-CN"/>
              </w:rPr>
              <w:t>文件</w:t>
            </w:r>
            <w:r>
              <w:rPr>
                <w:rFonts w:hint="eastAsia" w:ascii="宋体" w:hAnsi="宋体" w:eastAsia="宋体" w:cs="宋体"/>
                <w:szCs w:val="21"/>
              </w:rPr>
              <w:t>要求</w:t>
            </w:r>
            <w:r>
              <w:rPr>
                <w:rFonts w:hint="eastAsia" w:ascii="宋体" w:hAnsi="宋体" w:eastAsia="宋体" w:cs="宋体"/>
                <w:szCs w:val="21"/>
                <w:lang w:val="en-US" w:eastAsia="zh-CN"/>
              </w:rPr>
              <w:t>的</w:t>
            </w:r>
            <w:r>
              <w:rPr>
                <w:rFonts w:hint="eastAsia" w:ascii="宋体" w:hAnsi="宋体" w:cs="宋体"/>
                <w:szCs w:val="21"/>
                <w:lang w:val="en-US" w:eastAsia="zh-CN"/>
              </w:rPr>
              <w:t>，</w:t>
            </w:r>
            <w:r>
              <w:rPr>
                <w:rFonts w:hint="eastAsia" w:ascii="宋体" w:hAnsi="宋体" w:eastAsia="宋体" w:cs="宋体"/>
                <w:szCs w:val="21"/>
                <w:lang w:val="en-US" w:eastAsia="zh-CN"/>
              </w:rPr>
              <w:t>有一项</w:t>
            </w:r>
            <w:r>
              <w:rPr>
                <w:rFonts w:hint="eastAsia" w:ascii="宋体" w:hAnsi="宋体" w:eastAsia="宋体" w:cs="宋体"/>
                <w:szCs w:val="21"/>
              </w:rPr>
              <w:t>扣减</w:t>
            </w:r>
            <w:r>
              <w:rPr>
                <w:rFonts w:hint="eastAsia" w:ascii="宋体" w:hAnsi="宋体" w:eastAsia="宋体" w:cs="宋体"/>
                <w:szCs w:val="21"/>
                <w:lang w:val="en-US" w:eastAsia="zh-CN"/>
              </w:rPr>
              <w:t>0.5</w:t>
            </w:r>
            <w:r>
              <w:rPr>
                <w:rFonts w:hint="eastAsia" w:ascii="宋体" w:hAnsi="宋体" w:eastAsia="宋体" w:cs="宋体"/>
                <w:szCs w:val="21"/>
              </w:rPr>
              <w:t>分</w:t>
            </w:r>
            <w:r>
              <w:rPr>
                <w:rFonts w:hint="eastAsia" w:ascii="宋体" w:hAnsi="宋体" w:eastAsia="宋体" w:cs="宋体"/>
                <w:szCs w:val="21"/>
                <w:lang w:eastAsia="zh-CN"/>
              </w:rPr>
              <w:t>，</w:t>
            </w:r>
            <w:r>
              <w:rPr>
                <w:rFonts w:hint="eastAsia" w:ascii="宋体" w:hAnsi="宋体" w:eastAsia="宋体" w:cs="宋体"/>
                <w:szCs w:val="21"/>
              </w:rPr>
              <w:t>扣完为止。</w:t>
            </w:r>
          </w:p>
        </w:tc>
        <w:tc>
          <w:tcPr>
            <w:tcW w:w="877" w:type="dxa"/>
            <w:noWrap w:val="0"/>
            <w:vAlign w:val="center"/>
          </w:tcPr>
          <w:p w14:paraId="616045AA">
            <w:pPr>
              <w:jc w:val="center"/>
              <w:rPr>
                <w:rFonts w:hint="default" w:ascii="宋体" w:hAnsi="宋体" w:eastAsia="宋体" w:cs="宋体"/>
                <w:color w:val="FF0000"/>
                <w:sz w:val="21"/>
                <w:szCs w:val="21"/>
                <w:lang w:val="en-US" w:eastAsia="zh-CN"/>
              </w:rPr>
            </w:pPr>
            <w:r>
              <w:rPr>
                <w:rFonts w:hint="eastAsia" w:ascii="宋体" w:hAnsi="宋体" w:eastAsia="宋体" w:cs="宋体"/>
                <w:color w:val="0D0D0D"/>
                <w:sz w:val="21"/>
                <w:szCs w:val="21"/>
                <w:lang w:val="en-US" w:eastAsia="zh-CN"/>
              </w:rPr>
              <w:t>30分</w:t>
            </w:r>
          </w:p>
        </w:tc>
      </w:tr>
      <w:tr w14:paraId="11381D8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7" w:hRule="atLeast"/>
        </w:trPr>
        <w:tc>
          <w:tcPr>
            <w:tcW w:w="9211" w:type="dxa"/>
            <w:gridSpan w:val="4"/>
            <w:noWrap w:val="0"/>
            <w:vAlign w:val="center"/>
          </w:tcPr>
          <w:p w14:paraId="02E86009">
            <w:pPr>
              <w:jc w:val="center"/>
              <w:rPr>
                <w:rFonts w:hint="default" w:ascii="宋体" w:hAnsi="宋体" w:eastAsia="宋体" w:cs="宋体"/>
                <w:sz w:val="21"/>
                <w:szCs w:val="21"/>
                <w:lang w:val="en-US" w:eastAsia="zh-CN"/>
              </w:rPr>
            </w:pPr>
            <w:r>
              <w:rPr>
                <w:rFonts w:hint="eastAsia" w:ascii="宋体" w:hAnsi="宋体" w:eastAsia="宋体" w:cs="宋体"/>
                <w:b/>
                <w:bCs/>
                <w:color w:val="000000"/>
                <w:sz w:val="21"/>
                <w:szCs w:val="21"/>
                <w:lang w:val="en-US" w:eastAsia="zh-CN"/>
              </w:rPr>
              <w:t>三、企业综合实力</w:t>
            </w:r>
          </w:p>
        </w:tc>
      </w:tr>
      <w:tr w14:paraId="5461FF4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7" w:hRule="atLeast"/>
        </w:trPr>
        <w:tc>
          <w:tcPr>
            <w:tcW w:w="588" w:type="dxa"/>
            <w:noWrap w:val="0"/>
            <w:vAlign w:val="center"/>
          </w:tcPr>
          <w:p w14:paraId="01A40BB9">
            <w:pPr>
              <w:jc w:val="center"/>
              <w:rPr>
                <w:rFonts w:hint="default" w:ascii="宋体" w:hAnsi="宋体" w:eastAsia="宋体" w:cs="宋体"/>
                <w:sz w:val="21"/>
                <w:szCs w:val="21"/>
                <w:lang w:val="en-US" w:eastAsia="zh-CN"/>
              </w:rPr>
            </w:pPr>
            <w:r>
              <w:rPr>
                <w:rFonts w:hint="eastAsia" w:ascii="宋体" w:hAnsi="宋体" w:eastAsia="宋体" w:cs="宋体"/>
                <w:sz w:val="21"/>
                <w:szCs w:val="21"/>
                <w:lang w:val="en-US" w:eastAsia="zh-CN"/>
              </w:rPr>
              <w:t>3.1</w:t>
            </w:r>
          </w:p>
        </w:tc>
        <w:tc>
          <w:tcPr>
            <w:tcW w:w="914" w:type="dxa"/>
            <w:noWrap w:val="0"/>
            <w:vAlign w:val="center"/>
          </w:tcPr>
          <w:p w14:paraId="7C3AE4BD">
            <w:pPr>
              <w:keepNext w:val="0"/>
              <w:keepLines w:val="0"/>
              <w:widowControl/>
              <w:suppressLineNumbers w:val="0"/>
              <w:jc w:val="center"/>
              <w:rPr>
                <w:rFonts w:hint="eastAsia" w:ascii="宋体" w:hAnsi="宋体" w:eastAsia="宋体" w:cs="宋体"/>
                <w:sz w:val="21"/>
                <w:szCs w:val="21"/>
              </w:rPr>
            </w:pPr>
            <w:r>
              <w:rPr>
                <w:rFonts w:hint="eastAsia" w:ascii="宋体" w:hAnsi="宋体" w:eastAsia="宋体" w:cs="宋体"/>
                <w:szCs w:val="21"/>
                <w:lang w:val="en-US" w:eastAsia="zh-CN"/>
              </w:rPr>
              <w:t>业绩</w:t>
            </w:r>
          </w:p>
        </w:tc>
        <w:tc>
          <w:tcPr>
            <w:tcW w:w="6832" w:type="dxa"/>
            <w:noWrap w:val="0"/>
            <w:vAlign w:val="center"/>
          </w:tcPr>
          <w:p w14:paraId="204974EE">
            <w:pPr>
              <w:keepNext w:val="0"/>
              <w:keepLines w:val="0"/>
              <w:widowControl/>
              <w:suppressLineNumbers w:val="0"/>
              <w:jc w:val="left"/>
              <w:rPr>
                <w:rFonts w:hint="eastAsia" w:ascii="宋体" w:hAnsi="宋体" w:eastAsia="宋体" w:cs="宋体"/>
                <w:sz w:val="21"/>
                <w:szCs w:val="21"/>
              </w:rPr>
            </w:pPr>
            <w:r>
              <w:rPr>
                <w:rFonts w:hint="eastAsia" w:ascii="宋体" w:hAnsi="宋体" w:eastAsia="宋体" w:cs="宋体"/>
                <w:szCs w:val="21"/>
                <w:lang w:val="en-US" w:eastAsia="zh-CN"/>
              </w:rPr>
              <w:t>提供自2023年1月1日（以合同签订时间为准）以来承担过救护车项目业绩合同的</w:t>
            </w:r>
            <w:r>
              <w:rPr>
                <w:rFonts w:hint="eastAsia" w:ascii="宋体" w:hAnsi="宋体" w:cs="宋体"/>
                <w:szCs w:val="21"/>
                <w:lang w:val="en-US" w:eastAsia="zh-CN"/>
              </w:rPr>
              <w:t>，投标人或产品制造商的业绩均予认可，</w:t>
            </w:r>
            <w:r>
              <w:rPr>
                <w:rFonts w:hint="eastAsia" w:ascii="宋体" w:hAnsi="宋体" w:eastAsia="宋体" w:cs="宋体"/>
                <w:szCs w:val="21"/>
                <w:lang w:val="en-US" w:eastAsia="zh-CN"/>
              </w:rPr>
              <w:t>每提供一份得2</w:t>
            </w:r>
            <w:r>
              <w:rPr>
                <w:rFonts w:hint="eastAsia" w:ascii="宋体" w:hAnsi="宋体" w:cs="宋体"/>
                <w:szCs w:val="21"/>
                <w:lang w:val="en-US" w:eastAsia="zh-CN"/>
              </w:rPr>
              <w:t>.5</w:t>
            </w:r>
            <w:r>
              <w:rPr>
                <w:rFonts w:hint="eastAsia" w:ascii="宋体" w:hAnsi="宋体" w:eastAsia="宋体" w:cs="宋体"/>
                <w:szCs w:val="21"/>
                <w:lang w:val="en-US" w:eastAsia="zh-CN"/>
              </w:rPr>
              <w:t>分</w:t>
            </w:r>
            <w:r>
              <w:rPr>
                <w:rFonts w:hint="eastAsia" w:ascii="宋体" w:hAnsi="宋体" w:cs="宋体"/>
                <w:szCs w:val="21"/>
                <w:lang w:val="en-US" w:eastAsia="zh-CN"/>
              </w:rPr>
              <w:t>，</w:t>
            </w:r>
            <w:r>
              <w:rPr>
                <w:rFonts w:hint="eastAsia" w:ascii="宋体" w:hAnsi="宋体" w:eastAsia="宋体" w:cs="宋体"/>
                <w:szCs w:val="21"/>
                <w:lang w:val="en-US" w:eastAsia="zh-CN"/>
              </w:rPr>
              <w:t>最高得</w:t>
            </w:r>
            <w:r>
              <w:rPr>
                <w:rFonts w:hint="eastAsia" w:ascii="宋体" w:hAnsi="宋体" w:cs="宋体"/>
                <w:szCs w:val="21"/>
                <w:lang w:val="en-US" w:eastAsia="zh-CN"/>
              </w:rPr>
              <w:t>5</w:t>
            </w:r>
            <w:r>
              <w:rPr>
                <w:rFonts w:hint="eastAsia" w:ascii="宋体" w:hAnsi="宋体" w:eastAsia="宋体" w:cs="宋体"/>
                <w:szCs w:val="21"/>
                <w:lang w:val="en-US" w:eastAsia="zh-CN"/>
              </w:rPr>
              <w:t>分。                                            注：投标时需提供合同原件彩色扫描件，合同中必须体现甲乙双方单位名称，否则不予认可。</w:t>
            </w:r>
          </w:p>
        </w:tc>
        <w:tc>
          <w:tcPr>
            <w:tcW w:w="877" w:type="dxa"/>
            <w:noWrap w:val="0"/>
            <w:vAlign w:val="center"/>
          </w:tcPr>
          <w:p w14:paraId="5115E2A7">
            <w:pPr>
              <w:jc w:val="center"/>
              <w:rPr>
                <w:rFonts w:hint="eastAsia" w:ascii="宋体" w:hAnsi="宋体" w:eastAsia="宋体" w:cs="宋体"/>
                <w:sz w:val="21"/>
                <w:szCs w:val="21"/>
              </w:rPr>
            </w:pPr>
            <w:r>
              <w:rPr>
                <w:rFonts w:hint="eastAsia" w:ascii="宋体" w:hAnsi="宋体" w:cs="宋体"/>
                <w:sz w:val="21"/>
                <w:szCs w:val="21"/>
                <w:lang w:val="en-US" w:eastAsia="zh-CN"/>
              </w:rPr>
              <w:t>5</w:t>
            </w:r>
            <w:r>
              <w:rPr>
                <w:rFonts w:hint="eastAsia" w:ascii="宋体" w:hAnsi="宋体" w:eastAsia="宋体" w:cs="宋体"/>
                <w:sz w:val="21"/>
                <w:szCs w:val="21"/>
              </w:rPr>
              <w:t>分</w:t>
            </w:r>
          </w:p>
        </w:tc>
      </w:tr>
      <w:tr w14:paraId="625947C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7" w:hRule="atLeast"/>
        </w:trPr>
        <w:tc>
          <w:tcPr>
            <w:tcW w:w="588" w:type="dxa"/>
            <w:noWrap w:val="0"/>
            <w:vAlign w:val="center"/>
          </w:tcPr>
          <w:p w14:paraId="03C80000">
            <w:pPr>
              <w:jc w:val="center"/>
              <w:rPr>
                <w:rFonts w:hint="default" w:ascii="宋体" w:hAnsi="宋体" w:eastAsia="宋体" w:cs="宋体"/>
                <w:sz w:val="21"/>
                <w:szCs w:val="21"/>
                <w:lang w:val="en-US"/>
              </w:rPr>
            </w:pPr>
            <w:r>
              <w:rPr>
                <w:rFonts w:hint="eastAsia" w:ascii="宋体" w:hAnsi="宋体" w:eastAsia="宋体" w:cs="宋体"/>
                <w:sz w:val="21"/>
                <w:szCs w:val="21"/>
                <w:lang w:val="en-US" w:eastAsia="zh-CN"/>
              </w:rPr>
              <w:t>3.2</w:t>
            </w:r>
          </w:p>
        </w:tc>
        <w:tc>
          <w:tcPr>
            <w:tcW w:w="914" w:type="dxa"/>
            <w:noWrap w:val="0"/>
            <w:vAlign w:val="center"/>
          </w:tcPr>
          <w:p w14:paraId="7307B856">
            <w:pPr>
              <w:keepNext w:val="0"/>
              <w:keepLines w:val="0"/>
              <w:widowControl/>
              <w:suppressLineNumbers w:val="0"/>
              <w:jc w:val="center"/>
              <w:rPr>
                <w:rFonts w:hint="eastAsia" w:ascii="宋体" w:hAnsi="宋体" w:eastAsia="宋体" w:cs="宋体"/>
                <w:szCs w:val="21"/>
                <w:lang w:val="en-US" w:eastAsia="zh-CN"/>
              </w:rPr>
            </w:pPr>
            <w:r>
              <w:rPr>
                <w:rFonts w:hint="eastAsia" w:ascii="宋体" w:hAnsi="宋体" w:eastAsia="宋体" w:cs="宋体"/>
                <w:szCs w:val="21"/>
                <w:lang w:val="en-US" w:eastAsia="zh-CN"/>
              </w:rPr>
              <w:t>认证</w:t>
            </w:r>
          </w:p>
          <w:p w14:paraId="30D33DE9">
            <w:pPr>
              <w:keepNext w:val="0"/>
              <w:keepLines w:val="0"/>
              <w:widowControl/>
              <w:suppressLineNumbers w:val="0"/>
              <w:jc w:val="center"/>
              <w:rPr>
                <w:rFonts w:hint="eastAsia" w:ascii="宋体" w:hAnsi="宋体" w:eastAsia="宋体" w:cs="宋体"/>
                <w:sz w:val="21"/>
                <w:szCs w:val="21"/>
              </w:rPr>
            </w:pPr>
            <w:r>
              <w:rPr>
                <w:rFonts w:hint="eastAsia" w:ascii="宋体" w:hAnsi="宋体" w:eastAsia="宋体" w:cs="宋体"/>
                <w:szCs w:val="21"/>
                <w:lang w:val="en-US" w:eastAsia="zh-CN"/>
              </w:rPr>
              <w:t>体系</w:t>
            </w:r>
          </w:p>
        </w:tc>
        <w:tc>
          <w:tcPr>
            <w:tcW w:w="6832" w:type="dxa"/>
            <w:noWrap w:val="0"/>
            <w:vAlign w:val="center"/>
          </w:tcPr>
          <w:p w14:paraId="57349E09">
            <w:pPr>
              <w:keepNext w:val="0"/>
              <w:keepLines w:val="0"/>
              <w:widowControl/>
              <w:suppressLineNumbers w:val="0"/>
              <w:jc w:val="left"/>
              <w:rPr>
                <w:rFonts w:hint="eastAsia" w:ascii="宋体" w:hAnsi="宋体" w:eastAsia="宋体" w:cs="宋体"/>
                <w:szCs w:val="21"/>
                <w:lang w:val="en-US" w:eastAsia="zh-CN"/>
              </w:rPr>
            </w:pPr>
            <w:r>
              <w:rPr>
                <w:rFonts w:hint="eastAsia" w:ascii="宋体" w:hAnsi="宋体" w:eastAsia="宋体" w:cs="宋体"/>
                <w:szCs w:val="21"/>
                <w:lang w:val="en-US" w:eastAsia="zh-CN"/>
              </w:rPr>
              <w:t>投标人提供有效的并可在全国认证认可信息公共服务平台官网查询的下列证书的：</w:t>
            </w:r>
            <w:r>
              <w:rPr>
                <w:rFonts w:hint="eastAsia" w:ascii="宋体" w:hAnsi="宋体" w:eastAsia="宋体" w:cs="宋体"/>
                <w:szCs w:val="21"/>
                <w:lang w:val="en-US" w:eastAsia="zh-CN"/>
              </w:rPr>
              <w:br w:type="textWrapping"/>
            </w:r>
            <w:r>
              <w:rPr>
                <w:rFonts w:hint="eastAsia" w:ascii="宋体" w:hAnsi="宋体" w:eastAsia="宋体" w:cs="宋体"/>
                <w:szCs w:val="21"/>
                <w:lang w:val="en-US" w:eastAsia="zh-CN"/>
              </w:rPr>
              <w:t>①投标人具有有效的质量管理体系认证证书得1分；</w:t>
            </w:r>
            <w:r>
              <w:rPr>
                <w:rFonts w:hint="eastAsia" w:ascii="宋体" w:hAnsi="宋体" w:eastAsia="宋体" w:cs="宋体"/>
                <w:szCs w:val="21"/>
                <w:lang w:val="en-US" w:eastAsia="zh-CN"/>
              </w:rPr>
              <w:br w:type="textWrapping"/>
            </w:r>
            <w:r>
              <w:rPr>
                <w:rFonts w:hint="eastAsia" w:ascii="宋体" w:hAnsi="宋体" w:eastAsia="宋体" w:cs="宋体"/>
                <w:szCs w:val="21"/>
                <w:lang w:val="en-US" w:eastAsia="zh-CN"/>
              </w:rPr>
              <w:t>②投标人具有有效的环境管理体系认证证书得1分；</w:t>
            </w:r>
            <w:r>
              <w:rPr>
                <w:rFonts w:hint="eastAsia" w:ascii="宋体" w:hAnsi="宋体" w:eastAsia="宋体" w:cs="宋体"/>
                <w:szCs w:val="21"/>
                <w:lang w:val="en-US" w:eastAsia="zh-CN"/>
              </w:rPr>
              <w:br w:type="textWrapping"/>
            </w:r>
            <w:r>
              <w:rPr>
                <w:rFonts w:hint="eastAsia" w:ascii="宋体" w:hAnsi="宋体" w:eastAsia="宋体" w:cs="宋体"/>
                <w:szCs w:val="21"/>
                <w:lang w:val="en-US" w:eastAsia="zh-CN"/>
              </w:rPr>
              <w:t>③投标人具有有效的职业健康安全管理体系认证证书得1分。</w:t>
            </w:r>
          </w:p>
          <w:p w14:paraId="59BB16C1">
            <w:pPr>
              <w:keepNext w:val="0"/>
              <w:keepLines w:val="0"/>
              <w:widowControl/>
              <w:suppressLineNumbers w:val="0"/>
              <w:jc w:val="left"/>
              <w:rPr>
                <w:rFonts w:hint="eastAsia" w:ascii="宋体" w:hAnsi="宋体" w:eastAsia="宋体" w:cs="宋体"/>
                <w:b/>
                <w:bCs/>
                <w:color w:val="FF0000"/>
                <w:sz w:val="21"/>
                <w:szCs w:val="21"/>
              </w:rPr>
            </w:pPr>
            <w:r>
              <w:rPr>
                <w:rFonts w:hint="eastAsia" w:ascii="宋体" w:hAnsi="宋体" w:eastAsia="宋体" w:cs="宋体"/>
                <w:szCs w:val="21"/>
                <w:lang w:val="en-US" w:eastAsia="zh-CN"/>
              </w:rPr>
              <w:t xml:space="preserve">   </w:t>
            </w:r>
            <w:r>
              <w:rPr>
                <w:rFonts w:hint="eastAsia" w:ascii="宋体" w:hAnsi="宋体" w:eastAsia="宋体" w:cs="宋体"/>
                <w:b/>
                <w:bCs/>
                <w:szCs w:val="21"/>
                <w:lang w:val="en-US" w:eastAsia="zh-CN"/>
              </w:rPr>
              <w:t xml:space="preserve"> 注：投标人须同时提供相关认证证书的原件彩色扫描件和全国认证认可信息公共服务平台官网（网址：http://cx.cnca.cn/）查询截图，未按要求提供的或未提供的不得分。</w:t>
            </w:r>
          </w:p>
        </w:tc>
        <w:tc>
          <w:tcPr>
            <w:tcW w:w="877" w:type="dxa"/>
            <w:noWrap w:val="0"/>
            <w:vAlign w:val="center"/>
          </w:tcPr>
          <w:p w14:paraId="2D641D8A">
            <w:pPr>
              <w:jc w:val="center"/>
              <w:rPr>
                <w:rFonts w:hint="eastAsia" w:ascii="宋体" w:hAnsi="宋体" w:eastAsia="宋体" w:cs="宋体"/>
                <w:sz w:val="21"/>
                <w:szCs w:val="21"/>
              </w:rPr>
            </w:pPr>
            <w:r>
              <w:rPr>
                <w:rFonts w:hint="eastAsia" w:ascii="宋体" w:hAnsi="宋体" w:eastAsia="宋体" w:cs="宋体"/>
                <w:sz w:val="21"/>
                <w:szCs w:val="21"/>
                <w:lang w:val="en-US" w:eastAsia="zh-CN"/>
              </w:rPr>
              <w:t>3</w:t>
            </w:r>
            <w:r>
              <w:rPr>
                <w:rFonts w:hint="eastAsia" w:ascii="宋体" w:hAnsi="宋体" w:eastAsia="宋体" w:cs="宋体"/>
                <w:sz w:val="21"/>
                <w:szCs w:val="21"/>
              </w:rPr>
              <w:t>分</w:t>
            </w:r>
          </w:p>
        </w:tc>
      </w:tr>
      <w:tr w14:paraId="59026C1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7" w:hRule="atLeast"/>
        </w:trPr>
        <w:tc>
          <w:tcPr>
            <w:tcW w:w="9211" w:type="dxa"/>
            <w:gridSpan w:val="4"/>
            <w:noWrap w:val="0"/>
            <w:vAlign w:val="center"/>
          </w:tcPr>
          <w:p w14:paraId="348CAD01">
            <w:pPr>
              <w:jc w:val="center"/>
              <w:rPr>
                <w:rFonts w:hint="eastAsia" w:ascii="宋体" w:hAnsi="宋体" w:eastAsia="宋体" w:cs="宋体"/>
                <w:sz w:val="21"/>
                <w:szCs w:val="21"/>
              </w:rPr>
            </w:pPr>
            <w:r>
              <w:rPr>
                <w:rFonts w:hint="eastAsia" w:ascii="宋体" w:hAnsi="宋体" w:eastAsia="宋体" w:cs="宋体"/>
                <w:b/>
                <w:bCs/>
                <w:sz w:val="21"/>
                <w:szCs w:val="21"/>
                <w:lang w:val="en-US" w:eastAsia="zh-CN"/>
              </w:rPr>
              <w:t>三、技术方案（30分）</w:t>
            </w:r>
          </w:p>
        </w:tc>
      </w:tr>
      <w:tr w14:paraId="2242059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7" w:hRule="atLeast"/>
        </w:trPr>
        <w:tc>
          <w:tcPr>
            <w:tcW w:w="588" w:type="dxa"/>
            <w:noWrap w:val="0"/>
            <w:vAlign w:val="center"/>
          </w:tcPr>
          <w:p w14:paraId="4FE7DF75">
            <w:pPr>
              <w:jc w:val="center"/>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3.1</w:t>
            </w:r>
          </w:p>
        </w:tc>
        <w:tc>
          <w:tcPr>
            <w:tcW w:w="914" w:type="dxa"/>
            <w:noWrap w:val="0"/>
            <w:vAlign w:val="center"/>
          </w:tcPr>
          <w:p w14:paraId="7CF0E639">
            <w:pPr>
              <w:jc w:val="center"/>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服务</w:t>
            </w:r>
          </w:p>
          <w:p w14:paraId="560F9DBA">
            <w:pPr>
              <w:jc w:val="center"/>
              <w:rPr>
                <w:rFonts w:hint="eastAsia" w:ascii="宋体" w:hAnsi="宋体" w:eastAsia="宋体" w:cs="宋体"/>
                <w:sz w:val="21"/>
                <w:szCs w:val="21"/>
                <w:lang w:val="zh-CN"/>
              </w:rPr>
            </w:pPr>
            <w:r>
              <w:rPr>
                <w:rFonts w:hint="eastAsia" w:ascii="宋体" w:hAnsi="宋体" w:eastAsia="宋体" w:cs="宋体"/>
                <w:sz w:val="21"/>
                <w:szCs w:val="21"/>
                <w:lang w:val="zh-CN"/>
              </w:rPr>
              <w:t>保障</w:t>
            </w:r>
          </w:p>
          <w:p w14:paraId="68345FA6">
            <w:pPr>
              <w:jc w:val="center"/>
              <w:rPr>
                <w:rFonts w:hint="eastAsia" w:ascii="宋体" w:hAnsi="宋体" w:eastAsia="宋体" w:cs="宋体"/>
                <w:spacing w:val="8"/>
                <w:sz w:val="21"/>
                <w:szCs w:val="21"/>
              </w:rPr>
            </w:pPr>
            <w:r>
              <w:rPr>
                <w:rFonts w:hint="eastAsia" w:ascii="宋体" w:hAnsi="宋体" w:eastAsia="宋体" w:cs="宋体"/>
                <w:sz w:val="21"/>
                <w:szCs w:val="21"/>
                <w:lang w:val="zh-CN"/>
              </w:rPr>
              <w:t>方案</w:t>
            </w:r>
          </w:p>
        </w:tc>
        <w:tc>
          <w:tcPr>
            <w:tcW w:w="6832" w:type="dxa"/>
            <w:noWrap w:val="0"/>
            <w:vAlign w:val="center"/>
          </w:tcPr>
          <w:p w14:paraId="4E5F6B14">
            <w:pPr>
              <w:widowControl/>
              <w:numPr>
                <w:ilvl w:val="0"/>
                <w:numId w:val="0"/>
              </w:numPr>
              <w:jc w:val="left"/>
              <w:textAlignment w:val="center"/>
              <w:rPr>
                <w:rFonts w:hint="eastAsia" w:ascii="宋体" w:hAnsi="宋体" w:eastAsia="宋体" w:cs="宋体"/>
                <w:spacing w:val="8"/>
                <w:szCs w:val="21"/>
                <w:lang w:val="en-US" w:eastAsia="zh-CN"/>
              </w:rPr>
            </w:pPr>
            <w:r>
              <w:rPr>
                <w:rFonts w:hint="eastAsia" w:ascii="宋体" w:hAnsi="宋体" w:eastAsia="宋体" w:cs="宋体"/>
                <w:spacing w:val="8"/>
                <w:szCs w:val="21"/>
                <w:lang w:val="en-US" w:eastAsia="zh-CN"/>
              </w:rPr>
              <w:t>服务保障方案（</w:t>
            </w:r>
            <w:r>
              <w:rPr>
                <w:rFonts w:hint="eastAsia" w:ascii="宋体" w:hAnsi="宋体" w:cs="宋体"/>
                <w:spacing w:val="8"/>
                <w:szCs w:val="21"/>
                <w:lang w:val="en-US" w:eastAsia="zh-CN"/>
              </w:rPr>
              <w:t>6</w:t>
            </w:r>
            <w:r>
              <w:rPr>
                <w:rFonts w:hint="eastAsia" w:ascii="宋体" w:hAnsi="宋体" w:eastAsia="宋体" w:cs="宋体"/>
                <w:spacing w:val="8"/>
                <w:szCs w:val="21"/>
                <w:lang w:val="en-US" w:eastAsia="zh-CN"/>
              </w:rPr>
              <w:t>分）：</w:t>
            </w:r>
          </w:p>
          <w:p w14:paraId="2F1B6A6D">
            <w:pPr>
              <w:widowControl/>
              <w:numPr>
                <w:ilvl w:val="0"/>
                <w:numId w:val="0"/>
              </w:numPr>
              <w:ind w:firstLine="452" w:firstLineChars="200"/>
              <w:jc w:val="left"/>
              <w:textAlignment w:val="center"/>
              <w:rPr>
                <w:rFonts w:hint="eastAsia" w:ascii="宋体" w:hAnsi="宋体" w:eastAsia="宋体" w:cs="宋体"/>
                <w:spacing w:val="8"/>
                <w:szCs w:val="21"/>
                <w:lang w:val="en-US" w:eastAsia="zh-CN"/>
              </w:rPr>
            </w:pPr>
            <w:r>
              <w:rPr>
                <w:rFonts w:hint="eastAsia" w:ascii="宋体" w:hAnsi="宋体" w:eastAsia="宋体" w:cs="宋体"/>
                <w:spacing w:val="8"/>
                <w:szCs w:val="21"/>
                <w:lang w:val="en-US" w:eastAsia="zh-CN"/>
              </w:rPr>
              <w:t>投标人应根据采购需求和本项目的特点制定</w:t>
            </w:r>
            <w:r>
              <w:rPr>
                <w:rFonts w:hint="eastAsia" w:ascii="宋体" w:hAnsi="宋体" w:eastAsia="宋体" w:cs="宋体"/>
                <w:spacing w:val="8"/>
                <w:szCs w:val="21"/>
                <w:lang w:val="zh-CN" w:eastAsia="zh-CN"/>
              </w:rPr>
              <w:t>服务保障方案，</w:t>
            </w:r>
            <w:r>
              <w:rPr>
                <w:rFonts w:hint="eastAsia" w:ascii="宋体" w:hAnsi="宋体" w:eastAsia="宋体" w:cs="宋体"/>
                <w:spacing w:val="8"/>
                <w:szCs w:val="21"/>
                <w:lang w:val="en-US" w:eastAsia="zh-CN"/>
              </w:rPr>
              <w:t>方案</w:t>
            </w:r>
            <w:r>
              <w:rPr>
                <w:rFonts w:hint="eastAsia" w:ascii="宋体" w:hAnsi="宋体" w:eastAsia="宋体" w:cs="宋体"/>
                <w:spacing w:val="8"/>
                <w:szCs w:val="21"/>
                <w:lang w:val="zh-CN" w:eastAsia="zh-CN"/>
              </w:rPr>
              <w:t>包括</w:t>
            </w:r>
            <w:r>
              <w:rPr>
                <w:rFonts w:hint="eastAsia" w:ascii="宋体" w:hAnsi="宋体" w:eastAsia="宋体" w:cs="宋体"/>
                <w:spacing w:val="8"/>
                <w:szCs w:val="21"/>
                <w:lang w:val="en-US" w:eastAsia="zh-CN"/>
              </w:rPr>
              <w:t>但不限于以下内容：</w:t>
            </w:r>
          </w:p>
          <w:p w14:paraId="5DF972E7">
            <w:pPr>
              <w:numPr>
                <w:ilvl w:val="0"/>
                <w:numId w:val="0"/>
              </w:numPr>
              <w:autoSpaceDE w:val="0"/>
              <w:autoSpaceDN w:val="0"/>
              <w:adjustRightInd w:val="0"/>
              <w:spacing w:line="300" w:lineRule="exact"/>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1.专属固定项目组织架构与专人驻场对接方案；</w:t>
            </w:r>
          </w:p>
          <w:p w14:paraId="75CF4398">
            <w:pPr>
              <w:numPr>
                <w:ilvl w:val="0"/>
                <w:numId w:val="0"/>
              </w:numPr>
              <w:autoSpaceDE w:val="0"/>
              <w:autoSpaceDN w:val="0"/>
              <w:adjustRightInd w:val="0"/>
              <w:spacing w:line="300" w:lineRule="exact"/>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2.原厂整车品牌直供与全链条溯源管控方案；</w:t>
            </w:r>
          </w:p>
          <w:p w14:paraId="68C1C191">
            <w:pPr>
              <w:numPr>
                <w:ilvl w:val="0"/>
                <w:numId w:val="0"/>
              </w:numPr>
              <w:autoSpaceDE w:val="0"/>
              <w:autoSpaceDN w:val="0"/>
              <w:adjustRightInd w:val="0"/>
              <w:spacing w:line="300" w:lineRule="exact"/>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3.交付进度分段管控方案；</w:t>
            </w:r>
          </w:p>
          <w:p w14:paraId="0F2E227A">
            <w:pPr>
              <w:numPr>
                <w:ilvl w:val="0"/>
                <w:numId w:val="0"/>
              </w:numPr>
              <w:autoSpaceDE w:val="0"/>
              <w:autoSpaceDN w:val="0"/>
              <w:adjustRightInd w:val="0"/>
              <w:spacing w:line="300" w:lineRule="exact"/>
              <w:rPr>
                <w:rFonts w:hint="default" w:ascii="宋体" w:hAnsi="宋体" w:eastAsia="宋体" w:cs="宋体"/>
                <w:sz w:val="21"/>
                <w:szCs w:val="21"/>
                <w:lang w:val="en-US" w:eastAsia="zh-CN"/>
              </w:rPr>
            </w:pPr>
            <w:r>
              <w:rPr>
                <w:rFonts w:hint="eastAsia" w:ascii="宋体" w:hAnsi="宋体" w:eastAsia="宋体" w:cs="宋体"/>
                <w:sz w:val="21"/>
                <w:szCs w:val="21"/>
                <w:lang w:val="en-US" w:eastAsia="zh-CN"/>
              </w:rPr>
              <w:t>4.标准化验收、对账、资料移交闭环管理方案；</w:t>
            </w:r>
          </w:p>
          <w:p w14:paraId="1610163A">
            <w:pPr>
              <w:widowControl/>
              <w:numPr>
                <w:ilvl w:val="0"/>
                <w:numId w:val="0"/>
              </w:numPr>
              <w:ind w:firstLine="452" w:firstLineChars="200"/>
              <w:jc w:val="left"/>
              <w:textAlignment w:val="center"/>
              <w:rPr>
                <w:rFonts w:hint="eastAsia" w:ascii="宋体" w:hAnsi="宋体" w:eastAsia="宋体" w:cs="宋体"/>
                <w:spacing w:val="8"/>
                <w:szCs w:val="21"/>
                <w:lang w:val="en-US" w:eastAsia="zh-CN"/>
              </w:rPr>
            </w:pPr>
            <w:r>
              <w:rPr>
                <w:rFonts w:hint="eastAsia" w:ascii="宋体" w:hAnsi="宋体" w:eastAsia="宋体" w:cs="宋体"/>
                <w:spacing w:val="8"/>
                <w:szCs w:val="21"/>
                <w:lang w:val="en-US" w:eastAsia="zh-CN"/>
              </w:rPr>
              <w:t>针对采购需求，供应商拟定方案中的内容齐全，符合实际切实可行且无缺陷的得6分（缺陷是指：部分内容与项目无关、逻辑错误、科学原理错误、表述错误、不符合本项目涉及的相关规范或标准要求的任意一种情形），每缺少一项内容扣1.5分，扣完为止；单项内容每存在一处缺陷扣0.5分，单项内容分（1.5分）扣完为止。</w:t>
            </w:r>
          </w:p>
          <w:p w14:paraId="49D01690">
            <w:pPr>
              <w:autoSpaceDE w:val="0"/>
              <w:autoSpaceDN w:val="0"/>
              <w:adjustRightInd w:val="0"/>
              <w:spacing w:line="300" w:lineRule="exact"/>
              <w:ind w:firstLine="442" w:firstLineChars="200"/>
              <w:rPr>
                <w:rFonts w:hint="eastAsia" w:ascii="宋体" w:hAnsi="宋体" w:eastAsia="宋体" w:cs="宋体"/>
                <w:sz w:val="21"/>
                <w:szCs w:val="21"/>
                <w:lang w:val="en-US" w:eastAsia="zh-CN"/>
              </w:rPr>
            </w:pPr>
            <w:r>
              <w:rPr>
                <w:rFonts w:hint="eastAsia" w:ascii="宋体" w:hAnsi="宋体" w:eastAsia="宋体" w:cs="宋体"/>
                <w:b/>
                <w:bCs/>
                <w:color w:val="FF0000"/>
                <w:sz w:val="22"/>
                <w:szCs w:val="22"/>
                <w:highlight w:val="none"/>
                <w:lang w:val="en-US" w:eastAsia="zh-CN"/>
              </w:rPr>
              <w:t>未按要求提供的或</w:t>
            </w:r>
            <w:r>
              <w:rPr>
                <w:rFonts w:hint="eastAsia" w:ascii="宋体" w:hAnsi="宋体" w:eastAsia="宋体" w:cs="宋体"/>
                <w:b/>
                <w:bCs/>
                <w:color w:val="FF0000"/>
                <w:sz w:val="22"/>
                <w:szCs w:val="22"/>
                <w:highlight w:val="none"/>
                <w:lang w:val="zh-CN" w:eastAsia="zh-CN"/>
              </w:rPr>
              <w:t>未提供的不得分。</w:t>
            </w:r>
          </w:p>
        </w:tc>
        <w:tc>
          <w:tcPr>
            <w:tcW w:w="877" w:type="dxa"/>
            <w:noWrap w:val="0"/>
            <w:vAlign w:val="center"/>
          </w:tcPr>
          <w:p w14:paraId="457D5960">
            <w:pPr>
              <w:jc w:val="center"/>
              <w:rPr>
                <w:rFonts w:hint="eastAsia" w:ascii="宋体" w:hAnsi="宋体" w:eastAsia="宋体" w:cs="宋体"/>
                <w:sz w:val="21"/>
                <w:szCs w:val="21"/>
              </w:rPr>
            </w:pPr>
            <w:r>
              <w:rPr>
                <w:rFonts w:hint="eastAsia" w:ascii="宋体" w:hAnsi="宋体" w:eastAsia="宋体" w:cs="宋体"/>
                <w:sz w:val="21"/>
                <w:szCs w:val="21"/>
                <w:lang w:val="en-US" w:eastAsia="zh-CN"/>
              </w:rPr>
              <w:t>6分</w:t>
            </w:r>
          </w:p>
        </w:tc>
      </w:tr>
      <w:tr w14:paraId="1A2650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7" w:hRule="atLeast"/>
        </w:trPr>
        <w:tc>
          <w:tcPr>
            <w:tcW w:w="588" w:type="dxa"/>
            <w:noWrap w:val="0"/>
            <w:vAlign w:val="center"/>
          </w:tcPr>
          <w:p w14:paraId="51B319DC">
            <w:pPr>
              <w:widowControl/>
              <w:jc w:val="center"/>
              <w:textAlignment w:val="center"/>
              <w:rPr>
                <w:rFonts w:hint="default" w:ascii="宋体" w:hAnsi="宋体" w:eastAsia="宋体" w:cs="宋体"/>
                <w:sz w:val="21"/>
                <w:szCs w:val="21"/>
                <w:lang w:val="en-US"/>
              </w:rPr>
            </w:pPr>
            <w:r>
              <w:rPr>
                <w:rFonts w:hint="eastAsia" w:ascii="宋体" w:hAnsi="宋体" w:eastAsia="宋体" w:cs="宋体"/>
                <w:sz w:val="21"/>
                <w:szCs w:val="21"/>
                <w:lang w:val="en-US" w:eastAsia="zh-CN"/>
              </w:rPr>
              <w:t>3.2</w:t>
            </w:r>
          </w:p>
        </w:tc>
        <w:tc>
          <w:tcPr>
            <w:tcW w:w="914" w:type="dxa"/>
            <w:noWrap w:val="0"/>
            <w:vAlign w:val="center"/>
          </w:tcPr>
          <w:p w14:paraId="259D700C">
            <w:pPr>
              <w:widowControl/>
              <w:jc w:val="center"/>
              <w:textAlignment w:val="center"/>
              <w:rPr>
                <w:rFonts w:hint="eastAsia" w:ascii="宋体" w:hAnsi="宋体" w:eastAsia="宋体" w:cs="宋体"/>
                <w:spacing w:val="8"/>
                <w:szCs w:val="21"/>
                <w:lang w:val="en-US" w:eastAsia="zh-CN"/>
              </w:rPr>
            </w:pPr>
            <w:r>
              <w:rPr>
                <w:rFonts w:hint="eastAsia" w:ascii="宋体" w:hAnsi="宋体" w:eastAsia="宋体" w:cs="宋体"/>
                <w:spacing w:val="8"/>
                <w:szCs w:val="21"/>
                <w:lang w:val="en-US" w:eastAsia="zh-CN"/>
              </w:rPr>
              <w:t>车辆</w:t>
            </w:r>
          </w:p>
          <w:p w14:paraId="50F97744">
            <w:pPr>
              <w:widowControl/>
              <w:jc w:val="center"/>
              <w:textAlignment w:val="center"/>
              <w:rPr>
                <w:rFonts w:hint="eastAsia" w:ascii="宋体" w:hAnsi="宋体" w:eastAsia="宋体" w:cs="宋体"/>
                <w:spacing w:val="8"/>
                <w:szCs w:val="21"/>
                <w:lang w:val="en-US" w:eastAsia="zh-CN"/>
              </w:rPr>
            </w:pPr>
            <w:r>
              <w:rPr>
                <w:rFonts w:hint="eastAsia" w:ascii="宋体" w:hAnsi="宋体" w:eastAsia="宋体" w:cs="宋体"/>
                <w:spacing w:val="8"/>
                <w:szCs w:val="21"/>
                <w:lang w:val="en-US" w:eastAsia="zh-CN"/>
              </w:rPr>
              <w:t>改装</w:t>
            </w:r>
          </w:p>
          <w:p w14:paraId="373CE777">
            <w:pPr>
              <w:widowControl/>
              <w:jc w:val="center"/>
              <w:textAlignment w:val="center"/>
              <w:rPr>
                <w:rFonts w:hint="eastAsia" w:ascii="宋体" w:hAnsi="宋体" w:eastAsia="宋体" w:cs="宋体"/>
                <w:spacing w:val="8"/>
                <w:szCs w:val="21"/>
                <w:lang w:val="en-US" w:eastAsia="zh-CN"/>
              </w:rPr>
            </w:pPr>
            <w:r>
              <w:rPr>
                <w:rFonts w:hint="eastAsia" w:ascii="宋体" w:hAnsi="宋体" w:eastAsia="宋体" w:cs="宋体"/>
                <w:spacing w:val="8"/>
                <w:szCs w:val="21"/>
                <w:lang w:val="en-US" w:eastAsia="zh-CN"/>
              </w:rPr>
              <w:t>实施</w:t>
            </w:r>
          </w:p>
          <w:p w14:paraId="6B6A6918">
            <w:pPr>
              <w:widowControl/>
              <w:jc w:val="center"/>
              <w:textAlignment w:val="center"/>
              <w:rPr>
                <w:rFonts w:hint="eastAsia" w:ascii="宋体" w:hAnsi="宋体" w:cs="宋体"/>
                <w:spacing w:val="8"/>
                <w:szCs w:val="21"/>
              </w:rPr>
            </w:pPr>
            <w:r>
              <w:rPr>
                <w:rFonts w:hint="eastAsia" w:ascii="宋体" w:hAnsi="宋体" w:eastAsia="宋体" w:cs="宋体"/>
                <w:spacing w:val="8"/>
                <w:szCs w:val="21"/>
                <w:lang w:val="en-US" w:eastAsia="zh-CN"/>
              </w:rPr>
              <w:t>方案</w:t>
            </w:r>
          </w:p>
          <w:p w14:paraId="289EF091">
            <w:pPr>
              <w:widowControl/>
              <w:jc w:val="center"/>
              <w:textAlignment w:val="center"/>
              <w:rPr>
                <w:rFonts w:hint="eastAsia" w:ascii="宋体" w:hAnsi="宋体" w:eastAsia="宋体" w:cs="宋体"/>
                <w:sz w:val="21"/>
                <w:szCs w:val="21"/>
              </w:rPr>
            </w:pPr>
          </w:p>
        </w:tc>
        <w:tc>
          <w:tcPr>
            <w:tcW w:w="6832" w:type="dxa"/>
            <w:noWrap w:val="0"/>
            <w:vAlign w:val="center"/>
          </w:tcPr>
          <w:p w14:paraId="1321AFB4">
            <w:pPr>
              <w:widowControl/>
              <w:numPr>
                <w:ilvl w:val="0"/>
                <w:numId w:val="0"/>
              </w:numPr>
              <w:jc w:val="left"/>
              <w:textAlignment w:val="center"/>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spacing w:val="8"/>
                <w:szCs w:val="21"/>
                <w:lang w:val="en-US" w:eastAsia="zh-CN"/>
              </w:rPr>
              <w:t>车辆改装实施方案（</w:t>
            </w:r>
            <w:r>
              <w:rPr>
                <w:rFonts w:hint="eastAsia" w:ascii="宋体" w:hAnsi="宋体" w:cs="宋体"/>
                <w:spacing w:val="8"/>
                <w:szCs w:val="21"/>
                <w:lang w:val="en-US" w:eastAsia="zh-CN"/>
              </w:rPr>
              <w:t>6</w:t>
            </w:r>
            <w:r>
              <w:rPr>
                <w:rFonts w:hint="eastAsia" w:ascii="宋体" w:hAnsi="宋体" w:eastAsia="宋体" w:cs="宋体"/>
                <w:spacing w:val="8"/>
                <w:szCs w:val="21"/>
                <w:lang w:val="en-US" w:eastAsia="zh-CN"/>
              </w:rPr>
              <w:t>分）：</w:t>
            </w:r>
          </w:p>
          <w:p w14:paraId="608E3736">
            <w:pPr>
              <w:widowControl/>
              <w:numPr>
                <w:ilvl w:val="0"/>
                <w:numId w:val="0"/>
              </w:numPr>
              <w:ind w:firstLine="452" w:firstLineChars="200"/>
              <w:jc w:val="left"/>
              <w:textAlignment w:val="center"/>
              <w:rPr>
                <w:rFonts w:hint="eastAsia" w:ascii="宋体" w:hAnsi="宋体" w:eastAsia="宋体" w:cs="宋体"/>
                <w:spacing w:val="8"/>
                <w:szCs w:val="21"/>
                <w:lang w:val="en-US" w:eastAsia="zh-CN"/>
              </w:rPr>
            </w:pPr>
            <w:r>
              <w:rPr>
                <w:rFonts w:hint="eastAsia" w:ascii="宋体" w:hAnsi="宋体" w:eastAsia="宋体" w:cs="宋体"/>
                <w:spacing w:val="8"/>
                <w:szCs w:val="21"/>
                <w:lang w:val="en-US" w:eastAsia="zh-CN"/>
              </w:rPr>
              <w:t>投标人应根据采购需求和本项目的特点制定车辆改装实施方案</w:t>
            </w:r>
            <w:r>
              <w:rPr>
                <w:rFonts w:hint="eastAsia" w:ascii="宋体" w:hAnsi="宋体" w:eastAsia="宋体" w:cs="宋体"/>
                <w:spacing w:val="8"/>
                <w:szCs w:val="21"/>
                <w:lang w:val="zh-CN" w:eastAsia="zh-CN"/>
              </w:rPr>
              <w:t>，</w:t>
            </w:r>
            <w:r>
              <w:rPr>
                <w:rFonts w:hint="eastAsia" w:ascii="宋体" w:hAnsi="宋体" w:eastAsia="宋体" w:cs="宋体"/>
                <w:spacing w:val="8"/>
                <w:szCs w:val="21"/>
                <w:lang w:val="en-US" w:eastAsia="zh-CN"/>
              </w:rPr>
              <w:t>方案</w:t>
            </w:r>
            <w:r>
              <w:rPr>
                <w:rFonts w:hint="eastAsia" w:ascii="宋体" w:hAnsi="宋体" w:eastAsia="宋体" w:cs="宋体"/>
                <w:spacing w:val="8"/>
                <w:szCs w:val="21"/>
                <w:lang w:val="zh-CN" w:eastAsia="zh-CN"/>
              </w:rPr>
              <w:t>包括</w:t>
            </w:r>
            <w:r>
              <w:rPr>
                <w:rFonts w:hint="eastAsia" w:ascii="宋体" w:hAnsi="宋体" w:eastAsia="宋体" w:cs="宋体"/>
                <w:spacing w:val="8"/>
                <w:szCs w:val="21"/>
                <w:lang w:val="en-US" w:eastAsia="zh-CN"/>
              </w:rPr>
              <w:t>但不限于以下内容：</w:t>
            </w:r>
          </w:p>
          <w:p w14:paraId="41DB19DB">
            <w:pPr>
              <w:widowControl/>
              <w:numPr>
                <w:ilvl w:val="0"/>
                <w:numId w:val="0"/>
              </w:numPr>
              <w:jc w:val="left"/>
              <w:textAlignment w:val="center"/>
              <w:rPr>
                <w:rFonts w:hint="eastAsia" w:ascii="宋体" w:hAnsi="宋体" w:eastAsia="宋体" w:cs="宋体"/>
                <w:spacing w:val="8"/>
                <w:szCs w:val="21"/>
                <w:lang w:val="en-US" w:eastAsia="zh-CN"/>
              </w:rPr>
            </w:pPr>
            <w:r>
              <w:rPr>
                <w:rFonts w:hint="eastAsia" w:ascii="宋体" w:hAnsi="宋体" w:eastAsia="宋体" w:cs="宋体"/>
                <w:spacing w:val="8"/>
                <w:szCs w:val="21"/>
                <w:lang w:val="en-US" w:eastAsia="zh-CN"/>
              </w:rPr>
              <w:t>1.全套整车改装图纸与</w:t>
            </w:r>
            <w:r>
              <w:rPr>
                <w:rFonts w:hint="eastAsia" w:ascii="宋体" w:hAnsi="宋体" w:cs="宋体"/>
                <w:spacing w:val="8"/>
                <w:szCs w:val="21"/>
                <w:lang w:val="en-US" w:eastAsia="zh-CN"/>
              </w:rPr>
              <w:t>效</w:t>
            </w:r>
            <w:r>
              <w:rPr>
                <w:rFonts w:hint="eastAsia" w:ascii="宋体" w:hAnsi="宋体" w:eastAsia="宋体" w:cs="宋体"/>
                <w:spacing w:val="8"/>
                <w:szCs w:val="21"/>
                <w:lang w:val="en-US" w:eastAsia="zh-CN"/>
              </w:rPr>
              <w:t>果图交付方案；</w:t>
            </w:r>
          </w:p>
          <w:p w14:paraId="63C92542">
            <w:pPr>
              <w:widowControl/>
              <w:numPr>
                <w:ilvl w:val="0"/>
                <w:numId w:val="0"/>
              </w:numPr>
              <w:jc w:val="left"/>
              <w:textAlignment w:val="center"/>
              <w:rPr>
                <w:rFonts w:hint="eastAsia" w:ascii="宋体" w:hAnsi="宋体" w:eastAsia="宋体" w:cs="宋体"/>
                <w:spacing w:val="8"/>
                <w:szCs w:val="21"/>
                <w:lang w:val="en-US" w:eastAsia="zh-CN"/>
              </w:rPr>
            </w:pPr>
            <w:r>
              <w:rPr>
                <w:rFonts w:hint="eastAsia" w:ascii="宋体" w:hAnsi="宋体" w:eastAsia="宋体" w:cs="宋体"/>
                <w:spacing w:val="8"/>
                <w:szCs w:val="21"/>
                <w:lang w:val="en-US" w:eastAsia="zh-CN"/>
              </w:rPr>
              <w:t>2.底盘与医疗舱一体化合规改装工艺方案；</w:t>
            </w:r>
          </w:p>
          <w:p w14:paraId="15AEA094">
            <w:pPr>
              <w:widowControl/>
              <w:numPr>
                <w:ilvl w:val="0"/>
                <w:numId w:val="0"/>
              </w:numPr>
              <w:jc w:val="left"/>
              <w:textAlignment w:val="center"/>
              <w:rPr>
                <w:rFonts w:hint="eastAsia" w:ascii="宋体" w:hAnsi="宋体" w:eastAsia="宋体" w:cs="宋体"/>
                <w:spacing w:val="8"/>
                <w:szCs w:val="21"/>
                <w:lang w:val="en-US" w:eastAsia="zh-CN"/>
              </w:rPr>
            </w:pPr>
            <w:r>
              <w:rPr>
                <w:rFonts w:hint="eastAsia" w:ascii="宋体" w:hAnsi="宋体" w:eastAsia="宋体" w:cs="宋体"/>
                <w:spacing w:val="8"/>
                <w:szCs w:val="21"/>
                <w:lang w:val="en-US" w:eastAsia="zh-CN"/>
              </w:rPr>
              <w:t>3.车载电气、供氧、负压系统标准化集成改装方案；</w:t>
            </w:r>
          </w:p>
          <w:p w14:paraId="4519E74F">
            <w:pPr>
              <w:widowControl/>
              <w:numPr>
                <w:ilvl w:val="0"/>
                <w:numId w:val="0"/>
              </w:numPr>
              <w:jc w:val="left"/>
              <w:textAlignment w:val="center"/>
              <w:rPr>
                <w:rFonts w:hint="default" w:ascii="宋体" w:hAnsi="宋体" w:cs="宋体"/>
                <w:spacing w:val="8"/>
                <w:szCs w:val="21"/>
                <w:lang w:val="en-US" w:eastAsia="zh-CN"/>
              </w:rPr>
            </w:pPr>
            <w:r>
              <w:rPr>
                <w:rFonts w:hint="eastAsia" w:ascii="宋体" w:hAnsi="宋体" w:eastAsia="宋体" w:cs="宋体"/>
                <w:spacing w:val="8"/>
                <w:szCs w:val="21"/>
                <w:lang w:val="en-US" w:eastAsia="zh-CN"/>
              </w:rPr>
              <w:t>4.全套急救设备一体化固定装配方案</w:t>
            </w:r>
            <w:r>
              <w:rPr>
                <w:rFonts w:hint="eastAsia" w:ascii="宋体" w:hAnsi="宋体" w:cs="宋体"/>
                <w:spacing w:val="8"/>
                <w:szCs w:val="21"/>
                <w:lang w:val="en-US" w:eastAsia="zh-CN"/>
              </w:rPr>
              <w:t>。</w:t>
            </w:r>
          </w:p>
          <w:p w14:paraId="7CC3DF93">
            <w:pPr>
              <w:widowControl/>
              <w:numPr>
                <w:ilvl w:val="0"/>
                <w:numId w:val="0"/>
              </w:numPr>
              <w:ind w:firstLine="452" w:firstLineChars="200"/>
              <w:jc w:val="left"/>
              <w:textAlignment w:val="center"/>
              <w:rPr>
                <w:rFonts w:hint="eastAsia" w:ascii="宋体" w:hAnsi="宋体" w:eastAsia="宋体" w:cs="宋体"/>
                <w:spacing w:val="8"/>
                <w:szCs w:val="21"/>
                <w:lang w:val="en-US" w:eastAsia="zh-CN"/>
              </w:rPr>
            </w:pPr>
            <w:r>
              <w:rPr>
                <w:rFonts w:hint="eastAsia" w:ascii="宋体" w:hAnsi="宋体" w:eastAsia="宋体" w:cs="宋体"/>
                <w:spacing w:val="8"/>
                <w:szCs w:val="21"/>
                <w:lang w:val="en-US" w:eastAsia="zh-CN"/>
              </w:rPr>
              <w:t>针对采购需求，供应商拟定方案中的内容齐全，符合实际切实可行且无缺陷的得6分（缺陷是指：部分内容与项目无关、逻辑错误、科学原理错误、表述错误、不符合本项目涉及的相关规范或标准要求的任意一种情形），每缺少一项内容扣1.5分，扣完为止；单项内容每存在一处缺陷扣0.5分，单项内容分（1.5分）扣完为止。</w:t>
            </w:r>
          </w:p>
          <w:p w14:paraId="703CD1C7">
            <w:pPr>
              <w:autoSpaceDE w:val="0"/>
              <w:autoSpaceDN w:val="0"/>
              <w:adjustRightInd w:val="0"/>
              <w:spacing w:line="300" w:lineRule="exact"/>
              <w:ind w:firstLine="442" w:firstLineChars="200"/>
              <w:rPr>
                <w:rFonts w:hint="eastAsia" w:ascii="宋体" w:hAnsi="宋体" w:eastAsia="宋体" w:cs="宋体"/>
                <w:sz w:val="21"/>
                <w:szCs w:val="21"/>
                <w:lang w:val="en-US" w:eastAsia="zh-CN"/>
              </w:rPr>
            </w:pPr>
            <w:r>
              <w:rPr>
                <w:rFonts w:hint="eastAsia" w:ascii="宋体" w:hAnsi="宋体" w:eastAsia="宋体" w:cs="宋体"/>
                <w:b/>
                <w:bCs/>
                <w:color w:val="FF0000"/>
                <w:sz w:val="22"/>
                <w:szCs w:val="22"/>
                <w:highlight w:val="none"/>
                <w:lang w:val="en-US" w:eastAsia="zh-CN"/>
              </w:rPr>
              <w:t>未按要求提供的或</w:t>
            </w:r>
            <w:r>
              <w:rPr>
                <w:rFonts w:hint="eastAsia" w:ascii="宋体" w:hAnsi="宋体" w:eastAsia="宋体" w:cs="宋体"/>
                <w:b/>
                <w:bCs/>
                <w:color w:val="FF0000"/>
                <w:sz w:val="22"/>
                <w:szCs w:val="22"/>
                <w:highlight w:val="none"/>
                <w:lang w:val="zh-CN" w:eastAsia="zh-CN"/>
              </w:rPr>
              <w:t>未提供的不得分。</w:t>
            </w:r>
          </w:p>
        </w:tc>
        <w:tc>
          <w:tcPr>
            <w:tcW w:w="877" w:type="dxa"/>
            <w:noWrap w:val="0"/>
            <w:vAlign w:val="center"/>
          </w:tcPr>
          <w:p w14:paraId="5F0813A2">
            <w:pPr>
              <w:jc w:val="center"/>
              <w:rPr>
                <w:rFonts w:hint="eastAsia" w:ascii="宋体" w:hAnsi="宋体" w:eastAsia="宋体" w:cs="宋体"/>
                <w:sz w:val="21"/>
                <w:szCs w:val="21"/>
              </w:rPr>
            </w:pPr>
            <w:r>
              <w:rPr>
                <w:rFonts w:hint="eastAsia" w:ascii="宋体" w:hAnsi="宋体" w:eastAsia="宋体" w:cs="宋体"/>
                <w:sz w:val="21"/>
                <w:szCs w:val="21"/>
                <w:lang w:val="en-US" w:eastAsia="zh-CN"/>
              </w:rPr>
              <w:t>6分</w:t>
            </w:r>
          </w:p>
        </w:tc>
      </w:tr>
      <w:tr w14:paraId="3FDD3B0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7" w:hRule="atLeast"/>
        </w:trPr>
        <w:tc>
          <w:tcPr>
            <w:tcW w:w="588" w:type="dxa"/>
            <w:noWrap w:val="0"/>
            <w:vAlign w:val="center"/>
          </w:tcPr>
          <w:p w14:paraId="3BFC6857">
            <w:pPr>
              <w:widowControl/>
              <w:jc w:val="center"/>
              <w:textAlignment w:val="center"/>
              <w:rPr>
                <w:rFonts w:hint="default" w:ascii="宋体" w:hAnsi="宋体" w:eastAsia="宋体" w:cs="宋体"/>
                <w:sz w:val="21"/>
                <w:szCs w:val="21"/>
                <w:lang w:val="en-US" w:eastAsia="zh-CN"/>
              </w:rPr>
            </w:pPr>
            <w:r>
              <w:rPr>
                <w:rFonts w:hint="eastAsia" w:ascii="宋体" w:hAnsi="宋体" w:eastAsia="宋体" w:cs="宋体"/>
                <w:sz w:val="21"/>
                <w:szCs w:val="21"/>
                <w:lang w:val="en-US" w:eastAsia="zh-CN"/>
              </w:rPr>
              <w:t>3.3</w:t>
            </w:r>
          </w:p>
        </w:tc>
        <w:tc>
          <w:tcPr>
            <w:tcW w:w="914" w:type="dxa"/>
            <w:noWrap w:val="0"/>
            <w:vAlign w:val="center"/>
          </w:tcPr>
          <w:p w14:paraId="52A55EF3">
            <w:pPr>
              <w:widowControl/>
              <w:jc w:val="center"/>
              <w:textAlignment w:val="center"/>
              <w:rPr>
                <w:rFonts w:hint="eastAsia" w:ascii="宋体" w:hAnsi="宋体" w:eastAsia="宋体" w:cs="宋体"/>
                <w:spacing w:val="8"/>
                <w:szCs w:val="21"/>
                <w:lang w:val="en-US" w:eastAsia="zh-CN"/>
              </w:rPr>
            </w:pPr>
            <w:r>
              <w:rPr>
                <w:rFonts w:hint="eastAsia" w:ascii="宋体" w:hAnsi="宋体" w:eastAsia="宋体" w:cs="宋体"/>
                <w:spacing w:val="8"/>
                <w:szCs w:val="21"/>
                <w:lang w:val="en-US" w:eastAsia="zh-CN"/>
              </w:rPr>
              <w:t>项目</w:t>
            </w:r>
          </w:p>
          <w:p w14:paraId="482F3B2F">
            <w:pPr>
              <w:widowControl/>
              <w:jc w:val="center"/>
              <w:textAlignment w:val="center"/>
              <w:rPr>
                <w:rFonts w:hint="eastAsia" w:ascii="宋体" w:hAnsi="宋体" w:eastAsia="宋体" w:cs="宋体"/>
                <w:spacing w:val="8"/>
                <w:szCs w:val="21"/>
                <w:lang w:val="en-US" w:eastAsia="zh-CN"/>
              </w:rPr>
            </w:pPr>
            <w:r>
              <w:rPr>
                <w:rFonts w:hint="eastAsia" w:ascii="宋体" w:hAnsi="宋体" w:eastAsia="宋体" w:cs="宋体"/>
                <w:spacing w:val="8"/>
                <w:szCs w:val="21"/>
                <w:lang w:val="en-US" w:eastAsia="zh-CN"/>
              </w:rPr>
              <w:t>重点</w:t>
            </w:r>
          </w:p>
          <w:p w14:paraId="47DD5D98">
            <w:pPr>
              <w:widowControl/>
              <w:jc w:val="center"/>
              <w:textAlignment w:val="center"/>
              <w:rPr>
                <w:rFonts w:hint="eastAsia" w:ascii="宋体" w:hAnsi="宋体" w:eastAsia="宋体" w:cs="宋体"/>
                <w:spacing w:val="8"/>
                <w:szCs w:val="21"/>
                <w:lang w:val="en-US" w:eastAsia="zh-CN"/>
              </w:rPr>
            </w:pPr>
            <w:r>
              <w:rPr>
                <w:rFonts w:hint="eastAsia" w:ascii="宋体" w:hAnsi="宋体" w:eastAsia="宋体" w:cs="宋体"/>
                <w:spacing w:val="8"/>
                <w:szCs w:val="21"/>
                <w:lang w:val="en-US" w:eastAsia="zh-CN"/>
              </w:rPr>
              <w:t>难点</w:t>
            </w:r>
          </w:p>
          <w:p w14:paraId="26BF3C6B">
            <w:pPr>
              <w:widowControl/>
              <w:jc w:val="center"/>
              <w:textAlignment w:val="center"/>
              <w:rPr>
                <w:rFonts w:hint="eastAsia" w:ascii="宋体" w:hAnsi="宋体" w:eastAsia="宋体" w:cs="宋体"/>
                <w:spacing w:val="8"/>
                <w:szCs w:val="21"/>
                <w:lang w:val="en-US" w:eastAsia="zh-CN"/>
              </w:rPr>
            </w:pPr>
            <w:r>
              <w:rPr>
                <w:rFonts w:hint="eastAsia" w:ascii="宋体" w:hAnsi="宋体" w:eastAsia="宋体" w:cs="宋体"/>
                <w:spacing w:val="8"/>
                <w:szCs w:val="21"/>
                <w:lang w:val="en-US" w:eastAsia="zh-CN"/>
              </w:rPr>
              <w:t>分析</w:t>
            </w:r>
          </w:p>
          <w:p w14:paraId="3A1D286F">
            <w:pPr>
              <w:widowControl/>
              <w:jc w:val="center"/>
              <w:textAlignment w:val="center"/>
              <w:rPr>
                <w:rFonts w:hint="eastAsia" w:ascii="宋体" w:hAnsi="宋体" w:eastAsia="宋体" w:cs="宋体"/>
                <w:spacing w:val="8"/>
                <w:szCs w:val="21"/>
                <w:lang w:val="en-US" w:eastAsia="zh-CN"/>
              </w:rPr>
            </w:pPr>
            <w:r>
              <w:rPr>
                <w:rFonts w:hint="eastAsia" w:ascii="宋体" w:hAnsi="宋体" w:eastAsia="宋体" w:cs="宋体"/>
                <w:spacing w:val="8"/>
                <w:szCs w:val="21"/>
                <w:lang w:val="en-US" w:eastAsia="zh-CN"/>
              </w:rPr>
              <w:t>及</w:t>
            </w:r>
          </w:p>
          <w:p w14:paraId="5747419E">
            <w:pPr>
              <w:widowControl/>
              <w:jc w:val="center"/>
              <w:textAlignment w:val="center"/>
              <w:rPr>
                <w:rFonts w:hint="eastAsia" w:ascii="宋体" w:hAnsi="宋体" w:eastAsia="宋体" w:cs="宋体"/>
                <w:spacing w:val="8"/>
                <w:szCs w:val="21"/>
                <w:lang w:val="en-US" w:eastAsia="zh-CN"/>
              </w:rPr>
            </w:pPr>
            <w:r>
              <w:rPr>
                <w:rFonts w:hint="eastAsia" w:ascii="宋体" w:hAnsi="宋体" w:eastAsia="宋体" w:cs="宋体"/>
                <w:spacing w:val="8"/>
                <w:szCs w:val="21"/>
                <w:lang w:val="en-US" w:eastAsia="zh-CN"/>
              </w:rPr>
              <w:t>管控</w:t>
            </w:r>
          </w:p>
          <w:p w14:paraId="58EC96E6">
            <w:pPr>
              <w:widowControl/>
              <w:jc w:val="center"/>
              <w:textAlignment w:val="center"/>
              <w:rPr>
                <w:rFonts w:hint="eastAsia" w:ascii="宋体" w:hAnsi="宋体" w:eastAsia="宋体" w:cs="宋体"/>
                <w:color w:val="000000"/>
                <w:sz w:val="21"/>
                <w:szCs w:val="21"/>
                <w:lang w:val="en-US" w:eastAsia="zh-CN"/>
              </w:rPr>
            </w:pPr>
            <w:r>
              <w:rPr>
                <w:rFonts w:hint="eastAsia" w:ascii="宋体" w:hAnsi="宋体" w:eastAsia="宋体" w:cs="宋体"/>
                <w:spacing w:val="8"/>
                <w:szCs w:val="21"/>
                <w:lang w:val="en-US" w:eastAsia="zh-CN"/>
              </w:rPr>
              <w:t>方案</w:t>
            </w:r>
          </w:p>
        </w:tc>
        <w:tc>
          <w:tcPr>
            <w:tcW w:w="6832" w:type="dxa"/>
            <w:noWrap w:val="0"/>
            <w:vAlign w:val="center"/>
          </w:tcPr>
          <w:p w14:paraId="39D8B9D0">
            <w:pPr>
              <w:widowControl/>
              <w:numPr>
                <w:ilvl w:val="0"/>
                <w:numId w:val="0"/>
              </w:numPr>
              <w:jc w:val="left"/>
              <w:textAlignment w:val="center"/>
              <w:rPr>
                <w:rFonts w:hint="eastAsia" w:ascii="宋体" w:hAnsi="宋体" w:eastAsia="宋体" w:cs="宋体"/>
                <w:spacing w:val="8"/>
                <w:szCs w:val="21"/>
                <w:lang w:val="en-US" w:eastAsia="zh-CN"/>
              </w:rPr>
            </w:pPr>
            <w:r>
              <w:rPr>
                <w:rFonts w:hint="eastAsia" w:ascii="宋体" w:hAnsi="宋体" w:eastAsia="宋体" w:cs="宋体"/>
                <w:spacing w:val="8"/>
                <w:szCs w:val="21"/>
                <w:lang w:val="en-US" w:eastAsia="zh-CN"/>
              </w:rPr>
              <w:t>项目重点难点分析及管控方案（</w:t>
            </w:r>
            <w:r>
              <w:rPr>
                <w:rFonts w:hint="eastAsia" w:ascii="宋体" w:hAnsi="宋体" w:cs="宋体"/>
                <w:spacing w:val="8"/>
                <w:szCs w:val="21"/>
                <w:lang w:val="en-US" w:eastAsia="zh-CN"/>
              </w:rPr>
              <w:t>6</w:t>
            </w:r>
            <w:r>
              <w:rPr>
                <w:rFonts w:hint="eastAsia" w:ascii="宋体" w:hAnsi="宋体" w:eastAsia="宋体" w:cs="宋体"/>
                <w:spacing w:val="8"/>
                <w:szCs w:val="21"/>
                <w:lang w:val="en-US" w:eastAsia="zh-CN"/>
              </w:rPr>
              <w:t>分）：</w:t>
            </w:r>
          </w:p>
          <w:p w14:paraId="73930E10">
            <w:pPr>
              <w:widowControl/>
              <w:numPr>
                <w:ilvl w:val="0"/>
                <w:numId w:val="0"/>
              </w:numPr>
              <w:ind w:firstLine="452" w:firstLineChars="200"/>
              <w:jc w:val="left"/>
              <w:textAlignment w:val="center"/>
              <w:rPr>
                <w:rFonts w:hint="eastAsia" w:ascii="宋体" w:hAnsi="宋体" w:eastAsia="宋体" w:cs="宋体"/>
                <w:spacing w:val="8"/>
                <w:szCs w:val="21"/>
                <w:lang w:val="en-US" w:eastAsia="zh-CN"/>
              </w:rPr>
            </w:pPr>
            <w:r>
              <w:rPr>
                <w:rFonts w:hint="eastAsia" w:ascii="宋体" w:hAnsi="宋体" w:eastAsia="宋体" w:cs="宋体"/>
                <w:spacing w:val="8"/>
                <w:szCs w:val="21"/>
                <w:lang w:val="en-US" w:eastAsia="zh-CN"/>
              </w:rPr>
              <w:t>投标人应根据采购需求和本项目的特点制定项目重点难点分析及管控</w:t>
            </w:r>
            <w:r>
              <w:rPr>
                <w:rFonts w:hint="eastAsia" w:ascii="宋体" w:hAnsi="宋体" w:cs="宋体"/>
                <w:spacing w:val="8"/>
                <w:szCs w:val="21"/>
                <w:lang w:val="en-US" w:eastAsia="zh-CN"/>
              </w:rPr>
              <w:t>方案</w:t>
            </w:r>
            <w:r>
              <w:rPr>
                <w:rFonts w:hint="eastAsia" w:ascii="宋体" w:hAnsi="宋体" w:eastAsia="宋体" w:cs="宋体"/>
                <w:spacing w:val="8"/>
                <w:szCs w:val="21"/>
                <w:lang w:val="zh-CN" w:eastAsia="zh-CN"/>
              </w:rPr>
              <w:t>，</w:t>
            </w:r>
            <w:r>
              <w:rPr>
                <w:rFonts w:hint="eastAsia" w:ascii="宋体" w:hAnsi="宋体" w:eastAsia="宋体" w:cs="宋体"/>
                <w:spacing w:val="8"/>
                <w:szCs w:val="21"/>
                <w:lang w:val="en-US" w:eastAsia="zh-CN"/>
              </w:rPr>
              <w:t>方案</w:t>
            </w:r>
            <w:r>
              <w:rPr>
                <w:rFonts w:hint="eastAsia" w:ascii="宋体" w:hAnsi="宋体" w:eastAsia="宋体" w:cs="宋体"/>
                <w:spacing w:val="8"/>
                <w:szCs w:val="21"/>
                <w:lang w:val="zh-CN" w:eastAsia="zh-CN"/>
              </w:rPr>
              <w:t>包括</w:t>
            </w:r>
            <w:r>
              <w:rPr>
                <w:rFonts w:hint="eastAsia" w:ascii="宋体" w:hAnsi="宋体" w:eastAsia="宋体" w:cs="宋体"/>
                <w:spacing w:val="8"/>
                <w:szCs w:val="21"/>
                <w:lang w:val="en-US" w:eastAsia="zh-CN"/>
              </w:rPr>
              <w:t>但不限于以下内容：</w:t>
            </w:r>
          </w:p>
          <w:p w14:paraId="280A778C">
            <w:pPr>
              <w:widowControl/>
              <w:numPr>
                <w:ilvl w:val="0"/>
                <w:numId w:val="0"/>
              </w:numPr>
              <w:jc w:val="left"/>
              <w:textAlignment w:val="center"/>
              <w:rPr>
                <w:rFonts w:hint="eastAsia" w:ascii="宋体" w:hAnsi="宋体" w:cs="宋体"/>
                <w:spacing w:val="8"/>
                <w:szCs w:val="21"/>
                <w:lang w:val="en-US" w:eastAsia="zh-CN"/>
              </w:rPr>
            </w:pPr>
            <w:r>
              <w:rPr>
                <w:rFonts w:hint="eastAsia" w:ascii="宋体" w:hAnsi="宋体" w:cs="宋体"/>
                <w:spacing w:val="8"/>
                <w:szCs w:val="21"/>
                <w:lang w:val="en-US" w:eastAsia="zh-CN"/>
              </w:rPr>
              <w:t>1.整车尺寸、舱体参数严格达标管控方案；</w:t>
            </w:r>
          </w:p>
          <w:p w14:paraId="6CFB4CC7">
            <w:pPr>
              <w:widowControl/>
              <w:numPr>
                <w:ilvl w:val="0"/>
                <w:numId w:val="0"/>
              </w:numPr>
              <w:jc w:val="left"/>
              <w:textAlignment w:val="center"/>
              <w:rPr>
                <w:rFonts w:hint="default" w:ascii="宋体" w:hAnsi="宋体" w:cs="宋体"/>
                <w:spacing w:val="8"/>
                <w:szCs w:val="21"/>
                <w:lang w:val="en-US" w:eastAsia="zh-CN"/>
              </w:rPr>
            </w:pPr>
            <w:r>
              <w:rPr>
                <w:rFonts w:hint="eastAsia" w:ascii="宋体" w:hAnsi="宋体" w:cs="宋体"/>
                <w:spacing w:val="8"/>
                <w:szCs w:val="21"/>
                <w:lang w:val="en-US" w:eastAsia="zh-CN"/>
              </w:rPr>
              <w:t>2.医疗设备参数合规与第三方检测资料齐全；</w:t>
            </w:r>
          </w:p>
          <w:p w14:paraId="16F6DBDE">
            <w:pPr>
              <w:widowControl/>
              <w:numPr>
                <w:ilvl w:val="0"/>
                <w:numId w:val="0"/>
              </w:numPr>
              <w:jc w:val="left"/>
              <w:textAlignment w:val="center"/>
              <w:rPr>
                <w:rFonts w:hint="default" w:ascii="宋体" w:hAnsi="宋体" w:cs="宋体"/>
                <w:spacing w:val="8"/>
                <w:szCs w:val="21"/>
                <w:lang w:val="en-US" w:eastAsia="zh-CN"/>
              </w:rPr>
            </w:pPr>
            <w:r>
              <w:rPr>
                <w:rFonts w:hint="eastAsia" w:ascii="宋体" w:hAnsi="宋体" w:cs="宋体"/>
                <w:spacing w:val="8"/>
                <w:szCs w:val="21"/>
                <w:lang w:val="en-US" w:eastAsia="zh-CN"/>
              </w:rPr>
              <w:t>3.交付与上牌流程管控方案；</w:t>
            </w:r>
          </w:p>
          <w:p w14:paraId="4E6F9629">
            <w:pPr>
              <w:widowControl/>
              <w:numPr>
                <w:ilvl w:val="0"/>
                <w:numId w:val="0"/>
              </w:numPr>
              <w:jc w:val="left"/>
              <w:textAlignment w:val="center"/>
              <w:rPr>
                <w:rFonts w:hint="default" w:ascii="宋体" w:hAnsi="宋体" w:eastAsia="宋体" w:cs="宋体"/>
                <w:spacing w:val="8"/>
                <w:szCs w:val="21"/>
                <w:lang w:val="en-US" w:eastAsia="zh-CN"/>
              </w:rPr>
            </w:pPr>
            <w:r>
              <w:rPr>
                <w:rFonts w:hint="eastAsia" w:ascii="宋体" w:hAnsi="宋体" w:cs="宋体"/>
                <w:spacing w:val="8"/>
                <w:szCs w:val="21"/>
                <w:lang w:val="en-US" w:eastAsia="zh-CN"/>
              </w:rPr>
              <w:t>4</w:t>
            </w:r>
            <w:r>
              <w:rPr>
                <w:rFonts w:hint="eastAsia" w:ascii="宋体" w:hAnsi="宋体" w:eastAsia="宋体" w:cs="宋体"/>
                <w:spacing w:val="8"/>
                <w:szCs w:val="21"/>
                <w:lang w:val="en-US" w:eastAsia="zh-CN"/>
              </w:rPr>
              <w:t>.整车质保分阶段落地管控方案。</w:t>
            </w:r>
          </w:p>
          <w:p w14:paraId="287259B9">
            <w:pPr>
              <w:widowControl/>
              <w:numPr>
                <w:ilvl w:val="0"/>
                <w:numId w:val="0"/>
              </w:numPr>
              <w:ind w:firstLine="452" w:firstLineChars="200"/>
              <w:jc w:val="left"/>
              <w:textAlignment w:val="center"/>
              <w:rPr>
                <w:rFonts w:hint="eastAsia" w:ascii="宋体" w:hAnsi="宋体" w:eastAsia="宋体" w:cs="宋体"/>
                <w:spacing w:val="8"/>
                <w:szCs w:val="21"/>
                <w:lang w:val="en-US" w:eastAsia="zh-CN"/>
              </w:rPr>
            </w:pPr>
            <w:r>
              <w:rPr>
                <w:rFonts w:hint="eastAsia" w:ascii="宋体" w:hAnsi="宋体" w:eastAsia="宋体" w:cs="宋体"/>
                <w:spacing w:val="8"/>
                <w:szCs w:val="21"/>
                <w:lang w:val="en-US" w:eastAsia="zh-CN"/>
              </w:rPr>
              <w:t>针对采购需求，供应商拟定方案中的内容齐全，符合实际切实可行且无缺陷的得6分（缺陷是指：部分内容与项目无关、逻辑错误、科学原理错误、表述错误、不符合本项目涉及的相关规范或标准要求的任意一种情形），每缺少一项内容扣1.5分，扣完为止；单项内容每存在一处缺陷扣0.5分，单项内容分（1.5分）扣完为止。</w:t>
            </w:r>
          </w:p>
          <w:p w14:paraId="1728B743">
            <w:pPr>
              <w:widowControl/>
              <w:ind w:firstLine="442" w:firstLineChars="200"/>
              <w:jc w:val="left"/>
              <w:textAlignment w:val="center"/>
              <w:rPr>
                <w:rFonts w:hint="default" w:ascii="宋体" w:hAnsi="宋体" w:cs="宋体"/>
                <w:spacing w:val="8"/>
                <w:szCs w:val="21"/>
                <w:lang w:val="en-US" w:eastAsia="zh-CN"/>
              </w:rPr>
            </w:pPr>
            <w:r>
              <w:rPr>
                <w:rFonts w:hint="eastAsia" w:ascii="宋体" w:hAnsi="宋体" w:eastAsia="宋体" w:cs="宋体"/>
                <w:b/>
                <w:bCs/>
                <w:color w:val="FF0000"/>
                <w:sz w:val="22"/>
                <w:szCs w:val="22"/>
                <w:highlight w:val="none"/>
                <w:lang w:val="en-US" w:eastAsia="zh-CN"/>
              </w:rPr>
              <w:t>未按要求提供的或</w:t>
            </w:r>
            <w:r>
              <w:rPr>
                <w:rFonts w:hint="eastAsia" w:ascii="宋体" w:hAnsi="宋体" w:eastAsia="宋体" w:cs="宋体"/>
                <w:b/>
                <w:bCs/>
                <w:color w:val="FF0000"/>
                <w:sz w:val="22"/>
                <w:szCs w:val="22"/>
                <w:highlight w:val="none"/>
                <w:lang w:val="zh-CN" w:eastAsia="zh-CN"/>
              </w:rPr>
              <w:t>未提供的不得分。</w:t>
            </w:r>
          </w:p>
        </w:tc>
        <w:tc>
          <w:tcPr>
            <w:tcW w:w="877" w:type="dxa"/>
            <w:noWrap w:val="0"/>
            <w:vAlign w:val="center"/>
          </w:tcPr>
          <w:p w14:paraId="1BA18344">
            <w:pPr>
              <w:jc w:val="center"/>
              <w:rPr>
                <w:rFonts w:hint="default" w:ascii="宋体" w:hAnsi="宋体" w:eastAsia="宋体" w:cs="宋体"/>
                <w:sz w:val="21"/>
                <w:szCs w:val="21"/>
                <w:lang w:val="en-US" w:eastAsia="zh-CN"/>
              </w:rPr>
            </w:pPr>
            <w:r>
              <w:rPr>
                <w:rFonts w:hint="eastAsia" w:ascii="宋体" w:hAnsi="宋体" w:eastAsia="宋体" w:cs="宋体"/>
                <w:sz w:val="21"/>
                <w:szCs w:val="21"/>
                <w:lang w:val="en-US" w:eastAsia="zh-CN"/>
              </w:rPr>
              <w:t>6分</w:t>
            </w:r>
          </w:p>
        </w:tc>
      </w:tr>
      <w:tr w14:paraId="1EE3559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7" w:hRule="atLeast"/>
        </w:trPr>
        <w:tc>
          <w:tcPr>
            <w:tcW w:w="588" w:type="dxa"/>
            <w:noWrap w:val="0"/>
            <w:vAlign w:val="center"/>
          </w:tcPr>
          <w:p w14:paraId="13461AE8">
            <w:pPr>
              <w:widowControl/>
              <w:jc w:val="center"/>
              <w:textAlignment w:val="center"/>
              <w:rPr>
                <w:rFonts w:hint="default" w:ascii="宋体" w:hAnsi="宋体" w:eastAsia="宋体" w:cs="宋体"/>
                <w:sz w:val="21"/>
                <w:szCs w:val="21"/>
                <w:lang w:val="en-US" w:eastAsia="zh-CN"/>
              </w:rPr>
            </w:pPr>
            <w:r>
              <w:rPr>
                <w:rFonts w:hint="eastAsia" w:ascii="宋体" w:hAnsi="宋体" w:eastAsia="宋体" w:cs="宋体"/>
                <w:sz w:val="21"/>
                <w:szCs w:val="21"/>
                <w:lang w:val="en-US" w:eastAsia="zh-CN"/>
              </w:rPr>
              <w:t>3.4</w:t>
            </w:r>
          </w:p>
        </w:tc>
        <w:tc>
          <w:tcPr>
            <w:tcW w:w="914" w:type="dxa"/>
            <w:noWrap w:val="0"/>
            <w:vAlign w:val="center"/>
          </w:tcPr>
          <w:p w14:paraId="2484218D">
            <w:pPr>
              <w:widowControl/>
              <w:jc w:val="center"/>
              <w:textAlignment w:val="center"/>
              <w:rPr>
                <w:rFonts w:hint="default" w:ascii="宋体" w:hAnsi="宋体" w:eastAsia="宋体" w:cs="宋体"/>
                <w:sz w:val="21"/>
                <w:szCs w:val="21"/>
                <w:lang w:val="en-US" w:eastAsia="zh-CN"/>
              </w:rPr>
            </w:pPr>
            <w:r>
              <w:rPr>
                <w:rFonts w:hint="default" w:ascii="宋体" w:hAnsi="宋体" w:eastAsia="宋体" w:cs="宋体"/>
                <w:sz w:val="21"/>
                <w:szCs w:val="21"/>
                <w:lang w:val="en-US" w:eastAsia="zh-CN"/>
              </w:rPr>
              <w:t>专项</w:t>
            </w:r>
          </w:p>
          <w:p w14:paraId="3F50E503">
            <w:pPr>
              <w:widowControl/>
              <w:jc w:val="center"/>
              <w:textAlignment w:val="center"/>
              <w:rPr>
                <w:rFonts w:hint="default" w:ascii="宋体" w:hAnsi="宋体" w:eastAsia="宋体" w:cs="宋体"/>
                <w:sz w:val="21"/>
                <w:szCs w:val="21"/>
                <w:lang w:val="en-US" w:eastAsia="zh-CN"/>
              </w:rPr>
            </w:pPr>
            <w:r>
              <w:rPr>
                <w:rFonts w:hint="default" w:ascii="宋体" w:hAnsi="宋体" w:eastAsia="宋体" w:cs="宋体"/>
                <w:sz w:val="21"/>
                <w:szCs w:val="21"/>
                <w:lang w:val="en-US" w:eastAsia="zh-CN"/>
              </w:rPr>
              <w:t>培训</w:t>
            </w:r>
          </w:p>
          <w:p w14:paraId="19574C47">
            <w:pPr>
              <w:widowControl/>
              <w:jc w:val="center"/>
              <w:textAlignment w:val="center"/>
              <w:rPr>
                <w:rFonts w:hint="default" w:ascii="宋体" w:hAnsi="宋体" w:eastAsia="宋体" w:cs="宋体"/>
                <w:sz w:val="21"/>
                <w:szCs w:val="21"/>
                <w:lang w:val="en-US" w:eastAsia="zh-CN"/>
              </w:rPr>
            </w:pPr>
            <w:r>
              <w:rPr>
                <w:rFonts w:hint="default" w:ascii="宋体" w:hAnsi="宋体" w:eastAsia="宋体" w:cs="宋体"/>
                <w:sz w:val="21"/>
                <w:szCs w:val="21"/>
                <w:lang w:val="en-US" w:eastAsia="zh-CN"/>
              </w:rPr>
              <w:t>方案</w:t>
            </w:r>
          </w:p>
        </w:tc>
        <w:tc>
          <w:tcPr>
            <w:tcW w:w="6832" w:type="dxa"/>
            <w:noWrap w:val="0"/>
            <w:vAlign w:val="center"/>
          </w:tcPr>
          <w:p w14:paraId="6AD72415">
            <w:pPr>
              <w:widowControl/>
              <w:numPr>
                <w:ilvl w:val="0"/>
                <w:numId w:val="0"/>
              </w:numPr>
              <w:jc w:val="left"/>
              <w:textAlignment w:val="center"/>
              <w:rPr>
                <w:rFonts w:hint="eastAsia" w:ascii="宋体" w:hAnsi="宋体" w:eastAsia="宋体" w:cs="宋体"/>
                <w:spacing w:val="8"/>
                <w:szCs w:val="21"/>
                <w:lang w:val="en-US" w:eastAsia="zh-CN"/>
              </w:rPr>
            </w:pPr>
            <w:r>
              <w:rPr>
                <w:rFonts w:hint="eastAsia" w:ascii="宋体" w:hAnsi="宋体" w:eastAsia="宋体" w:cs="宋体"/>
                <w:spacing w:val="8"/>
                <w:szCs w:val="21"/>
                <w:lang w:val="en-US" w:eastAsia="zh-CN"/>
              </w:rPr>
              <w:t>专项培训方案（</w:t>
            </w:r>
            <w:r>
              <w:rPr>
                <w:rFonts w:hint="eastAsia" w:ascii="宋体" w:hAnsi="宋体" w:cs="宋体"/>
                <w:spacing w:val="8"/>
                <w:szCs w:val="21"/>
                <w:lang w:val="en-US" w:eastAsia="zh-CN"/>
              </w:rPr>
              <w:t>6</w:t>
            </w:r>
            <w:r>
              <w:rPr>
                <w:rFonts w:hint="eastAsia" w:ascii="宋体" w:hAnsi="宋体" w:eastAsia="宋体" w:cs="宋体"/>
                <w:spacing w:val="8"/>
                <w:szCs w:val="21"/>
                <w:lang w:val="en-US" w:eastAsia="zh-CN"/>
              </w:rPr>
              <w:t>分）：</w:t>
            </w:r>
          </w:p>
          <w:p w14:paraId="467F4E90">
            <w:pPr>
              <w:widowControl/>
              <w:numPr>
                <w:ilvl w:val="0"/>
                <w:numId w:val="0"/>
              </w:numPr>
              <w:ind w:firstLine="452" w:firstLineChars="200"/>
              <w:jc w:val="left"/>
              <w:textAlignment w:val="center"/>
              <w:rPr>
                <w:rFonts w:hint="eastAsia" w:ascii="宋体" w:hAnsi="宋体" w:eastAsia="宋体" w:cs="宋体"/>
                <w:spacing w:val="8"/>
                <w:szCs w:val="21"/>
                <w:lang w:val="en-US" w:eastAsia="zh-CN"/>
              </w:rPr>
            </w:pPr>
            <w:r>
              <w:rPr>
                <w:rFonts w:hint="eastAsia" w:ascii="宋体" w:hAnsi="宋体" w:eastAsia="宋体" w:cs="宋体"/>
                <w:spacing w:val="8"/>
                <w:szCs w:val="21"/>
                <w:lang w:val="en-US" w:eastAsia="zh-CN"/>
              </w:rPr>
              <w:t>投标人应根据采购需求和本项目的特点制定专项培训方案</w:t>
            </w:r>
            <w:r>
              <w:rPr>
                <w:rFonts w:hint="eastAsia" w:ascii="宋体" w:hAnsi="宋体" w:eastAsia="宋体" w:cs="宋体"/>
                <w:spacing w:val="8"/>
                <w:szCs w:val="21"/>
                <w:lang w:val="zh-CN" w:eastAsia="zh-CN"/>
              </w:rPr>
              <w:t>，</w:t>
            </w:r>
            <w:r>
              <w:rPr>
                <w:rFonts w:hint="eastAsia" w:ascii="宋体" w:hAnsi="宋体" w:eastAsia="宋体" w:cs="宋体"/>
                <w:spacing w:val="8"/>
                <w:szCs w:val="21"/>
                <w:lang w:val="en-US" w:eastAsia="zh-CN"/>
              </w:rPr>
              <w:t>方案</w:t>
            </w:r>
            <w:r>
              <w:rPr>
                <w:rFonts w:hint="eastAsia" w:ascii="宋体" w:hAnsi="宋体" w:eastAsia="宋体" w:cs="宋体"/>
                <w:spacing w:val="8"/>
                <w:szCs w:val="21"/>
                <w:lang w:val="zh-CN" w:eastAsia="zh-CN"/>
              </w:rPr>
              <w:t>包括</w:t>
            </w:r>
            <w:r>
              <w:rPr>
                <w:rFonts w:hint="eastAsia" w:ascii="宋体" w:hAnsi="宋体" w:eastAsia="宋体" w:cs="宋体"/>
                <w:spacing w:val="8"/>
                <w:szCs w:val="21"/>
                <w:lang w:val="en-US" w:eastAsia="zh-CN"/>
              </w:rPr>
              <w:t>但不限于以下内容：</w:t>
            </w:r>
          </w:p>
          <w:p w14:paraId="2E6A5155">
            <w:pPr>
              <w:widowControl/>
              <w:numPr>
                <w:ilvl w:val="0"/>
                <w:numId w:val="0"/>
              </w:numPr>
              <w:jc w:val="left"/>
              <w:textAlignment w:val="center"/>
              <w:rPr>
                <w:rFonts w:hint="eastAsia" w:ascii="宋体" w:hAnsi="宋体" w:cs="宋体"/>
                <w:spacing w:val="8"/>
                <w:szCs w:val="21"/>
                <w:lang w:val="en-US" w:eastAsia="zh-CN"/>
              </w:rPr>
            </w:pPr>
            <w:r>
              <w:rPr>
                <w:rFonts w:hint="eastAsia" w:ascii="宋体" w:hAnsi="宋体" w:cs="宋体"/>
                <w:spacing w:val="8"/>
                <w:szCs w:val="21"/>
                <w:lang w:val="en-US" w:eastAsia="zh-CN"/>
              </w:rPr>
              <w:t>1.分层分类全员定制培训方案；</w:t>
            </w:r>
          </w:p>
          <w:p w14:paraId="0987B295">
            <w:pPr>
              <w:widowControl/>
              <w:numPr>
                <w:ilvl w:val="0"/>
                <w:numId w:val="0"/>
              </w:numPr>
              <w:jc w:val="left"/>
              <w:textAlignment w:val="center"/>
              <w:rPr>
                <w:rFonts w:hint="default" w:ascii="宋体" w:hAnsi="宋体" w:cs="宋体"/>
                <w:spacing w:val="8"/>
                <w:szCs w:val="21"/>
                <w:lang w:val="en-US" w:eastAsia="zh-CN"/>
              </w:rPr>
            </w:pPr>
            <w:r>
              <w:rPr>
                <w:rFonts w:hint="eastAsia" w:ascii="宋体" w:hAnsi="宋体" w:cs="宋体"/>
                <w:spacing w:val="8"/>
                <w:szCs w:val="21"/>
                <w:lang w:val="en-US" w:eastAsia="zh-CN"/>
              </w:rPr>
              <w:t>2.整车底盘与行车安全操作培训方案；</w:t>
            </w:r>
          </w:p>
          <w:p w14:paraId="1EAC9016">
            <w:pPr>
              <w:widowControl/>
              <w:numPr>
                <w:ilvl w:val="0"/>
                <w:numId w:val="0"/>
              </w:numPr>
              <w:jc w:val="left"/>
              <w:textAlignment w:val="center"/>
              <w:rPr>
                <w:rFonts w:hint="default" w:ascii="宋体" w:hAnsi="宋体" w:cs="宋体"/>
                <w:spacing w:val="8"/>
                <w:szCs w:val="21"/>
                <w:lang w:val="en-US" w:eastAsia="zh-CN"/>
              </w:rPr>
            </w:pPr>
            <w:r>
              <w:rPr>
                <w:rFonts w:hint="eastAsia" w:ascii="宋体" w:hAnsi="宋体" w:cs="宋体"/>
                <w:spacing w:val="8"/>
                <w:szCs w:val="21"/>
                <w:lang w:val="en-US" w:eastAsia="zh-CN"/>
              </w:rPr>
              <w:t>3.车载急救设备实操专项培训方案；</w:t>
            </w:r>
          </w:p>
          <w:p w14:paraId="5FC51158">
            <w:pPr>
              <w:widowControl/>
              <w:numPr>
                <w:ilvl w:val="0"/>
                <w:numId w:val="0"/>
              </w:numPr>
              <w:jc w:val="left"/>
              <w:textAlignment w:val="center"/>
              <w:rPr>
                <w:rFonts w:hint="default" w:ascii="宋体" w:hAnsi="宋体" w:cs="宋体"/>
                <w:spacing w:val="8"/>
                <w:szCs w:val="21"/>
                <w:lang w:val="en-US" w:eastAsia="zh-CN"/>
              </w:rPr>
            </w:pPr>
            <w:r>
              <w:rPr>
                <w:rFonts w:hint="eastAsia" w:ascii="宋体" w:hAnsi="宋体" w:cs="宋体"/>
                <w:spacing w:val="8"/>
                <w:szCs w:val="21"/>
                <w:lang w:val="en-US" w:eastAsia="zh-CN"/>
              </w:rPr>
              <w:t>4.整车电气、负压、供氧系统运维培训方案。</w:t>
            </w:r>
          </w:p>
          <w:p w14:paraId="306250B3">
            <w:pPr>
              <w:widowControl/>
              <w:numPr>
                <w:ilvl w:val="0"/>
                <w:numId w:val="0"/>
              </w:numPr>
              <w:ind w:firstLine="452" w:firstLineChars="200"/>
              <w:jc w:val="left"/>
              <w:textAlignment w:val="center"/>
              <w:rPr>
                <w:rFonts w:hint="eastAsia" w:ascii="宋体" w:hAnsi="宋体" w:eastAsia="宋体" w:cs="宋体"/>
                <w:spacing w:val="8"/>
                <w:szCs w:val="21"/>
                <w:lang w:val="en-US" w:eastAsia="zh-CN"/>
              </w:rPr>
            </w:pPr>
            <w:r>
              <w:rPr>
                <w:rFonts w:hint="eastAsia" w:ascii="宋体" w:hAnsi="宋体" w:eastAsia="宋体" w:cs="宋体"/>
                <w:spacing w:val="8"/>
                <w:szCs w:val="21"/>
                <w:lang w:val="en-US" w:eastAsia="zh-CN"/>
              </w:rPr>
              <w:t>针对采购需求，供应商拟定方案中的内容齐全，符合实际切实可行且无缺陷的得6分（缺陷是指：部分内容与项目无关、逻辑错误、科学原理错误、表述错误、不符合本项目涉及的相关规范或标准要求的任意一种情形），每缺少一项内容扣1.5分，扣完为止；单项内容每存在一处缺陷扣0.5分，单项内容分（1.5分）扣完为止。</w:t>
            </w:r>
          </w:p>
          <w:p w14:paraId="39491516">
            <w:pPr>
              <w:widowControl/>
              <w:ind w:firstLine="442" w:firstLineChars="200"/>
              <w:jc w:val="left"/>
              <w:textAlignment w:val="center"/>
              <w:rPr>
                <w:rFonts w:hint="default" w:ascii="宋体" w:hAnsi="宋体" w:eastAsia="宋体" w:cs="宋体"/>
                <w:b/>
                <w:bCs/>
                <w:color w:val="FF0000"/>
                <w:sz w:val="21"/>
                <w:szCs w:val="21"/>
                <w:lang w:val="en-US" w:eastAsia="zh-CN"/>
              </w:rPr>
            </w:pPr>
            <w:r>
              <w:rPr>
                <w:rFonts w:hint="eastAsia" w:ascii="宋体" w:hAnsi="宋体" w:eastAsia="宋体" w:cs="宋体"/>
                <w:b/>
                <w:bCs/>
                <w:color w:val="FF0000"/>
                <w:sz w:val="22"/>
                <w:szCs w:val="22"/>
                <w:highlight w:val="none"/>
                <w:lang w:val="en-US" w:eastAsia="zh-CN"/>
              </w:rPr>
              <w:t>未按要求提供的或</w:t>
            </w:r>
            <w:r>
              <w:rPr>
                <w:rFonts w:hint="eastAsia" w:ascii="宋体" w:hAnsi="宋体" w:eastAsia="宋体" w:cs="宋体"/>
                <w:b/>
                <w:bCs/>
                <w:color w:val="FF0000"/>
                <w:sz w:val="22"/>
                <w:szCs w:val="22"/>
                <w:highlight w:val="none"/>
                <w:lang w:val="zh-CN" w:eastAsia="zh-CN"/>
              </w:rPr>
              <w:t>未提供的不得分。</w:t>
            </w:r>
          </w:p>
        </w:tc>
        <w:tc>
          <w:tcPr>
            <w:tcW w:w="877" w:type="dxa"/>
            <w:noWrap w:val="0"/>
            <w:vAlign w:val="center"/>
          </w:tcPr>
          <w:p w14:paraId="0692522D">
            <w:pPr>
              <w:jc w:val="center"/>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6分</w:t>
            </w:r>
          </w:p>
        </w:tc>
      </w:tr>
      <w:tr w14:paraId="6EA790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7" w:hRule="atLeast"/>
        </w:trPr>
        <w:tc>
          <w:tcPr>
            <w:tcW w:w="588" w:type="dxa"/>
            <w:noWrap w:val="0"/>
            <w:vAlign w:val="center"/>
          </w:tcPr>
          <w:p w14:paraId="18DF1F5B">
            <w:pPr>
              <w:widowControl/>
              <w:jc w:val="center"/>
              <w:textAlignment w:val="center"/>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3.5</w:t>
            </w:r>
          </w:p>
        </w:tc>
        <w:tc>
          <w:tcPr>
            <w:tcW w:w="914" w:type="dxa"/>
            <w:noWrap w:val="0"/>
            <w:vAlign w:val="center"/>
          </w:tcPr>
          <w:p w14:paraId="50D3FEF3">
            <w:pPr>
              <w:widowControl/>
              <w:jc w:val="center"/>
              <w:textAlignment w:val="center"/>
              <w:rPr>
                <w:rFonts w:hint="eastAsia" w:ascii="宋体" w:hAnsi="宋体" w:eastAsia="宋体" w:cs="宋体"/>
                <w:spacing w:val="8"/>
                <w:szCs w:val="21"/>
                <w:lang w:val="en-US" w:eastAsia="zh-CN"/>
              </w:rPr>
            </w:pPr>
            <w:r>
              <w:rPr>
                <w:rFonts w:hint="eastAsia" w:ascii="宋体" w:hAnsi="宋体" w:eastAsia="宋体" w:cs="宋体"/>
                <w:spacing w:val="8"/>
                <w:szCs w:val="21"/>
                <w:lang w:val="en-US" w:eastAsia="zh-CN"/>
              </w:rPr>
              <w:t>售后</w:t>
            </w:r>
          </w:p>
          <w:p w14:paraId="6157A40F">
            <w:pPr>
              <w:widowControl/>
              <w:jc w:val="center"/>
              <w:textAlignment w:val="center"/>
              <w:rPr>
                <w:rFonts w:hint="eastAsia" w:ascii="宋体" w:hAnsi="宋体" w:eastAsia="宋体" w:cs="宋体"/>
                <w:spacing w:val="8"/>
                <w:szCs w:val="21"/>
                <w:lang w:val="en-US" w:eastAsia="zh-CN"/>
              </w:rPr>
            </w:pPr>
            <w:r>
              <w:rPr>
                <w:rFonts w:hint="eastAsia" w:ascii="宋体" w:hAnsi="宋体" w:eastAsia="宋体" w:cs="宋体"/>
                <w:spacing w:val="8"/>
                <w:szCs w:val="21"/>
                <w:lang w:val="en-US" w:eastAsia="zh-CN"/>
              </w:rPr>
              <w:t>服务</w:t>
            </w:r>
          </w:p>
          <w:p w14:paraId="087F7BE0">
            <w:pPr>
              <w:widowControl/>
              <w:jc w:val="center"/>
              <w:textAlignment w:val="center"/>
              <w:rPr>
                <w:rFonts w:hint="eastAsia" w:ascii="宋体" w:hAnsi="宋体" w:eastAsia="宋体" w:cs="宋体"/>
                <w:spacing w:val="8"/>
                <w:szCs w:val="21"/>
                <w:lang w:val="en-US" w:eastAsia="zh-CN"/>
              </w:rPr>
            </w:pPr>
            <w:r>
              <w:rPr>
                <w:rFonts w:hint="eastAsia" w:ascii="宋体" w:hAnsi="宋体" w:eastAsia="宋体" w:cs="宋体"/>
                <w:spacing w:val="8"/>
                <w:szCs w:val="21"/>
                <w:lang w:val="en-US" w:eastAsia="zh-CN"/>
              </w:rPr>
              <w:t>保障</w:t>
            </w:r>
          </w:p>
          <w:p w14:paraId="3630B0BB">
            <w:pPr>
              <w:widowControl/>
              <w:jc w:val="center"/>
              <w:textAlignment w:val="center"/>
              <w:rPr>
                <w:rFonts w:hint="default" w:ascii="宋体" w:hAnsi="宋体" w:eastAsia="宋体" w:cs="宋体"/>
                <w:sz w:val="21"/>
                <w:szCs w:val="21"/>
                <w:lang w:val="en-US" w:eastAsia="zh-CN"/>
              </w:rPr>
            </w:pPr>
            <w:r>
              <w:rPr>
                <w:rFonts w:hint="eastAsia" w:ascii="宋体" w:hAnsi="宋体" w:eastAsia="宋体" w:cs="宋体"/>
                <w:spacing w:val="8"/>
                <w:szCs w:val="21"/>
                <w:lang w:val="en-US" w:eastAsia="zh-CN"/>
              </w:rPr>
              <w:t>方案</w:t>
            </w:r>
          </w:p>
        </w:tc>
        <w:tc>
          <w:tcPr>
            <w:tcW w:w="6832" w:type="dxa"/>
            <w:noWrap w:val="0"/>
            <w:vAlign w:val="center"/>
          </w:tcPr>
          <w:p w14:paraId="1313D714">
            <w:pPr>
              <w:widowControl/>
              <w:numPr>
                <w:ilvl w:val="0"/>
                <w:numId w:val="0"/>
              </w:numPr>
              <w:jc w:val="left"/>
              <w:textAlignment w:val="center"/>
              <w:rPr>
                <w:rFonts w:hint="eastAsia" w:ascii="宋体" w:hAnsi="宋体" w:eastAsia="宋体" w:cs="宋体"/>
                <w:spacing w:val="8"/>
                <w:szCs w:val="21"/>
                <w:lang w:val="en-US" w:eastAsia="zh-CN"/>
              </w:rPr>
            </w:pPr>
            <w:r>
              <w:rPr>
                <w:rFonts w:hint="eastAsia" w:ascii="宋体" w:hAnsi="宋体" w:eastAsia="宋体" w:cs="宋体"/>
                <w:spacing w:val="8"/>
                <w:szCs w:val="21"/>
                <w:lang w:val="en-US" w:eastAsia="zh-CN"/>
              </w:rPr>
              <w:t>售后服务保障方案（</w:t>
            </w:r>
            <w:r>
              <w:rPr>
                <w:rFonts w:hint="eastAsia" w:ascii="宋体" w:hAnsi="宋体" w:cs="宋体"/>
                <w:spacing w:val="8"/>
                <w:szCs w:val="21"/>
                <w:lang w:val="en-US" w:eastAsia="zh-CN"/>
              </w:rPr>
              <w:t>6</w:t>
            </w:r>
            <w:r>
              <w:rPr>
                <w:rFonts w:hint="eastAsia" w:ascii="宋体" w:hAnsi="宋体" w:eastAsia="宋体" w:cs="宋体"/>
                <w:spacing w:val="8"/>
                <w:szCs w:val="21"/>
                <w:lang w:val="en-US" w:eastAsia="zh-CN"/>
              </w:rPr>
              <w:t>分）：</w:t>
            </w:r>
          </w:p>
          <w:p w14:paraId="69A6A496">
            <w:pPr>
              <w:widowControl/>
              <w:numPr>
                <w:ilvl w:val="0"/>
                <w:numId w:val="0"/>
              </w:numPr>
              <w:ind w:firstLine="452" w:firstLineChars="200"/>
              <w:jc w:val="left"/>
              <w:textAlignment w:val="center"/>
              <w:rPr>
                <w:rFonts w:hint="eastAsia" w:ascii="宋体" w:hAnsi="宋体" w:eastAsia="宋体" w:cs="宋体"/>
                <w:spacing w:val="8"/>
                <w:szCs w:val="21"/>
                <w:lang w:val="en-US" w:eastAsia="zh-CN"/>
              </w:rPr>
            </w:pPr>
            <w:r>
              <w:rPr>
                <w:rFonts w:hint="eastAsia" w:ascii="宋体" w:hAnsi="宋体" w:eastAsia="宋体" w:cs="宋体"/>
                <w:spacing w:val="8"/>
                <w:szCs w:val="21"/>
                <w:lang w:val="en-US" w:eastAsia="zh-CN"/>
              </w:rPr>
              <w:t>投标人应根据采购需求和本项目的特点制定售后服务保障方案</w:t>
            </w:r>
            <w:r>
              <w:rPr>
                <w:rFonts w:hint="eastAsia" w:ascii="宋体" w:hAnsi="宋体" w:eastAsia="宋体" w:cs="宋体"/>
                <w:spacing w:val="8"/>
                <w:szCs w:val="21"/>
                <w:lang w:val="zh-CN" w:eastAsia="zh-CN"/>
              </w:rPr>
              <w:t>，</w:t>
            </w:r>
            <w:r>
              <w:rPr>
                <w:rFonts w:hint="eastAsia" w:ascii="宋体" w:hAnsi="宋体" w:eastAsia="宋体" w:cs="宋体"/>
                <w:spacing w:val="8"/>
                <w:szCs w:val="21"/>
                <w:lang w:val="en-US" w:eastAsia="zh-CN"/>
              </w:rPr>
              <w:t>方案</w:t>
            </w:r>
            <w:r>
              <w:rPr>
                <w:rFonts w:hint="eastAsia" w:ascii="宋体" w:hAnsi="宋体" w:eastAsia="宋体" w:cs="宋体"/>
                <w:spacing w:val="8"/>
                <w:szCs w:val="21"/>
                <w:lang w:val="zh-CN" w:eastAsia="zh-CN"/>
              </w:rPr>
              <w:t>包括</w:t>
            </w:r>
            <w:r>
              <w:rPr>
                <w:rFonts w:hint="eastAsia" w:ascii="宋体" w:hAnsi="宋体" w:eastAsia="宋体" w:cs="宋体"/>
                <w:spacing w:val="8"/>
                <w:szCs w:val="21"/>
                <w:lang w:val="en-US" w:eastAsia="zh-CN"/>
              </w:rPr>
              <w:t>但不限于以下内容：</w:t>
            </w:r>
          </w:p>
          <w:p w14:paraId="19D13882">
            <w:pPr>
              <w:widowControl/>
              <w:numPr>
                <w:ilvl w:val="0"/>
                <w:numId w:val="0"/>
              </w:numPr>
              <w:jc w:val="left"/>
              <w:textAlignment w:val="center"/>
              <w:rPr>
                <w:rFonts w:hint="eastAsia" w:ascii="宋体" w:hAnsi="宋体" w:cs="宋体"/>
                <w:spacing w:val="8"/>
                <w:szCs w:val="21"/>
                <w:lang w:val="en-US" w:eastAsia="zh-CN"/>
              </w:rPr>
            </w:pPr>
            <w:r>
              <w:rPr>
                <w:rFonts w:hint="eastAsia" w:ascii="宋体" w:hAnsi="宋体" w:cs="宋体"/>
                <w:spacing w:val="8"/>
                <w:szCs w:val="21"/>
                <w:lang w:val="en-US" w:eastAsia="zh-CN"/>
              </w:rPr>
              <w:t>1.全天候响应报修方案；</w:t>
            </w:r>
          </w:p>
          <w:p w14:paraId="64286F61">
            <w:pPr>
              <w:widowControl/>
              <w:numPr>
                <w:ilvl w:val="0"/>
                <w:numId w:val="0"/>
              </w:numPr>
              <w:jc w:val="left"/>
              <w:textAlignment w:val="center"/>
              <w:rPr>
                <w:rFonts w:hint="default" w:ascii="宋体" w:hAnsi="宋体" w:cs="宋体"/>
                <w:spacing w:val="8"/>
                <w:szCs w:val="21"/>
                <w:lang w:val="en-US" w:eastAsia="zh-CN"/>
              </w:rPr>
            </w:pPr>
            <w:r>
              <w:rPr>
                <w:rFonts w:hint="eastAsia" w:ascii="宋体" w:hAnsi="宋体" w:cs="宋体"/>
                <w:spacing w:val="8"/>
                <w:szCs w:val="21"/>
                <w:lang w:val="en-US" w:eastAsia="zh-CN"/>
              </w:rPr>
              <w:t>2.分周期免费上门巡检维保方案；</w:t>
            </w:r>
          </w:p>
          <w:p w14:paraId="59D5AB10">
            <w:pPr>
              <w:widowControl/>
              <w:numPr>
                <w:ilvl w:val="0"/>
                <w:numId w:val="0"/>
              </w:numPr>
              <w:jc w:val="left"/>
              <w:textAlignment w:val="center"/>
              <w:rPr>
                <w:rFonts w:hint="default" w:ascii="宋体" w:hAnsi="宋体" w:cs="宋体"/>
                <w:spacing w:val="8"/>
                <w:szCs w:val="21"/>
                <w:lang w:val="en-US" w:eastAsia="zh-CN"/>
              </w:rPr>
            </w:pPr>
            <w:r>
              <w:rPr>
                <w:rFonts w:hint="eastAsia" w:ascii="宋体" w:hAnsi="宋体" w:cs="宋体"/>
                <w:spacing w:val="8"/>
                <w:szCs w:val="21"/>
                <w:lang w:val="en-US" w:eastAsia="zh-CN"/>
              </w:rPr>
              <w:t>3.原厂备件长效供应与故障赔付方案；</w:t>
            </w:r>
          </w:p>
          <w:p w14:paraId="5483FEC4">
            <w:pPr>
              <w:widowControl/>
              <w:numPr>
                <w:ilvl w:val="0"/>
                <w:numId w:val="0"/>
              </w:numPr>
              <w:jc w:val="left"/>
              <w:textAlignment w:val="center"/>
              <w:rPr>
                <w:rFonts w:hint="default" w:ascii="宋体" w:hAnsi="宋体" w:cs="宋体"/>
                <w:spacing w:val="8"/>
                <w:szCs w:val="21"/>
                <w:lang w:val="en-US" w:eastAsia="zh-CN"/>
              </w:rPr>
            </w:pPr>
            <w:r>
              <w:rPr>
                <w:rFonts w:hint="eastAsia" w:ascii="宋体" w:hAnsi="宋体" w:cs="宋体"/>
                <w:spacing w:val="8"/>
                <w:szCs w:val="21"/>
                <w:lang w:val="en-US" w:eastAsia="zh-CN"/>
              </w:rPr>
              <w:t>4.质保到期长效技术支持服务方案。</w:t>
            </w:r>
          </w:p>
          <w:p w14:paraId="0D463DC7">
            <w:pPr>
              <w:widowControl/>
              <w:numPr>
                <w:ilvl w:val="0"/>
                <w:numId w:val="0"/>
              </w:numPr>
              <w:ind w:firstLine="452" w:firstLineChars="200"/>
              <w:jc w:val="left"/>
              <w:textAlignment w:val="center"/>
              <w:rPr>
                <w:rFonts w:hint="eastAsia" w:ascii="宋体" w:hAnsi="宋体" w:eastAsia="宋体" w:cs="宋体"/>
                <w:spacing w:val="8"/>
                <w:szCs w:val="21"/>
                <w:lang w:val="en-US" w:eastAsia="zh-CN"/>
              </w:rPr>
            </w:pPr>
            <w:r>
              <w:rPr>
                <w:rFonts w:hint="eastAsia" w:ascii="宋体" w:hAnsi="宋体" w:eastAsia="宋体" w:cs="宋体"/>
                <w:spacing w:val="8"/>
                <w:szCs w:val="21"/>
                <w:lang w:val="en-US" w:eastAsia="zh-CN"/>
              </w:rPr>
              <w:t>针对采购需求，供应商拟定方案中的内容齐全，符合实际切实可行且无缺陷的得6分（缺陷是指：部分内容与项目无关、逻辑错误、科学原理错误、表述错误、不符合本项目涉及的相关规范或标准要求的任意一种情形），每缺少一项内容扣1.5分，扣完为止；单项内容每存在一处缺陷扣0.5分，单项内容分（1.5分）扣完为止。</w:t>
            </w:r>
          </w:p>
          <w:p w14:paraId="330DD1A9">
            <w:pPr>
              <w:widowControl/>
              <w:ind w:firstLine="442" w:firstLineChars="200"/>
              <w:jc w:val="left"/>
              <w:textAlignment w:val="center"/>
              <w:rPr>
                <w:rFonts w:hint="eastAsia" w:ascii="宋体" w:hAnsi="宋体" w:eastAsia="宋体" w:cs="宋体"/>
                <w:b/>
                <w:bCs/>
                <w:color w:val="FF0000"/>
                <w:sz w:val="22"/>
                <w:szCs w:val="22"/>
                <w:highlight w:val="none"/>
                <w:lang w:val="en-US" w:eastAsia="zh-CN"/>
              </w:rPr>
            </w:pPr>
            <w:r>
              <w:rPr>
                <w:rFonts w:hint="eastAsia" w:ascii="宋体" w:hAnsi="宋体" w:eastAsia="宋体" w:cs="宋体"/>
                <w:b/>
                <w:bCs/>
                <w:color w:val="FF0000"/>
                <w:sz w:val="22"/>
                <w:szCs w:val="22"/>
                <w:highlight w:val="none"/>
                <w:lang w:val="en-US" w:eastAsia="zh-CN"/>
              </w:rPr>
              <w:t>未按要求提供的或</w:t>
            </w:r>
            <w:r>
              <w:rPr>
                <w:rFonts w:hint="eastAsia" w:ascii="宋体" w:hAnsi="宋体" w:eastAsia="宋体" w:cs="宋体"/>
                <w:b/>
                <w:bCs/>
                <w:color w:val="FF0000"/>
                <w:sz w:val="22"/>
                <w:szCs w:val="22"/>
                <w:highlight w:val="none"/>
                <w:lang w:val="zh-CN" w:eastAsia="zh-CN"/>
              </w:rPr>
              <w:t>未提供的不得分。</w:t>
            </w:r>
          </w:p>
        </w:tc>
        <w:tc>
          <w:tcPr>
            <w:tcW w:w="877" w:type="dxa"/>
            <w:noWrap w:val="0"/>
            <w:vAlign w:val="center"/>
          </w:tcPr>
          <w:p w14:paraId="6647B63E">
            <w:pPr>
              <w:jc w:val="center"/>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6分</w:t>
            </w:r>
          </w:p>
        </w:tc>
      </w:tr>
      <w:tr w14:paraId="6A0B8A9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7" w:hRule="atLeast"/>
        </w:trPr>
        <w:tc>
          <w:tcPr>
            <w:tcW w:w="9211" w:type="dxa"/>
            <w:gridSpan w:val="4"/>
            <w:noWrap w:val="0"/>
            <w:vAlign w:val="center"/>
          </w:tcPr>
          <w:p w14:paraId="42B7840F">
            <w:pPr>
              <w:jc w:val="center"/>
              <w:rPr>
                <w:rFonts w:hint="default" w:ascii="宋体" w:hAnsi="宋体" w:eastAsia="宋体" w:cs="宋体"/>
                <w:sz w:val="21"/>
                <w:szCs w:val="21"/>
                <w:lang w:val="en-US" w:eastAsia="zh-CN"/>
              </w:rPr>
            </w:pPr>
            <w:r>
              <w:rPr>
                <w:rFonts w:hint="eastAsia" w:ascii="宋体" w:hAnsi="宋体" w:eastAsia="宋体" w:cs="宋体"/>
                <w:b/>
                <w:bCs/>
                <w:sz w:val="21"/>
                <w:szCs w:val="21"/>
                <w:lang w:val="en-US" w:eastAsia="zh-CN"/>
              </w:rPr>
              <w:t>四、节能环保（</w:t>
            </w:r>
            <w:r>
              <w:rPr>
                <w:rFonts w:hint="eastAsia" w:ascii="宋体" w:hAnsi="宋体" w:cs="宋体"/>
                <w:b/>
                <w:bCs/>
                <w:sz w:val="21"/>
                <w:szCs w:val="21"/>
                <w:lang w:val="en-US" w:eastAsia="zh-CN"/>
              </w:rPr>
              <w:t>2</w:t>
            </w:r>
            <w:r>
              <w:rPr>
                <w:rFonts w:hint="eastAsia" w:ascii="宋体" w:hAnsi="宋体" w:eastAsia="宋体" w:cs="宋体"/>
                <w:b/>
                <w:bCs/>
                <w:sz w:val="21"/>
                <w:szCs w:val="21"/>
                <w:lang w:val="en-US" w:eastAsia="zh-CN"/>
              </w:rPr>
              <w:t>分）</w:t>
            </w:r>
          </w:p>
        </w:tc>
      </w:tr>
      <w:tr w14:paraId="0B7B0C6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7" w:hRule="atLeast"/>
        </w:trPr>
        <w:tc>
          <w:tcPr>
            <w:tcW w:w="588" w:type="dxa"/>
            <w:vMerge w:val="restart"/>
            <w:noWrap w:val="0"/>
            <w:vAlign w:val="center"/>
          </w:tcPr>
          <w:p w14:paraId="413BFEA7">
            <w:pPr>
              <w:jc w:val="center"/>
              <w:rPr>
                <w:rFonts w:hint="default" w:ascii="宋体" w:hAnsi="宋体" w:eastAsia="宋体" w:cs="宋体"/>
                <w:sz w:val="21"/>
                <w:szCs w:val="21"/>
                <w:lang w:val="en-US" w:eastAsia="zh-CN"/>
              </w:rPr>
            </w:pPr>
            <w:r>
              <w:rPr>
                <w:rFonts w:hint="eastAsia" w:ascii="宋体" w:hAnsi="宋体" w:eastAsia="宋体" w:cs="宋体"/>
                <w:sz w:val="21"/>
                <w:szCs w:val="21"/>
                <w:lang w:val="en-US" w:eastAsia="zh-CN"/>
              </w:rPr>
              <w:t>4.1</w:t>
            </w:r>
          </w:p>
        </w:tc>
        <w:tc>
          <w:tcPr>
            <w:tcW w:w="914" w:type="dxa"/>
            <w:vMerge w:val="restart"/>
            <w:noWrap w:val="0"/>
            <w:vAlign w:val="center"/>
          </w:tcPr>
          <w:p w14:paraId="396C0AA1">
            <w:pPr>
              <w:jc w:val="center"/>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项目</w:t>
            </w:r>
          </w:p>
          <w:p w14:paraId="1C306684">
            <w:pPr>
              <w:jc w:val="center"/>
              <w:rPr>
                <w:rFonts w:hint="eastAsia" w:ascii="宋体" w:hAnsi="宋体" w:eastAsia="宋体" w:cs="宋体"/>
                <w:color w:val="000000"/>
                <w:sz w:val="21"/>
                <w:szCs w:val="21"/>
                <w:lang w:val="en-US" w:eastAsia="zh-CN"/>
              </w:rPr>
            </w:pPr>
            <w:r>
              <w:rPr>
                <w:rFonts w:hint="eastAsia" w:ascii="宋体" w:hAnsi="宋体" w:eastAsia="宋体" w:cs="宋体"/>
                <w:sz w:val="21"/>
                <w:szCs w:val="21"/>
                <w:lang w:val="en-US" w:eastAsia="zh-CN"/>
              </w:rPr>
              <w:t>保险</w:t>
            </w:r>
          </w:p>
        </w:tc>
        <w:tc>
          <w:tcPr>
            <w:tcW w:w="6832" w:type="dxa"/>
            <w:noWrap w:val="0"/>
            <w:vAlign w:val="center"/>
          </w:tcPr>
          <w:p w14:paraId="2BDC68A6">
            <w:pPr>
              <w:widowControl/>
              <w:ind w:firstLine="420" w:firstLineChars="200"/>
              <w:jc w:val="left"/>
              <w:textAlignment w:val="center"/>
              <w:rPr>
                <w:rFonts w:hint="default" w:ascii="宋体" w:hAnsi="宋体" w:eastAsia="宋体" w:cs="宋体"/>
                <w:b/>
                <w:bCs/>
                <w:color w:val="FF0000"/>
                <w:sz w:val="21"/>
                <w:szCs w:val="21"/>
                <w:lang w:val="en-US" w:eastAsia="zh-CN"/>
              </w:rPr>
            </w:pPr>
            <w:r>
              <w:rPr>
                <w:rFonts w:hint="eastAsia" w:ascii="宋体" w:hAnsi="宋体" w:eastAsia="宋体" w:cs="宋体"/>
                <w:szCs w:val="21"/>
                <w:lang w:val="en-US" w:eastAsia="zh-CN"/>
              </w:rPr>
              <w:t>1.投标产品属于财政部、国家发展改革委公布的“节能产品品目清单”范围内的，投标人提供国家确定的认证机构出具的、处于有效期之内的该节能产品认证证书原件彩色扫描件的得</w:t>
            </w:r>
            <w:r>
              <w:rPr>
                <w:rFonts w:hint="eastAsia" w:ascii="宋体" w:hAnsi="宋体" w:cs="宋体"/>
                <w:szCs w:val="21"/>
                <w:lang w:val="en-US" w:eastAsia="zh-CN"/>
              </w:rPr>
              <w:t>1</w:t>
            </w:r>
            <w:r>
              <w:rPr>
                <w:rFonts w:hint="eastAsia" w:ascii="宋体" w:hAnsi="宋体" w:eastAsia="宋体" w:cs="宋体"/>
                <w:szCs w:val="21"/>
                <w:lang w:val="en-US" w:eastAsia="zh-CN"/>
              </w:rPr>
              <w:t>分。如投标产品均属于政府强制采购节能产品品目清单范围内，本项不得分。</w:t>
            </w:r>
          </w:p>
        </w:tc>
        <w:tc>
          <w:tcPr>
            <w:tcW w:w="877" w:type="dxa"/>
            <w:vMerge w:val="restart"/>
            <w:noWrap w:val="0"/>
            <w:vAlign w:val="center"/>
          </w:tcPr>
          <w:p w14:paraId="16BE17F3">
            <w:pPr>
              <w:jc w:val="center"/>
              <w:rPr>
                <w:rFonts w:hint="eastAsia" w:ascii="宋体" w:hAnsi="宋体" w:eastAsia="宋体" w:cs="宋体"/>
                <w:sz w:val="21"/>
                <w:szCs w:val="21"/>
                <w:lang w:val="en-US" w:eastAsia="zh-CN"/>
              </w:rPr>
            </w:pPr>
            <w:r>
              <w:rPr>
                <w:rFonts w:hint="eastAsia" w:ascii="宋体" w:hAnsi="宋体" w:cs="宋体"/>
                <w:sz w:val="21"/>
                <w:szCs w:val="21"/>
                <w:lang w:val="en-US" w:eastAsia="zh-CN"/>
              </w:rPr>
              <w:t>2</w:t>
            </w:r>
            <w:r>
              <w:rPr>
                <w:rFonts w:hint="eastAsia" w:ascii="宋体" w:hAnsi="宋体" w:eastAsia="宋体" w:cs="宋体"/>
                <w:sz w:val="21"/>
                <w:szCs w:val="21"/>
              </w:rPr>
              <w:t>分</w:t>
            </w:r>
          </w:p>
        </w:tc>
      </w:tr>
      <w:tr w14:paraId="730561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7" w:hRule="atLeast"/>
        </w:trPr>
        <w:tc>
          <w:tcPr>
            <w:tcW w:w="588" w:type="dxa"/>
            <w:vMerge w:val="continue"/>
            <w:noWrap w:val="0"/>
            <w:vAlign w:val="center"/>
          </w:tcPr>
          <w:p w14:paraId="5AE122F3">
            <w:pPr>
              <w:jc w:val="center"/>
              <w:rPr>
                <w:rFonts w:hint="eastAsia" w:ascii="宋体" w:hAnsi="宋体" w:eastAsia="宋体" w:cs="宋体"/>
                <w:sz w:val="21"/>
                <w:szCs w:val="21"/>
                <w:lang w:val="en-US" w:eastAsia="zh-CN"/>
              </w:rPr>
            </w:pPr>
          </w:p>
        </w:tc>
        <w:tc>
          <w:tcPr>
            <w:tcW w:w="914" w:type="dxa"/>
            <w:vMerge w:val="continue"/>
            <w:noWrap w:val="0"/>
            <w:vAlign w:val="center"/>
          </w:tcPr>
          <w:p w14:paraId="0A4AF877">
            <w:pPr>
              <w:jc w:val="center"/>
              <w:rPr>
                <w:rFonts w:hint="eastAsia" w:ascii="宋体" w:hAnsi="宋体" w:eastAsia="宋体" w:cs="宋体"/>
                <w:sz w:val="21"/>
                <w:szCs w:val="21"/>
                <w:lang w:val="en-US" w:eastAsia="zh-CN"/>
              </w:rPr>
            </w:pPr>
          </w:p>
        </w:tc>
        <w:tc>
          <w:tcPr>
            <w:tcW w:w="6832" w:type="dxa"/>
            <w:noWrap w:val="0"/>
            <w:vAlign w:val="center"/>
          </w:tcPr>
          <w:p w14:paraId="738B40B1">
            <w:pPr>
              <w:widowControl/>
              <w:ind w:firstLine="420" w:firstLineChars="200"/>
              <w:jc w:val="left"/>
              <w:textAlignment w:val="center"/>
              <w:rPr>
                <w:rFonts w:hint="eastAsia" w:ascii="宋体" w:hAnsi="宋体" w:eastAsia="宋体" w:cs="宋体"/>
                <w:szCs w:val="21"/>
                <w:lang w:val="en-US" w:eastAsia="zh-CN"/>
              </w:rPr>
            </w:pPr>
            <w:r>
              <w:rPr>
                <w:rFonts w:hint="eastAsia" w:ascii="宋体" w:hAnsi="宋体" w:eastAsia="宋体" w:cs="宋体"/>
                <w:szCs w:val="21"/>
                <w:lang w:val="en-US" w:eastAsia="zh-CN"/>
              </w:rPr>
              <w:t>2.投标产品属于财政部、生态环境部公布的“环境标志产品品目清单”范围内的，投标人提供国家确定的认证机构出具的、处于有效期内的该环保产品认证证书原件彩色扫描件的得</w:t>
            </w:r>
            <w:r>
              <w:rPr>
                <w:rFonts w:hint="eastAsia" w:ascii="宋体" w:hAnsi="宋体" w:cs="宋体"/>
                <w:szCs w:val="21"/>
                <w:lang w:val="en-US" w:eastAsia="zh-CN"/>
              </w:rPr>
              <w:t>1</w:t>
            </w:r>
            <w:r>
              <w:rPr>
                <w:rFonts w:hint="eastAsia" w:ascii="宋体" w:hAnsi="宋体" w:eastAsia="宋体" w:cs="宋体"/>
                <w:szCs w:val="21"/>
                <w:lang w:val="en-US" w:eastAsia="zh-CN"/>
              </w:rPr>
              <w:t>分。</w:t>
            </w:r>
          </w:p>
        </w:tc>
        <w:tc>
          <w:tcPr>
            <w:tcW w:w="877" w:type="dxa"/>
            <w:vMerge w:val="continue"/>
            <w:noWrap w:val="0"/>
            <w:vAlign w:val="center"/>
          </w:tcPr>
          <w:p w14:paraId="5AAD4A59">
            <w:pPr>
              <w:jc w:val="center"/>
              <w:rPr>
                <w:rFonts w:hint="eastAsia" w:ascii="宋体" w:hAnsi="宋体" w:eastAsia="宋体" w:cs="宋体"/>
                <w:sz w:val="21"/>
                <w:szCs w:val="21"/>
                <w:lang w:val="en-US" w:eastAsia="zh-CN"/>
              </w:rPr>
            </w:pPr>
          </w:p>
        </w:tc>
      </w:tr>
    </w:tbl>
    <w:p w14:paraId="45343FC8">
      <w:pPr>
        <w:pStyle w:val="221"/>
        <w:rPr>
          <w:rFonts w:hint="eastAsia" w:ascii="Times New Roman" w:hAnsi="Times New Roman"/>
          <w:color w:val="000000"/>
          <w:szCs w:val="21"/>
        </w:rPr>
      </w:pPr>
    </w:p>
    <w:p w14:paraId="3450810D">
      <w:pPr>
        <w:rPr>
          <w:rFonts w:hint="eastAsia" w:ascii="Times New Roman" w:hAnsi="Times New Roman"/>
          <w:color w:val="000000"/>
          <w:szCs w:val="21"/>
        </w:rPr>
      </w:pPr>
    </w:p>
    <w:p w14:paraId="52167163">
      <w:pPr>
        <w:pStyle w:val="221"/>
        <w:rPr>
          <w:rFonts w:hint="eastAsia" w:ascii="Times New Roman" w:hAnsi="Times New Roman"/>
          <w:color w:val="000000"/>
          <w:szCs w:val="21"/>
        </w:rPr>
      </w:pPr>
    </w:p>
    <w:p w14:paraId="1A2908DB">
      <w:pPr>
        <w:rPr>
          <w:rFonts w:hint="eastAsia" w:ascii="Times New Roman" w:hAnsi="Times New Roman"/>
          <w:color w:val="000000"/>
          <w:szCs w:val="21"/>
        </w:rPr>
      </w:pPr>
    </w:p>
    <w:p w14:paraId="7725DDFA">
      <w:pPr>
        <w:pStyle w:val="221"/>
        <w:rPr>
          <w:rFonts w:hint="eastAsia"/>
        </w:rPr>
      </w:pPr>
    </w:p>
    <w:p w14:paraId="4E91937A">
      <w:pPr>
        <w:pStyle w:val="221"/>
        <w:rPr>
          <w:rFonts w:hint="eastAsia" w:ascii="Times New Roman" w:hAnsi="Times New Roman"/>
          <w:color w:val="000000"/>
          <w:szCs w:val="21"/>
        </w:rPr>
      </w:pPr>
    </w:p>
    <w:p w14:paraId="47931C20">
      <w:pPr>
        <w:rPr>
          <w:rFonts w:hint="eastAsia" w:ascii="Times New Roman" w:hAnsi="Times New Roman"/>
          <w:color w:val="000000"/>
          <w:szCs w:val="21"/>
        </w:rPr>
      </w:pPr>
    </w:p>
    <w:p w14:paraId="67590B8B">
      <w:pPr>
        <w:pStyle w:val="254"/>
        <w:rPr>
          <w:rFonts w:hint="eastAsia" w:ascii="Times New Roman" w:hAnsi="Times New Roman"/>
          <w:color w:val="000000"/>
          <w:szCs w:val="21"/>
        </w:rPr>
      </w:pPr>
    </w:p>
    <w:p w14:paraId="77878F5C">
      <w:pPr>
        <w:pStyle w:val="255"/>
        <w:rPr>
          <w:rFonts w:hint="eastAsia" w:ascii="Times New Roman" w:hAnsi="Times New Roman"/>
          <w:color w:val="000000"/>
          <w:szCs w:val="21"/>
        </w:rPr>
      </w:pPr>
    </w:p>
    <w:p w14:paraId="52BDDF90">
      <w:pPr>
        <w:pStyle w:val="255"/>
        <w:rPr>
          <w:rFonts w:hint="eastAsia" w:ascii="Times New Roman" w:hAnsi="Times New Roman"/>
          <w:color w:val="000000"/>
          <w:szCs w:val="21"/>
        </w:rPr>
      </w:pPr>
    </w:p>
    <w:p w14:paraId="13DE6C2A">
      <w:pPr>
        <w:pStyle w:val="221"/>
        <w:rPr>
          <w:rFonts w:hint="eastAsia" w:ascii="Times New Roman" w:hAnsi="Times New Roman"/>
          <w:color w:val="000000"/>
          <w:szCs w:val="21"/>
        </w:rPr>
      </w:pPr>
    </w:p>
    <w:p w14:paraId="5B233EEF">
      <w:pPr>
        <w:rPr>
          <w:rFonts w:hint="eastAsia"/>
        </w:rPr>
      </w:pPr>
    </w:p>
    <w:p w14:paraId="47D71B3B">
      <w:pPr>
        <w:rPr>
          <w:rFonts w:hint="eastAsia" w:ascii="Times New Roman" w:hAnsi="Times New Roman"/>
          <w:color w:val="000000"/>
          <w:szCs w:val="21"/>
        </w:rPr>
      </w:pPr>
    </w:p>
    <w:p w14:paraId="04EE63FB">
      <w:pPr>
        <w:keepNext/>
        <w:jc w:val="center"/>
        <w:outlineLvl w:val="0"/>
        <w:rPr>
          <w:rFonts w:hint="eastAsia" w:ascii="黑体" w:hAnsi="Times New Roman" w:eastAsia="黑体"/>
          <w:bCs/>
          <w:color w:val="000000"/>
          <w:sz w:val="44"/>
          <w:szCs w:val="28"/>
        </w:rPr>
      </w:pPr>
    </w:p>
    <w:p w14:paraId="67D01827">
      <w:pPr>
        <w:keepNext/>
        <w:jc w:val="center"/>
        <w:outlineLvl w:val="0"/>
        <w:rPr>
          <w:rFonts w:hint="eastAsia" w:ascii="黑体" w:hAnsi="Times New Roman" w:eastAsia="黑体"/>
          <w:bCs/>
          <w:color w:val="000000"/>
          <w:sz w:val="44"/>
          <w:szCs w:val="28"/>
        </w:rPr>
      </w:pPr>
      <w:r>
        <w:rPr>
          <w:rFonts w:hint="eastAsia" w:ascii="黑体" w:hAnsi="Times New Roman" w:eastAsia="黑体"/>
          <w:bCs/>
          <w:color w:val="000000"/>
          <w:sz w:val="44"/>
          <w:szCs w:val="28"/>
        </w:rPr>
        <w:t>第六章  投标</w:t>
      </w:r>
      <w:bookmarkEnd w:id="187"/>
      <w:bookmarkEnd w:id="188"/>
      <w:bookmarkEnd w:id="189"/>
      <w:r>
        <w:rPr>
          <w:rFonts w:hint="eastAsia" w:ascii="黑体" w:hAnsi="Times New Roman" w:eastAsia="黑体"/>
          <w:bCs/>
          <w:color w:val="000000"/>
          <w:sz w:val="44"/>
          <w:szCs w:val="28"/>
        </w:rPr>
        <w:t xml:space="preserve">文件格式 </w:t>
      </w:r>
    </w:p>
    <w:p w14:paraId="5DBF493A">
      <w:pPr>
        <w:jc w:val="center"/>
        <w:rPr>
          <w:rFonts w:hint="eastAsia" w:ascii="宋体" w:hAnsi="宋体"/>
          <w:b/>
          <w:color w:val="000000"/>
          <w:sz w:val="72"/>
          <w:szCs w:val="21"/>
        </w:rPr>
      </w:pPr>
      <w:bookmarkStart w:id="190" w:name="_Hlt26671244"/>
      <w:bookmarkEnd w:id="190"/>
      <w:bookmarkStart w:id="191" w:name="_Hlt26955039"/>
      <w:bookmarkEnd w:id="191"/>
      <w:bookmarkStart w:id="192" w:name="_Toc26554094"/>
      <w:bookmarkStart w:id="193" w:name="_Toc120614282"/>
      <w:bookmarkStart w:id="194" w:name="_Toc49090576"/>
    </w:p>
    <w:p w14:paraId="3037A9CE">
      <w:pPr>
        <w:jc w:val="center"/>
        <w:rPr>
          <w:rFonts w:hint="eastAsia" w:ascii="宋体" w:hAnsi="宋体"/>
          <w:b/>
          <w:color w:val="000000"/>
          <w:sz w:val="72"/>
          <w:szCs w:val="21"/>
        </w:rPr>
      </w:pPr>
    </w:p>
    <w:p w14:paraId="53FC4583">
      <w:pPr>
        <w:jc w:val="center"/>
        <w:rPr>
          <w:rFonts w:hint="eastAsia" w:ascii="宋体" w:hAnsi="宋体"/>
          <w:b/>
          <w:color w:val="000000"/>
          <w:sz w:val="72"/>
          <w:szCs w:val="21"/>
        </w:rPr>
      </w:pPr>
      <w:r>
        <w:rPr>
          <w:rFonts w:hint="eastAsia" w:ascii="宋体" w:hAnsi="宋体"/>
          <w:b/>
          <w:color w:val="000000"/>
          <w:sz w:val="72"/>
          <w:szCs w:val="21"/>
        </w:rPr>
        <w:t>投  标  文  件</w:t>
      </w:r>
    </w:p>
    <w:p w14:paraId="77CBBCF5">
      <w:pPr>
        <w:jc w:val="center"/>
        <w:rPr>
          <w:rFonts w:hint="eastAsia" w:ascii="宋体" w:hAnsi="宋体"/>
          <w:b/>
          <w:color w:val="000000"/>
          <w:sz w:val="72"/>
          <w:szCs w:val="21"/>
        </w:rPr>
      </w:pPr>
    </w:p>
    <w:p w14:paraId="6C515642">
      <w:pPr>
        <w:jc w:val="center"/>
        <w:rPr>
          <w:rFonts w:hint="eastAsia" w:ascii="宋体" w:hAnsi="宋体"/>
          <w:b/>
          <w:color w:val="000000"/>
          <w:sz w:val="72"/>
          <w:szCs w:val="21"/>
        </w:rPr>
      </w:pPr>
    </w:p>
    <w:p w14:paraId="0E11ECBB">
      <w:pPr>
        <w:jc w:val="center"/>
        <w:rPr>
          <w:rFonts w:hint="eastAsia" w:ascii="宋体" w:hAnsi="宋体"/>
          <w:b/>
          <w:color w:val="000000"/>
          <w:sz w:val="36"/>
          <w:szCs w:val="21"/>
        </w:rPr>
      </w:pPr>
    </w:p>
    <w:p w14:paraId="1625C24F">
      <w:pPr>
        <w:jc w:val="center"/>
        <w:rPr>
          <w:rFonts w:hint="eastAsia" w:ascii="宋体" w:hAnsi="宋体"/>
          <w:b/>
          <w:color w:val="000000"/>
          <w:sz w:val="36"/>
          <w:szCs w:val="21"/>
        </w:rPr>
      </w:pPr>
    </w:p>
    <w:p w14:paraId="574EB85A">
      <w:pPr>
        <w:jc w:val="center"/>
        <w:rPr>
          <w:rFonts w:hint="eastAsia" w:ascii="宋体" w:hAnsi="宋体"/>
          <w:b/>
          <w:color w:val="000000"/>
          <w:sz w:val="36"/>
          <w:szCs w:val="21"/>
        </w:rPr>
      </w:pPr>
    </w:p>
    <w:p w14:paraId="05D92091">
      <w:pPr>
        <w:ind w:firstLine="1084"/>
        <w:rPr>
          <w:rFonts w:hint="eastAsia" w:ascii="宋体" w:hAnsi="宋体"/>
          <w:b/>
          <w:color w:val="000000"/>
          <w:sz w:val="36"/>
          <w:szCs w:val="21"/>
        </w:rPr>
      </w:pPr>
      <w:r>
        <w:rPr>
          <w:rFonts w:hint="eastAsia" w:ascii="宋体" w:hAnsi="宋体"/>
          <w:b/>
          <w:color w:val="000000"/>
          <w:sz w:val="36"/>
          <w:szCs w:val="21"/>
        </w:rPr>
        <w:t>项 目 名 称：</w:t>
      </w:r>
      <w:r>
        <w:rPr>
          <w:rFonts w:hint="eastAsia" w:ascii="宋体" w:hAnsi="宋体"/>
          <w:b/>
          <w:color w:val="000000"/>
          <w:sz w:val="36"/>
          <w:szCs w:val="21"/>
          <w:u w:val="single"/>
        </w:rPr>
        <w:t xml:space="preserve">               </w:t>
      </w:r>
    </w:p>
    <w:p w14:paraId="2B5247A1">
      <w:pPr>
        <w:ind w:firstLine="1084"/>
        <w:rPr>
          <w:rFonts w:hint="eastAsia" w:ascii="宋体" w:hAnsi="宋体"/>
          <w:b/>
          <w:color w:val="000000"/>
          <w:sz w:val="36"/>
          <w:szCs w:val="21"/>
          <w:u w:val="single"/>
        </w:rPr>
      </w:pPr>
      <w:r>
        <w:rPr>
          <w:rFonts w:hint="eastAsia" w:ascii="宋体" w:hAnsi="宋体"/>
          <w:b/>
          <w:color w:val="000000"/>
          <w:sz w:val="36"/>
          <w:szCs w:val="21"/>
        </w:rPr>
        <w:t>项 目 编 号：</w:t>
      </w:r>
      <w:r>
        <w:rPr>
          <w:rFonts w:hint="eastAsia" w:ascii="宋体" w:hAnsi="宋体"/>
          <w:b/>
          <w:color w:val="000000"/>
          <w:sz w:val="36"/>
          <w:szCs w:val="21"/>
          <w:u w:val="single"/>
        </w:rPr>
        <w:t xml:space="preserve">               </w:t>
      </w:r>
    </w:p>
    <w:p w14:paraId="4A76D112">
      <w:pPr>
        <w:rPr>
          <w:rFonts w:hint="eastAsia" w:ascii="宋体" w:hAnsi="宋体"/>
          <w:b/>
          <w:color w:val="000000"/>
          <w:sz w:val="36"/>
          <w:szCs w:val="21"/>
          <w:u w:val="single"/>
        </w:rPr>
      </w:pPr>
      <w:r>
        <w:rPr>
          <w:rFonts w:hint="eastAsia" w:ascii="宋体" w:hAnsi="宋体"/>
          <w:b/>
          <w:color w:val="000000"/>
          <w:sz w:val="36"/>
          <w:szCs w:val="21"/>
        </w:rPr>
        <w:t xml:space="preserve">      投标人名称 ：</w:t>
      </w:r>
      <w:r>
        <w:rPr>
          <w:rFonts w:hint="eastAsia" w:ascii="宋体" w:hAnsi="宋体"/>
          <w:b/>
          <w:color w:val="000000"/>
          <w:sz w:val="36"/>
          <w:szCs w:val="21"/>
          <w:u w:val="single"/>
        </w:rPr>
        <w:t>（加盖CA电子公章）</w:t>
      </w:r>
    </w:p>
    <w:p w14:paraId="178F8B39">
      <w:pPr>
        <w:rPr>
          <w:rFonts w:hint="eastAsia" w:ascii="宋体" w:hAnsi="宋体"/>
          <w:b/>
          <w:color w:val="000000"/>
          <w:sz w:val="36"/>
          <w:szCs w:val="21"/>
          <w:u w:val="single"/>
        </w:rPr>
      </w:pPr>
      <w:r>
        <w:rPr>
          <w:rFonts w:hint="eastAsia" w:ascii="宋体" w:hAnsi="宋体"/>
          <w:b/>
          <w:color w:val="000000"/>
          <w:sz w:val="36"/>
          <w:szCs w:val="21"/>
        </w:rPr>
        <w:t xml:space="preserve">      日      期 ：</w:t>
      </w:r>
      <w:r>
        <w:rPr>
          <w:rFonts w:hint="eastAsia" w:ascii="宋体" w:hAnsi="宋体"/>
          <w:b/>
          <w:color w:val="000000"/>
          <w:sz w:val="36"/>
          <w:szCs w:val="21"/>
          <w:u w:val="single"/>
        </w:rPr>
        <w:t xml:space="preserve">               </w:t>
      </w:r>
    </w:p>
    <w:p w14:paraId="3F3A497B">
      <w:pPr>
        <w:spacing w:line="440" w:lineRule="exact"/>
        <w:jc w:val="center"/>
        <w:rPr>
          <w:rFonts w:hint="eastAsia" w:ascii="宋体" w:hAnsi="宋体"/>
          <w:b/>
          <w:bCs/>
          <w:color w:val="000000"/>
          <w:sz w:val="32"/>
          <w:szCs w:val="32"/>
        </w:rPr>
      </w:pPr>
    </w:p>
    <w:p w14:paraId="4D5EEA35">
      <w:pPr>
        <w:spacing w:line="440" w:lineRule="exact"/>
        <w:rPr>
          <w:rFonts w:ascii="宋体" w:hAnsi="宋体"/>
          <w:color w:val="000000"/>
          <w:szCs w:val="21"/>
        </w:rPr>
      </w:pPr>
    </w:p>
    <w:p w14:paraId="798083D8">
      <w:pPr>
        <w:ind w:firstLine="1084"/>
        <w:jc w:val="center"/>
        <w:rPr>
          <w:rFonts w:hint="eastAsia" w:ascii="宋体" w:hAnsi="宋体"/>
          <w:b/>
          <w:bCs/>
          <w:color w:val="000000"/>
          <w:sz w:val="32"/>
          <w:szCs w:val="32"/>
        </w:rPr>
      </w:pPr>
      <w:r>
        <w:rPr>
          <w:rFonts w:ascii="宋体" w:hAnsi="宋体"/>
          <w:b/>
          <w:color w:val="000000"/>
          <w:sz w:val="36"/>
          <w:szCs w:val="21"/>
          <w:u w:val="single"/>
        </w:rPr>
        <w:br w:type="page" w:clear="all"/>
      </w:r>
      <w:r>
        <w:rPr>
          <w:rFonts w:hint="eastAsia" w:ascii="宋体" w:hAnsi="宋体"/>
          <w:b/>
          <w:bCs/>
          <w:color w:val="000000"/>
          <w:sz w:val="32"/>
          <w:szCs w:val="32"/>
        </w:rPr>
        <w:t>投标文件目录</w:t>
      </w:r>
    </w:p>
    <w:p w14:paraId="0A815CF0">
      <w:pPr>
        <w:pStyle w:val="248"/>
        <w:keepNext w:val="0"/>
        <w:keepLines w:val="0"/>
        <w:pageBreakBefore w:val="0"/>
        <w:spacing w:beforeAutospacing="0" w:afterAutospacing="0" w:line="460" w:lineRule="exact"/>
        <w:ind w:left="480"/>
        <w:jc w:val="both"/>
        <w:rPr>
          <w:rFonts w:hint="eastAsia" w:ascii="宋体" w:hAnsi="宋体" w:eastAsia="宋体" w:cs="宋体"/>
          <w:i/>
          <w:color w:val="000000"/>
          <w:sz w:val="24"/>
          <w:szCs w:val="24"/>
          <w:u w:val="single"/>
          <w:lang w:val="en-US" w:eastAsia="zh-CN"/>
        </w:rPr>
      </w:pPr>
      <w:r>
        <w:rPr>
          <w:rFonts w:hint="eastAsia" w:ascii="宋体" w:hAnsi="宋体" w:eastAsia="宋体" w:cs="宋体"/>
          <w:i/>
          <w:color w:val="000000"/>
          <w:sz w:val="24"/>
          <w:szCs w:val="24"/>
          <w:u w:val="single"/>
        </w:rPr>
        <w:t>一、法人或者其他组织的营业执照等证明文件，自然人的身份证明</w:t>
      </w:r>
      <w:r>
        <w:rPr>
          <w:rFonts w:hint="eastAsia" w:cs="宋体"/>
          <w:i/>
          <w:color w:val="000000"/>
          <w:sz w:val="24"/>
          <w:szCs w:val="24"/>
          <w:u w:val="single"/>
          <w:lang w:eastAsia="zh-CN"/>
        </w:rPr>
        <w:t>。</w:t>
      </w:r>
    </w:p>
    <w:p w14:paraId="32AC2D1D">
      <w:pPr>
        <w:keepNext w:val="0"/>
        <w:keepLines w:val="0"/>
        <w:pageBreakBefore w:val="0"/>
        <w:spacing w:line="460" w:lineRule="exact"/>
        <w:ind w:firstLine="480" w:firstLineChars="200"/>
        <w:rPr>
          <w:rFonts w:hint="eastAsia" w:ascii="宋体" w:hAnsi="宋体" w:eastAsia="宋体" w:cs="宋体"/>
          <w:i/>
          <w:color w:val="000000"/>
          <w:sz w:val="24"/>
          <w:szCs w:val="24"/>
          <w:u w:val="single"/>
          <w:lang w:eastAsia="zh-CN"/>
        </w:rPr>
      </w:pPr>
      <w:r>
        <w:rPr>
          <w:rFonts w:hint="eastAsia" w:ascii="宋体" w:hAnsi="宋体" w:eastAsia="宋体" w:cs="宋体"/>
          <w:i/>
          <w:color w:val="000000"/>
          <w:sz w:val="24"/>
          <w:szCs w:val="24"/>
          <w:u w:val="single"/>
        </w:rPr>
        <w:t>二、</w:t>
      </w:r>
      <w:r>
        <w:rPr>
          <w:rFonts w:hint="eastAsia" w:ascii="宋体" w:hAnsi="宋体" w:eastAsia="宋体" w:cs="宋体"/>
          <w:i/>
          <w:color w:val="000000"/>
          <w:sz w:val="24"/>
          <w:szCs w:val="24"/>
          <w:u w:val="single"/>
          <w:lang w:eastAsia="zh-CN"/>
        </w:rPr>
        <w:t>投标人202</w:t>
      </w:r>
      <w:r>
        <w:rPr>
          <w:rFonts w:hint="eastAsia" w:ascii="宋体" w:hAnsi="宋体" w:cs="宋体"/>
          <w:i/>
          <w:color w:val="000000"/>
          <w:sz w:val="24"/>
          <w:szCs w:val="24"/>
          <w:u w:val="single"/>
          <w:lang w:val="en-US" w:eastAsia="zh-CN"/>
        </w:rPr>
        <w:t>5</w:t>
      </w:r>
      <w:r>
        <w:rPr>
          <w:rFonts w:hint="eastAsia" w:ascii="宋体" w:hAnsi="宋体" w:eastAsia="宋体" w:cs="宋体"/>
          <w:i/>
          <w:color w:val="000000"/>
          <w:sz w:val="24"/>
          <w:szCs w:val="24"/>
          <w:u w:val="single"/>
          <w:lang w:eastAsia="zh-CN"/>
        </w:rPr>
        <w:t>年度的财务报告（财务报告至少应包括资产负债表、利润表；距投标截止之日止，成立不足一年的供应商，可不提供财务报告。）</w:t>
      </w:r>
    </w:p>
    <w:p w14:paraId="3E9EE808">
      <w:pPr>
        <w:pStyle w:val="248"/>
        <w:keepNext w:val="0"/>
        <w:keepLines w:val="0"/>
        <w:pageBreakBefore w:val="0"/>
        <w:spacing w:beforeAutospacing="0" w:afterAutospacing="0" w:line="460" w:lineRule="exact"/>
        <w:ind w:left="480"/>
        <w:jc w:val="both"/>
        <w:rPr>
          <w:rFonts w:hint="eastAsia" w:ascii="宋体" w:hAnsi="宋体" w:eastAsia="宋体" w:cs="宋体"/>
          <w:i/>
          <w:color w:val="000000"/>
          <w:sz w:val="24"/>
          <w:szCs w:val="24"/>
          <w:u w:val="single"/>
        </w:rPr>
      </w:pPr>
      <w:r>
        <w:rPr>
          <w:rFonts w:hint="eastAsia" w:ascii="宋体" w:hAnsi="宋体" w:eastAsia="宋体" w:cs="宋体"/>
          <w:i w:val="0"/>
          <w:iCs/>
          <w:color w:val="000000"/>
          <w:sz w:val="24"/>
          <w:szCs w:val="24"/>
          <w:u w:val="single"/>
          <w:lang w:val="en-US" w:eastAsia="zh-CN"/>
        </w:rPr>
        <w:t>三</w:t>
      </w:r>
      <w:r>
        <w:rPr>
          <w:rFonts w:hint="eastAsia" w:ascii="宋体" w:hAnsi="宋体" w:eastAsia="宋体" w:cs="宋体"/>
          <w:i/>
          <w:color w:val="000000"/>
          <w:sz w:val="24"/>
          <w:szCs w:val="24"/>
          <w:u w:val="single"/>
        </w:rPr>
        <w:t>、具备履行合同所必需的设备和专业技术能力的书面声明</w:t>
      </w:r>
    </w:p>
    <w:p w14:paraId="2448A9D9">
      <w:pPr>
        <w:pStyle w:val="248"/>
        <w:keepNext w:val="0"/>
        <w:keepLines w:val="0"/>
        <w:pageBreakBefore w:val="0"/>
        <w:spacing w:beforeAutospacing="0" w:afterAutospacing="0" w:line="460" w:lineRule="exact"/>
        <w:ind w:firstLine="480" w:firstLineChars="200"/>
        <w:jc w:val="both"/>
        <w:rPr>
          <w:rFonts w:hint="eastAsia" w:ascii="宋体" w:hAnsi="宋体" w:eastAsia="宋体" w:cs="宋体"/>
          <w:i/>
          <w:color w:val="000000"/>
          <w:sz w:val="24"/>
          <w:szCs w:val="24"/>
          <w:u w:val="single"/>
        </w:rPr>
      </w:pPr>
      <w:r>
        <w:rPr>
          <w:rFonts w:hint="eastAsia" w:ascii="宋体" w:hAnsi="宋体" w:eastAsia="宋体" w:cs="宋体"/>
          <w:i/>
          <w:color w:val="000000"/>
          <w:sz w:val="24"/>
          <w:szCs w:val="24"/>
          <w:u w:val="single"/>
          <w:lang w:val="en-US" w:eastAsia="zh-CN"/>
        </w:rPr>
        <w:t>四</w:t>
      </w:r>
      <w:r>
        <w:rPr>
          <w:rFonts w:hint="eastAsia" w:ascii="宋体" w:hAnsi="宋体" w:eastAsia="宋体" w:cs="宋体"/>
          <w:i/>
          <w:color w:val="000000"/>
          <w:sz w:val="24"/>
          <w:szCs w:val="24"/>
          <w:u w:val="single"/>
        </w:rPr>
        <w:t>、依法缴纳税收和社会保障资金的相关材料（提供提交投标文件截止时间前一年内至少一个月依法缴纳税收及缴纳社会保障资金的证明材料。投标人依法享受缓缴、免缴税收、社会保障资金的提供证明材料）</w:t>
      </w:r>
    </w:p>
    <w:p w14:paraId="5FC5076F">
      <w:pPr>
        <w:pStyle w:val="248"/>
        <w:keepNext w:val="0"/>
        <w:keepLines w:val="0"/>
        <w:pageBreakBefore w:val="0"/>
        <w:spacing w:beforeAutospacing="0" w:afterAutospacing="0" w:line="460" w:lineRule="exact"/>
        <w:ind w:left="480"/>
        <w:jc w:val="both"/>
        <w:rPr>
          <w:rFonts w:hint="eastAsia" w:ascii="宋体" w:hAnsi="宋体" w:eastAsia="宋体" w:cs="宋体"/>
          <w:i/>
          <w:color w:val="000000"/>
          <w:sz w:val="24"/>
          <w:szCs w:val="24"/>
          <w:u w:val="single"/>
        </w:rPr>
      </w:pPr>
      <w:r>
        <w:rPr>
          <w:rFonts w:hint="eastAsia" w:ascii="宋体" w:hAnsi="宋体" w:eastAsia="宋体" w:cs="宋体"/>
          <w:i/>
          <w:color w:val="000000"/>
          <w:sz w:val="24"/>
          <w:szCs w:val="24"/>
          <w:u w:val="single"/>
        </w:rPr>
        <w:t>五、参加政府采购活动前 3 年内在经营活动中没有重大违法记录的书面声明</w:t>
      </w:r>
    </w:p>
    <w:p w14:paraId="0F0E8431">
      <w:pPr>
        <w:numPr>
          <w:ilvl w:val="0"/>
          <w:numId w:val="0"/>
        </w:numPr>
        <w:spacing w:line="440" w:lineRule="exact"/>
        <w:ind w:firstLine="480" w:firstLineChars="200"/>
        <w:rPr>
          <w:rFonts w:hint="eastAsia" w:ascii="宋体" w:hAnsi="宋体" w:eastAsia="宋体" w:cs="Times New Roman"/>
          <w:i/>
          <w:color w:val="000000"/>
          <w:sz w:val="24"/>
          <w:u w:val="single"/>
          <w:lang w:eastAsia="zh-CN"/>
        </w:rPr>
      </w:pPr>
      <w:r>
        <w:rPr>
          <w:rFonts w:hint="eastAsia" w:ascii="宋体" w:hAnsi="宋体"/>
          <w:i/>
          <w:color w:val="000000"/>
          <w:sz w:val="24"/>
          <w:u w:val="single"/>
          <w:lang w:val="en-US" w:eastAsia="zh-CN"/>
        </w:rPr>
        <w:t>六、</w:t>
      </w:r>
      <w:r>
        <w:rPr>
          <w:rFonts w:hint="eastAsia" w:ascii="宋体" w:hAnsi="宋体"/>
          <w:i/>
          <w:color w:val="000000"/>
          <w:sz w:val="24"/>
          <w:u w:val="single"/>
        </w:rPr>
        <w:t>特定资格要求的证明文件</w:t>
      </w:r>
      <w:r>
        <w:rPr>
          <w:rFonts w:hint="eastAsia" w:ascii="宋体" w:hAnsi="宋体" w:eastAsia="宋体" w:cs="Times New Roman"/>
          <w:i/>
          <w:color w:val="000000"/>
          <w:sz w:val="24"/>
          <w:u w:val="single"/>
          <w:lang w:eastAsia="zh-CN"/>
        </w:rPr>
        <w:t>：投标人所投车辆必须是工业和信息化部“道路机动车辆生产企业及产品信息查询系统”</w:t>
      </w:r>
      <w:r>
        <w:rPr>
          <w:rFonts w:hint="eastAsia" w:ascii="宋体" w:hAnsi="宋体" w:eastAsia="宋体" w:cs="Times New Roman"/>
          <w:i/>
          <w:color w:val="000000"/>
          <w:sz w:val="24"/>
          <w:u w:val="single"/>
          <w:lang w:val="en-US" w:eastAsia="zh-CN"/>
        </w:rPr>
        <w:t>可查询产品，提供本项目投标车辆查询截图</w:t>
      </w:r>
      <w:r>
        <w:rPr>
          <w:rFonts w:hint="eastAsia" w:ascii="宋体" w:hAnsi="宋体" w:eastAsia="宋体" w:cs="Times New Roman"/>
          <w:i/>
          <w:color w:val="000000"/>
          <w:sz w:val="24"/>
          <w:u w:val="single"/>
          <w:lang w:eastAsia="zh-CN"/>
        </w:rPr>
        <w:t>；</w:t>
      </w:r>
    </w:p>
    <w:p w14:paraId="2CCF6C1F">
      <w:pPr>
        <w:pStyle w:val="248"/>
        <w:keepNext w:val="0"/>
        <w:keepLines w:val="0"/>
        <w:pageBreakBefore w:val="0"/>
        <w:spacing w:beforeAutospacing="0" w:afterAutospacing="0" w:line="460" w:lineRule="exact"/>
        <w:ind w:left="480"/>
        <w:jc w:val="both"/>
        <w:rPr>
          <w:rFonts w:hint="eastAsia" w:ascii="宋体" w:hAnsi="宋体" w:eastAsia="宋体" w:cs="宋体"/>
          <w:i/>
          <w:color w:val="000000"/>
          <w:sz w:val="24"/>
          <w:szCs w:val="24"/>
          <w:u w:val="single"/>
        </w:rPr>
      </w:pPr>
      <w:r>
        <w:rPr>
          <w:rFonts w:hint="eastAsia" w:cs="宋体"/>
          <w:i/>
          <w:color w:val="000000"/>
          <w:sz w:val="24"/>
          <w:szCs w:val="24"/>
          <w:u w:val="single"/>
          <w:lang w:eastAsia="zh-CN"/>
        </w:rPr>
        <w:t>七</w:t>
      </w:r>
      <w:r>
        <w:rPr>
          <w:rFonts w:hint="eastAsia" w:ascii="宋体" w:hAnsi="宋体" w:eastAsia="宋体" w:cs="宋体"/>
          <w:i/>
          <w:color w:val="000000"/>
          <w:sz w:val="24"/>
          <w:szCs w:val="24"/>
          <w:u w:val="single"/>
        </w:rPr>
        <w:t>、法人授权书</w:t>
      </w:r>
    </w:p>
    <w:p w14:paraId="3F8C6F58">
      <w:pPr>
        <w:pStyle w:val="248"/>
        <w:keepNext w:val="0"/>
        <w:keepLines w:val="0"/>
        <w:pageBreakBefore w:val="0"/>
        <w:spacing w:beforeAutospacing="0" w:afterAutospacing="0" w:line="460" w:lineRule="exact"/>
        <w:ind w:left="480"/>
        <w:jc w:val="both"/>
        <w:rPr>
          <w:rFonts w:hint="eastAsia" w:ascii="宋体" w:hAnsi="宋体" w:eastAsia="宋体" w:cs="宋体"/>
          <w:i/>
          <w:color w:val="000000"/>
          <w:sz w:val="24"/>
          <w:szCs w:val="24"/>
          <w:u w:val="single"/>
        </w:rPr>
      </w:pPr>
      <w:r>
        <w:rPr>
          <w:rFonts w:hint="eastAsia" w:cs="宋体"/>
          <w:i/>
          <w:color w:val="000000"/>
          <w:sz w:val="24"/>
          <w:szCs w:val="24"/>
          <w:u w:val="single"/>
          <w:lang w:eastAsia="zh-CN"/>
        </w:rPr>
        <w:t>八</w:t>
      </w:r>
      <w:r>
        <w:rPr>
          <w:rFonts w:hint="eastAsia" w:ascii="宋体" w:hAnsi="宋体" w:eastAsia="宋体" w:cs="宋体"/>
          <w:i/>
          <w:color w:val="000000"/>
          <w:sz w:val="24"/>
          <w:szCs w:val="24"/>
          <w:u w:val="single"/>
        </w:rPr>
        <w:t>、投标函</w:t>
      </w:r>
    </w:p>
    <w:p w14:paraId="026738BC">
      <w:pPr>
        <w:spacing w:line="440" w:lineRule="exact"/>
        <w:ind w:firstLine="480"/>
        <w:rPr>
          <w:rFonts w:hint="eastAsia" w:ascii="宋体" w:hAnsi="宋体" w:eastAsia="宋体" w:cs="Times New Roman"/>
          <w:i/>
          <w:color w:val="000000"/>
          <w:sz w:val="24"/>
          <w:u w:val="single"/>
        </w:rPr>
      </w:pPr>
      <w:r>
        <w:rPr>
          <w:rFonts w:hint="eastAsia" w:ascii="宋体" w:hAnsi="宋体" w:eastAsia="宋体" w:cs="Times New Roman"/>
          <w:i/>
          <w:color w:val="000000"/>
          <w:sz w:val="24"/>
          <w:u w:val="single"/>
          <w:lang w:eastAsia="zh-CN"/>
        </w:rPr>
        <w:t>九</w:t>
      </w:r>
      <w:r>
        <w:rPr>
          <w:rFonts w:hint="eastAsia" w:ascii="宋体" w:hAnsi="宋体" w:eastAsia="宋体" w:cs="Times New Roman"/>
          <w:i/>
          <w:color w:val="000000"/>
          <w:sz w:val="24"/>
          <w:u w:val="single"/>
        </w:rPr>
        <w:t>、</w:t>
      </w:r>
      <w:r>
        <w:rPr>
          <w:rFonts w:hint="eastAsia" w:ascii="宋体" w:hAnsi="宋体" w:eastAsia="宋体" w:cs="Times New Roman"/>
          <w:i/>
          <w:color w:val="000000"/>
          <w:sz w:val="24"/>
          <w:u w:val="single"/>
          <w:lang w:eastAsia="zh-CN"/>
        </w:rPr>
        <w:t>中</w:t>
      </w:r>
      <w:r>
        <w:rPr>
          <w:rFonts w:hint="eastAsia" w:ascii="宋体" w:hAnsi="宋体" w:eastAsia="宋体" w:cs="Times New Roman"/>
          <w:i/>
          <w:color w:val="000000"/>
          <w:sz w:val="24"/>
          <w:u w:val="single"/>
        </w:rPr>
        <w:t>小企业声明函</w:t>
      </w:r>
    </w:p>
    <w:p w14:paraId="66FEB9A9">
      <w:pPr>
        <w:pStyle w:val="248"/>
        <w:keepNext w:val="0"/>
        <w:keepLines w:val="0"/>
        <w:pageBreakBefore w:val="0"/>
        <w:spacing w:beforeAutospacing="0" w:afterAutospacing="0" w:line="460" w:lineRule="exact"/>
        <w:ind w:left="480"/>
        <w:jc w:val="both"/>
        <w:rPr>
          <w:rFonts w:hint="eastAsia" w:ascii="宋体" w:hAnsi="宋体" w:eastAsia="宋体" w:cs="宋体"/>
          <w:i/>
          <w:color w:val="000000"/>
          <w:sz w:val="24"/>
          <w:szCs w:val="24"/>
          <w:u w:val="single"/>
        </w:rPr>
      </w:pPr>
      <w:r>
        <w:rPr>
          <w:rFonts w:hint="eastAsia" w:cs="宋体"/>
          <w:i/>
          <w:color w:val="000000"/>
          <w:sz w:val="24"/>
          <w:szCs w:val="24"/>
          <w:u w:val="single"/>
          <w:lang w:eastAsia="zh-CN"/>
        </w:rPr>
        <w:t>十</w:t>
      </w:r>
      <w:r>
        <w:rPr>
          <w:rFonts w:hint="eastAsia" w:ascii="宋体" w:hAnsi="宋体" w:eastAsia="宋体" w:cs="宋体"/>
          <w:i/>
          <w:color w:val="000000"/>
          <w:sz w:val="24"/>
          <w:szCs w:val="24"/>
          <w:u w:val="single"/>
          <w:lang w:eastAsia="zh-CN"/>
        </w:rPr>
        <w:t>、</w:t>
      </w:r>
      <w:r>
        <w:rPr>
          <w:rFonts w:hint="eastAsia" w:ascii="宋体" w:hAnsi="宋体" w:eastAsia="宋体" w:cs="宋体"/>
          <w:i/>
          <w:color w:val="000000"/>
          <w:sz w:val="24"/>
          <w:szCs w:val="24"/>
          <w:u w:val="single"/>
          <w:lang w:val="en-US" w:eastAsia="zh-CN"/>
        </w:rPr>
        <w:t>投标分项报价表</w:t>
      </w:r>
      <w:r>
        <w:rPr>
          <w:rFonts w:hint="eastAsia" w:ascii="宋体" w:hAnsi="宋体" w:eastAsia="宋体" w:cs="宋体"/>
          <w:i/>
          <w:color w:val="000000"/>
          <w:sz w:val="24"/>
          <w:szCs w:val="24"/>
          <w:u w:val="single"/>
          <w:lang w:eastAsia="zh-CN"/>
        </w:rPr>
        <w:t>；</w:t>
      </w:r>
    </w:p>
    <w:p w14:paraId="5B0C6530">
      <w:pPr>
        <w:pStyle w:val="248"/>
        <w:keepNext w:val="0"/>
        <w:keepLines w:val="0"/>
        <w:pageBreakBefore w:val="0"/>
        <w:spacing w:beforeAutospacing="0" w:afterAutospacing="0" w:line="460" w:lineRule="exact"/>
        <w:ind w:firstLine="480"/>
        <w:jc w:val="both"/>
        <w:rPr>
          <w:rFonts w:hint="eastAsia" w:ascii="宋体" w:hAnsi="宋体" w:eastAsia="宋体" w:cs="宋体"/>
          <w:color w:val="000000"/>
          <w:sz w:val="24"/>
          <w:szCs w:val="24"/>
        </w:rPr>
      </w:pPr>
      <w:r>
        <w:rPr>
          <w:rFonts w:hint="eastAsia" w:cs="宋体"/>
          <w:color w:val="000000"/>
          <w:sz w:val="24"/>
          <w:szCs w:val="24"/>
          <w:lang w:eastAsia="zh-CN"/>
        </w:rPr>
        <w:t>十一</w:t>
      </w:r>
      <w:r>
        <w:rPr>
          <w:rFonts w:hint="eastAsia" w:ascii="宋体" w:hAnsi="宋体" w:eastAsia="宋体" w:cs="宋体"/>
          <w:color w:val="000000"/>
          <w:sz w:val="24"/>
          <w:szCs w:val="24"/>
        </w:rPr>
        <w:t>、技术要求响应及偏离表</w:t>
      </w:r>
    </w:p>
    <w:p w14:paraId="4A540F49">
      <w:pPr>
        <w:pStyle w:val="248"/>
        <w:keepNext w:val="0"/>
        <w:keepLines w:val="0"/>
        <w:pageBreakBefore w:val="0"/>
        <w:spacing w:beforeAutospacing="0" w:afterAutospacing="0" w:line="460" w:lineRule="exact"/>
        <w:ind w:firstLine="480"/>
        <w:jc w:val="both"/>
        <w:rPr>
          <w:rFonts w:hint="eastAsia" w:ascii="宋体" w:hAnsi="宋体" w:eastAsia="宋体" w:cs="宋体"/>
          <w:color w:val="000000"/>
          <w:sz w:val="24"/>
          <w:szCs w:val="24"/>
        </w:rPr>
      </w:pPr>
      <w:r>
        <w:rPr>
          <w:rFonts w:hint="eastAsia" w:ascii="宋体" w:hAnsi="宋体" w:eastAsia="宋体" w:cs="宋体"/>
          <w:color w:val="000000"/>
          <w:sz w:val="24"/>
          <w:szCs w:val="24"/>
        </w:rPr>
        <w:t>十</w:t>
      </w:r>
      <w:r>
        <w:rPr>
          <w:rFonts w:hint="eastAsia" w:cs="宋体"/>
          <w:color w:val="000000"/>
          <w:sz w:val="24"/>
          <w:szCs w:val="24"/>
          <w:lang w:eastAsia="zh-CN"/>
        </w:rPr>
        <w:t>二</w:t>
      </w:r>
      <w:r>
        <w:rPr>
          <w:rFonts w:hint="eastAsia" w:ascii="宋体" w:hAnsi="宋体" w:eastAsia="宋体" w:cs="宋体"/>
          <w:color w:val="000000"/>
          <w:sz w:val="24"/>
          <w:szCs w:val="24"/>
        </w:rPr>
        <w:t>、商务要求响应及偏离表</w:t>
      </w:r>
    </w:p>
    <w:p w14:paraId="183708D9">
      <w:pPr>
        <w:pStyle w:val="248"/>
        <w:keepNext w:val="0"/>
        <w:keepLines w:val="0"/>
        <w:pageBreakBefore w:val="0"/>
        <w:spacing w:beforeAutospacing="0" w:afterAutospacing="0" w:line="460" w:lineRule="exact"/>
        <w:ind w:firstLine="480"/>
        <w:jc w:val="both"/>
        <w:rPr>
          <w:rFonts w:hint="eastAsia" w:ascii="宋体" w:hAnsi="宋体" w:eastAsia="宋体" w:cs="宋体"/>
          <w:i/>
          <w:color w:val="000000"/>
          <w:sz w:val="24"/>
          <w:szCs w:val="24"/>
          <w:u w:val="single"/>
        </w:rPr>
      </w:pPr>
      <w:r>
        <w:rPr>
          <w:rFonts w:hint="eastAsia" w:ascii="宋体" w:hAnsi="宋体" w:eastAsia="宋体" w:cs="宋体"/>
          <w:i/>
          <w:color w:val="000000"/>
          <w:sz w:val="24"/>
          <w:szCs w:val="24"/>
          <w:u w:val="single"/>
        </w:rPr>
        <w:t>十</w:t>
      </w:r>
      <w:r>
        <w:rPr>
          <w:rFonts w:hint="eastAsia" w:cs="宋体"/>
          <w:i/>
          <w:color w:val="000000"/>
          <w:sz w:val="24"/>
          <w:szCs w:val="24"/>
          <w:u w:val="single"/>
          <w:lang w:eastAsia="zh-CN"/>
        </w:rPr>
        <w:t>三</w:t>
      </w:r>
      <w:r>
        <w:rPr>
          <w:rFonts w:hint="eastAsia" w:ascii="宋体" w:hAnsi="宋体" w:eastAsia="宋体" w:cs="宋体"/>
          <w:i/>
          <w:color w:val="000000"/>
          <w:sz w:val="24"/>
          <w:szCs w:val="24"/>
          <w:u w:val="single"/>
        </w:rPr>
        <w:t>、开标一览表</w:t>
      </w:r>
    </w:p>
    <w:p w14:paraId="3EAA597C">
      <w:pPr>
        <w:pStyle w:val="255"/>
        <w:keepNext/>
        <w:keepLines/>
        <w:pageBreakBefore w:val="0"/>
        <w:widowControl w:val="0"/>
        <w:spacing w:line="460" w:lineRule="exact"/>
        <w:ind w:firstLine="480"/>
        <w:rPr>
          <w:rFonts w:hint="eastAsia" w:ascii="宋体" w:hAnsi="宋体" w:eastAsia="宋体" w:cs="宋体"/>
          <w:sz w:val="24"/>
          <w:lang w:val="en-US" w:eastAsia="zh-CN" w:bidi="ar"/>
        </w:rPr>
      </w:pPr>
      <w:r>
        <w:rPr>
          <w:rFonts w:hint="eastAsia" w:ascii="宋体" w:hAnsi="宋体" w:eastAsia="宋体" w:cs="宋体"/>
          <w:color w:val="000000"/>
          <w:sz w:val="24"/>
          <w:szCs w:val="24"/>
          <w:highlight w:val="none"/>
        </w:rPr>
        <w:t>十</w:t>
      </w:r>
      <w:r>
        <w:rPr>
          <w:rFonts w:hint="eastAsia" w:ascii="宋体" w:hAnsi="宋体" w:cs="宋体"/>
          <w:color w:val="000000"/>
          <w:sz w:val="24"/>
          <w:szCs w:val="24"/>
          <w:highlight w:val="none"/>
          <w:lang w:eastAsia="zh-CN"/>
        </w:rPr>
        <w:t>四</w:t>
      </w:r>
      <w:r>
        <w:rPr>
          <w:rFonts w:hint="eastAsia" w:ascii="宋体" w:hAnsi="宋体" w:eastAsia="宋体" w:cs="宋体"/>
          <w:color w:val="000000"/>
          <w:sz w:val="24"/>
          <w:szCs w:val="24"/>
          <w:highlight w:val="none"/>
        </w:rPr>
        <w:t>、</w:t>
      </w:r>
      <w:r>
        <w:rPr>
          <w:rFonts w:hint="eastAsia" w:ascii="宋体" w:hAnsi="宋体" w:eastAsia="宋体" w:cs="宋体"/>
          <w:sz w:val="24"/>
          <w:lang w:val="en-US" w:eastAsia="zh-CN" w:bidi="ar"/>
        </w:rPr>
        <w:t>实施方案、售后方案及其他</w:t>
      </w:r>
    </w:p>
    <w:p w14:paraId="7E9D19FF">
      <w:pPr>
        <w:keepNext w:val="0"/>
        <w:keepLines w:val="0"/>
        <w:pageBreakBefore w:val="0"/>
        <w:spacing w:line="460" w:lineRule="exact"/>
        <w:ind w:firstLine="480"/>
        <w:rPr>
          <w:rFonts w:hint="eastAsia" w:ascii="宋体" w:hAnsi="宋体" w:eastAsia="宋体" w:cs="宋体"/>
          <w:i/>
          <w:color w:val="000000"/>
          <w:sz w:val="24"/>
          <w:szCs w:val="24"/>
          <w:u w:val="single"/>
        </w:rPr>
      </w:pPr>
      <w:r>
        <w:rPr>
          <w:rFonts w:hint="eastAsia" w:ascii="宋体" w:hAnsi="宋体" w:eastAsia="宋体" w:cs="宋体"/>
          <w:i/>
          <w:color w:val="000000"/>
          <w:sz w:val="24"/>
          <w:szCs w:val="24"/>
          <w:u w:val="single"/>
        </w:rPr>
        <w:t>十</w:t>
      </w:r>
      <w:r>
        <w:rPr>
          <w:rFonts w:hint="eastAsia" w:ascii="宋体" w:hAnsi="宋体" w:cs="宋体"/>
          <w:i/>
          <w:color w:val="000000"/>
          <w:sz w:val="24"/>
          <w:szCs w:val="24"/>
          <w:u w:val="single"/>
          <w:lang w:eastAsia="zh-CN"/>
        </w:rPr>
        <w:t>五</w:t>
      </w:r>
      <w:r>
        <w:rPr>
          <w:rFonts w:hint="eastAsia" w:ascii="宋体" w:hAnsi="宋体" w:eastAsia="宋体" w:cs="宋体"/>
          <w:i/>
          <w:color w:val="000000"/>
          <w:sz w:val="24"/>
          <w:szCs w:val="24"/>
          <w:u w:val="single"/>
        </w:rPr>
        <w:t>、盐城市政府采购事前信用承诺书</w:t>
      </w:r>
    </w:p>
    <w:p w14:paraId="7A05E0D3">
      <w:pPr>
        <w:pStyle w:val="248"/>
        <w:spacing w:beforeAutospacing="0" w:afterAutospacing="0"/>
        <w:ind w:left="480"/>
        <w:jc w:val="both"/>
        <w:rPr>
          <w:rFonts w:hint="eastAsia" w:ascii="宋体" w:hAnsi="宋体" w:eastAsia="宋体" w:cs="宋体"/>
          <w:i/>
          <w:color w:val="000000"/>
          <w:u w:val="single"/>
        </w:rPr>
      </w:pPr>
    </w:p>
    <w:p w14:paraId="4B57FB19">
      <w:pPr>
        <w:pStyle w:val="248"/>
        <w:spacing w:beforeAutospacing="0" w:afterAutospacing="0"/>
        <w:ind w:left="480"/>
        <w:jc w:val="both"/>
        <w:rPr>
          <w:rFonts w:hint="eastAsia" w:ascii="宋体" w:hAnsi="宋体" w:eastAsia="宋体" w:cs="宋体"/>
          <w:i/>
          <w:color w:val="000000"/>
          <w:u w:val="single"/>
        </w:rPr>
      </w:pPr>
    </w:p>
    <w:p w14:paraId="4B4010C2">
      <w:pPr>
        <w:pStyle w:val="248"/>
        <w:spacing w:beforeAutospacing="0" w:afterAutospacing="0"/>
        <w:ind w:left="480"/>
        <w:jc w:val="both"/>
        <w:rPr>
          <w:rFonts w:hint="eastAsia" w:ascii="宋体" w:hAnsi="宋体" w:eastAsia="宋体" w:cs="宋体"/>
          <w:i/>
          <w:color w:val="000000"/>
          <w:u w:val="single"/>
        </w:rPr>
      </w:pPr>
    </w:p>
    <w:p w14:paraId="2817FDBE">
      <w:pPr>
        <w:pStyle w:val="248"/>
        <w:spacing w:beforeAutospacing="0" w:afterAutospacing="0"/>
        <w:ind w:left="480"/>
        <w:jc w:val="both"/>
        <w:rPr>
          <w:rFonts w:hint="eastAsia" w:ascii="宋体" w:hAnsi="宋体" w:eastAsia="宋体" w:cs="宋体"/>
          <w:i/>
          <w:color w:val="000000"/>
          <w:u w:val="single"/>
        </w:rPr>
      </w:pPr>
    </w:p>
    <w:p w14:paraId="5E5A4FE0">
      <w:pPr>
        <w:pStyle w:val="248"/>
        <w:spacing w:beforeAutospacing="0" w:afterAutospacing="0"/>
        <w:ind w:left="480"/>
        <w:jc w:val="both"/>
        <w:rPr>
          <w:rFonts w:hint="eastAsia" w:ascii="宋体" w:hAnsi="宋体" w:eastAsia="宋体" w:cs="宋体"/>
          <w:i/>
          <w:color w:val="000000"/>
          <w:u w:val="single"/>
        </w:rPr>
      </w:pPr>
    </w:p>
    <w:p w14:paraId="4F4D01D8">
      <w:pPr>
        <w:pStyle w:val="248"/>
        <w:spacing w:beforeAutospacing="0" w:afterAutospacing="0"/>
        <w:jc w:val="both"/>
        <w:rPr>
          <w:rFonts w:hint="eastAsia" w:ascii="黑体" w:hAnsi="宋体" w:eastAsia="黑体" w:cs="黑体"/>
          <w:i/>
          <w:color w:val="000000"/>
          <w:sz w:val="32"/>
          <w:szCs w:val="32"/>
          <w:u w:val="single"/>
        </w:rPr>
      </w:pPr>
    </w:p>
    <w:p w14:paraId="34B6C36C">
      <w:pPr>
        <w:pStyle w:val="248"/>
        <w:spacing w:beforeAutospacing="0" w:afterAutospacing="0"/>
        <w:jc w:val="both"/>
        <w:rPr>
          <w:rFonts w:hint="eastAsia" w:ascii="黑体" w:hAnsi="宋体" w:eastAsia="黑体" w:cs="黑体"/>
          <w:i/>
          <w:color w:val="000000"/>
          <w:sz w:val="32"/>
          <w:szCs w:val="32"/>
          <w:u w:val="single"/>
        </w:rPr>
      </w:pPr>
    </w:p>
    <w:p w14:paraId="426980B4">
      <w:pPr>
        <w:pStyle w:val="248"/>
        <w:spacing w:beforeAutospacing="0" w:afterAutospacing="0"/>
        <w:jc w:val="both"/>
        <w:rPr>
          <w:rFonts w:hint="eastAsia" w:ascii="黑体" w:hAnsi="宋体" w:eastAsia="黑体" w:cs="黑体"/>
          <w:i/>
          <w:color w:val="000000"/>
          <w:sz w:val="32"/>
          <w:szCs w:val="32"/>
          <w:u w:val="single"/>
        </w:rPr>
      </w:pPr>
    </w:p>
    <w:p w14:paraId="08C1CBC7">
      <w:pPr>
        <w:pStyle w:val="248"/>
        <w:spacing w:beforeAutospacing="0" w:afterAutospacing="0"/>
        <w:jc w:val="both"/>
      </w:pPr>
      <w:r>
        <w:rPr>
          <w:rFonts w:hint="eastAsia" w:ascii="黑体" w:hAnsi="宋体" w:eastAsia="黑体" w:cs="黑体"/>
          <w:i/>
          <w:color w:val="000000"/>
          <w:sz w:val="32"/>
          <w:szCs w:val="32"/>
          <w:u w:val="single"/>
        </w:rPr>
        <w:t>一、法人或者其他组织的营业执照等证明文件，自然人的身份证明</w:t>
      </w:r>
    </w:p>
    <w:p w14:paraId="7F4BB8C3">
      <w:pPr>
        <w:keepNext w:val="0"/>
        <w:keepLines w:val="0"/>
        <w:pageBreakBefore w:val="0"/>
        <w:widowControl w:val="0"/>
        <w:spacing w:before="291"/>
        <w:rPr>
          <w:rFonts w:hint="eastAsia" w:ascii="黑体" w:hAnsi="黑体" w:eastAsia="黑体"/>
          <w:i/>
          <w:color w:val="000000"/>
          <w:sz w:val="32"/>
          <w:szCs w:val="32"/>
          <w:u w:val="single"/>
        </w:rPr>
      </w:pPr>
      <w:r>
        <w:rPr>
          <w:rFonts w:hint="eastAsia" w:ascii="黑体" w:hAnsi="黑体" w:eastAsia="黑体"/>
          <w:i/>
          <w:color w:val="000000"/>
          <w:sz w:val="32"/>
          <w:szCs w:val="32"/>
          <w:u w:val="single"/>
        </w:rPr>
        <w:t>二、上一年度的财务状况报告</w:t>
      </w:r>
    </w:p>
    <w:p w14:paraId="768D9AB6">
      <w:pPr>
        <w:keepNext w:val="0"/>
        <w:keepLines w:val="0"/>
        <w:pageBreakBefore w:val="0"/>
        <w:widowControl w:val="0"/>
        <w:spacing w:line="440" w:lineRule="exact"/>
        <w:ind w:firstLine="240"/>
        <w:rPr>
          <w:rFonts w:hint="eastAsia" w:ascii="宋体" w:hAnsi="宋体" w:eastAsia="宋体" w:cs="宋体"/>
          <w:i w:val="0"/>
          <w:iCs/>
          <w:color w:val="000000"/>
          <w:sz w:val="24"/>
          <w:u w:val="none"/>
          <w:lang w:eastAsia="zh-CN"/>
        </w:rPr>
      </w:pPr>
      <w:r>
        <w:rPr>
          <w:rFonts w:hint="eastAsia" w:ascii="宋体" w:hAnsi="宋体" w:eastAsia="宋体" w:cs="宋体"/>
          <w:i w:val="0"/>
          <w:iCs/>
          <w:color w:val="000000"/>
          <w:sz w:val="24"/>
          <w:u w:val="none"/>
          <w:lang w:eastAsia="zh-CN"/>
        </w:rPr>
        <w:t>提供投标人202</w:t>
      </w:r>
      <w:r>
        <w:rPr>
          <w:rFonts w:hint="eastAsia" w:ascii="宋体" w:hAnsi="宋体" w:cs="宋体"/>
          <w:i w:val="0"/>
          <w:iCs/>
          <w:color w:val="000000"/>
          <w:sz w:val="24"/>
          <w:u w:val="none"/>
          <w:lang w:val="en-US" w:eastAsia="zh-CN"/>
        </w:rPr>
        <w:t>5</w:t>
      </w:r>
      <w:r>
        <w:rPr>
          <w:rFonts w:hint="eastAsia" w:ascii="宋体" w:hAnsi="宋体" w:eastAsia="宋体" w:cs="宋体"/>
          <w:i w:val="0"/>
          <w:iCs/>
          <w:color w:val="000000"/>
          <w:sz w:val="24"/>
          <w:u w:val="none"/>
          <w:lang w:eastAsia="zh-CN"/>
        </w:rPr>
        <w:t>年度的财务报告（财务报告至少应包括资产负债表、利润表；距投标截止之日止，成立不足一年的供应商，可不提供财务报告。）</w:t>
      </w:r>
    </w:p>
    <w:p w14:paraId="1FBF681C">
      <w:pPr>
        <w:pStyle w:val="248"/>
        <w:keepNext w:val="0"/>
        <w:keepLines w:val="0"/>
        <w:pageBreakBefore w:val="0"/>
        <w:widowControl/>
        <w:spacing w:before="340" w:beforeAutospacing="0" w:afterAutospacing="0"/>
        <w:jc w:val="both"/>
      </w:pPr>
      <w:r>
        <w:rPr>
          <w:rFonts w:hint="eastAsia" w:ascii="黑体" w:hAnsi="宋体" w:eastAsia="黑体" w:cs="黑体"/>
          <w:i/>
          <w:color w:val="000000"/>
          <w:sz w:val="32"/>
          <w:szCs w:val="32"/>
          <w:u w:val="single"/>
          <w:lang w:val="en-US" w:eastAsia="zh-CN"/>
        </w:rPr>
        <w:t>三</w:t>
      </w:r>
      <w:r>
        <w:rPr>
          <w:rFonts w:hint="eastAsia" w:ascii="黑体" w:hAnsi="宋体" w:eastAsia="黑体" w:cs="黑体"/>
          <w:i/>
          <w:color w:val="000000"/>
          <w:sz w:val="32"/>
          <w:szCs w:val="32"/>
          <w:u w:val="single"/>
        </w:rPr>
        <w:t>、具备履行合同所必需的设备和专业技术能力的书面声明</w:t>
      </w:r>
    </w:p>
    <w:p w14:paraId="03D31A96">
      <w:pPr>
        <w:pStyle w:val="248"/>
        <w:keepNext w:val="0"/>
        <w:keepLines w:val="0"/>
        <w:pageBreakBefore w:val="0"/>
        <w:widowControl w:val="0"/>
        <w:spacing w:beforeAutospacing="0" w:afterAutospacing="0" w:line="440" w:lineRule="exact"/>
        <w:ind w:firstLine="492"/>
        <w:jc w:val="both"/>
      </w:pPr>
      <w:r>
        <w:rPr>
          <w:rFonts w:hint="eastAsia" w:ascii="宋体" w:hAnsi="宋体" w:eastAsia="宋体" w:cs="宋体"/>
          <w:color w:val="000000"/>
        </w:rPr>
        <w:t>我单位郑重声明：我单位具备履行本项采购合同所必需的设备和专业技术能力，为履行本项采购合同我公司具备如下主要设备和主要专业技术能力：</w:t>
      </w:r>
    </w:p>
    <w:p w14:paraId="520C8F30">
      <w:pPr>
        <w:pStyle w:val="248"/>
        <w:keepNext w:val="0"/>
        <w:keepLines w:val="0"/>
        <w:pageBreakBefore w:val="0"/>
        <w:widowControl w:val="0"/>
        <w:spacing w:beforeAutospacing="0" w:afterAutospacing="0" w:line="440" w:lineRule="exact"/>
        <w:ind w:firstLine="492"/>
        <w:jc w:val="both"/>
      </w:pPr>
      <w:r>
        <w:rPr>
          <w:rFonts w:hint="eastAsia" w:ascii="宋体" w:hAnsi="宋体" w:eastAsia="宋体" w:cs="宋体"/>
          <w:color w:val="000000"/>
        </w:rPr>
        <w:t>主要设备有：</w:t>
      </w:r>
      <w:r>
        <w:rPr>
          <w:rFonts w:hint="eastAsia" w:ascii="宋体" w:hAnsi="宋体" w:eastAsia="宋体" w:cs="宋体"/>
          <w:color w:val="000000"/>
          <w:u w:val="single"/>
        </w:rPr>
        <w:t xml:space="preserve">  </w:t>
      </w:r>
      <w:r>
        <w:rPr>
          <w:rFonts w:hint="eastAsia" w:ascii="宋体" w:hAnsi="宋体" w:eastAsia="宋体" w:cs="宋体"/>
          <w:color w:val="000000"/>
        </w:rPr>
        <w:t>。</w:t>
      </w:r>
    </w:p>
    <w:p w14:paraId="2F42EDD0">
      <w:pPr>
        <w:pStyle w:val="248"/>
        <w:keepNext w:val="0"/>
        <w:keepLines w:val="0"/>
        <w:pageBreakBefore w:val="0"/>
        <w:widowControl w:val="0"/>
        <w:spacing w:beforeAutospacing="0" w:afterAutospacing="0" w:line="440" w:lineRule="exact"/>
        <w:ind w:firstLine="480"/>
        <w:jc w:val="both"/>
        <w:rPr>
          <w:rFonts w:hint="eastAsia" w:ascii="宋体" w:hAnsi="宋体" w:eastAsia="宋体" w:cs="宋体"/>
          <w:color w:val="000000"/>
        </w:rPr>
      </w:pPr>
      <w:r>
        <w:rPr>
          <w:rFonts w:hint="eastAsia" w:ascii="宋体" w:hAnsi="宋体" w:eastAsia="宋体" w:cs="宋体"/>
          <w:color w:val="000000"/>
        </w:rPr>
        <w:t>主要专业技术能力有：</w:t>
      </w:r>
      <w:r>
        <w:rPr>
          <w:rFonts w:hint="eastAsia" w:ascii="宋体" w:hAnsi="宋体" w:eastAsia="宋体" w:cs="宋体"/>
          <w:color w:val="000000"/>
          <w:u w:val="single"/>
        </w:rPr>
        <w:t xml:space="preserve">   </w:t>
      </w:r>
      <w:r>
        <w:rPr>
          <w:rFonts w:hint="eastAsia" w:ascii="宋体" w:hAnsi="宋体" w:eastAsia="宋体" w:cs="宋体"/>
          <w:color w:val="000000"/>
        </w:rPr>
        <w:t>。</w:t>
      </w:r>
    </w:p>
    <w:p w14:paraId="6D329AFE">
      <w:pPr>
        <w:tabs>
          <w:tab w:val="left" w:pos="4860"/>
        </w:tabs>
        <w:spacing w:line="588" w:lineRule="exact"/>
        <w:ind w:right="1560" w:firstLine="480"/>
        <w:jc w:val="center"/>
        <w:rPr>
          <w:rFonts w:hint="eastAsia" w:ascii="宋体" w:hAnsi="宋体"/>
          <w:sz w:val="24"/>
          <w:szCs w:val="24"/>
        </w:rPr>
      </w:pPr>
      <w:r>
        <w:rPr>
          <w:rFonts w:hint="eastAsia" w:ascii="宋体" w:hAnsi="宋体"/>
          <w:sz w:val="24"/>
          <w:szCs w:val="24"/>
          <w:lang w:val="en-US" w:eastAsia="zh-CN"/>
        </w:rPr>
        <w:t xml:space="preserve">       </w:t>
      </w:r>
      <w:r>
        <w:rPr>
          <w:rFonts w:hint="eastAsia" w:ascii="宋体" w:hAnsi="宋体"/>
          <w:sz w:val="24"/>
          <w:szCs w:val="24"/>
        </w:rPr>
        <w:t>单位名称（加盖CA电子公章）：</w:t>
      </w:r>
    </w:p>
    <w:p w14:paraId="14983B42">
      <w:pPr>
        <w:spacing w:line="480" w:lineRule="exact"/>
        <w:ind w:firstLine="560"/>
        <w:jc w:val="center"/>
        <w:rPr>
          <w:rFonts w:hint="eastAsia" w:ascii="黑体" w:hAnsi="宋体" w:eastAsia="黑体"/>
          <w:bCs/>
          <w:sz w:val="32"/>
          <w:szCs w:val="32"/>
        </w:rPr>
      </w:pPr>
      <w:r>
        <w:rPr>
          <w:rFonts w:hint="eastAsia" w:ascii="仿宋_GB2312"/>
          <w:sz w:val="28"/>
          <w:szCs w:val="28"/>
          <w:u w:val="none"/>
          <w:lang w:val="en-US" w:eastAsia="zh-CN"/>
        </w:rPr>
        <w:t xml:space="preserve">                  </w:t>
      </w:r>
      <w:r>
        <w:rPr>
          <w:rFonts w:hint="eastAsia" w:ascii="仿宋_GB2312"/>
          <w:sz w:val="28"/>
          <w:szCs w:val="28"/>
          <w:u w:val="single"/>
          <w:lang w:val="en-US" w:eastAsia="zh-CN"/>
        </w:rPr>
        <w:t xml:space="preserve">  </w:t>
      </w:r>
      <w:r>
        <w:rPr>
          <w:rFonts w:hint="eastAsia" w:ascii="仿宋_GB2312"/>
          <w:sz w:val="28"/>
          <w:szCs w:val="28"/>
          <w:u w:val="single"/>
        </w:rPr>
        <w:t xml:space="preserve">      </w:t>
      </w:r>
      <w:r>
        <w:rPr>
          <w:rFonts w:hint="eastAsia" w:ascii="仿宋_GB2312"/>
          <w:sz w:val="28"/>
          <w:szCs w:val="28"/>
        </w:rPr>
        <w:t>年</w:t>
      </w:r>
      <w:r>
        <w:rPr>
          <w:rFonts w:hint="eastAsia" w:ascii="仿宋_GB2312"/>
          <w:sz w:val="28"/>
          <w:szCs w:val="28"/>
          <w:u w:val="single"/>
        </w:rPr>
        <w:t xml:space="preserve">      </w:t>
      </w:r>
      <w:r>
        <w:rPr>
          <w:rFonts w:hint="eastAsia" w:ascii="仿宋_GB2312"/>
          <w:sz w:val="28"/>
          <w:szCs w:val="28"/>
        </w:rPr>
        <w:t xml:space="preserve"> 月 </w:t>
      </w:r>
      <w:r>
        <w:rPr>
          <w:rFonts w:hint="eastAsia" w:ascii="仿宋_GB2312"/>
          <w:sz w:val="28"/>
          <w:szCs w:val="28"/>
          <w:u w:val="single"/>
        </w:rPr>
        <w:t xml:space="preserve">     </w:t>
      </w:r>
      <w:r>
        <w:rPr>
          <w:rFonts w:hint="eastAsia" w:ascii="仿宋_GB2312"/>
          <w:sz w:val="28"/>
          <w:szCs w:val="28"/>
        </w:rPr>
        <w:t xml:space="preserve"> 日</w:t>
      </w:r>
    </w:p>
    <w:p w14:paraId="206B3183">
      <w:pPr>
        <w:pStyle w:val="248"/>
        <w:spacing w:beforeAutospacing="0" w:afterAutospacing="0"/>
        <w:jc w:val="both"/>
      </w:pPr>
      <w:r>
        <w:rPr>
          <w:rFonts w:hint="eastAsia" w:ascii="黑体" w:hAnsi="宋体" w:eastAsia="黑体" w:cs="黑体"/>
          <w:i/>
          <w:color w:val="000000"/>
          <w:sz w:val="32"/>
          <w:szCs w:val="32"/>
          <w:u w:val="single"/>
          <w:lang w:val="en-US" w:eastAsia="zh-CN"/>
        </w:rPr>
        <w:t>四</w:t>
      </w:r>
      <w:r>
        <w:rPr>
          <w:rFonts w:hint="eastAsia" w:ascii="黑体" w:hAnsi="宋体" w:eastAsia="黑体" w:cs="黑体"/>
          <w:i/>
          <w:color w:val="000000"/>
          <w:sz w:val="32"/>
          <w:szCs w:val="32"/>
          <w:u w:val="single"/>
        </w:rPr>
        <w:t>、依法缴纳税收和社会保障资金的相关材料</w:t>
      </w:r>
    </w:p>
    <w:p w14:paraId="22D55885">
      <w:pPr>
        <w:pStyle w:val="248"/>
        <w:keepNext w:val="0"/>
        <w:keepLines w:val="0"/>
        <w:pageBreakBefore w:val="0"/>
        <w:widowControl w:val="0"/>
        <w:spacing w:beforeAutospacing="0" w:afterAutospacing="0" w:line="440" w:lineRule="exact"/>
        <w:ind w:firstLine="482"/>
        <w:jc w:val="both"/>
      </w:pPr>
      <w:r>
        <w:rPr>
          <w:rFonts w:hint="eastAsia" w:ascii="宋体" w:hAnsi="宋体" w:eastAsia="宋体" w:cs="宋体"/>
          <w:color w:val="000000"/>
        </w:rPr>
        <w:t>提供提交投标文件截止时间前一年内至少一个月依法缴纳税收及缴纳社会保障资金的证明材料。投标人依法享受缓缴、免缴税收、社会保障资金的提供证明材料。</w:t>
      </w:r>
    </w:p>
    <w:p w14:paraId="7049C5B4">
      <w:pPr>
        <w:spacing w:line="460" w:lineRule="exact"/>
        <w:rPr>
          <w:rFonts w:hint="eastAsia" w:ascii="宋体" w:hAnsi="宋体"/>
          <w:bCs/>
          <w:color w:val="000000"/>
          <w:sz w:val="24"/>
          <w:szCs w:val="21"/>
        </w:rPr>
      </w:pPr>
      <w:r>
        <w:rPr>
          <w:rFonts w:hint="eastAsia" w:ascii="宋体" w:hAnsi="宋体"/>
          <w:bCs/>
          <w:color w:val="000000"/>
          <w:sz w:val="24"/>
          <w:szCs w:val="21"/>
        </w:rPr>
        <w:t xml:space="preserve">                                     </w:t>
      </w:r>
    </w:p>
    <w:p w14:paraId="2BD823B5">
      <w:pPr>
        <w:rPr>
          <w:rFonts w:hint="eastAsia" w:ascii="Times New Roman" w:hAnsi="Times New Roman"/>
          <w:color w:val="000000"/>
          <w:szCs w:val="21"/>
        </w:rPr>
      </w:pPr>
    </w:p>
    <w:bookmarkEnd w:id="192"/>
    <w:bookmarkEnd w:id="193"/>
    <w:bookmarkEnd w:id="194"/>
    <w:p w14:paraId="3B6A6DAA">
      <w:pPr>
        <w:pStyle w:val="248"/>
        <w:spacing w:beforeAutospacing="0" w:afterAutospacing="0"/>
        <w:jc w:val="both"/>
      </w:pPr>
      <w:bookmarkStart w:id="195" w:name="_Toc120614284"/>
      <w:r>
        <w:rPr>
          <w:rFonts w:hint="eastAsia" w:ascii="黑体" w:hAnsi="宋体" w:eastAsia="黑体" w:cs="黑体"/>
          <w:i/>
          <w:color w:val="000000"/>
          <w:sz w:val="32"/>
          <w:szCs w:val="32"/>
          <w:u w:val="single"/>
        </w:rPr>
        <w:t>五、参加政府采购活动前 3 年内在经营活动中没有重大违法记录的书面声明</w:t>
      </w:r>
    </w:p>
    <w:p w14:paraId="38EFEFEB">
      <w:pPr>
        <w:pStyle w:val="248"/>
        <w:spacing w:beforeAutospacing="0" w:afterAutospacing="0" w:line="0" w:lineRule="atLeast"/>
        <w:jc w:val="both"/>
      </w:pPr>
      <w:r>
        <w:rPr>
          <w:rFonts w:hint="eastAsia" w:ascii="宋体" w:hAnsi="宋体" w:eastAsia="宋体" w:cs="宋体"/>
          <w:b/>
          <w:color w:val="000000"/>
          <w:sz w:val="44"/>
          <w:szCs w:val="44"/>
        </w:rPr>
        <w:t>       声  明</w:t>
      </w:r>
    </w:p>
    <w:p w14:paraId="71601EFA">
      <w:pPr>
        <w:pStyle w:val="248"/>
        <w:keepNext w:val="0"/>
        <w:keepLines w:val="0"/>
        <w:pageBreakBefore w:val="0"/>
        <w:widowControl w:val="0"/>
        <w:spacing w:beforeAutospacing="0" w:afterAutospacing="0" w:line="400" w:lineRule="exact"/>
        <w:jc w:val="both"/>
      </w:pPr>
      <w:r>
        <w:rPr>
          <w:rFonts w:hint="eastAsia" w:ascii="宋体" w:hAnsi="宋体" w:eastAsia="宋体" w:cs="宋体"/>
          <w:b/>
          <w:color w:val="000000"/>
        </w:rPr>
        <w:t xml:space="preserve">    </w:t>
      </w:r>
      <w:r>
        <w:rPr>
          <w:rFonts w:hint="eastAsia" w:ascii="宋体" w:hAnsi="宋体" w:eastAsia="宋体" w:cs="宋体"/>
          <w:color w:val="000000"/>
        </w:rPr>
        <w:t>我单位郑重声明：参加本次政府采购活动前 3 年内，我单位在经营活动中没有因违法经营受到刑事处罚或者责令停产停业、吊销许可证或者执照、较大数额罚款等行政处罚。</w:t>
      </w:r>
    </w:p>
    <w:p w14:paraId="156152DC">
      <w:pPr>
        <w:pStyle w:val="248"/>
        <w:spacing w:beforeAutospacing="0" w:afterAutospacing="0"/>
        <w:jc w:val="both"/>
      </w:pPr>
      <w:r>
        <w:t> </w:t>
      </w:r>
    </w:p>
    <w:p w14:paraId="1E19B0BA">
      <w:pPr>
        <w:pStyle w:val="248"/>
        <w:spacing w:beforeAutospacing="0" w:afterAutospacing="0" w:line="0" w:lineRule="atLeast"/>
        <w:jc w:val="both"/>
        <w:rPr>
          <w:rFonts w:hint="eastAsia" w:ascii="宋体" w:hAnsi="宋体"/>
          <w:sz w:val="24"/>
          <w:szCs w:val="24"/>
        </w:rPr>
      </w:pPr>
      <w:r>
        <w:t> </w:t>
      </w:r>
      <w:r>
        <w:rPr>
          <w:rFonts w:hint="eastAsia"/>
          <w:lang w:val="en-US" w:eastAsia="zh-CN"/>
        </w:rPr>
        <w:t xml:space="preserve">                        </w:t>
      </w:r>
      <w:r>
        <w:rPr>
          <w:rFonts w:hint="eastAsia" w:ascii="仿宋_GB2312" w:eastAsia="仿宋_GB2312"/>
          <w:spacing w:val="6"/>
          <w:sz w:val="30"/>
          <w:szCs w:val="30"/>
        </w:rPr>
        <w:t xml:space="preserve"> </w:t>
      </w:r>
      <w:r>
        <w:rPr>
          <w:rFonts w:hint="eastAsia" w:ascii="宋体" w:hAnsi="宋体"/>
          <w:sz w:val="24"/>
          <w:szCs w:val="24"/>
        </w:rPr>
        <w:t>单位名称（加盖CA电子公章）：</w:t>
      </w:r>
    </w:p>
    <w:p w14:paraId="040C4D61">
      <w:pPr>
        <w:spacing w:line="480" w:lineRule="exact"/>
        <w:ind w:firstLine="560"/>
        <w:jc w:val="center"/>
        <w:rPr>
          <w:rFonts w:hint="eastAsia" w:ascii="黑体" w:hAnsi="宋体" w:eastAsia="黑体"/>
          <w:bCs/>
          <w:sz w:val="32"/>
          <w:szCs w:val="32"/>
        </w:rPr>
      </w:pPr>
      <w:r>
        <w:rPr>
          <w:rFonts w:hint="eastAsia" w:ascii="仿宋_GB2312"/>
          <w:sz w:val="28"/>
          <w:szCs w:val="28"/>
          <w:u w:val="none"/>
          <w:lang w:val="en-US" w:eastAsia="zh-CN"/>
        </w:rPr>
        <w:t xml:space="preserve">                </w:t>
      </w:r>
      <w:r>
        <w:rPr>
          <w:rFonts w:hint="eastAsia" w:ascii="仿宋_GB2312"/>
          <w:sz w:val="28"/>
          <w:szCs w:val="28"/>
          <w:u w:val="single"/>
          <w:lang w:val="en-US" w:eastAsia="zh-CN"/>
        </w:rPr>
        <w:t xml:space="preserve">  </w:t>
      </w:r>
      <w:r>
        <w:rPr>
          <w:rFonts w:hint="eastAsia" w:ascii="仿宋_GB2312"/>
          <w:sz w:val="28"/>
          <w:szCs w:val="28"/>
          <w:u w:val="single"/>
        </w:rPr>
        <w:t xml:space="preserve">      </w:t>
      </w:r>
      <w:r>
        <w:rPr>
          <w:rFonts w:hint="eastAsia" w:ascii="仿宋_GB2312"/>
          <w:sz w:val="28"/>
          <w:szCs w:val="28"/>
        </w:rPr>
        <w:t>年</w:t>
      </w:r>
      <w:r>
        <w:rPr>
          <w:rFonts w:hint="eastAsia" w:ascii="仿宋_GB2312"/>
          <w:sz w:val="28"/>
          <w:szCs w:val="28"/>
          <w:u w:val="single"/>
        </w:rPr>
        <w:t xml:space="preserve">      </w:t>
      </w:r>
      <w:r>
        <w:rPr>
          <w:rFonts w:hint="eastAsia" w:ascii="仿宋_GB2312"/>
          <w:sz w:val="28"/>
          <w:szCs w:val="28"/>
        </w:rPr>
        <w:t xml:space="preserve"> 月 </w:t>
      </w:r>
      <w:r>
        <w:rPr>
          <w:rFonts w:hint="eastAsia" w:ascii="仿宋_GB2312"/>
          <w:sz w:val="28"/>
          <w:szCs w:val="28"/>
          <w:u w:val="single"/>
        </w:rPr>
        <w:t xml:space="preserve">     </w:t>
      </w:r>
      <w:r>
        <w:rPr>
          <w:rFonts w:hint="eastAsia" w:ascii="仿宋_GB2312"/>
          <w:sz w:val="28"/>
          <w:szCs w:val="28"/>
        </w:rPr>
        <w:t xml:space="preserve"> 日</w:t>
      </w:r>
    </w:p>
    <w:p w14:paraId="0B91408E">
      <w:pPr>
        <w:ind w:firstLine="640"/>
        <w:rPr>
          <w:rFonts w:hint="eastAsia" w:ascii="黑体" w:hAnsi="黑体" w:eastAsia="黑体"/>
          <w:i/>
          <w:sz w:val="32"/>
          <w:szCs w:val="32"/>
          <w:u w:val="single"/>
        </w:rPr>
      </w:pPr>
      <w:r>
        <w:rPr>
          <w:rFonts w:hint="eastAsia" w:ascii="黑体" w:hAnsi="黑体" w:eastAsia="黑体"/>
          <w:i/>
          <w:sz w:val="32"/>
          <w:szCs w:val="32"/>
          <w:u w:val="single"/>
        </w:rPr>
        <w:t>六、特定资格要求的证明文件</w:t>
      </w:r>
    </w:p>
    <w:p w14:paraId="1E7FB214">
      <w:pPr>
        <w:jc w:val="center"/>
        <w:rPr>
          <w:rFonts w:hint="eastAsia" w:ascii="宋体" w:hAnsi="宋体" w:eastAsia="宋体" w:cs="Times New Roman"/>
          <w:color w:val="0000FF"/>
          <w:sz w:val="24"/>
          <w:lang w:eastAsia="zh-CN"/>
        </w:rPr>
      </w:pPr>
    </w:p>
    <w:p w14:paraId="55DBEC47">
      <w:pPr>
        <w:ind w:firstLine="480"/>
        <w:jc w:val="left"/>
        <w:rPr>
          <w:rFonts w:hint="eastAsia" w:ascii="宋体" w:hAnsi="宋体" w:eastAsia="宋体" w:cs="Times New Roman"/>
          <w:color w:val="000000"/>
          <w:sz w:val="24"/>
          <w:lang w:eastAsia="zh-CN"/>
        </w:rPr>
      </w:pPr>
      <w:r>
        <w:rPr>
          <w:rFonts w:hint="eastAsia" w:ascii="宋体" w:hAnsi="宋体" w:eastAsia="宋体" w:cs="Times New Roman"/>
          <w:color w:val="000000"/>
          <w:sz w:val="24"/>
          <w:lang w:eastAsia="zh-CN"/>
        </w:rPr>
        <w:t>投标人所投车辆必须是工业和信息化部“道路机动车辆生产企业及产品信息查询系统”</w:t>
      </w:r>
      <w:r>
        <w:rPr>
          <w:rFonts w:hint="eastAsia" w:ascii="宋体" w:hAnsi="宋体" w:eastAsia="宋体" w:cs="Times New Roman"/>
          <w:color w:val="000000"/>
          <w:sz w:val="24"/>
          <w:lang w:val="en-US" w:eastAsia="zh-CN"/>
        </w:rPr>
        <w:t>可查询产品，提供本项目投标车辆查询截图</w:t>
      </w:r>
      <w:r>
        <w:rPr>
          <w:rFonts w:hint="eastAsia" w:ascii="宋体" w:hAnsi="宋体" w:eastAsia="宋体" w:cs="Times New Roman"/>
          <w:color w:val="000000"/>
          <w:sz w:val="24"/>
          <w:lang w:eastAsia="zh-CN"/>
        </w:rPr>
        <w:t>；</w:t>
      </w:r>
    </w:p>
    <w:p w14:paraId="66478ED4">
      <w:pPr>
        <w:jc w:val="center"/>
        <w:rPr>
          <w:rFonts w:hint="eastAsia" w:ascii="黑体" w:hAnsi="黑体" w:eastAsia="黑体"/>
          <w:i/>
          <w:color w:val="000000"/>
          <w:sz w:val="32"/>
          <w:szCs w:val="32"/>
          <w:u w:val="single"/>
        </w:rPr>
      </w:pPr>
      <w:r>
        <w:rPr>
          <w:rFonts w:hint="eastAsia" w:ascii="黑体" w:hAnsi="黑体" w:eastAsia="黑体"/>
          <w:i/>
          <w:color w:val="000000"/>
          <w:sz w:val="32"/>
          <w:szCs w:val="32"/>
          <w:u w:val="single"/>
          <w:lang w:eastAsia="zh-CN"/>
        </w:rPr>
        <w:t>七</w:t>
      </w:r>
      <w:r>
        <w:rPr>
          <w:rFonts w:hint="eastAsia" w:ascii="黑体" w:hAnsi="黑体" w:eastAsia="黑体"/>
          <w:i/>
          <w:color w:val="000000"/>
          <w:sz w:val="32"/>
          <w:szCs w:val="32"/>
          <w:u w:val="single"/>
        </w:rPr>
        <w:t>、法人授权书</w:t>
      </w:r>
    </w:p>
    <w:p w14:paraId="72853B38">
      <w:pPr>
        <w:tabs>
          <w:tab w:val="left" w:pos="360"/>
        </w:tabs>
        <w:ind w:firstLine="480"/>
        <w:rPr>
          <w:rFonts w:hint="eastAsia" w:ascii="Times New Roman" w:hAnsi="Times New Roman"/>
          <w:color w:val="000000"/>
          <w:sz w:val="24"/>
          <w:szCs w:val="24"/>
        </w:rPr>
      </w:pPr>
      <w:r>
        <w:rPr>
          <w:rFonts w:hint="eastAsia" w:ascii="Times New Roman" w:hAnsi="Times New Roman"/>
          <w:color w:val="000000"/>
          <w:sz w:val="24"/>
          <w:szCs w:val="24"/>
        </w:rPr>
        <w:t>本授权书声明：____________（投标人名称）授权________________（被授权人的姓名）为我方就</w:t>
      </w:r>
      <w:r>
        <w:rPr>
          <w:rFonts w:hint="eastAsia" w:ascii="宋体" w:hAnsi="宋体" w:cs="Times New Roman"/>
          <w:color w:val="000000"/>
          <w:sz w:val="24"/>
          <w:szCs w:val="24"/>
          <w:lang w:val="en-US" w:eastAsia="zh-CN"/>
        </w:rPr>
        <w:t>JSZC-320923-SWGC-G2026-0106</w:t>
      </w:r>
      <w:r>
        <w:rPr>
          <w:rFonts w:hint="eastAsia" w:ascii="Times New Roman" w:hAnsi="Times New Roman"/>
          <w:color w:val="000000"/>
          <w:sz w:val="24"/>
          <w:szCs w:val="24"/>
        </w:rPr>
        <w:t>号项目采购活动的合法代理人，以本单位名义全权处理一切与该项目采购有关的事务。</w:t>
      </w:r>
    </w:p>
    <w:p w14:paraId="3B6A2B07">
      <w:pPr>
        <w:tabs>
          <w:tab w:val="left" w:pos="360"/>
        </w:tabs>
        <w:ind w:firstLine="480"/>
        <w:rPr>
          <w:rFonts w:hint="eastAsia" w:ascii="Times New Roman" w:hAnsi="Times New Roman"/>
          <w:color w:val="000000"/>
          <w:sz w:val="24"/>
          <w:szCs w:val="24"/>
        </w:rPr>
      </w:pPr>
      <w:r>
        <w:rPr>
          <w:rFonts w:hint="eastAsia" w:ascii="Times New Roman" w:hAnsi="Times New Roman"/>
          <w:color w:val="000000"/>
          <w:sz w:val="24"/>
          <w:szCs w:val="24"/>
        </w:rPr>
        <w:t>本授权书于______年____月____日起生效，特此声明。</w:t>
      </w:r>
    </w:p>
    <w:p w14:paraId="4FAAC703">
      <w:pPr>
        <w:tabs>
          <w:tab w:val="left" w:pos="360"/>
        </w:tabs>
        <w:rPr>
          <w:rFonts w:hint="eastAsia" w:ascii="Times New Roman" w:hAnsi="Times New Roman"/>
          <w:color w:val="000000"/>
          <w:sz w:val="24"/>
          <w:szCs w:val="24"/>
          <w:u w:val="single"/>
        </w:rPr>
      </w:pPr>
      <w:r>
        <w:rPr>
          <w:rFonts w:hint="eastAsia" w:ascii="Times New Roman" w:hAnsi="Times New Roman"/>
          <w:color w:val="000000"/>
          <w:sz w:val="24"/>
          <w:szCs w:val="24"/>
        </w:rPr>
        <w:t xml:space="preserve">          被授权人身份证号码：</w:t>
      </w:r>
      <w:r>
        <w:rPr>
          <w:rFonts w:hint="eastAsia" w:ascii="Times New Roman" w:hAnsi="Times New Roman"/>
          <w:color w:val="000000"/>
          <w:sz w:val="24"/>
          <w:szCs w:val="24"/>
          <w:u w:val="single"/>
        </w:rPr>
        <w:t xml:space="preserve">                              </w:t>
      </w:r>
    </w:p>
    <w:p w14:paraId="4192DBE4">
      <w:pPr>
        <w:tabs>
          <w:tab w:val="left" w:pos="360"/>
        </w:tabs>
        <w:rPr>
          <w:rFonts w:hint="eastAsia" w:ascii="Times New Roman" w:hAnsi="Times New Roman"/>
          <w:color w:val="000000"/>
          <w:sz w:val="24"/>
          <w:szCs w:val="24"/>
          <w:u w:val="single"/>
        </w:rPr>
      </w:pPr>
      <w:r>
        <w:rPr>
          <w:rFonts w:hint="eastAsia" w:ascii="Times New Roman" w:hAnsi="Times New Roman"/>
          <w:color w:val="000000"/>
          <w:sz w:val="24"/>
          <w:szCs w:val="24"/>
        </w:rPr>
        <w:t xml:space="preserve">          被授权人联系电话：（手机）</w:t>
      </w:r>
      <w:r>
        <w:rPr>
          <w:rFonts w:hint="eastAsia" w:ascii="Times New Roman" w:hAnsi="Times New Roman"/>
          <w:color w:val="000000"/>
          <w:sz w:val="24"/>
          <w:szCs w:val="24"/>
          <w:u w:val="single"/>
        </w:rPr>
        <w:t xml:space="preserve">                          </w:t>
      </w:r>
    </w:p>
    <w:p w14:paraId="11869946">
      <w:pPr>
        <w:tabs>
          <w:tab w:val="left" w:pos="360"/>
        </w:tabs>
        <w:ind w:firstLine="1200"/>
        <w:rPr>
          <w:rFonts w:hint="eastAsia" w:ascii="Times New Roman" w:hAnsi="Times New Roman"/>
          <w:color w:val="000000"/>
          <w:sz w:val="24"/>
          <w:szCs w:val="24"/>
        </w:rPr>
      </w:pPr>
      <w:r>
        <w:rPr>
          <w:rFonts w:hint="eastAsia" w:ascii="Times New Roman" w:hAnsi="Times New Roman"/>
          <w:color w:val="000000"/>
          <w:sz w:val="24"/>
          <w:szCs w:val="24"/>
        </w:rPr>
        <w:t>授权单位名称：</w:t>
      </w:r>
      <w:r>
        <w:rPr>
          <w:rFonts w:hint="eastAsia" w:ascii="Times New Roman" w:hAnsi="Times New Roman"/>
          <w:color w:val="000000"/>
          <w:sz w:val="24"/>
          <w:szCs w:val="24"/>
          <w:u w:val="single"/>
        </w:rPr>
        <w:t>（加盖CA电子公章）</w:t>
      </w:r>
    </w:p>
    <w:p w14:paraId="3FF5D88F">
      <w:pPr>
        <w:tabs>
          <w:tab w:val="left" w:pos="360"/>
        </w:tabs>
        <w:ind w:firstLine="480"/>
        <w:rPr>
          <w:rFonts w:hint="eastAsia" w:ascii="Times New Roman" w:hAnsi="Times New Roman"/>
          <w:color w:val="000000"/>
          <w:sz w:val="24"/>
          <w:szCs w:val="24"/>
          <w:u w:val="single"/>
        </w:rPr>
      </w:pPr>
      <w:r>
        <w:rPr>
          <w:rFonts w:hint="eastAsia" w:ascii="Times New Roman" w:hAnsi="Times New Roman"/>
          <w:color w:val="000000"/>
          <w:sz w:val="24"/>
          <w:szCs w:val="24"/>
        </w:rPr>
        <w:t xml:space="preserve">      单位地址：</w:t>
      </w:r>
      <w:r>
        <w:rPr>
          <w:rFonts w:hint="eastAsia" w:ascii="Times New Roman" w:hAnsi="Times New Roman"/>
          <w:color w:val="000000"/>
          <w:sz w:val="24"/>
          <w:szCs w:val="24"/>
          <w:u w:val="single"/>
        </w:rPr>
        <w:t xml:space="preserve">                                         </w:t>
      </w:r>
    </w:p>
    <w:p w14:paraId="02639CE5">
      <w:pPr>
        <w:tabs>
          <w:tab w:val="left" w:pos="360"/>
        </w:tabs>
        <w:ind w:firstLine="480"/>
        <w:rPr>
          <w:rFonts w:hint="eastAsia" w:ascii="Times New Roman" w:hAnsi="Times New Roman"/>
          <w:color w:val="000000"/>
          <w:sz w:val="24"/>
          <w:szCs w:val="24"/>
        </w:rPr>
      </w:pPr>
      <w:r>
        <w:rPr>
          <w:rFonts w:hint="eastAsia" w:ascii="Times New Roman" w:hAnsi="Times New Roman"/>
          <w:color w:val="000000"/>
          <w:sz w:val="24"/>
          <w:szCs w:val="24"/>
        </w:rPr>
        <w:t xml:space="preserve">      日期：</w:t>
      </w:r>
      <w:bookmarkStart w:id="196" w:name="_格式3__银行出具的资信证明"/>
      <w:bookmarkEnd w:id="196"/>
      <w:bookmarkStart w:id="197" w:name="_Hlt26955070"/>
      <w:bookmarkEnd w:id="197"/>
      <w:bookmarkStart w:id="198" w:name="_Hlt26671380"/>
      <w:bookmarkEnd w:id="198"/>
      <w:r>
        <w:rPr>
          <w:rFonts w:hint="eastAsia" w:ascii="Times New Roman" w:hAnsi="Times New Roman"/>
          <w:color w:val="000000"/>
          <w:sz w:val="24"/>
          <w:szCs w:val="24"/>
          <w:u w:val="single"/>
        </w:rPr>
        <w:t xml:space="preserve">                                         </w:t>
      </w:r>
    </w:p>
    <w:p w14:paraId="7A3E665B">
      <w:pPr>
        <w:ind w:firstLine="420"/>
        <w:rPr>
          <w:rFonts w:hint="eastAsia" w:ascii="Times New Roman" w:hAnsi="Times New Roman"/>
          <w:i/>
          <w:color w:val="000000"/>
          <w:sz w:val="24"/>
          <w:szCs w:val="24"/>
          <w:u w:val="single"/>
        </w:rPr>
      </w:pPr>
    </w:p>
    <w:p w14:paraId="7ADBDEAD">
      <w:pPr>
        <w:spacing w:line="460" w:lineRule="exact"/>
        <w:rPr>
          <w:rFonts w:hint="eastAsia" w:ascii="宋体" w:hAnsi="宋体"/>
          <w:bCs/>
          <w:color w:val="000000"/>
          <w:sz w:val="24"/>
          <w:szCs w:val="21"/>
        </w:rPr>
      </w:pPr>
    </w:p>
    <w:p w14:paraId="02816DEE">
      <w:pPr>
        <w:pStyle w:val="254"/>
        <w:rPr>
          <w:rFonts w:hint="eastAsia"/>
        </w:rPr>
      </w:pPr>
    </w:p>
    <w:p w14:paraId="301BA315">
      <w:pPr>
        <w:jc w:val="center"/>
        <w:rPr>
          <w:rFonts w:ascii="黑体" w:hAnsi="黑体" w:eastAsia="黑体"/>
          <w:b/>
          <w:i/>
          <w:iCs w:val="0"/>
          <w:color w:val="000000"/>
          <w:sz w:val="32"/>
          <w:szCs w:val="32"/>
          <w:u w:val="single"/>
        </w:rPr>
      </w:pPr>
      <w:r>
        <w:rPr>
          <w:rFonts w:ascii="宋体" w:hAnsi="宋体" w:eastAsia="幼圆" w:cs="Arial"/>
          <w:b/>
          <w:color w:val="000000"/>
          <w:sz w:val="24"/>
          <w:szCs w:val="44"/>
        </w:rPr>
        <w:br w:type="page" w:clear="all"/>
      </w:r>
      <w:r>
        <w:rPr>
          <w:rFonts w:hint="eastAsia" w:ascii="黑体" w:hAnsi="黑体" w:eastAsia="黑体" w:cs="Arial"/>
          <w:b/>
          <w:i/>
          <w:iCs w:val="0"/>
          <w:color w:val="000000"/>
          <w:sz w:val="32"/>
          <w:szCs w:val="32"/>
          <w:u w:val="single"/>
          <w:lang w:eastAsia="zh-CN"/>
        </w:rPr>
        <w:t>八</w:t>
      </w:r>
      <w:r>
        <w:rPr>
          <w:rFonts w:hint="eastAsia" w:ascii="黑体" w:hAnsi="黑体" w:eastAsia="黑体" w:cs="Arial"/>
          <w:b/>
          <w:i/>
          <w:iCs w:val="0"/>
          <w:color w:val="000000"/>
          <w:sz w:val="32"/>
          <w:szCs w:val="32"/>
          <w:u w:val="single"/>
        </w:rPr>
        <w:t>、</w:t>
      </w:r>
      <w:r>
        <w:rPr>
          <w:rFonts w:hint="eastAsia" w:ascii="黑体" w:hAnsi="黑体" w:eastAsia="黑体"/>
          <w:b/>
          <w:i/>
          <w:iCs w:val="0"/>
          <w:color w:val="000000"/>
          <w:sz w:val="32"/>
          <w:szCs w:val="32"/>
          <w:u w:val="single"/>
        </w:rPr>
        <w:t>投标函</w:t>
      </w:r>
    </w:p>
    <w:p w14:paraId="717CB78C">
      <w:pPr>
        <w:spacing w:line="420" w:lineRule="exact"/>
        <w:ind w:firstLine="480"/>
        <w:jc w:val="left"/>
        <w:rPr>
          <w:rFonts w:hint="eastAsia" w:ascii="宋体" w:hAnsi="宋体"/>
          <w:color w:val="000000"/>
          <w:sz w:val="24"/>
          <w:szCs w:val="21"/>
          <w:lang w:val="en-US" w:eastAsia="zh-CN"/>
        </w:rPr>
      </w:pPr>
      <w:r>
        <w:rPr>
          <w:rFonts w:hint="eastAsia" w:ascii="宋体" w:hAnsi="宋体"/>
          <w:color w:val="000000"/>
          <w:sz w:val="24"/>
          <w:szCs w:val="21"/>
        </w:rPr>
        <w:t>致：</w:t>
      </w:r>
      <w:r>
        <w:rPr>
          <w:rFonts w:hint="eastAsia" w:ascii="宋体" w:hAnsi="宋体"/>
          <w:color w:val="000000"/>
          <w:sz w:val="24"/>
          <w:szCs w:val="21"/>
          <w:lang w:val="en-US" w:eastAsia="zh-CN"/>
        </w:rPr>
        <w:t>阜宁县人民医院</w:t>
      </w:r>
    </w:p>
    <w:p w14:paraId="23782C06">
      <w:pPr>
        <w:spacing w:line="420" w:lineRule="exact"/>
        <w:ind w:firstLine="480"/>
        <w:jc w:val="left"/>
        <w:rPr>
          <w:rFonts w:hint="eastAsia" w:ascii="宋体" w:hAnsi="宋体"/>
          <w:color w:val="000000"/>
          <w:sz w:val="24"/>
          <w:szCs w:val="21"/>
        </w:rPr>
      </w:pPr>
      <w:r>
        <w:rPr>
          <w:rFonts w:hint="eastAsia" w:ascii="宋体" w:hAnsi="宋体"/>
          <w:color w:val="000000"/>
          <w:sz w:val="24"/>
          <w:szCs w:val="21"/>
        </w:rPr>
        <w:t>根据贵方的</w:t>
      </w:r>
      <w:r>
        <w:rPr>
          <w:rFonts w:hint="eastAsia" w:ascii="宋体" w:hAnsi="宋体" w:cs="Times New Roman"/>
          <w:color w:val="000000"/>
          <w:sz w:val="24"/>
          <w:szCs w:val="24"/>
          <w:lang w:val="en-US" w:eastAsia="zh-CN"/>
        </w:rPr>
        <w:t>JSZC-320923-SWGC-G2026-0106</w:t>
      </w:r>
      <w:r>
        <w:rPr>
          <w:rFonts w:hint="eastAsia" w:ascii="宋体" w:hAnsi="宋体"/>
          <w:color w:val="000000"/>
          <w:sz w:val="24"/>
          <w:szCs w:val="21"/>
        </w:rPr>
        <w:t>号招标文件，正式授权下述签字人_________________</w:t>
      </w:r>
      <w:r>
        <w:rPr>
          <w:rFonts w:hint="eastAsia" w:ascii="宋体" w:hAnsi="宋体"/>
          <w:color w:val="000000"/>
          <w:sz w:val="24"/>
          <w:szCs w:val="21"/>
          <w:lang w:eastAsia="zh-CN"/>
        </w:rPr>
        <w:t>（</w:t>
      </w:r>
      <w:r>
        <w:rPr>
          <w:rFonts w:hint="eastAsia" w:ascii="宋体" w:hAnsi="宋体"/>
          <w:color w:val="000000"/>
          <w:sz w:val="24"/>
          <w:szCs w:val="21"/>
        </w:rPr>
        <w:t>姓名</w:t>
      </w:r>
      <w:r>
        <w:rPr>
          <w:rFonts w:hint="eastAsia" w:ascii="宋体" w:hAnsi="宋体"/>
          <w:color w:val="000000"/>
          <w:sz w:val="24"/>
          <w:szCs w:val="21"/>
          <w:lang w:eastAsia="zh-CN"/>
        </w:rPr>
        <w:t>）</w:t>
      </w:r>
      <w:r>
        <w:rPr>
          <w:rFonts w:hint="eastAsia" w:ascii="宋体" w:hAnsi="宋体"/>
          <w:color w:val="000000"/>
          <w:sz w:val="24"/>
          <w:szCs w:val="21"/>
        </w:rPr>
        <w:t>代表我方______________（投标人的名称），全权处理本次项目投标的有关事宜。</w:t>
      </w:r>
    </w:p>
    <w:p w14:paraId="7F02F540">
      <w:pPr>
        <w:spacing w:line="420" w:lineRule="exact"/>
        <w:ind w:firstLine="480"/>
        <w:jc w:val="left"/>
        <w:rPr>
          <w:rFonts w:hint="eastAsia" w:ascii="宋体" w:hAnsi="宋体"/>
          <w:color w:val="000000"/>
          <w:sz w:val="24"/>
          <w:szCs w:val="21"/>
        </w:rPr>
      </w:pPr>
      <w:r>
        <w:rPr>
          <w:rFonts w:hint="eastAsia" w:ascii="宋体" w:hAnsi="宋体"/>
          <w:color w:val="000000"/>
          <w:sz w:val="24"/>
          <w:szCs w:val="21"/>
        </w:rPr>
        <w:t>据此函，签字人兹宣布同意如下：</w:t>
      </w:r>
    </w:p>
    <w:p w14:paraId="231326EC">
      <w:pPr>
        <w:spacing w:line="420" w:lineRule="exact"/>
        <w:ind w:firstLine="480"/>
        <w:jc w:val="left"/>
        <w:rPr>
          <w:rFonts w:hint="eastAsia" w:ascii="宋体" w:hAnsi="宋体"/>
          <w:color w:val="000000"/>
          <w:sz w:val="24"/>
          <w:szCs w:val="21"/>
        </w:rPr>
      </w:pPr>
      <w:r>
        <w:rPr>
          <w:rFonts w:hint="eastAsia" w:ascii="宋体" w:hAnsi="宋体"/>
          <w:color w:val="000000"/>
          <w:sz w:val="24"/>
          <w:szCs w:val="21"/>
        </w:rPr>
        <w:t>1.按招标文件规定的各项要求，向买方提供所需货物（包含与货物相关的服务）。</w:t>
      </w:r>
    </w:p>
    <w:p w14:paraId="15C9BDF9">
      <w:pPr>
        <w:spacing w:line="420" w:lineRule="exact"/>
        <w:ind w:firstLine="480"/>
        <w:jc w:val="left"/>
        <w:rPr>
          <w:rFonts w:hint="eastAsia" w:ascii="宋体" w:hAnsi="宋体"/>
          <w:color w:val="000000"/>
          <w:sz w:val="24"/>
          <w:szCs w:val="21"/>
        </w:rPr>
      </w:pPr>
      <w:r>
        <w:rPr>
          <w:rFonts w:hint="eastAsia" w:ascii="宋体" w:hAnsi="宋体"/>
          <w:color w:val="000000"/>
          <w:sz w:val="24"/>
          <w:szCs w:val="21"/>
        </w:rPr>
        <w:t>2.我们完全理解贵方不一定将合同授予最低报价的投标人。</w:t>
      </w:r>
    </w:p>
    <w:p w14:paraId="1AC91144">
      <w:pPr>
        <w:spacing w:line="420" w:lineRule="exact"/>
        <w:ind w:firstLine="480"/>
        <w:jc w:val="left"/>
        <w:rPr>
          <w:rFonts w:hint="eastAsia" w:ascii="宋体" w:hAnsi="宋体"/>
          <w:color w:val="000000"/>
          <w:sz w:val="24"/>
          <w:szCs w:val="21"/>
        </w:rPr>
      </w:pPr>
      <w:r>
        <w:rPr>
          <w:rFonts w:hint="eastAsia" w:ascii="宋体" w:hAnsi="宋体"/>
          <w:color w:val="000000"/>
          <w:sz w:val="24"/>
          <w:szCs w:val="21"/>
        </w:rPr>
        <w:t>3.我们已详细审核全部招标文件及其有效补充文件，我们知道必须放弃提出含糊不清或误解问题的权利。</w:t>
      </w:r>
    </w:p>
    <w:p w14:paraId="77C4776C">
      <w:pPr>
        <w:spacing w:line="420" w:lineRule="exact"/>
        <w:ind w:firstLine="480"/>
        <w:jc w:val="left"/>
        <w:rPr>
          <w:rFonts w:hint="eastAsia" w:ascii="宋体" w:hAnsi="宋体"/>
          <w:color w:val="000000"/>
          <w:sz w:val="24"/>
          <w:szCs w:val="21"/>
        </w:rPr>
      </w:pPr>
      <w:r>
        <w:rPr>
          <w:rFonts w:hint="eastAsia" w:ascii="宋体" w:hAnsi="宋体"/>
          <w:color w:val="000000"/>
          <w:sz w:val="24"/>
          <w:szCs w:val="21"/>
        </w:rPr>
        <w:t>4.我们同意从规定的开标日期起遵循本投标文件，并在规定的投标有效期期满之前均具有约束力。</w:t>
      </w:r>
    </w:p>
    <w:p w14:paraId="555E4A29">
      <w:pPr>
        <w:spacing w:line="420" w:lineRule="exact"/>
        <w:ind w:firstLine="480"/>
        <w:jc w:val="left"/>
        <w:rPr>
          <w:rFonts w:hint="eastAsia" w:ascii="宋体" w:hAnsi="宋体"/>
          <w:color w:val="000000"/>
          <w:sz w:val="24"/>
          <w:szCs w:val="21"/>
        </w:rPr>
      </w:pPr>
      <w:r>
        <w:rPr>
          <w:rFonts w:ascii="宋体" w:hAnsi="宋体"/>
          <w:color w:val="000000"/>
          <w:sz w:val="24"/>
          <w:szCs w:val="21"/>
        </w:rPr>
        <w:t>5</w:t>
      </w:r>
      <w:r>
        <w:rPr>
          <w:rFonts w:hint="eastAsia" w:ascii="宋体" w:hAnsi="宋体"/>
          <w:color w:val="000000"/>
          <w:sz w:val="24"/>
          <w:szCs w:val="21"/>
        </w:rPr>
        <w:t>.同意向贵方提供贵方可能另外要求的与投标有关的任何证据或资料，并保证我方已提供和将要提供的文件是真实的、准确的。</w:t>
      </w:r>
    </w:p>
    <w:p w14:paraId="708C05A4">
      <w:pPr>
        <w:spacing w:line="420" w:lineRule="exact"/>
        <w:ind w:firstLine="480"/>
        <w:jc w:val="left"/>
        <w:rPr>
          <w:rFonts w:hint="eastAsia" w:ascii="宋体" w:hAnsi="宋体"/>
          <w:color w:val="000000"/>
          <w:sz w:val="24"/>
          <w:szCs w:val="21"/>
        </w:rPr>
      </w:pPr>
      <w:r>
        <w:rPr>
          <w:rFonts w:ascii="宋体" w:hAnsi="宋体"/>
          <w:color w:val="000000"/>
          <w:sz w:val="24"/>
          <w:szCs w:val="21"/>
        </w:rPr>
        <w:t>6</w:t>
      </w:r>
      <w:r>
        <w:rPr>
          <w:rFonts w:hint="eastAsia" w:ascii="宋体" w:hAnsi="宋体"/>
          <w:color w:val="000000"/>
          <w:sz w:val="24"/>
          <w:szCs w:val="21"/>
        </w:rPr>
        <w:t>.一旦我方中标</w:t>
      </w:r>
      <w:r>
        <w:rPr>
          <w:rFonts w:hint="eastAsia" w:ascii="宋体" w:hAnsi="宋体"/>
          <w:color w:val="000000"/>
          <w:sz w:val="24"/>
          <w:szCs w:val="21"/>
          <w:lang w:eastAsia="zh-CN"/>
        </w:rPr>
        <w:t>，</w:t>
      </w:r>
      <w:r>
        <w:rPr>
          <w:rFonts w:hint="eastAsia" w:ascii="宋体" w:hAnsi="宋体"/>
          <w:color w:val="000000"/>
          <w:sz w:val="24"/>
          <w:szCs w:val="21"/>
        </w:rPr>
        <w:t>我方将根据招标文件的规定，严格履行合同的责任和义务</w:t>
      </w:r>
      <w:r>
        <w:rPr>
          <w:rFonts w:hint="eastAsia" w:ascii="宋体" w:hAnsi="宋体"/>
          <w:color w:val="000000"/>
          <w:sz w:val="24"/>
          <w:szCs w:val="21"/>
          <w:lang w:eastAsia="zh-CN"/>
        </w:rPr>
        <w:t>，</w:t>
      </w:r>
      <w:r>
        <w:rPr>
          <w:rFonts w:hint="eastAsia" w:ascii="宋体" w:hAnsi="宋体"/>
          <w:color w:val="000000"/>
          <w:sz w:val="24"/>
          <w:szCs w:val="21"/>
        </w:rPr>
        <w:t>并保证在招标文件规定的时</w:t>
      </w:r>
      <w:r>
        <w:rPr>
          <w:rFonts w:hint="eastAsia" w:ascii="宋体" w:hAnsi="宋体"/>
          <w:color w:val="000000"/>
          <w:sz w:val="24"/>
          <w:szCs w:val="21"/>
          <w:lang w:eastAsia="zh-CN"/>
        </w:rPr>
        <w:t>间内</w:t>
      </w:r>
      <w:r>
        <w:rPr>
          <w:rFonts w:hint="eastAsia" w:ascii="宋体" w:hAnsi="宋体"/>
          <w:color w:val="000000"/>
          <w:sz w:val="24"/>
          <w:szCs w:val="21"/>
        </w:rPr>
        <w:t>完成项目，交付买方验收、使用。</w:t>
      </w:r>
    </w:p>
    <w:p w14:paraId="38E05340">
      <w:pPr>
        <w:spacing w:line="420" w:lineRule="exact"/>
        <w:ind w:left="425"/>
        <w:jc w:val="left"/>
        <w:rPr>
          <w:rFonts w:hint="eastAsia" w:ascii="宋体" w:hAnsi="宋体"/>
          <w:color w:val="000000"/>
          <w:sz w:val="24"/>
          <w:szCs w:val="21"/>
        </w:rPr>
      </w:pPr>
      <w:r>
        <w:rPr>
          <w:rFonts w:ascii="宋体" w:hAnsi="宋体"/>
          <w:color w:val="000000"/>
          <w:sz w:val="24"/>
          <w:szCs w:val="21"/>
        </w:rPr>
        <w:t>7</w:t>
      </w:r>
      <w:r>
        <w:rPr>
          <w:rFonts w:hint="eastAsia" w:ascii="宋体" w:hAnsi="宋体"/>
          <w:color w:val="000000"/>
          <w:sz w:val="24"/>
          <w:szCs w:val="21"/>
        </w:rPr>
        <w:t>.与本投标有关的正式通讯地址为：</w:t>
      </w:r>
    </w:p>
    <w:p w14:paraId="20A02AB9">
      <w:pPr>
        <w:spacing w:line="420" w:lineRule="exact"/>
        <w:ind w:left="420" w:firstLine="480"/>
        <w:jc w:val="left"/>
        <w:rPr>
          <w:rFonts w:hint="eastAsia" w:ascii="宋体" w:hAnsi="宋体"/>
          <w:color w:val="000000"/>
          <w:sz w:val="24"/>
          <w:szCs w:val="21"/>
        </w:rPr>
      </w:pPr>
      <w:r>
        <w:rPr>
          <w:rFonts w:hint="eastAsia" w:ascii="宋体" w:hAnsi="宋体"/>
          <w:color w:val="000000"/>
          <w:sz w:val="24"/>
          <w:szCs w:val="21"/>
        </w:rPr>
        <w:t>地          址：</w:t>
      </w:r>
    </w:p>
    <w:p w14:paraId="06B45E35">
      <w:pPr>
        <w:spacing w:line="420" w:lineRule="exact"/>
        <w:ind w:left="420" w:firstLine="480"/>
        <w:jc w:val="left"/>
        <w:rPr>
          <w:rFonts w:hint="eastAsia" w:ascii="宋体" w:hAnsi="宋体"/>
          <w:color w:val="000000"/>
          <w:sz w:val="24"/>
          <w:szCs w:val="21"/>
        </w:rPr>
      </w:pPr>
      <w:r>
        <w:rPr>
          <w:rFonts w:hint="eastAsia" w:ascii="宋体" w:hAnsi="宋体"/>
          <w:color w:val="000000"/>
          <w:sz w:val="24"/>
          <w:szCs w:val="21"/>
        </w:rPr>
        <w:t>邮          编：</w:t>
      </w:r>
    </w:p>
    <w:p w14:paraId="455FD263">
      <w:pPr>
        <w:spacing w:line="420" w:lineRule="exact"/>
        <w:ind w:left="420" w:firstLine="480"/>
        <w:jc w:val="left"/>
        <w:rPr>
          <w:rFonts w:hint="eastAsia" w:ascii="宋体" w:hAnsi="宋体"/>
          <w:color w:val="000000"/>
          <w:sz w:val="24"/>
          <w:szCs w:val="21"/>
        </w:rPr>
      </w:pPr>
      <w:r>
        <w:rPr>
          <w:rFonts w:hint="eastAsia" w:ascii="宋体" w:hAnsi="宋体"/>
          <w:color w:val="000000"/>
          <w:sz w:val="24"/>
          <w:szCs w:val="21"/>
        </w:rPr>
        <w:t>电          话：</w:t>
      </w:r>
    </w:p>
    <w:p w14:paraId="101AE36D">
      <w:pPr>
        <w:spacing w:line="420" w:lineRule="exact"/>
        <w:ind w:left="420" w:firstLine="480"/>
        <w:jc w:val="left"/>
        <w:rPr>
          <w:rFonts w:hint="eastAsia" w:ascii="宋体" w:hAnsi="宋体"/>
          <w:color w:val="000000"/>
          <w:sz w:val="24"/>
          <w:szCs w:val="21"/>
        </w:rPr>
      </w:pPr>
      <w:r>
        <w:rPr>
          <w:rFonts w:hint="eastAsia" w:ascii="宋体" w:hAnsi="宋体"/>
          <w:color w:val="000000"/>
          <w:sz w:val="24"/>
          <w:szCs w:val="21"/>
        </w:rPr>
        <w:t>传          真：</w:t>
      </w:r>
    </w:p>
    <w:p w14:paraId="05A34241">
      <w:pPr>
        <w:spacing w:line="420" w:lineRule="exact"/>
        <w:ind w:left="420" w:firstLine="480"/>
        <w:jc w:val="left"/>
        <w:rPr>
          <w:rFonts w:hint="eastAsia" w:ascii="宋体" w:hAnsi="宋体"/>
          <w:color w:val="000000"/>
          <w:sz w:val="24"/>
          <w:szCs w:val="21"/>
        </w:rPr>
      </w:pPr>
      <w:r>
        <w:rPr>
          <w:rFonts w:hint="eastAsia" w:ascii="宋体" w:hAnsi="宋体"/>
          <w:color w:val="000000"/>
          <w:sz w:val="24"/>
          <w:szCs w:val="21"/>
        </w:rPr>
        <w:t>投标人开户行：</w:t>
      </w:r>
    </w:p>
    <w:p w14:paraId="7831B48F">
      <w:pPr>
        <w:spacing w:line="420" w:lineRule="exact"/>
        <w:ind w:left="420" w:firstLine="480"/>
        <w:jc w:val="left"/>
        <w:rPr>
          <w:rFonts w:hint="eastAsia" w:ascii="宋体" w:hAnsi="宋体"/>
          <w:color w:val="000000"/>
          <w:sz w:val="24"/>
          <w:szCs w:val="21"/>
        </w:rPr>
      </w:pPr>
      <w:r>
        <w:rPr>
          <w:rFonts w:hint="eastAsia" w:ascii="宋体" w:hAnsi="宋体"/>
          <w:color w:val="000000"/>
          <w:sz w:val="24"/>
          <w:szCs w:val="21"/>
        </w:rPr>
        <w:t xml:space="preserve">账          号： </w:t>
      </w:r>
    </w:p>
    <w:p w14:paraId="19A59748">
      <w:pPr>
        <w:pStyle w:val="248"/>
        <w:keepNext w:val="0"/>
        <w:keepLines w:val="0"/>
        <w:pageBreakBefore w:val="0"/>
        <w:widowControl w:val="0"/>
        <w:spacing w:beforeAutospacing="0" w:afterAutospacing="0" w:line="440" w:lineRule="atLeast"/>
        <w:ind w:left="420" w:firstLine="480"/>
        <w:rPr>
          <w:rFonts w:hint="eastAsia" w:ascii="宋体" w:hAnsi="宋体" w:eastAsia="宋体" w:cs="宋体"/>
          <w:color w:val="000000"/>
        </w:rPr>
      </w:pPr>
      <w:r>
        <w:rPr>
          <w:rFonts w:hint="eastAsia" w:ascii="宋体" w:hAnsi="宋体"/>
          <w:sz w:val="24"/>
          <w:szCs w:val="24"/>
        </w:rPr>
        <w:t>企业名称（加盖CA电子公章）：</w:t>
      </w:r>
    </w:p>
    <w:p w14:paraId="4A544CA8">
      <w:pPr>
        <w:spacing w:line="420" w:lineRule="exact"/>
        <w:ind w:left="420" w:firstLine="480"/>
        <w:jc w:val="left"/>
        <w:rPr>
          <w:rFonts w:hint="eastAsia" w:ascii="宋体" w:hAnsi="宋体"/>
          <w:color w:val="000000"/>
          <w:sz w:val="24"/>
          <w:szCs w:val="21"/>
        </w:rPr>
      </w:pPr>
      <w:r>
        <w:rPr>
          <w:rFonts w:hint="eastAsia" w:ascii="宋体" w:hAnsi="宋体"/>
          <w:color w:val="000000"/>
          <w:sz w:val="24"/>
          <w:szCs w:val="21"/>
        </w:rPr>
        <w:t>日           期：________年____月____日</w:t>
      </w:r>
    </w:p>
    <w:p w14:paraId="77E67ABA">
      <w:pPr>
        <w:spacing w:line="560" w:lineRule="exact"/>
        <w:ind w:firstLine="240"/>
        <w:jc w:val="center"/>
        <w:rPr>
          <w:rFonts w:hint="eastAsia" w:ascii="宋体" w:hAnsi="宋体"/>
          <w:bCs/>
          <w:color w:val="000000"/>
          <w:sz w:val="24"/>
          <w:szCs w:val="21"/>
        </w:rPr>
      </w:pPr>
    </w:p>
    <w:p w14:paraId="40B3E501">
      <w:pPr>
        <w:spacing w:line="560" w:lineRule="exact"/>
        <w:ind w:firstLine="240"/>
        <w:jc w:val="center"/>
        <w:rPr>
          <w:rFonts w:hint="eastAsia" w:ascii="宋体" w:hAnsi="宋体"/>
          <w:bCs/>
          <w:color w:val="000000"/>
          <w:sz w:val="24"/>
          <w:szCs w:val="21"/>
        </w:rPr>
      </w:pPr>
    </w:p>
    <w:p w14:paraId="7FAA192F">
      <w:pPr>
        <w:spacing w:line="560" w:lineRule="exact"/>
        <w:ind w:firstLine="240"/>
        <w:jc w:val="center"/>
        <w:rPr>
          <w:rFonts w:hint="eastAsia" w:ascii="宋体" w:hAnsi="宋体"/>
          <w:bCs/>
          <w:color w:val="000000"/>
          <w:sz w:val="24"/>
          <w:szCs w:val="21"/>
        </w:rPr>
      </w:pPr>
    </w:p>
    <w:p w14:paraId="325B0E5A">
      <w:pPr>
        <w:spacing w:line="560" w:lineRule="exact"/>
        <w:ind w:firstLine="240"/>
        <w:jc w:val="center"/>
        <w:rPr>
          <w:rFonts w:ascii="宋体" w:hAnsi="宋体"/>
          <w:bCs/>
          <w:color w:val="000000"/>
          <w:sz w:val="24"/>
          <w:szCs w:val="21"/>
        </w:rPr>
      </w:pPr>
    </w:p>
    <w:p w14:paraId="49E11CE4">
      <w:pPr>
        <w:pStyle w:val="254"/>
      </w:pPr>
    </w:p>
    <w:p w14:paraId="1D7447A1">
      <w:pPr>
        <w:keepNext w:val="0"/>
        <w:keepLines w:val="0"/>
        <w:pageBreakBefore w:val="0"/>
        <w:widowControl w:val="0"/>
        <w:spacing w:after="146" w:line="560" w:lineRule="exact"/>
        <w:ind w:firstLine="321"/>
        <w:jc w:val="center"/>
        <w:rPr>
          <w:rFonts w:hint="eastAsia" w:ascii="黑体" w:hAnsi="黑体" w:eastAsia="黑体"/>
          <w:b/>
          <w:i/>
          <w:iCs/>
          <w:color w:val="000000"/>
          <w:sz w:val="32"/>
          <w:szCs w:val="32"/>
          <w:u w:val="single"/>
          <w:lang w:eastAsia="zh-CN"/>
        </w:rPr>
      </w:pPr>
    </w:p>
    <w:p w14:paraId="78EB66F2">
      <w:pPr>
        <w:keepNext w:val="0"/>
        <w:keepLines w:val="0"/>
        <w:pageBreakBefore w:val="0"/>
        <w:widowControl w:val="0"/>
        <w:spacing w:after="146" w:line="560" w:lineRule="exact"/>
        <w:ind w:firstLine="321"/>
        <w:jc w:val="center"/>
        <w:rPr>
          <w:rFonts w:hint="eastAsia" w:ascii="黑体" w:hAnsi="黑体" w:eastAsia="黑体"/>
          <w:b/>
          <w:i/>
          <w:iCs/>
          <w:color w:val="000000"/>
          <w:sz w:val="32"/>
          <w:szCs w:val="32"/>
          <w:u w:val="single"/>
          <w:lang w:eastAsia="zh-CN"/>
        </w:rPr>
      </w:pPr>
      <w:r>
        <w:rPr>
          <w:rFonts w:hint="eastAsia" w:ascii="黑体" w:hAnsi="黑体" w:eastAsia="黑体"/>
          <w:b/>
          <w:i/>
          <w:iCs/>
          <w:color w:val="000000"/>
          <w:sz w:val="32"/>
          <w:szCs w:val="32"/>
          <w:u w:val="single"/>
          <w:lang w:eastAsia="zh-CN"/>
        </w:rPr>
        <w:t>九</w:t>
      </w:r>
      <w:r>
        <w:rPr>
          <w:rFonts w:hint="eastAsia" w:ascii="黑体" w:hAnsi="黑体" w:eastAsia="黑体"/>
          <w:b/>
          <w:i/>
          <w:iCs/>
          <w:color w:val="000000"/>
          <w:sz w:val="32"/>
          <w:szCs w:val="32"/>
          <w:u w:val="single"/>
        </w:rPr>
        <w:t>、</w:t>
      </w:r>
      <w:r>
        <w:rPr>
          <w:rFonts w:hint="eastAsia" w:ascii="黑体" w:hAnsi="黑体" w:eastAsia="黑体"/>
          <w:b/>
          <w:i/>
          <w:iCs/>
          <w:color w:val="000000"/>
          <w:sz w:val="32"/>
          <w:szCs w:val="32"/>
          <w:u w:val="single"/>
          <w:lang w:eastAsia="zh-CN"/>
        </w:rPr>
        <w:t>中</w:t>
      </w:r>
      <w:r>
        <w:rPr>
          <w:rFonts w:hint="eastAsia" w:ascii="黑体" w:hAnsi="黑体" w:eastAsia="黑体"/>
          <w:b/>
          <w:i/>
          <w:iCs/>
          <w:color w:val="000000"/>
          <w:sz w:val="32"/>
          <w:szCs w:val="32"/>
          <w:u w:val="single"/>
        </w:rPr>
        <w:t>小企业声明函（货物）</w:t>
      </w:r>
    </w:p>
    <w:p w14:paraId="5B83DCF0">
      <w:pPr>
        <w:keepNext w:val="0"/>
        <w:keepLines w:val="0"/>
        <w:pageBreakBefore w:val="0"/>
        <w:widowControl w:val="0"/>
        <w:spacing w:line="460" w:lineRule="exact"/>
        <w:ind w:firstLine="600"/>
        <w:rPr>
          <w:rFonts w:hint="eastAsia" w:ascii="宋体" w:hAnsi="宋体"/>
          <w:color w:val="000000"/>
          <w:sz w:val="24"/>
          <w:szCs w:val="24"/>
        </w:rPr>
      </w:pPr>
      <w:r>
        <w:rPr>
          <w:rFonts w:hint="eastAsia" w:ascii="宋体" w:hAnsi="宋体"/>
          <w:color w:val="000000"/>
          <w:sz w:val="24"/>
          <w:szCs w:val="24"/>
        </w:rPr>
        <w:t>本公司（联合体）郑重声明，根据《政府采购促进中小企业发展管理办法》</w:t>
      </w:r>
      <w:r>
        <w:rPr>
          <w:rFonts w:hint="eastAsia" w:ascii="宋体" w:hAnsi="宋体"/>
          <w:color w:val="000000"/>
          <w:sz w:val="24"/>
          <w:szCs w:val="24"/>
          <w:lang w:eastAsia="zh-CN"/>
        </w:rPr>
        <w:t>（</w:t>
      </w:r>
      <w:r>
        <w:rPr>
          <w:rFonts w:hint="eastAsia" w:ascii="宋体" w:hAnsi="宋体"/>
          <w:color w:val="000000"/>
          <w:sz w:val="24"/>
          <w:szCs w:val="24"/>
        </w:rPr>
        <w:t>财库</w:t>
      </w:r>
      <w:r>
        <w:rPr>
          <w:rFonts w:hint="eastAsia" w:ascii="宋体" w:hAnsi="宋体"/>
          <w:color w:val="000000"/>
          <w:sz w:val="24"/>
          <w:szCs w:val="24"/>
          <w:lang w:eastAsia="zh-CN"/>
        </w:rPr>
        <w:t>〔2020〕46号）</w:t>
      </w:r>
      <w:r>
        <w:rPr>
          <w:rFonts w:hint="eastAsia" w:ascii="宋体" w:hAnsi="宋体"/>
          <w:color w:val="000000"/>
          <w:sz w:val="24"/>
          <w:szCs w:val="24"/>
        </w:rPr>
        <w:t>的规定，本公司（联合体）参加</w:t>
      </w:r>
      <w:r>
        <w:rPr>
          <w:rFonts w:hint="eastAsia" w:ascii="宋体" w:hAnsi="宋体" w:eastAsia="宋体" w:cs="宋体"/>
          <w:color w:val="000000"/>
          <w:sz w:val="24"/>
          <w:szCs w:val="24"/>
          <w:u w:val="single"/>
          <w:lang w:eastAsia="zh-CN"/>
        </w:rPr>
        <w:t>阜宁县人民医院</w:t>
      </w:r>
      <w:r>
        <w:rPr>
          <w:rFonts w:hint="eastAsia" w:ascii="宋体" w:hAnsi="宋体"/>
          <w:color w:val="000000"/>
          <w:sz w:val="24"/>
          <w:szCs w:val="24"/>
        </w:rPr>
        <w:t>的采购编号为</w:t>
      </w:r>
      <w:r>
        <w:rPr>
          <w:rFonts w:hint="eastAsia" w:ascii="宋体" w:hAnsi="宋体"/>
          <w:color w:val="000000"/>
          <w:sz w:val="24"/>
          <w:szCs w:val="24"/>
          <w:u w:val="single"/>
          <w:lang w:eastAsia="zh-CN"/>
        </w:rPr>
        <w:t>JSZC-320923-SWGC-G2026-0106</w:t>
      </w:r>
      <w:r>
        <w:rPr>
          <w:rFonts w:hint="eastAsia" w:ascii="宋体" w:hAnsi="宋体"/>
          <w:color w:val="000000"/>
          <w:sz w:val="24"/>
          <w:szCs w:val="24"/>
        </w:rPr>
        <w:t>，</w:t>
      </w:r>
      <w:r>
        <w:rPr>
          <w:rFonts w:hint="eastAsia" w:ascii="宋体" w:hAnsi="宋体" w:cs="Times New Roman"/>
          <w:color w:val="000000"/>
          <w:sz w:val="24"/>
          <w:szCs w:val="24"/>
          <w:u w:val="single"/>
          <w:lang w:eastAsia="zh-CN"/>
        </w:rPr>
        <w:t>阜宁县人民医院救护车采购项目</w:t>
      </w:r>
      <w:r>
        <w:rPr>
          <w:rFonts w:hint="eastAsia" w:ascii="宋体" w:hAnsi="宋体"/>
          <w:color w:val="000000"/>
          <w:sz w:val="24"/>
          <w:szCs w:val="24"/>
        </w:rPr>
        <w:t>的采购活动，提供的货物全部由符合政策要求的</w:t>
      </w:r>
      <w:r>
        <w:rPr>
          <w:rFonts w:hint="eastAsia" w:ascii="宋体" w:hAnsi="宋体"/>
          <w:color w:val="000000"/>
          <w:sz w:val="24"/>
          <w:szCs w:val="24"/>
          <w:lang w:eastAsia="zh-CN"/>
        </w:rPr>
        <w:t>中</w:t>
      </w:r>
      <w:r>
        <w:rPr>
          <w:rFonts w:hint="eastAsia" w:ascii="宋体" w:hAnsi="宋体"/>
          <w:color w:val="000000"/>
          <w:sz w:val="24"/>
          <w:szCs w:val="24"/>
        </w:rPr>
        <w:t>小微企业制造。根据《工业和信息化部、国家统计局、国家发展和改革委员会、财政部关于印发中小企业划型标准规定的通知》</w:t>
      </w:r>
      <w:r>
        <w:rPr>
          <w:rFonts w:hint="eastAsia" w:ascii="宋体" w:hAnsi="宋体"/>
          <w:color w:val="000000"/>
          <w:sz w:val="24"/>
          <w:szCs w:val="24"/>
          <w:lang w:eastAsia="zh-CN"/>
        </w:rPr>
        <w:t>（</w:t>
      </w:r>
      <w:r>
        <w:rPr>
          <w:rFonts w:hint="eastAsia" w:ascii="宋体" w:hAnsi="宋体"/>
          <w:color w:val="000000"/>
          <w:sz w:val="24"/>
          <w:szCs w:val="24"/>
        </w:rPr>
        <w:t>工信部联企业</w:t>
      </w:r>
      <w:r>
        <w:rPr>
          <w:rFonts w:hint="eastAsia" w:ascii="宋体" w:hAnsi="宋体"/>
          <w:color w:val="000000"/>
          <w:sz w:val="24"/>
          <w:szCs w:val="24"/>
          <w:lang w:eastAsia="zh-CN"/>
        </w:rPr>
        <w:t>〔2011〕300号）</w:t>
      </w:r>
      <w:r>
        <w:rPr>
          <w:rFonts w:hint="eastAsia" w:ascii="宋体" w:hAnsi="宋体"/>
          <w:color w:val="000000"/>
          <w:sz w:val="24"/>
          <w:szCs w:val="24"/>
        </w:rPr>
        <w:t>的规定，相关企业（含联合体中的</w:t>
      </w:r>
      <w:r>
        <w:rPr>
          <w:rFonts w:hint="eastAsia" w:ascii="宋体" w:hAnsi="宋体" w:eastAsia="宋体" w:cs="宋体"/>
          <w:color w:val="000000"/>
          <w:sz w:val="24"/>
          <w:szCs w:val="24"/>
        </w:rPr>
        <w:t>中小企业</w:t>
      </w:r>
      <w:r>
        <w:rPr>
          <w:rFonts w:hint="eastAsia" w:ascii="宋体" w:hAnsi="宋体"/>
          <w:color w:val="000000"/>
          <w:sz w:val="24"/>
          <w:szCs w:val="24"/>
        </w:rPr>
        <w:t>、签订分包意向协议的</w:t>
      </w:r>
      <w:r>
        <w:rPr>
          <w:rFonts w:hint="eastAsia" w:ascii="宋体" w:hAnsi="宋体" w:eastAsia="宋体" w:cs="宋体"/>
          <w:color w:val="000000"/>
          <w:sz w:val="24"/>
          <w:szCs w:val="24"/>
        </w:rPr>
        <w:t>中小企业</w:t>
      </w:r>
      <w:r>
        <w:rPr>
          <w:rFonts w:hint="eastAsia" w:ascii="宋体" w:hAnsi="宋体"/>
          <w:color w:val="000000"/>
          <w:sz w:val="24"/>
          <w:szCs w:val="24"/>
        </w:rPr>
        <w:t>）的具体情况如下：</w:t>
      </w:r>
    </w:p>
    <w:p w14:paraId="3ED33472">
      <w:pPr>
        <w:spacing w:line="480" w:lineRule="exact"/>
        <w:ind w:firstLine="480"/>
        <w:rPr>
          <w:rFonts w:hint="eastAsia" w:ascii="宋体" w:hAnsi="宋体" w:eastAsia="宋体" w:cs="宋体"/>
          <w:sz w:val="24"/>
          <w:szCs w:val="24"/>
        </w:rPr>
      </w:pPr>
      <w:r>
        <w:rPr>
          <w:rFonts w:hint="eastAsia" w:ascii="宋体" w:hAnsi="宋体" w:eastAsia="宋体" w:cs="宋体"/>
          <w:sz w:val="24"/>
          <w:szCs w:val="24"/>
        </w:rPr>
        <w:t>1.</w:t>
      </w:r>
      <w:r>
        <w:rPr>
          <w:rFonts w:hint="eastAsia" w:ascii="宋体" w:hAnsi="宋体" w:eastAsia="宋体" w:cs="宋体"/>
          <w:sz w:val="24"/>
          <w:szCs w:val="24"/>
          <w:u w:val="single"/>
        </w:rPr>
        <w:t xml:space="preserve">  （标的名称） </w:t>
      </w:r>
      <w:r>
        <w:rPr>
          <w:rFonts w:hint="eastAsia" w:ascii="宋体" w:hAnsi="宋体" w:eastAsia="宋体" w:cs="宋体"/>
          <w:sz w:val="24"/>
          <w:szCs w:val="24"/>
        </w:rPr>
        <w:t xml:space="preserve"> ，属于</w:t>
      </w:r>
      <w:r>
        <w:rPr>
          <w:rFonts w:hint="eastAsia" w:ascii="宋体" w:hAnsi="宋体" w:eastAsia="宋体" w:cs="宋体"/>
          <w:sz w:val="24"/>
          <w:szCs w:val="24"/>
          <w:u w:val="single"/>
        </w:rPr>
        <w:t xml:space="preserve">     （采购文件中明确的所属行业）行业</w:t>
      </w:r>
      <w:r>
        <w:rPr>
          <w:rFonts w:hint="eastAsia" w:ascii="宋体" w:hAnsi="宋体" w:eastAsia="宋体" w:cs="宋体"/>
          <w:sz w:val="24"/>
          <w:szCs w:val="24"/>
        </w:rPr>
        <w:t xml:space="preserve">；制造商为 </w:t>
      </w:r>
      <w:r>
        <w:rPr>
          <w:rFonts w:hint="eastAsia" w:ascii="宋体" w:hAnsi="宋体" w:eastAsia="宋体" w:cs="宋体"/>
          <w:sz w:val="24"/>
          <w:szCs w:val="24"/>
          <w:u w:val="single"/>
        </w:rPr>
        <w:t xml:space="preserve">  （企业名称）</w:t>
      </w:r>
      <w:r>
        <w:rPr>
          <w:rFonts w:hint="eastAsia" w:ascii="宋体" w:hAnsi="宋体" w:eastAsia="宋体" w:cs="宋体"/>
          <w:sz w:val="24"/>
          <w:szCs w:val="24"/>
        </w:rPr>
        <w:t>，从业人员 </w:t>
      </w:r>
      <w:r>
        <w:rPr>
          <w:rFonts w:hint="eastAsia" w:ascii="宋体" w:hAnsi="宋体" w:eastAsia="宋体" w:cs="宋体"/>
          <w:sz w:val="24"/>
          <w:szCs w:val="24"/>
          <w:u w:val="single"/>
        </w:rPr>
        <w:t>     </w:t>
      </w:r>
      <w:r>
        <w:rPr>
          <w:rFonts w:hint="eastAsia" w:ascii="宋体" w:hAnsi="宋体" w:eastAsia="宋体" w:cs="宋体"/>
          <w:sz w:val="24"/>
          <w:szCs w:val="24"/>
        </w:rPr>
        <w:t>人，营业收入为 </w:t>
      </w:r>
      <w:r>
        <w:rPr>
          <w:rFonts w:hint="eastAsia" w:ascii="宋体" w:hAnsi="宋体" w:eastAsia="宋体" w:cs="宋体"/>
          <w:sz w:val="24"/>
          <w:szCs w:val="24"/>
          <w:u w:val="single"/>
        </w:rPr>
        <w:t>     </w:t>
      </w:r>
      <w:r>
        <w:rPr>
          <w:rFonts w:hint="eastAsia" w:ascii="宋体" w:hAnsi="宋体" w:eastAsia="宋体" w:cs="宋体"/>
          <w:sz w:val="24"/>
          <w:szCs w:val="24"/>
        </w:rPr>
        <w:t>万元，资产总额为 </w:t>
      </w:r>
      <w:r>
        <w:rPr>
          <w:rFonts w:hint="eastAsia" w:ascii="宋体" w:hAnsi="宋体" w:eastAsia="宋体" w:cs="宋体"/>
          <w:sz w:val="24"/>
          <w:szCs w:val="24"/>
          <w:u w:val="single"/>
        </w:rPr>
        <w:t>   </w:t>
      </w:r>
      <w:r>
        <w:rPr>
          <w:rFonts w:hint="eastAsia" w:ascii="宋体" w:hAnsi="宋体" w:eastAsia="宋体" w:cs="宋体"/>
          <w:sz w:val="24"/>
          <w:szCs w:val="24"/>
        </w:rPr>
        <w:t xml:space="preserve"> 万元，属于</w:t>
      </w:r>
      <w:r>
        <w:rPr>
          <w:rFonts w:hint="eastAsia" w:ascii="宋体" w:hAnsi="宋体" w:eastAsia="宋体" w:cs="宋体"/>
          <w:sz w:val="24"/>
          <w:szCs w:val="24"/>
          <w:u w:val="single"/>
        </w:rPr>
        <w:t xml:space="preserve">           （中型企业、小型企业、微型企业）</w:t>
      </w:r>
      <w:r>
        <w:rPr>
          <w:rFonts w:hint="eastAsia" w:ascii="宋体" w:hAnsi="宋体" w:eastAsia="宋体" w:cs="宋体"/>
          <w:sz w:val="24"/>
          <w:szCs w:val="24"/>
        </w:rPr>
        <w:t>；</w:t>
      </w:r>
    </w:p>
    <w:p w14:paraId="00AB2E3B">
      <w:pPr>
        <w:spacing w:line="480" w:lineRule="exact"/>
        <w:ind w:firstLine="480"/>
        <w:rPr>
          <w:rFonts w:hint="eastAsia" w:ascii="宋体" w:hAnsi="宋体" w:eastAsia="宋体" w:cs="宋体"/>
          <w:sz w:val="24"/>
          <w:szCs w:val="24"/>
        </w:rPr>
      </w:pPr>
      <w:r>
        <w:rPr>
          <w:rFonts w:hint="eastAsia" w:ascii="宋体" w:hAnsi="宋体" w:eastAsia="宋体" w:cs="宋体"/>
          <w:sz w:val="24"/>
          <w:szCs w:val="24"/>
        </w:rPr>
        <w:t>2.</w:t>
      </w:r>
      <w:r>
        <w:rPr>
          <w:rFonts w:hint="eastAsia" w:ascii="宋体" w:hAnsi="宋体" w:eastAsia="宋体" w:cs="宋体"/>
          <w:sz w:val="24"/>
          <w:szCs w:val="24"/>
          <w:u w:val="single"/>
        </w:rPr>
        <w:t xml:space="preserve">   （标的名称） </w:t>
      </w:r>
      <w:r>
        <w:rPr>
          <w:rFonts w:hint="eastAsia" w:ascii="宋体" w:hAnsi="宋体" w:eastAsia="宋体" w:cs="宋体"/>
          <w:sz w:val="24"/>
          <w:szCs w:val="24"/>
        </w:rPr>
        <w:t xml:space="preserve"> ，属于 </w:t>
      </w:r>
      <w:r>
        <w:rPr>
          <w:rFonts w:hint="eastAsia" w:ascii="宋体" w:hAnsi="宋体" w:eastAsia="宋体" w:cs="宋体"/>
          <w:sz w:val="24"/>
          <w:szCs w:val="24"/>
          <w:u w:val="single"/>
        </w:rPr>
        <w:t xml:space="preserve">    （采购文件中明确的所属行业）行业</w:t>
      </w:r>
      <w:r>
        <w:rPr>
          <w:rFonts w:hint="eastAsia" w:ascii="宋体" w:hAnsi="宋体" w:eastAsia="宋体" w:cs="宋体"/>
          <w:sz w:val="24"/>
          <w:szCs w:val="24"/>
        </w:rPr>
        <w:t>；制造商为</w:t>
      </w:r>
      <w:r>
        <w:rPr>
          <w:rFonts w:hint="eastAsia" w:ascii="宋体" w:hAnsi="宋体" w:eastAsia="宋体" w:cs="宋体"/>
          <w:sz w:val="24"/>
          <w:szCs w:val="24"/>
          <w:u w:val="single"/>
        </w:rPr>
        <w:t xml:space="preserve">   （企业名称）</w:t>
      </w:r>
      <w:r>
        <w:rPr>
          <w:rFonts w:hint="eastAsia" w:ascii="宋体" w:hAnsi="宋体" w:eastAsia="宋体" w:cs="宋体"/>
          <w:sz w:val="24"/>
          <w:szCs w:val="24"/>
        </w:rPr>
        <w:t>，从业人员 </w:t>
      </w:r>
      <w:r>
        <w:rPr>
          <w:rFonts w:hint="eastAsia" w:ascii="宋体" w:hAnsi="宋体" w:eastAsia="宋体" w:cs="宋体"/>
          <w:sz w:val="24"/>
          <w:szCs w:val="24"/>
          <w:u w:val="single"/>
        </w:rPr>
        <w:t>   </w:t>
      </w:r>
      <w:r>
        <w:rPr>
          <w:rFonts w:hint="eastAsia" w:ascii="宋体" w:hAnsi="宋体" w:eastAsia="宋体" w:cs="宋体"/>
          <w:sz w:val="24"/>
          <w:szCs w:val="24"/>
        </w:rPr>
        <w:t>人，营业收入为 </w:t>
      </w:r>
      <w:r>
        <w:rPr>
          <w:rFonts w:hint="eastAsia" w:ascii="宋体" w:hAnsi="宋体" w:eastAsia="宋体" w:cs="宋体"/>
          <w:sz w:val="24"/>
          <w:szCs w:val="24"/>
          <w:u w:val="single"/>
        </w:rPr>
        <w:t>   </w:t>
      </w:r>
      <w:r>
        <w:rPr>
          <w:rFonts w:hint="eastAsia" w:ascii="宋体" w:hAnsi="宋体" w:eastAsia="宋体" w:cs="宋体"/>
          <w:sz w:val="24"/>
          <w:szCs w:val="24"/>
        </w:rPr>
        <w:t>万元，资产总额为 </w:t>
      </w:r>
      <w:r>
        <w:rPr>
          <w:rFonts w:hint="eastAsia" w:ascii="宋体" w:hAnsi="宋体" w:eastAsia="宋体" w:cs="宋体"/>
          <w:sz w:val="24"/>
          <w:szCs w:val="24"/>
          <w:u w:val="single"/>
        </w:rPr>
        <w:t>   </w:t>
      </w:r>
      <w:r>
        <w:rPr>
          <w:rFonts w:hint="eastAsia" w:ascii="宋体" w:hAnsi="宋体" w:eastAsia="宋体" w:cs="宋体"/>
          <w:sz w:val="24"/>
          <w:szCs w:val="24"/>
        </w:rPr>
        <w:t xml:space="preserve"> 万元，属于</w:t>
      </w:r>
      <w:r>
        <w:rPr>
          <w:rFonts w:hint="eastAsia" w:ascii="宋体" w:hAnsi="宋体" w:eastAsia="宋体" w:cs="宋体"/>
          <w:sz w:val="24"/>
          <w:szCs w:val="24"/>
          <w:u w:val="single"/>
        </w:rPr>
        <w:t xml:space="preserve">         （中型企业、小型企业、微型企业）</w:t>
      </w:r>
      <w:r>
        <w:rPr>
          <w:rFonts w:hint="eastAsia" w:ascii="宋体" w:hAnsi="宋体" w:eastAsia="宋体" w:cs="宋体"/>
          <w:sz w:val="24"/>
          <w:szCs w:val="24"/>
        </w:rPr>
        <w:t>；</w:t>
      </w:r>
    </w:p>
    <w:p w14:paraId="39B8B013">
      <w:pPr>
        <w:spacing w:line="480" w:lineRule="exact"/>
        <w:ind w:firstLine="480"/>
        <w:rPr>
          <w:rFonts w:hint="eastAsia" w:ascii="宋体" w:hAnsi="宋体" w:eastAsia="宋体" w:cs="宋体"/>
          <w:color w:val="000000"/>
          <w:sz w:val="24"/>
          <w:szCs w:val="24"/>
        </w:rPr>
      </w:pPr>
      <w:r>
        <w:rPr>
          <w:rFonts w:hint="eastAsia" w:ascii="宋体" w:hAnsi="宋体" w:eastAsia="宋体" w:cs="宋体"/>
          <w:sz w:val="24"/>
          <w:szCs w:val="24"/>
        </w:rPr>
        <w:t>……</w:t>
      </w:r>
    </w:p>
    <w:p w14:paraId="2FF489DA">
      <w:pPr>
        <w:keepNext w:val="0"/>
        <w:keepLines w:val="0"/>
        <w:pageBreakBefore w:val="0"/>
        <w:widowControl w:val="0"/>
        <w:spacing w:line="500" w:lineRule="exact"/>
        <w:ind w:firstLine="360"/>
        <w:rPr>
          <w:rFonts w:hint="eastAsia" w:ascii="宋体" w:hAnsi="宋体"/>
          <w:color w:val="000000"/>
          <w:sz w:val="24"/>
          <w:szCs w:val="24"/>
        </w:rPr>
      </w:pPr>
      <w:r>
        <w:rPr>
          <w:rFonts w:hint="eastAsia" w:ascii="宋体" w:hAnsi="宋体"/>
          <w:color w:val="000000"/>
          <w:sz w:val="24"/>
          <w:szCs w:val="24"/>
        </w:rPr>
        <w:t>以上企业，不属于大企业的分支机构，不存在控股股东为大企业的情形，也不存在与大企业的负责人为同一人的情形。</w:t>
      </w:r>
    </w:p>
    <w:p w14:paraId="2E2A24F0">
      <w:pPr>
        <w:keepNext w:val="0"/>
        <w:keepLines w:val="0"/>
        <w:pageBreakBefore w:val="0"/>
        <w:widowControl w:val="0"/>
        <w:spacing w:line="500" w:lineRule="exact"/>
        <w:ind w:firstLine="360"/>
        <w:rPr>
          <w:rFonts w:hint="eastAsia" w:ascii="宋体" w:hAnsi="宋体"/>
          <w:color w:val="000000"/>
          <w:sz w:val="24"/>
          <w:szCs w:val="24"/>
        </w:rPr>
      </w:pPr>
      <w:r>
        <w:rPr>
          <w:rFonts w:hint="eastAsia" w:ascii="宋体" w:hAnsi="宋体"/>
          <w:color w:val="000000"/>
          <w:sz w:val="24"/>
          <w:szCs w:val="24"/>
        </w:rPr>
        <w:t>本企业对上述声明内容的真实性负责。如有虚假，将依法承担相应责任</w:t>
      </w:r>
    </w:p>
    <w:p w14:paraId="154CD886">
      <w:pPr>
        <w:spacing w:line="560" w:lineRule="exact"/>
        <w:ind w:right="180" w:firstLine="360"/>
        <w:jc w:val="right"/>
        <w:rPr>
          <w:rFonts w:hint="eastAsia" w:ascii="宋体" w:hAnsi="宋体"/>
          <w:color w:val="000000"/>
          <w:sz w:val="24"/>
          <w:szCs w:val="24"/>
        </w:rPr>
      </w:pPr>
      <w:r>
        <w:rPr>
          <w:rFonts w:hint="eastAsia" w:ascii="宋体" w:hAnsi="宋体"/>
          <w:color w:val="000000"/>
          <w:sz w:val="24"/>
          <w:szCs w:val="24"/>
        </w:rPr>
        <w:t>企业名称（加盖CA电子公章）：</w:t>
      </w:r>
    </w:p>
    <w:p w14:paraId="0CD7E579">
      <w:pPr>
        <w:spacing w:line="560" w:lineRule="exact"/>
        <w:ind w:right="480" w:firstLine="5880"/>
        <w:rPr>
          <w:rFonts w:hint="eastAsia" w:ascii="宋体" w:hAnsi="宋体"/>
          <w:color w:val="000000"/>
          <w:sz w:val="24"/>
          <w:szCs w:val="24"/>
        </w:rPr>
      </w:pPr>
      <w:r>
        <w:rPr>
          <w:rFonts w:hint="eastAsia" w:ascii="宋体" w:hAnsi="宋体"/>
          <w:color w:val="000000"/>
          <w:sz w:val="24"/>
          <w:szCs w:val="24"/>
        </w:rPr>
        <w:t>日  期：</w:t>
      </w:r>
    </w:p>
    <w:p w14:paraId="3651CFB4">
      <w:pPr>
        <w:rPr>
          <w:rFonts w:hint="eastAsia"/>
        </w:rPr>
      </w:pPr>
    </w:p>
    <w:p w14:paraId="2A35B721">
      <w:pPr>
        <w:keepNext w:val="0"/>
        <w:keepLines w:val="0"/>
        <w:pageBreakBefore w:val="0"/>
        <w:widowControl w:val="0"/>
        <w:spacing w:line="420" w:lineRule="exact"/>
        <w:ind w:firstLine="432"/>
        <w:rPr>
          <w:rFonts w:hint="eastAsia" w:ascii="宋体" w:hAnsi="宋体" w:eastAsia="宋体" w:cs="宋体"/>
          <w:color w:val="000000"/>
          <w:sz w:val="24"/>
          <w:szCs w:val="24"/>
        </w:rPr>
      </w:pPr>
      <w:r>
        <w:rPr>
          <w:rFonts w:hint="eastAsia" w:ascii="宋体" w:hAnsi="宋体" w:eastAsia="宋体" w:cs="宋体"/>
          <w:color w:val="000000"/>
          <w:sz w:val="24"/>
          <w:szCs w:val="24"/>
        </w:rPr>
        <w:t> </w:t>
      </w:r>
    </w:p>
    <w:p w14:paraId="6E90A656">
      <w:pPr>
        <w:keepNext w:val="0"/>
        <w:keepLines w:val="0"/>
        <w:pageBreakBefore w:val="0"/>
        <w:widowControl w:val="0"/>
        <w:spacing w:line="420" w:lineRule="exact"/>
        <w:ind w:firstLine="432"/>
        <w:rPr>
          <w:rFonts w:hint="eastAsia" w:ascii="宋体" w:hAnsi="宋体" w:eastAsia="宋体" w:cs="宋体"/>
          <w:color w:val="000000"/>
          <w:sz w:val="24"/>
          <w:szCs w:val="24"/>
          <w:lang w:eastAsia="zh-CN"/>
        </w:rPr>
      </w:pPr>
      <w:r>
        <w:rPr>
          <w:rFonts w:hint="eastAsia" w:ascii="宋体" w:hAnsi="宋体" w:eastAsia="宋体" w:cs="宋体"/>
          <w:color w:val="000000"/>
          <w:sz w:val="24"/>
          <w:szCs w:val="24"/>
        </w:rPr>
        <w:t>备注：</w:t>
      </w:r>
      <w:r>
        <w:rPr>
          <w:rFonts w:hint="eastAsia" w:ascii="宋体" w:hAnsi="宋体" w:eastAsia="宋体" w:cs="宋体"/>
          <w:color w:val="000000"/>
          <w:sz w:val="24"/>
          <w:szCs w:val="24"/>
          <w:lang w:val="en-US" w:eastAsia="zh-CN"/>
        </w:rPr>
        <w:t>1、</w:t>
      </w:r>
      <w:r>
        <w:rPr>
          <w:rFonts w:hint="eastAsia" w:ascii="宋体" w:hAnsi="宋体" w:eastAsia="宋体" w:cs="宋体"/>
          <w:color w:val="000000"/>
          <w:sz w:val="24"/>
          <w:szCs w:val="24"/>
        </w:rPr>
        <w:t>从业人员、营业收入、资产总额填报上一年度数据，无上一年度数据的新成立企业可不填报</w:t>
      </w:r>
      <w:r>
        <w:rPr>
          <w:rFonts w:hint="eastAsia" w:ascii="宋体" w:hAnsi="宋体" w:eastAsia="宋体" w:cs="宋体"/>
          <w:color w:val="000000"/>
          <w:sz w:val="24"/>
          <w:szCs w:val="24"/>
          <w:lang w:eastAsia="zh-CN"/>
        </w:rPr>
        <w:t>。</w:t>
      </w:r>
    </w:p>
    <w:p w14:paraId="4EC70850">
      <w:pPr>
        <w:spacing w:line="588" w:lineRule="exact"/>
        <w:ind w:firstLine="643"/>
        <w:rPr>
          <w:rFonts w:eastAsia="仿宋_GB2312"/>
          <w:spacing w:val="6"/>
          <w:sz w:val="30"/>
          <w:szCs w:val="30"/>
        </w:rPr>
      </w:pPr>
      <w:r>
        <w:rPr>
          <w:rFonts w:ascii="黑体" w:hAnsi="黑体" w:eastAsia="黑体"/>
          <w:b/>
          <w:color w:val="000000"/>
          <w:sz w:val="32"/>
          <w:szCs w:val="32"/>
        </w:rPr>
        <w:br w:type="page" w:clear="all"/>
      </w:r>
      <w:r>
        <w:rPr>
          <w:rFonts w:hint="eastAsia" w:eastAsia="仿宋_GB2312"/>
          <w:spacing w:val="6"/>
          <w:sz w:val="30"/>
          <w:szCs w:val="30"/>
        </w:rPr>
        <w:t>附件</w:t>
      </w:r>
    </w:p>
    <w:p w14:paraId="013CA133">
      <w:pPr>
        <w:spacing w:line="588" w:lineRule="exact"/>
        <w:jc w:val="center"/>
        <w:rPr>
          <w:rFonts w:ascii="仿宋_GB2312" w:eastAsia="仿宋_GB2312"/>
          <w:b/>
          <w:spacing w:val="6"/>
          <w:sz w:val="32"/>
          <w:szCs w:val="32"/>
        </w:rPr>
      </w:pPr>
      <w:bookmarkStart w:id="199" w:name="OLE_LINK14"/>
      <w:bookmarkStart w:id="200" w:name="OLE_LINK13"/>
      <w:r>
        <w:rPr>
          <w:rFonts w:hint="eastAsia" w:ascii="仿宋_GB2312" w:eastAsia="仿宋_GB2312"/>
          <w:b/>
          <w:spacing w:val="6"/>
          <w:sz w:val="32"/>
          <w:szCs w:val="32"/>
        </w:rPr>
        <w:t>残疾人福利性单位声明函</w:t>
      </w:r>
    </w:p>
    <w:bookmarkEnd w:id="199"/>
    <w:bookmarkEnd w:id="200"/>
    <w:p w14:paraId="5B0EA4CA">
      <w:pPr>
        <w:spacing w:line="588" w:lineRule="exact"/>
        <w:rPr>
          <w:rFonts w:ascii="仿宋_GB2312" w:eastAsia="仿宋_GB2312"/>
          <w:b/>
          <w:spacing w:val="6"/>
          <w:sz w:val="30"/>
          <w:szCs w:val="30"/>
        </w:rPr>
      </w:pPr>
    </w:p>
    <w:p w14:paraId="748B6FF3">
      <w:pPr>
        <w:spacing w:line="588" w:lineRule="exact"/>
        <w:ind w:firstLine="624"/>
        <w:rPr>
          <w:rFonts w:ascii="仿宋_GB2312" w:eastAsia="仿宋_GB2312"/>
          <w:spacing w:val="6"/>
          <w:sz w:val="30"/>
          <w:szCs w:val="30"/>
        </w:rPr>
      </w:pPr>
      <w:r>
        <w:rPr>
          <w:rFonts w:hint="eastAsia" w:ascii="仿宋_GB2312" w:eastAsia="仿宋_GB2312"/>
          <w:spacing w:val="6"/>
          <w:sz w:val="30"/>
          <w:szCs w:val="30"/>
        </w:rPr>
        <w:t>本单位郑重声明，根据《财政部 民政部 中国残疾人联合会关于促进残疾人就业政府采购政策的通知》（财库</w:t>
      </w:r>
      <w:r>
        <w:rPr>
          <w:rFonts w:hint="eastAsia" w:ascii="仿宋_GB2312" w:eastAsia="仿宋_GB2312"/>
          <w:spacing w:val="6"/>
          <w:sz w:val="30"/>
          <w:szCs w:val="30"/>
          <w:lang w:eastAsia="zh-CN"/>
        </w:rPr>
        <w:t>〔2017〕141号</w:t>
      </w:r>
      <w:r>
        <w:rPr>
          <w:rFonts w:hint="eastAsia" w:ascii="仿宋_GB2312" w:eastAsia="仿宋_GB2312"/>
          <w:spacing w:val="6"/>
          <w:sz w:val="30"/>
          <w:szCs w:val="30"/>
        </w:rPr>
        <w:t>）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p>
    <w:p w14:paraId="280D380C">
      <w:pPr>
        <w:spacing w:line="588" w:lineRule="exact"/>
        <w:ind w:firstLine="624"/>
        <w:rPr>
          <w:rFonts w:ascii="仿宋_GB2312" w:eastAsia="仿宋_GB2312"/>
          <w:spacing w:val="6"/>
          <w:sz w:val="30"/>
          <w:szCs w:val="30"/>
        </w:rPr>
      </w:pPr>
      <w:r>
        <w:rPr>
          <w:rFonts w:hint="eastAsia" w:ascii="仿宋_GB2312" w:eastAsia="仿宋_GB2312"/>
          <w:spacing w:val="6"/>
          <w:sz w:val="30"/>
          <w:szCs w:val="30"/>
        </w:rPr>
        <w:t>本单位对上述声明的真实性负责。如有虚假，将依法承担相应责任。</w:t>
      </w:r>
    </w:p>
    <w:p w14:paraId="503E0CB4">
      <w:pPr>
        <w:spacing w:line="588" w:lineRule="exact"/>
        <w:ind w:firstLine="624"/>
        <w:rPr>
          <w:rFonts w:ascii="仿宋_GB2312" w:eastAsia="仿宋_GB2312"/>
          <w:spacing w:val="6"/>
          <w:sz w:val="30"/>
          <w:szCs w:val="30"/>
        </w:rPr>
      </w:pPr>
    </w:p>
    <w:p w14:paraId="0C149D02">
      <w:pPr>
        <w:spacing w:line="588" w:lineRule="exact"/>
        <w:ind w:firstLine="624"/>
        <w:rPr>
          <w:rFonts w:ascii="仿宋_GB2312" w:eastAsia="仿宋_GB2312"/>
          <w:spacing w:val="6"/>
          <w:sz w:val="30"/>
          <w:szCs w:val="30"/>
        </w:rPr>
      </w:pPr>
    </w:p>
    <w:p w14:paraId="7FBF0030">
      <w:pPr>
        <w:tabs>
          <w:tab w:val="left" w:pos="4860"/>
        </w:tabs>
        <w:spacing w:line="588" w:lineRule="exact"/>
        <w:ind w:right="1560" w:firstLine="624"/>
        <w:jc w:val="center"/>
        <w:rPr>
          <w:rFonts w:ascii="仿宋_GB2312" w:eastAsia="仿宋_GB2312"/>
          <w:spacing w:val="6"/>
          <w:sz w:val="30"/>
          <w:szCs w:val="30"/>
        </w:rPr>
      </w:pPr>
      <w:r>
        <w:rPr>
          <w:rFonts w:hint="eastAsia" w:ascii="仿宋_GB2312" w:eastAsia="仿宋_GB2312"/>
          <w:spacing w:val="6"/>
          <w:sz w:val="30"/>
          <w:szCs w:val="30"/>
        </w:rPr>
        <w:t xml:space="preserve">               单位名称（盖章）：</w:t>
      </w:r>
    </w:p>
    <w:p w14:paraId="37610197">
      <w:pPr>
        <w:tabs>
          <w:tab w:val="left" w:pos="4860"/>
        </w:tabs>
        <w:spacing w:line="588" w:lineRule="exact"/>
        <w:ind w:right="1560" w:firstLine="624"/>
        <w:jc w:val="center"/>
        <w:rPr>
          <w:rFonts w:ascii="仿宋_GB2312" w:eastAsia="仿宋_GB2312"/>
          <w:spacing w:val="6"/>
          <w:sz w:val="30"/>
          <w:szCs w:val="30"/>
        </w:rPr>
      </w:pPr>
      <w:r>
        <w:rPr>
          <w:rFonts w:hint="eastAsia" w:ascii="仿宋_GB2312" w:eastAsia="仿宋_GB2312"/>
          <w:spacing w:val="6"/>
          <w:sz w:val="30"/>
          <w:szCs w:val="30"/>
        </w:rPr>
        <w:t xml:space="preserve">       日  期：</w:t>
      </w:r>
    </w:p>
    <w:p w14:paraId="5A5217C2">
      <w:pPr>
        <w:spacing w:line="360" w:lineRule="auto"/>
        <w:ind w:firstLine="2880"/>
        <w:rPr>
          <w:rFonts w:ascii="黑体" w:hAnsi="宋体" w:eastAsia="黑体"/>
          <w:sz w:val="32"/>
          <w:szCs w:val="32"/>
        </w:rPr>
      </w:pPr>
    </w:p>
    <w:p w14:paraId="3E33B285">
      <w:pPr>
        <w:pStyle w:val="221"/>
        <w:rPr>
          <w:rFonts w:hint="eastAsia"/>
        </w:rPr>
      </w:pPr>
    </w:p>
    <w:p w14:paraId="4EBFB579">
      <w:pPr>
        <w:rPr>
          <w:rFonts w:hint="eastAsia"/>
        </w:rPr>
      </w:pPr>
    </w:p>
    <w:p w14:paraId="64E4CE04">
      <w:pPr>
        <w:pStyle w:val="221"/>
        <w:rPr>
          <w:rFonts w:hint="eastAsia"/>
        </w:rPr>
      </w:pPr>
    </w:p>
    <w:p w14:paraId="4ED1358D">
      <w:pPr>
        <w:rPr>
          <w:rFonts w:hint="eastAsia"/>
        </w:rPr>
      </w:pPr>
    </w:p>
    <w:p w14:paraId="5976B154">
      <w:pPr>
        <w:spacing w:line="360" w:lineRule="auto"/>
        <w:ind w:firstLine="2880"/>
        <w:rPr>
          <w:rFonts w:hint="eastAsia" w:ascii="黑体" w:hAnsi="宋体" w:eastAsia="黑体" w:cs="Times New Roman"/>
          <w:sz w:val="32"/>
          <w:szCs w:val="32"/>
        </w:rPr>
      </w:pPr>
    </w:p>
    <w:p w14:paraId="0D6A2569">
      <w:pPr>
        <w:spacing w:line="360" w:lineRule="auto"/>
        <w:ind w:firstLine="2880"/>
        <w:rPr>
          <w:rFonts w:hint="eastAsia" w:ascii="黑体" w:hAnsi="宋体" w:eastAsia="黑体" w:cs="Times New Roman"/>
          <w:sz w:val="32"/>
          <w:szCs w:val="32"/>
        </w:rPr>
      </w:pPr>
    </w:p>
    <w:p w14:paraId="16B799EB">
      <w:pPr>
        <w:spacing w:line="440" w:lineRule="exact"/>
        <w:ind w:firstLine="1335"/>
        <w:rPr>
          <w:rFonts w:hint="eastAsia" w:ascii="宋体" w:hAnsi="宋体" w:eastAsia="宋体"/>
          <w:color w:val="000000"/>
          <w:sz w:val="28"/>
          <w:szCs w:val="28"/>
          <w:lang w:eastAsia="zh-CN"/>
        </w:rPr>
      </w:pPr>
      <w:r>
        <w:rPr>
          <w:rFonts w:hint="eastAsia" w:ascii="宋体" w:hAnsi="宋体"/>
          <w:color w:val="000000"/>
          <w:sz w:val="28"/>
          <w:szCs w:val="28"/>
        </w:rPr>
        <w:t> </w:t>
      </w:r>
      <w:r>
        <w:rPr>
          <w:rFonts w:hint="eastAsia" w:ascii="宋体" w:hAnsi="宋体"/>
          <w:color w:val="FF0000"/>
          <w:sz w:val="28"/>
          <w:szCs w:val="28"/>
        </w:rPr>
        <w:t>备注：</w:t>
      </w:r>
      <w:r>
        <w:rPr>
          <w:rFonts w:hint="eastAsia" w:ascii="宋体" w:hAnsi="宋体" w:eastAsia="宋体" w:cs="Times New Roman"/>
          <w:color w:val="000000"/>
          <w:sz w:val="28"/>
          <w:szCs w:val="28"/>
          <w:lang w:eastAsia="zh-CN"/>
        </w:rPr>
        <w:t>如是</w:t>
      </w:r>
      <w:r>
        <w:rPr>
          <w:rFonts w:hint="eastAsia" w:ascii="宋体" w:hAnsi="宋体" w:eastAsia="宋体" w:cs="Times New Roman"/>
          <w:color w:val="000000"/>
          <w:sz w:val="28"/>
          <w:szCs w:val="28"/>
        </w:rPr>
        <w:t>残疾人福利性单位</w:t>
      </w:r>
      <w:r>
        <w:rPr>
          <w:rFonts w:hint="eastAsia" w:ascii="宋体" w:hAnsi="宋体" w:eastAsia="宋体" w:cs="Times New Roman"/>
          <w:color w:val="000000"/>
          <w:sz w:val="28"/>
          <w:szCs w:val="28"/>
          <w:lang w:eastAsia="zh-CN"/>
        </w:rPr>
        <w:t>需提供</w:t>
      </w:r>
      <w:r>
        <w:rPr>
          <w:rFonts w:hint="eastAsia" w:ascii="宋体" w:hAnsi="宋体"/>
          <w:color w:val="000000"/>
          <w:sz w:val="28"/>
          <w:szCs w:val="28"/>
          <w:lang w:eastAsia="zh-CN"/>
        </w:rPr>
        <w:t>。</w:t>
      </w:r>
    </w:p>
    <w:p w14:paraId="2A589DF9">
      <w:pPr>
        <w:spacing w:line="360" w:lineRule="auto"/>
        <w:ind w:firstLine="2880"/>
        <w:rPr>
          <w:rFonts w:hint="eastAsia" w:ascii="黑体" w:hAnsi="宋体" w:eastAsia="黑体" w:cs="Times New Roman"/>
          <w:sz w:val="32"/>
          <w:szCs w:val="32"/>
        </w:rPr>
      </w:pPr>
    </w:p>
    <w:p w14:paraId="0C0237E7">
      <w:pPr>
        <w:pStyle w:val="323"/>
        <w:rPr>
          <w:rFonts w:hint="eastAsia" w:ascii="黑体" w:hAnsi="宋体" w:eastAsia="黑体" w:cs="Times New Roman"/>
          <w:sz w:val="32"/>
          <w:szCs w:val="32"/>
        </w:rPr>
      </w:pPr>
    </w:p>
    <w:p w14:paraId="429B2490">
      <w:pPr>
        <w:pStyle w:val="323"/>
        <w:rPr>
          <w:rFonts w:hint="eastAsia" w:ascii="黑体" w:hAnsi="宋体" w:eastAsia="黑体" w:cs="Times New Roman"/>
          <w:sz w:val="32"/>
          <w:szCs w:val="32"/>
        </w:rPr>
      </w:pPr>
    </w:p>
    <w:p w14:paraId="1E3ACADD">
      <w:pPr>
        <w:pStyle w:val="323"/>
        <w:rPr>
          <w:rFonts w:hint="eastAsia" w:ascii="黑体" w:hAnsi="宋体" w:eastAsia="黑体" w:cs="Times New Roman"/>
          <w:sz w:val="32"/>
          <w:szCs w:val="32"/>
        </w:rPr>
      </w:pPr>
    </w:p>
    <w:p w14:paraId="20A7521B">
      <w:pPr>
        <w:pStyle w:val="323"/>
        <w:rPr>
          <w:rFonts w:hint="eastAsia" w:ascii="黑体" w:hAnsi="宋体" w:eastAsia="黑体" w:cs="Times New Roman"/>
          <w:sz w:val="32"/>
          <w:szCs w:val="32"/>
        </w:rPr>
      </w:pPr>
    </w:p>
    <w:p w14:paraId="42B42D5E">
      <w:pPr>
        <w:spacing w:line="360" w:lineRule="auto"/>
        <w:ind w:firstLine="2880"/>
        <w:rPr>
          <w:rFonts w:hint="eastAsia" w:ascii="黑体" w:hAnsi="宋体" w:eastAsia="黑体" w:cs="Times New Roman"/>
          <w:sz w:val="32"/>
          <w:szCs w:val="32"/>
        </w:rPr>
      </w:pPr>
      <w:r>
        <w:rPr>
          <w:rFonts w:hint="eastAsia" w:ascii="黑体" w:hAnsi="宋体" w:eastAsia="黑体" w:cs="Times New Roman"/>
          <w:sz w:val="32"/>
          <w:szCs w:val="32"/>
        </w:rPr>
        <w:t>属于监狱企业的证明文件</w:t>
      </w:r>
    </w:p>
    <w:p w14:paraId="43D9757B">
      <w:pPr>
        <w:keepNext w:val="0"/>
        <w:keepLines w:val="0"/>
        <w:pageBreakBefore w:val="0"/>
        <w:widowControl/>
        <w:spacing w:line="500" w:lineRule="exact"/>
        <w:ind w:firstLine="560"/>
        <w:jc w:val="left"/>
        <w:rPr>
          <w:rFonts w:ascii="宋体" w:hAnsi="宋体" w:eastAsia="宋体" w:cs="Arial"/>
          <w:sz w:val="28"/>
          <w:szCs w:val="28"/>
        </w:rPr>
      </w:pPr>
      <w:r>
        <w:rPr>
          <w:rFonts w:ascii="宋体" w:hAnsi="宋体" w:eastAsia="宋体" w:cs="Arial"/>
          <w:sz w:val="28"/>
          <w:szCs w:val="28"/>
        </w:rPr>
        <w:t>提供由省级以上监狱管理局、戒毒管理局</w:t>
      </w:r>
      <w:r>
        <w:rPr>
          <w:rFonts w:hint="eastAsia" w:ascii="宋体" w:hAnsi="宋体" w:cs="Arial"/>
          <w:sz w:val="28"/>
          <w:szCs w:val="28"/>
          <w:lang w:eastAsia="zh-CN"/>
        </w:rPr>
        <w:t>（</w:t>
      </w:r>
      <w:r>
        <w:rPr>
          <w:rFonts w:ascii="宋体" w:hAnsi="宋体" w:eastAsia="宋体" w:cs="Arial"/>
          <w:sz w:val="28"/>
          <w:szCs w:val="28"/>
        </w:rPr>
        <w:t>含新疆生产建设兵团</w:t>
      </w:r>
      <w:r>
        <w:rPr>
          <w:rFonts w:hint="eastAsia" w:ascii="宋体" w:hAnsi="宋体" w:cs="Arial"/>
          <w:sz w:val="28"/>
          <w:szCs w:val="28"/>
          <w:lang w:eastAsia="zh-CN"/>
        </w:rPr>
        <w:t>）</w:t>
      </w:r>
      <w:r>
        <w:rPr>
          <w:rFonts w:ascii="宋体" w:hAnsi="宋体" w:eastAsia="宋体" w:cs="Arial"/>
          <w:sz w:val="28"/>
          <w:szCs w:val="28"/>
        </w:rPr>
        <w:t>出具的属于监狱企业的证明文件</w:t>
      </w:r>
    </w:p>
    <w:p w14:paraId="4AE109FF">
      <w:pPr>
        <w:widowControl/>
        <w:spacing w:line="440" w:lineRule="exact"/>
        <w:ind w:firstLine="560"/>
        <w:jc w:val="left"/>
        <w:rPr>
          <w:rFonts w:ascii="宋体" w:hAnsi="宋体" w:eastAsia="宋体" w:cs="Arial"/>
          <w:sz w:val="28"/>
          <w:szCs w:val="28"/>
        </w:rPr>
      </w:pPr>
    </w:p>
    <w:p w14:paraId="7D7F2FC6">
      <w:pPr>
        <w:rPr>
          <w:rFonts w:hint="eastAsia"/>
        </w:rPr>
      </w:pPr>
    </w:p>
    <w:p w14:paraId="2CB09B9F">
      <w:pPr>
        <w:rPr>
          <w:rFonts w:hint="eastAsia"/>
        </w:rPr>
      </w:pPr>
    </w:p>
    <w:p w14:paraId="08D1AF27">
      <w:pPr>
        <w:pStyle w:val="323"/>
        <w:rPr>
          <w:rFonts w:hint="eastAsia" w:ascii="宋体" w:hAnsi="宋体"/>
          <w:sz w:val="28"/>
          <w:szCs w:val="28"/>
        </w:rPr>
      </w:pPr>
    </w:p>
    <w:p w14:paraId="2A540856">
      <w:pPr>
        <w:pStyle w:val="323"/>
        <w:rPr>
          <w:rFonts w:hint="eastAsia" w:ascii="宋体" w:hAnsi="宋体"/>
          <w:sz w:val="24"/>
        </w:rPr>
      </w:pPr>
    </w:p>
    <w:p w14:paraId="7B22B05D">
      <w:pPr>
        <w:spacing w:line="440" w:lineRule="exact"/>
        <w:ind w:firstLine="2240"/>
        <w:rPr>
          <w:rFonts w:hint="eastAsia" w:ascii="黑体" w:hAnsi="宋体" w:eastAsia="黑体"/>
          <w:sz w:val="32"/>
          <w:szCs w:val="32"/>
        </w:rPr>
      </w:pPr>
    </w:p>
    <w:p w14:paraId="2A8AE33A">
      <w:pPr>
        <w:spacing w:line="440" w:lineRule="exact"/>
        <w:ind w:firstLine="2240"/>
        <w:rPr>
          <w:rFonts w:hint="eastAsia" w:ascii="黑体" w:hAnsi="宋体" w:eastAsia="黑体"/>
          <w:sz w:val="32"/>
          <w:szCs w:val="32"/>
        </w:rPr>
      </w:pPr>
    </w:p>
    <w:p w14:paraId="6282ED3F">
      <w:pPr>
        <w:spacing w:line="440" w:lineRule="exact"/>
        <w:ind w:firstLine="2240"/>
        <w:rPr>
          <w:rFonts w:hint="eastAsia" w:ascii="黑体" w:hAnsi="宋体" w:eastAsia="黑体"/>
          <w:sz w:val="32"/>
          <w:szCs w:val="32"/>
        </w:rPr>
      </w:pPr>
    </w:p>
    <w:p w14:paraId="763DE2AE">
      <w:pPr>
        <w:spacing w:line="440" w:lineRule="exact"/>
        <w:ind w:firstLine="2240"/>
        <w:rPr>
          <w:rFonts w:hint="eastAsia" w:ascii="黑体" w:hAnsi="宋体" w:eastAsia="黑体"/>
          <w:sz w:val="32"/>
          <w:szCs w:val="32"/>
        </w:rPr>
      </w:pPr>
    </w:p>
    <w:p w14:paraId="329F6D53">
      <w:pPr>
        <w:spacing w:line="440" w:lineRule="exact"/>
        <w:ind w:firstLine="2240"/>
        <w:rPr>
          <w:rFonts w:hint="eastAsia" w:ascii="黑体" w:hAnsi="宋体" w:eastAsia="黑体"/>
          <w:sz w:val="32"/>
          <w:szCs w:val="32"/>
        </w:rPr>
      </w:pPr>
    </w:p>
    <w:p w14:paraId="4C10EC5C">
      <w:pPr>
        <w:spacing w:line="440" w:lineRule="exact"/>
        <w:ind w:firstLine="2240"/>
        <w:rPr>
          <w:rFonts w:hint="eastAsia" w:ascii="黑体" w:hAnsi="宋体" w:eastAsia="黑体"/>
          <w:sz w:val="32"/>
          <w:szCs w:val="32"/>
        </w:rPr>
      </w:pPr>
    </w:p>
    <w:p w14:paraId="48449A24">
      <w:pPr>
        <w:spacing w:line="440" w:lineRule="exact"/>
        <w:ind w:firstLine="2240"/>
        <w:rPr>
          <w:rFonts w:hint="eastAsia" w:ascii="黑体" w:hAnsi="宋体" w:eastAsia="黑体"/>
          <w:sz w:val="32"/>
          <w:szCs w:val="32"/>
        </w:rPr>
      </w:pPr>
    </w:p>
    <w:p w14:paraId="42DCED1D">
      <w:pPr>
        <w:spacing w:line="440" w:lineRule="exact"/>
        <w:ind w:firstLine="2240"/>
        <w:rPr>
          <w:rFonts w:hint="eastAsia" w:ascii="黑体" w:hAnsi="宋体" w:eastAsia="黑体"/>
          <w:sz w:val="32"/>
          <w:szCs w:val="32"/>
        </w:rPr>
      </w:pPr>
    </w:p>
    <w:p w14:paraId="104F580B">
      <w:pPr>
        <w:spacing w:line="440" w:lineRule="exact"/>
        <w:ind w:firstLine="2240"/>
        <w:rPr>
          <w:rFonts w:hint="eastAsia" w:ascii="黑体" w:hAnsi="宋体" w:eastAsia="黑体"/>
          <w:sz w:val="32"/>
          <w:szCs w:val="32"/>
        </w:rPr>
      </w:pPr>
    </w:p>
    <w:p w14:paraId="1C65EFE9">
      <w:pPr>
        <w:spacing w:line="440" w:lineRule="exact"/>
        <w:ind w:firstLine="2240"/>
        <w:rPr>
          <w:rFonts w:hint="eastAsia" w:ascii="黑体" w:hAnsi="宋体" w:eastAsia="黑体"/>
          <w:sz w:val="32"/>
          <w:szCs w:val="32"/>
        </w:rPr>
      </w:pPr>
    </w:p>
    <w:p w14:paraId="2A64938C">
      <w:pPr>
        <w:spacing w:line="440" w:lineRule="exact"/>
        <w:ind w:firstLine="2240"/>
        <w:rPr>
          <w:rFonts w:hint="eastAsia" w:ascii="黑体" w:hAnsi="宋体" w:eastAsia="黑体"/>
          <w:sz w:val="32"/>
          <w:szCs w:val="32"/>
        </w:rPr>
      </w:pPr>
    </w:p>
    <w:p w14:paraId="1A93966C">
      <w:pPr>
        <w:spacing w:line="440" w:lineRule="exact"/>
        <w:ind w:firstLine="2240"/>
        <w:rPr>
          <w:rFonts w:hint="eastAsia" w:ascii="黑体" w:hAnsi="宋体" w:eastAsia="黑体"/>
          <w:sz w:val="32"/>
          <w:szCs w:val="32"/>
        </w:rPr>
      </w:pPr>
    </w:p>
    <w:p w14:paraId="29DAC685">
      <w:pPr>
        <w:spacing w:line="440" w:lineRule="exact"/>
        <w:ind w:firstLine="2240"/>
        <w:rPr>
          <w:rFonts w:hint="eastAsia" w:ascii="黑体" w:hAnsi="宋体" w:eastAsia="黑体"/>
          <w:sz w:val="32"/>
          <w:szCs w:val="32"/>
        </w:rPr>
      </w:pPr>
    </w:p>
    <w:p w14:paraId="02954BC4">
      <w:pPr>
        <w:spacing w:line="440" w:lineRule="exact"/>
        <w:ind w:firstLine="2240"/>
        <w:rPr>
          <w:rFonts w:hint="eastAsia" w:ascii="黑体" w:hAnsi="宋体" w:eastAsia="黑体"/>
          <w:sz w:val="32"/>
          <w:szCs w:val="32"/>
        </w:rPr>
      </w:pPr>
    </w:p>
    <w:p w14:paraId="04C64E73">
      <w:pPr>
        <w:spacing w:line="440" w:lineRule="exact"/>
        <w:ind w:firstLine="2240"/>
        <w:rPr>
          <w:rFonts w:hint="eastAsia" w:ascii="黑体" w:hAnsi="宋体" w:eastAsia="黑体"/>
          <w:sz w:val="32"/>
          <w:szCs w:val="32"/>
        </w:rPr>
      </w:pPr>
    </w:p>
    <w:p w14:paraId="31B4A29E">
      <w:pPr>
        <w:spacing w:line="440" w:lineRule="exact"/>
        <w:ind w:firstLine="2240"/>
        <w:rPr>
          <w:rFonts w:hint="eastAsia" w:ascii="黑体" w:hAnsi="宋体" w:eastAsia="黑体"/>
          <w:sz w:val="32"/>
          <w:szCs w:val="32"/>
        </w:rPr>
      </w:pPr>
    </w:p>
    <w:p w14:paraId="090156F4">
      <w:pPr>
        <w:tabs>
          <w:tab w:val="left" w:pos="4860"/>
        </w:tabs>
        <w:spacing w:line="588" w:lineRule="exact"/>
        <w:ind w:right="1560" w:firstLine="560"/>
        <w:jc w:val="center"/>
        <w:rPr>
          <w:rFonts w:hint="eastAsia" w:ascii="黑体" w:hAnsi="黑体" w:eastAsia="黑体"/>
          <w:b/>
          <w:color w:val="000000"/>
          <w:sz w:val="32"/>
          <w:szCs w:val="32"/>
          <w:lang w:val="en-US" w:eastAsia="zh-CN"/>
        </w:rPr>
      </w:pPr>
      <w:r>
        <w:rPr>
          <w:rFonts w:hint="eastAsia" w:ascii="宋体" w:hAnsi="宋体"/>
          <w:color w:val="000000"/>
          <w:sz w:val="28"/>
          <w:szCs w:val="28"/>
        </w:rPr>
        <w:t> </w:t>
      </w:r>
      <w:r>
        <w:rPr>
          <w:rFonts w:hint="eastAsia" w:ascii="宋体" w:hAnsi="宋体"/>
          <w:color w:val="FF0000"/>
          <w:sz w:val="28"/>
          <w:szCs w:val="28"/>
        </w:rPr>
        <w:t>备注：</w:t>
      </w:r>
      <w:r>
        <w:rPr>
          <w:rFonts w:hint="eastAsia" w:ascii="宋体" w:hAnsi="宋体" w:eastAsia="宋体" w:cs="Times New Roman"/>
          <w:color w:val="000000"/>
          <w:sz w:val="28"/>
          <w:szCs w:val="28"/>
          <w:lang w:eastAsia="zh-CN"/>
        </w:rPr>
        <w:t>如是监狱企业需提供</w:t>
      </w:r>
      <w:r>
        <w:rPr>
          <w:rFonts w:hint="eastAsia" w:ascii="宋体" w:hAnsi="宋体"/>
          <w:color w:val="000000"/>
          <w:sz w:val="28"/>
          <w:szCs w:val="28"/>
          <w:lang w:eastAsia="zh-CN"/>
        </w:rPr>
        <w:t>。</w:t>
      </w:r>
    </w:p>
    <w:p w14:paraId="045A429A">
      <w:pPr>
        <w:tabs>
          <w:tab w:val="left" w:pos="4860"/>
        </w:tabs>
        <w:spacing w:line="588" w:lineRule="exact"/>
        <w:ind w:right="1560" w:firstLine="643"/>
        <w:jc w:val="center"/>
        <w:rPr>
          <w:rFonts w:hint="eastAsia" w:ascii="黑体" w:hAnsi="黑体" w:eastAsia="黑体"/>
          <w:b/>
          <w:color w:val="000000"/>
          <w:sz w:val="32"/>
          <w:szCs w:val="32"/>
          <w:lang w:val="en-US" w:eastAsia="zh-CN"/>
        </w:rPr>
      </w:pPr>
    </w:p>
    <w:p w14:paraId="700A0D92">
      <w:pPr>
        <w:tabs>
          <w:tab w:val="left" w:pos="4860"/>
        </w:tabs>
        <w:spacing w:line="588" w:lineRule="exact"/>
        <w:ind w:right="1560" w:firstLine="643"/>
        <w:jc w:val="center"/>
        <w:rPr>
          <w:rFonts w:hint="eastAsia" w:ascii="黑体" w:hAnsi="黑体" w:eastAsia="黑体"/>
          <w:b/>
          <w:color w:val="000000"/>
          <w:sz w:val="32"/>
          <w:szCs w:val="32"/>
          <w:lang w:val="en-US" w:eastAsia="zh-CN"/>
        </w:rPr>
      </w:pPr>
    </w:p>
    <w:p w14:paraId="4448E779">
      <w:pPr>
        <w:tabs>
          <w:tab w:val="left" w:pos="4860"/>
        </w:tabs>
        <w:spacing w:line="588" w:lineRule="exact"/>
        <w:ind w:right="1560" w:firstLine="643"/>
        <w:jc w:val="center"/>
        <w:rPr>
          <w:rFonts w:hint="eastAsia" w:ascii="黑体" w:hAnsi="黑体" w:eastAsia="黑体"/>
          <w:b/>
          <w:color w:val="000000"/>
          <w:sz w:val="32"/>
          <w:szCs w:val="32"/>
          <w:lang w:val="en-US" w:eastAsia="zh-CN"/>
        </w:rPr>
      </w:pPr>
    </w:p>
    <w:p w14:paraId="230E0858">
      <w:pPr>
        <w:tabs>
          <w:tab w:val="left" w:pos="4860"/>
        </w:tabs>
        <w:spacing w:line="588" w:lineRule="exact"/>
        <w:ind w:right="1560" w:firstLine="643"/>
        <w:jc w:val="center"/>
        <w:rPr>
          <w:rFonts w:hint="eastAsia" w:ascii="黑体" w:hAnsi="黑体" w:eastAsia="黑体"/>
          <w:b/>
          <w:color w:val="000000"/>
          <w:sz w:val="32"/>
          <w:szCs w:val="32"/>
          <w:lang w:val="en-US" w:eastAsia="zh-CN"/>
        </w:rPr>
      </w:pPr>
    </w:p>
    <w:p w14:paraId="672136D0">
      <w:pPr>
        <w:tabs>
          <w:tab w:val="left" w:pos="4860"/>
        </w:tabs>
        <w:spacing w:line="588" w:lineRule="exact"/>
        <w:ind w:right="1560" w:firstLine="643"/>
        <w:jc w:val="center"/>
        <w:rPr>
          <w:rFonts w:hint="eastAsia" w:ascii="黑体" w:hAnsi="黑体" w:eastAsia="黑体"/>
          <w:b/>
          <w:color w:val="000000"/>
          <w:sz w:val="32"/>
          <w:szCs w:val="32"/>
        </w:rPr>
      </w:pPr>
      <w:r>
        <w:rPr>
          <w:rFonts w:hint="eastAsia" w:ascii="黑体" w:hAnsi="黑体" w:eastAsia="黑体"/>
          <w:b/>
          <w:color w:val="000000"/>
          <w:sz w:val="32"/>
          <w:szCs w:val="32"/>
          <w:lang w:val="en-US" w:eastAsia="zh-CN"/>
        </w:rPr>
        <w:t xml:space="preserve"> </w:t>
      </w:r>
      <w:r>
        <w:rPr>
          <w:rFonts w:hint="eastAsia" w:ascii="黑体" w:hAnsi="黑体" w:eastAsia="黑体"/>
          <w:b/>
          <w:color w:val="000000"/>
          <w:sz w:val="32"/>
          <w:szCs w:val="32"/>
          <w:lang w:eastAsia="zh-CN"/>
        </w:rPr>
        <w:t>十</w:t>
      </w:r>
      <w:r>
        <w:rPr>
          <w:rFonts w:hint="eastAsia" w:ascii="黑体" w:hAnsi="黑体" w:eastAsia="黑体"/>
          <w:b/>
          <w:color w:val="000000"/>
          <w:sz w:val="32"/>
          <w:szCs w:val="32"/>
          <w:lang w:val="en-US" w:eastAsia="zh-CN"/>
        </w:rPr>
        <w:t>、</w:t>
      </w:r>
      <w:r>
        <w:rPr>
          <w:rFonts w:hint="eastAsia" w:ascii="黑体" w:hAnsi="黑体" w:eastAsia="黑体"/>
          <w:b/>
          <w:color w:val="000000"/>
          <w:sz w:val="32"/>
          <w:szCs w:val="32"/>
        </w:rPr>
        <w:t>投标分项报价表</w:t>
      </w:r>
    </w:p>
    <w:p w14:paraId="46B1B70C">
      <w:pPr>
        <w:jc w:val="center"/>
        <w:rPr>
          <w:rFonts w:hint="eastAsia" w:ascii="宋体" w:hAnsi="宋体"/>
          <w:sz w:val="24"/>
        </w:rPr>
      </w:pPr>
      <w:r>
        <w:rPr>
          <w:rFonts w:hint="eastAsia" w:ascii="宋体" w:hAnsi="宋体"/>
          <w:sz w:val="24"/>
          <w:lang w:val="en-US" w:eastAsia="zh-CN"/>
        </w:rPr>
        <w:t xml:space="preserve">                    </w:t>
      </w:r>
      <w:r>
        <w:rPr>
          <w:rFonts w:hint="eastAsia" w:ascii="宋体" w:hAnsi="宋体"/>
          <w:sz w:val="24"/>
        </w:rPr>
        <w:t>（货币单位：人民币元）</w:t>
      </w:r>
    </w:p>
    <w:tbl>
      <w:tblPr>
        <w:tblStyle w:val="31"/>
        <w:tblW w:w="9840" w:type="dxa"/>
        <w:tblInd w:w="-1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06"/>
        <w:gridCol w:w="1770"/>
        <w:gridCol w:w="1230"/>
        <w:gridCol w:w="945"/>
        <w:gridCol w:w="1470"/>
        <w:gridCol w:w="1530"/>
        <w:gridCol w:w="2089"/>
      </w:tblGrid>
      <w:tr w14:paraId="7E510A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00" w:hRule="atLeast"/>
        </w:trPr>
        <w:tc>
          <w:tcPr>
            <w:tcW w:w="806" w:type="dxa"/>
            <w:noWrap/>
            <w:vAlign w:val="center"/>
          </w:tcPr>
          <w:p w14:paraId="729D6480">
            <w:pPr>
              <w:keepNext w:val="0"/>
              <w:keepLines w:val="0"/>
              <w:widowControl/>
              <w:suppressLineNumbers w:val="0"/>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lang w:val="en-US" w:eastAsia="zh-CN" w:bidi="ar"/>
              </w:rPr>
              <w:t>序号</w:t>
            </w:r>
          </w:p>
        </w:tc>
        <w:tc>
          <w:tcPr>
            <w:tcW w:w="1770" w:type="dxa"/>
            <w:noWrap/>
            <w:vAlign w:val="center"/>
          </w:tcPr>
          <w:p w14:paraId="79DA4F40">
            <w:pPr>
              <w:keepNext w:val="0"/>
              <w:keepLines w:val="0"/>
              <w:widowControl/>
              <w:suppressLineNumbers w:val="0"/>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lang w:val="en-US" w:eastAsia="zh-CN" w:bidi="ar"/>
              </w:rPr>
              <w:t>项目名称</w:t>
            </w:r>
          </w:p>
        </w:tc>
        <w:tc>
          <w:tcPr>
            <w:tcW w:w="1230" w:type="dxa"/>
            <w:noWrap/>
            <w:vAlign w:val="center"/>
          </w:tcPr>
          <w:p w14:paraId="39F286CE">
            <w:pPr>
              <w:keepNext w:val="0"/>
              <w:keepLines w:val="0"/>
              <w:widowControl/>
              <w:suppressLineNumbers w:val="0"/>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lang w:val="en-US" w:eastAsia="zh-CN" w:bidi="ar"/>
              </w:rPr>
              <w:t>数量</w:t>
            </w:r>
          </w:p>
        </w:tc>
        <w:tc>
          <w:tcPr>
            <w:tcW w:w="945" w:type="dxa"/>
            <w:noWrap/>
            <w:vAlign w:val="center"/>
          </w:tcPr>
          <w:p w14:paraId="05E4F06D">
            <w:pPr>
              <w:keepNext w:val="0"/>
              <w:keepLines w:val="0"/>
              <w:widowControl/>
              <w:suppressLineNumbers w:val="0"/>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lang w:val="en-US" w:eastAsia="zh-CN" w:bidi="ar"/>
              </w:rPr>
              <w:t>单位</w:t>
            </w:r>
          </w:p>
        </w:tc>
        <w:tc>
          <w:tcPr>
            <w:tcW w:w="1470" w:type="dxa"/>
            <w:noWrap w:val="0"/>
            <w:vAlign w:val="center"/>
          </w:tcPr>
          <w:p w14:paraId="60EC7A09">
            <w:pPr>
              <w:keepNext w:val="0"/>
              <w:keepLines w:val="0"/>
              <w:widowControl/>
              <w:suppressLineNumbers w:val="0"/>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lang w:val="en-US" w:eastAsia="zh-CN" w:bidi="ar"/>
              </w:rPr>
              <w:t>全费用综合单价（元）</w:t>
            </w:r>
          </w:p>
        </w:tc>
        <w:tc>
          <w:tcPr>
            <w:tcW w:w="1530" w:type="dxa"/>
            <w:noWrap/>
            <w:vAlign w:val="center"/>
          </w:tcPr>
          <w:p w14:paraId="14901A1C">
            <w:pPr>
              <w:keepNext w:val="0"/>
              <w:keepLines w:val="0"/>
              <w:widowControl/>
              <w:suppressLineNumbers w:val="0"/>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lang w:val="en-US" w:eastAsia="zh-CN" w:bidi="ar"/>
              </w:rPr>
              <w:t>合价（元）</w:t>
            </w:r>
          </w:p>
        </w:tc>
        <w:tc>
          <w:tcPr>
            <w:tcW w:w="2089" w:type="dxa"/>
            <w:noWrap/>
            <w:vAlign w:val="center"/>
          </w:tcPr>
          <w:p w14:paraId="202C8B84">
            <w:pPr>
              <w:keepNext w:val="0"/>
              <w:keepLines w:val="0"/>
              <w:widowControl/>
              <w:suppressLineNumbers w:val="0"/>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4"/>
                <w:szCs w:val="24"/>
                <w:u w:val="none"/>
                <w:lang w:val="en-US" w:eastAsia="zh-CN" w:bidi="ar"/>
              </w:rPr>
              <w:t>投标品牌</w:t>
            </w:r>
          </w:p>
        </w:tc>
      </w:tr>
      <w:tr w14:paraId="73E301B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00" w:hRule="atLeast"/>
        </w:trPr>
        <w:tc>
          <w:tcPr>
            <w:tcW w:w="806" w:type="dxa"/>
            <w:noWrap w:val="0"/>
            <w:vAlign w:val="center"/>
          </w:tcPr>
          <w:p w14:paraId="4F686AEF">
            <w:pPr>
              <w:keepNext w:val="0"/>
              <w:keepLines w:val="0"/>
              <w:widowControl/>
              <w:suppressLineNumbers w:val="0"/>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lang w:val="en-US" w:eastAsia="zh-CN" w:bidi="ar"/>
              </w:rPr>
              <w:t>1</w:t>
            </w:r>
          </w:p>
        </w:tc>
        <w:tc>
          <w:tcPr>
            <w:tcW w:w="1770" w:type="dxa"/>
            <w:noWrap w:val="0"/>
            <w:vAlign w:val="center"/>
          </w:tcPr>
          <w:p w14:paraId="48856B47">
            <w:pPr>
              <w:keepNext w:val="0"/>
              <w:keepLines w:val="0"/>
              <w:widowControl/>
              <w:suppressLineNumbers w:val="0"/>
              <w:jc w:val="center"/>
              <w:rPr>
                <w:rFonts w:hint="eastAsia" w:ascii="宋体" w:hAnsi="宋体" w:eastAsia="宋体" w:cs="宋体"/>
                <w:i w:val="0"/>
                <w:iCs w:val="0"/>
                <w:color w:val="000000"/>
                <w:sz w:val="24"/>
                <w:szCs w:val="24"/>
                <w:u w:val="none"/>
              </w:rPr>
            </w:pPr>
            <w:r>
              <w:rPr>
                <w:rFonts w:hint="eastAsia" w:ascii="宋体" w:hAnsi="宋体" w:eastAsia="宋体" w:cs="Times New Roman"/>
                <w:color w:val="000000"/>
                <w:sz w:val="24"/>
                <w:szCs w:val="24"/>
                <w:lang w:eastAsia="zh-CN"/>
              </w:rPr>
              <w:t>救护车</w:t>
            </w:r>
          </w:p>
        </w:tc>
        <w:tc>
          <w:tcPr>
            <w:tcW w:w="1230" w:type="dxa"/>
            <w:noWrap w:val="0"/>
            <w:vAlign w:val="center"/>
          </w:tcPr>
          <w:p w14:paraId="773E2472">
            <w:pPr>
              <w:keepNext w:val="0"/>
              <w:keepLines w:val="0"/>
              <w:widowControl/>
              <w:suppressLineNumbers w:val="0"/>
              <w:jc w:val="center"/>
              <w:rPr>
                <w:rFonts w:hint="eastAsia" w:ascii="宋体" w:hAnsi="宋体" w:eastAsia="宋体" w:cs="宋体"/>
                <w:i w:val="0"/>
                <w:iCs w:val="0"/>
                <w:color w:val="000000"/>
                <w:sz w:val="24"/>
                <w:szCs w:val="24"/>
                <w:u w:val="none"/>
              </w:rPr>
            </w:pPr>
            <w:r>
              <w:rPr>
                <w:rFonts w:hint="eastAsia" w:ascii="宋体" w:hAnsi="宋体" w:cs="宋体"/>
                <w:i w:val="0"/>
                <w:iCs w:val="0"/>
                <w:color w:val="000000"/>
                <w:sz w:val="24"/>
                <w:szCs w:val="24"/>
                <w:u w:val="none"/>
                <w:lang w:val="en-US" w:eastAsia="zh-CN" w:bidi="ar"/>
              </w:rPr>
              <w:t>3</w:t>
            </w:r>
          </w:p>
        </w:tc>
        <w:tc>
          <w:tcPr>
            <w:tcW w:w="945" w:type="dxa"/>
            <w:noWrap w:val="0"/>
            <w:vAlign w:val="center"/>
          </w:tcPr>
          <w:p w14:paraId="66283884">
            <w:pPr>
              <w:keepNext w:val="0"/>
              <w:keepLines w:val="0"/>
              <w:widowControl/>
              <w:suppressLineNumbers w:val="0"/>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lang w:val="en-US" w:eastAsia="zh-CN" w:bidi="ar"/>
              </w:rPr>
              <w:t>辆</w:t>
            </w:r>
          </w:p>
        </w:tc>
        <w:tc>
          <w:tcPr>
            <w:tcW w:w="1470" w:type="dxa"/>
            <w:noWrap w:val="0"/>
            <w:vAlign w:val="center"/>
          </w:tcPr>
          <w:p w14:paraId="0C182F8A">
            <w:pPr>
              <w:jc w:val="center"/>
              <w:rPr>
                <w:rFonts w:hint="eastAsia" w:ascii="宋体" w:hAnsi="宋体" w:eastAsia="宋体" w:cs="宋体"/>
                <w:i w:val="0"/>
                <w:iCs w:val="0"/>
                <w:color w:val="000000"/>
                <w:sz w:val="24"/>
                <w:szCs w:val="24"/>
                <w:u w:val="none"/>
              </w:rPr>
            </w:pPr>
          </w:p>
        </w:tc>
        <w:tc>
          <w:tcPr>
            <w:tcW w:w="1530" w:type="dxa"/>
            <w:noWrap/>
            <w:vAlign w:val="center"/>
          </w:tcPr>
          <w:p w14:paraId="4CC226FB">
            <w:pPr>
              <w:jc w:val="center"/>
              <w:rPr>
                <w:rFonts w:hint="eastAsia" w:ascii="宋体" w:hAnsi="宋体" w:eastAsia="宋体" w:cs="宋体"/>
                <w:i w:val="0"/>
                <w:iCs w:val="0"/>
                <w:color w:val="000000"/>
                <w:sz w:val="24"/>
                <w:szCs w:val="24"/>
                <w:u w:val="none"/>
              </w:rPr>
            </w:pPr>
          </w:p>
        </w:tc>
        <w:tc>
          <w:tcPr>
            <w:tcW w:w="2089" w:type="dxa"/>
            <w:noWrap/>
            <w:vAlign w:val="center"/>
          </w:tcPr>
          <w:p w14:paraId="7AD5F667">
            <w:pPr>
              <w:keepNext w:val="0"/>
              <w:keepLines w:val="0"/>
              <w:widowControl/>
              <w:suppressLineNumbers w:val="0"/>
              <w:jc w:val="left"/>
              <w:rPr>
                <w:rFonts w:hint="eastAsia" w:ascii="宋体" w:hAnsi="宋体" w:eastAsia="宋体" w:cs="宋体"/>
                <w:i w:val="0"/>
                <w:iCs w:val="0"/>
                <w:color w:val="000000"/>
                <w:sz w:val="22"/>
                <w:szCs w:val="22"/>
                <w:u w:val="none"/>
              </w:rPr>
            </w:pPr>
          </w:p>
        </w:tc>
      </w:tr>
      <w:tr w14:paraId="7E0A69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20" w:hRule="atLeast"/>
        </w:trPr>
        <w:tc>
          <w:tcPr>
            <w:tcW w:w="9840" w:type="dxa"/>
            <w:gridSpan w:val="7"/>
            <w:noWrap/>
            <w:vAlign w:val="center"/>
          </w:tcPr>
          <w:p w14:paraId="36DCE103">
            <w:pPr>
              <w:keepNext w:val="0"/>
              <w:keepLines w:val="0"/>
              <w:widowControl/>
              <w:suppressLineNumbers w:val="0"/>
              <w:jc w:val="left"/>
              <w:rPr>
                <w:rFonts w:hint="eastAsia" w:ascii="宋体" w:hAnsi="宋体" w:eastAsia="宋体" w:cs="宋体"/>
                <w:i w:val="0"/>
                <w:iCs w:val="0"/>
                <w:color w:val="000000"/>
                <w:sz w:val="28"/>
                <w:szCs w:val="28"/>
                <w:u w:val="none"/>
              </w:rPr>
            </w:pPr>
            <w:r>
              <w:rPr>
                <w:rFonts w:hint="eastAsia" w:ascii="宋体" w:hAnsi="宋体" w:eastAsia="宋体" w:cs="宋体"/>
                <w:i w:val="0"/>
                <w:iCs w:val="0"/>
                <w:color w:val="000000"/>
                <w:sz w:val="28"/>
                <w:szCs w:val="28"/>
                <w:u w:val="none"/>
                <w:lang w:val="en-US" w:eastAsia="zh-CN" w:bidi="ar"/>
              </w:rPr>
              <w:t>合计（大写）：                     小写：</w:t>
            </w:r>
          </w:p>
        </w:tc>
      </w:tr>
    </w:tbl>
    <w:p w14:paraId="485A23C5">
      <w:pPr>
        <w:ind w:firstLine="3600"/>
        <w:rPr>
          <w:rFonts w:hint="eastAsia" w:ascii="宋体" w:hAnsi="宋体"/>
          <w:sz w:val="24"/>
          <w:szCs w:val="24"/>
        </w:rPr>
      </w:pPr>
    </w:p>
    <w:p w14:paraId="045CFF9C">
      <w:pPr>
        <w:ind w:firstLine="3600"/>
        <w:rPr>
          <w:rFonts w:hint="eastAsia" w:ascii="宋体" w:hAnsi="宋体"/>
          <w:sz w:val="24"/>
          <w:szCs w:val="24"/>
        </w:rPr>
      </w:pPr>
      <w:r>
        <w:rPr>
          <w:rFonts w:hint="eastAsia" w:ascii="宋体" w:hAnsi="宋体"/>
          <w:sz w:val="24"/>
          <w:szCs w:val="24"/>
        </w:rPr>
        <w:t>投标人全称（</w:t>
      </w:r>
      <w:r>
        <w:rPr>
          <w:rFonts w:hint="eastAsia" w:ascii="宋体" w:hAnsi="宋体"/>
          <w:color w:val="000000"/>
          <w:sz w:val="24"/>
          <w:szCs w:val="24"/>
        </w:rPr>
        <w:t>加盖CA电子签章</w:t>
      </w:r>
      <w:r>
        <w:rPr>
          <w:rFonts w:hint="eastAsia" w:ascii="宋体" w:hAnsi="宋体"/>
          <w:sz w:val="24"/>
          <w:szCs w:val="24"/>
        </w:rPr>
        <w:t>）：</w:t>
      </w:r>
    </w:p>
    <w:p w14:paraId="4B8CC75D">
      <w:pPr>
        <w:widowControl/>
        <w:spacing w:line="440" w:lineRule="exact"/>
        <w:jc w:val="left"/>
        <w:rPr>
          <w:rFonts w:ascii="宋体" w:hAnsi="宋体" w:cs="宋体"/>
          <w:sz w:val="24"/>
        </w:rPr>
      </w:pPr>
      <w:r>
        <w:rPr>
          <w:rFonts w:hint="eastAsia" w:ascii="宋体" w:hAnsi="宋体" w:cs="宋体"/>
          <w:sz w:val="24"/>
        </w:rPr>
        <w:t>备注：</w:t>
      </w:r>
    </w:p>
    <w:p w14:paraId="0C6E9785">
      <w:pPr>
        <w:spacing w:line="360" w:lineRule="exact"/>
        <w:ind w:firstLine="420"/>
        <w:rPr>
          <w:rFonts w:hint="eastAsia" w:ascii="黑体" w:hAnsi="宋体" w:eastAsia="黑体"/>
          <w:bCs/>
          <w:szCs w:val="21"/>
        </w:rPr>
      </w:pPr>
      <w:r>
        <w:rPr>
          <w:rFonts w:hint="eastAsia" w:ascii="宋体" w:hAnsi="宋体"/>
          <w:szCs w:val="21"/>
        </w:rPr>
        <w:t>1</w:t>
      </w:r>
      <w:r>
        <w:rPr>
          <w:rFonts w:hint="eastAsia" w:ascii="宋体" w:hAnsi="宋体"/>
          <w:szCs w:val="21"/>
          <w:lang w:val="en-US" w:eastAsia="zh-CN"/>
        </w:rPr>
        <w:t>.</w:t>
      </w:r>
      <w:r>
        <w:rPr>
          <w:rFonts w:hint="eastAsia" w:ascii="宋体" w:hAnsi="宋体"/>
          <w:szCs w:val="21"/>
        </w:rPr>
        <w:t xml:space="preserve"> 本次招标报价按全费用综合单价报价方式（投标报价不随市场和国家政策性文件调整而调整）；</w:t>
      </w:r>
    </w:p>
    <w:p w14:paraId="1398B0B2">
      <w:pPr>
        <w:spacing w:line="360" w:lineRule="exact"/>
        <w:ind w:firstLine="420"/>
        <w:rPr>
          <w:rFonts w:hint="eastAsia" w:ascii="宋体" w:hAnsi="宋体"/>
          <w:szCs w:val="21"/>
        </w:rPr>
      </w:pPr>
      <w:r>
        <w:rPr>
          <w:rFonts w:hint="eastAsia" w:ascii="宋体" w:hAnsi="宋体"/>
          <w:szCs w:val="21"/>
        </w:rPr>
        <w:t>2</w:t>
      </w:r>
      <w:r>
        <w:rPr>
          <w:rFonts w:hint="eastAsia" w:ascii="宋体" w:hAnsi="宋体"/>
          <w:szCs w:val="21"/>
          <w:lang w:val="en-US" w:eastAsia="zh-CN"/>
        </w:rPr>
        <w:t>.</w:t>
      </w:r>
      <w:r>
        <w:rPr>
          <w:rFonts w:hint="eastAsia" w:ascii="宋体" w:hAnsi="宋体"/>
          <w:szCs w:val="21"/>
        </w:rPr>
        <w:t>报价单必须按照采购文件所提供的格式填入。</w:t>
      </w:r>
    </w:p>
    <w:p w14:paraId="061CB6A7">
      <w:pPr>
        <w:spacing w:line="460" w:lineRule="exact"/>
        <w:ind w:firstLine="420"/>
        <w:rPr>
          <w:rFonts w:hint="eastAsia" w:ascii="宋体" w:hAnsi="宋体"/>
          <w:b/>
          <w:bCs/>
          <w:szCs w:val="21"/>
        </w:rPr>
      </w:pPr>
      <w:r>
        <w:rPr>
          <w:rFonts w:hint="eastAsia" w:ascii="宋体" w:hAnsi="宋体"/>
          <w:color w:val="000000"/>
          <w:szCs w:val="21"/>
        </w:rPr>
        <w:t>3</w:t>
      </w:r>
      <w:r>
        <w:rPr>
          <w:rFonts w:hint="eastAsia" w:ascii="宋体" w:hAnsi="宋体"/>
          <w:color w:val="000000"/>
          <w:szCs w:val="21"/>
          <w:lang w:val="en-US" w:eastAsia="zh-CN"/>
        </w:rPr>
        <w:t>.</w:t>
      </w:r>
      <w:r>
        <w:rPr>
          <w:rFonts w:hint="eastAsia" w:ascii="宋体" w:hAnsi="宋体"/>
          <w:b/>
          <w:szCs w:val="21"/>
          <w:highlight w:val="none"/>
        </w:rPr>
        <w:t>投标供应商在报价时</w:t>
      </w:r>
      <w:r>
        <w:rPr>
          <w:rFonts w:hint="eastAsia" w:ascii="宋体" w:hAnsi="宋体"/>
          <w:b/>
          <w:color w:val="FF0000"/>
          <w:szCs w:val="21"/>
          <w:highlight w:val="none"/>
        </w:rPr>
        <w:t>需注明投标车辆</w:t>
      </w:r>
      <w:r>
        <w:rPr>
          <w:rFonts w:hint="eastAsia" w:ascii="宋体" w:hAnsi="宋体"/>
          <w:b/>
          <w:bCs/>
          <w:color w:val="FF0000"/>
          <w:szCs w:val="21"/>
          <w:highlight w:val="none"/>
        </w:rPr>
        <w:t>的品牌</w:t>
      </w:r>
      <w:r>
        <w:rPr>
          <w:rFonts w:hint="eastAsia" w:ascii="宋体" w:hAnsi="宋体"/>
          <w:b/>
          <w:bCs/>
          <w:szCs w:val="21"/>
        </w:rPr>
        <w:t>，否则作无效投标处理。</w:t>
      </w:r>
    </w:p>
    <w:p w14:paraId="34D2EE18">
      <w:pPr>
        <w:spacing w:line="420" w:lineRule="exact"/>
        <w:ind w:firstLine="420"/>
        <w:rPr>
          <w:rFonts w:hint="eastAsia" w:ascii="宋体" w:hAnsi="宋体"/>
          <w:szCs w:val="21"/>
        </w:rPr>
      </w:pPr>
      <w:r>
        <w:rPr>
          <w:rFonts w:hint="eastAsia" w:ascii="宋体" w:hAnsi="宋体"/>
          <w:szCs w:val="21"/>
        </w:rPr>
        <w:t>4</w:t>
      </w:r>
      <w:r>
        <w:rPr>
          <w:rFonts w:hint="eastAsia" w:ascii="宋体" w:hAnsi="宋体"/>
          <w:szCs w:val="21"/>
          <w:lang w:val="en-US" w:eastAsia="zh-CN"/>
        </w:rPr>
        <w:t>.</w:t>
      </w:r>
      <w:r>
        <w:rPr>
          <w:rFonts w:hint="eastAsia" w:ascii="宋体" w:hAnsi="宋体"/>
          <w:szCs w:val="21"/>
        </w:rPr>
        <w:t>报价中要求包括此次招标采购、安装及衍生服务的所有费用。报价是供应商对本次采购、安装及衍生服务提出的各项支付金额的总和。此报价应包括投标人为完成投标报价文件所确定的采购范围内的全部内容，以及投标人为完成上述内容</w:t>
      </w:r>
      <w:r>
        <w:rPr>
          <w:rFonts w:hint="eastAsia" w:ascii="宋体" w:hAnsi="宋体"/>
          <w:szCs w:val="21"/>
          <w:lang w:eastAsia="zh-CN"/>
        </w:rPr>
        <w:t>所必需的</w:t>
      </w:r>
      <w:r>
        <w:rPr>
          <w:rFonts w:hint="eastAsia" w:ascii="宋体" w:hAnsi="宋体"/>
          <w:szCs w:val="21"/>
        </w:rPr>
        <w:t>质量保证与技术支持、采购、供货、运输、装卸、验收、检测、安装、调试、</w:t>
      </w:r>
      <w:r>
        <w:rPr>
          <w:rFonts w:hint="eastAsia" w:ascii="宋体" w:hAnsi="宋体"/>
          <w:szCs w:val="21"/>
          <w:lang w:eastAsia="zh-CN"/>
        </w:rPr>
        <w:t>上牌、</w:t>
      </w:r>
      <w:r>
        <w:rPr>
          <w:rFonts w:hint="eastAsia" w:ascii="宋体" w:hAnsi="宋体"/>
          <w:szCs w:val="21"/>
        </w:rPr>
        <w:t>售后服务以及临时工作、材料、劳务、管理费、利润、税金、代理服务费和政策性文件规定的各项所需的全部费用、不可预见费及其他一切相关费用。</w:t>
      </w:r>
    </w:p>
    <w:p w14:paraId="795D1AED">
      <w:pPr>
        <w:spacing w:line="360" w:lineRule="exact"/>
        <w:ind w:firstLine="420"/>
        <w:rPr>
          <w:rFonts w:hint="eastAsia" w:ascii="宋体" w:hAnsi="宋体"/>
          <w:szCs w:val="21"/>
        </w:rPr>
      </w:pPr>
      <w:r>
        <w:rPr>
          <w:rFonts w:hint="eastAsia" w:ascii="宋体" w:hAnsi="宋体"/>
          <w:szCs w:val="21"/>
        </w:rPr>
        <w:t>5</w:t>
      </w:r>
      <w:r>
        <w:rPr>
          <w:rFonts w:hint="eastAsia" w:ascii="宋体" w:hAnsi="宋体"/>
          <w:szCs w:val="21"/>
          <w:lang w:val="en-US" w:eastAsia="zh-CN"/>
        </w:rPr>
        <w:t>.</w:t>
      </w:r>
      <w:r>
        <w:rPr>
          <w:rFonts w:hint="eastAsia" w:ascii="宋体" w:hAnsi="宋体"/>
          <w:szCs w:val="21"/>
        </w:rPr>
        <w:t>资金结算以结算时核定的实际供货数量为准。</w:t>
      </w:r>
    </w:p>
    <w:p w14:paraId="64151887">
      <w:pPr>
        <w:jc w:val="center"/>
        <w:rPr>
          <w:rFonts w:hint="eastAsia" w:ascii="黑体" w:hAnsi="黑体" w:eastAsia="黑体"/>
          <w:b/>
          <w:color w:val="000000"/>
          <w:sz w:val="32"/>
          <w:szCs w:val="32"/>
          <w:lang w:eastAsia="zh-CN"/>
        </w:rPr>
      </w:pPr>
    </w:p>
    <w:p w14:paraId="486F7FA7">
      <w:pPr>
        <w:jc w:val="center"/>
        <w:rPr>
          <w:rFonts w:hint="eastAsia" w:ascii="黑体" w:hAnsi="黑体" w:eastAsia="黑体"/>
          <w:b/>
          <w:color w:val="000000"/>
          <w:sz w:val="32"/>
          <w:szCs w:val="32"/>
          <w:lang w:eastAsia="zh-CN"/>
        </w:rPr>
      </w:pPr>
    </w:p>
    <w:p w14:paraId="355F0FAD">
      <w:pPr>
        <w:jc w:val="center"/>
        <w:rPr>
          <w:rFonts w:hint="eastAsia" w:ascii="黑体" w:hAnsi="黑体" w:eastAsia="黑体"/>
          <w:b/>
          <w:color w:val="000000"/>
          <w:sz w:val="32"/>
          <w:szCs w:val="32"/>
          <w:lang w:eastAsia="zh-CN"/>
        </w:rPr>
      </w:pPr>
    </w:p>
    <w:p w14:paraId="4F2B12DA">
      <w:pPr>
        <w:jc w:val="center"/>
        <w:rPr>
          <w:rFonts w:hint="eastAsia" w:ascii="黑体" w:hAnsi="黑体" w:eastAsia="黑体"/>
          <w:b/>
          <w:color w:val="000000"/>
          <w:sz w:val="32"/>
          <w:szCs w:val="32"/>
          <w:lang w:eastAsia="zh-CN"/>
        </w:rPr>
      </w:pPr>
    </w:p>
    <w:p w14:paraId="2B8093E7">
      <w:pPr>
        <w:jc w:val="center"/>
        <w:rPr>
          <w:rFonts w:hint="eastAsia" w:ascii="黑体" w:hAnsi="黑体" w:eastAsia="黑体"/>
          <w:b/>
          <w:color w:val="000000"/>
          <w:sz w:val="32"/>
          <w:szCs w:val="32"/>
          <w:lang w:eastAsia="zh-CN"/>
        </w:rPr>
      </w:pPr>
    </w:p>
    <w:p w14:paraId="5766DE47">
      <w:pPr>
        <w:jc w:val="center"/>
        <w:rPr>
          <w:rFonts w:hint="eastAsia" w:ascii="黑体" w:hAnsi="黑体" w:eastAsia="黑体"/>
          <w:b/>
          <w:color w:val="000000"/>
          <w:sz w:val="32"/>
          <w:szCs w:val="32"/>
          <w:lang w:eastAsia="zh-CN"/>
        </w:rPr>
      </w:pPr>
    </w:p>
    <w:p w14:paraId="53DBBB40">
      <w:pPr>
        <w:jc w:val="center"/>
        <w:rPr>
          <w:rFonts w:hint="eastAsia" w:ascii="黑体" w:hAnsi="黑体" w:eastAsia="黑体"/>
          <w:b/>
          <w:color w:val="000000"/>
          <w:sz w:val="32"/>
          <w:szCs w:val="32"/>
          <w:lang w:eastAsia="zh-CN"/>
        </w:rPr>
      </w:pPr>
    </w:p>
    <w:p w14:paraId="1F62049F">
      <w:pPr>
        <w:jc w:val="center"/>
        <w:rPr>
          <w:rFonts w:hint="eastAsia" w:ascii="黑体" w:hAnsi="黑体" w:eastAsia="黑体"/>
          <w:b/>
          <w:color w:val="000000"/>
          <w:sz w:val="32"/>
          <w:szCs w:val="32"/>
          <w:lang w:eastAsia="zh-CN"/>
        </w:rPr>
      </w:pPr>
    </w:p>
    <w:p w14:paraId="78E2CB91">
      <w:pPr>
        <w:jc w:val="center"/>
        <w:rPr>
          <w:rFonts w:hint="eastAsia" w:ascii="黑体" w:hAnsi="黑体" w:eastAsia="黑体"/>
          <w:b/>
          <w:color w:val="000000"/>
          <w:sz w:val="32"/>
          <w:szCs w:val="32"/>
          <w:lang w:eastAsia="zh-CN"/>
        </w:rPr>
      </w:pPr>
    </w:p>
    <w:p w14:paraId="06948559">
      <w:pPr>
        <w:jc w:val="center"/>
        <w:rPr>
          <w:rFonts w:hint="eastAsia" w:ascii="黑体" w:hAnsi="黑体" w:eastAsia="黑体"/>
          <w:b/>
          <w:color w:val="000000"/>
          <w:sz w:val="32"/>
          <w:szCs w:val="32"/>
          <w:lang w:eastAsia="zh-CN"/>
        </w:rPr>
      </w:pPr>
    </w:p>
    <w:p w14:paraId="7C6FF50A">
      <w:pPr>
        <w:jc w:val="center"/>
        <w:rPr>
          <w:rFonts w:hint="eastAsia" w:ascii="黑体" w:hAnsi="黑体" w:eastAsia="黑体"/>
          <w:b/>
          <w:color w:val="000000"/>
          <w:sz w:val="32"/>
          <w:szCs w:val="32"/>
          <w:lang w:eastAsia="zh-CN"/>
        </w:rPr>
      </w:pPr>
    </w:p>
    <w:p w14:paraId="553989B9">
      <w:pPr>
        <w:jc w:val="center"/>
        <w:rPr>
          <w:rFonts w:hint="eastAsia" w:ascii="黑体" w:hAnsi="黑体" w:eastAsia="黑体"/>
          <w:b/>
          <w:color w:val="000000"/>
          <w:sz w:val="32"/>
          <w:szCs w:val="32"/>
        </w:rPr>
      </w:pPr>
      <w:r>
        <w:rPr>
          <w:rFonts w:hint="eastAsia" w:ascii="黑体" w:hAnsi="黑体" w:eastAsia="黑体"/>
          <w:b/>
          <w:color w:val="000000"/>
          <w:sz w:val="32"/>
          <w:szCs w:val="32"/>
          <w:lang w:eastAsia="zh-CN"/>
        </w:rPr>
        <w:t>十一</w:t>
      </w:r>
      <w:r>
        <w:rPr>
          <w:rFonts w:hint="eastAsia" w:ascii="黑体" w:hAnsi="黑体" w:eastAsia="黑体"/>
          <w:b/>
          <w:color w:val="000000"/>
          <w:sz w:val="32"/>
          <w:szCs w:val="32"/>
        </w:rPr>
        <w:t>、技术要求响应及偏离表</w:t>
      </w:r>
    </w:p>
    <w:tbl>
      <w:tblPr>
        <w:tblStyle w:val="31"/>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545"/>
        <w:gridCol w:w="3291"/>
        <w:gridCol w:w="2852"/>
        <w:gridCol w:w="1456"/>
        <w:gridCol w:w="1025"/>
      </w:tblGrid>
      <w:tr w14:paraId="73CA45C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Pr>
        <w:tc>
          <w:tcPr>
            <w:tcW w:w="545" w:type="dxa"/>
            <w:noWrap w:val="0"/>
            <w:vAlign w:val="center"/>
          </w:tcPr>
          <w:p w14:paraId="3DB862E3">
            <w:pPr>
              <w:jc w:val="center"/>
              <w:rPr>
                <w:rFonts w:hint="eastAsia" w:ascii="宋体" w:hAnsi="宋体"/>
                <w:color w:val="000000"/>
                <w:sz w:val="24"/>
                <w:szCs w:val="24"/>
              </w:rPr>
            </w:pPr>
            <w:r>
              <w:rPr>
                <w:rFonts w:hint="eastAsia" w:ascii="宋体" w:hAnsi="宋体"/>
                <w:color w:val="000000"/>
                <w:sz w:val="24"/>
                <w:szCs w:val="24"/>
              </w:rPr>
              <w:t>序号</w:t>
            </w:r>
          </w:p>
        </w:tc>
        <w:tc>
          <w:tcPr>
            <w:tcW w:w="3291" w:type="dxa"/>
            <w:noWrap w:val="0"/>
            <w:vAlign w:val="center"/>
          </w:tcPr>
          <w:p w14:paraId="4F7D0FC4">
            <w:pPr>
              <w:jc w:val="center"/>
              <w:rPr>
                <w:rFonts w:hint="eastAsia" w:ascii="宋体" w:hAnsi="宋体"/>
                <w:color w:val="000000"/>
                <w:sz w:val="24"/>
                <w:szCs w:val="24"/>
              </w:rPr>
            </w:pPr>
            <w:r>
              <w:rPr>
                <w:rFonts w:hint="eastAsia" w:ascii="宋体" w:hAnsi="宋体"/>
                <w:color w:val="000000"/>
                <w:sz w:val="24"/>
                <w:szCs w:val="24"/>
              </w:rPr>
              <w:t>招标文件要求</w:t>
            </w:r>
          </w:p>
        </w:tc>
        <w:tc>
          <w:tcPr>
            <w:tcW w:w="2852" w:type="dxa"/>
            <w:noWrap w:val="0"/>
            <w:vAlign w:val="center"/>
          </w:tcPr>
          <w:p w14:paraId="0CCC7D04">
            <w:pPr>
              <w:jc w:val="center"/>
              <w:rPr>
                <w:rFonts w:hint="eastAsia" w:ascii="宋体" w:hAnsi="宋体"/>
                <w:color w:val="000000"/>
                <w:sz w:val="24"/>
                <w:szCs w:val="24"/>
              </w:rPr>
            </w:pPr>
            <w:r>
              <w:rPr>
                <w:rFonts w:hint="eastAsia" w:ascii="宋体" w:hAnsi="宋体"/>
                <w:color w:val="000000"/>
                <w:sz w:val="24"/>
                <w:szCs w:val="24"/>
              </w:rPr>
              <w:t>投标响应情况</w:t>
            </w:r>
          </w:p>
        </w:tc>
        <w:tc>
          <w:tcPr>
            <w:tcW w:w="1456" w:type="dxa"/>
            <w:noWrap w:val="0"/>
            <w:vAlign w:val="center"/>
          </w:tcPr>
          <w:p w14:paraId="03166561">
            <w:pPr>
              <w:jc w:val="center"/>
              <w:rPr>
                <w:rFonts w:hint="eastAsia" w:ascii="宋体" w:hAnsi="宋体"/>
                <w:color w:val="000000"/>
                <w:sz w:val="24"/>
                <w:szCs w:val="24"/>
              </w:rPr>
            </w:pPr>
            <w:r>
              <w:rPr>
                <w:rFonts w:hint="eastAsia" w:ascii="宋体" w:hAnsi="宋体"/>
                <w:color w:val="000000"/>
                <w:sz w:val="24"/>
                <w:szCs w:val="24"/>
              </w:rPr>
              <w:t>超出或偏离</w:t>
            </w:r>
          </w:p>
        </w:tc>
        <w:tc>
          <w:tcPr>
            <w:tcW w:w="1025" w:type="dxa"/>
            <w:noWrap w:val="0"/>
            <w:vAlign w:val="center"/>
          </w:tcPr>
          <w:p w14:paraId="4CFF969C">
            <w:pPr>
              <w:jc w:val="center"/>
              <w:rPr>
                <w:rFonts w:hint="eastAsia" w:ascii="宋体" w:hAnsi="宋体"/>
                <w:color w:val="000000"/>
                <w:sz w:val="24"/>
                <w:szCs w:val="24"/>
              </w:rPr>
            </w:pPr>
            <w:r>
              <w:rPr>
                <w:rFonts w:hint="eastAsia" w:ascii="宋体" w:hAnsi="宋体"/>
                <w:color w:val="000000"/>
                <w:sz w:val="24"/>
                <w:szCs w:val="24"/>
              </w:rPr>
              <w:t>证明</w:t>
            </w:r>
          </w:p>
          <w:p w14:paraId="410669D9">
            <w:pPr>
              <w:jc w:val="center"/>
              <w:rPr>
                <w:rFonts w:ascii="宋体" w:hAnsi="宋体" w:eastAsia="宋体"/>
                <w:color w:val="000000"/>
                <w:sz w:val="24"/>
                <w:szCs w:val="24"/>
                <w:lang w:val="en-US" w:eastAsia="zh-CN"/>
              </w:rPr>
            </w:pPr>
            <w:r>
              <w:rPr>
                <w:rFonts w:hint="eastAsia" w:ascii="宋体" w:hAnsi="宋体"/>
                <w:color w:val="000000"/>
                <w:sz w:val="24"/>
                <w:szCs w:val="24"/>
              </w:rPr>
              <w:t>材料</w:t>
            </w:r>
          </w:p>
        </w:tc>
      </w:tr>
      <w:tr w14:paraId="42849BD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545" w:type="dxa"/>
            <w:noWrap w:val="0"/>
            <w:vAlign w:val="top"/>
          </w:tcPr>
          <w:p w14:paraId="3E278216">
            <w:pPr>
              <w:jc w:val="center"/>
              <w:rPr>
                <w:rFonts w:hint="eastAsia" w:ascii="宋体" w:hAnsi="宋体"/>
                <w:color w:val="000000"/>
                <w:sz w:val="24"/>
                <w:szCs w:val="24"/>
              </w:rPr>
            </w:pPr>
          </w:p>
        </w:tc>
        <w:tc>
          <w:tcPr>
            <w:tcW w:w="3291" w:type="dxa"/>
            <w:noWrap w:val="0"/>
            <w:vAlign w:val="top"/>
          </w:tcPr>
          <w:p w14:paraId="7B377566">
            <w:pPr>
              <w:jc w:val="center"/>
              <w:rPr>
                <w:rFonts w:hint="eastAsia" w:ascii="宋体" w:hAnsi="宋体"/>
                <w:color w:val="000000"/>
                <w:sz w:val="24"/>
                <w:szCs w:val="24"/>
              </w:rPr>
            </w:pPr>
          </w:p>
        </w:tc>
        <w:tc>
          <w:tcPr>
            <w:tcW w:w="2852" w:type="dxa"/>
            <w:noWrap w:val="0"/>
            <w:vAlign w:val="top"/>
          </w:tcPr>
          <w:p w14:paraId="5CEF07EE">
            <w:pPr>
              <w:jc w:val="center"/>
              <w:rPr>
                <w:rFonts w:hint="eastAsia" w:ascii="宋体" w:hAnsi="宋体"/>
                <w:color w:val="000000"/>
                <w:sz w:val="24"/>
                <w:szCs w:val="24"/>
              </w:rPr>
            </w:pPr>
          </w:p>
        </w:tc>
        <w:tc>
          <w:tcPr>
            <w:tcW w:w="1456" w:type="dxa"/>
            <w:noWrap w:val="0"/>
            <w:vAlign w:val="top"/>
          </w:tcPr>
          <w:p w14:paraId="0FD6DF6D">
            <w:pPr>
              <w:jc w:val="center"/>
              <w:rPr>
                <w:rFonts w:hint="eastAsia" w:ascii="宋体" w:hAnsi="宋体"/>
                <w:color w:val="000000"/>
                <w:sz w:val="24"/>
                <w:szCs w:val="24"/>
              </w:rPr>
            </w:pPr>
          </w:p>
        </w:tc>
        <w:tc>
          <w:tcPr>
            <w:tcW w:w="1025" w:type="dxa"/>
            <w:noWrap w:val="0"/>
            <w:vAlign w:val="top"/>
          </w:tcPr>
          <w:p w14:paraId="7E5BF404">
            <w:pPr>
              <w:jc w:val="center"/>
              <w:rPr>
                <w:rFonts w:hint="eastAsia" w:ascii="宋体" w:hAnsi="宋体"/>
                <w:color w:val="000000"/>
                <w:sz w:val="24"/>
                <w:szCs w:val="24"/>
              </w:rPr>
            </w:pPr>
          </w:p>
        </w:tc>
      </w:tr>
      <w:tr w14:paraId="5DB3B72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545" w:type="dxa"/>
            <w:noWrap w:val="0"/>
            <w:vAlign w:val="top"/>
          </w:tcPr>
          <w:p w14:paraId="010768BC">
            <w:pPr>
              <w:jc w:val="center"/>
              <w:rPr>
                <w:rFonts w:hint="eastAsia" w:ascii="宋体" w:hAnsi="宋体"/>
                <w:color w:val="000000"/>
                <w:sz w:val="24"/>
                <w:szCs w:val="24"/>
              </w:rPr>
            </w:pPr>
          </w:p>
        </w:tc>
        <w:tc>
          <w:tcPr>
            <w:tcW w:w="3291" w:type="dxa"/>
            <w:noWrap w:val="0"/>
            <w:vAlign w:val="top"/>
          </w:tcPr>
          <w:p w14:paraId="2A9AB0E2">
            <w:pPr>
              <w:jc w:val="center"/>
              <w:rPr>
                <w:rFonts w:hint="eastAsia" w:ascii="宋体" w:hAnsi="宋体"/>
                <w:color w:val="000000"/>
                <w:sz w:val="24"/>
                <w:szCs w:val="24"/>
              </w:rPr>
            </w:pPr>
          </w:p>
        </w:tc>
        <w:tc>
          <w:tcPr>
            <w:tcW w:w="2852" w:type="dxa"/>
            <w:noWrap w:val="0"/>
            <w:vAlign w:val="top"/>
          </w:tcPr>
          <w:p w14:paraId="39437428">
            <w:pPr>
              <w:jc w:val="center"/>
              <w:rPr>
                <w:rFonts w:hint="eastAsia" w:ascii="宋体" w:hAnsi="宋体"/>
                <w:color w:val="000000"/>
                <w:sz w:val="24"/>
                <w:szCs w:val="24"/>
              </w:rPr>
            </w:pPr>
          </w:p>
        </w:tc>
        <w:tc>
          <w:tcPr>
            <w:tcW w:w="1456" w:type="dxa"/>
            <w:noWrap w:val="0"/>
            <w:vAlign w:val="top"/>
          </w:tcPr>
          <w:p w14:paraId="1C56D462">
            <w:pPr>
              <w:jc w:val="center"/>
              <w:rPr>
                <w:rFonts w:hint="eastAsia" w:ascii="宋体" w:hAnsi="宋体"/>
                <w:color w:val="000000"/>
                <w:sz w:val="24"/>
                <w:szCs w:val="24"/>
              </w:rPr>
            </w:pPr>
          </w:p>
        </w:tc>
        <w:tc>
          <w:tcPr>
            <w:tcW w:w="1025" w:type="dxa"/>
            <w:noWrap w:val="0"/>
            <w:vAlign w:val="top"/>
          </w:tcPr>
          <w:p w14:paraId="2DE34162">
            <w:pPr>
              <w:jc w:val="center"/>
              <w:rPr>
                <w:rFonts w:hint="eastAsia" w:ascii="宋体" w:hAnsi="宋体"/>
                <w:color w:val="000000"/>
                <w:sz w:val="24"/>
                <w:szCs w:val="24"/>
              </w:rPr>
            </w:pPr>
          </w:p>
        </w:tc>
      </w:tr>
      <w:tr w14:paraId="1F93F9F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545" w:type="dxa"/>
            <w:noWrap w:val="0"/>
            <w:vAlign w:val="top"/>
          </w:tcPr>
          <w:p w14:paraId="0B727619">
            <w:pPr>
              <w:jc w:val="center"/>
              <w:rPr>
                <w:rFonts w:hint="eastAsia" w:ascii="宋体" w:hAnsi="宋体"/>
                <w:color w:val="000000"/>
                <w:sz w:val="24"/>
                <w:szCs w:val="24"/>
              </w:rPr>
            </w:pPr>
          </w:p>
        </w:tc>
        <w:tc>
          <w:tcPr>
            <w:tcW w:w="3291" w:type="dxa"/>
            <w:noWrap w:val="0"/>
            <w:vAlign w:val="top"/>
          </w:tcPr>
          <w:p w14:paraId="3864C608">
            <w:pPr>
              <w:jc w:val="center"/>
              <w:rPr>
                <w:rFonts w:hint="eastAsia" w:ascii="宋体" w:hAnsi="宋体"/>
                <w:color w:val="000000"/>
                <w:sz w:val="24"/>
                <w:szCs w:val="24"/>
              </w:rPr>
            </w:pPr>
          </w:p>
        </w:tc>
        <w:tc>
          <w:tcPr>
            <w:tcW w:w="2852" w:type="dxa"/>
            <w:noWrap w:val="0"/>
            <w:vAlign w:val="top"/>
          </w:tcPr>
          <w:p w14:paraId="7A180F39">
            <w:pPr>
              <w:jc w:val="center"/>
              <w:rPr>
                <w:rFonts w:hint="eastAsia" w:ascii="宋体" w:hAnsi="宋体"/>
                <w:color w:val="000000"/>
                <w:sz w:val="24"/>
                <w:szCs w:val="24"/>
              </w:rPr>
            </w:pPr>
          </w:p>
        </w:tc>
        <w:tc>
          <w:tcPr>
            <w:tcW w:w="1456" w:type="dxa"/>
            <w:noWrap w:val="0"/>
            <w:vAlign w:val="top"/>
          </w:tcPr>
          <w:p w14:paraId="7CB8125F">
            <w:pPr>
              <w:jc w:val="center"/>
              <w:rPr>
                <w:rFonts w:hint="eastAsia" w:ascii="宋体" w:hAnsi="宋体"/>
                <w:color w:val="000000"/>
                <w:sz w:val="24"/>
                <w:szCs w:val="24"/>
              </w:rPr>
            </w:pPr>
          </w:p>
        </w:tc>
        <w:tc>
          <w:tcPr>
            <w:tcW w:w="1025" w:type="dxa"/>
            <w:noWrap w:val="0"/>
            <w:vAlign w:val="top"/>
          </w:tcPr>
          <w:p w14:paraId="73B44C6D">
            <w:pPr>
              <w:jc w:val="center"/>
              <w:rPr>
                <w:rFonts w:hint="eastAsia" w:ascii="宋体" w:hAnsi="宋体"/>
                <w:color w:val="000000"/>
                <w:sz w:val="24"/>
                <w:szCs w:val="24"/>
              </w:rPr>
            </w:pPr>
          </w:p>
        </w:tc>
      </w:tr>
      <w:tr w14:paraId="26D4595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545" w:type="dxa"/>
            <w:noWrap w:val="0"/>
            <w:vAlign w:val="top"/>
          </w:tcPr>
          <w:p w14:paraId="595592F5">
            <w:pPr>
              <w:jc w:val="center"/>
              <w:rPr>
                <w:rFonts w:hint="eastAsia" w:ascii="宋体" w:hAnsi="宋体"/>
                <w:color w:val="000000"/>
                <w:sz w:val="24"/>
                <w:szCs w:val="24"/>
              </w:rPr>
            </w:pPr>
          </w:p>
        </w:tc>
        <w:tc>
          <w:tcPr>
            <w:tcW w:w="3291" w:type="dxa"/>
            <w:noWrap w:val="0"/>
            <w:vAlign w:val="top"/>
          </w:tcPr>
          <w:p w14:paraId="08B5774A">
            <w:pPr>
              <w:jc w:val="center"/>
              <w:rPr>
                <w:rFonts w:hint="eastAsia" w:ascii="宋体" w:hAnsi="宋体"/>
                <w:color w:val="000000"/>
                <w:sz w:val="24"/>
                <w:szCs w:val="24"/>
              </w:rPr>
            </w:pPr>
          </w:p>
        </w:tc>
        <w:tc>
          <w:tcPr>
            <w:tcW w:w="2852" w:type="dxa"/>
            <w:noWrap w:val="0"/>
            <w:vAlign w:val="top"/>
          </w:tcPr>
          <w:p w14:paraId="5E3D28CC">
            <w:pPr>
              <w:jc w:val="center"/>
              <w:rPr>
                <w:rFonts w:hint="eastAsia" w:ascii="宋体" w:hAnsi="宋体"/>
                <w:color w:val="000000"/>
                <w:sz w:val="24"/>
                <w:szCs w:val="24"/>
              </w:rPr>
            </w:pPr>
          </w:p>
        </w:tc>
        <w:tc>
          <w:tcPr>
            <w:tcW w:w="1456" w:type="dxa"/>
            <w:noWrap w:val="0"/>
            <w:vAlign w:val="top"/>
          </w:tcPr>
          <w:p w14:paraId="5C233D74">
            <w:pPr>
              <w:jc w:val="center"/>
              <w:rPr>
                <w:rFonts w:hint="eastAsia" w:ascii="宋体" w:hAnsi="宋体"/>
                <w:color w:val="000000"/>
                <w:sz w:val="24"/>
                <w:szCs w:val="24"/>
              </w:rPr>
            </w:pPr>
          </w:p>
        </w:tc>
        <w:tc>
          <w:tcPr>
            <w:tcW w:w="1025" w:type="dxa"/>
            <w:noWrap w:val="0"/>
            <w:vAlign w:val="top"/>
          </w:tcPr>
          <w:p w14:paraId="117FCD50">
            <w:pPr>
              <w:jc w:val="center"/>
              <w:rPr>
                <w:rFonts w:hint="eastAsia" w:ascii="宋体" w:hAnsi="宋体"/>
                <w:color w:val="000000"/>
                <w:sz w:val="24"/>
                <w:szCs w:val="24"/>
              </w:rPr>
            </w:pPr>
          </w:p>
        </w:tc>
      </w:tr>
      <w:tr w14:paraId="21EB9C8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545" w:type="dxa"/>
            <w:noWrap w:val="0"/>
            <w:vAlign w:val="top"/>
          </w:tcPr>
          <w:p w14:paraId="71B4C20C">
            <w:pPr>
              <w:jc w:val="center"/>
              <w:rPr>
                <w:rFonts w:hint="eastAsia" w:ascii="宋体" w:hAnsi="宋体"/>
                <w:color w:val="000000"/>
                <w:sz w:val="24"/>
                <w:szCs w:val="24"/>
              </w:rPr>
            </w:pPr>
          </w:p>
        </w:tc>
        <w:tc>
          <w:tcPr>
            <w:tcW w:w="3291" w:type="dxa"/>
            <w:noWrap w:val="0"/>
            <w:vAlign w:val="top"/>
          </w:tcPr>
          <w:p w14:paraId="4CC3554B">
            <w:pPr>
              <w:jc w:val="center"/>
              <w:rPr>
                <w:rFonts w:hint="eastAsia" w:ascii="宋体" w:hAnsi="宋体"/>
                <w:color w:val="000000"/>
                <w:sz w:val="24"/>
                <w:szCs w:val="24"/>
              </w:rPr>
            </w:pPr>
          </w:p>
        </w:tc>
        <w:tc>
          <w:tcPr>
            <w:tcW w:w="2852" w:type="dxa"/>
            <w:noWrap w:val="0"/>
            <w:vAlign w:val="top"/>
          </w:tcPr>
          <w:p w14:paraId="240F9CE8">
            <w:pPr>
              <w:jc w:val="center"/>
              <w:rPr>
                <w:rFonts w:hint="eastAsia" w:ascii="宋体" w:hAnsi="宋体"/>
                <w:color w:val="000000"/>
                <w:sz w:val="24"/>
                <w:szCs w:val="24"/>
              </w:rPr>
            </w:pPr>
          </w:p>
        </w:tc>
        <w:tc>
          <w:tcPr>
            <w:tcW w:w="1456" w:type="dxa"/>
            <w:noWrap w:val="0"/>
            <w:vAlign w:val="top"/>
          </w:tcPr>
          <w:p w14:paraId="09234141">
            <w:pPr>
              <w:jc w:val="center"/>
              <w:rPr>
                <w:rFonts w:hint="eastAsia" w:ascii="宋体" w:hAnsi="宋体"/>
                <w:color w:val="000000"/>
                <w:sz w:val="24"/>
                <w:szCs w:val="24"/>
              </w:rPr>
            </w:pPr>
          </w:p>
        </w:tc>
        <w:tc>
          <w:tcPr>
            <w:tcW w:w="1025" w:type="dxa"/>
            <w:noWrap w:val="0"/>
            <w:vAlign w:val="top"/>
          </w:tcPr>
          <w:p w14:paraId="0A19A8A2">
            <w:pPr>
              <w:jc w:val="center"/>
              <w:rPr>
                <w:rFonts w:hint="eastAsia" w:ascii="宋体" w:hAnsi="宋体"/>
                <w:color w:val="000000"/>
                <w:sz w:val="24"/>
                <w:szCs w:val="24"/>
              </w:rPr>
            </w:pPr>
          </w:p>
        </w:tc>
      </w:tr>
      <w:tr w14:paraId="6BF2553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545" w:type="dxa"/>
            <w:noWrap w:val="0"/>
            <w:vAlign w:val="top"/>
          </w:tcPr>
          <w:p w14:paraId="09B95E14">
            <w:pPr>
              <w:jc w:val="center"/>
              <w:rPr>
                <w:rFonts w:hint="eastAsia" w:ascii="宋体" w:hAnsi="宋体"/>
                <w:color w:val="000000"/>
                <w:sz w:val="24"/>
                <w:szCs w:val="24"/>
              </w:rPr>
            </w:pPr>
          </w:p>
        </w:tc>
        <w:tc>
          <w:tcPr>
            <w:tcW w:w="3291" w:type="dxa"/>
            <w:noWrap w:val="0"/>
            <w:vAlign w:val="top"/>
          </w:tcPr>
          <w:p w14:paraId="176088D0">
            <w:pPr>
              <w:jc w:val="center"/>
              <w:rPr>
                <w:rFonts w:hint="eastAsia" w:ascii="宋体" w:hAnsi="宋体"/>
                <w:color w:val="000000"/>
                <w:sz w:val="24"/>
                <w:szCs w:val="24"/>
              </w:rPr>
            </w:pPr>
          </w:p>
        </w:tc>
        <w:tc>
          <w:tcPr>
            <w:tcW w:w="2852" w:type="dxa"/>
            <w:noWrap w:val="0"/>
            <w:vAlign w:val="top"/>
          </w:tcPr>
          <w:p w14:paraId="1C64D7B8">
            <w:pPr>
              <w:jc w:val="center"/>
              <w:rPr>
                <w:rFonts w:hint="eastAsia" w:ascii="宋体" w:hAnsi="宋体"/>
                <w:color w:val="000000"/>
                <w:sz w:val="24"/>
                <w:szCs w:val="24"/>
              </w:rPr>
            </w:pPr>
          </w:p>
        </w:tc>
        <w:tc>
          <w:tcPr>
            <w:tcW w:w="1456" w:type="dxa"/>
            <w:noWrap w:val="0"/>
            <w:vAlign w:val="top"/>
          </w:tcPr>
          <w:p w14:paraId="049071A3">
            <w:pPr>
              <w:jc w:val="center"/>
              <w:rPr>
                <w:rFonts w:hint="eastAsia" w:ascii="宋体" w:hAnsi="宋体"/>
                <w:color w:val="000000"/>
                <w:sz w:val="24"/>
                <w:szCs w:val="24"/>
              </w:rPr>
            </w:pPr>
          </w:p>
        </w:tc>
        <w:tc>
          <w:tcPr>
            <w:tcW w:w="1025" w:type="dxa"/>
            <w:noWrap w:val="0"/>
            <w:vAlign w:val="top"/>
          </w:tcPr>
          <w:p w14:paraId="60126E3D">
            <w:pPr>
              <w:jc w:val="center"/>
              <w:rPr>
                <w:rFonts w:hint="eastAsia" w:ascii="宋体" w:hAnsi="宋体"/>
                <w:color w:val="000000"/>
                <w:sz w:val="24"/>
                <w:szCs w:val="24"/>
              </w:rPr>
            </w:pPr>
          </w:p>
        </w:tc>
      </w:tr>
      <w:tr w14:paraId="4AE5A76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545" w:type="dxa"/>
            <w:noWrap w:val="0"/>
            <w:vAlign w:val="top"/>
          </w:tcPr>
          <w:p w14:paraId="634139D7">
            <w:pPr>
              <w:jc w:val="center"/>
              <w:rPr>
                <w:rFonts w:hint="eastAsia" w:ascii="宋体" w:hAnsi="宋体"/>
                <w:color w:val="000000"/>
                <w:sz w:val="24"/>
                <w:szCs w:val="24"/>
              </w:rPr>
            </w:pPr>
          </w:p>
        </w:tc>
        <w:tc>
          <w:tcPr>
            <w:tcW w:w="3291" w:type="dxa"/>
            <w:noWrap w:val="0"/>
            <w:vAlign w:val="top"/>
          </w:tcPr>
          <w:p w14:paraId="77D6FD9D">
            <w:pPr>
              <w:jc w:val="center"/>
              <w:rPr>
                <w:rFonts w:hint="eastAsia" w:ascii="宋体" w:hAnsi="宋体"/>
                <w:color w:val="000000"/>
                <w:sz w:val="24"/>
                <w:szCs w:val="24"/>
              </w:rPr>
            </w:pPr>
          </w:p>
        </w:tc>
        <w:tc>
          <w:tcPr>
            <w:tcW w:w="2852" w:type="dxa"/>
            <w:noWrap w:val="0"/>
            <w:vAlign w:val="top"/>
          </w:tcPr>
          <w:p w14:paraId="2A8DE3C6">
            <w:pPr>
              <w:jc w:val="center"/>
              <w:rPr>
                <w:rFonts w:hint="eastAsia" w:ascii="宋体" w:hAnsi="宋体"/>
                <w:color w:val="000000"/>
                <w:sz w:val="24"/>
                <w:szCs w:val="24"/>
              </w:rPr>
            </w:pPr>
          </w:p>
        </w:tc>
        <w:tc>
          <w:tcPr>
            <w:tcW w:w="1456" w:type="dxa"/>
            <w:noWrap w:val="0"/>
            <w:vAlign w:val="top"/>
          </w:tcPr>
          <w:p w14:paraId="0E1ADFB2">
            <w:pPr>
              <w:jc w:val="center"/>
              <w:rPr>
                <w:rFonts w:hint="eastAsia" w:ascii="宋体" w:hAnsi="宋体"/>
                <w:color w:val="000000"/>
                <w:sz w:val="24"/>
                <w:szCs w:val="24"/>
              </w:rPr>
            </w:pPr>
          </w:p>
        </w:tc>
        <w:tc>
          <w:tcPr>
            <w:tcW w:w="1025" w:type="dxa"/>
            <w:noWrap w:val="0"/>
            <w:vAlign w:val="top"/>
          </w:tcPr>
          <w:p w14:paraId="7ACE2AB3">
            <w:pPr>
              <w:jc w:val="center"/>
              <w:rPr>
                <w:rFonts w:hint="eastAsia" w:ascii="宋体" w:hAnsi="宋体"/>
                <w:color w:val="000000"/>
                <w:sz w:val="24"/>
                <w:szCs w:val="24"/>
              </w:rPr>
            </w:pPr>
          </w:p>
        </w:tc>
      </w:tr>
      <w:tr w14:paraId="5532DD4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545" w:type="dxa"/>
            <w:noWrap w:val="0"/>
            <w:vAlign w:val="top"/>
          </w:tcPr>
          <w:p w14:paraId="510A0EA5">
            <w:pPr>
              <w:jc w:val="center"/>
              <w:rPr>
                <w:rFonts w:hint="eastAsia" w:ascii="宋体" w:hAnsi="宋体"/>
                <w:color w:val="000000"/>
                <w:sz w:val="24"/>
                <w:szCs w:val="24"/>
              </w:rPr>
            </w:pPr>
          </w:p>
        </w:tc>
        <w:tc>
          <w:tcPr>
            <w:tcW w:w="3291" w:type="dxa"/>
            <w:noWrap w:val="0"/>
            <w:vAlign w:val="top"/>
          </w:tcPr>
          <w:p w14:paraId="335C3E5B">
            <w:pPr>
              <w:jc w:val="center"/>
              <w:rPr>
                <w:rFonts w:hint="eastAsia" w:ascii="宋体" w:hAnsi="宋体"/>
                <w:color w:val="000000"/>
                <w:sz w:val="24"/>
                <w:szCs w:val="24"/>
              </w:rPr>
            </w:pPr>
            <w:r>
              <w:rPr>
                <w:rFonts w:ascii="宋体" w:hAnsi="宋体"/>
                <w:color w:val="000000"/>
                <w:sz w:val="24"/>
                <w:szCs w:val="24"/>
              </w:rPr>
              <w:t>……</w:t>
            </w:r>
          </w:p>
        </w:tc>
        <w:tc>
          <w:tcPr>
            <w:tcW w:w="2852" w:type="dxa"/>
            <w:noWrap w:val="0"/>
            <w:vAlign w:val="top"/>
          </w:tcPr>
          <w:p w14:paraId="347B2552">
            <w:pPr>
              <w:jc w:val="center"/>
              <w:rPr>
                <w:rFonts w:hint="eastAsia" w:ascii="宋体" w:hAnsi="宋体"/>
                <w:color w:val="000000"/>
                <w:sz w:val="24"/>
                <w:szCs w:val="24"/>
              </w:rPr>
            </w:pPr>
          </w:p>
        </w:tc>
        <w:tc>
          <w:tcPr>
            <w:tcW w:w="1456" w:type="dxa"/>
            <w:noWrap w:val="0"/>
            <w:vAlign w:val="top"/>
          </w:tcPr>
          <w:p w14:paraId="5E0F296B">
            <w:pPr>
              <w:jc w:val="center"/>
              <w:rPr>
                <w:rFonts w:hint="eastAsia" w:ascii="宋体" w:hAnsi="宋体"/>
                <w:color w:val="000000"/>
                <w:sz w:val="24"/>
                <w:szCs w:val="24"/>
              </w:rPr>
            </w:pPr>
          </w:p>
        </w:tc>
        <w:tc>
          <w:tcPr>
            <w:tcW w:w="1025" w:type="dxa"/>
            <w:noWrap w:val="0"/>
            <w:vAlign w:val="top"/>
          </w:tcPr>
          <w:p w14:paraId="0EDCED7F">
            <w:pPr>
              <w:jc w:val="center"/>
              <w:rPr>
                <w:rFonts w:hint="eastAsia" w:ascii="宋体" w:hAnsi="宋体"/>
                <w:color w:val="000000"/>
                <w:sz w:val="24"/>
                <w:szCs w:val="24"/>
              </w:rPr>
            </w:pPr>
          </w:p>
        </w:tc>
      </w:tr>
    </w:tbl>
    <w:p w14:paraId="2CECD7D4">
      <w:pPr>
        <w:rPr>
          <w:rFonts w:hint="eastAsia" w:ascii="宋体" w:hAnsi="宋体"/>
          <w:color w:val="000000"/>
          <w:sz w:val="24"/>
          <w:szCs w:val="24"/>
        </w:rPr>
      </w:pPr>
      <w:r>
        <w:rPr>
          <w:rFonts w:hint="eastAsia" w:ascii="宋体" w:hAnsi="宋体"/>
          <w:color w:val="000000"/>
          <w:sz w:val="24"/>
          <w:szCs w:val="24"/>
        </w:rPr>
        <w:t>注：</w:t>
      </w:r>
      <w:r>
        <w:rPr>
          <w:rFonts w:hint="eastAsia" w:ascii="宋体" w:hAnsi="宋体"/>
          <w:color w:val="000000"/>
          <w:sz w:val="24"/>
          <w:szCs w:val="24"/>
          <w:lang w:val="en-US" w:eastAsia="zh-CN"/>
        </w:rPr>
        <w:t>1、</w:t>
      </w:r>
      <w:r>
        <w:rPr>
          <w:rFonts w:hint="eastAsia" w:ascii="宋体" w:hAnsi="宋体"/>
          <w:color w:val="000000"/>
          <w:sz w:val="24"/>
          <w:szCs w:val="24"/>
        </w:rPr>
        <w:t xml:space="preserve"> 行数不够，可自行添加。</w:t>
      </w:r>
    </w:p>
    <w:p w14:paraId="7FEC97AF">
      <w:pPr>
        <w:rPr>
          <w:rFonts w:ascii="宋体" w:hAnsi="宋体" w:eastAsia="宋体" w:cs="Times New Roman"/>
          <w:b/>
          <w:bCs/>
          <w:color w:val="000000"/>
          <w:sz w:val="24"/>
          <w:szCs w:val="24"/>
          <w:lang w:val="en-US" w:eastAsia="zh-CN"/>
        </w:rPr>
      </w:pPr>
      <w:r>
        <w:rPr>
          <w:rFonts w:hint="eastAsia" w:ascii="宋体" w:hAnsi="宋体" w:eastAsia="宋体" w:cs="Times New Roman"/>
          <w:color w:val="000000"/>
          <w:sz w:val="24"/>
          <w:szCs w:val="24"/>
          <w:lang w:val="en-US" w:eastAsia="zh-CN"/>
        </w:rPr>
        <w:t xml:space="preserve">  </w:t>
      </w:r>
      <w:r>
        <w:rPr>
          <w:rFonts w:hint="eastAsia" w:ascii="宋体" w:hAnsi="宋体" w:eastAsia="宋体" w:cs="Times New Roman"/>
          <w:b/>
          <w:bCs/>
          <w:color w:val="FF0000"/>
          <w:sz w:val="24"/>
          <w:szCs w:val="24"/>
          <w:lang w:val="en-US" w:eastAsia="zh-CN"/>
        </w:rPr>
        <w:t xml:space="preserve"> </w:t>
      </w:r>
      <w:r>
        <w:rPr>
          <w:rFonts w:hint="eastAsia" w:ascii="宋体" w:hAnsi="宋体" w:cs="Times New Roman"/>
          <w:b/>
          <w:bCs/>
          <w:color w:val="FF0000"/>
          <w:sz w:val="24"/>
          <w:szCs w:val="24"/>
          <w:lang w:val="en-US" w:eastAsia="zh-CN"/>
        </w:rPr>
        <w:t>2.</w:t>
      </w:r>
      <w:r>
        <w:rPr>
          <w:rFonts w:hint="eastAsia" w:ascii="宋体" w:hAnsi="宋体" w:eastAsia="宋体" w:cs="Times New Roman"/>
          <w:b/>
          <w:bCs/>
          <w:color w:val="FF0000"/>
          <w:sz w:val="24"/>
          <w:szCs w:val="24"/>
          <w:lang w:val="en-US" w:eastAsia="zh-CN"/>
        </w:rPr>
        <w:t>同时提供</w:t>
      </w:r>
      <w:r>
        <w:rPr>
          <w:rFonts w:hint="eastAsia" w:ascii="宋体" w:hAnsi="宋体" w:eastAsia="宋体" w:cs="Times New Roman"/>
          <w:b/>
          <w:bCs/>
          <w:color w:val="000000"/>
          <w:sz w:val="24"/>
          <w:szCs w:val="24"/>
          <w:lang w:val="en-US" w:eastAsia="zh-CN"/>
        </w:rPr>
        <w:t>“道路机动车辆生产企业及产品信息查询系统”投标车辆查询截图。</w:t>
      </w:r>
    </w:p>
    <w:p w14:paraId="1407C8A7">
      <w:pPr>
        <w:rPr>
          <w:rFonts w:ascii="宋体" w:hAnsi="宋体" w:eastAsia="宋体" w:cs="Times New Roman"/>
          <w:b/>
          <w:bCs/>
          <w:color w:val="000000"/>
          <w:sz w:val="24"/>
          <w:szCs w:val="24"/>
          <w:lang w:val="en-US" w:eastAsia="zh-CN"/>
        </w:rPr>
      </w:pPr>
    </w:p>
    <w:p w14:paraId="05B7D88E">
      <w:pPr>
        <w:jc w:val="center"/>
        <w:rPr>
          <w:rFonts w:hint="eastAsia" w:ascii="黑体" w:hAnsi="Arial" w:eastAsia="黑体"/>
          <w:b/>
          <w:color w:val="000000"/>
          <w:sz w:val="36"/>
          <w:szCs w:val="21"/>
        </w:rPr>
      </w:pPr>
    </w:p>
    <w:p w14:paraId="6355CF00">
      <w:pPr>
        <w:jc w:val="center"/>
        <w:rPr>
          <w:rFonts w:hint="eastAsia" w:ascii="黑体" w:hAnsi="Arial" w:eastAsia="黑体"/>
          <w:b/>
          <w:color w:val="000000"/>
          <w:sz w:val="36"/>
          <w:szCs w:val="21"/>
        </w:rPr>
      </w:pPr>
    </w:p>
    <w:p w14:paraId="0CD4241A">
      <w:pPr>
        <w:rPr>
          <w:rFonts w:hint="eastAsia" w:ascii="宋体" w:hAnsi="宋体"/>
          <w:sz w:val="28"/>
          <w:szCs w:val="28"/>
        </w:rPr>
      </w:pPr>
      <w:r>
        <w:t> </w:t>
      </w:r>
      <w:r>
        <w:rPr>
          <w:rFonts w:hint="eastAsia" w:ascii="宋体" w:hAnsi="宋体"/>
          <w:sz w:val="28"/>
          <w:szCs w:val="28"/>
        </w:rPr>
        <w:t>我方承诺，除上表中的偏离外，完全响应招标文件的其他条款。</w:t>
      </w:r>
    </w:p>
    <w:p w14:paraId="42F24B8F">
      <w:pPr>
        <w:tabs>
          <w:tab w:val="left" w:pos="4860"/>
        </w:tabs>
        <w:spacing w:line="588" w:lineRule="exact"/>
        <w:ind w:right="1560" w:firstLine="624"/>
        <w:jc w:val="center"/>
        <w:rPr>
          <w:rFonts w:hint="eastAsia" w:ascii="仿宋_GB2312" w:eastAsia="仿宋_GB2312"/>
          <w:spacing w:val="6"/>
          <w:sz w:val="30"/>
          <w:szCs w:val="30"/>
          <w:lang w:val="en-US" w:eastAsia="zh-CN"/>
        </w:rPr>
      </w:pPr>
    </w:p>
    <w:p w14:paraId="7CB7AD91">
      <w:pPr>
        <w:tabs>
          <w:tab w:val="left" w:pos="4860"/>
        </w:tabs>
        <w:spacing w:line="588" w:lineRule="exact"/>
        <w:ind w:right="1560" w:firstLine="624"/>
        <w:jc w:val="center"/>
        <w:rPr>
          <w:rFonts w:hint="eastAsia" w:ascii="宋体" w:hAnsi="宋体"/>
          <w:sz w:val="24"/>
          <w:szCs w:val="24"/>
        </w:rPr>
      </w:pPr>
      <w:r>
        <w:rPr>
          <w:rFonts w:hint="eastAsia" w:ascii="仿宋_GB2312" w:eastAsia="仿宋_GB2312"/>
          <w:spacing w:val="6"/>
          <w:sz w:val="30"/>
          <w:szCs w:val="30"/>
          <w:lang w:val="en-US" w:eastAsia="zh-CN"/>
        </w:rPr>
        <w:t xml:space="preserve">   </w:t>
      </w:r>
      <w:r>
        <w:rPr>
          <w:rFonts w:hint="eastAsia" w:ascii="仿宋_GB2312" w:eastAsia="仿宋_GB2312"/>
          <w:spacing w:val="6"/>
          <w:sz w:val="30"/>
          <w:szCs w:val="30"/>
        </w:rPr>
        <w:t xml:space="preserve">  </w:t>
      </w:r>
      <w:r>
        <w:rPr>
          <w:rFonts w:hint="eastAsia" w:ascii="宋体" w:hAnsi="宋体"/>
          <w:sz w:val="24"/>
          <w:szCs w:val="24"/>
        </w:rPr>
        <w:t>单位名称（加盖CA电子公章）：</w:t>
      </w:r>
    </w:p>
    <w:p w14:paraId="023124D1">
      <w:pPr>
        <w:tabs>
          <w:tab w:val="left" w:pos="4860"/>
        </w:tabs>
        <w:spacing w:line="588" w:lineRule="exact"/>
        <w:ind w:right="1560" w:firstLine="624"/>
        <w:jc w:val="center"/>
        <w:rPr>
          <w:rFonts w:ascii="仿宋_GB2312" w:eastAsia="仿宋_GB2312"/>
          <w:spacing w:val="6"/>
          <w:sz w:val="30"/>
          <w:szCs w:val="30"/>
        </w:rPr>
      </w:pPr>
    </w:p>
    <w:p w14:paraId="05E5FA6A">
      <w:pPr>
        <w:spacing w:line="480" w:lineRule="exact"/>
        <w:ind w:firstLine="560"/>
        <w:jc w:val="center"/>
        <w:rPr>
          <w:rFonts w:hint="eastAsia" w:ascii="黑体" w:hAnsi="宋体" w:eastAsia="黑体"/>
          <w:bCs/>
          <w:sz w:val="32"/>
          <w:szCs w:val="32"/>
        </w:rPr>
      </w:pPr>
      <w:r>
        <w:rPr>
          <w:rFonts w:hint="eastAsia" w:ascii="仿宋_GB2312"/>
          <w:sz w:val="28"/>
          <w:szCs w:val="28"/>
          <w:u w:val="none"/>
          <w:lang w:val="en-US" w:eastAsia="zh-CN"/>
        </w:rPr>
        <w:t xml:space="preserve">                </w:t>
      </w:r>
      <w:r>
        <w:rPr>
          <w:rFonts w:hint="eastAsia" w:ascii="仿宋_GB2312"/>
          <w:sz w:val="28"/>
          <w:szCs w:val="28"/>
          <w:u w:val="single"/>
          <w:lang w:val="en-US" w:eastAsia="zh-CN"/>
        </w:rPr>
        <w:t xml:space="preserve">  </w:t>
      </w:r>
      <w:r>
        <w:rPr>
          <w:rFonts w:hint="eastAsia" w:ascii="仿宋_GB2312"/>
          <w:sz w:val="28"/>
          <w:szCs w:val="28"/>
          <w:u w:val="single"/>
        </w:rPr>
        <w:t xml:space="preserve">      </w:t>
      </w:r>
      <w:r>
        <w:rPr>
          <w:rFonts w:hint="eastAsia" w:ascii="仿宋_GB2312"/>
          <w:sz w:val="28"/>
          <w:szCs w:val="28"/>
        </w:rPr>
        <w:t>年</w:t>
      </w:r>
      <w:r>
        <w:rPr>
          <w:rFonts w:hint="eastAsia" w:ascii="仿宋_GB2312"/>
          <w:sz w:val="28"/>
          <w:szCs w:val="28"/>
          <w:u w:val="single"/>
        </w:rPr>
        <w:t xml:space="preserve">      </w:t>
      </w:r>
      <w:r>
        <w:rPr>
          <w:rFonts w:hint="eastAsia" w:ascii="仿宋_GB2312"/>
          <w:sz w:val="28"/>
          <w:szCs w:val="28"/>
        </w:rPr>
        <w:t xml:space="preserve"> 月 </w:t>
      </w:r>
      <w:r>
        <w:rPr>
          <w:rFonts w:hint="eastAsia" w:ascii="仿宋_GB2312"/>
          <w:sz w:val="28"/>
          <w:szCs w:val="28"/>
          <w:u w:val="single"/>
        </w:rPr>
        <w:t xml:space="preserve">     </w:t>
      </w:r>
      <w:r>
        <w:rPr>
          <w:rFonts w:hint="eastAsia" w:ascii="仿宋_GB2312"/>
          <w:sz w:val="28"/>
          <w:szCs w:val="28"/>
        </w:rPr>
        <w:t xml:space="preserve"> 日</w:t>
      </w:r>
    </w:p>
    <w:p w14:paraId="79E8CE8A">
      <w:pPr>
        <w:pStyle w:val="248"/>
        <w:spacing w:beforeAutospacing="0" w:afterAutospacing="0"/>
        <w:jc w:val="both"/>
      </w:pPr>
    </w:p>
    <w:p w14:paraId="47B4358B">
      <w:pPr>
        <w:pStyle w:val="248"/>
        <w:spacing w:beforeAutospacing="0" w:afterAutospacing="0"/>
        <w:jc w:val="both"/>
      </w:pPr>
    </w:p>
    <w:p w14:paraId="33C4DD7C">
      <w:pPr>
        <w:pStyle w:val="248"/>
        <w:spacing w:beforeAutospacing="0" w:afterAutospacing="0"/>
        <w:jc w:val="both"/>
      </w:pPr>
    </w:p>
    <w:p w14:paraId="74BC777E">
      <w:pPr>
        <w:pStyle w:val="248"/>
        <w:spacing w:beforeAutospacing="0" w:afterAutospacing="0"/>
        <w:jc w:val="both"/>
      </w:pPr>
    </w:p>
    <w:p w14:paraId="2A7A1026">
      <w:pPr>
        <w:pStyle w:val="248"/>
        <w:spacing w:beforeAutospacing="0" w:afterAutospacing="0"/>
        <w:jc w:val="both"/>
      </w:pPr>
    </w:p>
    <w:p w14:paraId="2EDD0A89">
      <w:pPr>
        <w:pStyle w:val="248"/>
        <w:spacing w:beforeAutospacing="0" w:afterAutospacing="0"/>
        <w:jc w:val="both"/>
      </w:pPr>
    </w:p>
    <w:p w14:paraId="1DC3A756">
      <w:pPr>
        <w:pStyle w:val="248"/>
        <w:spacing w:beforeAutospacing="0" w:afterAutospacing="0"/>
        <w:jc w:val="both"/>
      </w:pPr>
    </w:p>
    <w:p w14:paraId="57BF4623">
      <w:pPr>
        <w:pStyle w:val="248"/>
        <w:spacing w:beforeAutospacing="0" w:afterAutospacing="0"/>
        <w:jc w:val="both"/>
      </w:pPr>
    </w:p>
    <w:bookmarkEnd w:id="195"/>
    <w:p w14:paraId="5B025A01">
      <w:pPr>
        <w:jc w:val="center"/>
        <w:rPr>
          <w:rFonts w:hint="eastAsia" w:ascii="黑体" w:hAnsi="黑体" w:eastAsia="黑体"/>
          <w:b/>
          <w:color w:val="000000"/>
          <w:sz w:val="32"/>
          <w:szCs w:val="32"/>
          <w:highlight w:val="none"/>
        </w:rPr>
      </w:pPr>
      <w:bookmarkStart w:id="201" w:name="_Hlt26955054"/>
      <w:bookmarkEnd w:id="201"/>
      <w:r>
        <w:rPr>
          <w:rFonts w:hint="eastAsia" w:ascii="黑体" w:hAnsi="黑体" w:eastAsia="黑体"/>
          <w:b/>
          <w:color w:val="000000"/>
          <w:sz w:val="32"/>
          <w:szCs w:val="32"/>
          <w:highlight w:val="none"/>
        </w:rPr>
        <w:t>十</w:t>
      </w:r>
      <w:r>
        <w:rPr>
          <w:rFonts w:hint="eastAsia" w:ascii="黑体" w:hAnsi="黑体" w:eastAsia="黑体"/>
          <w:b/>
          <w:color w:val="000000"/>
          <w:sz w:val="32"/>
          <w:szCs w:val="32"/>
          <w:highlight w:val="none"/>
          <w:lang w:eastAsia="zh-CN"/>
        </w:rPr>
        <w:t>二</w:t>
      </w:r>
      <w:r>
        <w:rPr>
          <w:rFonts w:hint="eastAsia" w:ascii="黑体" w:hAnsi="黑体" w:eastAsia="黑体"/>
          <w:b/>
          <w:color w:val="000000"/>
          <w:sz w:val="32"/>
          <w:szCs w:val="32"/>
          <w:highlight w:val="none"/>
        </w:rPr>
        <w:t>、商务要求响应及偏离表</w:t>
      </w:r>
    </w:p>
    <w:tbl>
      <w:tblPr>
        <w:tblStyle w:val="31"/>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781"/>
        <w:gridCol w:w="2850"/>
        <w:gridCol w:w="2580"/>
        <w:gridCol w:w="1620"/>
        <w:gridCol w:w="1338"/>
      </w:tblGrid>
      <w:tr w14:paraId="7471714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Pr>
        <w:tc>
          <w:tcPr>
            <w:tcW w:w="781" w:type="dxa"/>
            <w:noWrap w:val="0"/>
            <w:vAlign w:val="center"/>
          </w:tcPr>
          <w:p w14:paraId="51838E0F">
            <w:pPr>
              <w:jc w:val="center"/>
              <w:rPr>
                <w:rFonts w:hint="eastAsia" w:ascii="宋体" w:hAnsi="宋体"/>
                <w:color w:val="000000"/>
                <w:sz w:val="24"/>
                <w:szCs w:val="24"/>
              </w:rPr>
            </w:pPr>
            <w:bookmarkStart w:id="202" w:name="_Hlt26782999"/>
            <w:bookmarkEnd w:id="202"/>
            <w:bookmarkStart w:id="203" w:name="_Hlt26955064"/>
            <w:bookmarkEnd w:id="203"/>
            <w:bookmarkStart w:id="204" w:name="_Hlt26955056"/>
            <w:bookmarkEnd w:id="204"/>
            <w:bookmarkStart w:id="205" w:name="_Hlt26671372"/>
            <w:bookmarkEnd w:id="205"/>
            <w:bookmarkStart w:id="206" w:name="_Hlt26580838"/>
            <w:bookmarkEnd w:id="206"/>
            <w:bookmarkStart w:id="207" w:name="_Hlt24879081"/>
            <w:bookmarkEnd w:id="207"/>
            <w:bookmarkStart w:id="208" w:name="_Hlt26609391"/>
            <w:bookmarkEnd w:id="208"/>
            <w:bookmarkStart w:id="209" w:name="_Hlt26671343"/>
            <w:bookmarkEnd w:id="209"/>
            <w:r>
              <w:rPr>
                <w:rFonts w:hint="eastAsia" w:ascii="宋体" w:hAnsi="宋体"/>
                <w:color w:val="000000"/>
                <w:sz w:val="24"/>
                <w:szCs w:val="24"/>
              </w:rPr>
              <w:t>序号</w:t>
            </w:r>
          </w:p>
        </w:tc>
        <w:tc>
          <w:tcPr>
            <w:tcW w:w="2850" w:type="dxa"/>
            <w:noWrap w:val="0"/>
            <w:vAlign w:val="center"/>
          </w:tcPr>
          <w:p w14:paraId="21478E82">
            <w:pPr>
              <w:jc w:val="center"/>
              <w:rPr>
                <w:rFonts w:hint="eastAsia" w:ascii="宋体" w:hAnsi="宋体"/>
                <w:color w:val="000000"/>
                <w:sz w:val="24"/>
                <w:szCs w:val="24"/>
              </w:rPr>
            </w:pPr>
            <w:r>
              <w:rPr>
                <w:rFonts w:hint="eastAsia" w:ascii="宋体" w:hAnsi="宋体"/>
                <w:color w:val="000000"/>
                <w:sz w:val="24"/>
                <w:szCs w:val="24"/>
              </w:rPr>
              <w:t>招标文件要求</w:t>
            </w:r>
          </w:p>
        </w:tc>
        <w:tc>
          <w:tcPr>
            <w:tcW w:w="2580" w:type="dxa"/>
            <w:noWrap w:val="0"/>
            <w:vAlign w:val="center"/>
          </w:tcPr>
          <w:p w14:paraId="75F3D979">
            <w:pPr>
              <w:jc w:val="center"/>
              <w:rPr>
                <w:rFonts w:hint="eastAsia" w:ascii="宋体" w:hAnsi="宋体"/>
                <w:color w:val="000000"/>
                <w:sz w:val="24"/>
                <w:szCs w:val="24"/>
              </w:rPr>
            </w:pPr>
            <w:r>
              <w:rPr>
                <w:rFonts w:hint="eastAsia" w:ascii="宋体" w:hAnsi="宋体"/>
                <w:color w:val="000000"/>
                <w:sz w:val="24"/>
                <w:szCs w:val="24"/>
              </w:rPr>
              <w:t>投标响应情况</w:t>
            </w:r>
          </w:p>
        </w:tc>
        <w:tc>
          <w:tcPr>
            <w:tcW w:w="1620" w:type="dxa"/>
            <w:noWrap w:val="0"/>
            <w:vAlign w:val="center"/>
          </w:tcPr>
          <w:p w14:paraId="2EEBD3EF">
            <w:pPr>
              <w:jc w:val="center"/>
              <w:rPr>
                <w:rFonts w:hint="eastAsia" w:ascii="宋体" w:hAnsi="宋体"/>
                <w:color w:val="000000"/>
                <w:sz w:val="24"/>
                <w:szCs w:val="24"/>
              </w:rPr>
            </w:pPr>
            <w:r>
              <w:rPr>
                <w:rFonts w:hint="eastAsia" w:ascii="宋体" w:hAnsi="宋体"/>
                <w:color w:val="000000"/>
                <w:sz w:val="24"/>
                <w:szCs w:val="24"/>
              </w:rPr>
              <w:t>超出或偏离</w:t>
            </w:r>
          </w:p>
        </w:tc>
        <w:tc>
          <w:tcPr>
            <w:tcW w:w="1338" w:type="dxa"/>
            <w:noWrap w:val="0"/>
            <w:vAlign w:val="center"/>
          </w:tcPr>
          <w:p w14:paraId="2DC4CCE1">
            <w:pPr>
              <w:jc w:val="both"/>
              <w:rPr>
                <w:rFonts w:hint="eastAsia" w:ascii="宋体" w:hAnsi="宋体"/>
                <w:color w:val="000000"/>
                <w:sz w:val="24"/>
                <w:szCs w:val="24"/>
              </w:rPr>
            </w:pPr>
            <w:r>
              <w:rPr>
                <w:rFonts w:hint="eastAsia" w:ascii="宋体" w:hAnsi="宋体"/>
                <w:color w:val="000000"/>
                <w:sz w:val="24"/>
                <w:szCs w:val="24"/>
              </w:rPr>
              <w:t>证明材料</w:t>
            </w:r>
          </w:p>
        </w:tc>
      </w:tr>
      <w:tr w14:paraId="2EF8420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781" w:type="dxa"/>
            <w:noWrap w:val="0"/>
            <w:vAlign w:val="top"/>
          </w:tcPr>
          <w:p w14:paraId="62E831DB">
            <w:pPr>
              <w:jc w:val="center"/>
              <w:rPr>
                <w:rFonts w:hint="eastAsia" w:ascii="宋体" w:hAnsi="宋体"/>
                <w:color w:val="000000"/>
                <w:sz w:val="24"/>
                <w:szCs w:val="24"/>
              </w:rPr>
            </w:pPr>
          </w:p>
        </w:tc>
        <w:tc>
          <w:tcPr>
            <w:tcW w:w="2850" w:type="dxa"/>
            <w:noWrap w:val="0"/>
            <w:vAlign w:val="top"/>
          </w:tcPr>
          <w:p w14:paraId="5C3BD346">
            <w:pPr>
              <w:jc w:val="center"/>
              <w:rPr>
                <w:rFonts w:hint="eastAsia" w:ascii="宋体" w:hAnsi="宋体"/>
                <w:color w:val="000000"/>
                <w:sz w:val="24"/>
                <w:szCs w:val="24"/>
              </w:rPr>
            </w:pPr>
          </w:p>
        </w:tc>
        <w:tc>
          <w:tcPr>
            <w:tcW w:w="2580" w:type="dxa"/>
            <w:noWrap w:val="0"/>
            <w:vAlign w:val="top"/>
          </w:tcPr>
          <w:p w14:paraId="4300CF86">
            <w:pPr>
              <w:jc w:val="center"/>
              <w:rPr>
                <w:rFonts w:hint="eastAsia" w:ascii="宋体" w:hAnsi="宋体"/>
                <w:color w:val="000000"/>
                <w:sz w:val="24"/>
                <w:szCs w:val="24"/>
              </w:rPr>
            </w:pPr>
          </w:p>
        </w:tc>
        <w:tc>
          <w:tcPr>
            <w:tcW w:w="1620" w:type="dxa"/>
            <w:noWrap w:val="0"/>
            <w:vAlign w:val="top"/>
          </w:tcPr>
          <w:p w14:paraId="253BD377">
            <w:pPr>
              <w:jc w:val="center"/>
              <w:rPr>
                <w:rFonts w:hint="eastAsia" w:ascii="宋体" w:hAnsi="宋体"/>
                <w:color w:val="000000"/>
                <w:sz w:val="24"/>
                <w:szCs w:val="24"/>
              </w:rPr>
            </w:pPr>
          </w:p>
        </w:tc>
        <w:tc>
          <w:tcPr>
            <w:tcW w:w="1338" w:type="dxa"/>
            <w:noWrap w:val="0"/>
            <w:vAlign w:val="top"/>
          </w:tcPr>
          <w:p w14:paraId="2A31971B">
            <w:pPr>
              <w:jc w:val="center"/>
              <w:rPr>
                <w:rFonts w:hint="eastAsia" w:ascii="宋体" w:hAnsi="宋体"/>
                <w:color w:val="000000"/>
                <w:sz w:val="24"/>
                <w:szCs w:val="24"/>
              </w:rPr>
            </w:pPr>
          </w:p>
        </w:tc>
      </w:tr>
      <w:tr w14:paraId="5784FD4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781" w:type="dxa"/>
            <w:noWrap w:val="0"/>
            <w:vAlign w:val="top"/>
          </w:tcPr>
          <w:p w14:paraId="3806E847">
            <w:pPr>
              <w:jc w:val="center"/>
              <w:rPr>
                <w:rFonts w:hint="eastAsia" w:ascii="宋体" w:hAnsi="宋体"/>
                <w:color w:val="000000"/>
                <w:sz w:val="24"/>
                <w:szCs w:val="24"/>
              </w:rPr>
            </w:pPr>
          </w:p>
        </w:tc>
        <w:tc>
          <w:tcPr>
            <w:tcW w:w="2850" w:type="dxa"/>
            <w:noWrap w:val="0"/>
            <w:vAlign w:val="top"/>
          </w:tcPr>
          <w:p w14:paraId="134CE9A0">
            <w:pPr>
              <w:jc w:val="center"/>
              <w:rPr>
                <w:rFonts w:hint="eastAsia" w:ascii="宋体" w:hAnsi="宋体"/>
                <w:color w:val="000000"/>
                <w:sz w:val="24"/>
                <w:szCs w:val="24"/>
              </w:rPr>
            </w:pPr>
          </w:p>
        </w:tc>
        <w:tc>
          <w:tcPr>
            <w:tcW w:w="2580" w:type="dxa"/>
            <w:noWrap w:val="0"/>
            <w:vAlign w:val="top"/>
          </w:tcPr>
          <w:p w14:paraId="4811BEF0">
            <w:pPr>
              <w:jc w:val="center"/>
              <w:rPr>
                <w:rFonts w:hint="eastAsia" w:ascii="宋体" w:hAnsi="宋体"/>
                <w:color w:val="000000"/>
                <w:sz w:val="24"/>
                <w:szCs w:val="24"/>
              </w:rPr>
            </w:pPr>
          </w:p>
        </w:tc>
        <w:tc>
          <w:tcPr>
            <w:tcW w:w="1620" w:type="dxa"/>
            <w:noWrap w:val="0"/>
            <w:vAlign w:val="top"/>
          </w:tcPr>
          <w:p w14:paraId="422D0173">
            <w:pPr>
              <w:jc w:val="center"/>
              <w:rPr>
                <w:rFonts w:hint="eastAsia" w:ascii="宋体" w:hAnsi="宋体"/>
                <w:color w:val="000000"/>
                <w:sz w:val="24"/>
                <w:szCs w:val="24"/>
              </w:rPr>
            </w:pPr>
          </w:p>
        </w:tc>
        <w:tc>
          <w:tcPr>
            <w:tcW w:w="1338" w:type="dxa"/>
            <w:noWrap w:val="0"/>
            <w:vAlign w:val="top"/>
          </w:tcPr>
          <w:p w14:paraId="35BCC34C">
            <w:pPr>
              <w:jc w:val="center"/>
              <w:rPr>
                <w:rFonts w:hint="eastAsia" w:ascii="宋体" w:hAnsi="宋体"/>
                <w:color w:val="000000"/>
                <w:sz w:val="24"/>
                <w:szCs w:val="24"/>
              </w:rPr>
            </w:pPr>
          </w:p>
        </w:tc>
      </w:tr>
      <w:tr w14:paraId="6C19F50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781" w:type="dxa"/>
            <w:noWrap w:val="0"/>
            <w:vAlign w:val="top"/>
          </w:tcPr>
          <w:p w14:paraId="1C71030A">
            <w:pPr>
              <w:jc w:val="center"/>
              <w:rPr>
                <w:rFonts w:hint="eastAsia" w:ascii="宋体" w:hAnsi="宋体"/>
                <w:color w:val="000000"/>
                <w:sz w:val="24"/>
                <w:szCs w:val="24"/>
              </w:rPr>
            </w:pPr>
          </w:p>
        </w:tc>
        <w:tc>
          <w:tcPr>
            <w:tcW w:w="2850" w:type="dxa"/>
            <w:noWrap w:val="0"/>
            <w:vAlign w:val="top"/>
          </w:tcPr>
          <w:p w14:paraId="35262BD8">
            <w:pPr>
              <w:jc w:val="center"/>
              <w:rPr>
                <w:rFonts w:hint="eastAsia" w:ascii="宋体" w:hAnsi="宋体"/>
                <w:color w:val="000000"/>
                <w:sz w:val="24"/>
                <w:szCs w:val="24"/>
              </w:rPr>
            </w:pPr>
          </w:p>
        </w:tc>
        <w:tc>
          <w:tcPr>
            <w:tcW w:w="2580" w:type="dxa"/>
            <w:noWrap w:val="0"/>
            <w:vAlign w:val="top"/>
          </w:tcPr>
          <w:p w14:paraId="7712B222">
            <w:pPr>
              <w:jc w:val="center"/>
              <w:rPr>
                <w:rFonts w:hint="eastAsia" w:ascii="宋体" w:hAnsi="宋体"/>
                <w:color w:val="000000"/>
                <w:sz w:val="24"/>
                <w:szCs w:val="24"/>
              </w:rPr>
            </w:pPr>
          </w:p>
        </w:tc>
        <w:tc>
          <w:tcPr>
            <w:tcW w:w="1620" w:type="dxa"/>
            <w:noWrap w:val="0"/>
            <w:vAlign w:val="top"/>
          </w:tcPr>
          <w:p w14:paraId="7DBD1662">
            <w:pPr>
              <w:jc w:val="center"/>
              <w:rPr>
                <w:rFonts w:hint="eastAsia" w:ascii="宋体" w:hAnsi="宋体"/>
                <w:color w:val="000000"/>
                <w:sz w:val="24"/>
                <w:szCs w:val="24"/>
              </w:rPr>
            </w:pPr>
          </w:p>
        </w:tc>
        <w:tc>
          <w:tcPr>
            <w:tcW w:w="1338" w:type="dxa"/>
            <w:noWrap w:val="0"/>
            <w:vAlign w:val="top"/>
          </w:tcPr>
          <w:p w14:paraId="2D36A3BE">
            <w:pPr>
              <w:jc w:val="center"/>
              <w:rPr>
                <w:rFonts w:hint="eastAsia" w:ascii="宋体" w:hAnsi="宋体"/>
                <w:color w:val="000000"/>
                <w:sz w:val="24"/>
                <w:szCs w:val="24"/>
              </w:rPr>
            </w:pPr>
          </w:p>
        </w:tc>
      </w:tr>
      <w:tr w14:paraId="682B32A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781" w:type="dxa"/>
            <w:noWrap w:val="0"/>
            <w:vAlign w:val="top"/>
          </w:tcPr>
          <w:p w14:paraId="228436A7">
            <w:pPr>
              <w:jc w:val="center"/>
              <w:rPr>
                <w:rFonts w:hint="eastAsia" w:ascii="宋体" w:hAnsi="宋体"/>
                <w:color w:val="000000"/>
                <w:sz w:val="24"/>
                <w:szCs w:val="24"/>
              </w:rPr>
            </w:pPr>
          </w:p>
        </w:tc>
        <w:tc>
          <w:tcPr>
            <w:tcW w:w="2850" w:type="dxa"/>
            <w:noWrap w:val="0"/>
            <w:vAlign w:val="top"/>
          </w:tcPr>
          <w:p w14:paraId="12277328">
            <w:pPr>
              <w:jc w:val="center"/>
              <w:rPr>
                <w:rFonts w:hint="eastAsia" w:ascii="宋体" w:hAnsi="宋体"/>
                <w:color w:val="000000"/>
                <w:sz w:val="24"/>
                <w:szCs w:val="24"/>
              </w:rPr>
            </w:pPr>
          </w:p>
        </w:tc>
        <w:tc>
          <w:tcPr>
            <w:tcW w:w="2580" w:type="dxa"/>
            <w:noWrap w:val="0"/>
            <w:vAlign w:val="top"/>
          </w:tcPr>
          <w:p w14:paraId="1F26B641">
            <w:pPr>
              <w:jc w:val="center"/>
              <w:rPr>
                <w:rFonts w:hint="eastAsia" w:ascii="宋体" w:hAnsi="宋体"/>
                <w:color w:val="000000"/>
                <w:sz w:val="24"/>
                <w:szCs w:val="24"/>
              </w:rPr>
            </w:pPr>
          </w:p>
        </w:tc>
        <w:tc>
          <w:tcPr>
            <w:tcW w:w="1620" w:type="dxa"/>
            <w:noWrap w:val="0"/>
            <w:vAlign w:val="top"/>
          </w:tcPr>
          <w:p w14:paraId="241FAD3B">
            <w:pPr>
              <w:jc w:val="center"/>
              <w:rPr>
                <w:rFonts w:hint="eastAsia" w:ascii="宋体" w:hAnsi="宋体"/>
                <w:color w:val="000000"/>
                <w:sz w:val="24"/>
                <w:szCs w:val="24"/>
              </w:rPr>
            </w:pPr>
          </w:p>
        </w:tc>
        <w:tc>
          <w:tcPr>
            <w:tcW w:w="1338" w:type="dxa"/>
            <w:noWrap w:val="0"/>
            <w:vAlign w:val="top"/>
          </w:tcPr>
          <w:p w14:paraId="2236218A">
            <w:pPr>
              <w:jc w:val="center"/>
              <w:rPr>
                <w:rFonts w:hint="eastAsia" w:ascii="宋体" w:hAnsi="宋体"/>
                <w:color w:val="000000"/>
                <w:sz w:val="24"/>
                <w:szCs w:val="24"/>
              </w:rPr>
            </w:pPr>
          </w:p>
        </w:tc>
      </w:tr>
      <w:tr w14:paraId="2A5AF34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781" w:type="dxa"/>
            <w:noWrap w:val="0"/>
            <w:vAlign w:val="top"/>
          </w:tcPr>
          <w:p w14:paraId="53DEB550">
            <w:pPr>
              <w:jc w:val="center"/>
              <w:rPr>
                <w:rFonts w:hint="eastAsia" w:ascii="宋体" w:hAnsi="宋体"/>
                <w:color w:val="000000"/>
                <w:sz w:val="24"/>
                <w:szCs w:val="24"/>
              </w:rPr>
            </w:pPr>
          </w:p>
        </w:tc>
        <w:tc>
          <w:tcPr>
            <w:tcW w:w="2850" w:type="dxa"/>
            <w:noWrap w:val="0"/>
            <w:vAlign w:val="top"/>
          </w:tcPr>
          <w:p w14:paraId="2819E5A1">
            <w:pPr>
              <w:jc w:val="center"/>
              <w:rPr>
                <w:rFonts w:hint="eastAsia" w:ascii="宋体" w:hAnsi="宋体"/>
                <w:color w:val="000000"/>
                <w:sz w:val="24"/>
                <w:szCs w:val="24"/>
              </w:rPr>
            </w:pPr>
          </w:p>
        </w:tc>
        <w:tc>
          <w:tcPr>
            <w:tcW w:w="2580" w:type="dxa"/>
            <w:noWrap w:val="0"/>
            <w:vAlign w:val="top"/>
          </w:tcPr>
          <w:p w14:paraId="19EE97F2">
            <w:pPr>
              <w:jc w:val="center"/>
              <w:rPr>
                <w:rFonts w:hint="eastAsia" w:ascii="宋体" w:hAnsi="宋体"/>
                <w:color w:val="000000"/>
                <w:sz w:val="24"/>
                <w:szCs w:val="24"/>
              </w:rPr>
            </w:pPr>
          </w:p>
        </w:tc>
        <w:tc>
          <w:tcPr>
            <w:tcW w:w="1620" w:type="dxa"/>
            <w:noWrap w:val="0"/>
            <w:vAlign w:val="top"/>
          </w:tcPr>
          <w:p w14:paraId="00F2CEA6">
            <w:pPr>
              <w:jc w:val="center"/>
              <w:rPr>
                <w:rFonts w:hint="eastAsia" w:ascii="宋体" w:hAnsi="宋体"/>
                <w:color w:val="000000"/>
                <w:sz w:val="24"/>
                <w:szCs w:val="24"/>
              </w:rPr>
            </w:pPr>
          </w:p>
        </w:tc>
        <w:tc>
          <w:tcPr>
            <w:tcW w:w="1338" w:type="dxa"/>
            <w:noWrap w:val="0"/>
            <w:vAlign w:val="top"/>
          </w:tcPr>
          <w:p w14:paraId="6A1DAE56">
            <w:pPr>
              <w:jc w:val="center"/>
              <w:rPr>
                <w:rFonts w:hint="eastAsia" w:ascii="宋体" w:hAnsi="宋体"/>
                <w:color w:val="000000"/>
                <w:sz w:val="24"/>
                <w:szCs w:val="24"/>
              </w:rPr>
            </w:pPr>
          </w:p>
        </w:tc>
      </w:tr>
      <w:tr w14:paraId="31271D8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781" w:type="dxa"/>
            <w:noWrap w:val="0"/>
            <w:vAlign w:val="top"/>
          </w:tcPr>
          <w:p w14:paraId="4D7CB21E">
            <w:pPr>
              <w:jc w:val="center"/>
              <w:rPr>
                <w:rFonts w:hint="eastAsia" w:ascii="宋体" w:hAnsi="宋体"/>
                <w:color w:val="000000"/>
                <w:sz w:val="24"/>
                <w:szCs w:val="24"/>
              </w:rPr>
            </w:pPr>
          </w:p>
        </w:tc>
        <w:tc>
          <w:tcPr>
            <w:tcW w:w="2850" w:type="dxa"/>
            <w:noWrap w:val="0"/>
            <w:vAlign w:val="top"/>
          </w:tcPr>
          <w:p w14:paraId="10517B37">
            <w:pPr>
              <w:jc w:val="center"/>
              <w:rPr>
                <w:rFonts w:hint="eastAsia" w:ascii="宋体" w:hAnsi="宋体"/>
                <w:color w:val="000000"/>
                <w:sz w:val="24"/>
                <w:szCs w:val="24"/>
              </w:rPr>
            </w:pPr>
          </w:p>
        </w:tc>
        <w:tc>
          <w:tcPr>
            <w:tcW w:w="2580" w:type="dxa"/>
            <w:noWrap w:val="0"/>
            <w:vAlign w:val="top"/>
          </w:tcPr>
          <w:p w14:paraId="4110E4B1">
            <w:pPr>
              <w:jc w:val="center"/>
              <w:rPr>
                <w:rFonts w:hint="eastAsia" w:ascii="宋体" w:hAnsi="宋体"/>
                <w:color w:val="000000"/>
                <w:sz w:val="24"/>
                <w:szCs w:val="24"/>
              </w:rPr>
            </w:pPr>
          </w:p>
        </w:tc>
        <w:tc>
          <w:tcPr>
            <w:tcW w:w="1620" w:type="dxa"/>
            <w:noWrap w:val="0"/>
            <w:vAlign w:val="top"/>
          </w:tcPr>
          <w:p w14:paraId="3B2C59A1">
            <w:pPr>
              <w:jc w:val="center"/>
              <w:rPr>
                <w:rFonts w:hint="eastAsia" w:ascii="宋体" w:hAnsi="宋体"/>
                <w:color w:val="000000"/>
                <w:sz w:val="24"/>
                <w:szCs w:val="24"/>
              </w:rPr>
            </w:pPr>
          </w:p>
        </w:tc>
        <w:tc>
          <w:tcPr>
            <w:tcW w:w="1338" w:type="dxa"/>
            <w:noWrap w:val="0"/>
            <w:vAlign w:val="top"/>
          </w:tcPr>
          <w:p w14:paraId="07E62533">
            <w:pPr>
              <w:jc w:val="center"/>
              <w:rPr>
                <w:rFonts w:hint="eastAsia" w:ascii="宋体" w:hAnsi="宋体"/>
                <w:color w:val="000000"/>
                <w:sz w:val="24"/>
                <w:szCs w:val="24"/>
              </w:rPr>
            </w:pPr>
          </w:p>
        </w:tc>
      </w:tr>
      <w:tr w14:paraId="77146A0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781" w:type="dxa"/>
            <w:noWrap w:val="0"/>
            <w:vAlign w:val="top"/>
          </w:tcPr>
          <w:p w14:paraId="549FB373">
            <w:pPr>
              <w:jc w:val="center"/>
              <w:rPr>
                <w:rFonts w:hint="eastAsia" w:ascii="宋体" w:hAnsi="宋体"/>
                <w:color w:val="000000"/>
                <w:sz w:val="24"/>
                <w:szCs w:val="24"/>
              </w:rPr>
            </w:pPr>
          </w:p>
        </w:tc>
        <w:tc>
          <w:tcPr>
            <w:tcW w:w="2850" w:type="dxa"/>
            <w:noWrap w:val="0"/>
            <w:vAlign w:val="top"/>
          </w:tcPr>
          <w:p w14:paraId="439D10B8">
            <w:pPr>
              <w:jc w:val="center"/>
              <w:rPr>
                <w:rFonts w:hint="eastAsia" w:ascii="宋体" w:hAnsi="宋体"/>
                <w:color w:val="000000"/>
                <w:sz w:val="24"/>
                <w:szCs w:val="24"/>
              </w:rPr>
            </w:pPr>
          </w:p>
        </w:tc>
        <w:tc>
          <w:tcPr>
            <w:tcW w:w="2580" w:type="dxa"/>
            <w:noWrap w:val="0"/>
            <w:vAlign w:val="top"/>
          </w:tcPr>
          <w:p w14:paraId="42F9A2C9">
            <w:pPr>
              <w:jc w:val="center"/>
              <w:rPr>
                <w:rFonts w:hint="eastAsia" w:ascii="宋体" w:hAnsi="宋体"/>
                <w:color w:val="000000"/>
                <w:sz w:val="24"/>
                <w:szCs w:val="24"/>
              </w:rPr>
            </w:pPr>
          </w:p>
        </w:tc>
        <w:tc>
          <w:tcPr>
            <w:tcW w:w="1620" w:type="dxa"/>
            <w:noWrap w:val="0"/>
            <w:vAlign w:val="top"/>
          </w:tcPr>
          <w:p w14:paraId="6784C4F5">
            <w:pPr>
              <w:jc w:val="center"/>
              <w:rPr>
                <w:rFonts w:hint="eastAsia" w:ascii="宋体" w:hAnsi="宋体"/>
                <w:color w:val="000000"/>
                <w:sz w:val="24"/>
                <w:szCs w:val="24"/>
              </w:rPr>
            </w:pPr>
          </w:p>
        </w:tc>
        <w:tc>
          <w:tcPr>
            <w:tcW w:w="1338" w:type="dxa"/>
            <w:noWrap w:val="0"/>
            <w:vAlign w:val="top"/>
          </w:tcPr>
          <w:p w14:paraId="0A2DB84D">
            <w:pPr>
              <w:jc w:val="center"/>
              <w:rPr>
                <w:rFonts w:hint="eastAsia" w:ascii="宋体" w:hAnsi="宋体"/>
                <w:color w:val="000000"/>
                <w:sz w:val="24"/>
                <w:szCs w:val="24"/>
              </w:rPr>
            </w:pPr>
          </w:p>
        </w:tc>
      </w:tr>
      <w:tr w14:paraId="0FBA227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781" w:type="dxa"/>
            <w:noWrap w:val="0"/>
            <w:vAlign w:val="top"/>
          </w:tcPr>
          <w:p w14:paraId="7753BF5A">
            <w:pPr>
              <w:jc w:val="center"/>
              <w:rPr>
                <w:rFonts w:hint="eastAsia" w:ascii="宋体" w:hAnsi="宋体"/>
                <w:color w:val="000000"/>
                <w:sz w:val="24"/>
                <w:szCs w:val="24"/>
              </w:rPr>
            </w:pPr>
          </w:p>
        </w:tc>
        <w:tc>
          <w:tcPr>
            <w:tcW w:w="2850" w:type="dxa"/>
            <w:noWrap w:val="0"/>
            <w:vAlign w:val="top"/>
          </w:tcPr>
          <w:p w14:paraId="536F462A">
            <w:pPr>
              <w:jc w:val="center"/>
              <w:rPr>
                <w:rFonts w:hint="eastAsia" w:ascii="宋体" w:hAnsi="宋体"/>
                <w:color w:val="000000"/>
                <w:sz w:val="24"/>
                <w:szCs w:val="24"/>
              </w:rPr>
            </w:pPr>
            <w:r>
              <w:rPr>
                <w:rFonts w:ascii="宋体" w:hAnsi="宋体"/>
                <w:color w:val="000000"/>
                <w:sz w:val="24"/>
                <w:szCs w:val="24"/>
              </w:rPr>
              <w:t>……</w:t>
            </w:r>
          </w:p>
        </w:tc>
        <w:tc>
          <w:tcPr>
            <w:tcW w:w="2580" w:type="dxa"/>
            <w:noWrap w:val="0"/>
            <w:vAlign w:val="top"/>
          </w:tcPr>
          <w:p w14:paraId="60359CE5">
            <w:pPr>
              <w:jc w:val="center"/>
              <w:rPr>
                <w:rFonts w:hint="eastAsia" w:ascii="宋体" w:hAnsi="宋体"/>
                <w:color w:val="000000"/>
                <w:sz w:val="24"/>
                <w:szCs w:val="24"/>
              </w:rPr>
            </w:pPr>
          </w:p>
        </w:tc>
        <w:tc>
          <w:tcPr>
            <w:tcW w:w="1620" w:type="dxa"/>
            <w:noWrap w:val="0"/>
            <w:vAlign w:val="top"/>
          </w:tcPr>
          <w:p w14:paraId="01F296B5">
            <w:pPr>
              <w:jc w:val="center"/>
              <w:rPr>
                <w:rFonts w:hint="eastAsia" w:ascii="宋体" w:hAnsi="宋体"/>
                <w:color w:val="000000"/>
                <w:sz w:val="24"/>
                <w:szCs w:val="24"/>
              </w:rPr>
            </w:pPr>
          </w:p>
        </w:tc>
        <w:tc>
          <w:tcPr>
            <w:tcW w:w="1338" w:type="dxa"/>
            <w:noWrap w:val="0"/>
            <w:vAlign w:val="top"/>
          </w:tcPr>
          <w:p w14:paraId="202AD502">
            <w:pPr>
              <w:jc w:val="center"/>
              <w:rPr>
                <w:rFonts w:hint="eastAsia" w:ascii="宋体" w:hAnsi="宋体"/>
                <w:color w:val="000000"/>
                <w:sz w:val="24"/>
                <w:szCs w:val="24"/>
              </w:rPr>
            </w:pPr>
          </w:p>
        </w:tc>
      </w:tr>
    </w:tbl>
    <w:p w14:paraId="028B8569">
      <w:pPr>
        <w:rPr>
          <w:rFonts w:hint="eastAsia" w:ascii="宋体" w:hAnsi="宋体"/>
          <w:color w:val="000000"/>
          <w:sz w:val="24"/>
          <w:szCs w:val="24"/>
        </w:rPr>
      </w:pPr>
      <w:r>
        <w:rPr>
          <w:rFonts w:hint="eastAsia" w:ascii="宋体" w:hAnsi="宋体"/>
          <w:color w:val="000000"/>
          <w:sz w:val="24"/>
          <w:szCs w:val="24"/>
        </w:rPr>
        <w:t>注： 行数不够，可自行添加。</w:t>
      </w:r>
    </w:p>
    <w:p w14:paraId="6657F2E2">
      <w:pPr>
        <w:spacing w:line="480" w:lineRule="auto"/>
        <w:rPr>
          <w:rFonts w:hint="eastAsia" w:ascii="宋体" w:hAnsi="宋体"/>
          <w:color w:val="000000"/>
          <w:sz w:val="24"/>
          <w:szCs w:val="21"/>
        </w:rPr>
      </w:pPr>
    </w:p>
    <w:p w14:paraId="20169314">
      <w:pPr>
        <w:spacing w:line="480" w:lineRule="auto"/>
        <w:rPr>
          <w:rFonts w:hint="eastAsia" w:ascii="仿宋_GB2312" w:hAnsi="Arial"/>
          <w:color w:val="000000"/>
          <w:sz w:val="30"/>
          <w:szCs w:val="21"/>
        </w:rPr>
      </w:pPr>
    </w:p>
    <w:p w14:paraId="36AB59D4">
      <w:pPr>
        <w:rPr>
          <w:rFonts w:hint="eastAsia" w:ascii="宋体" w:hAnsi="宋体"/>
          <w:sz w:val="28"/>
          <w:szCs w:val="28"/>
        </w:rPr>
      </w:pPr>
      <w:bookmarkStart w:id="210" w:name="_Hlt26955066"/>
      <w:bookmarkEnd w:id="210"/>
      <w:bookmarkStart w:id="211" w:name="_Hlt26609389"/>
      <w:bookmarkEnd w:id="211"/>
      <w:bookmarkStart w:id="212" w:name="_Hlt26671374"/>
      <w:bookmarkEnd w:id="212"/>
      <w:bookmarkStart w:id="213" w:name="_Toc462564146"/>
      <w:r>
        <w:rPr>
          <w:rFonts w:hint="eastAsia" w:ascii="宋体" w:hAnsi="宋体"/>
          <w:sz w:val="28"/>
          <w:szCs w:val="28"/>
        </w:rPr>
        <w:t>我方承诺，除上表中的偏离外，完全响应招标文件的其他条款。</w:t>
      </w:r>
    </w:p>
    <w:p w14:paraId="341F3F11">
      <w:pPr>
        <w:rPr>
          <w:rFonts w:hint="eastAsia" w:ascii="宋体" w:hAnsi="宋体"/>
          <w:sz w:val="28"/>
          <w:szCs w:val="28"/>
        </w:rPr>
      </w:pPr>
    </w:p>
    <w:p w14:paraId="2FBC963F">
      <w:pPr>
        <w:rPr>
          <w:rFonts w:hint="eastAsia" w:ascii="黑体" w:hAnsi="Arial" w:eastAsia="黑体"/>
          <w:sz w:val="32"/>
        </w:rPr>
      </w:pPr>
    </w:p>
    <w:p w14:paraId="05D7C7D6">
      <w:pPr>
        <w:tabs>
          <w:tab w:val="left" w:pos="4860"/>
        </w:tabs>
        <w:spacing w:line="588" w:lineRule="exact"/>
        <w:ind w:right="1560" w:firstLine="624"/>
        <w:jc w:val="center"/>
        <w:rPr>
          <w:rFonts w:hint="eastAsia" w:ascii="宋体" w:hAnsi="宋体"/>
          <w:sz w:val="24"/>
          <w:szCs w:val="24"/>
        </w:rPr>
      </w:pPr>
      <w:r>
        <w:rPr>
          <w:rFonts w:hint="eastAsia" w:ascii="仿宋_GB2312" w:eastAsia="仿宋_GB2312"/>
          <w:spacing w:val="6"/>
          <w:sz w:val="30"/>
          <w:szCs w:val="30"/>
        </w:rPr>
        <w:t xml:space="preserve"> </w:t>
      </w:r>
      <w:r>
        <w:rPr>
          <w:rFonts w:hint="eastAsia" w:ascii="仿宋_GB2312" w:eastAsia="仿宋_GB2312"/>
          <w:spacing w:val="6"/>
          <w:sz w:val="30"/>
          <w:szCs w:val="30"/>
          <w:lang w:val="en-US" w:eastAsia="zh-CN"/>
        </w:rPr>
        <w:t xml:space="preserve">         </w:t>
      </w:r>
      <w:r>
        <w:rPr>
          <w:rFonts w:hint="eastAsia" w:ascii="仿宋_GB2312" w:eastAsia="仿宋_GB2312"/>
          <w:spacing w:val="6"/>
          <w:sz w:val="30"/>
          <w:szCs w:val="30"/>
        </w:rPr>
        <w:t xml:space="preserve">  </w:t>
      </w:r>
      <w:r>
        <w:rPr>
          <w:rFonts w:hint="eastAsia" w:ascii="宋体" w:hAnsi="宋体"/>
          <w:sz w:val="24"/>
          <w:szCs w:val="24"/>
        </w:rPr>
        <w:t>单位名称（加盖CA电子公章）：</w:t>
      </w:r>
    </w:p>
    <w:p w14:paraId="6316012B">
      <w:pPr>
        <w:tabs>
          <w:tab w:val="left" w:pos="4860"/>
        </w:tabs>
        <w:spacing w:line="588" w:lineRule="exact"/>
        <w:ind w:right="1560" w:firstLine="624"/>
        <w:jc w:val="center"/>
        <w:rPr>
          <w:rFonts w:ascii="仿宋_GB2312" w:eastAsia="仿宋_GB2312"/>
          <w:spacing w:val="6"/>
          <w:sz w:val="30"/>
          <w:szCs w:val="30"/>
        </w:rPr>
      </w:pPr>
    </w:p>
    <w:p w14:paraId="6F45F036">
      <w:pPr>
        <w:spacing w:line="480" w:lineRule="exact"/>
        <w:ind w:firstLine="560"/>
        <w:jc w:val="center"/>
        <w:rPr>
          <w:rFonts w:hint="eastAsia" w:ascii="黑体" w:hAnsi="宋体" w:eastAsia="黑体"/>
          <w:bCs/>
          <w:sz w:val="32"/>
          <w:szCs w:val="32"/>
        </w:rPr>
      </w:pPr>
      <w:r>
        <w:rPr>
          <w:rFonts w:hint="eastAsia" w:ascii="仿宋_GB2312"/>
          <w:sz w:val="28"/>
          <w:szCs w:val="28"/>
          <w:u w:val="none"/>
          <w:lang w:val="en-US" w:eastAsia="zh-CN"/>
        </w:rPr>
        <w:t xml:space="preserve">                </w:t>
      </w:r>
      <w:r>
        <w:rPr>
          <w:rFonts w:hint="eastAsia" w:ascii="仿宋_GB2312"/>
          <w:sz w:val="28"/>
          <w:szCs w:val="28"/>
          <w:u w:val="single"/>
          <w:lang w:val="en-US" w:eastAsia="zh-CN"/>
        </w:rPr>
        <w:t xml:space="preserve">  </w:t>
      </w:r>
      <w:r>
        <w:rPr>
          <w:rFonts w:hint="eastAsia" w:ascii="仿宋_GB2312"/>
          <w:sz w:val="28"/>
          <w:szCs w:val="28"/>
          <w:u w:val="single"/>
        </w:rPr>
        <w:t xml:space="preserve">      </w:t>
      </w:r>
      <w:r>
        <w:rPr>
          <w:rFonts w:hint="eastAsia" w:ascii="仿宋_GB2312"/>
          <w:sz w:val="28"/>
          <w:szCs w:val="28"/>
        </w:rPr>
        <w:t>年</w:t>
      </w:r>
      <w:r>
        <w:rPr>
          <w:rFonts w:hint="eastAsia" w:ascii="仿宋_GB2312"/>
          <w:sz w:val="28"/>
          <w:szCs w:val="28"/>
          <w:u w:val="single"/>
        </w:rPr>
        <w:t xml:space="preserve">      </w:t>
      </w:r>
      <w:r>
        <w:rPr>
          <w:rFonts w:hint="eastAsia" w:ascii="仿宋_GB2312"/>
          <w:sz w:val="28"/>
          <w:szCs w:val="28"/>
        </w:rPr>
        <w:t xml:space="preserve"> 月 </w:t>
      </w:r>
      <w:r>
        <w:rPr>
          <w:rFonts w:hint="eastAsia" w:ascii="仿宋_GB2312"/>
          <w:sz w:val="28"/>
          <w:szCs w:val="28"/>
          <w:u w:val="single"/>
        </w:rPr>
        <w:t xml:space="preserve">     </w:t>
      </w:r>
      <w:r>
        <w:rPr>
          <w:rFonts w:hint="eastAsia" w:ascii="仿宋_GB2312"/>
          <w:sz w:val="28"/>
          <w:szCs w:val="28"/>
        </w:rPr>
        <w:t xml:space="preserve"> 日</w:t>
      </w:r>
    </w:p>
    <w:p w14:paraId="47C1ACF8">
      <w:pPr>
        <w:rPr>
          <w:rFonts w:hint="eastAsia" w:ascii="宋体" w:hAnsi="宋体"/>
          <w:color w:val="000000"/>
          <w:sz w:val="24"/>
          <w:szCs w:val="21"/>
        </w:rPr>
      </w:pPr>
    </w:p>
    <w:bookmarkEnd w:id="185"/>
    <w:bookmarkEnd w:id="186"/>
    <w:bookmarkEnd w:id="213"/>
    <w:p w14:paraId="75160F03">
      <w:pPr>
        <w:jc w:val="center"/>
        <w:rPr>
          <w:rFonts w:hint="eastAsia" w:ascii="黑体" w:hAnsi="黑体" w:eastAsia="黑体"/>
          <w:b/>
          <w:color w:val="000000"/>
          <w:sz w:val="32"/>
          <w:szCs w:val="32"/>
        </w:rPr>
      </w:pPr>
      <w:bookmarkStart w:id="214" w:name="_格式2__法定代表人授权书"/>
      <w:bookmarkEnd w:id="214"/>
    </w:p>
    <w:p w14:paraId="7CC00CC5">
      <w:pPr>
        <w:jc w:val="center"/>
        <w:rPr>
          <w:rFonts w:hint="eastAsia" w:ascii="黑体" w:hAnsi="黑体" w:eastAsia="黑体"/>
          <w:b/>
          <w:color w:val="000000"/>
          <w:sz w:val="32"/>
          <w:szCs w:val="32"/>
        </w:rPr>
      </w:pPr>
    </w:p>
    <w:p w14:paraId="4E92FCE3">
      <w:pPr>
        <w:pStyle w:val="254"/>
        <w:rPr>
          <w:rFonts w:hint="eastAsia"/>
        </w:rPr>
      </w:pPr>
    </w:p>
    <w:p w14:paraId="3A3E502B">
      <w:pPr>
        <w:pStyle w:val="254"/>
        <w:rPr>
          <w:rFonts w:hint="eastAsia" w:ascii="宋体" w:hAnsi="宋体" w:cs="仿宋"/>
          <w:b/>
          <w:bCs/>
          <w:color w:val="000000"/>
          <w:sz w:val="32"/>
          <w:szCs w:val="32"/>
        </w:rPr>
      </w:pPr>
    </w:p>
    <w:p w14:paraId="1E6B4BB5">
      <w:pPr>
        <w:ind w:firstLine="2570"/>
        <w:rPr>
          <w:rFonts w:hint="eastAsia" w:ascii="黑体" w:hAnsi="黑体" w:eastAsia="黑体"/>
          <w:b/>
          <w:i/>
          <w:sz w:val="32"/>
          <w:szCs w:val="32"/>
          <w:u w:val="single"/>
        </w:rPr>
      </w:pPr>
    </w:p>
    <w:p w14:paraId="49B6FA5C">
      <w:pPr>
        <w:ind w:firstLine="2570"/>
        <w:rPr>
          <w:rFonts w:hint="eastAsia" w:ascii="黑体" w:hAnsi="黑体" w:eastAsia="黑体"/>
          <w:b/>
          <w:i/>
          <w:sz w:val="32"/>
          <w:szCs w:val="32"/>
          <w:u w:val="single"/>
        </w:rPr>
      </w:pPr>
    </w:p>
    <w:p w14:paraId="3FD7968A">
      <w:pPr>
        <w:ind w:firstLine="2570"/>
        <w:rPr>
          <w:rFonts w:hint="eastAsia" w:ascii="黑体" w:hAnsi="黑体" w:eastAsia="黑体"/>
          <w:b/>
          <w:i/>
          <w:sz w:val="32"/>
          <w:szCs w:val="32"/>
          <w:u w:val="single"/>
        </w:rPr>
      </w:pPr>
    </w:p>
    <w:p w14:paraId="04430F04">
      <w:pPr>
        <w:ind w:firstLine="2570"/>
        <w:rPr>
          <w:rFonts w:hint="eastAsia" w:eastAsia="仿宋_GB2312"/>
          <w:sz w:val="24"/>
          <w:szCs w:val="20"/>
        </w:rPr>
      </w:pPr>
      <w:r>
        <w:rPr>
          <w:rFonts w:hint="eastAsia" w:ascii="黑体" w:hAnsi="黑体" w:eastAsia="黑体"/>
          <w:b/>
          <w:i/>
          <w:sz w:val="32"/>
          <w:szCs w:val="32"/>
          <w:u w:val="single"/>
        </w:rPr>
        <w:t>十</w:t>
      </w:r>
      <w:r>
        <w:rPr>
          <w:rFonts w:hint="eastAsia" w:ascii="黑体" w:hAnsi="黑体" w:eastAsia="黑体"/>
          <w:b/>
          <w:i/>
          <w:sz w:val="32"/>
          <w:szCs w:val="32"/>
          <w:u w:val="single"/>
          <w:lang w:eastAsia="zh-CN"/>
        </w:rPr>
        <w:t>三</w:t>
      </w:r>
      <w:r>
        <w:rPr>
          <w:rFonts w:hint="eastAsia" w:ascii="黑体" w:hAnsi="黑体" w:eastAsia="黑体"/>
          <w:b/>
          <w:i/>
          <w:sz w:val="32"/>
          <w:szCs w:val="32"/>
          <w:u w:val="single"/>
        </w:rPr>
        <w:t>、开标一览表</w:t>
      </w:r>
    </w:p>
    <w:p w14:paraId="500FCC5E">
      <w:pPr>
        <w:pStyle w:val="248"/>
        <w:keepNext w:val="0"/>
        <w:keepLines w:val="0"/>
        <w:widowControl/>
        <w:suppressLineNumbers w:val="0"/>
      </w:pPr>
      <w:r>
        <w:t>投标人全称（CA公章）： 供应商名称 </w:t>
      </w:r>
    </w:p>
    <w:p w14:paraId="5C59C62C">
      <w:pPr>
        <w:pStyle w:val="248"/>
        <w:keepNext w:val="0"/>
        <w:keepLines w:val="0"/>
        <w:widowControl/>
        <w:suppressLineNumbers w:val="0"/>
        <w:rPr>
          <w:rFonts w:hint="eastAsia" w:ascii="宋体" w:hAnsi="宋体" w:eastAsia="宋体" w:cs="Times New Roman"/>
          <w:color w:val="000000"/>
          <w:sz w:val="24"/>
          <w:szCs w:val="24"/>
          <w:lang w:eastAsia="zh-CN"/>
        </w:rPr>
      </w:pPr>
      <w:r>
        <w:t>项目名称：</w:t>
      </w:r>
      <w:r>
        <w:rPr>
          <w:rFonts w:hint="eastAsia" w:cs="Times New Roman"/>
          <w:color w:val="000000"/>
          <w:sz w:val="24"/>
          <w:szCs w:val="24"/>
          <w:lang w:eastAsia="zh-CN"/>
        </w:rPr>
        <w:t>阜宁县人民医院救护车采购项目</w:t>
      </w:r>
    </w:p>
    <w:p w14:paraId="51FA3C9D">
      <w:pPr>
        <w:pStyle w:val="248"/>
        <w:keepNext w:val="0"/>
        <w:keepLines w:val="0"/>
        <w:widowControl/>
        <w:suppressLineNumbers w:val="0"/>
      </w:pPr>
      <w:r>
        <w:t>项目编号：</w:t>
      </w:r>
      <w:r>
        <w:rPr>
          <w:rFonts w:hint="eastAsia" w:cs="Times New Roman"/>
          <w:color w:val="000000"/>
          <w:sz w:val="24"/>
          <w:szCs w:val="24"/>
          <w:u w:val="none"/>
          <w:lang w:eastAsia="zh-CN"/>
        </w:rPr>
        <w:t>JSZC-320923-SWGC-G2026-0106</w:t>
      </w:r>
      <w:r>
        <w:rPr>
          <w:rFonts w:hint="eastAsia" w:ascii="宋体" w:hAnsi="宋体" w:eastAsia="宋体" w:cs="Times New Roman"/>
          <w:color w:val="000000"/>
          <w:sz w:val="24"/>
          <w:szCs w:val="24"/>
          <w:u w:val="none"/>
          <w:lang w:eastAsia="zh-CN"/>
        </w:rPr>
        <w:t xml:space="preserve"> </w:t>
      </w:r>
      <w:r>
        <w:t> </w:t>
      </w:r>
    </w:p>
    <w:p w14:paraId="543CF1C2">
      <w:pPr>
        <w:pStyle w:val="248"/>
        <w:keepNext w:val="0"/>
        <w:keepLines w:val="0"/>
        <w:widowControl/>
        <w:suppressLineNumbers w:val="0"/>
      </w:pPr>
      <w:r>
        <w:t xml:space="preserve">分包号： </w:t>
      </w:r>
      <w:r>
        <w:rPr>
          <w:rFonts w:hint="eastAsia"/>
          <w:lang w:val="en-US" w:eastAsia="zh-CN"/>
        </w:rPr>
        <w:t>/</w:t>
      </w:r>
      <w:r>
        <w:t> </w:t>
      </w:r>
    </w:p>
    <w:tbl>
      <w:tblPr>
        <w:tblStyle w:val="31"/>
        <w:tblW w:w="4919" w:type="pct"/>
        <w:tblCellSpacing w:w="15" w:type="dxa"/>
        <w:tblInd w:w="-6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autofit"/>
        <w:tblCellMar>
          <w:top w:w="15" w:type="dxa"/>
          <w:left w:w="15" w:type="dxa"/>
          <w:bottom w:w="15" w:type="dxa"/>
          <w:right w:w="15" w:type="dxa"/>
        </w:tblCellMar>
      </w:tblPr>
      <w:tblGrid>
        <w:gridCol w:w="3003"/>
        <w:gridCol w:w="6262"/>
      </w:tblGrid>
      <w:tr w14:paraId="3139074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15" w:type="dxa"/>
            <w:left w:w="15" w:type="dxa"/>
            <w:bottom w:w="15" w:type="dxa"/>
            <w:right w:w="15" w:type="dxa"/>
          </w:tblCellMar>
        </w:tblPrEx>
        <w:trPr>
          <w:trHeight w:val="810" w:hRule="atLeast"/>
          <w:tblCellSpacing w:w="15" w:type="dxa"/>
        </w:trPr>
        <w:tc>
          <w:tcPr>
            <w:tcW w:w="1596" w:type="dxa"/>
            <w:noWrap w:val="0"/>
            <w:vAlign w:val="center"/>
          </w:tcPr>
          <w:p w14:paraId="7FC3113B">
            <w:pPr>
              <w:pStyle w:val="248"/>
              <w:keepNext w:val="0"/>
              <w:keepLines w:val="0"/>
              <w:widowControl/>
              <w:suppressLineNumbers w:val="0"/>
              <w:jc w:val="center"/>
            </w:pPr>
            <w:r>
              <w:t>投标货物名称</w:t>
            </w:r>
          </w:p>
        </w:tc>
        <w:tc>
          <w:tcPr>
            <w:tcW w:w="3355" w:type="dxa"/>
            <w:noWrap w:val="0"/>
            <w:vAlign w:val="center"/>
          </w:tcPr>
          <w:p w14:paraId="40ECE985">
            <w:pPr>
              <w:pStyle w:val="248"/>
              <w:keepNext w:val="0"/>
              <w:keepLines w:val="0"/>
              <w:widowControl/>
              <w:suppressLineNumbers w:val="0"/>
              <w:jc w:val="center"/>
            </w:pPr>
            <w:r>
              <w:t>总价（小写）</w:t>
            </w:r>
          </w:p>
        </w:tc>
      </w:tr>
      <w:tr w14:paraId="6AC2132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15" w:type="dxa"/>
            <w:left w:w="15" w:type="dxa"/>
            <w:bottom w:w="15" w:type="dxa"/>
            <w:right w:w="15" w:type="dxa"/>
          </w:tblCellMar>
        </w:tblPrEx>
        <w:trPr>
          <w:trHeight w:val="825" w:hRule="atLeast"/>
          <w:tblCellSpacing w:w="15" w:type="dxa"/>
        </w:trPr>
        <w:tc>
          <w:tcPr>
            <w:tcW w:w="1596" w:type="dxa"/>
            <w:noWrap w:val="0"/>
            <w:vAlign w:val="center"/>
          </w:tcPr>
          <w:p w14:paraId="718DD814">
            <w:pPr>
              <w:pStyle w:val="248"/>
              <w:keepNext w:val="0"/>
              <w:keepLines w:val="0"/>
              <w:widowControl/>
              <w:suppressLineNumbers w:val="0"/>
            </w:pPr>
            <w:r>
              <w:t> 投标产品名称 </w:t>
            </w:r>
          </w:p>
        </w:tc>
        <w:tc>
          <w:tcPr>
            <w:tcW w:w="3355" w:type="dxa"/>
            <w:noWrap w:val="0"/>
            <w:vAlign w:val="center"/>
          </w:tcPr>
          <w:p w14:paraId="382F5BBB">
            <w:pPr>
              <w:pStyle w:val="248"/>
              <w:keepNext w:val="0"/>
              <w:keepLines w:val="0"/>
              <w:widowControl/>
              <w:suppressLineNumbers w:val="0"/>
            </w:pPr>
            <w:r>
              <w:t xml:space="preserve">  </w:t>
            </w:r>
            <w:r>
              <mc:AlternateContent>
                <mc:Choice Requires="wps">
                  <w:drawing>
                    <wp:anchor distT="0" distB="0" distL="114300" distR="114300" simplePos="0" relativeHeight="251661312" behindDoc="0" locked="0" layoutInCell="1" allowOverlap="1">
                      <wp:simplePos x="0" y="0"/>
                      <wp:positionH relativeFrom="column">
                        <wp:posOffset>0</wp:posOffset>
                      </wp:positionH>
                      <wp:positionV relativeFrom="paragraph">
                        <wp:posOffset>0</wp:posOffset>
                      </wp:positionV>
                      <wp:extent cx="635" cy="0"/>
                      <wp:effectExtent l="4445" t="4445" r="5080" b="5080"/>
                      <wp:wrapNone/>
                      <wp:docPr id="10" name="任意多边形 10"/>
                      <wp:cNvGraphicFramePr/>
                      <a:graphic xmlns:a="http://schemas.openxmlformats.org/drawingml/2006/main">
                        <a:graphicData uri="http://schemas.microsoft.com/office/word/2010/wordprocessingShape">
                          <wps:wsp>
                            <wps:cNvSpPr/>
                            <wps:spPr bwMode="auto">
                              <a:xfrm>
                                <a:off x="0" y="0"/>
                                <a:ext cx="635" cy="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extrusionOk="0">
                                    <a:moveTo>
                                      <a:pt x="gd1" y="gd2"/>
                                    </a:moveTo>
                                    <a:lnTo>
                                      <a:pt x="gd3" y="gd4"/>
                                    </a:lnTo>
                                    <a:lnTo>
                                      <a:pt x="gd5" y="gd6"/>
                                    </a:lnTo>
                                    <a:lnTo>
                                      <a:pt x="gd7" y="gd8"/>
                                    </a:lnTo>
                                    <a:close/>
                                  </a:path>
                                  <a:path w="21600" h="21600" extrusionOk="0"/>
                                </a:pathLst>
                              </a:custGeom>
                              <a:noFill/>
                              <a:ln>
                                <a:solidFill>
                                  <a:srgbClr val="000000"/>
                                </a:solidFill>
                              </a:ln>
                            </wps:spPr>
                            <wps:bodyPr rot="0">
                              <a:noAutofit/>
                            </wps:bodyPr>
                          </wps:wsp>
                        </a:graphicData>
                      </a:graphic>
                    </wp:anchor>
                  </w:drawing>
                </mc:Choice>
                <mc:Fallback>
                  <w:pict>
                    <v:shape id="_x0000_s1026" o:spid="_x0000_s1026" o:spt="100" style="position:absolute;left:0pt;margin-left:0pt;margin-top:0pt;height:0pt;width:0.05pt;z-index:251661312;mso-width-relative:page;mso-height-relative:page;" filled="f" stroked="t" coordsize="21600,21600" o:gfxdata="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" path="m0,0l0,21600,21600,21600,21600,0xe">
                      <v:fill on="f" focussize="0,0"/>
                      <v:stroke color="#000000" joinstyle="round"/>
                      <v:imagedata o:title=""/>
                      <o:lock v:ext="edit" aspectratio="f"/>
                    </v:shape>
                  </w:pict>
                </mc:Fallback>
              </mc:AlternateContent>
            </w:r>
            <w:r>
              <w:t> </w:t>
            </w:r>
            <w:r>
              <w:rPr>
                <w:rFonts w:hint="eastAsia"/>
                <w:lang w:val="en-US" w:eastAsia="zh-CN"/>
              </w:rPr>
              <w:t xml:space="preserve">                 </w:t>
            </w:r>
            <w:r>
              <w:t>元</w:t>
            </w:r>
          </w:p>
        </w:tc>
      </w:tr>
      <w:tr w14:paraId="5D91B05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15" w:type="dxa"/>
            <w:left w:w="15" w:type="dxa"/>
            <w:bottom w:w="15" w:type="dxa"/>
            <w:right w:w="15" w:type="dxa"/>
          </w:tblCellMar>
        </w:tblPrEx>
        <w:trPr>
          <w:trHeight w:val="840" w:hRule="atLeast"/>
          <w:tblCellSpacing w:w="15" w:type="dxa"/>
        </w:trPr>
        <w:tc>
          <w:tcPr>
            <w:tcW w:w="1596" w:type="dxa"/>
            <w:noWrap w:val="0"/>
            <w:vAlign w:val="center"/>
          </w:tcPr>
          <w:p w14:paraId="3A94E7EA">
            <w:pPr>
              <w:pStyle w:val="248"/>
              <w:keepNext w:val="0"/>
              <w:keepLines w:val="0"/>
              <w:widowControl/>
              <w:suppressLineNumbers w:val="0"/>
              <w:jc w:val="center"/>
            </w:pPr>
            <w:r>
              <w:t>核心产品品牌：</w:t>
            </w:r>
          </w:p>
        </w:tc>
        <w:tc>
          <w:tcPr>
            <w:tcW w:w="3355" w:type="dxa"/>
            <w:noWrap w:val="0"/>
            <w:vAlign w:val="center"/>
          </w:tcPr>
          <w:p w14:paraId="77D47BD4">
            <w:pPr>
              <w:pStyle w:val="248"/>
              <w:keepNext w:val="0"/>
              <w:keepLines w:val="0"/>
              <w:widowControl/>
              <w:suppressLineNumbers w:val="0"/>
            </w:pPr>
            <w:r>
              <w:t>   </w:t>
            </w:r>
            <w:r>
              <mc:AlternateContent>
                <mc:Choice Requires="wps">
                  <w:drawing>
                    <wp:anchor distT="0" distB="0" distL="114300" distR="114300" simplePos="0" relativeHeight="251662336" behindDoc="0" locked="0" layoutInCell="1" allowOverlap="1">
                      <wp:simplePos x="0" y="0"/>
                      <wp:positionH relativeFrom="column">
                        <wp:posOffset>0</wp:posOffset>
                      </wp:positionH>
                      <wp:positionV relativeFrom="paragraph">
                        <wp:posOffset>0</wp:posOffset>
                      </wp:positionV>
                      <wp:extent cx="635" cy="0"/>
                      <wp:effectExtent l="4445" t="4445" r="5080" b="5080"/>
                      <wp:wrapNone/>
                      <wp:docPr id="11" name="任意多边形 11"/>
                      <wp:cNvGraphicFramePr/>
                      <a:graphic xmlns:a="http://schemas.openxmlformats.org/drawingml/2006/main">
                        <a:graphicData uri="http://schemas.microsoft.com/office/word/2010/wordprocessingShape">
                          <wps:wsp>
                            <wps:cNvSpPr/>
                            <wps:spPr bwMode="auto">
                              <a:xfrm>
                                <a:off x="0" y="0"/>
                                <a:ext cx="635" cy="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extrusionOk="0">
                                    <a:moveTo>
                                      <a:pt x="gd1" y="gd2"/>
                                    </a:moveTo>
                                    <a:lnTo>
                                      <a:pt x="gd3" y="gd4"/>
                                    </a:lnTo>
                                    <a:lnTo>
                                      <a:pt x="gd5" y="gd6"/>
                                    </a:lnTo>
                                    <a:lnTo>
                                      <a:pt x="gd7" y="gd8"/>
                                    </a:lnTo>
                                    <a:close/>
                                  </a:path>
                                  <a:path w="21600" h="21600" extrusionOk="0"/>
                                </a:pathLst>
                              </a:custGeom>
                              <a:noFill/>
                              <a:ln>
                                <a:solidFill>
                                  <a:srgbClr val="000000"/>
                                </a:solidFill>
                              </a:ln>
                            </wps:spPr>
                            <wps:bodyPr rot="0">
                              <a:noAutofit/>
                            </wps:bodyPr>
                          </wps:wsp>
                        </a:graphicData>
                      </a:graphic>
                    </wp:anchor>
                  </w:drawing>
                </mc:Choice>
                <mc:Fallback>
                  <w:pict>
                    <v:shape id="_x0000_s1026" o:spid="_x0000_s1026" o:spt="100" style="position:absolute;left:0pt;margin-left:0pt;margin-top:0pt;height:0pt;width:0.05pt;z-index:251662336;mso-width-relative:page;mso-height-relative:page;" filled="f" stroked="t" coordsize="21600,21600" o:gfxdata="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" path="m0,0l0,21600,21600,21600,21600,0xe">
                      <v:fill on="f" focussize="0,0"/>
                      <v:stroke color="#000000" joinstyle="round"/>
                      <v:imagedata o:title=""/>
                      <o:lock v:ext="edit" aspectratio="f"/>
                    </v:shape>
                  </w:pict>
                </mc:Fallback>
              </mc:AlternateContent>
            </w:r>
            <w:r>
              <w:t> </w:t>
            </w:r>
          </w:p>
        </w:tc>
      </w:tr>
    </w:tbl>
    <w:p w14:paraId="76D7B1C7">
      <w:pPr>
        <w:tabs>
          <w:tab w:val="left" w:pos="4860"/>
        </w:tabs>
        <w:spacing w:line="588" w:lineRule="exact"/>
        <w:ind w:right="1560" w:firstLine="420"/>
        <w:jc w:val="center"/>
        <w:rPr>
          <w:rFonts w:hint="eastAsia" w:ascii="宋体" w:hAnsi="宋体"/>
          <w:sz w:val="24"/>
          <w:szCs w:val="24"/>
        </w:rPr>
      </w:pPr>
      <w:r>
        <w:t xml:space="preserve">                                                                                                                                    </w:t>
      </w:r>
      <w:r>
        <w:rPr>
          <w:rFonts w:hint="eastAsia" w:ascii="仿宋_GB2312" w:eastAsia="仿宋_GB2312"/>
          <w:spacing w:val="6"/>
          <w:sz w:val="30"/>
          <w:szCs w:val="30"/>
        </w:rPr>
        <w:t xml:space="preserve"> </w:t>
      </w:r>
      <w:r>
        <w:rPr>
          <w:rFonts w:hint="eastAsia" w:ascii="仿宋_GB2312" w:eastAsia="仿宋_GB2312"/>
          <w:spacing w:val="6"/>
          <w:sz w:val="30"/>
          <w:szCs w:val="30"/>
          <w:lang w:val="en-US" w:eastAsia="zh-CN"/>
        </w:rPr>
        <w:t xml:space="preserve">       </w:t>
      </w:r>
      <w:r>
        <w:rPr>
          <w:rFonts w:hint="eastAsia" w:ascii="宋体" w:hAnsi="宋体"/>
          <w:sz w:val="24"/>
          <w:szCs w:val="24"/>
        </w:rPr>
        <w:t>单位名称（加盖CA电子公章）：</w:t>
      </w:r>
    </w:p>
    <w:p w14:paraId="1D1C84F0">
      <w:pPr>
        <w:pStyle w:val="248"/>
        <w:keepNext w:val="0"/>
        <w:keepLines w:val="0"/>
        <w:widowControl/>
        <w:suppressLineNumbers w:val="0"/>
      </w:pPr>
      <w:r>
        <w:t xml:space="preserve">                  </w:t>
      </w:r>
      <w:bookmarkStart w:id="215" w:name="_GoBack"/>
      <w:bookmarkEnd w:id="215"/>
      <w:r>
        <w:t>       </w:t>
      </w:r>
      <w:r>
        <w:rPr>
          <w:rFonts w:hint="eastAsia"/>
          <w:lang w:val="en-US" w:eastAsia="zh-CN"/>
        </w:rPr>
        <w:t xml:space="preserve"> </w:t>
      </w:r>
      <w:r>
        <w:t xml:space="preserve">  日期： </w:t>
      </w:r>
      <w:r>
        <mc:AlternateContent>
          <mc:Choice Requires="wps">
            <w:drawing>
              <wp:anchor distT="0" distB="0" distL="114300" distR="114300" simplePos="0" relativeHeight="251660288" behindDoc="0" locked="0" layoutInCell="1" allowOverlap="1">
                <wp:simplePos x="0" y="0"/>
                <wp:positionH relativeFrom="column">
                  <wp:posOffset>0</wp:posOffset>
                </wp:positionH>
                <wp:positionV relativeFrom="paragraph">
                  <wp:posOffset>0</wp:posOffset>
                </wp:positionV>
                <wp:extent cx="635" cy="0"/>
                <wp:effectExtent l="0" t="0" r="0" b="0"/>
                <wp:wrapNone/>
                <wp:docPr id="12" name="任意多边形 12"/>
                <wp:cNvGraphicFramePr/>
                <a:graphic xmlns:a="http://schemas.openxmlformats.org/drawingml/2006/main">
                  <a:graphicData uri="http://schemas.microsoft.com/office/word/2010/wordprocessingShape">
                    <wps:wsp>
                      <wps:cNvSpPr/>
                      <wps:spPr bwMode="auto">
                        <a:xfrm>
                          <a:off x="0" y="0"/>
                          <a:ext cx="635" cy="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extrusionOk="0">
                              <a:moveTo>
                                <a:pt x="gd1" y="gd2"/>
                              </a:moveTo>
                              <a:lnTo>
                                <a:pt x="gd3" y="gd4"/>
                              </a:lnTo>
                              <a:lnTo>
                                <a:pt x="gd5" y="gd6"/>
                              </a:lnTo>
                              <a:lnTo>
                                <a:pt x="gd7" y="gd8"/>
                              </a:lnTo>
                              <a:close/>
                            </a:path>
                            <a:path w="21600" h="21600" extrusionOk="0"/>
                          </a:pathLst>
                        </a:custGeom>
                        <a:noFill/>
                        <a:ln>
                          <a:solidFill>
                            <a:srgbClr val="000000"/>
                          </a:solidFill>
                        </a:ln>
                      </wps:spPr>
                      <wps:bodyPr rot="0">
                        <a:noAutofit/>
                      </wps:bodyPr>
                    </wps:wsp>
                  </a:graphicData>
                </a:graphic>
              </wp:anchor>
            </w:drawing>
          </mc:Choice>
          <mc:Fallback>
            <w:pict>
              <v:shape id="_x0000_s1026" o:spid="_x0000_s1026" o:spt="100" style="position:absolute;left:0pt;margin-left:0pt;margin-top:0pt;height:0pt;width:0.05pt;z-index:251660288;mso-width-relative:page;mso-height-relative:page;" filled="f" stroked="t" coordsize="21600,21600" o:gfxdata="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" path="m0,0l0,21600,21600,21600,21600,0xe">
                <v:fill on="f" focussize="0,0"/>
                <v:stroke color="#000000" joinstyle="round"/>
                <v:imagedata o:title=""/>
                <o:lock v:ext="edit" aspectratio="f"/>
              </v:shape>
            </w:pict>
          </mc:Fallback>
        </mc:AlternateContent>
      </w:r>
      <w:r>
        <w:t> </w:t>
      </w:r>
      <w:r>
        <w:rPr>
          <w:rFonts w:hint="eastAsia"/>
          <w:lang w:val="en-US" w:eastAsia="zh-CN"/>
        </w:rPr>
        <w:t xml:space="preserve">   </w:t>
      </w:r>
      <w:r>
        <w:t>年</w:t>
      </w:r>
      <w:r>
        <w:rPr>
          <w:rFonts w:hint="eastAsia"/>
          <w:lang w:val="en-US" w:eastAsia="zh-CN"/>
        </w:rPr>
        <w:t xml:space="preserve">  </w:t>
      </w:r>
      <w:r>
        <w:t xml:space="preserve"> </w:t>
      </w:r>
      <w:r>
        <mc:AlternateContent>
          <mc:Choice Requires="wps">
            <w:drawing>
              <wp:anchor distT="0" distB="0" distL="114300" distR="114300" simplePos="0" relativeHeight="251660288" behindDoc="0" locked="0" layoutInCell="1" allowOverlap="1">
                <wp:simplePos x="0" y="0"/>
                <wp:positionH relativeFrom="column">
                  <wp:posOffset>0</wp:posOffset>
                </wp:positionH>
                <wp:positionV relativeFrom="paragraph">
                  <wp:posOffset>0</wp:posOffset>
                </wp:positionV>
                <wp:extent cx="635" cy="0"/>
                <wp:effectExtent l="0" t="0" r="0" b="0"/>
                <wp:wrapNone/>
                <wp:docPr id="13" name="任意多边形 13"/>
                <wp:cNvGraphicFramePr/>
                <a:graphic xmlns:a="http://schemas.openxmlformats.org/drawingml/2006/main">
                  <a:graphicData uri="http://schemas.microsoft.com/office/word/2010/wordprocessingShape">
                    <wps:wsp>
                      <wps:cNvSpPr/>
                      <wps:spPr bwMode="auto">
                        <a:xfrm>
                          <a:off x="0" y="0"/>
                          <a:ext cx="635" cy="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extrusionOk="0">
                              <a:moveTo>
                                <a:pt x="gd1" y="gd2"/>
                              </a:moveTo>
                              <a:lnTo>
                                <a:pt x="gd3" y="gd4"/>
                              </a:lnTo>
                              <a:lnTo>
                                <a:pt x="gd5" y="gd6"/>
                              </a:lnTo>
                              <a:lnTo>
                                <a:pt x="gd7" y="gd8"/>
                              </a:lnTo>
                              <a:close/>
                            </a:path>
                            <a:path w="21600" h="21600" extrusionOk="0"/>
                          </a:pathLst>
                        </a:custGeom>
                        <a:noFill/>
                        <a:ln>
                          <a:solidFill>
                            <a:srgbClr val="000000"/>
                          </a:solidFill>
                        </a:ln>
                      </wps:spPr>
                      <wps:bodyPr rot="0">
                        <a:noAutofit/>
                      </wps:bodyPr>
                    </wps:wsp>
                  </a:graphicData>
                </a:graphic>
              </wp:anchor>
            </w:drawing>
          </mc:Choice>
          <mc:Fallback>
            <w:pict>
              <v:shape id="_x0000_s1026" o:spid="_x0000_s1026" o:spt="100" style="position:absolute;left:0pt;margin-left:0pt;margin-top:0pt;height:0pt;width:0.05pt;z-index:251660288;mso-width-relative:page;mso-height-relative:page;" filled="f" stroked="t" coordsize="21600,21600" o:gfxdata="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" path="m0,0l0,21600,21600,21600,21600,0xe">
                <v:fill on="f" focussize="0,0"/>
                <v:stroke color="#000000" joinstyle="round"/>
                <v:imagedata o:title=""/>
                <o:lock v:ext="edit" aspectratio="f"/>
              </v:shape>
            </w:pict>
          </mc:Fallback>
        </mc:AlternateContent>
      </w:r>
      <w:r>
        <w:t xml:space="preserve"> 月 </w:t>
      </w:r>
      <w:r>
        <w:rPr>
          <w:rFonts w:hint="eastAsia"/>
          <w:lang w:val="en-US" w:eastAsia="zh-CN"/>
        </w:rPr>
        <w:t xml:space="preserve">  日 </w:t>
      </w:r>
      <w:r>
        <mc:AlternateContent>
          <mc:Choice Requires="wps">
            <w:drawing>
              <wp:anchor distT="0" distB="0" distL="114300" distR="114300" simplePos="0" relativeHeight="251660288" behindDoc="0" locked="0" layoutInCell="1" allowOverlap="1">
                <wp:simplePos x="0" y="0"/>
                <wp:positionH relativeFrom="column">
                  <wp:posOffset>0</wp:posOffset>
                </wp:positionH>
                <wp:positionV relativeFrom="paragraph">
                  <wp:posOffset>0</wp:posOffset>
                </wp:positionV>
                <wp:extent cx="635" cy="0"/>
                <wp:effectExtent l="0" t="0" r="0" b="0"/>
                <wp:wrapNone/>
                <wp:docPr id="14" name="任意多边形 14"/>
                <wp:cNvGraphicFramePr/>
                <a:graphic xmlns:a="http://schemas.openxmlformats.org/drawingml/2006/main">
                  <a:graphicData uri="http://schemas.microsoft.com/office/word/2010/wordprocessingShape">
                    <wps:wsp>
                      <wps:cNvSpPr/>
                      <wps:spPr bwMode="auto">
                        <a:xfrm>
                          <a:off x="0" y="0"/>
                          <a:ext cx="635" cy="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extrusionOk="0">
                              <a:moveTo>
                                <a:pt x="gd1" y="gd2"/>
                              </a:moveTo>
                              <a:lnTo>
                                <a:pt x="gd3" y="gd4"/>
                              </a:lnTo>
                              <a:lnTo>
                                <a:pt x="gd5" y="gd6"/>
                              </a:lnTo>
                              <a:lnTo>
                                <a:pt x="gd7" y="gd8"/>
                              </a:lnTo>
                              <a:close/>
                            </a:path>
                            <a:path w="21600" h="21600" extrusionOk="0"/>
                          </a:pathLst>
                        </a:custGeom>
                        <a:noFill/>
                        <a:ln>
                          <a:solidFill>
                            <a:srgbClr val="000000"/>
                          </a:solidFill>
                        </a:ln>
                      </wps:spPr>
                      <wps:bodyPr rot="0">
                        <a:noAutofit/>
                      </wps:bodyPr>
                    </wps:wsp>
                  </a:graphicData>
                </a:graphic>
              </wp:anchor>
            </w:drawing>
          </mc:Choice>
          <mc:Fallback>
            <w:pict>
              <v:shape id="_x0000_s1026" o:spid="_x0000_s1026" o:spt="100" style="position:absolute;left:0pt;margin-left:0pt;margin-top:0pt;height:0pt;width:0.05pt;z-index:251660288;mso-width-relative:page;mso-height-relative:page;" filled="f" stroked="t" coordsize="21600,21600" o:gfxdata="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" path="m0,0l0,21600,21600,21600,21600,0xe">
                <v:fill on="f" focussize="0,0"/>
                <v:stroke color="#000000" joinstyle="round"/>
                <v:imagedata o:title=""/>
                <o:lock v:ext="edit" aspectratio="f"/>
              </v:shape>
            </w:pict>
          </mc:Fallback>
        </mc:AlternateContent>
      </w:r>
    </w:p>
    <w:p w14:paraId="2F0F93A4"/>
    <w:p w14:paraId="236C5A87">
      <w:pPr>
        <w:jc w:val="center"/>
        <w:rPr>
          <w:rFonts w:hint="eastAsia" w:ascii="宋体" w:hAnsi="宋体" w:cs="仿宋"/>
          <w:b/>
          <w:bCs/>
          <w:sz w:val="32"/>
          <w:szCs w:val="32"/>
        </w:rPr>
      </w:pPr>
    </w:p>
    <w:p w14:paraId="6FC68459">
      <w:pPr>
        <w:jc w:val="center"/>
        <w:rPr>
          <w:rFonts w:hint="eastAsia" w:ascii="宋体" w:hAnsi="宋体" w:cs="仿宋"/>
          <w:b/>
          <w:bCs/>
          <w:sz w:val="32"/>
          <w:szCs w:val="32"/>
        </w:rPr>
      </w:pPr>
    </w:p>
    <w:p w14:paraId="6F62710D">
      <w:pPr>
        <w:jc w:val="center"/>
        <w:rPr>
          <w:rFonts w:hint="eastAsia" w:ascii="宋体" w:hAnsi="宋体" w:cs="仿宋"/>
          <w:b/>
          <w:bCs/>
          <w:sz w:val="32"/>
          <w:szCs w:val="32"/>
        </w:rPr>
      </w:pPr>
    </w:p>
    <w:p w14:paraId="750085F1">
      <w:pPr>
        <w:rPr>
          <w:rFonts w:hint="eastAsia" w:ascii="宋体" w:hAnsi="宋体" w:cs="仿宋"/>
          <w:b/>
          <w:bCs/>
          <w:color w:val="000000"/>
          <w:sz w:val="32"/>
          <w:szCs w:val="32"/>
        </w:rPr>
      </w:pPr>
    </w:p>
    <w:p w14:paraId="1F26370F">
      <w:pPr>
        <w:pStyle w:val="254"/>
        <w:rPr>
          <w:rFonts w:hint="eastAsia" w:ascii="宋体" w:hAnsi="宋体" w:eastAsia="宋体" w:cs="Times New Roman"/>
          <w:sz w:val="24"/>
          <w:szCs w:val="24"/>
          <w:lang w:eastAsia="zh-CN"/>
        </w:rPr>
      </w:pPr>
      <w:r>
        <w:rPr>
          <w:rFonts w:hint="eastAsia" w:ascii="宋体" w:hAnsi="宋体"/>
          <w:sz w:val="24"/>
          <w:szCs w:val="24"/>
          <w:lang w:eastAsia="zh-CN"/>
        </w:rPr>
        <w:t>注</w:t>
      </w:r>
      <w:r>
        <w:rPr>
          <w:rFonts w:hint="eastAsia" w:ascii="宋体" w:hAnsi="宋体" w:eastAsia="宋体" w:cs="Times New Roman"/>
          <w:sz w:val="24"/>
          <w:szCs w:val="24"/>
          <w:lang w:eastAsia="zh-CN"/>
        </w:rPr>
        <w:t>：本表中</w:t>
      </w:r>
      <w:r>
        <w:rPr>
          <w:rFonts w:hint="eastAsia" w:ascii="宋体" w:hAnsi="宋体" w:eastAsia="宋体" w:cs="Times New Roman"/>
          <w:sz w:val="24"/>
          <w:szCs w:val="24"/>
        </w:rPr>
        <w:t>核心产品</w:t>
      </w:r>
      <w:r>
        <w:rPr>
          <w:rFonts w:hint="eastAsia" w:ascii="宋体" w:hAnsi="宋体" w:eastAsia="宋体" w:cs="Times New Roman"/>
          <w:sz w:val="24"/>
          <w:szCs w:val="24"/>
          <w:lang w:eastAsia="zh-CN"/>
        </w:rPr>
        <w:t>为本项目</w:t>
      </w:r>
      <w:r>
        <w:rPr>
          <w:rFonts w:hint="eastAsia" w:ascii="宋体" w:hAnsi="宋体" w:eastAsia="宋体" w:cs="Times New Roman"/>
          <w:sz w:val="24"/>
          <w:szCs w:val="24"/>
        </w:rPr>
        <w:t>采购标的</w:t>
      </w:r>
      <w:r>
        <w:rPr>
          <w:rFonts w:hint="eastAsia" w:ascii="宋体" w:hAnsi="宋体" w:eastAsia="宋体" w:cs="Times New Roman"/>
          <w:sz w:val="24"/>
          <w:szCs w:val="24"/>
          <w:lang w:eastAsia="zh-CN"/>
        </w:rPr>
        <w:t>：救护车。</w:t>
      </w:r>
    </w:p>
    <w:p w14:paraId="2E6F7410">
      <w:pPr>
        <w:rPr>
          <w:rFonts w:hint="eastAsia"/>
        </w:rPr>
      </w:pPr>
      <w:r>
        <w:rPr>
          <w:rFonts w:hint="eastAsia"/>
        </w:rPr>
        <w:br w:type="page" w:clear="all"/>
      </w:r>
    </w:p>
    <w:p w14:paraId="5D024854">
      <w:pPr>
        <w:numPr>
          <w:ilvl w:val="0"/>
          <w:numId w:val="0"/>
        </w:numPr>
        <w:jc w:val="center"/>
        <w:rPr>
          <w:rFonts w:hint="eastAsia" w:ascii="黑体" w:hAnsi="黑体" w:eastAsia="黑体" w:cs="Times New Roman"/>
          <w:b/>
          <w:color w:val="000000"/>
          <w:sz w:val="32"/>
          <w:szCs w:val="32"/>
          <w:lang w:val="en-US" w:eastAsia="zh-CN"/>
        </w:rPr>
      </w:pPr>
      <w:r>
        <w:rPr>
          <w:rFonts w:hint="eastAsia" w:ascii="黑体" w:hAnsi="黑体" w:eastAsia="黑体" w:cs="Times New Roman"/>
          <w:b/>
          <w:color w:val="000000"/>
          <w:sz w:val="32"/>
          <w:szCs w:val="32"/>
          <w:lang w:val="en-US" w:eastAsia="zh-CN"/>
        </w:rPr>
        <w:t>十四、实施方案、售后方案及其他</w:t>
      </w:r>
    </w:p>
    <w:p w14:paraId="24A3E815">
      <w:pPr>
        <w:widowControl/>
        <w:spacing w:before="50" w:after="50"/>
        <w:jc w:val="center"/>
        <w:rPr>
          <w:rFonts w:hint="eastAsia" w:ascii="宋体" w:hAnsi="宋体" w:eastAsia="宋体" w:cs="宋体"/>
          <w:b/>
          <w:bCs/>
          <w:sz w:val="24"/>
          <w:lang w:eastAsia="zh-CN"/>
        </w:rPr>
      </w:pPr>
      <w:r>
        <w:rPr>
          <w:rFonts w:hint="eastAsia" w:ascii="宋体" w:hAnsi="宋体" w:eastAsia="宋体" w:cs="宋体"/>
          <w:b/>
          <w:bCs/>
          <w:color w:val="000000"/>
          <w:sz w:val="32"/>
          <w:szCs w:val="32"/>
          <w:lang w:eastAsia="zh-CN"/>
        </w:rPr>
        <w:t>（格式自拟）</w:t>
      </w:r>
    </w:p>
    <w:p w14:paraId="0AE9A75D">
      <w:pPr>
        <w:pStyle w:val="254"/>
        <w:numPr>
          <w:ilvl w:val="0"/>
          <w:numId w:val="0"/>
        </w:numPr>
        <w:rPr>
          <w:lang w:val="en-US" w:eastAsia="zh-CN"/>
        </w:rPr>
      </w:pPr>
    </w:p>
    <w:p w14:paraId="4FD9C8A0">
      <w:pPr>
        <w:jc w:val="center"/>
        <w:rPr>
          <w:rFonts w:hint="eastAsia" w:ascii="黑体" w:hAnsi="黑体" w:eastAsia="黑体"/>
          <w:b/>
          <w:color w:val="000000"/>
          <w:sz w:val="32"/>
          <w:szCs w:val="32"/>
        </w:rPr>
      </w:pPr>
    </w:p>
    <w:p w14:paraId="20C9D774">
      <w:pPr>
        <w:widowControl/>
        <w:spacing w:line="500" w:lineRule="exact"/>
        <w:ind w:firstLine="1600"/>
        <w:rPr>
          <w:rFonts w:hint="eastAsia" w:ascii="黑体" w:eastAsia="黑体"/>
          <w:sz w:val="32"/>
          <w:szCs w:val="32"/>
          <w:lang w:val="en-US" w:eastAsia="zh-CN"/>
        </w:rPr>
      </w:pPr>
    </w:p>
    <w:p w14:paraId="56D7084B">
      <w:pPr>
        <w:widowControl/>
        <w:spacing w:line="500" w:lineRule="exact"/>
        <w:ind w:firstLine="1600"/>
        <w:rPr>
          <w:rFonts w:hint="eastAsia" w:ascii="黑体" w:eastAsia="黑体"/>
          <w:sz w:val="32"/>
          <w:szCs w:val="32"/>
          <w:lang w:val="en-US" w:eastAsia="zh-CN"/>
        </w:rPr>
      </w:pPr>
    </w:p>
    <w:p w14:paraId="55C8CC8C">
      <w:pPr>
        <w:widowControl/>
        <w:spacing w:line="500" w:lineRule="exact"/>
        <w:ind w:firstLine="1600"/>
        <w:rPr>
          <w:rFonts w:hint="eastAsia" w:ascii="黑体" w:eastAsia="黑体"/>
          <w:sz w:val="32"/>
          <w:szCs w:val="32"/>
          <w:lang w:val="en-US" w:eastAsia="zh-CN"/>
        </w:rPr>
      </w:pPr>
    </w:p>
    <w:p w14:paraId="7B9F5FBE">
      <w:pPr>
        <w:widowControl/>
        <w:spacing w:line="500" w:lineRule="exact"/>
        <w:ind w:firstLine="1600"/>
        <w:rPr>
          <w:rFonts w:hint="eastAsia" w:ascii="黑体" w:eastAsia="黑体"/>
          <w:sz w:val="32"/>
          <w:szCs w:val="32"/>
          <w:lang w:val="en-US" w:eastAsia="zh-CN"/>
        </w:rPr>
      </w:pPr>
    </w:p>
    <w:p w14:paraId="14777E4B">
      <w:pPr>
        <w:widowControl/>
        <w:spacing w:line="500" w:lineRule="exact"/>
        <w:ind w:firstLine="1600"/>
        <w:rPr>
          <w:rFonts w:hint="eastAsia" w:ascii="黑体" w:eastAsia="黑体"/>
          <w:sz w:val="32"/>
          <w:szCs w:val="32"/>
          <w:lang w:val="en-US" w:eastAsia="zh-CN"/>
        </w:rPr>
      </w:pPr>
    </w:p>
    <w:p w14:paraId="4EEDFD01">
      <w:pPr>
        <w:widowControl/>
        <w:spacing w:line="500" w:lineRule="exact"/>
        <w:ind w:firstLine="1600"/>
        <w:rPr>
          <w:rFonts w:hint="eastAsia" w:ascii="黑体" w:eastAsia="黑体"/>
          <w:sz w:val="32"/>
          <w:szCs w:val="32"/>
          <w:lang w:val="en-US" w:eastAsia="zh-CN"/>
        </w:rPr>
      </w:pPr>
    </w:p>
    <w:p w14:paraId="6EBA029A">
      <w:pPr>
        <w:widowControl/>
        <w:spacing w:line="500" w:lineRule="exact"/>
        <w:ind w:firstLine="1600"/>
        <w:rPr>
          <w:rFonts w:hint="eastAsia" w:ascii="黑体" w:eastAsia="黑体"/>
          <w:sz w:val="32"/>
          <w:szCs w:val="32"/>
          <w:lang w:val="en-US" w:eastAsia="zh-CN"/>
        </w:rPr>
      </w:pPr>
    </w:p>
    <w:p w14:paraId="7FA821CB">
      <w:pPr>
        <w:widowControl/>
        <w:spacing w:line="500" w:lineRule="exact"/>
        <w:ind w:firstLine="1600"/>
        <w:rPr>
          <w:rFonts w:hint="eastAsia" w:ascii="黑体" w:eastAsia="黑体"/>
          <w:sz w:val="32"/>
          <w:szCs w:val="32"/>
          <w:lang w:val="en-US" w:eastAsia="zh-CN"/>
        </w:rPr>
      </w:pPr>
    </w:p>
    <w:p w14:paraId="5FEB8BC7">
      <w:pPr>
        <w:widowControl/>
        <w:spacing w:line="500" w:lineRule="exact"/>
        <w:ind w:firstLine="1600"/>
        <w:rPr>
          <w:rFonts w:hint="eastAsia" w:ascii="黑体" w:eastAsia="黑体"/>
          <w:sz w:val="32"/>
          <w:szCs w:val="32"/>
          <w:lang w:val="en-US" w:eastAsia="zh-CN"/>
        </w:rPr>
      </w:pPr>
    </w:p>
    <w:p w14:paraId="33D4B59A">
      <w:pPr>
        <w:widowControl/>
        <w:spacing w:line="500" w:lineRule="exact"/>
        <w:ind w:firstLine="1600"/>
        <w:rPr>
          <w:rFonts w:hint="eastAsia" w:ascii="黑体" w:eastAsia="黑体"/>
          <w:sz w:val="32"/>
          <w:szCs w:val="32"/>
          <w:lang w:val="en-US" w:eastAsia="zh-CN"/>
        </w:rPr>
      </w:pPr>
    </w:p>
    <w:p w14:paraId="4233B2E5">
      <w:pPr>
        <w:widowControl/>
        <w:spacing w:line="500" w:lineRule="exact"/>
        <w:ind w:firstLine="1600"/>
        <w:rPr>
          <w:rFonts w:hint="eastAsia" w:ascii="黑体" w:eastAsia="黑体"/>
          <w:sz w:val="32"/>
          <w:szCs w:val="32"/>
          <w:lang w:val="en-US" w:eastAsia="zh-CN"/>
        </w:rPr>
      </w:pPr>
    </w:p>
    <w:p w14:paraId="08D2AF95">
      <w:pPr>
        <w:widowControl/>
        <w:spacing w:line="500" w:lineRule="exact"/>
        <w:ind w:firstLine="1600"/>
        <w:rPr>
          <w:rFonts w:hint="eastAsia" w:ascii="黑体" w:eastAsia="黑体"/>
          <w:sz w:val="32"/>
          <w:szCs w:val="32"/>
          <w:lang w:val="en-US" w:eastAsia="zh-CN"/>
        </w:rPr>
      </w:pPr>
    </w:p>
    <w:p w14:paraId="1C5CF923">
      <w:pPr>
        <w:widowControl/>
        <w:spacing w:line="500" w:lineRule="exact"/>
        <w:ind w:firstLine="1600"/>
        <w:rPr>
          <w:rFonts w:hint="eastAsia" w:ascii="黑体" w:eastAsia="黑体"/>
          <w:sz w:val="32"/>
          <w:szCs w:val="32"/>
          <w:lang w:val="en-US" w:eastAsia="zh-CN"/>
        </w:rPr>
      </w:pPr>
    </w:p>
    <w:p w14:paraId="72077BD7">
      <w:pPr>
        <w:widowControl/>
        <w:spacing w:line="500" w:lineRule="exact"/>
        <w:ind w:firstLine="1600"/>
        <w:rPr>
          <w:rFonts w:hint="eastAsia" w:ascii="黑体" w:eastAsia="黑体"/>
          <w:sz w:val="32"/>
          <w:szCs w:val="32"/>
          <w:lang w:val="en-US" w:eastAsia="zh-CN"/>
        </w:rPr>
      </w:pPr>
    </w:p>
    <w:p w14:paraId="27A1F06B">
      <w:pPr>
        <w:widowControl/>
        <w:spacing w:line="500" w:lineRule="exact"/>
        <w:ind w:firstLine="1600"/>
        <w:rPr>
          <w:rFonts w:hint="eastAsia" w:ascii="黑体" w:eastAsia="黑体"/>
          <w:sz w:val="32"/>
          <w:szCs w:val="32"/>
          <w:lang w:val="en-US" w:eastAsia="zh-CN"/>
        </w:rPr>
      </w:pPr>
    </w:p>
    <w:p w14:paraId="3421B9AD">
      <w:pPr>
        <w:widowControl/>
        <w:spacing w:line="500" w:lineRule="exact"/>
        <w:ind w:firstLine="1600"/>
        <w:rPr>
          <w:rFonts w:hint="eastAsia" w:ascii="黑体" w:eastAsia="黑体"/>
          <w:sz w:val="32"/>
          <w:szCs w:val="32"/>
          <w:lang w:val="en-US" w:eastAsia="zh-CN"/>
        </w:rPr>
      </w:pPr>
    </w:p>
    <w:p w14:paraId="3F8E2B91">
      <w:pPr>
        <w:widowControl/>
        <w:spacing w:line="500" w:lineRule="exact"/>
        <w:ind w:firstLine="1600"/>
        <w:rPr>
          <w:rFonts w:hint="eastAsia" w:ascii="黑体" w:eastAsia="黑体"/>
          <w:sz w:val="32"/>
          <w:szCs w:val="32"/>
          <w:lang w:val="en-US" w:eastAsia="zh-CN"/>
        </w:rPr>
      </w:pPr>
    </w:p>
    <w:p w14:paraId="20DB35DE">
      <w:pPr>
        <w:widowControl/>
        <w:spacing w:line="500" w:lineRule="exact"/>
        <w:ind w:firstLine="1600"/>
        <w:rPr>
          <w:rFonts w:hint="eastAsia" w:ascii="黑体" w:eastAsia="黑体"/>
          <w:sz w:val="32"/>
          <w:szCs w:val="32"/>
          <w:lang w:val="en-US" w:eastAsia="zh-CN"/>
        </w:rPr>
      </w:pPr>
    </w:p>
    <w:p w14:paraId="0DC795A7">
      <w:pPr>
        <w:widowControl/>
        <w:spacing w:line="500" w:lineRule="exact"/>
        <w:ind w:firstLine="1600"/>
        <w:rPr>
          <w:rFonts w:hint="eastAsia" w:ascii="黑体" w:eastAsia="黑体"/>
          <w:sz w:val="32"/>
          <w:szCs w:val="32"/>
          <w:lang w:val="en-US" w:eastAsia="zh-CN"/>
        </w:rPr>
      </w:pPr>
    </w:p>
    <w:p w14:paraId="480C46DA">
      <w:pPr>
        <w:widowControl/>
        <w:spacing w:line="500" w:lineRule="exact"/>
        <w:ind w:firstLine="1600"/>
        <w:rPr>
          <w:rFonts w:hint="eastAsia" w:ascii="黑体" w:eastAsia="黑体"/>
          <w:sz w:val="32"/>
          <w:szCs w:val="32"/>
          <w:lang w:val="en-US" w:eastAsia="zh-CN"/>
        </w:rPr>
      </w:pPr>
    </w:p>
    <w:p w14:paraId="191F03B1">
      <w:pPr>
        <w:widowControl/>
        <w:spacing w:line="500" w:lineRule="exact"/>
        <w:ind w:firstLine="1600"/>
        <w:rPr>
          <w:rFonts w:hint="eastAsia" w:ascii="黑体" w:eastAsia="黑体"/>
          <w:sz w:val="32"/>
          <w:szCs w:val="32"/>
          <w:lang w:val="en-US" w:eastAsia="zh-CN"/>
        </w:rPr>
      </w:pPr>
    </w:p>
    <w:p w14:paraId="14D4B13E">
      <w:pPr>
        <w:widowControl/>
        <w:spacing w:line="500" w:lineRule="exact"/>
        <w:ind w:firstLine="1600"/>
        <w:rPr>
          <w:rFonts w:hint="eastAsia" w:ascii="黑体" w:eastAsia="黑体"/>
          <w:sz w:val="32"/>
          <w:szCs w:val="32"/>
          <w:lang w:val="en-US" w:eastAsia="zh-CN"/>
        </w:rPr>
      </w:pPr>
    </w:p>
    <w:p w14:paraId="4F3B8014">
      <w:pPr>
        <w:widowControl/>
        <w:spacing w:line="500" w:lineRule="exact"/>
        <w:ind w:firstLine="1600"/>
        <w:rPr>
          <w:rFonts w:hint="eastAsia" w:ascii="黑体" w:eastAsia="黑体"/>
          <w:sz w:val="32"/>
          <w:szCs w:val="32"/>
          <w:lang w:val="en-US" w:eastAsia="zh-CN"/>
        </w:rPr>
      </w:pPr>
    </w:p>
    <w:p w14:paraId="5691C6FB">
      <w:pPr>
        <w:widowControl/>
        <w:spacing w:line="500" w:lineRule="exact"/>
        <w:ind w:firstLine="1600"/>
        <w:rPr>
          <w:rFonts w:hint="eastAsia" w:ascii="黑体" w:eastAsia="黑体"/>
          <w:sz w:val="32"/>
          <w:szCs w:val="32"/>
          <w:lang w:val="en-US" w:eastAsia="zh-CN"/>
        </w:rPr>
      </w:pPr>
    </w:p>
    <w:p w14:paraId="76BFBDD0">
      <w:pPr>
        <w:widowControl/>
        <w:spacing w:line="500" w:lineRule="exact"/>
        <w:ind w:firstLine="1600"/>
        <w:rPr>
          <w:rFonts w:hint="eastAsia" w:ascii="黑体" w:eastAsia="黑体"/>
          <w:sz w:val="32"/>
          <w:szCs w:val="32"/>
        </w:rPr>
      </w:pPr>
      <w:r>
        <w:rPr>
          <w:rFonts w:hint="eastAsia" w:ascii="黑体" w:eastAsia="黑体"/>
          <w:sz w:val="32"/>
          <w:szCs w:val="32"/>
          <w:lang w:val="en-US" w:eastAsia="zh-CN"/>
        </w:rPr>
        <w:t>十五、</w:t>
      </w:r>
      <w:r>
        <w:rPr>
          <w:rFonts w:hint="eastAsia" w:ascii="黑体" w:eastAsia="黑体"/>
          <w:sz w:val="32"/>
          <w:szCs w:val="32"/>
        </w:rPr>
        <w:t>盐城市政府采购事前信用承诺书</w:t>
      </w:r>
    </w:p>
    <w:p w14:paraId="796367FE">
      <w:pPr>
        <w:widowControl/>
        <w:spacing w:line="500" w:lineRule="exact"/>
        <w:ind w:firstLine="640"/>
        <w:jc w:val="left"/>
        <w:rPr>
          <w:rFonts w:hint="eastAsia" w:ascii="方正仿宋_GBK" w:hAnsi="宋体" w:eastAsia="方正仿宋_GBK" w:cs="宋体"/>
          <w:sz w:val="32"/>
          <w:szCs w:val="32"/>
        </w:rPr>
      </w:pPr>
    </w:p>
    <w:p w14:paraId="0BBC2B70">
      <w:pPr>
        <w:widowControl/>
        <w:spacing w:line="500" w:lineRule="exact"/>
        <w:ind w:firstLine="480"/>
        <w:jc w:val="left"/>
        <w:rPr>
          <w:rFonts w:hint="eastAsia" w:ascii="宋体" w:hAnsi="宋体"/>
          <w:sz w:val="24"/>
          <w:szCs w:val="24"/>
        </w:rPr>
      </w:pPr>
      <w:r>
        <w:rPr>
          <w:rFonts w:hint="eastAsia" w:ascii="宋体" w:hAnsi="宋体"/>
          <w:sz w:val="24"/>
          <w:szCs w:val="24"/>
        </w:rPr>
        <w:t>为营造我市公开、公平、公正、诚实守信的政府采购交易环境，树立诚信守法的投标人形象，本人代表本单位作出以下承诺：</w:t>
      </w:r>
    </w:p>
    <w:p w14:paraId="1D1632E3">
      <w:pPr>
        <w:widowControl/>
        <w:spacing w:line="500" w:lineRule="exact"/>
        <w:jc w:val="left"/>
        <w:rPr>
          <w:rFonts w:hint="eastAsia" w:ascii="宋体" w:hAnsi="宋体"/>
          <w:sz w:val="24"/>
          <w:szCs w:val="24"/>
        </w:rPr>
      </w:pPr>
      <w:r>
        <w:rPr>
          <w:rFonts w:hint="eastAsia" w:ascii="宋体" w:hAnsi="宋体"/>
          <w:sz w:val="24"/>
          <w:szCs w:val="24"/>
        </w:rPr>
        <w:t xml:space="preserve">    （一）本单位对所提交的企（事）业单位基本信息、企（事）业负责人、项目负责人、技术负责人、从业资质和资格、业绩、财务状况、信誉等所有资料，均合法、真实、准确、有效，无任何伪造、修改、</w:t>
      </w:r>
      <w:r>
        <w:rPr>
          <w:rFonts w:hint="eastAsia" w:ascii="宋体" w:hAnsi="宋体"/>
          <w:sz w:val="24"/>
          <w:szCs w:val="24"/>
          <w:lang w:eastAsia="zh-CN"/>
        </w:rPr>
        <w:t>虚假成分</w:t>
      </w:r>
      <w:r>
        <w:rPr>
          <w:rFonts w:hint="eastAsia" w:ascii="宋体" w:hAnsi="宋体"/>
          <w:sz w:val="24"/>
          <w:szCs w:val="24"/>
        </w:rPr>
        <w:t>，并对所提供资料的真实性负责；</w:t>
      </w:r>
    </w:p>
    <w:p w14:paraId="156866E3">
      <w:pPr>
        <w:widowControl/>
        <w:spacing w:line="500" w:lineRule="exact"/>
        <w:ind w:firstLine="480"/>
        <w:jc w:val="left"/>
        <w:rPr>
          <w:rFonts w:hint="eastAsia" w:ascii="宋体" w:hAnsi="宋体"/>
          <w:sz w:val="24"/>
          <w:szCs w:val="24"/>
        </w:rPr>
      </w:pPr>
      <w:r>
        <w:rPr>
          <w:rFonts w:hint="eastAsia" w:ascii="宋体" w:hAnsi="宋体"/>
          <w:sz w:val="24"/>
          <w:szCs w:val="24"/>
        </w:rPr>
        <w:t>（二）本单位无涉及政府采购活动的违法、违规不良记录，我公司及相关负责人无因存在重大隐患整改不力、</w:t>
      </w:r>
      <w:r>
        <w:rPr>
          <w:rFonts w:hint="eastAsia" w:ascii="宋体" w:hAnsi="宋体"/>
          <w:sz w:val="24"/>
          <w:szCs w:val="24"/>
          <w:lang w:eastAsia="zh-CN"/>
        </w:rPr>
        <w:t>发生</w:t>
      </w:r>
      <w:r>
        <w:rPr>
          <w:rFonts w:hint="eastAsia" w:ascii="宋体" w:hAnsi="宋体"/>
          <w:sz w:val="24"/>
          <w:szCs w:val="24"/>
        </w:rPr>
        <w:t>重大社会影响生产安全事故或其他严重违法违规行为而被列入失信联合惩戒的不良记录；</w:t>
      </w:r>
    </w:p>
    <w:p w14:paraId="0FDE21B6">
      <w:pPr>
        <w:widowControl/>
        <w:spacing w:line="500" w:lineRule="exact"/>
        <w:jc w:val="left"/>
        <w:rPr>
          <w:rFonts w:hint="eastAsia" w:ascii="宋体" w:hAnsi="宋体"/>
          <w:sz w:val="24"/>
          <w:szCs w:val="24"/>
        </w:rPr>
      </w:pPr>
      <w:r>
        <w:rPr>
          <w:rFonts w:hint="eastAsia" w:ascii="宋体" w:hAnsi="宋体"/>
          <w:sz w:val="24"/>
          <w:szCs w:val="24"/>
        </w:rPr>
        <w:t>   （三）严格依照国家和省、市关于政府采购的</w:t>
      </w:r>
      <w:r>
        <w:rPr>
          <w:rFonts w:hint="eastAsia" w:ascii="宋体" w:hAnsi="宋体"/>
          <w:sz w:val="24"/>
          <w:szCs w:val="24"/>
          <w:lang w:eastAsia="zh-CN"/>
        </w:rPr>
        <w:t>法律法规</w:t>
      </w:r>
      <w:r>
        <w:rPr>
          <w:rFonts w:hint="eastAsia" w:ascii="宋体" w:hAnsi="宋体"/>
          <w:sz w:val="24"/>
          <w:szCs w:val="24"/>
        </w:rPr>
        <w:t xml:space="preserve">、规章、规范性文件，参加政府采购投标活动；积极履行社会责任，促进廉政建设； </w:t>
      </w:r>
    </w:p>
    <w:p w14:paraId="7AF09342">
      <w:pPr>
        <w:widowControl/>
        <w:spacing w:line="500" w:lineRule="exact"/>
        <w:jc w:val="left"/>
        <w:rPr>
          <w:rFonts w:hint="eastAsia" w:ascii="宋体" w:hAnsi="宋体"/>
          <w:sz w:val="24"/>
          <w:szCs w:val="24"/>
        </w:rPr>
      </w:pPr>
      <w:r>
        <w:rPr>
          <w:rFonts w:hint="eastAsia" w:ascii="宋体" w:hAnsi="宋体"/>
          <w:sz w:val="24"/>
          <w:szCs w:val="24"/>
        </w:rPr>
        <w:t>   （四）严格遵守即时信息公示规定，及时维护和更新盐城市政府采购网中与本单位相关的信息；</w:t>
      </w:r>
    </w:p>
    <w:p w14:paraId="5B6BD4D8">
      <w:pPr>
        <w:widowControl/>
        <w:spacing w:line="500" w:lineRule="exact"/>
        <w:jc w:val="left"/>
        <w:rPr>
          <w:rFonts w:hint="eastAsia" w:ascii="宋体" w:hAnsi="宋体"/>
          <w:sz w:val="24"/>
          <w:szCs w:val="24"/>
        </w:rPr>
      </w:pPr>
      <w:r>
        <w:rPr>
          <w:rFonts w:hint="eastAsia" w:ascii="宋体" w:hAnsi="宋体"/>
          <w:sz w:val="24"/>
          <w:szCs w:val="24"/>
        </w:rPr>
        <w:t>   （五）自我约束、自我管理，守合同、重信用，自觉维护政府采购交易的良好秩序，</w:t>
      </w:r>
      <w:r>
        <w:rPr>
          <w:rFonts w:hint="eastAsia" w:ascii="宋体" w:hAnsi="宋体"/>
          <w:color w:val="000000"/>
          <w:sz w:val="24"/>
          <w:szCs w:val="24"/>
          <w:highlight w:val="cyan"/>
        </w:rPr>
        <w:t>与参与本次政府采购活动的其他供应商不存在直接控股或管理关系</w:t>
      </w:r>
      <w:r>
        <w:rPr>
          <w:rFonts w:hint="eastAsia" w:ascii="宋体" w:hAnsi="宋体"/>
          <w:sz w:val="24"/>
          <w:szCs w:val="24"/>
        </w:rPr>
        <w:t>，不参与围标串标、弄虚作假、骗取中标、干扰评标、违约毁约等行为；</w:t>
      </w:r>
    </w:p>
    <w:p w14:paraId="37679927">
      <w:pPr>
        <w:widowControl/>
        <w:spacing w:line="500" w:lineRule="exact"/>
        <w:jc w:val="left"/>
        <w:rPr>
          <w:rFonts w:hint="eastAsia" w:ascii="宋体" w:hAnsi="宋体"/>
          <w:sz w:val="24"/>
          <w:szCs w:val="24"/>
        </w:rPr>
      </w:pPr>
      <w:r>
        <w:rPr>
          <w:rFonts w:hint="eastAsia" w:ascii="宋体" w:hAnsi="宋体"/>
          <w:sz w:val="24"/>
          <w:szCs w:val="24"/>
        </w:rPr>
        <w:t>   （六）自觉接受政府、行业组织、社会公众、新闻舆论的监督；</w:t>
      </w:r>
    </w:p>
    <w:p w14:paraId="462AC763">
      <w:pPr>
        <w:widowControl/>
        <w:spacing w:line="500" w:lineRule="exact"/>
        <w:ind w:firstLine="480"/>
        <w:jc w:val="left"/>
        <w:rPr>
          <w:rFonts w:hint="eastAsia" w:ascii="宋体" w:hAnsi="宋体"/>
          <w:sz w:val="24"/>
          <w:szCs w:val="24"/>
        </w:rPr>
      </w:pPr>
      <w:r>
        <w:rPr>
          <w:rFonts w:hint="eastAsia" w:ascii="宋体" w:hAnsi="宋体"/>
          <w:sz w:val="24"/>
          <w:szCs w:val="24"/>
        </w:rPr>
        <w:t>（七）本单位自愿接受政府采购监督管理机构和有关行政监督部门的依法检查。如发生违法违规或不良失信行为，自愿接受政府采购监督管理机构和有关行政监督部门依法给予的行政处罚（处理），并依法承担相应责任；</w:t>
      </w:r>
    </w:p>
    <w:p w14:paraId="2DCB5FF5">
      <w:pPr>
        <w:widowControl/>
        <w:spacing w:line="500" w:lineRule="exact"/>
        <w:jc w:val="left"/>
        <w:rPr>
          <w:rFonts w:hint="eastAsia" w:ascii="宋体" w:hAnsi="宋体"/>
          <w:sz w:val="24"/>
          <w:szCs w:val="24"/>
        </w:rPr>
      </w:pPr>
      <w:r>
        <w:rPr>
          <w:rFonts w:hint="eastAsia" w:ascii="宋体" w:hAnsi="宋体"/>
          <w:sz w:val="24"/>
          <w:szCs w:val="24"/>
        </w:rPr>
        <w:t>   （八）本人已认真阅读了上述承诺，并向本单位员工</w:t>
      </w:r>
      <w:r>
        <w:rPr>
          <w:rFonts w:hint="eastAsia" w:ascii="宋体" w:hAnsi="宋体"/>
          <w:sz w:val="24"/>
          <w:szCs w:val="24"/>
          <w:lang w:eastAsia="zh-CN"/>
        </w:rPr>
        <w:t>做</w:t>
      </w:r>
      <w:r>
        <w:rPr>
          <w:rFonts w:hint="eastAsia" w:ascii="宋体" w:hAnsi="宋体"/>
          <w:sz w:val="24"/>
          <w:szCs w:val="24"/>
        </w:rPr>
        <w:t>了宣传教育。</w:t>
      </w:r>
    </w:p>
    <w:p w14:paraId="41ADE562">
      <w:pPr>
        <w:widowControl/>
        <w:spacing w:line="500" w:lineRule="exact"/>
        <w:jc w:val="left"/>
        <w:rPr>
          <w:rFonts w:hint="eastAsia" w:ascii="宋体" w:hAnsi="宋体"/>
          <w:sz w:val="24"/>
          <w:szCs w:val="24"/>
        </w:rPr>
      </w:pPr>
    </w:p>
    <w:p w14:paraId="6334CA67">
      <w:pPr>
        <w:widowControl/>
        <w:spacing w:line="500" w:lineRule="exact"/>
        <w:jc w:val="center"/>
        <w:rPr>
          <w:rFonts w:hint="eastAsia" w:ascii="宋体" w:hAnsi="宋体"/>
          <w:sz w:val="24"/>
          <w:szCs w:val="24"/>
        </w:rPr>
      </w:pPr>
      <w:r>
        <w:rPr>
          <w:rFonts w:hint="eastAsia" w:ascii="宋体" w:hAnsi="宋体"/>
          <w:sz w:val="24"/>
          <w:szCs w:val="24"/>
        </w:rPr>
        <w:t xml:space="preserve">                 法定代表人签名</w:t>
      </w:r>
      <w:r>
        <w:rPr>
          <w:rFonts w:hint="eastAsia" w:ascii="宋体" w:hAnsi="宋体"/>
          <w:sz w:val="24"/>
          <w:szCs w:val="24"/>
          <w:lang w:eastAsia="zh-CN"/>
        </w:rPr>
        <w:t>或盖章</w:t>
      </w:r>
      <w:r>
        <w:rPr>
          <w:rFonts w:hint="eastAsia" w:ascii="宋体" w:hAnsi="宋体"/>
          <w:sz w:val="24"/>
          <w:szCs w:val="24"/>
        </w:rPr>
        <w:t>：</w:t>
      </w:r>
    </w:p>
    <w:p w14:paraId="3F232806">
      <w:pPr>
        <w:widowControl/>
        <w:spacing w:line="500" w:lineRule="exact"/>
        <w:jc w:val="center"/>
        <w:rPr>
          <w:rFonts w:hint="eastAsia" w:ascii="宋体" w:hAnsi="宋体"/>
          <w:sz w:val="24"/>
          <w:szCs w:val="24"/>
        </w:rPr>
      </w:pPr>
      <w:r>
        <w:rPr>
          <w:rFonts w:hint="eastAsia" w:ascii="宋体" w:hAnsi="宋体"/>
          <w:sz w:val="24"/>
          <w:szCs w:val="24"/>
        </w:rPr>
        <w:t xml:space="preserve">                   单位名称（盖章）：</w:t>
      </w:r>
    </w:p>
    <w:p w14:paraId="5465676B">
      <w:pPr>
        <w:pStyle w:val="254"/>
        <w:rPr>
          <w:rFonts w:hint="eastAsia"/>
        </w:rPr>
      </w:pPr>
      <w:r>
        <w:rPr>
          <w:rFonts w:hint="eastAsia" w:ascii="宋体" w:hAnsi="宋体"/>
          <w:sz w:val="24"/>
          <w:szCs w:val="24"/>
        </w:rPr>
        <w:t xml:space="preserve">                      </w:t>
      </w:r>
      <w:r>
        <w:rPr>
          <w:rFonts w:hint="eastAsia"/>
          <w:sz w:val="24"/>
          <w:szCs w:val="24"/>
          <w:lang w:val="en-US" w:eastAsia="zh-CN"/>
        </w:rPr>
        <w:t xml:space="preserve">             </w:t>
      </w:r>
      <w:r>
        <w:rPr>
          <w:rFonts w:hint="eastAsia" w:ascii="宋体" w:hAnsi="宋体"/>
          <w:sz w:val="24"/>
          <w:szCs w:val="24"/>
        </w:rPr>
        <w:t>年    月    日</w:t>
      </w:r>
    </w:p>
    <w:p w14:paraId="5B5D3944">
      <w:pPr>
        <w:rPr>
          <w:rFonts w:hint="eastAsia" w:ascii="宋体" w:hAnsi="宋体" w:cs="仿宋"/>
          <w:b/>
          <w:bCs/>
          <w:color w:val="000000"/>
          <w:sz w:val="32"/>
          <w:szCs w:val="32"/>
        </w:rPr>
      </w:pPr>
    </w:p>
    <w:p w14:paraId="128D880C">
      <w:pPr>
        <w:spacing w:line="560" w:lineRule="exact"/>
        <w:ind w:firstLine="321"/>
        <w:jc w:val="center"/>
        <w:rPr>
          <w:rFonts w:hint="eastAsia" w:ascii="黑体" w:hAnsi="黑体" w:eastAsia="黑体"/>
          <w:b/>
          <w:color w:val="000000"/>
          <w:sz w:val="32"/>
          <w:szCs w:val="32"/>
          <w:lang w:eastAsia="zh-CN"/>
        </w:rPr>
      </w:pPr>
    </w:p>
    <w:p w14:paraId="5BC395A6">
      <w:pPr>
        <w:jc w:val="center"/>
        <w:rPr>
          <w:rFonts w:ascii="宋体" w:hAnsi="宋体" w:cs="仿宋"/>
          <w:b/>
          <w:bCs/>
          <w:color w:val="000000"/>
          <w:sz w:val="32"/>
          <w:szCs w:val="32"/>
        </w:rPr>
      </w:pPr>
      <w:r>
        <w:rPr>
          <w:rFonts w:hint="eastAsia" w:ascii="宋体" w:hAnsi="宋体" w:cs="仿宋"/>
          <w:b/>
          <w:bCs/>
          <w:color w:val="000000"/>
          <w:sz w:val="32"/>
          <w:szCs w:val="32"/>
        </w:rPr>
        <w:t>质疑函范本</w:t>
      </w:r>
    </w:p>
    <w:p w14:paraId="6A5ACBE9">
      <w:pPr>
        <w:spacing w:before="290" w:line="360" w:lineRule="auto"/>
        <w:rPr>
          <w:rFonts w:ascii="宋体" w:hAnsi="宋体" w:cs="仿宋"/>
          <w:bCs/>
          <w:color w:val="000000"/>
          <w:sz w:val="24"/>
          <w:szCs w:val="24"/>
        </w:rPr>
      </w:pPr>
      <w:r>
        <w:rPr>
          <w:rFonts w:hint="eastAsia" w:ascii="宋体" w:hAnsi="宋体" w:cs="仿宋"/>
          <w:bCs/>
          <w:color w:val="000000"/>
          <w:sz w:val="24"/>
          <w:szCs w:val="24"/>
        </w:rPr>
        <w:t>一、质疑供应商基本信息</w:t>
      </w:r>
    </w:p>
    <w:p w14:paraId="7786350F">
      <w:pPr>
        <w:spacing w:line="360" w:lineRule="auto"/>
        <w:rPr>
          <w:rFonts w:ascii="宋体" w:hAnsi="宋体" w:cs="仿宋"/>
          <w:color w:val="000000"/>
          <w:sz w:val="24"/>
          <w:szCs w:val="24"/>
          <w:u w:val="single"/>
        </w:rPr>
      </w:pPr>
      <w:r>
        <w:rPr>
          <w:rFonts w:hint="eastAsia" w:ascii="宋体" w:hAnsi="宋体" w:cs="仿宋"/>
          <w:color w:val="000000"/>
          <w:sz w:val="24"/>
          <w:szCs w:val="24"/>
        </w:rPr>
        <w:t>质疑供应商：</w:t>
      </w:r>
      <w:r>
        <w:rPr>
          <w:rFonts w:hint="eastAsia" w:ascii="宋体" w:hAnsi="宋体" w:cs="仿宋"/>
          <w:color w:val="000000"/>
          <w:sz w:val="24"/>
          <w:szCs w:val="24"/>
          <w:u w:val="single"/>
        </w:rPr>
        <w:t xml:space="preserve">                                                              </w:t>
      </w:r>
    </w:p>
    <w:p w14:paraId="14B3337C">
      <w:pPr>
        <w:spacing w:line="360" w:lineRule="auto"/>
        <w:rPr>
          <w:rFonts w:ascii="宋体" w:hAnsi="宋体" w:cs="仿宋"/>
          <w:color w:val="000000"/>
          <w:sz w:val="24"/>
          <w:szCs w:val="24"/>
        </w:rPr>
      </w:pPr>
      <w:r>
        <w:rPr>
          <w:rFonts w:hint="eastAsia" w:ascii="宋体" w:hAnsi="宋体" w:cs="仿宋"/>
          <w:color w:val="000000"/>
          <w:sz w:val="24"/>
          <w:szCs w:val="24"/>
        </w:rPr>
        <w:t>地址：</w:t>
      </w:r>
      <w:r>
        <w:rPr>
          <w:rFonts w:hint="eastAsia" w:ascii="宋体" w:hAnsi="宋体" w:cs="仿宋"/>
          <w:color w:val="000000"/>
          <w:sz w:val="24"/>
          <w:szCs w:val="24"/>
          <w:u w:val="single"/>
        </w:rPr>
        <w:t xml:space="preserve">                             </w:t>
      </w:r>
      <w:r>
        <w:rPr>
          <w:rFonts w:hint="eastAsia" w:ascii="宋体" w:hAnsi="宋体" w:cs="仿宋"/>
          <w:color w:val="000000"/>
          <w:sz w:val="24"/>
          <w:szCs w:val="24"/>
        </w:rPr>
        <w:t>邮编：</w:t>
      </w:r>
      <w:r>
        <w:rPr>
          <w:rFonts w:hint="eastAsia" w:ascii="宋体" w:hAnsi="宋体" w:cs="仿宋"/>
          <w:color w:val="000000"/>
          <w:sz w:val="24"/>
          <w:szCs w:val="24"/>
          <w:u w:val="single"/>
        </w:rPr>
        <w:t xml:space="preserve">                                    </w:t>
      </w:r>
    </w:p>
    <w:p w14:paraId="37985625">
      <w:pPr>
        <w:spacing w:line="360" w:lineRule="auto"/>
        <w:rPr>
          <w:rFonts w:ascii="宋体" w:hAnsi="宋体" w:cs="仿宋"/>
          <w:color w:val="000000"/>
          <w:sz w:val="24"/>
          <w:szCs w:val="24"/>
        </w:rPr>
      </w:pPr>
      <w:r>
        <w:rPr>
          <w:rFonts w:hint="eastAsia" w:ascii="宋体" w:hAnsi="宋体" w:cs="仿宋"/>
          <w:color w:val="000000"/>
          <w:sz w:val="24"/>
          <w:szCs w:val="24"/>
        </w:rPr>
        <w:t>联系人：</w:t>
      </w:r>
      <w:r>
        <w:rPr>
          <w:rFonts w:hint="eastAsia" w:ascii="宋体" w:hAnsi="宋体" w:cs="仿宋"/>
          <w:color w:val="000000"/>
          <w:sz w:val="24"/>
          <w:szCs w:val="24"/>
          <w:u w:val="single"/>
        </w:rPr>
        <w:t xml:space="preserve">                      </w:t>
      </w:r>
      <w:r>
        <w:rPr>
          <w:rFonts w:hint="eastAsia" w:ascii="宋体" w:hAnsi="宋体" w:cs="仿宋"/>
          <w:color w:val="000000"/>
          <w:sz w:val="24"/>
          <w:szCs w:val="24"/>
        </w:rPr>
        <w:t>联系电话：</w:t>
      </w:r>
      <w:r>
        <w:rPr>
          <w:rFonts w:hint="eastAsia" w:ascii="宋体" w:hAnsi="宋体" w:cs="仿宋"/>
          <w:color w:val="000000"/>
          <w:sz w:val="24"/>
          <w:szCs w:val="24"/>
          <w:u w:val="single"/>
        </w:rPr>
        <w:t xml:space="preserve">                                       </w:t>
      </w:r>
    </w:p>
    <w:p w14:paraId="635CF8ED">
      <w:pPr>
        <w:spacing w:line="360" w:lineRule="auto"/>
        <w:rPr>
          <w:rFonts w:ascii="宋体" w:hAnsi="宋体" w:cs="仿宋"/>
          <w:color w:val="000000"/>
          <w:sz w:val="24"/>
          <w:szCs w:val="24"/>
          <w:u w:val="single"/>
        </w:rPr>
      </w:pPr>
      <w:r>
        <w:rPr>
          <w:rFonts w:hint="eastAsia" w:ascii="宋体" w:hAnsi="宋体" w:cs="仿宋"/>
          <w:color w:val="000000"/>
          <w:sz w:val="24"/>
          <w:szCs w:val="24"/>
        </w:rPr>
        <w:t>授权代表：</w:t>
      </w:r>
      <w:r>
        <w:rPr>
          <w:rFonts w:hint="eastAsia" w:ascii="宋体" w:hAnsi="宋体" w:cs="仿宋"/>
          <w:color w:val="000000"/>
          <w:sz w:val="24"/>
          <w:szCs w:val="24"/>
          <w:u w:val="single"/>
        </w:rPr>
        <w:t xml:space="preserve">                                                                 </w:t>
      </w:r>
    </w:p>
    <w:p w14:paraId="4D01D67C">
      <w:pPr>
        <w:spacing w:line="360" w:lineRule="auto"/>
        <w:rPr>
          <w:rFonts w:ascii="宋体" w:hAnsi="宋体" w:cs="仿宋"/>
          <w:color w:val="000000"/>
          <w:sz w:val="24"/>
          <w:szCs w:val="24"/>
        </w:rPr>
      </w:pPr>
      <w:r>
        <w:rPr>
          <w:rFonts w:hint="eastAsia" w:ascii="宋体" w:hAnsi="宋体" w:cs="仿宋"/>
          <w:color w:val="000000"/>
          <w:sz w:val="24"/>
          <w:szCs w:val="24"/>
        </w:rPr>
        <w:t>联系电话：</w:t>
      </w:r>
      <w:r>
        <w:rPr>
          <w:rFonts w:hint="eastAsia" w:ascii="宋体" w:hAnsi="宋体" w:cs="仿宋"/>
          <w:color w:val="000000"/>
          <w:sz w:val="24"/>
          <w:szCs w:val="24"/>
          <w:u w:val="single"/>
        </w:rPr>
        <w:t xml:space="preserve">                                                                </w:t>
      </w:r>
    </w:p>
    <w:p w14:paraId="3087B0AE">
      <w:pPr>
        <w:spacing w:line="360" w:lineRule="auto"/>
        <w:rPr>
          <w:rFonts w:ascii="宋体" w:hAnsi="宋体" w:cs="仿宋"/>
          <w:color w:val="000000"/>
          <w:sz w:val="24"/>
          <w:szCs w:val="24"/>
        </w:rPr>
      </w:pPr>
      <w:r>
        <w:rPr>
          <w:rFonts w:hint="eastAsia" w:ascii="宋体" w:hAnsi="宋体" w:cs="仿宋"/>
          <w:color w:val="000000"/>
          <w:sz w:val="24"/>
          <w:szCs w:val="24"/>
        </w:rPr>
        <w:t>地址：</w:t>
      </w:r>
      <w:r>
        <w:rPr>
          <w:rFonts w:ascii="宋体" w:hAnsi="宋体" w:cs="仿宋"/>
          <w:color w:val="000000"/>
          <w:sz w:val="24"/>
          <w:szCs w:val="24"/>
        </w:rPr>
        <w:t xml:space="preserve"> </w:t>
      </w:r>
      <w:r>
        <w:rPr>
          <w:rFonts w:hint="eastAsia" w:ascii="宋体" w:hAnsi="宋体" w:cs="仿宋"/>
          <w:color w:val="000000"/>
          <w:sz w:val="24"/>
          <w:szCs w:val="24"/>
          <w:u w:val="single"/>
        </w:rPr>
        <w:t xml:space="preserve">                        </w:t>
      </w:r>
      <w:r>
        <w:rPr>
          <w:rFonts w:hint="eastAsia" w:ascii="宋体" w:hAnsi="宋体" w:cs="仿宋"/>
          <w:color w:val="000000"/>
          <w:sz w:val="24"/>
          <w:szCs w:val="24"/>
        </w:rPr>
        <w:t>邮编：</w:t>
      </w:r>
      <w:r>
        <w:rPr>
          <w:rFonts w:hint="eastAsia" w:ascii="宋体" w:hAnsi="宋体" w:cs="仿宋"/>
          <w:color w:val="000000"/>
          <w:sz w:val="24"/>
          <w:szCs w:val="24"/>
          <w:u w:val="single"/>
        </w:rPr>
        <w:t xml:space="preserve">                                     </w:t>
      </w:r>
    </w:p>
    <w:p w14:paraId="12DDB662">
      <w:pPr>
        <w:spacing w:line="360" w:lineRule="auto"/>
        <w:rPr>
          <w:rFonts w:ascii="宋体" w:hAnsi="宋体" w:cs="仿宋"/>
          <w:bCs/>
          <w:color w:val="000000"/>
          <w:sz w:val="24"/>
          <w:szCs w:val="24"/>
        </w:rPr>
      </w:pPr>
      <w:r>
        <w:rPr>
          <w:rFonts w:hint="eastAsia" w:ascii="宋体" w:hAnsi="宋体" w:cs="仿宋"/>
          <w:bCs/>
          <w:color w:val="000000"/>
          <w:sz w:val="24"/>
          <w:szCs w:val="24"/>
        </w:rPr>
        <w:t>二、质疑项目基本情况</w:t>
      </w:r>
    </w:p>
    <w:p w14:paraId="36AC7F83">
      <w:pPr>
        <w:spacing w:line="360" w:lineRule="auto"/>
        <w:rPr>
          <w:rFonts w:ascii="宋体" w:hAnsi="宋体" w:cs="仿宋"/>
          <w:color w:val="000000"/>
          <w:sz w:val="24"/>
          <w:szCs w:val="24"/>
        </w:rPr>
      </w:pPr>
      <w:r>
        <w:rPr>
          <w:rFonts w:hint="eastAsia" w:ascii="宋体" w:hAnsi="宋体" w:cs="仿宋"/>
          <w:color w:val="000000"/>
          <w:sz w:val="24"/>
          <w:szCs w:val="24"/>
        </w:rPr>
        <w:t>质疑项目的名称：</w:t>
      </w:r>
      <w:r>
        <w:rPr>
          <w:rFonts w:hint="eastAsia" w:ascii="宋体" w:hAnsi="宋体" w:cs="仿宋"/>
          <w:color w:val="000000"/>
          <w:sz w:val="24"/>
          <w:szCs w:val="24"/>
          <w:u w:val="single"/>
        </w:rPr>
        <w:t xml:space="preserve">                                                          </w:t>
      </w:r>
    </w:p>
    <w:p w14:paraId="1D236EDC">
      <w:pPr>
        <w:spacing w:line="360" w:lineRule="auto"/>
        <w:rPr>
          <w:rFonts w:ascii="宋体" w:hAnsi="宋体" w:cs="仿宋"/>
          <w:color w:val="000000"/>
          <w:sz w:val="24"/>
          <w:szCs w:val="24"/>
        </w:rPr>
      </w:pPr>
      <w:r>
        <w:rPr>
          <w:rFonts w:hint="eastAsia" w:ascii="宋体" w:hAnsi="宋体" w:cs="仿宋"/>
          <w:color w:val="000000"/>
          <w:sz w:val="24"/>
          <w:szCs w:val="24"/>
        </w:rPr>
        <w:t>质疑项目的编号：</w:t>
      </w:r>
      <w:r>
        <w:rPr>
          <w:rFonts w:hint="eastAsia" w:ascii="宋体" w:hAnsi="宋体" w:cs="仿宋"/>
          <w:color w:val="000000"/>
          <w:sz w:val="24"/>
          <w:szCs w:val="24"/>
          <w:u w:val="single"/>
        </w:rPr>
        <w:t xml:space="preserve">                         </w:t>
      </w:r>
      <w:r>
        <w:rPr>
          <w:rFonts w:hint="eastAsia" w:ascii="宋体" w:hAnsi="宋体" w:cs="仿宋"/>
          <w:color w:val="000000"/>
          <w:sz w:val="24"/>
          <w:szCs w:val="24"/>
        </w:rPr>
        <w:t>包号：</w:t>
      </w:r>
      <w:r>
        <w:rPr>
          <w:rFonts w:hint="eastAsia" w:ascii="宋体" w:hAnsi="宋体" w:cs="仿宋"/>
          <w:color w:val="000000"/>
          <w:sz w:val="24"/>
          <w:szCs w:val="24"/>
          <w:u w:val="single"/>
        </w:rPr>
        <w:t xml:space="preserve">                           </w:t>
      </w:r>
    </w:p>
    <w:p w14:paraId="76DB5919">
      <w:pPr>
        <w:spacing w:line="360" w:lineRule="auto"/>
        <w:rPr>
          <w:rFonts w:ascii="宋体" w:hAnsi="宋体" w:cs="仿宋"/>
          <w:color w:val="000000"/>
          <w:sz w:val="24"/>
          <w:szCs w:val="24"/>
          <w:u w:val="single"/>
        </w:rPr>
      </w:pPr>
      <w:r>
        <w:rPr>
          <w:rFonts w:hint="eastAsia" w:ascii="宋体" w:hAnsi="宋体" w:cs="仿宋"/>
          <w:color w:val="000000"/>
          <w:sz w:val="24"/>
          <w:szCs w:val="24"/>
        </w:rPr>
        <w:t>采购人名称：</w:t>
      </w:r>
      <w:r>
        <w:rPr>
          <w:rFonts w:hint="eastAsia" w:ascii="宋体" w:hAnsi="宋体" w:cs="仿宋"/>
          <w:color w:val="000000"/>
          <w:sz w:val="24"/>
          <w:szCs w:val="24"/>
          <w:u w:val="single"/>
        </w:rPr>
        <w:t xml:space="preserve">                                                              </w:t>
      </w:r>
    </w:p>
    <w:p w14:paraId="525F7654">
      <w:pPr>
        <w:spacing w:line="360" w:lineRule="auto"/>
        <w:rPr>
          <w:rFonts w:ascii="宋体" w:hAnsi="宋体" w:cs="仿宋"/>
          <w:color w:val="000000"/>
          <w:sz w:val="24"/>
          <w:szCs w:val="24"/>
        </w:rPr>
      </w:pPr>
      <w:r>
        <w:rPr>
          <w:rFonts w:hint="eastAsia" w:ascii="宋体" w:hAnsi="宋体" w:cs="仿宋"/>
          <w:color w:val="000000"/>
          <w:sz w:val="24"/>
          <w:szCs w:val="24"/>
        </w:rPr>
        <w:t>采购文件获取日期：</w:t>
      </w:r>
      <w:r>
        <w:rPr>
          <w:rFonts w:hint="eastAsia" w:ascii="宋体" w:hAnsi="宋体" w:cs="仿宋"/>
          <w:color w:val="000000"/>
          <w:sz w:val="24"/>
          <w:szCs w:val="24"/>
          <w:u w:val="single"/>
        </w:rPr>
        <w:t xml:space="preserve">                                                        </w:t>
      </w:r>
    </w:p>
    <w:p w14:paraId="693714D7">
      <w:pPr>
        <w:spacing w:line="360" w:lineRule="auto"/>
        <w:rPr>
          <w:rFonts w:ascii="宋体" w:hAnsi="宋体" w:cs="仿宋"/>
          <w:bCs/>
          <w:color w:val="000000"/>
          <w:sz w:val="24"/>
          <w:szCs w:val="24"/>
        </w:rPr>
      </w:pPr>
      <w:r>
        <w:rPr>
          <w:rFonts w:hint="eastAsia" w:ascii="宋体" w:hAnsi="宋体" w:cs="仿宋"/>
          <w:bCs/>
          <w:color w:val="000000"/>
          <w:sz w:val="24"/>
          <w:szCs w:val="24"/>
        </w:rPr>
        <w:t>三、质疑事项具体内容</w:t>
      </w:r>
    </w:p>
    <w:p w14:paraId="04210AAB">
      <w:pPr>
        <w:spacing w:line="360" w:lineRule="auto"/>
        <w:rPr>
          <w:rFonts w:ascii="宋体" w:hAnsi="宋体" w:cs="仿宋"/>
          <w:color w:val="000000"/>
          <w:sz w:val="24"/>
          <w:szCs w:val="24"/>
          <w:u w:val="single"/>
        </w:rPr>
      </w:pPr>
      <w:r>
        <w:rPr>
          <w:rFonts w:hint="eastAsia" w:ascii="宋体" w:hAnsi="宋体" w:cs="仿宋"/>
          <w:color w:val="000000"/>
          <w:sz w:val="24"/>
          <w:szCs w:val="24"/>
        </w:rPr>
        <w:t>质疑事项1：</w:t>
      </w:r>
      <w:r>
        <w:rPr>
          <w:rFonts w:hint="eastAsia" w:ascii="宋体" w:hAnsi="宋体" w:cs="仿宋"/>
          <w:color w:val="000000"/>
          <w:sz w:val="24"/>
          <w:szCs w:val="24"/>
          <w:u w:val="single"/>
        </w:rPr>
        <w:t xml:space="preserve">                                                              </w:t>
      </w:r>
    </w:p>
    <w:p w14:paraId="7BB83D9E">
      <w:pPr>
        <w:spacing w:line="360" w:lineRule="auto"/>
        <w:rPr>
          <w:rFonts w:ascii="宋体" w:hAnsi="宋体" w:cs="仿宋"/>
          <w:color w:val="000000"/>
          <w:sz w:val="24"/>
          <w:szCs w:val="24"/>
          <w:u w:val="single"/>
        </w:rPr>
      </w:pPr>
      <w:r>
        <w:rPr>
          <w:rFonts w:hint="eastAsia" w:ascii="宋体" w:hAnsi="宋体" w:cs="仿宋"/>
          <w:color w:val="000000"/>
          <w:sz w:val="24"/>
          <w:szCs w:val="24"/>
        </w:rPr>
        <w:t>事实依据：</w:t>
      </w:r>
      <w:r>
        <w:rPr>
          <w:rFonts w:hint="eastAsia" w:ascii="宋体" w:hAnsi="宋体" w:cs="仿宋"/>
          <w:color w:val="000000"/>
          <w:sz w:val="24"/>
          <w:szCs w:val="24"/>
          <w:u w:val="single"/>
        </w:rPr>
        <w:t xml:space="preserve">                                                                </w:t>
      </w:r>
    </w:p>
    <w:p w14:paraId="02CA9077">
      <w:pPr>
        <w:spacing w:line="360" w:lineRule="auto"/>
        <w:rPr>
          <w:rFonts w:ascii="宋体" w:hAnsi="宋体" w:cs="仿宋"/>
          <w:color w:val="000000"/>
          <w:sz w:val="24"/>
          <w:szCs w:val="24"/>
        </w:rPr>
      </w:pPr>
      <w:r>
        <w:rPr>
          <w:rFonts w:hint="eastAsia" w:ascii="宋体" w:hAnsi="宋体" w:cs="仿宋"/>
          <w:color w:val="000000"/>
          <w:sz w:val="24"/>
          <w:szCs w:val="24"/>
          <w:u w:val="single"/>
        </w:rPr>
        <w:t xml:space="preserve">                                                                           </w:t>
      </w:r>
    </w:p>
    <w:p w14:paraId="5676D6E7">
      <w:pPr>
        <w:spacing w:line="360" w:lineRule="auto"/>
        <w:rPr>
          <w:rFonts w:ascii="宋体" w:hAnsi="宋体" w:cs="仿宋"/>
          <w:color w:val="000000"/>
          <w:sz w:val="24"/>
          <w:szCs w:val="24"/>
          <w:u w:val="single"/>
        </w:rPr>
      </w:pPr>
      <w:r>
        <w:rPr>
          <w:rFonts w:hint="eastAsia" w:ascii="宋体" w:hAnsi="宋体" w:cs="仿宋"/>
          <w:color w:val="000000"/>
          <w:sz w:val="24"/>
          <w:szCs w:val="24"/>
        </w:rPr>
        <w:t>法律依据：</w:t>
      </w:r>
      <w:r>
        <w:rPr>
          <w:rFonts w:hint="eastAsia" w:ascii="宋体" w:hAnsi="宋体" w:cs="仿宋"/>
          <w:color w:val="000000"/>
          <w:sz w:val="24"/>
          <w:szCs w:val="24"/>
          <w:u w:val="single"/>
        </w:rPr>
        <w:t xml:space="preserve">                                                                 </w:t>
      </w:r>
    </w:p>
    <w:p w14:paraId="6F312831">
      <w:pPr>
        <w:spacing w:line="360" w:lineRule="auto"/>
        <w:rPr>
          <w:rFonts w:ascii="宋体" w:hAnsi="宋体" w:cs="仿宋"/>
          <w:color w:val="000000"/>
          <w:sz w:val="24"/>
          <w:szCs w:val="24"/>
          <w:u w:val="single"/>
        </w:rPr>
      </w:pPr>
      <w:r>
        <w:rPr>
          <w:rFonts w:hint="eastAsia" w:ascii="宋体" w:hAnsi="宋体" w:cs="仿宋"/>
          <w:color w:val="000000"/>
          <w:sz w:val="24"/>
          <w:szCs w:val="24"/>
          <w:u w:val="single"/>
        </w:rPr>
        <w:t xml:space="preserve">                                                                           </w:t>
      </w:r>
    </w:p>
    <w:p w14:paraId="71485A93">
      <w:pPr>
        <w:spacing w:line="360" w:lineRule="auto"/>
        <w:rPr>
          <w:rFonts w:ascii="宋体" w:hAnsi="宋体" w:cs="仿宋"/>
          <w:color w:val="000000"/>
          <w:sz w:val="24"/>
          <w:szCs w:val="24"/>
          <w:u w:val="single"/>
        </w:rPr>
      </w:pPr>
      <w:r>
        <w:rPr>
          <w:rFonts w:hint="eastAsia" w:ascii="宋体" w:hAnsi="宋体" w:cs="仿宋"/>
          <w:color w:val="000000"/>
          <w:sz w:val="24"/>
          <w:szCs w:val="24"/>
        </w:rPr>
        <w:t>质疑事项2</w:t>
      </w:r>
    </w:p>
    <w:p w14:paraId="75D23803">
      <w:pPr>
        <w:spacing w:line="360" w:lineRule="auto"/>
        <w:rPr>
          <w:rFonts w:ascii="宋体" w:hAnsi="宋体" w:cs="仿宋"/>
          <w:color w:val="000000"/>
          <w:sz w:val="24"/>
          <w:szCs w:val="24"/>
        </w:rPr>
      </w:pPr>
      <w:r>
        <w:rPr>
          <w:rFonts w:hint="eastAsia" w:ascii="宋体" w:hAnsi="宋体" w:cs="仿宋"/>
          <w:color w:val="000000"/>
          <w:sz w:val="24"/>
          <w:szCs w:val="24"/>
        </w:rPr>
        <w:t>……</w:t>
      </w:r>
    </w:p>
    <w:p w14:paraId="330281BB">
      <w:pPr>
        <w:spacing w:line="360" w:lineRule="auto"/>
        <w:rPr>
          <w:rFonts w:ascii="宋体" w:hAnsi="宋体" w:cs="仿宋"/>
          <w:bCs/>
          <w:color w:val="000000"/>
          <w:sz w:val="24"/>
          <w:szCs w:val="24"/>
        </w:rPr>
      </w:pPr>
      <w:r>
        <w:rPr>
          <w:rFonts w:hint="eastAsia" w:ascii="宋体" w:hAnsi="宋体" w:cs="仿宋"/>
          <w:bCs/>
          <w:color w:val="000000"/>
          <w:sz w:val="24"/>
          <w:szCs w:val="24"/>
        </w:rPr>
        <w:t>四、与质疑事项相关的质疑请求</w:t>
      </w:r>
    </w:p>
    <w:p w14:paraId="08AA0AA2">
      <w:pPr>
        <w:spacing w:line="360" w:lineRule="auto"/>
        <w:rPr>
          <w:rFonts w:ascii="宋体" w:hAnsi="宋体" w:cs="仿宋"/>
          <w:color w:val="000000"/>
          <w:sz w:val="24"/>
          <w:szCs w:val="24"/>
          <w:u w:val="single"/>
        </w:rPr>
      </w:pPr>
      <w:r>
        <w:rPr>
          <w:rFonts w:hint="eastAsia" w:ascii="宋体" w:hAnsi="宋体" w:cs="仿宋"/>
          <w:color w:val="000000"/>
          <w:sz w:val="24"/>
          <w:szCs w:val="24"/>
        </w:rPr>
        <w:t>请求：</w:t>
      </w:r>
      <w:r>
        <w:rPr>
          <w:rFonts w:hint="eastAsia" w:ascii="宋体" w:hAnsi="宋体" w:cs="仿宋"/>
          <w:color w:val="000000"/>
          <w:sz w:val="24"/>
          <w:szCs w:val="24"/>
          <w:u w:val="single"/>
        </w:rPr>
        <w:t xml:space="preserve">                                                                     </w:t>
      </w:r>
    </w:p>
    <w:p w14:paraId="563DC31C">
      <w:pPr>
        <w:rPr>
          <w:rFonts w:ascii="宋体" w:hAnsi="宋体"/>
          <w:color w:val="000000"/>
          <w:sz w:val="24"/>
          <w:szCs w:val="24"/>
        </w:rPr>
      </w:pPr>
      <w:r>
        <w:rPr>
          <w:rFonts w:hint="eastAsia" w:ascii="宋体" w:hAnsi="宋体"/>
          <w:color w:val="000000"/>
          <w:sz w:val="24"/>
          <w:szCs w:val="24"/>
        </w:rPr>
        <w:t>签字</w:t>
      </w:r>
      <w:r>
        <w:rPr>
          <w:rFonts w:hint="eastAsia" w:ascii="宋体" w:hAnsi="宋体"/>
          <w:color w:val="000000"/>
          <w:sz w:val="24"/>
          <w:szCs w:val="24"/>
          <w:lang w:eastAsia="zh-CN"/>
        </w:rPr>
        <w:t>（</w:t>
      </w:r>
      <w:r>
        <w:rPr>
          <w:rFonts w:hint="eastAsia" w:ascii="宋体" w:hAnsi="宋体"/>
          <w:color w:val="000000"/>
          <w:sz w:val="24"/>
          <w:szCs w:val="24"/>
        </w:rPr>
        <w:t>签章</w:t>
      </w:r>
      <w:r>
        <w:rPr>
          <w:rFonts w:hint="eastAsia" w:ascii="宋体" w:hAnsi="宋体"/>
          <w:color w:val="000000"/>
          <w:sz w:val="24"/>
          <w:szCs w:val="24"/>
          <w:lang w:eastAsia="zh-CN"/>
        </w:rPr>
        <w:t>）</w:t>
      </w:r>
      <w:r>
        <w:rPr>
          <w:rFonts w:hint="eastAsia" w:ascii="宋体" w:hAnsi="宋体"/>
          <w:color w:val="000000"/>
          <w:sz w:val="24"/>
          <w:szCs w:val="24"/>
        </w:rPr>
        <w:t xml:space="preserve">：                   公章：                      </w:t>
      </w:r>
    </w:p>
    <w:p w14:paraId="77E3E6D9">
      <w:pPr>
        <w:rPr>
          <w:rFonts w:ascii="宋体" w:hAnsi="宋体"/>
          <w:color w:val="000000"/>
          <w:sz w:val="24"/>
          <w:szCs w:val="24"/>
        </w:rPr>
      </w:pPr>
      <w:r>
        <w:rPr>
          <w:rFonts w:hint="eastAsia" w:ascii="宋体" w:hAnsi="宋体"/>
          <w:color w:val="000000"/>
          <w:sz w:val="24"/>
          <w:szCs w:val="24"/>
        </w:rPr>
        <w:t xml:space="preserve">日期：    </w:t>
      </w:r>
    </w:p>
    <w:p w14:paraId="232725A0">
      <w:pPr>
        <w:spacing w:line="400" w:lineRule="exact"/>
        <w:rPr>
          <w:rFonts w:ascii="宋体" w:hAnsi="宋体"/>
          <w:b/>
          <w:color w:val="000000"/>
          <w:sz w:val="24"/>
          <w:szCs w:val="24"/>
        </w:rPr>
      </w:pPr>
      <w:r>
        <w:rPr>
          <w:rFonts w:hint="eastAsia" w:ascii="宋体" w:hAnsi="宋体"/>
          <w:b/>
          <w:color w:val="000000"/>
          <w:sz w:val="24"/>
          <w:szCs w:val="24"/>
        </w:rPr>
        <w:t>质疑函制作说明：</w:t>
      </w:r>
    </w:p>
    <w:p w14:paraId="2F7B0F8C">
      <w:pPr>
        <w:widowControl/>
        <w:spacing w:line="400" w:lineRule="exact"/>
        <w:ind w:firstLine="480"/>
        <w:jc w:val="left"/>
        <w:rPr>
          <w:rFonts w:ascii="宋体" w:hAnsi="宋体"/>
          <w:color w:val="000000"/>
          <w:sz w:val="24"/>
          <w:szCs w:val="24"/>
        </w:rPr>
      </w:pPr>
      <w:r>
        <w:rPr>
          <w:rFonts w:hint="eastAsia" w:ascii="宋体" w:hAnsi="宋体"/>
          <w:color w:val="000000"/>
          <w:sz w:val="24"/>
          <w:szCs w:val="24"/>
        </w:rPr>
        <w:t>1.供应商提出质疑时，应提交质疑函和必要的证明材料。</w:t>
      </w:r>
    </w:p>
    <w:p w14:paraId="364E1ED6">
      <w:pPr>
        <w:widowControl/>
        <w:spacing w:line="400" w:lineRule="exact"/>
        <w:ind w:firstLine="480"/>
        <w:jc w:val="left"/>
        <w:rPr>
          <w:rFonts w:ascii="宋体" w:hAnsi="宋体"/>
          <w:color w:val="000000"/>
          <w:sz w:val="24"/>
          <w:szCs w:val="24"/>
        </w:rPr>
      </w:pPr>
      <w:r>
        <w:rPr>
          <w:rFonts w:hint="eastAsia" w:ascii="宋体" w:hAnsi="宋体"/>
          <w:color w:val="000000"/>
          <w:sz w:val="24"/>
          <w:szCs w:val="24"/>
        </w:rPr>
        <w:t>2.质疑供应商若委托代理人进行质疑的，质疑函应按要求列明“授权代表”的有关内容，并在附件中提交由质疑</w:t>
      </w:r>
      <w:r>
        <w:rPr>
          <w:rFonts w:hint="eastAsia" w:ascii="宋体" w:hAnsi="宋体" w:cs="宋体"/>
          <w:color w:val="000000"/>
          <w:sz w:val="24"/>
          <w:szCs w:val="24"/>
        </w:rPr>
        <w:t>供应商签署的授权委托书。授权委托书应载明代理人的姓名或者名称、代理事项、具体权限、期限和相关事项。</w:t>
      </w:r>
    </w:p>
    <w:p w14:paraId="12B27F3C">
      <w:pPr>
        <w:widowControl/>
        <w:spacing w:line="400" w:lineRule="exact"/>
        <w:ind w:firstLine="480"/>
        <w:jc w:val="left"/>
        <w:rPr>
          <w:rFonts w:ascii="宋体" w:hAnsi="宋体"/>
          <w:color w:val="000000"/>
          <w:sz w:val="24"/>
          <w:szCs w:val="24"/>
        </w:rPr>
      </w:pPr>
      <w:r>
        <w:rPr>
          <w:rFonts w:hint="eastAsia" w:ascii="宋体" w:hAnsi="宋体"/>
          <w:color w:val="000000"/>
          <w:sz w:val="24"/>
          <w:szCs w:val="24"/>
        </w:rPr>
        <w:t>3.质疑供应商若对项目的某一分包进行质疑，质疑函中应列明具体分包号。</w:t>
      </w:r>
    </w:p>
    <w:p w14:paraId="2170C83B">
      <w:pPr>
        <w:widowControl/>
        <w:spacing w:line="400" w:lineRule="exact"/>
        <w:ind w:firstLine="480"/>
        <w:jc w:val="left"/>
        <w:rPr>
          <w:rFonts w:ascii="宋体" w:hAnsi="宋体"/>
          <w:color w:val="000000"/>
          <w:sz w:val="24"/>
          <w:szCs w:val="24"/>
        </w:rPr>
      </w:pPr>
      <w:r>
        <w:rPr>
          <w:rFonts w:hint="eastAsia" w:ascii="宋体" w:hAnsi="宋体"/>
          <w:color w:val="000000"/>
          <w:sz w:val="24"/>
          <w:szCs w:val="24"/>
        </w:rPr>
        <w:t>4.质疑函的质疑事项应具体、明确，并有必要的事实依据和法律依据。</w:t>
      </w:r>
    </w:p>
    <w:p w14:paraId="5850D135">
      <w:pPr>
        <w:widowControl/>
        <w:spacing w:line="400" w:lineRule="exact"/>
        <w:ind w:firstLine="480"/>
        <w:jc w:val="left"/>
        <w:rPr>
          <w:rFonts w:ascii="宋体" w:hAnsi="宋体"/>
          <w:color w:val="000000"/>
          <w:sz w:val="24"/>
          <w:szCs w:val="24"/>
        </w:rPr>
      </w:pPr>
      <w:r>
        <w:rPr>
          <w:rFonts w:hint="eastAsia" w:ascii="宋体" w:hAnsi="宋体"/>
          <w:color w:val="000000"/>
          <w:sz w:val="24"/>
          <w:szCs w:val="24"/>
        </w:rPr>
        <w:t>5.质疑函的质疑请求应与质疑事项相关。</w:t>
      </w:r>
    </w:p>
    <w:p w14:paraId="48878B72">
      <w:pPr>
        <w:widowControl/>
        <w:spacing w:line="400" w:lineRule="exact"/>
        <w:ind w:firstLine="480"/>
        <w:jc w:val="left"/>
        <w:rPr>
          <w:rFonts w:ascii="宋体" w:hAnsi="宋体"/>
          <w:color w:val="000000"/>
          <w:sz w:val="24"/>
          <w:szCs w:val="24"/>
        </w:rPr>
      </w:pPr>
      <w:r>
        <w:rPr>
          <w:rFonts w:hint="eastAsia" w:ascii="宋体" w:hAnsi="宋体"/>
          <w:color w:val="000000"/>
          <w:sz w:val="24"/>
          <w:szCs w:val="24"/>
        </w:rPr>
        <w:t>6.质疑供应商为自然人的，质疑函应由本人签字；质疑供应商为法人或者其他组织的，质疑函应由法定代表人、主要负责人，或者其授权代表签字或者盖章，并加盖公章。</w:t>
      </w:r>
    </w:p>
    <w:p w14:paraId="1ACC6C17">
      <w:pPr>
        <w:ind w:firstLine="420"/>
        <w:rPr>
          <w:rFonts w:hint="eastAsia" w:ascii="Times New Roman" w:hAnsi="Times New Roman"/>
          <w:color w:val="000000"/>
          <w:sz w:val="24"/>
          <w:szCs w:val="24"/>
        </w:rPr>
      </w:pPr>
    </w:p>
    <w:p w14:paraId="5AAB9F5D">
      <w:pPr>
        <w:ind w:firstLine="420"/>
        <w:rPr>
          <w:rFonts w:ascii="Times New Roman" w:hAnsi="Times New Roman"/>
          <w:color w:val="000000"/>
          <w:sz w:val="24"/>
          <w:szCs w:val="24"/>
        </w:rPr>
      </w:pPr>
    </w:p>
    <w:sectPr>
      <w:footerReference r:id="rId13" w:type="first"/>
      <w:footerReference r:id="rId12" w:type="default"/>
      <w:pgSz w:w="11906" w:h="16838"/>
      <w:pgMar w:top="1304" w:right="1304" w:bottom="1304" w:left="1304" w:header="851" w:footer="907" w:gutter="0"/>
      <w:pgNumType w:start="1"/>
      <w:cols w:space="1701" w:num="1"/>
      <w:titlePg/>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embedRegular r:id="rId1" w:fontKey="{0DCB956C-B970-4345-9974-5E1B7E7F9867}"/>
  </w:font>
  <w:font w:name="Arial">
    <w:panose1 w:val="020B0604020202020204"/>
    <w:charset w:val="01"/>
    <w:family w:val="swiss"/>
    <w:pitch w:val="default"/>
    <w:sig w:usb0="E0002EFF" w:usb1="C000785B" w:usb2="00000009" w:usb3="00000000" w:csb0="400001FF" w:csb1="FFFF0000"/>
    <w:embedRegular r:id="rId2" w:fontKey="{93961524-40DA-4FCC-B523-B8C1B2CA423D}"/>
  </w:font>
  <w:font w:name="黑体">
    <w:panose1 w:val="02010609060101010101"/>
    <w:charset w:val="86"/>
    <w:family w:val="auto"/>
    <w:pitch w:val="default"/>
    <w:sig w:usb0="800002BF" w:usb1="38CF7CFA" w:usb2="00000016" w:usb3="00000000" w:csb0="00040001" w:csb1="00000000"/>
    <w:embedRegular r:id="rId3" w:fontKey="{8FA9BF6A-07AC-42FA-9639-B2983F403E4D}"/>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楷体_GB2312">
    <w:altName w:val="楷体"/>
    <w:panose1 w:val="02010609060101010101"/>
    <w:charset w:val="00"/>
    <w:family w:val="auto"/>
    <w:pitch w:val="default"/>
    <w:sig w:usb0="00000000" w:usb1="00000000" w:usb2="00000000" w:usb3="00000000" w:csb0="00000000" w:csb1="00000000"/>
  </w:font>
  <w:font w:name="楷体">
    <w:panose1 w:val="02010609060101010101"/>
    <w:charset w:val="86"/>
    <w:family w:val="auto"/>
    <w:pitch w:val="default"/>
    <w:sig w:usb0="800002BF" w:usb1="38CF7CFA" w:usb2="00000016" w:usb3="00000000" w:csb0="00040001" w:csb1="00000000"/>
  </w:font>
  <w:font w:name="幼圆">
    <w:altName w:val="Yu Gothic UI"/>
    <w:panose1 w:val="02010509060101010101"/>
    <w:charset w:val="00"/>
    <w:family w:val="auto"/>
    <w:pitch w:val="default"/>
    <w:sig w:usb0="00000000" w:usb1="00000000" w:usb2="00000000" w:usb3="00000000" w:csb0="00000000" w:csb1="00000000"/>
    <w:embedRegular r:id="rId4" w:fontKey="{FAEFCA9B-BD61-4600-8E0E-6032986CAFF6}"/>
  </w:font>
  <w:font w:name="Yu Gothic UI">
    <w:panose1 w:val="020B0500000000000000"/>
    <w:charset w:val="80"/>
    <w:family w:val="auto"/>
    <w:pitch w:val="default"/>
    <w:sig w:usb0="E00002FF" w:usb1="2AC7FDFF" w:usb2="00000016" w:usb3="00000000" w:csb0="2002009F" w:csb1="00000000"/>
  </w:font>
  <w:font w:name="仿宋_GB2312">
    <w:altName w:val="仿宋"/>
    <w:panose1 w:val="02010609060101010101"/>
    <w:charset w:val="00"/>
    <w:family w:val="auto"/>
    <w:pitch w:val="default"/>
    <w:sig w:usb0="00000000" w:usb1="00000000" w:usb2="00000000" w:usb3="00000000" w:csb0="00000000" w:csb1="00000000"/>
    <w:embedRegular r:id="rId5" w:fontKey="{12B270BC-F03E-4E2E-8DB9-C38E4B34930C}"/>
  </w:font>
  <w:font w:name="仿宋">
    <w:panose1 w:val="02010609060101010101"/>
    <w:charset w:val="86"/>
    <w:family w:val="auto"/>
    <w:pitch w:val="default"/>
    <w:sig w:usb0="800002BF" w:usb1="38CF7CFA" w:usb2="00000016" w:usb3="00000000" w:csb0="00040001" w:csb1="00000000"/>
    <w:embedRegular r:id="rId6" w:fontKey="{4E78E46E-6D95-4AB8-ACB8-56EADB70793A}"/>
  </w:font>
  <w:font w:name="monospace">
    <w:altName w:val="DejaVu Math TeX Gyre"/>
    <w:panose1 w:val="020B0503020202020204"/>
    <w:charset w:val="00"/>
    <w:family w:val="auto"/>
    <w:pitch w:val="default"/>
    <w:sig w:usb0="00000000" w:usb1="00000000" w:usb2="00000000" w:usb3="00000000" w:csb0="00000000" w:csb1="00000000"/>
  </w:font>
  <w:font w:name="DejaVu Math TeX Gyre">
    <w:panose1 w:val="02000503000000000000"/>
    <w:charset w:val="00"/>
    <w:family w:val="auto"/>
    <w:pitch w:val="default"/>
    <w:sig w:usb0="A10000EF" w:usb1="4201F9EE" w:usb2="02000000" w:usb3="00000000" w:csb0="60000193" w:csb1="0DD40000"/>
  </w:font>
  <w:font w:name="Tahoma">
    <w:panose1 w:val="020B0604030504040204"/>
    <w:charset w:val="00"/>
    <w:family w:val="auto"/>
    <w:pitch w:val="default"/>
    <w:sig w:usb0="E1002EFF" w:usb1="C000605B" w:usb2="00000029" w:usb3="00000000" w:csb0="200101FF" w:csb1="20280000"/>
  </w:font>
  <w:font w:name="Arial Unicode MS">
    <w:altName w:val="Arial"/>
    <w:panose1 w:val="020B0604020202020204"/>
    <w:charset w:val="00"/>
    <w:family w:val="auto"/>
    <w:pitch w:val="default"/>
    <w:sig w:usb0="00000000" w:usb1="00000000" w:usb2="00000000" w:usb3="00000000" w:csb0="00000000" w:csb1="00000000"/>
  </w:font>
  <w:font w:name="方正黑体_GBK">
    <w:altName w:val="微软雅黑"/>
    <w:panose1 w:val="020B0503020202020204"/>
    <w:charset w:val="00"/>
    <w:family w:val="auto"/>
    <w:pitch w:val="default"/>
    <w:sig w:usb0="00000000" w:usb1="00000000" w:usb2="00000000" w:usb3="00000000" w:csb0="00000000" w:csb1="00000000"/>
  </w:font>
  <w:font w:name="微软雅黑">
    <w:panose1 w:val="020B0503020204020204"/>
    <w:charset w:val="86"/>
    <w:family w:val="auto"/>
    <w:pitch w:val="default"/>
    <w:sig w:usb0="80000287" w:usb1="2ACF3C50" w:usb2="00000016" w:usb3="00000000" w:csb0="0004001F" w:csb1="00000000"/>
  </w:font>
  <w:font w:name="Verdana">
    <w:panose1 w:val="020B0604030504040204"/>
    <w:charset w:val="00"/>
    <w:family w:val="auto"/>
    <w:pitch w:val="default"/>
    <w:sig w:usb0="A00006FF" w:usb1="4000205B" w:usb2="00000010" w:usb3="00000000" w:csb0="2000019F" w:csb1="00000000"/>
  </w:font>
  <w:font w:name="方正小标宋_GBK">
    <w:altName w:val="微软雅黑"/>
    <w:panose1 w:val="020B0503020202020204"/>
    <w:charset w:val="00"/>
    <w:family w:val="auto"/>
    <w:pitch w:val="default"/>
    <w:sig w:usb0="00000000" w:usb1="00000000" w:usb2="00000000" w:usb3="00000000" w:csb0="00000000" w:csb1="00000000"/>
  </w:font>
  <w:font w:name="华文楷体">
    <w:panose1 w:val="02010600040101010101"/>
    <w:charset w:val="86"/>
    <w:family w:val="auto"/>
    <w:pitch w:val="default"/>
    <w:sig w:usb0="A00002BF" w:usb1="78CF7CFB" w:usb2="00000016" w:usb3="00000000" w:csb0="6006009F" w:csb1="DFD70000"/>
    <w:embedRegular r:id="rId7" w:fontKey="{3CDB67B3-42DC-4939-BCCD-03D29E1E8376}"/>
  </w:font>
  <w:font w:name="Showcard Gothic">
    <w:altName w:val="Gabriola"/>
    <w:panose1 w:val="04020904020102020604"/>
    <w:charset w:val="00"/>
    <w:family w:val="auto"/>
    <w:pitch w:val="default"/>
    <w:sig w:usb0="00000000" w:usb1="00000000" w:usb2="00000000" w:usb3="00000000" w:csb0="00000000" w:csb1="00000000"/>
    <w:embedRegular r:id="rId8" w:fontKey="{6331A20C-4E0A-4826-A140-80417439D1D7}"/>
  </w:font>
  <w:font w:name="Gabriola">
    <w:panose1 w:val="04040605051002020D02"/>
    <w:charset w:val="00"/>
    <w:family w:val="auto"/>
    <w:pitch w:val="default"/>
    <w:sig w:usb0="E00002EF" w:usb1="5000204B" w:usb2="00000000" w:usb3="00000000" w:csb0="2000009F" w:csb1="00000000"/>
  </w:font>
  <w:font w:name="华文中宋">
    <w:altName w:val="宋体"/>
    <w:panose1 w:val="02010600040101010101"/>
    <w:charset w:val="00"/>
    <w:family w:val="auto"/>
    <w:pitch w:val="default"/>
    <w:sig w:usb0="00000000" w:usb1="00000000" w:usb2="00000000" w:usb3="00000000" w:csb0="00000000" w:csb1="00000000"/>
    <w:embedRegular r:id="rId9" w:fontKey="{7CE8B707-0725-4DB8-A1BD-201FB2092475}"/>
  </w:font>
  <w:font w:name="汉仪书宋二S">
    <w:altName w:val="宋体"/>
    <w:panose1 w:val="020B0503020202020204"/>
    <w:charset w:val="00"/>
    <w:family w:val="auto"/>
    <w:pitch w:val="default"/>
    <w:sig w:usb0="00000000" w:usb1="00000000" w:usb2="00000000" w:usb3="00000000" w:csb0="00000000" w:csb1="00000000"/>
    <w:embedRegular r:id="rId10" w:fontKey="{D79C5E01-9C6A-40AE-B97F-18C959C5AFAF}"/>
  </w:font>
  <w:font w:name="方正仿宋_GBK">
    <w:panose1 w:val="02000000000000000000"/>
    <w:charset w:val="86"/>
    <w:family w:val="auto"/>
    <w:pitch w:val="default"/>
    <w:sig w:usb0="A00002BF" w:usb1="38CF7CFA" w:usb2="00082016" w:usb3="00000000" w:csb0="00040001" w:csb1="00000000"/>
    <w:embedRegular r:id="rId11" w:fontKey="{0A395F33-8D83-4999-9D86-E3DC80C31710}"/>
  </w:font>
  <w:font w:name="WPSEMBED92">
    <w:panose1 w:val="02010600040101010101"/>
    <w:charset w:val="86"/>
    <w:family w:val="auto"/>
    <w:pitch w:val="default"/>
    <w:sig w:usb0="A00002BF" w:usb1="78CF7CFB" w:usb2="00000016" w:usb3="00000000" w:csb0="6006009F" w:csb1="DFD70000"/>
  </w:font>
  <w:font w:name="KSOFE44F9426">
    <w:panose1 w:val="02010609060101010101"/>
    <w:charset w:val="86"/>
    <w:family w:val="auto"/>
    <w:pitch w:val="default"/>
    <w:sig w:usb0="00000001" w:usb1="00000000" w:usb2="00000000"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0AA7C3D">
    <w:pPr>
      <w:pStyle w:val="233"/>
      <w:jc w:val="center"/>
      <w:rPr>
        <w:rFonts w:hint="eastAsia"/>
        <w:b/>
        <w:i/>
      </w:rPr>
    </w:pPr>
    <w:r>
      <w:rPr>
        <w:b/>
        <w:i/>
        <w:sz w:val="20"/>
      </w:rPr>
      <w:t xml:space="preserve"> </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A7CA91D">
    <w:pPr>
      <w:pStyle w:val="233"/>
      <w:framePr w:wrap="around" w:vAnchor="text" w:hAnchor="margin" w:xAlign="center" w:y="1"/>
      <w:rPr>
        <w:rStyle w:val="262"/>
      </w:rPr>
    </w:pPr>
    <w:r>
      <w:fldChar w:fldCharType="begin"/>
    </w:r>
    <w:r>
      <w:rPr>
        <w:rStyle w:val="262"/>
      </w:rPr>
      <w:instrText xml:space="preserve">PAGE  </w:instrText>
    </w:r>
    <w:r>
      <w:fldChar w:fldCharType="separate"/>
    </w:r>
    <w:r>
      <w:rPr>
        <w:rStyle w:val="262"/>
      </w:rPr>
      <w:t>1</w:t>
    </w:r>
    <w:r>
      <w:fldChar w:fldCharType="end"/>
    </w:r>
  </w:p>
  <w:p w14:paraId="33698F32">
    <w:pPr>
      <w:pStyle w:val="233"/>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99919FE">
    <w:pPr>
      <w:pStyle w:val="233"/>
      <w:jc w:val="center"/>
      <w:rPr>
        <w:rFonts w:hint="eastAsia"/>
        <w:b/>
        <w:i/>
      </w:rPr>
    </w:pPr>
    <w:r>
      <w:rPr>
        <w:sz w:val="20"/>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bwMode="auto">
                      <a:xfrm>
                        <a:off x="0" y="0"/>
                        <a:ext cx="1828800" cy="1828800"/>
                      </a:xfrm>
                      <a:prstGeom prst="rect">
                        <a:avLst/>
                      </a:prstGeom>
                      <a:noFill/>
                      <a:ln>
                        <a:noFill/>
                      </a:ln>
                    </wps:spPr>
                    <wps:txbx>
                      <w:txbxContent>
                        <w:p w14:paraId="570EA706">
                          <w:pPr>
                            <w:pStyle w:val="233"/>
                            <w:tabs>
                              <w:tab w:val="clear" w:pos="4153"/>
                              <w:tab w:val="clear" w:pos="8306"/>
                            </w:tabs>
                          </w:pPr>
                          <w:r>
                            <w:fldChar w:fldCharType="begin"/>
                          </w:r>
                          <w:r>
                            <w:instrText xml:space="preserve"> PAGE  \* MERGEFORMAT </w:instrText>
                          </w:r>
                          <w:r>
                            <w:fldChar w:fldCharType="separate"/>
                          </w:r>
                          <w:r>
                            <w:t>1</w:t>
                          </w:r>
                          <w:r>
                            <w:fldChar w:fldCharType="end"/>
                          </w:r>
                        </w:p>
                        <w:p w14:paraId="19F6080F"/>
                      </w:txbxContent>
                    </wps:txbx>
                    <wps:bodyPr wrap="none" lIns="0" tIns="0" rIns="0" bIns="0" upright="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">
              <v:fill on="f" focussize="0,0"/>
              <v:stroke on="f"/>
              <v:imagedata o:title=""/>
              <o:lock v:ext="edit" aspectratio="f"/>
              <v:textbox inset="0mm,0mm,0mm,0mm" style="mso-fit-shape-to-text:t;">
                <w:txbxContent>
                  <w:p w14:paraId="570EA706">
                    <w:pPr>
                      <w:pStyle w:val="233"/>
                      <w:tabs>
                        <w:tab w:val="clear" w:pos="4153"/>
                        <w:tab w:val="clear" w:pos="8306"/>
                      </w:tabs>
                    </w:pPr>
                    <w:r>
                      <w:fldChar w:fldCharType="begin"/>
                    </w:r>
                    <w:r>
                      <w:instrText xml:space="preserve"> PAGE  \* MERGEFORMAT </w:instrText>
                    </w:r>
                    <w:r>
                      <w:fldChar w:fldCharType="separate"/>
                    </w:r>
                    <w:r>
                      <w:t>1</w:t>
                    </w:r>
                    <w:r>
                      <w:fldChar w:fldCharType="end"/>
                    </w:r>
                  </w:p>
                  <w:p w14:paraId="19F6080F"/>
                </w:txbxContent>
              </v:textbox>
            </v:shape>
          </w:pict>
        </mc:Fallback>
      </mc:AlternateContent>
    </w:r>
    <w:r>
      <w:rPr>
        <w:b/>
        <w:i/>
        <w:sz w:val="20"/>
      </w:rPr>
      <w:t xml:space="preserve"> </w: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0C9FFD8">
    <w:pPr>
      <w:pStyle w:val="233"/>
    </w:pPr>
    <w:r>
      <w:rPr>
        <w:sz w:val="1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bwMode="auto">
                      <a:xfrm>
                        <a:off x="0" y="0"/>
                        <a:ext cx="1828800" cy="1828800"/>
                      </a:xfrm>
                      <a:prstGeom prst="rect">
                        <a:avLst/>
                      </a:prstGeom>
                      <a:noFill/>
                      <a:ln>
                        <a:noFill/>
                      </a:ln>
                    </wps:spPr>
                    <wps:txbx>
                      <w:txbxContent>
                        <w:p w14:paraId="2A66F92F">
                          <w:pPr>
                            <w:pStyle w:val="233"/>
                            <w:tabs>
                              <w:tab w:val="clear" w:pos="4153"/>
                              <w:tab w:val="clear" w:pos="8306"/>
                            </w:tabs>
                          </w:pPr>
                          <w:r>
                            <w:fldChar w:fldCharType="begin"/>
                          </w:r>
                          <w:r>
                            <w:instrText xml:space="preserve"> PAGE  \* MERGEFORMAT </w:instrText>
                          </w:r>
                          <w:r>
                            <w:fldChar w:fldCharType="separate"/>
                          </w:r>
                          <w:r>
                            <w:t>1</w:t>
                          </w:r>
                          <w:r>
                            <w:fldChar w:fldCharType="end"/>
                          </w:r>
                        </w:p>
                        <w:p w14:paraId="17AEE321"/>
                      </w:txbxContent>
                    </wps:txbx>
                    <wps:bodyPr wrap="none" lIns="0" tIns="0" rIns="0" bIns="0" upright="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">
              <v:fill on="f" focussize="0,0"/>
              <v:stroke on="f"/>
              <v:imagedata o:title=""/>
              <o:lock v:ext="edit" aspectratio="f"/>
              <v:textbox inset="0mm,0mm,0mm,0mm" style="mso-fit-shape-to-text:t;">
                <w:txbxContent>
                  <w:p w14:paraId="2A66F92F">
                    <w:pPr>
                      <w:pStyle w:val="233"/>
                      <w:tabs>
                        <w:tab w:val="clear" w:pos="4153"/>
                        <w:tab w:val="clear" w:pos="8306"/>
                      </w:tabs>
                    </w:pPr>
                    <w:r>
                      <w:fldChar w:fldCharType="begin"/>
                    </w:r>
                    <w:r>
                      <w:instrText xml:space="preserve"> PAGE  \* MERGEFORMAT </w:instrText>
                    </w:r>
                    <w:r>
                      <w:fldChar w:fldCharType="separate"/>
                    </w:r>
                    <w:r>
                      <w:t>1</w:t>
                    </w:r>
                    <w:r>
                      <w:fldChar w:fldCharType="end"/>
                    </w:r>
                  </w:p>
                  <w:p w14:paraId="17AEE321"/>
                </w:txbxContent>
              </v:textbox>
            </v:shape>
          </w:pict>
        </mc:Fallback>
      </mc:AlternateConten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C956A3A">
    <w:pPr>
      <w:pStyle w:val="233"/>
      <w:jc w:val="center"/>
      <w:rPr>
        <w:rFonts w:hint="eastAsia"/>
        <w:b/>
        <w:i/>
      </w:rPr>
    </w:pPr>
    <w:r>
      <w:rPr>
        <w:sz w:val="20"/>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SpPr txBox="1"/>
                    <wps:spPr bwMode="auto">
                      <a:xfrm>
                        <a:off x="0" y="0"/>
                        <a:ext cx="1828800" cy="1828800"/>
                      </a:xfrm>
                      <a:prstGeom prst="rect">
                        <a:avLst/>
                      </a:prstGeom>
                      <a:noFill/>
                      <a:ln>
                        <a:noFill/>
                      </a:ln>
                    </wps:spPr>
                    <wps:txbx>
                      <w:txbxContent>
                        <w:p w14:paraId="3D71A8E0">
                          <w:pPr>
                            <w:pStyle w:val="233"/>
                            <w:tabs>
                              <w:tab w:val="clear" w:pos="4153"/>
                              <w:tab w:val="clear" w:pos="8306"/>
                            </w:tabs>
                          </w:pPr>
                          <w:r>
                            <w:fldChar w:fldCharType="begin"/>
                          </w:r>
                          <w:r>
                            <w:instrText xml:space="preserve"> PAGE  \* MERGEFORMAT </w:instrText>
                          </w:r>
                          <w:r>
                            <w:fldChar w:fldCharType="separate"/>
                          </w:r>
                          <w:r>
                            <w:t>0</w:t>
                          </w:r>
                          <w:r>
                            <w:fldChar w:fldCharType="end"/>
                          </w:r>
                        </w:p>
                        <w:p w14:paraId="369EB9C5"/>
                      </w:txbxContent>
                    </wps:txbx>
                    <wps:bodyPr wrap="none" lIns="0" tIns="0" rIns="0" bIns="0" upright="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">
              <v:fill on="f" focussize="0,0"/>
              <v:stroke on="f"/>
              <v:imagedata o:title=""/>
              <o:lock v:ext="edit" aspectratio="f"/>
              <v:textbox inset="0mm,0mm,0mm,0mm" style="mso-fit-shape-to-text:t;">
                <w:txbxContent>
                  <w:p w14:paraId="3D71A8E0">
                    <w:pPr>
                      <w:pStyle w:val="233"/>
                      <w:tabs>
                        <w:tab w:val="clear" w:pos="4153"/>
                        <w:tab w:val="clear" w:pos="8306"/>
                      </w:tabs>
                    </w:pPr>
                    <w:r>
                      <w:fldChar w:fldCharType="begin"/>
                    </w:r>
                    <w:r>
                      <w:instrText xml:space="preserve"> PAGE  \* MERGEFORMAT </w:instrText>
                    </w:r>
                    <w:r>
                      <w:fldChar w:fldCharType="separate"/>
                    </w:r>
                    <w:r>
                      <w:t>0</w:t>
                    </w:r>
                    <w:r>
                      <w:fldChar w:fldCharType="end"/>
                    </w:r>
                  </w:p>
                  <w:p w14:paraId="369EB9C5"/>
                </w:txbxContent>
              </v:textbox>
            </v:shape>
          </w:pict>
        </mc:Fallback>
      </mc:AlternateContent>
    </w:r>
    <w:r>
      <w:rPr>
        <w:b/>
        <w:i/>
        <w:sz w:val="20"/>
      </w:rPr>
      <w:t xml:space="preserve"> </w: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CC7CA28">
    <w:pPr>
      <w:pStyle w:val="233"/>
      <w:rPr>
        <w:rFonts w:eastAsia="宋体"/>
        <w:lang w:val="en-US" w:eastAsia="zh-CN"/>
      </w:rPr>
    </w:pPr>
    <w:r>
      <w:rPr>
        <w:sz w:val="1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SpPr txBox="1"/>
                    <wps:spPr bwMode="auto">
                      <a:xfrm>
                        <a:off x="0" y="0"/>
                        <a:ext cx="1828800" cy="1828800"/>
                      </a:xfrm>
                      <a:prstGeom prst="rect">
                        <a:avLst/>
                      </a:prstGeom>
                      <a:noFill/>
                      <a:ln>
                        <a:noFill/>
                      </a:ln>
                    </wps:spPr>
                    <wps:txbx>
                      <w:txbxContent>
                        <w:p w14:paraId="57B9BDB8">
                          <w:pPr>
                            <w:pStyle w:val="233"/>
                            <w:tabs>
                              <w:tab w:val="clear" w:pos="4153"/>
                              <w:tab w:val="clear" w:pos="8306"/>
                            </w:tabs>
                          </w:pPr>
                          <w:r>
                            <w:fldChar w:fldCharType="begin"/>
                          </w:r>
                          <w:r>
                            <w:instrText xml:space="preserve"> PAGE  \* MERGEFORMAT </w:instrText>
                          </w:r>
                          <w:r>
                            <w:fldChar w:fldCharType="separate"/>
                          </w:r>
                          <w:r>
                            <w:t>20</w:t>
                          </w:r>
                          <w:r>
                            <w:fldChar w:fldCharType="end"/>
                          </w:r>
                        </w:p>
                        <w:p w14:paraId="50AD076C"/>
                      </w:txbxContent>
                    </wps:txbx>
                    <wps:bodyPr wrap="none" lIns="0" tIns="0" rIns="0" bIns="0" upright="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">
              <v:fill on="f" focussize="0,0"/>
              <v:stroke on="f"/>
              <v:imagedata o:title=""/>
              <o:lock v:ext="edit" aspectratio="f"/>
              <v:textbox inset="0mm,0mm,0mm,0mm" style="mso-fit-shape-to-text:t;">
                <w:txbxContent>
                  <w:p w14:paraId="57B9BDB8">
                    <w:pPr>
                      <w:pStyle w:val="233"/>
                      <w:tabs>
                        <w:tab w:val="clear" w:pos="4153"/>
                        <w:tab w:val="clear" w:pos="8306"/>
                      </w:tabs>
                    </w:pPr>
                    <w:r>
                      <w:fldChar w:fldCharType="begin"/>
                    </w:r>
                    <w:r>
                      <w:instrText xml:space="preserve"> PAGE  \* MERGEFORMAT </w:instrText>
                    </w:r>
                    <w:r>
                      <w:fldChar w:fldCharType="separate"/>
                    </w:r>
                    <w:r>
                      <w:t>20</w:t>
                    </w:r>
                    <w:r>
                      <w:fldChar w:fldCharType="end"/>
                    </w:r>
                  </w:p>
                  <w:p w14:paraId="50AD076C"/>
                </w:txbxContent>
              </v:textbox>
            </v:shape>
          </w:pict>
        </mc:Fallback>
      </mc:AlternateContent>
    </w:r>
    <w:r>
      <w:rPr>
        <w:sz w:val="1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5"/>
              <wp:cNvGraphicFramePr/>
              <a:graphic xmlns:a="http://schemas.openxmlformats.org/drawingml/2006/main">
                <a:graphicData uri="http://schemas.microsoft.com/office/word/2010/wordprocessingShape">
                  <wps:wsp>
                    <wps:cNvSpPr txBox="1"/>
                    <wps:spPr bwMode="auto">
                      <a:xfrm>
                        <a:off x="0" y="0"/>
                        <a:ext cx="1828800" cy="1828800"/>
                      </a:xfrm>
                      <a:prstGeom prst="rect">
                        <a:avLst/>
                      </a:prstGeom>
                      <a:noFill/>
                      <a:ln>
                        <a:noFill/>
                      </a:ln>
                    </wps:spPr>
                    <wps:txbx>
                      <w:txbxContent>
                        <w:p w14:paraId="010102AB">
                          <w:pPr>
                            <w:pStyle w:val="233"/>
                            <w:tabs>
                              <w:tab w:val="clear" w:pos="4153"/>
                              <w:tab w:val="clear" w:pos="8306"/>
                            </w:tabs>
                            <w:rPr>
                              <w:rFonts w:eastAsia="宋体"/>
                              <w:lang w:val="en-US" w:eastAsia="zh-CN"/>
                            </w:rPr>
                          </w:pPr>
                          <w:r>
                            <w:rPr>
                              <w:rFonts w:hint="eastAsia"/>
                              <w:lang w:val="en-US" w:eastAsia="zh-CN"/>
                            </w:rPr>
                            <w:t>20</w:t>
                          </w:r>
                        </w:p>
                        <w:p w14:paraId="024997EF"/>
                      </w:txbxContent>
                    </wps:txbx>
                    <wps:bodyPr wrap="none" lIns="0" tIns="0" rIns="0" bIns="0" upright="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">
              <v:fill on="f" focussize="0,0"/>
              <v:stroke on="f"/>
              <v:imagedata o:title=""/>
              <o:lock v:ext="edit" aspectratio="f"/>
              <v:textbox inset="0mm,0mm,0mm,0mm" style="mso-fit-shape-to-text:t;">
                <w:txbxContent>
                  <w:p w14:paraId="010102AB">
                    <w:pPr>
                      <w:pStyle w:val="233"/>
                      <w:tabs>
                        <w:tab w:val="clear" w:pos="4153"/>
                        <w:tab w:val="clear" w:pos="8306"/>
                      </w:tabs>
                      <w:rPr>
                        <w:rFonts w:eastAsia="宋体"/>
                        <w:lang w:val="en-US" w:eastAsia="zh-CN"/>
                      </w:rPr>
                    </w:pPr>
                    <w:r>
                      <w:rPr>
                        <w:rFonts w:hint="eastAsia"/>
                        <w:lang w:val="en-US" w:eastAsia="zh-CN"/>
                      </w:rPr>
                      <w:t>20</w:t>
                    </w:r>
                  </w:p>
                  <w:p w14:paraId="024997EF"/>
                </w:txbxContent>
              </v:textbox>
            </v:shape>
          </w:pict>
        </mc:Fallback>
      </mc:AlternateContent>
    </w: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文本框 6"/>
              <wp:cNvGraphicFramePr/>
              <a:graphic xmlns:a="http://schemas.openxmlformats.org/drawingml/2006/main">
                <a:graphicData uri="http://schemas.microsoft.com/office/word/2010/wordprocessingShape">
                  <wps:wsp>
                    <wps:cNvSpPr txBox="1"/>
                    <wps:spPr bwMode="auto">
                      <a:xfrm>
                        <a:off x="0" y="0"/>
                        <a:ext cx="1828800" cy="1828800"/>
                      </a:xfrm>
                      <a:prstGeom prst="rect">
                        <a:avLst/>
                      </a:prstGeom>
                      <a:noFill/>
                      <a:ln>
                        <a:noFill/>
                      </a:ln>
                    </wps:spPr>
                    <wps:txbx>
                      <w:txbxContent>
                        <w:p w14:paraId="22AC5F10"/>
                        <w:p w14:paraId="3B49A788"/>
                      </w:txbxContent>
                    </wps:txbx>
                    <wps:bodyPr wrap="none" lIns="0" tIns="0" rIns="0" bIns="0" upright="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">
              <v:fill on="f" focussize="0,0"/>
              <v:stroke on="f"/>
              <v:imagedata o:title=""/>
              <o:lock v:ext="edit" aspectratio="f"/>
              <v:textbox inset="0mm,0mm,0mm,0mm" style="mso-fit-shape-to-text:t;">
                <w:txbxContent>
                  <w:p w14:paraId="22AC5F10"/>
                  <w:p w14:paraId="3B49A788"/>
                </w:txbxContent>
              </v:textbox>
            </v:shape>
          </w:pict>
        </mc:Fallback>
      </mc:AlternateContent>
    </w:r>
    <w:r>
      <w:rPr>
        <w:rFonts w:hint="eastAsia"/>
        <w:lang w:val="en-US" w:eastAsia="zh-CN"/>
      </w:rPr>
      <w:t xml:space="preserve">                                        </w:t>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5537462">
    <w:pPr>
      <w:pStyle w:val="233"/>
      <w:jc w:val="center"/>
      <w:rPr>
        <w:rFonts w:hint="eastAsia" w:ascii="宋体" w:hAnsi="宋体" w:eastAsia="宋体" w:cs="宋体"/>
        <w:b w:val="0"/>
        <w:bCs/>
        <w:i w:val="0"/>
        <w:iCs/>
        <w:sz w:val="18"/>
        <w:szCs w:val="18"/>
        <w:lang w:val="en-US" w:eastAsia="zh-CN"/>
      </w:rPr>
    </w:pPr>
    <w:r>
      <w:rPr>
        <w:sz w:val="1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7" name="文本框 7"/>
              <wp:cNvGraphicFramePr/>
              <a:graphic xmlns:a="http://schemas.openxmlformats.org/drawingml/2006/main">
                <a:graphicData uri="http://schemas.microsoft.com/office/word/2010/wordprocessingShape">
                  <wps:wsp>
                    <wps:cNvSpPr txBox="1"/>
                    <wps:spPr bwMode="auto">
                      <a:xfrm>
                        <a:off x="0" y="0"/>
                        <a:ext cx="1828800" cy="1828800"/>
                      </a:xfrm>
                      <a:prstGeom prst="rect">
                        <a:avLst/>
                      </a:prstGeom>
                      <a:noFill/>
                      <a:ln>
                        <a:noFill/>
                      </a:ln>
                    </wps:spPr>
                    <wps:txbx>
                      <w:txbxContent>
                        <w:p w14:paraId="2693FD43">
                          <w:pPr>
                            <w:pStyle w:val="233"/>
                            <w:tabs>
                              <w:tab w:val="clear" w:pos="4153"/>
                              <w:tab w:val="clear" w:pos="8306"/>
                            </w:tabs>
                          </w:pPr>
                          <w:r>
                            <w:fldChar w:fldCharType="begin"/>
                          </w:r>
                          <w:r>
                            <w:instrText xml:space="preserve"> PAGE  \* MERGEFORMAT </w:instrText>
                          </w:r>
                          <w:r>
                            <w:fldChar w:fldCharType="separate"/>
                          </w:r>
                          <w:r>
                            <w:t>26</w:t>
                          </w:r>
                          <w:r>
                            <w:fldChar w:fldCharType="end"/>
                          </w:r>
                        </w:p>
                        <w:p w14:paraId="4F06FB30"/>
                      </w:txbxContent>
                    </wps:txbx>
                    <wps:bodyPr wrap="none" lIns="0" tIns="0" rIns="0" bIns="0" upright="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">
              <v:fill on="f" focussize="0,0"/>
              <v:stroke on="f"/>
              <v:imagedata o:title=""/>
              <o:lock v:ext="edit" aspectratio="f"/>
              <v:textbox inset="0mm,0mm,0mm,0mm" style="mso-fit-shape-to-text:t;">
                <w:txbxContent>
                  <w:p w14:paraId="2693FD43">
                    <w:pPr>
                      <w:pStyle w:val="233"/>
                      <w:tabs>
                        <w:tab w:val="clear" w:pos="4153"/>
                        <w:tab w:val="clear" w:pos="8306"/>
                      </w:tabs>
                    </w:pPr>
                    <w:r>
                      <w:fldChar w:fldCharType="begin"/>
                    </w:r>
                    <w:r>
                      <w:instrText xml:space="preserve"> PAGE  \* MERGEFORMAT </w:instrText>
                    </w:r>
                    <w:r>
                      <w:fldChar w:fldCharType="separate"/>
                    </w:r>
                    <w:r>
                      <w:t>26</w:t>
                    </w:r>
                    <w:r>
                      <w:fldChar w:fldCharType="end"/>
                    </w:r>
                  </w:p>
                  <w:p w14:paraId="4F06FB30"/>
                </w:txbxContent>
              </v:textbox>
            </v:shape>
          </w:pict>
        </mc:Fallback>
      </mc:AlternateContent>
    </w:r>
    <w:r>
      <w:rPr>
        <w:rFonts w:hint="eastAsia" w:ascii="宋体" w:hAnsi="宋体" w:eastAsia="宋体" w:cs="宋体"/>
        <w:b w:val="0"/>
        <w:bCs/>
        <w:i w:val="0"/>
        <w:iCs/>
        <w:sz w:val="18"/>
        <w:szCs w:val="18"/>
      </w:rPr>
      <w:t xml:space="preserve"> </w:t>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7BF2A78">
    <w:pPr>
      <w:pStyle w:val="233"/>
      <w:rPr>
        <w:rFonts w:eastAsia="宋体"/>
        <w:lang w:val="en-US" w:eastAsia="zh-CN"/>
      </w:rPr>
    </w:pPr>
    <w:r>
      <w:rPr>
        <w:sz w:val="1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8" name="文本框 8"/>
              <wp:cNvGraphicFramePr/>
              <a:graphic xmlns:a="http://schemas.openxmlformats.org/drawingml/2006/main">
                <a:graphicData uri="http://schemas.microsoft.com/office/word/2010/wordprocessingShape">
                  <wps:wsp>
                    <wps:cNvSpPr txBox="1"/>
                    <wps:spPr bwMode="auto">
                      <a:xfrm>
                        <a:off x="0" y="0"/>
                        <a:ext cx="1828800" cy="1828800"/>
                      </a:xfrm>
                      <a:prstGeom prst="rect">
                        <a:avLst/>
                      </a:prstGeom>
                      <a:noFill/>
                      <a:ln>
                        <a:noFill/>
                      </a:ln>
                    </wps:spPr>
                    <wps:txbx>
                      <w:txbxContent>
                        <w:p w14:paraId="51BFBE00">
                          <w:pPr>
                            <w:pStyle w:val="233"/>
                            <w:tabs>
                              <w:tab w:val="clear" w:pos="4153"/>
                              <w:tab w:val="clear" w:pos="8306"/>
                            </w:tabs>
                          </w:pPr>
                          <w:r>
                            <w:fldChar w:fldCharType="begin"/>
                          </w:r>
                          <w:r>
                            <w:instrText xml:space="preserve"> PAGE  \* MERGEFORMAT </w:instrText>
                          </w:r>
                          <w:r>
                            <w:fldChar w:fldCharType="separate"/>
                          </w:r>
                          <w:r>
                            <w:t>21</w:t>
                          </w:r>
                          <w:r>
                            <w:fldChar w:fldCharType="end"/>
                          </w:r>
                        </w:p>
                        <w:p w14:paraId="3370B4F7"/>
                      </w:txbxContent>
                    </wps:txbx>
                    <wps:bodyPr wrap="none" lIns="0" tIns="0" rIns="0" bIns="0" upright="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">
              <v:fill on="f" focussize="0,0"/>
              <v:stroke on="f"/>
              <v:imagedata o:title=""/>
              <o:lock v:ext="edit" aspectratio="f"/>
              <v:textbox inset="0mm,0mm,0mm,0mm" style="mso-fit-shape-to-text:t;">
                <w:txbxContent>
                  <w:p w14:paraId="51BFBE00">
                    <w:pPr>
                      <w:pStyle w:val="233"/>
                      <w:tabs>
                        <w:tab w:val="clear" w:pos="4153"/>
                        <w:tab w:val="clear" w:pos="8306"/>
                      </w:tabs>
                    </w:pPr>
                    <w:r>
                      <w:fldChar w:fldCharType="begin"/>
                    </w:r>
                    <w:r>
                      <w:instrText xml:space="preserve"> PAGE  \* MERGEFORMAT </w:instrText>
                    </w:r>
                    <w:r>
                      <w:fldChar w:fldCharType="separate"/>
                    </w:r>
                    <w:r>
                      <w:t>21</w:t>
                    </w:r>
                    <w:r>
                      <w:fldChar w:fldCharType="end"/>
                    </w:r>
                  </w:p>
                  <w:p w14:paraId="3370B4F7"/>
                </w:txbxContent>
              </v:textbox>
            </v:shape>
          </w:pict>
        </mc:Fallback>
      </mc:AlternateContent>
    </w:r>
    <w:r>
      <w:rPr>
        <w:sz w:val="1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9" name="文本框 9"/>
              <wp:cNvGraphicFramePr/>
              <a:graphic xmlns:a="http://schemas.openxmlformats.org/drawingml/2006/main">
                <a:graphicData uri="http://schemas.microsoft.com/office/word/2010/wordprocessingShape">
                  <wps:wsp>
                    <wps:cNvSpPr txBox="1"/>
                    <wps:spPr bwMode="auto">
                      <a:xfrm>
                        <a:off x="0" y="0"/>
                        <a:ext cx="1828800" cy="1828800"/>
                      </a:xfrm>
                      <a:prstGeom prst="rect">
                        <a:avLst/>
                      </a:prstGeom>
                      <a:noFill/>
                      <a:ln>
                        <a:noFill/>
                      </a:ln>
                    </wps:spPr>
                    <wps:txbx>
                      <w:txbxContent>
                        <w:p w14:paraId="637D8EA6"/>
                        <w:p w14:paraId="297B16A3"/>
                      </w:txbxContent>
                    </wps:txbx>
                    <wps:bodyPr wrap="none" lIns="0" tIns="0" rIns="0" bIns="0" upright="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">
              <v:fill on="f" focussize="0,0"/>
              <v:stroke on="f"/>
              <v:imagedata o:title=""/>
              <o:lock v:ext="edit" aspectratio="f"/>
              <v:textbox inset="0mm,0mm,0mm,0mm" style="mso-fit-shape-to-text:t;">
                <w:txbxContent>
                  <w:p w14:paraId="637D8EA6"/>
                  <w:p w14:paraId="297B16A3"/>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90FD3BA">
    <w:pPr>
      <w:pStyle w:val="235"/>
      <w:pBdr>
        <w:bottom w:val="none" w:color="000000" w:sz="0" w:space="0"/>
      </w:pBd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6B3B97E">
    <w:pPr>
      <w:pStyle w:val="235"/>
      <w:pBdr>
        <w:bottom w:val="none" w:color="000000" w:sz="0" w:space="1"/>
      </w:pBd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AD43602">
    <w:pPr>
      <w:pStyle w:val="235"/>
      <w:pBdr>
        <w:bottom w:val="none" w:color="000000" w:sz="0" w:space="0"/>
      </w:pBd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B5E306ED"/>
    <w:multiLevelType w:val="multilevel"/>
    <w:tmpl w:val="B5E306ED"/>
    <w:lvl w:ilvl="0" w:tentative="0">
      <w:start w:val="1"/>
      <w:numFmt w:val="decimal"/>
      <w:suff w:val="space"/>
      <w:lvlText w:val="%1."/>
      <w:lvlJc w:val="left"/>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1">
    <w:nsid w:val="BF205925"/>
    <w:multiLevelType w:val="multilevel"/>
    <w:tmpl w:val="BF205925"/>
    <w:lvl w:ilvl="0" w:tentative="0">
      <w:start w:val="1"/>
      <w:numFmt w:val="japaneseCounting"/>
      <w:lvlText w:val="第%1章"/>
      <w:lvlJc w:val="left"/>
      <w:pPr>
        <w:tabs>
          <w:tab w:val="left" w:pos="1440"/>
        </w:tabs>
        <w:ind w:left="1440" w:hanging="1440"/>
      </w:pPr>
      <w:rPr>
        <w:rFonts w:hint="eastAsia" w:ascii="黑体" w:eastAsia="黑体"/>
        <w:b w:val="0"/>
        <w:sz w:val="36"/>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2">
    <w:nsid w:val="BF6BC116"/>
    <w:multiLevelType w:val="singleLevel"/>
    <w:tmpl w:val="BF6BC116"/>
    <w:lvl w:ilvl="0" w:tentative="0">
      <w:start w:val="16"/>
      <w:numFmt w:val="decimal"/>
      <w:suff w:val="space"/>
      <w:lvlText w:val="%1."/>
      <w:lvlJc w:val="left"/>
    </w:lvl>
  </w:abstractNum>
  <w:abstractNum w:abstractNumId="3">
    <w:nsid w:val="CF092B84"/>
    <w:multiLevelType w:val="multilevel"/>
    <w:tmpl w:val="CF092B84"/>
    <w:lvl w:ilvl="0" w:tentative="0">
      <w:start w:val="1"/>
      <w:numFmt w:val="upperLetter"/>
      <w:pStyle w:val="289"/>
      <w:lvlText w:val="附录%1."/>
      <w:lvlJc w:val="left"/>
      <w:pPr>
        <w:tabs>
          <w:tab w:val="left" w:pos="907"/>
        </w:tabs>
        <w:ind w:left="907" w:hanging="907"/>
      </w:pPr>
      <w:rPr>
        <w:rFonts w:hint="eastAsia"/>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4">
    <w:nsid w:val="DDECD3BC"/>
    <w:multiLevelType w:val="singleLevel"/>
    <w:tmpl w:val="DDECD3BC"/>
    <w:lvl w:ilvl="0" w:tentative="0">
      <w:start w:val="6"/>
      <w:numFmt w:val="decimal"/>
      <w:suff w:val="space"/>
      <w:lvlText w:val="%1."/>
      <w:lvlJc w:val="left"/>
    </w:lvl>
  </w:abstractNum>
  <w:abstractNum w:abstractNumId="5">
    <w:nsid w:val="DE759F4B"/>
    <w:multiLevelType w:val="singleLevel"/>
    <w:tmpl w:val="DE759F4B"/>
    <w:lvl w:ilvl="0" w:tentative="0">
      <w:start w:val="2"/>
      <w:numFmt w:val="decimal"/>
      <w:suff w:val="space"/>
      <w:lvlText w:val="%1."/>
      <w:lvlJc w:val="left"/>
    </w:lvl>
  </w:abstractNum>
  <w:abstractNum w:abstractNumId="6">
    <w:nsid w:val="0053208E"/>
    <w:multiLevelType w:val="multilevel"/>
    <w:tmpl w:val="0053208E"/>
    <w:lvl w:ilvl="0" w:tentative="0">
      <w:start w:val="1"/>
      <w:numFmt w:val="chineseCountingThousand"/>
      <w:suff w:val="nothing"/>
      <w:lvlText w:val="第%1章 "/>
      <w:lvlJc w:val="left"/>
      <w:pPr>
        <w:ind w:left="0" w:firstLine="0"/>
      </w:pPr>
      <w:rPr>
        <w:rFonts w:hint="eastAsia"/>
      </w:rPr>
    </w:lvl>
    <w:lvl w:ilvl="1" w:tentative="0">
      <w:start w:val="1"/>
      <w:numFmt w:val="decimal"/>
      <w:suff w:val="nothing"/>
      <w:lvlText w:val="%2、"/>
      <w:lvlJc w:val="left"/>
      <w:pPr>
        <w:ind w:left="0" w:firstLine="0"/>
      </w:pPr>
      <w:rPr>
        <w:rFonts w:hint="eastAsia"/>
      </w:rPr>
    </w:lvl>
    <w:lvl w:ilvl="2" w:tentative="0">
      <w:start w:val="1"/>
      <w:numFmt w:val="decimal"/>
      <w:suff w:val="nothing"/>
      <w:lvlText w:val="%2.%3 "/>
      <w:lvlJc w:val="left"/>
      <w:pPr>
        <w:ind w:left="0" w:firstLine="0"/>
      </w:pPr>
      <w:rPr>
        <w:rFonts w:hint="eastAsia"/>
      </w:rPr>
    </w:lvl>
    <w:lvl w:ilvl="3" w:tentative="0">
      <w:start w:val="1"/>
      <w:numFmt w:val="decimal"/>
      <w:suff w:val="nothing"/>
      <w:lvlText w:val="%2.%3.%4 "/>
      <w:lvlJc w:val="left"/>
      <w:pPr>
        <w:ind w:left="0" w:firstLine="0"/>
      </w:pPr>
      <w:rPr>
        <w:rFonts w:hint="eastAsia"/>
      </w:rPr>
    </w:lvl>
    <w:lvl w:ilvl="4" w:tentative="0">
      <w:start w:val="1"/>
      <w:numFmt w:val="decimal"/>
      <w:suff w:val="nothing"/>
      <w:lvlText w:val="%2.%3.%4.%5 "/>
      <w:lvlJc w:val="left"/>
      <w:pPr>
        <w:ind w:left="0" w:firstLine="0"/>
      </w:pPr>
      <w:rPr>
        <w:rFonts w:hint="eastAsia"/>
      </w:rPr>
    </w:lvl>
    <w:lvl w:ilvl="5" w:tentative="0">
      <w:start w:val="1"/>
      <w:numFmt w:val="decimal"/>
      <w:pStyle w:val="191"/>
      <w:suff w:val="nothing"/>
      <w:lvlText w:val=""/>
      <w:lvlJc w:val="left"/>
      <w:pPr>
        <w:ind w:left="0" w:firstLine="0"/>
      </w:pPr>
      <w:rPr>
        <w:rFonts w:hint="eastAsia"/>
      </w:rPr>
    </w:lvl>
    <w:lvl w:ilvl="6" w:tentative="0">
      <w:start w:val="1"/>
      <w:numFmt w:val="decimal"/>
      <w:pStyle w:val="192"/>
      <w:suff w:val="nothing"/>
      <w:lvlText w:val=""/>
      <w:lvlJc w:val="left"/>
      <w:pPr>
        <w:ind w:left="0" w:firstLine="0"/>
      </w:pPr>
      <w:rPr>
        <w:rFonts w:hint="eastAsia"/>
      </w:rPr>
    </w:lvl>
    <w:lvl w:ilvl="7" w:tentative="0">
      <w:start w:val="1"/>
      <w:numFmt w:val="decimal"/>
      <w:pStyle w:val="193"/>
      <w:suff w:val="nothing"/>
      <w:lvlText w:val=""/>
      <w:lvlJc w:val="left"/>
      <w:pPr>
        <w:ind w:left="0" w:firstLine="0"/>
      </w:pPr>
      <w:rPr>
        <w:rFonts w:hint="eastAsia"/>
      </w:rPr>
    </w:lvl>
    <w:lvl w:ilvl="8" w:tentative="0">
      <w:start w:val="1"/>
      <w:numFmt w:val="decimal"/>
      <w:pStyle w:val="194"/>
      <w:suff w:val="nothing"/>
      <w:lvlText w:val=""/>
      <w:lvlJc w:val="left"/>
      <w:pPr>
        <w:ind w:left="0" w:firstLine="0"/>
      </w:pPr>
      <w:rPr>
        <w:rFonts w:hint="eastAsia"/>
      </w:rPr>
    </w:lvl>
  </w:abstractNum>
  <w:abstractNum w:abstractNumId="7">
    <w:nsid w:val="03D62ECE"/>
    <w:multiLevelType w:val="multilevel"/>
    <w:tmpl w:val="03D62ECE"/>
    <w:lvl w:ilvl="0" w:tentative="0">
      <w:start w:val="1"/>
      <w:numFmt w:val="decimal"/>
      <w:suff w:val="nothing"/>
      <w:lvlText w:val="（%1）"/>
      <w:lvlJc w:val="left"/>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8">
    <w:nsid w:val="25B654F3"/>
    <w:multiLevelType w:val="multilevel"/>
    <w:tmpl w:val="25B654F3"/>
    <w:lvl w:ilvl="0" w:tentative="0">
      <w:start w:val="1"/>
      <w:numFmt w:val="decimal"/>
      <w:suff w:val="nothing"/>
      <w:lvlText w:val="（%1）"/>
      <w:lvlJc w:val="left"/>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9">
    <w:nsid w:val="28E9FC16"/>
    <w:multiLevelType w:val="singleLevel"/>
    <w:tmpl w:val="28E9FC16"/>
    <w:lvl w:ilvl="0" w:tentative="0">
      <w:start w:val="3"/>
      <w:numFmt w:val="chineseCounting"/>
      <w:suff w:val="nothing"/>
      <w:lvlText w:val="%1、"/>
      <w:lvlJc w:val="left"/>
      <w:rPr>
        <w:rFonts w:hint="eastAsia"/>
      </w:rPr>
    </w:lvl>
  </w:abstractNum>
  <w:abstractNum w:abstractNumId="10">
    <w:nsid w:val="59ADCABA"/>
    <w:multiLevelType w:val="multilevel"/>
    <w:tmpl w:val="59ADCABA"/>
    <w:lvl w:ilvl="0" w:tentative="0">
      <w:start w:val="1"/>
      <w:numFmt w:val="decimal"/>
      <w:pStyle w:val="296"/>
      <w:lvlText w:val="%1."/>
      <w:lvlJc w:val="left"/>
      <w:pPr>
        <w:tabs>
          <w:tab w:val="left" w:pos="709"/>
        </w:tabs>
        <w:ind w:left="709" w:hanging="709"/>
      </w:pPr>
      <w:rPr>
        <w:rFonts w:hint="eastAsia"/>
      </w:rPr>
    </w:lvl>
    <w:lvl w:ilvl="1" w:tentative="0">
      <w:start w:val="1"/>
      <w:numFmt w:val="decimal"/>
      <w:lvlText w:val="%1.%2"/>
      <w:lvlJc w:val="left"/>
      <w:pPr>
        <w:tabs>
          <w:tab w:val="left" w:pos="709"/>
        </w:tabs>
        <w:ind w:left="709" w:hanging="709"/>
      </w:pPr>
      <w:rPr>
        <w:rFonts w:hint="eastAsia"/>
      </w:rPr>
    </w:lvl>
    <w:lvl w:ilvl="2" w:tentative="0">
      <w:start w:val="1"/>
      <w:numFmt w:val="decimal"/>
      <w:lvlText w:val="%1.%2.%3."/>
      <w:lvlJc w:val="left"/>
      <w:pPr>
        <w:tabs>
          <w:tab w:val="left" w:pos="425"/>
        </w:tabs>
        <w:ind w:left="425" w:hanging="425"/>
      </w:pPr>
      <w:rPr>
        <w:rFonts w:hint="eastAsia"/>
      </w:rPr>
    </w:lvl>
    <w:lvl w:ilvl="3" w:tentative="0">
      <w:start w:val="1"/>
      <w:numFmt w:val="decimal"/>
      <w:lvlText w:val="%1.%2.%3.%4."/>
      <w:lvlJc w:val="left"/>
      <w:pPr>
        <w:tabs>
          <w:tab w:val="left" w:pos="851"/>
        </w:tabs>
        <w:ind w:left="851" w:hanging="851"/>
      </w:pPr>
      <w:rPr>
        <w:rFonts w:hint="eastAsia"/>
      </w:rPr>
    </w:lvl>
    <w:lvl w:ilvl="4" w:tentative="0">
      <w:start w:val="1"/>
      <w:numFmt w:val="decimal"/>
      <w:lvlText w:val="%1.%2.%3.%4.%5."/>
      <w:lvlJc w:val="left"/>
      <w:pPr>
        <w:tabs>
          <w:tab w:val="left" w:pos="992"/>
        </w:tabs>
        <w:ind w:left="992" w:hanging="992"/>
      </w:pPr>
      <w:rPr>
        <w:rFonts w:hint="eastAsia"/>
      </w:rPr>
    </w:lvl>
    <w:lvl w:ilvl="5" w:tentative="0">
      <w:start w:val="1"/>
      <w:numFmt w:val="decimal"/>
      <w:lvlText w:val="%1.%2.%3.%4.%5.%6."/>
      <w:lvlJc w:val="left"/>
      <w:pPr>
        <w:tabs>
          <w:tab w:val="left" w:pos="1134"/>
        </w:tabs>
        <w:ind w:left="1134" w:hanging="1134"/>
      </w:pPr>
      <w:rPr>
        <w:rFonts w:hint="eastAsia"/>
      </w:rPr>
    </w:lvl>
    <w:lvl w:ilvl="6" w:tentative="0">
      <w:start w:val="1"/>
      <w:numFmt w:val="decimal"/>
      <w:lvlText w:val="%1.%2.%3.%4.%5.%6.%7."/>
      <w:lvlJc w:val="left"/>
      <w:pPr>
        <w:tabs>
          <w:tab w:val="left" w:pos="1276"/>
        </w:tabs>
        <w:ind w:left="1276" w:hanging="1276"/>
      </w:pPr>
      <w:rPr>
        <w:rFonts w:hint="eastAsia"/>
      </w:rPr>
    </w:lvl>
    <w:lvl w:ilvl="7" w:tentative="0">
      <w:start w:val="1"/>
      <w:numFmt w:val="decimal"/>
      <w:lvlText w:val="%1.%2.%3.%4.%5.%6.%7.%8."/>
      <w:lvlJc w:val="left"/>
      <w:pPr>
        <w:tabs>
          <w:tab w:val="left" w:pos="1418"/>
        </w:tabs>
        <w:ind w:left="1418" w:hanging="1418"/>
      </w:pPr>
      <w:rPr>
        <w:rFonts w:hint="eastAsia"/>
      </w:rPr>
    </w:lvl>
    <w:lvl w:ilvl="8" w:tentative="0">
      <w:start w:val="1"/>
      <w:numFmt w:val="decimal"/>
      <w:lvlText w:val="%1.%2.%3.%4.%5.%6.%7.%8.%9."/>
      <w:lvlJc w:val="left"/>
      <w:pPr>
        <w:tabs>
          <w:tab w:val="left" w:pos="1559"/>
        </w:tabs>
        <w:ind w:left="1559" w:hanging="1559"/>
      </w:pPr>
      <w:rPr>
        <w:rFonts w:hint="eastAsia"/>
      </w:rPr>
    </w:lvl>
  </w:abstractNum>
  <w:num w:numId="1">
    <w:abstractNumId w:val="6"/>
  </w:num>
  <w:num w:numId="2">
    <w:abstractNumId w:val="3"/>
  </w:num>
  <w:num w:numId="3">
    <w:abstractNumId w:val="10"/>
  </w:num>
  <w:num w:numId="4">
    <w:abstractNumId w:val="1"/>
  </w:num>
  <w:num w:numId="5">
    <w:abstractNumId w:val="0"/>
  </w:num>
  <w:num w:numId="6">
    <w:abstractNumId w:val="7"/>
  </w:num>
  <w:num w:numId="7">
    <w:abstractNumId w:val="8"/>
  </w:num>
  <w:num w:numId="8">
    <w:abstractNumId w:val="5"/>
    <w:lvlOverride w:ilvl="0">
      <w:startOverride w:val="2"/>
    </w:lvlOverride>
  </w:num>
  <w:num w:numId="9">
    <w:abstractNumId w:val="4"/>
    <w:lvlOverride w:ilvl="0">
      <w:startOverride w:val="6"/>
    </w:lvlOverride>
  </w:num>
  <w:num w:numId="10">
    <w:abstractNumId w:val="2"/>
    <w:lvlOverride w:ilvl="0">
      <w:startOverride w:val="16"/>
    </w:lvlOverride>
  </w:num>
  <w:num w:numId="11">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TrueTypeFonts/>
  <w:saveSubsetFonts/>
  <w:bordersDoNotSurroundHeader w:val="0"/>
  <w:bordersDoNotSurroundFooter w:val="0"/>
  <w:documentProtection w:enforcement="0"/>
  <w:defaultTabStop w:val="420"/>
  <w:displayHorizontalDrawingGridEvery w:val="1"/>
  <w:displayVerticalDrawingGridEvery w:val="1"/>
  <w:noPunctuationKerning w:val="1"/>
  <w:characterSpacingControl w:val="doNotCompress"/>
  <w:compat>
    <w:balanceSingleByteDoubleByteWidth/>
    <w:ulTrailSpace/>
    <w:doNotExpandShiftReturn/>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18C519F"/>
    <w:rsid w:val="019D115B"/>
    <w:rsid w:val="01C62C13"/>
    <w:rsid w:val="02F92294"/>
    <w:rsid w:val="03A5079A"/>
    <w:rsid w:val="05760640"/>
    <w:rsid w:val="05D22D9C"/>
    <w:rsid w:val="062930DD"/>
    <w:rsid w:val="09B71227"/>
    <w:rsid w:val="0D251429"/>
    <w:rsid w:val="0D6276FC"/>
    <w:rsid w:val="0ECF31C5"/>
    <w:rsid w:val="104355C3"/>
    <w:rsid w:val="10DF6B7F"/>
    <w:rsid w:val="112B08A2"/>
    <w:rsid w:val="156718B3"/>
    <w:rsid w:val="160F7CF5"/>
    <w:rsid w:val="168E3310"/>
    <w:rsid w:val="1A6A14B2"/>
    <w:rsid w:val="1B0818E3"/>
    <w:rsid w:val="1B602BF9"/>
    <w:rsid w:val="1C0A168B"/>
    <w:rsid w:val="1D2E600F"/>
    <w:rsid w:val="1E026ABD"/>
    <w:rsid w:val="1E087E4C"/>
    <w:rsid w:val="1EDD6FFC"/>
    <w:rsid w:val="1FF93EF0"/>
    <w:rsid w:val="20DA5ACF"/>
    <w:rsid w:val="21B35D09"/>
    <w:rsid w:val="222A07C5"/>
    <w:rsid w:val="2271533D"/>
    <w:rsid w:val="239A2FE5"/>
    <w:rsid w:val="23E46C65"/>
    <w:rsid w:val="24873B27"/>
    <w:rsid w:val="251610A0"/>
    <w:rsid w:val="27182EAE"/>
    <w:rsid w:val="275352E3"/>
    <w:rsid w:val="27BF5A1F"/>
    <w:rsid w:val="295D54F0"/>
    <w:rsid w:val="2993644D"/>
    <w:rsid w:val="29A72461"/>
    <w:rsid w:val="2A36189D"/>
    <w:rsid w:val="2C503F74"/>
    <w:rsid w:val="2CD418C9"/>
    <w:rsid w:val="2D653489"/>
    <w:rsid w:val="2ECD54C5"/>
    <w:rsid w:val="30D2231F"/>
    <w:rsid w:val="310B3A83"/>
    <w:rsid w:val="312D6EF6"/>
    <w:rsid w:val="31335238"/>
    <w:rsid w:val="323C4049"/>
    <w:rsid w:val="32BE7F69"/>
    <w:rsid w:val="33FC48D7"/>
    <w:rsid w:val="34983880"/>
    <w:rsid w:val="36435A6D"/>
    <w:rsid w:val="3701326B"/>
    <w:rsid w:val="38120C05"/>
    <w:rsid w:val="3A606BEE"/>
    <w:rsid w:val="40754228"/>
    <w:rsid w:val="40F77A73"/>
    <w:rsid w:val="414B6B2E"/>
    <w:rsid w:val="42C7049C"/>
    <w:rsid w:val="45303661"/>
    <w:rsid w:val="46E841F3"/>
    <w:rsid w:val="47071C74"/>
    <w:rsid w:val="47990C03"/>
    <w:rsid w:val="482A3EE8"/>
    <w:rsid w:val="48E937A2"/>
    <w:rsid w:val="49EB77E7"/>
    <w:rsid w:val="4AE9678B"/>
    <w:rsid w:val="4BFC4F59"/>
    <w:rsid w:val="4DF0398D"/>
    <w:rsid w:val="4F135B85"/>
    <w:rsid w:val="4F376605"/>
    <w:rsid w:val="508C2093"/>
    <w:rsid w:val="50A213E9"/>
    <w:rsid w:val="51154BFB"/>
    <w:rsid w:val="52457712"/>
    <w:rsid w:val="54C122F4"/>
    <w:rsid w:val="54E016AD"/>
    <w:rsid w:val="550D12C8"/>
    <w:rsid w:val="59C4289D"/>
    <w:rsid w:val="59D10B16"/>
    <w:rsid w:val="5B4377F2"/>
    <w:rsid w:val="5C8C51C9"/>
    <w:rsid w:val="5CA93512"/>
    <w:rsid w:val="5DD62B9F"/>
    <w:rsid w:val="5FAF1E59"/>
    <w:rsid w:val="630E25DF"/>
    <w:rsid w:val="645B56F0"/>
    <w:rsid w:val="64754794"/>
    <w:rsid w:val="664A412A"/>
    <w:rsid w:val="6B0706B0"/>
    <w:rsid w:val="6B2B2F81"/>
    <w:rsid w:val="6C6659AE"/>
    <w:rsid w:val="6CFC1EF7"/>
    <w:rsid w:val="6D615438"/>
    <w:rsid w:val="6DF64B98"/>
    <w:rsid w:val="6FEC6252"/>
    <w:rsid w:val="70711EF0"/>
    <w:rsid w:val="70D109C1"/>
    <w:rsid w:val="71704C61"/>
    <w:rsid w:val="767E572A"/>
    <w:rsid w:val="7764124A"/>
    <w:rsid w:val="7BB233A0"/>
    <w:rsid w:val="7D5804B4"/>
    <w:rsid w:val="7D5B4A17"/>
    <w:rsid w:val="7E9276DB"/>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1"/>
    </o:shapelayout>
  </w:shapeDefaul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semiHidden="0" w:name="heading 3"/>
    <w:lsdException w:qFormat="1" w:uiPriority="9" w:semiHidden="0" w:name="heading 4"/>
    <w:lsdException w:qFormat="1" w:uiPriority="9" w:semiHidden="0" w:name="heading 5"/>
    <w:lsdException w:qFormat="1" w:uiPriority="9" w:semiHidden="0" w:name="heading 6"/>
    <w:lsdException w:qFormat="1" w:uiPriority="9" w:semiHidden="0" w:name="heading 7"/>
    <w:lsdException w:qFormat="1" w:uiPriority="9" w:semiHidden="0" w:name="heading 8"/>
    <w:lsdException w:qFormat="1" w:uiPriority="9" w:semiHidden="0"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qFormat="1" w:uiPriority="39" w:semiHidden="0" w:name="toc 2"/>
    <w:lsdException w:qFormat="1" w:uiPriority="39" w:semiHidden="0" w:name="toc 3"/>
    <w:lsdException w:qFormat="1" w:uiPriority="39" w:semiHidden="0" w:name="toc 4"/>
    <w:lsdException w:qFormat="1" w:uiPriority="39" w:semiHidden="0" w:name="toc 5"/>
    <w:lsdException w:qFormat="1" w:uiPriority="39" w:semiHidden="0" w:name="toc 6"/>
    <w:lsdException w:qFormat="1" w:uiPriority="39" w:semiHidden="0" w:name="toc 7"/>
    <w:lsdException w:qFormat="1" w:uiPriority="39" w:semiHidden="0" w:name="toc 8"/>
    <w:lsdException w:qFormat="1" w:uiPriority="39" w:semiHidden="0" w:name="toc 9"/>
    <w:lsdException w:uiPriority="99" w:name="Normal Indent"/>
    <w:lsdException w:qFormat="1"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qFormat="1" w:uiPriority="99" w:semiHidden="0" w:name="table of figures"/>
    <w:lsdException w:uiPriority="99" w:name="envelope address"/>
    <w:lsdException w:uiPriority="99" w:name="envelope return"/>
    <w:lsdException w:qFormat="1" w:uiPriority="99" w:semiHidden="0" w:name="footnote reference"/>
    <w:lsdException w:uiPriority="99" w:name="annotation reference"/>
    <w:lsdException w:uiPriority="99" w:name="line number"/>
    <w:lsdException w:uiPriority="99" w:name="page number"/>
    <w:lsdException w:qFormat="1" w:uiPriority="99" w:name="endnote reference"/>
    <w:lsdException w:qFormat="1"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nhideWhenUsed="0" w:uiPriority="0" w:semiHidden="0"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qFormat="1" w:unhideWhenUsed="0" w:uiPriority="0" w:semiHidden="0" w:name="Plain Text"/>
    <w:lsdException w:uiPriority="99" w:name="E-mail Signature"/>
    <w:lsdException w:qFormat="1" w:unhideWhenUsed="0" w:uiPriority="0"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59" w:semiHidden="0" w:name="Table Grid"/>
    <w:lsdException w:uiPriority="99"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qFormat="1" w:unhideWhenUsed="0" w:uiPriority="29" w:semiHidden="0" w:name="Quote"/>
    <w:lsdException w:qFormat="1" w:unhideWhenUsed="0" w:uiPriority="3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link w:val="326"/>
    <w:qFormat/>
    <w:uiPriority w:val="0"/>
    <w:pPr>
      <w:widowControl w:val="0"/>
      <w:jc w:val="both"/>
    </w:pPr>
    <w:rPr>
      <w:rFonts w:hint="default" w:ascii="Times New Roman" w:hAnsi="Times New Roman" w:eastAsia="宋体" w:cs="Times New Roman"/>
      <w:sz w:val="21"/>
      <w:szCs w:val="22"/>
      <w:lang w:val="en-US" w:eastAsia="zh-CN" w:bidi="ar-SA"/>
    </w:rPr>
  </w:style>
  <w:style w:type="paragraph" w:styleId="2">
    <w:name w:val="heading 1"/>
    <w:basedOn w:val="1"/>
    <w:next w:val="1"/>
    <w:link w:val="37"/>
    <w:qFormat/>
    <w:uiPriority w:val="9"/>
    <w:pPr>
      <w:keepNext/>
      <w:keepLines/>
      <w:spacing w:before="480" w:after="200"/>
      <w:outlineLvl w:val="0"/>
    </w:pPr>
    <w:rPr>
      <w:rFonts w:ascii="Arial" w:hAnsi="Arial" w:eastAsia="Arial" w:cs="Arial"/>
      <w:sz w:val="40"/>
      <w:szCs w:val="40"/>
    </w:rPr>
  </w:style>
  <w:style w:type="paragraph" w:styleId="3">
    <w:name w:val="heading 2"/>
    <w:basedOn w:val="1"/>
    <w:next w:val="1"/>
    <w:link w:val="38"/>
    <w:unhideWhenUsed/>
    <w:qFormat/>
    <w:uiPriority w:val="9"/>
    <w:pPr>
      <w:keepNext/>
      <w:keepLines/>
      <w:spacing w:before="360" w:after="200"/>
      <w:outlineLvl w:val="1"/>
    </w:pPr>
    <w:rPr>
      <w:rFonts w:ascii="Arial" w:hAnsi="Arial" w:eastAsia="Arial" w:cs="Arial"/>
      <w:sz w:val="34"/>
    </w:rPr>
  </w:style>
  <w:style w:type="paragraph" w:styleId="4">
    <w:name w:val="heading 3"/>
    <w:basedOn w:val="1"/>
    <w:next w:val="1"/>
    <w:link w:val="39"/>
    <w:unhideWhenUsed/>
    <w:qFormat/>
    <w:uiPriority w:val="9"/>
    <w:pPr>
      <w:keepNext/>
      <w:keepLines/>
      <w:spacing w:before="320" w:after="200"/>
      <w:outlineLvl w:val="2"/>
    </w:pPr>
    <w:rPr>
      <w:rFonts w:ascii="Arial" w:hAnsi="Arial" w:eastAsia="Arial" w:cs="Arial"/>
      <w:sz w:val="30"/>
      <w:szCs w:val="30"/>
    </w:rPr>
  </w:style>
  <w:style w:type="paragraph" w:styleId="5">
    <w:name w:val="heading 4"/>
    <w:basedOn w:val="1"/>
    <w:next w:val="1"/>
    <w:link w:val="40"/>
    <w:unhideWhenUsed/>
    <w:qFormat/>
    <w:uiPriority w:val="9"/>
    <w:pPr>
      <w:keepNext/>
      <w:keepLines/>
      <w:spacing w:before="320" w:after="200"/>
      <w:outlineLvl w:val="3"/>
    </w:pPr>
    <w:rPr>
      <w:rFonts w:ascii="Arial" w:hAnsi="Arial" w:eastAsia="Arial" w:cs="Arial"/>
      <w:b/>
      <w:bCs/>
      <w:sz w:val="26"/>
      <w:szCs w:val="26"/>
    </w:rPr>
  </w:style>
  <w:style w:type="paragraph" w:styleId="6">
    <w:name w:val="heading 5"/>
    <w:basedOn w:val="1"/>
    <w:next w:val="1"/>
    <w:link w:val="41"/>
    <w:unhideWhenUsed/>
    <w:qFormat/>
    <w:uiPriority w:val="9"/>
    <w:pPr>
      <w:keepNext/>
      <w:keepLines/>
      <w:spacing w:before="320" w:after="200"/>
      <w:outlineLvl w:val="4"/>
    </w:pPr>
    <w:rPr>
      <w:rFonts w:ascii="Arial" w:hAnsi="Arial" w:eastAsia="Arial" w:cs="Arial"/>
      <w:b/>
      <w:bCs/>
      <w:sz w:val="24"/>
      <w:szCs w:val="24"/>
    </w:rPr>
  </w:style>
  <w:style w:type="paragraph" w:styleId="7">
    <w:name w:val="heading 6"/>
    <w:basedOn w:val="1"/>
    <w:next w:val="1"/>
    <w:link w:val="42"/>
    <w:unhideWhenUsed/>
    <w:qFormat/>
    <w:uiPriority w:val="9"/>
    <w:pPr>
      <w:keepNext/>
      <w:keepLines/>
      <w:spacing w:before="320" w:after="200"/>
      <w:outlineLvl w:val="5"/>
    </w:pPr>
    <w:rPr>
      <w:rFonts w:ascii="Arial" w:hAnsi="Arial" w:eastAsia="Arial" w:cs="Arial"/>
      <w:b/>
      <w:bCs/>
      <w:sz w:val="22"/>
      <w:szCs w:val="22"/>
    </w:rPr>
  </w:style>
  <w:style w:type="paragraph" w:styleId="8">
    <w:name w:val="heading 7"/>
    <w:basedOn w:val="1"/>
    <w:next w:val="1"/>
    <w:link w:val="43"/>
    <w:unhideWhenUsed/>
    <w:qFormat/>
    <w:uiPriority w:val="9"/>
    <w:pPr>
      <w:keepNext/>
      <w:keepLines/>
      <w:spacing w:before="320" w:after="200"/>
      <w:outlineLvl w:val="6"/>
    </w:pPr>
    <w:rPr>
      <w:rFonts w:ascii="Arial" w:hAnsi="Arial" w:eastAsia="Arial" w:cs="Arial"/>
      <w:b/>
      <w:bCs/>
      <w:i/>
      <w:iCs/>
      <w:sz w:val="22"/>
      <w:szCs w:val="22"/>
    </w:rPr>
  </w:style>
  <w:style w:type="paragraph" w:styleId="9">
    <w:name w:val="heading 8"/>
    <w:basedOn w:val="1"/>
    <w:next w:val="1"/>
    <w:link w:val="44"/>
    <w:unhideWhenUsed/>
    <w:qFormat/>
    <w:uiPriority w:val="9"/>
    <w:pPr>
      <w:keepNext/>
      <w:keepLines/>
      <w:spacing w:before="320" w:after="200"/>
      <w:outlineLvl w:val="7"/>
    </w:pPr>
    <w:rPr>
      <w:rFonts w:ascii="Arial" w:hAnsi="Arial" w:eastAsia="Arial" w:cs="Arial"/>
      <w:i/>
      <w:iCs/>
      <w:sz w:val="22"/>
      <w:szCs w:val="22"/>
    </w:rPr>
  </w:style>
  <w:style w:type="paragraph" w:styleId="10">
    <w:name w:val="heading 9"/>
    <w:basedOn w:val="1"/>
    <w:next w:val="1"/>
    <w:link w:val="45"/>
    <w:unhideWhenUsed/>
    <w:qFormat/>
    <w:uiPriority w:val="9"/>
    <w:pPr>
      <w:keepNext/>
      <w:keepLines/>
      <w:spacing w:before="320" w:after="200"/>
      <w:outlineLvl w:val="8"/>
    </w:pPr>
    <w:rPr>
      <w:rFonts w:ascii="Arial" w:hAnsi="Arial" w:eastAsia="Arial" w:cs="Arial"/>
      <w:i/>
      <w:iCs/>
      <w:sz w:val="21"/>
      <w:szCs w:val="21"/>
    </w:rPr>
  </w:style>
  <w:style w:type="character" w:default="1" w:styleId="33">
    <w:name w:val="Default Paragraph Font"/>
    <w:semiHidden/>
    <w:unhideWhenUsed/>
    <w:qFormat/>
    <w:uiPriority w:val="1"/>
  </w:style>
  <w:style w:type="table" w:default="1" w:styleId="31">
    <w:name w:val="Normal Table"/>
    <w:semiHidden/>
    <w:unhideWhenUsed/>
    <w:qFormat/>
    <w:uiPriority w:val="99"/>
    <w:tblPr>
      <w:tblCellMar>
        <w:top w:w="0" w:type="dxa"/>
        <w:left w:w="108" w:type="dxa"/>
        <w:bottom w:w="0" w:type="dxa"/>
        <w:right w:w="108" w:type="dxa"/>
      </w:tblCellMar>
    </w:tblPr>
  </w:style>
  <w:style w:type="paragraph" w:styleId="11">
    <w:name w:val="toc 7"/>
    <w:basedOn w:val="1"/>
    <w:next w:val="1"/>
    <w:unhideWhenUsed/>
    <w:qFormat/>
    <w:uiPriority w:val="39"/>
    <w:pPr>
      <w:spacing w:after="57"/>
      <w:ind w:left="1701" w:right="0" w:firstLine="0"/>
    </w:pPr>
  </w:style>
  <w:style w:type="paragraph" w:styleId="12">
    <w:name w:val="caption"/>
    <w:basedOn w:val="1"/>
    <w:next w:val="1"/>
    <w:semiHidden/>
    <w:unhideWhenUsed/>
    <w:qFormat/>
    <w:uiPriority w:val="35"/>
    <w:pPr>
      <w:spacing w:line="276" w:lineRule="auto"/>
    </w:pPr>
    <w:rPr>
      <w:b/>
      <w:bCs/>
      <w:color w:val="4F81BD" w:themeColor="accent1"/>
      <w:sz w:val="18"/>
      <w:szCs w:val="18"/>
      <w14:textFill>
        <w14:solidFill>
          <w14:schemeClr w14:val="accent1"/>
        </w14:solidFill>
      </w14:textFill>
    </w:rPr>
  </w:style>
  <w:style w:type="paragraph" w:styleId="13">
    <w:name w:val="Body Text"/>
    <w:basedOn w:val="1"/>
    <w:next w:val="1"/>
    <w:qFormat/>
    <w:uiPriority w:val="0"/>
    <w:rPr>
      <w:rFonts w:ascii="楷体_GB2312" w:hAnsi="Arial" w:eastAsia="楷体_GB2312" w:cs="Times New Roman"/>
      <w:sz w:val="28"/>
      <w:szCs w:val="28"/>
    </w:rPr>
  </w:style>
  <w:style w:type="paragraph" w:styleId="14">
    <w:name w:val="toc 5"/>
    <w:basedOn w:val="1"/>
    <w:next w:val="1"/>
    <w:unhideWhenUsed/>
    <w:qFormat/>
    <w:uiPriority w:val="39"/>
    <w:pPr>
      <w:spacing w:after="57"/>
      <w:ind w:left="1134" w:right="0" w:firstLine="0"/>
    </w:pPr>
  </w:style>
  <w:style w:type="paragraph" w:styleId="15">
    <w:name w:val="toc 3"/>
    <w:basedOn w:val="1"/>
    <w:next w:val="1"/>
    <w:unhideWhenUsed/>
    <w:qFormat/>
    <w:uiPriority w:val="39"/>
    <w:pPr>
      <w:spacing w:after="57"/>
      <w:ind w:left="567" w:right="0" w:firstLine="0"/>
    </w:pPr>
  </w:style>
  <w:style w:type="paragraph" w:styleId="16">
    <w:name w:val="Plain Text"/>
    <w:basedOn w:val="1"/>
    <w:qFormat/>
    <w:uiPriority w:val="0"/>
    <w:rPr>
      <w:rFonts w:ascii="宋体" w:hAnsi="Courier New" w:eastAsia="宋体" w:cs="Courier New"/>
      <w:szCs w:val="21"/>
    </w:rPr>
  </w:style>
  <w:style w:type="paragraph" w:styleId="17">
    <w:name w:val="toc 8"/>
    <w:basedOn w:val="1"/>
    <w:next w:val="1"/>
    <w:unhideWhenUsed/>
    <w:qFormat/>
    <w:uiPriority w:val="39"/>
    <w:pPr>
      <w:spacing w:after="57"/>
      <w:ind w:left="1984" w:right="0" w:firstLine="0"/>
    </w:pPr>
  </w:style>
  <w:style w:type="paragraph" w:styleId="18">
    <w:name w:val="endnote text"/>
    <w:basedOn w:val="1"/>
    <w:link w:val="183"/>
    <w:semiHidden/>
    <w:unhideWhenUsed/>
    <w:qFormat/>
    <w:uiPriority w:val="99"/>
    <w:pPr>
      <w:spacing w:after="0" w:line="240" w:lineRule="auto"/>
    </w:pPr>
    <w:rPr>
      <w:sz w:val="20"/>
    </w:rPr>
  </w:style>
  <w:style w:type="paragraph" w:styleId="19">
    <w:name w:val="footer"/>
    <w:basedOn w:val="1"/>
    <w:link w:val="56"/>
    <w:unhideWhenUsed/>
    <w:qFormat/>
    <w:uiPriority w:val="99"/>
    <w:pPr>
      <w:tabs>
        <w:tab w:val="center" w:pos="7143"/>
        <w:tab w:val="right" w:pos="14287"/>
      </w:tabs>
      <w:spacing w:after="0" w:line="240" w:lineRule="auto"/>
    </w:pPr>
  </w:style>
  <w:style w:type="paragraph" w:styleId="20">
    <w:name w:val="header"/>
    <w:basedOn w:val="1"/>
    <w:link w:val="54"/>
    <w:unhideWhenUsed/>
    <w:qFormat/>
    <w:uiPriority w:val="99"/>
    <w:pPr>
      <w:tabs>
        <w:tab w:val="center" w:pos="7143"/>
        <w:tab w:val="right" w:pos="14287"/>
      </w:tabs>
      <w:spacing w:after="0" w:line="240" w:lineRule="auto"/>
    </w:pPr>
  </w:style>
  <w:style w:type="paragraph" w:styleId="21">
    <w:name w:val="toc 1"/>
    <w:basedOn w:val="1"/>
    <w:next w:val="1"/>
    <w:unhideWhenUsed/>
    <w:qFormat/>
    <w:uiPriority w:val="39"/>
    <w:pPr>
      <w:spacing w:after="57"/>
      <w:ind w:left="0" w:right="0" w:firstLine="0"/>
    </w:pPr>
  </w:style>
  <w:style w:type="paragraph" w:styleId="22">
    <w:name w:val="toc 4"/>
    <w:basedOn w:val="1"/>
    <w:next w:val="1"/>
    <w:unhideWhenUsed/>
    <w:qFormat/>
    <w:uiPriority w:val="39"/>
    <w:pPr>
      <w:spacing w:after="57"/>
      <w:ind w:left="850" w:right="0" w:firstLine="0"/>
    </w:pPr>
  </w:style>
  <w:style w:type="paragraph" w:styleId="23">
    <w:name w:val="Subtitle"/>
    <w:basedOn w:val="1"/>
    <w:next w:val="1"/>
    <w:link w:val="49"/>
    <w:qFormat/>
    <w:uiPriority w:val="11"/>
    <w:pPr>
      <w:spacing w:before="200" w:after="200"/>
    </w:pPr>
    <w:rPr>
      <w:sz w:val="24"/>
      <w:szCs w:val="24"/>
    </w:rPr>
  </w:style>
  <w:style w:type="paragraph" w:styleId="24">
    <w:name w:val="footnote text"/>
    <w:basedOn w:val="1"/>
    <w:link w:val="182"/>
    <w:semiHidden/>
    <w:unhideWhenUsed/>
    <w:qFormat/>
    <w:uiPriority w:val="99"/>
    <w:pPr>
      <w:spacing w:after="40" w:line="240" w:lineRule="auto"/>
    </w:pPr>
    <w:rPr>
      <w:sz w:val="18"/>
    </w:rPr>
  </w:style>
  <w:style w:type="paragraph" w:styleId="25">
    <w:name w:val="toc 6"/>
    <w:basedOn w:val="1"/>
    <w:next w:val="1"/>
    <w:unhideWhenUsed/>
    <w:qFormat/>
    <w:uiPriority w:val="39"/>
    <w:pPr>
      <w:spacing w:after="57"/>
      <w:ind w:left="1417" w:right="0" w:firstLine="0"/>
    </w:pPr>
  </w:style>
  <w:style w:type="paragraph" w:styleId="26">
    <w:name w:val="table of figures"/>
    <w:basedOn w:val="1"/>
    <w:next w:val="1"/>
    <w:unhideWhenUsed/>
    <w:qFormat/>
    <w:uiPriority w:val="99"/>
    <w:pPr>
      <w:spacing w:after="0" w:afterAutospacing="0"/>
    </w:pPr>
  </w:style>
  <w:style w:type="paragraph" w:styleId="27">
    <w:name w:val="toc 2"/>
    <w:basedOn w:val="1"/>
    <w:next w:val="1"/>
    <w:unhideWhenUsed/>
    <w:qFormat/>
    <w:uiPriority w:val="39"/>
    <w:pPr>
      <w:spacing w:after="57"/>
      <w:ind w:left="283" w:right="0" w:firstLine="0"/>
    </w:pPr>
  </w:style>
  <w:style w:type="paragraph" w:styleId="28">
    <w:name w:val="toc 9"/>
    <w:basedOn w:val="1"/>
    <w:next w:val="1"/>
    <w:unhideWhenUsed/>
    <w:qFormat/>
    <w:uiPriority w:val="39"/>
    <w:pPr>
      <w:spacing w:after="57"/>
      <w:ind w:left="2268" w:right="0" w:firstLine="0"/>
    </w:pPr>
  </w:style>
  <w:style w:type="paragraph" w:styleId="29">
    <w:name w:val="Normal (Web)"/>
    <w:basedOn w:val="1"/>
    <w:qFormat/>
    <w:uiPriority w:val="0"/>
    <w:pPr>
      <w:spacing w:beforeAutospacing="1" w:afterAutospacing="1"/>
      <w:jc w:val="left"/>
    </w:pPr>
    <w:rPr>
      <w:rFonts w:cs="Times New Roman"/>
      <w:sz w:val="24"/>
    </w:rPr>
  </w:style>
  <w:style w:type="paragraph" w:styleId="30">
    <w:name w:val="Title"/>
    <w:basedOn w:val="1"/>
    <w:next w:val="1"/>
    <w:link w:val="48"/>
    <w:qFormat/>
    <w:uiPriority w:val="10"/>
    <w:pPr>
      <w:spacing w:before="300" w:after="200"/>
      <w:contextualSpacing/>
    </w:pPr>
    <w:rPr>
      <w:sz w:val="48"/>
      <w:szCs w:val="48"/>
    </w:rPr>
  </w:style>
  <w:style w:type="table" w:styleId="32">
    <w:name w:val="Table Grid"/>
    <w:qFormat/>
    <w:uiPriority w:val="59"/>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
  </w:style>
  <w:style w:type="character" w:styleId="34">
    <w:name w:val="endnote reference"/>
    <w:semiHidden/>
    <w:unhideWhenUsed/>
    <w:qFormat/>
    <w:uiPriority w:val="99"/>
    <w:rPr>
      <w:vertAlign w:val="superscript"/>
    </w:rPr>
  </w:style>
  <w:style w:type="character" w:styleId="35">
    <w:name w:val="Hyperlink"/>
    <w:unhideWhenUsed/>
    <w:qFormat/>
    <w:uiPriority w:val="99"/>
    <w:rPr>
      <w:color w:val="0000FF" w:themeColor="hyperlink"/>
      <w:u w:val="single"/>
      <w14:textFill>
        <w14:solidFill>
          <w14:schemeClr w14:val="hlink"/>
        </w14:solidFill>
      </w14:textFill>
    </w:rPr>
  </w:style>
  <w:style w:type="character" w:styleId="36">
    <w:name w:val="footnote reference"/>
    <w:unhideWhenUsed/>
    <w:qFormat/>
    <w:uiPriority w:val="99"/>
    <w:rPr>
      <w:vertAlign w:val="superscript"/>
    </w:rPr>
  </w:style>
  <w:style w:type="character" w:customStyle="1" w:styleId="37">
    <w:name w:val="Heading 1 Char"/>
    <w:link w:val="2"/>
    <w:qFormat/>
    <w:uiPriority w:val="9"/>
    <w:rPr>
      <w:rFonts w:ascii="Arial" w:hAnsi="Arial" w:eastAsia="Arial" w:cs="Arial"/>
      <w:sz w:val="40"/>
      <w:szCs w:val="40"/>
    </w:rPr>
  </w:style>
  <w:style w:type="character" w:customStyle="1" w:styleId="38">
    <w:name w:val="Heading 2 Char"/>
    <w:link w:val="3"/>
    <w:qFormat/>
    <w:uiPriority w:val="9"/>
    <w:rPr>
      <w:rFonts w:ascii="Arial" w:hAnsi="Arial" w:eastAsia="Arial" w:cs="Arial"/>
      <w:sz w:val="34"/>
    </w:rPr>
  </w:style>
  <w:style w:type="character" w:customStyle="1" w:styleId="39">
    <w:name w:val="Heading 3 Char"/>
    <w:link w:val="4"/>
    <w:qFormat/>
    <w:uiPriority w:val="9"/>
    <w:rPr>
      <w:rFonts w:ascii="Arial" w:hAnsi="Arial" w:eastAsia="Arial" w:cs="Arial"/>
      <w:sz w:val="30"/>
      <w:szCs w:val="30"/>
    </w:rPr>
  </w:style>
  <w:style w:type="character" w:customStyle="1" w:styleId="40">
    <w:name w:val="Heading 4 Char"/>
    <w:link w:val="5"/>
    <w:qFormat/>
    <w:uiPriority w:val="9"/>
    <w:rPr>
      <w:rFonts w:ascii="Arial" w:hAnsi="Arial" w:eastAsia="Arial" w:cs="Arial"/>
      <w:b/>
      <w:bCs/>
      <w:sz w:val="26"/>
      <w:szCs w:val="26"/>
    </w:rPr>
  </w:style>
  <w:style w:type="character" w:customStyle="1" w:styleId="41">
    <w:name w:val="Heading 5 Char"/>
    <w:link w:val="6"/>
    <w:qFormat/>
    <w:uiPriority w:val="9"/>
    <w:rPr>
      <w:rFonts w:ascii="Arial" w:hAnsi="Arial" w:eastAsia="Arial" w:cs="Arial"/>
      <w:b/>
      <w:bCs/>
      <w:sz w:val="24"/>
      <w:szCs w:val="24"/>
    </w:rPr>
  </w:style>
  <w:style w:type="character" w:customStyle="1" w:styleId="42">
    <w:name w:val="Heading 6 Char"/>
    <w:link w:val="7"/>
    <w:qFormat/>
    <w:uiPriority w:val="9"/>
    <w:rPr>
      <w:rFonts w:ascii="Arial" w:hAnsi="Arial" w:eastAsia="Arial" w:cs="Arial"/>
      <w:b/>
      <w:bCs/>
      <w:sz w:val="22"/>
      <w:szCs w:val="22"/>
    </w:rPr>
  </w:style>
  <w:style w:type="character" w:customStyle="1" w:styleId="43">
    <w:name w:val="Heading 7 Char"/>
    <w:link w:val="8"/>
    <w:qFormat/>
    <w:uiPriority w:val="9"/>
    <w:rPr>
      <w:rFonts w:ascii="Arial" w:hAnsi="Arial" w:eastAsia="Arial" w:cs="Arial"/>
      <w:b/>
      <w:bCs/>
      <w:i/>
      <w:iCs/>
      <w:sz w:val="22"/>
      <w:szCs w:val="22"/>
    </w:rPr>
  </w:style>
  <w:style w:type="character" w:customStyle="1" w:styleId="44">
    <w:name w:val="Heading 8 Char"/>
    <w:link w:val="9"/>
    <w:qFormat/>
    <w:uiPriority w:val="9"/>
    <w:rPr>
      <w:rFonts w:ascii="Arial" w:hAnsi="Arial" w:eastAsia="Arial" w:cs="Arial"/>
      <w:i/>
      <w:iCs/>
      <w:sz w:val="22"/>
      <w:szCs w:val="22"/>
    </w:rPr>
  </w:style>
  <w:style w:type="character" w:customStyle="1" w:styleId="45">
    <w:name w:val="Heading 9 Char"/>
    <w:link w:val="10"/>
    <w:qFormat/>
    <w:uiPriority w:val="9"/>
    <w:rPr>
      <w:rFonts w:ascii="Arial" w:hAnsi="Arial" w:eastAsia="Arial" w:cs="Arial"/>
      <w:i/>
      <w:iCs/>
      <w:sz w:val="21"/>
      <w:szCs w:val="21"/>
    </w:rPr>
  </w:style>
  <w:style w:type="paragraph" w:styleId="46">
    <w:name w:val="List Paragraph"/>
    <w:basedOn w:val="1"/>
    <w:qFormat/>
    <w:uiPriority w:val="34"/>
    <w:pPr>
      <w:ind w:left="720"/>
      <w:contextualSpacing/>
    </w:pPr>
  </w:style>
  <w:style w:type="paragraph" w:styleId="47">
    <w:name w:val="No Spacing"/>
    <w:qFormat/>
    <w:uiPriority w:val="1"/>
    <w:pPr>
      <w:spacing w:before="0" w:after="0" w:line="240" w:lineRule="auto"/>
    </w:pPr>
    <w:rPr>
      <w:rFonts w:hint="default" w:ascii="Times New Roman" w:hAnsi="Times New Roman" w:eastAsia="宋体" w:cs="Times New Roman"/>
    </w:rPr>
  </w:style>
  <w:style w:type="character" w:customStyle="1" w:styleId="48">
    <w:name w:val="Title Char"/>
    <w:link w:val="30"/>
    <w:qFormat/>
    <w:uiPriority w:val="10"/>
    <w:rPr>
      <w:sz w:val="48"/>
      <w:szCs w:val="48"/>
    </w:rPr>
  </w:style>
  <w:style w:type="character" w:customStyle="1" w:styleId="49">
    <w:name w:val="Subtitle Char"/>
    <w:link w:val="23"/>
    <w:qFormat/>
    <w:uiPriority w:val="11"/>
    <w:rPr>
      <w:sz w:val="24"/>
      <w:szCs w:val="24"/>
    </w:rPr>
  </w:style>
  <w:style w:type="paragraph" w:styleId="50">
    <w:name w:val="Quote"/>
    <w:basedOn w:val="1"/>
    <w:next w:val="1"/>
    <w:link w:val="51"/>
    <w:qFormat/>
    <w:uiPriority w:val="29"/>
    <w:pPr>
      <w:ind w:left="720" w:right="720"/>
    </w:pPr>
    <w:rPr>
      <w:i/>
    </w:rPr>
  </w:style>
  <w:style w:type="character" w:customStyle="1" w:styleId="51">
    <w:name w:val="Quote Char"/>
    <w:link w:val="50"/>
    <w:qFormat/>
    <w:uiPriority w:val="29"/>
    <w:rPr>
      <w:i/>
    </w:rPr>
  </w:style>
  <w:style w:type="paragraph" w:styleId="52">
    <w:name w:val="Intense Quote"/>
    <w:basedOn w:val="1"/>
    <w:next w:val="1"/>
    <w:link w:val="53"/>
    <w:qFormat/>
    <w:uiPriority w:val="30"/>
    <w:pPr>
      <w:pBdr>
        <w:top w:val="single" w:color="FFFFFF" w:sz="4" w:space="5"/>
        <w:left w:val="single" w:color="FFFFFF" w:sz="4" w:space="10"/>
        <w:bottom w:val="single" w:color="FFFFFF" w:sz="4" w:space="5"/>
        <w:right w:val="single" w:color="FFFFFF" w:sz="4" w:space="10"/>
      </w:pBdr>
      <w:shd w:val="clear" w:color="auto" w:fill="F2F2F2"/>
      <w:ind w:left="720" w:right="720"/>
      <w:contextualSpacing w:val="0"/>
    </w:pPr>
    <w:rPr>
      <w:i/>
    </w:rPr>
  </w:style>
  <w:style w:type="character" w:customStyle="1" w:styleId="53">
    <w:name w:val="Intense Quote Char"/>
    <w:link w:val="52"/>
    <w:qFormat/>
    <w:uiPriority w:val="30"/>
    <w:rPr>
      <w:i/>
    </w:rPr>
  </w:style>
  <w:style w:type="character" w:customStyle="1" w:styleId="54">
    <w:name w:val="Header Char"/>
    <w:link w:val="20"/>
    <w:qFormat/>
    <w:uiPriority w:val="99"/>
  </w:style>
  <w:style w:type="character" w:customStyle="1" w:styleId="55">
    <w:name w:val="Footer Char"/>
    <w:link w:val="19"/>
    <w:qFormat/>
    <w:uiPriority w:val="99"/>
  </w:style>
  <w:style w:type="character" w:customStyle="1" w:styleId="56">
    <w:name w:val="Caption Char"/>
    <w:link w:val="19"/>
    <w:qFormat/>
    <w:uiPriority w:val="99"/>
  </w:style>
  <w:style w:type="table" w:customStyle="1" w:styleId="57">
    <w:name w:val="Table Grid Light"/>
    <w:qFormat/>
    <w:uiPriority w:val="59"/>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style>
  <w:style w:type="table" w:customStyle="1" w:styleId="58">
    <w:name w:val="Plain Table 1"/>
    <w:qFormat/>
    <w:uiPriority w:val="59"/>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shd w:val="clear" w:color="F1F1F1" w:themeColor="text1" w:themeTint="0D" w:fill="F1F1F1" w:themeFill="text1" w:themeFillTint="0D"/>
      </w:tcPr>
    </w:tblStylePr>
    <w:tblStylePr w:type="band1Horz">
      <w:tcPr>
        <w:shd w:val="clear" w:color="F1F1F1" w:themeColor="text1" w:themeTint="0D" w:fill="F1F1F1" w:themeFill="text1" w:themeFillTint="0D"/>
      </w:tcPr>
    </w:tblStylePr>
  </w:style>
  <w:style w:type="table" w:customStyle="1" w:styleId="59">
    <w:name w:val="Plain Table 2"/>
    <w:qFormat/>
    <w:uiPriority w:val="59"/>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top w:w="0" w:type="dxa"/>
        <w:left w:w="108" w:type="dxa"/>
        <w:bottom w:w="0" w:type="dxa"/>
        <w:right w:w="108" w:type="dxa"/>
      </w:tblCellMar>
    </w:tbl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band1Horz">
      <w:tcPr>
        <w:tcBorders>
          <w:top w:val="single" w:color="000000" w:themeColor="text1" w:sz="4" w:space="0"/>
          <w:bottom w:val="single" w:color="000000" w:themeColor="text1" w:sz="4" w:space="0"/>
        </w:tcBorders>
      </w:tcPr>
    </w:tblStylePr>
  </w:style>
  <w:style w:type="table" w:customStyle="1" w:styleId="60">
    <w:name w:val="Plain Table 3"/>
    <w:qFormat/>
    <w:uiPriority w:val="99"/>
    <w:pPr>
      <w:spacing w:after="0" w:line="240" w:lineRule="auto"/>
    </w:pPr>
    <w:tblStylePr w:type="firstRow">
      <w:rPr>
        <w:b/>
        <w:caps/>
        <w:color w:val="404040"/>
      </w:rPr>
      <w:tcPr>
        <w:tcBorders>
          <w:top w:val="nil"/>
          <w:left w:val="nil"/>
          <w:bottom w:val="single" w:color="404040" w:sz="4" w:space="0"/>
          <w:right w:val="nil"/>
        </w:tcBorders>
      </w:tcPr>
    </w:tblStylePr>
    <w:tblStylePr w:type="lastRow">
      <w:rPr>
        <w:b/>
        <w:caps/>
        <w:color w:val="404040"/>
      </w:rPr>
    </w:tblStylePr>
    <w:tblStylePr w:type="firstCol">
      <w:rPr>
        <w:b/>
        <w:caps/>
        <w:color w:val="404040"/>
      </w:rPr>
      <w:tcPr>
        <w:tcBorders>
          <w:top w:val="nil"/>
          <w:left w:val="nil"/>
          <w:bottom w:val="nil"/>
          <w:right w:val="single" w:color="404040" w:sz="4" w:space="0"/>
        </w:tcBorders>
      </w:tcPr>
    </w:tblStylePr>
    <w:tblStylePr w:type="lastCol">
      <w:rPr>
        <w:b/>
        <w:caps/>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61">
    <w:name w:val="Plain Table 4"/>
    <w:qFormat/>
    <w:uiPriority w:val="99"/>
    <w:pPr>
      <w:spacing w:after="0" w:line="240" w:lineRule="auto"/>
    </w:p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62">
    <w:name w:val="Plain Table 5"/>
    <w:qFormat/>
    <w:uiPriority w:val="99"/>
    <w:pPr>
      <w:spacing w:after="0" w:line="240" w:lineRule="auto"/>
    </w:pPr>
    <w:tblStylePr w:type="firstRow">
      <w:rPr>
        <w:i/>
        <w:color w:val="404040"/>
      </w:rPr>
      <w:tcPr>
        <w:tcBorders>
          <w:left w:val="nil"/>
          <w:bottom w:val="single" w:color="404040" w:sz="4" w:space="0"/>
          <w:right w:val="nil"/>
        </w:tcBorders>
        <w:shd w:val="clear" w:color="FFFFFF" w:fill="auto"/>
      </w:tcPr>
    </w:tblStylePr>
    <w:tblStylePr w:type="lastRow">
      <w:rPr>
        <w:i/>
        <w:color w:val="404040"/>
      </w:rPr>
      <w:tcPr>
        <w:tcBorders>
          <w:top w:val="single" w:color="404040" w:sz="4" w:space="0"/>
          <w:left w:val="nil"/>
          <w:right w:val="nil"/>
        </w:tcBorders>
        <w:shd w:val="clear" w:color="FFFFFF" w:fill="auto"/>
      </w:tcPr>
    </w:tblStylePr>
    <w:tblStylePr w:type="firstCol">
      <w:pPr>
        <w:jc w:val="right"/>
      </w:pPr>
      <w:rPr>
        <w:i/>
        <w:color w:val="404040"/>
      </w:rPr>
      <w:tcPr>
        <w:tcBorders>
          <w:right w:val="single" w:color="404040" w:sz="4" w:space="0"/>
        </w:tcBorders>
        <w:shd w:val="clear" w:color="FFFFFF" w:fill="auto"/>
      </w:tcPr>
    </w:tblStylePr>
    <w:tblStylePr w:type="lastCol">
      <w:rPr>
        <w:i/>
        <w:color w:val="404040"/>
      </w:rPr>
      <w:tcPr>
        <w:tcBorders>
          <w:left w:val="single" w:color="404040" w:sz="4" w:space="0"/>
        </w:tcBorders>
        <w:shd w:val="clear" w:color="FFFFFF" w:fill="auto"/>
      </w:tc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63">
    <w:name w:val="Grid Table 1 Light"/>
    <w:qFormat/>
    <w:uiPriority w:val="99"/>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firstRow">
      <w:rPr>
        <w:b/>
        <w:color w:val="404040"/>
      </w:rPr>
      <w:tcPr>
        <w:tcBorders>
          <w:bottom w:val="single" w:color="696969" w:themeColor="tex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style>
  <w:style w:type="table" w:customStyle="1" w:styleId="64">
    <w:name w:val="Grid Table 1 Light - Accent 1"/>
    <w:qFormat/>
    <w:uiPriority w:val="99"/>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firstRow">
      <w:rPr>
        <w:b/>
        <w:color w:val="404040"/>
      </w:rPr>
      <w:tcPr>
        <w:tcBorders>
          <w:bottom w:val="single" w:color="98B5D8" w:themeColor="accen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style>
  <w:style w:type="table" w:customStyle="1" w:styleId="65">
    <w:name w:val="Grid Table 1 Light - Accent 2"/>
    <w:qFormat/>
    <w:uiPriority w:val="99"/>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firstRow">
      <w:rPr>
        <w:b/>
        <w:color w:val="404040"/>
      </w:rPr>
      <w:tcPr>
        <w:tcBorders>
          <w:bottom w:val="single" w:color="DA9896" w:themeColor="accent2"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style>
  <w:style w:type="table" w:customStyle="1" w:styleId="66">
    <w:name w:val="Grid Table 1 Light - Accent 3"/>
    <w:qFormat/>
    <w:uiPriority w:val="99"/>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firstRow">
      <w:rPr>
        <w:b/>
        <w:color w:val="404040"/>
      </w:rPr>
      <w:tcPr>
        <w:tcBorders>
          <w:bottom w:val="single" w:color="C4D79E" w:themeColor="accent3"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style>
  <w:style w:type="table" w:customStyle="1" w:styleId="67">
    <w:name w:val="Grid Table 1 Light - Accent 4"/>
    <w:qFormat/>
    <w:uiPriority w:val="99"/>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firstRow">
      <w:rPr>
        <w:b/>
        <w:color w:val="404040"/>
      </w:rPr>
      <w:tcPr>
        <w:tcBorders>
          <w:bottom w:val="single" w:color="B4A4C8" w:themeColor="accent4"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style>
  <w:style w:type="table" w:customStyle="1" w:styleId="68">
    <w:name w:val="Grid Table 1 Light - Accent 5"/>
    <w:qFormat/>
    <w:uiPriority w:val="99"/>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firstRow">
      <w:rPr>
        <w:b/>
        <w:color w:val="404040"/>
      </w:rPr>
      <w:tcPr>
        <w:tcBorders>
          <w:bottom w:val="single" w:color="95CEDD" w:themeColor="accent5"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style>
  <w:style w:type="table" w:customStyle="1" w:styleId="69">
    <w:name w:val="Grid Table 1 Light - Accent 6"/>
    <w:qFormat/>
    <w:uiPriority w:val="99"/>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firstRow">
      <w:rPr>
        <w:b/>
        <w:color w:val="404040"/>
      </w:rPr>
      <w:tcPr>
        <w:tcBorders>
          <w:bottom w:val="single" w:color="FAC192" w:themeColor="accent6"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style>
  <w:style w:type="table" w:customStyle="1" w:styleId="70">
    <w:name w:val="Grid Table 2"/>
    <w:qFormat/>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single" w:color="696969" w:themeColor="text1" w:themeTint="95" w:sz="12" w:space="0"/>
          <w:right w:val="nil"/>
        </w:tcBorders>
        <w:shd w:val="clear" w:color="FFFFFF" w:fill="auto"/>
      </w:tcPr>
    </w:tblStylePr>
    <w:tblStylePr w:type="lastRow">
      <w:rPr>
        <w:b/>
        <w:color w:val="404040"/>
      </w:rPr>
      <w:tcPr>
        <w:tcBorders>
          <w:top w:val="single" w:color="696969" w:themeColor="text1" w:themeTint="9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71">
    <w:name w:val="Grid Table 2 - Accent 1"/>
    <w:qFormat/>
    <w:uiPriority w:val="99"/>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firstRow">
      <w:rPr>
        <w:b/>
        <w:color w:val="404040"/>
      </w:rPr>
      <w:tcPr>
        <w:tcBorders>
          <w:top w:val="nil"/>
          <w:left w:val="nil"/>
          <w:bottom w:val="single" w:color="5D8BC2" w:themeColor="accent1" w:themeTint="EA" w:sz="12" w:space="0"/>
          <w:right w:val="nil"/>
        </w:tcBorders>
        <w:shd w:val="clear" w:color="FFFFFF" w:fill="auto"/>
      </w:tcPr>
    </w:tblStylePr>
    <w:tblStylePr w:type="lastRow">
      <w:rPr>
        <w:b/>
        <w:color w:val="404040"/>
      </w:rPr>
      <w:tcPr>
        <w:tcBorders>
          <w:top w:val="single" w:color="5D8BC2" w:themeColor="accent1" w:themeTint="E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BE5F1" w:themeColor="accent1" w:themeTint="34" w:fill="DBE5F1" w:themeFill="accent1" w:themeFillTint="34"/>
      </w:tcPr>
    </w:tblStylePr>
    <w:tblStylePr w:type="band1Horz">
      <w:rPr>
        <w:rFonts w:ascii="Arial" w:hAnsi="Arial"/>
        <w:color w:val="404040"/>
        <w:sz w:val="22"/>
      </w:rPr>
      <w:tcPr>
        <w:shd w:val="clear" w:color="DBE5F1" w:themeColor="accent1" w:themeTint="34" w:fill="DBE5F1" w:themeFill="accent1" w:themeFillTint="34"/>
      </w:tcPr>
    </w:tblStylePr>
  </w:style>
  <w:style w:type="table" w:customStyle="1" w:styleId="72">
    <w:name w:val="Grid Table 2 - Accent 2"/>
    <w:qFormat/>
    <w:uiPriority w:val="99"/>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firstRow">
      <w:rPr>
        <w:b/>
        <w:color w:val="404040"/>
      </w:rPr>
      <w:tcPr>
        <w:tcBorders>
          <w:top w:val="nil"/>
          <w:left w:val="nil"/>
          <w:bottom w:val="single" w:color="D99795" w:themeColor="accent2" w:themeTint="97" w:sz="12" w:space="0"/>
          <w:right w:val="nil"/>
        </w:tcBorders>
        <w:shd w:val="clear" w:color="FFFFFF" w:fill="auto"/>
      </w:tcPr>
    </w:tblStylePr>
    <w:tblStylePr w:type="lastRow">
      <w:rPr>
        <w:b/>
        <w:color w:val="404040"/>
      </w:rPr>
      <w:tcPr>
        <w:tcBorders>
          <w:top w:val="single" w:color="D99795" w:themeColor="accent2" w:themeTint="97"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73">
    <w:name w:val="Grid Table 2 - Accent 3"/>
    <w:qFormat/>
    <w:uiPriority w:val="99"/>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firstRow">
      <w:rPr>
        <w:b/>
        <w:color w:val="404040"/>
      </w:rPr>
      <w:tcPr>
        <w:tcBorders>
          <w:top w:val="nil"/>
          <w:left w:val="nil"/>
          <w:bottom w:val="single" w:color="9BBB59" w:themeColor="accent3" w:themeTint="FE" w:sz="12" w:space="0"/>
          <w:right w:val="nil"/>
        </w:tcBorders>
        <w:shd w:val="clear" w:color="FFFFFF" w:fill="auto"/>
      </w:tcPr>
    </w:tblStylePr>
    <w:tblStylePr w:type="lastRow">
      <w:rPr>
        <w:b/>
        <w:color w:val="404040"/>
      </w:rPr>
      <w:tcPr>
        <w:tcBorders>
          <w:top w:val="single" w:color="9BBB59" w:themeColor="accent3" w:themeTint="FE"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74">
    <w:name w:val="Grid Table 2 - Accent 4"/>
    <w:qFormat/>
    <w:uiPriority w:val="99"/>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firstRow">
      <w:rPr>
        <w:b/>
        <w:color w:val="404040"/>
      </w:rPr>
      <w:tcPr>
        <w:tcBorders>
          <w:top w:val="nil"/>
          <w:left w:val="nil"/>
          <w:bottom w:val="single" w:color="B2A1C6" w:themeColor="accent4" w:themeTint="9A" w:sz="12" w:space="0"/>
          <w:right w:val="nil"/>
        </w:tcBorders>
        <w:shd w:val="clear" w:color="FFFFFF" w:fill="auto"/>
      </w:tcPr>
    </w:tblStylePr>
    <w:tblStylePr w:type="lastRow">
      <w:rPr>
        <w:b/>
        <w:color w:val="404040"/>
      </w:rPr>
      <w:tcPr>
        <w:tcBorders>
          <w:top w:val="single" w:color="B2A1C6" w:themeColor="accent4" w:themeTint="9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75">
    <w:name w:val="Grid Table 2 - Accent 5"/>
    <w:qFormat/>
    <w:uiPriority w:val="99"/>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firstRow">
      <w:rPr>
        <w:b/>
        <w:color w:val="404040"/>
      </w:rPr>
      <w:tcPr>
        <w:tcBorders>
          <w:top w:val="nil"/>
          <w:left w:val="nil"/>
          <w:bottom w:val="single" w:color="4BACC6" w:themeColor="accent5" w:sz="12" w:space="0"/>
          <w:right w:val="nil"/>
        </w:tcBorders>
        <w:shd w:val="clear" w:color="FFFFFF" w:fill="auto"/>
      </w:tcPr>
    </w:tblStylePr>
    <w:tblStylePr w:type="lastRow">
      <w:rPr>
        <w:b/>
        <w:color w:val="404040"/>
      </w:rPr>
      <w:tcPr>
        <w:tcBorders>
          <w:top w:val="single" w:color="4BACC6" w:themeColor="accent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76">
    <w:name w:val="Grid Table 2 - Accent 6"/>
    <w:qFormat/>
    <w:uiPriority w:val="99"/>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firstRow">
      <w:rPr>
        <w:b/>
        <w:color w:val="404040"/>
      </w:rPr>
      <w:tcPr>
        <w:tcBorders>
          <w:top w:val="nil"/>
          <w:left w:val="nil"/>
          <w:bottom w:val="single" w:color="F79646" w:themeColor="accent6" w:sz="12" w:space="0"/>
          <w:right w:val="nil"/>
        </w:tcBorders>
        <w:shd w:val="clear" w:color="FFFFFF" w:fill="auto"/>
      </w:tcPr>
    </w:tblStylePr>
    <w:tblStylePr w:type="lastRow">
      <w:rPr>
        <w:b/>
        <w:color w:val="404040"/>
      </w:rPr>
      <w:tcPr>
        <w:tcBorders>
          <w:top w:val="single" w:color="F79646" w:themeColor="accent6"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77">
    <w:name w:val="Grid Table 3"/>
    <w:qFormat/>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78">
    <w:name w:val="Grid Table 3 - Accent 1"/>
    <w:qFormat/>
    <w:uiPriority w:val="99"/>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BE5F1" w:themeColor="accent1" w:themeTint="34" w:fill="DBE5F1" w:themeFill="accent1" w:themeFillTint="34"/>
      </w:tcPr>
    </w:tblStylePr>
    <w:tblStylePr w:type="band1Horz">
      <w:rPr>
        <w:rFonts w:ascii="Arial" w:hAnsi="Arial"/>
        <w:color w:val="404040"/>
        <w:sz w:val="22"/>
      </w:rPr>
      <w:tcPr>
        <w:shd w:val="clear" w:color="DBE5F1" w:themeColor="accent1" w:themeTint="34" w:fill="DBE5F1" w:themeFill="accent1" w:themeFillTint="34"/>
      </w:tcPr>
    </w:tblStylePr>
  </w:style>
  <w:style w:type="table" w:customStyle="1" w:styleId="79">
    <w:name w:val="Grid Table 3 - Accent 2"/>
    <w:qFormat/>
    <w:uiPriority w:val="99"/>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80">
    <w:name w:val="Grid Table 3 - Accent 3"/>
    <w:qFormat/>
    <w:uiPriority w:val="99"/>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81">
    <w:name w:val="Grid Table 3 - Accent 4"/>
    <w:qFormat/>
    <w:uiPriority w:val="99"/>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82">
    <w:name w:val="Grid Table 3 - Accent 5"/>
    <w:qFormat/>
    <w:uiPriority w:val="99"/>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83">
    <w:name w:val="Grid Table 3 - Accent 6"/>
    <w:qFormat/>
    <w:uiPriority w:val="99"/>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84">
    <w:name w:val="Grid Table 4"/>
    <w:qFormat/>
    <w:uiPriority w:val="59"/>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firstRow">
      <w:rPr>
        <w:rFonts w:ascii="Arial" w:hAnsi="Arial"/>
        <w:b/>
        <w:color w:val="FFFFFF"/>
        <w:sz w:val="22"/>
      </w:rPr>
      <w:tcPr>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000000" w:themeColor="text1" w:fill="000000" w:themeFill="text1"/>
      </w:tcPr>
    </w:tblStylePr>
    <w:tblStylePr w:type="lastRow">
      <w:rPr>
        <w:b/>
        <w:color w:val="404040"/>
      </w:rPr>
      <w:tcPr>
        <w:tcBorders>
          <w:top w:val="single" w:color="000000" w:themeColor="text1"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85">
    <w:name w:val="Grid Table 4 - Accent 1"/>
    <w:qFormat/>
    <w:uiPriority w:val="59"/>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firstRow">
      <w:rPr>
        <w:rFonts w:ascii="Arial" w:hAnsi="Arial"/>
        <w:b/>
        <w:color w:val="FFFFFF"/>
        <w:sz w:val="22"/>
      </w:rPr>
      <w:tcPr>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shd w:val="clear" w:color="5D8BC2" w:themeColor="accent1" w:themeTint="EA" w:fill="5D8BC2" w:themeFill="accent1" w:themeFillTint="EA"/>
      </w:tcPr>
    </w:tblStylePr>
    <w:tblStylePr w:type="lastRow">
      <w:rPr>
        <w:b/>
        <w:color w:val="404040"/>
      </w:rPr>
      <w:tcPr>
        <w:tcBorders>
          <w:top w:val="single" w:color="5D8BC2" w:themeColor="accent1" w:themeTint="E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CE6F2" w:themeColor="accent1" w:themeTint="32" w:fill="DCE6F2" w:themeFill="accent1" w:themeFillTint="32"/>
      </w:tcPr>
    </w:tblStylePr>
    <w:tblStylePr w:type="band1Horz">
      <w:rPr>
        <w:rFonts w:ascii="Arial" w:hAnsi="Arial"/>
        <w:color w:val="404040"/>
        <w:sz w:val="22"/>
      </w:rPr>
      <w:tcPr>
        <w:shd w:val="clear" w:color="DCE6F2" w:themeColor="accent1" w:themeTint="32" w:fill="DCE6F2" w:themeFill="accent1" w:themeFillTint="32"/>
      </w:tcPr>
    </w:tblStylePr>
  </w:style>
  <w:style w:type="table" w:customStyle="1" w:styleId="86">
    <w:name w:val="Grid Table 4 - Accent 2"/>
    <w:qFormat/>
    <w:uiPriority w:val="59"/>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firstRow">
      <w:rPr>
        <w:rFonts w:ascii="Arial" w:hAnsi="Arial"/>
        <w:b/>
        <w:color w:val="FFFFFF"/>
        <w:sz w:val="22"/>
      </w:rPr>
      <w:tcPr>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shd w:val="clear" w:color="D99795" w:themeColor="accent2" w:themeTint="97" w:fill="D99795" w:themeFill="accent2" w:themeFillTint="97"/>
      </w:tcPr>
    </w:tblStylePr>
    <w:tblStylePr w:type="lastRow">
      <w:rPr>
        <w:b/>
        <w:color w:val="404040"/>
      </w:rPr>
      <w:tcPr>
        <w:tcBorders>
          <w:top w:val="single" w:color="D99795" w:themeColor="accent2" w:themeTint="97"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87">
    <w:name w:val="Grid Table 4 - Accent 3"/>
    <w:qFormat/>
    <w:uiPriority w:val="59"/>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firstRow">
      <w:rPr>
        <w:rFonts w:ascii="Arial" w:hAnsi="Arial"/>
        <w:b/>
        <w:color w:val="FFFFFF"/>
        <w:sz w:val="22"/>
      </w:rPr>
      <w:tcPr>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shd w:val="clear" w:color="9BBB59" w:themeColor="accent3" w:themeTint="FE" w:fill="9BBB59" w:themeFill="accent3" w:themeFillTint="FE"/>
      </w:tcPr>
    </w:tblStylePr>
    <w:tblStylePr w:type="lastRow">
      <w:rPr>
        <w:b/>
        <w:color w:val="404040"/>
      </w:rPr>
      <w:tcPr>
        <w:tcBorders>
          <w:top w:val="single" w:color="9BBB59" w:themeColor="accent3" w:themeTint="FE"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88">
    <w:name w:val="Grid Table 4 - Accent 4"/>
    <w:qFormat/>
    <w:uiPriority w:val="59"/>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firstRow">
      <w:rPr>
        <w:rFonts w:ascii="Arial" w:hAnsi="Arial"/>
        <w:b/>
        <w:color w:val="FFFFFF"/>
        <w:sz w:val="22"/>
      </w:rPr>
      <w:tcPr>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shd w:val="clear" w:color="B2A1C6" w:themeColor="accent4" w:themeTint="9A" w:fill="B2A1C6" w:themeFill="accent4" w:themeFillTint="9A"/>
      </w:tcPr>
    </w:tblStylePr>
    <w:tblStylePr w:type="lastRow">
      <w:rPr>
        <w:b/>
        <w:color w:val="404040"/>
      </w:rPr>
      <w:tcPr>
        <w:tcBorders>
          <w:top w:val="single" w:color="B2A1C6" w:themeColor="accent4" w:themeTint="9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89">
    <w:name w:val="Grid Table 4 - Accent 5"/>
    <w:qFormat/>
    <w:uiPriority w:val="59"/>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firstRow">
      <w:rPr>
        <w:rFonts w:ascii="Arial" w:hAnsi="Arial"/>
        <w:b/>
        <w:color w:val="FFFFFF"/>
        <w:sz w:val="22"/>
      </w:rPr>
      <w:tcPr>
        <w:tcBorders>
          <w:top w:val="single" w:color="4BACC6" w:themeColor="accent5" w:sz="4" w:space="0"/>
          <w:left w:val="single" w:color="4BACC6" w:themeColor="accent5" w:sz="4" w:space="0"/>
          <w:bottom w:val="single" w:color="4BACC6" w:themeColor="accent5" w:sz="4" w:space="0"/>
          <w:right w:val="single" w:color="4BACC6" w:themeColor="accent5" w:sz="4" w:space="0"/>
        </w:tcBorders>
        <w:shd w:val="clear" w:color="4BACC6" w:themeColor="accent5" w:fill="4BACC6" w:themeFill="accent5"/>
      </w:tcPr>
    </w:tblStylePr>
    <w:tblStylePr w:type="lastRow">
      <w:rPr>
        <w:b/>
        <w:color w:val="404040"/>
      </w:rPr>
      <w:tcPr>
        <w:tcBorders>
          <w:top w:val="single" w:color="4BACC6" w:themeColor="accent5"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90">
    <w:name w:val="Grid Table 4 - Accent 6"/>
    <w:qFormat/>
    <w:uiPriority w:val="59"/>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firstRow">
      <w:rPr>
        <w:rFonts w:ascii="Arial" w:hAnsi="Arial"/>
        <w:b/>
        <w:color w:val="FFFFFF"/>
        <w:sz w:val="22"/>
      </w:rPr>
      <w:tcPr>
        <w:tcBorders>
          <w:top w:val="single" w:color="F79646" w:themeColor="accent6" w:sz="4" w:space="0"/>
          <w:left w:val="single" w:color="F79646" w:themeColor="accent6" w:sz="4" w:space="0"/>
          <w:bottom w:val="single" w:color="F79646" w:themeColor="accent6" w:sz="4" w:space="0"/>
          <w:right w:val="single" w:color="F79646" w:themeColor="accent6" w:sz="4" w:space="0"/>
        </w:tcBorders>
        <w:shd w:val="clear" w:color="F79646" w:themeColor="accent6" w:fill="F79646" w:themeFill="accent6"/>
      </w:tcPr>
    </w:tblStylePr>
    <w:tblStylePr w:type="lastRow">
      <w:rPr>
        <w:b/>
        <w:color w:val="404040"/>
      </w:rPr>
      <w:tcPr>
        <w:tcBorders>
          <w:top w:val="single" w:color="F79646" w:themeColor="accent6"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91">
    <w:name w:val="Grid Table 5 Dark"/>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000000" w:themeColor="text1" w:fill="000000" w:themeFill="text1"/>
      </w:tcPr>
    </w:tblStylePr>
    <w:tblStylePr w:type="lastRow">
      <w:rPr>
        <w:rFonts w:ascii="Arial" w:hAnsi="Arial"/>
        <w:b/>
        <w:color w:val="FFFFFF"/>
        <w:sz w:val="22"/>
      </w:rPr>
      <w:tcPr>
        <w:tcBorders>
          <w:top w:val="single" w:color="FFFFFF" w:themeColor="light1" w:sz="4" w:space="0"/>
        </w:tcBorders>
        <w:shd w:val="clear" w:color="000000" w:themeColor="text1" w:fill="000000" w:themeFill="text1"/>
      </w:tcPr>
    </w:tblStylePr>
    <w:tblStylePr w:type="firstCol">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band1Vert">
      <w:tcPr>
        <w:shd w:val="clear" w:color="898989" w:themeColor="text1" w:themeTint="75" w:fill="898989" w:themeFill="text1" w:themeFillTint="75"/>
      </w:tcPr>
    </w:tblStylePr>
    <w:tblStylePr w:type="band1Horz">
      <w:tcPr>
        <w:shd w:val="clear" w:color="898989" w:themeColor="text1" w:themeTint="75" w:fill="898989" w:themeFill="text1" w:themeFillTint="75"/>
      </w:tcPr>
    </w:tblStylePr>
  </w:style>
  <w:style w:type="table" w:customStyle="1" w:styleId="92">
    <w:name w:val="Grid Table 5 Dark- Accent 1"/>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tcBorders>
          <w:top w:val="single" w:color="FFFFFF" w:themeColor="light1" w:sz="4" w:space="0"/>
        </w:tcBorders>
        <w:shd w:val="clear" w:color="4F81BD" w:themeColor="accent1" w:fill="4F81BD" w:themeFill="accent1"/>
      </w:tcPr>
    </w:tblStylePr>
    <w:tblStylePr w:type="firstCol">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band1Vert">
      <w:tcPr>
        <w:shd w:val="clear" w:color="AEC5E0" w:themeColor="accent1" w:themeTint="75" w:fill="AEC5E0" w:themeFill="accent1" w:themeFillTint="75"/>
      </w:tcPr>
    </w:tblStylePr>
    <w:tblStylePr w:type="band1Horz">
      <w:tcPr>
        <w:shd w:val="clear" w:color="AEC5E0" w:themeColor="accent1" w:themeTint="75" w:fill="AEC5E0" w:themeFill="accent1" w:themeFillTint="75"/>
      </w:tcPr>
    </w:tblStylePr>
  </w:style>
  <w:style w:type="table" w:customStyle="1" w:styleId="93">
    <w:name w:val="Grid Table 5 Dark - Accent 2"/>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tcBorders>
          <w:top w:val="single" w:color="FFFFFF" w:themeColor="light1" w:sz="4" w:space="0"/>
        </w:tcBorders>
        <w:shd w:val="clear" w:color="C0504D" w:themeColor="accent2" w:fill="C0504D" w:themeFill="accent2"/>
      </w:tcPr>
    </w:tblStylePr>
    <w:tblStylePr w:type="firstCol">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band1Vert">
      <w:tcPr>
        <w:shd w:val="clear" w:color="E2AEAD" w:themeColor="accent2" w:themeTint="75" w:fill="E2AEAD" w:themeFill="accent2" w:themeFillTint="75"/>
      </w:tcPr>
    </w:tblStylePr>
    <w:tblStylePr w:type="band1Horz">
      <w:tcPr>
        <w:shd w:val="clear" w:color="E2AEAD" w:themeColor="accent2" w:themeTint="75" w:fill="E2AEAD" w:themeFill="accent2" w:themeFillTint="75"/>
      </w:tcPr>
    </w:tblStylePr>
  </w:style>
  <w:style w:type="table" w:customStyle="1" w:styleId="94">
    <w:name w:val="Grid Table 5 Dark - Accent 3"/>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tcBorders>
          <w:top w:val="single" w:color="FFFFFF" w:themeColor="light1" w:sz="4" w:space="0"/>
        </w:tcBorders>
        <w:shd w:val="clear" w:color="9BBB59" w:themeColor="accent3" w:fill="9BBB59" w:themeFill="accent3"/>
      </w:tcPr>
    </w:tblStylePr>
    <w:tblStylePr w:type="firstCol">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band1Vert">
      <w:tcPr>
        <w:shd w:val="clear" w:color="D1DFB2" w:themeColor="accent3" w:themeTint="75" w:fill="D1DFB2" w:themeFill="accent3" w:themeFillTint="75"/>
      </w:tcPr>
    </w:tblStylePr>
    <w:tblStylePr w:type="band1Horz">
      <w:tcPr>
        <w:shd w:val="clear" w:color="D1DFB2" w:themeColor="accent3" w:themeTint="75" w:fill="D1DFB2" w:themeFill="accent3" w:themeFillTint="75"/>
      </w:tcPr>
    </w:tblStylePr>
  </w:style>
  <w:style w:type="table" w:customStyle="1" w:styleId="95">
    <w:name w:val="Grid Table 5 Dark- Accent 4"/>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tcBorders>
          <w:top w:val="single" w:color="FFFFFF" w:themeColor="light1" w:sz="4" w:space="0"/>
        </w:tcBorders>
        <w:shd w:val="clear" w:color="8064A2" w:themeColor="accent4" w:fill="8064A2" w:themeFill="accent4"/>
      </w:tcPr>
    </w:tblStylePr>
    <w:tblStylePr w:type="firstCol">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band1Vert">
      <w:tcPr>
        <w:shd w:val="clear" w:color="C4B7D4" w:themeColor="accent4" w:themeTint="75" w:fill="C4B7D4" w:themeFill="accent4" w:themeFillTint="75"/>
      </w:tcPr>
    </w:tblStylePr>
    <w:tblStylePr w:type="band1Horz">
      <w:tcPr>
        <w:shd w:val="clear" w:color="C4B7D4" w:themeColor="accent4" w:themeTint="75" w:fill="C4B7D4" w:themeFill="accent4" w:themeFillTint="75"/>
      </w:tcPr>
    </w:tblStylePr>
  </w:style>
  <w:style w:type="table" w:customStyle="1" w:styleId="96">
    <w:name w:val="Grid Table 5 Dark - Accent 5"/>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tcBorders>
          <w:top w:val="single" w:color="FFFFFF" w:themeColor="light1" w:sz="4" w:space="0"/>
        </w:tcBorders>
        <w:shd w:val="clear" w:color="4BACC6" w:themeColor="accent5" w:fill="4BACC6" w:themeFill="accent5"/>
      </w:tcPr>
    </w:tblStylePr>
    <w:tblStylePr w:type="firstCol">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band1Vert">
      <w:tcPr>
        <w:shd w:val="clear" w:color="ACD8E4" w:themeColor="accent5" w:themeTint="75" w:fill="ACD8E4" w:themeFill="accent5" w:themeFillTint="75"/>
      </w:tcPr>
    </w:tblStylePr>
    <w:tblStylePr w:type="band1Horz">
      <w:tcPr>
        <w:shd w:val="clear" w:color="ACD8E4" w:themeColor="accent5" w:themeTint="75" w:fill="ACD8E4" w:themeFill="accent5" w:themeFillTint="75"/>
      </w:tcPr>
    </w:tblStylePr>
  </w:style>
  <w:style w:type="table" w:customStyle="1" w:styleId="97">
    <w:name w:val="Grid Table 5 Dark - Accent 6"/>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tcBorders>
          <w:top w:val="single" w:color="FFFFFF" w:themeColor="light1" w:sz="4" w:space="0"/>
        </w:tcBorders>
        <w:shd w:val="clear" w:color="F79646" w:themeColor="accent6" w:fill="F79646" w:themeFill="accent6"/>
      </w:tcPr>
    </w:tblStylePr>
    <w:tblStylePr w:type="firstCol">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band1Vert">
      <w:tcPr>
        <w:shd w:val="clear" w:color="FBCEAA" w:themeColor="accent6" w:themeTint="75" w:fill="FBCEAA" w:themeFill="accent6" w:themeFillTint="75"/>
      </w:tcPr>
    </w:tblStylePr>
    <w:tblStylePr w:type="band1Horz">
      <w:tcPr>
        <w:shd w:val="clear" w:color="FBCEAA" w:themeColor="accent6" w:themeTint="75" w:fill="FBCEAA" w:themeFill="accent6" w:themeFillTint="75"/>
      </w:tcPr>
    </w:tblStylePr>
  </w:style>
  <w:style w:type="table" w:customStyle="1" w:styleId="98">
    <w:name w:val="Grid Table 6 Colorful"/>
    <w:qFormat/>
    <w:uiPriority w:val="99"/>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Row">
      <w:rPr>
        <w:b/>
        <w:color w:val="808080" w:themeColor="text1" w:themeTint="80"/>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lastCol">
      <w:rPr>
        <w:b/>
        <w:color w:val="808080" w:themeColor="text1" w:themeTint="80"/>
        <w14:textFill>
          <w14:solidFill>
            <w14:schemeClr w14:val="tx1">
              <w14:lumMod w14:val="50000"/>
              <w14:lumOff w14:val="50000"/>
            </w14:schemeClr>
          </w14:solidFill>
        </w14:textFill>
      </w:rPr>
    </w:tblStylePr>
    <w:tblStylePr w:type="band1Vert">
      <w:tcPr>
        <w:shd w:val="clear" w:color="CACACA" w:themeColor="text1" w:themeTint="34" w:fill="CACACA" w:themeFill="text1" w:themeFillTint="34"/>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99">
    <w:name w:val="Grid Table 6 Colorful - Accent 1"/>
    <w:qFormat/>
    <w:uiPriority w:val="99"/>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Row">
      <w:rPr>
        <w:b/>
        <w:color w:val="A7C0DE" w:themeColor="accent1" w:themeTint="80"/>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lastCol">
      <w:rPr>
        <w:b/>
        <w:color w:val="A7C0DE" w:themeColor="accent1" w:themeTint="80"/>
        <w14:textFill>
          <w14:solidFill>
            <w14:schemeClr w14:val="accent1">
              <w14:lumMod w14:val="50000"/>
              <w14:lumOff w14:val="50000"/>
            </w14:schemeClr>
          </w14:solidFill>
        </w14:textFill>
      </w:rPr>
    </w:tblStylePr>
    <w:tblStylePr w:type="band1Vert">
      <w:tcPr>
        <w:shd w:val="clear" w:color="DBE5F1" w:themeColor="accent1" w:themeTint="34" w:fill="DBE5F1" w:themeFill="accent1" w:themeFillTint="34"/>
      </w:tcPr>
    </w:tblStyle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style>
  <w:style w:type="table" w:customStyle="1" w:styleId="100">
    <w:name w:val="Grid Table 6 Colorful - Accent 2"/>
    <w:qFormat/>
    <w:uiPriority w:val="99"/>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Row">
      <w:rPr>
        <w:b/>
        <w:color w:val="DA9896" w:themeColor="accent2" w:themeTint="96"/>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lastCol">
      <w:rPr>
        <w:b/>
        <w:color w:val="DA9896" w:themeColor="accent2" w:themeTint="96"/>
        <w14:textFill>
          <w14:solidFill>
            <w14:schemeClr w14:val="accent2">
              <w14:lumMod w14:val="59000"/>
              <w14:lumOff w14:val="41000"/>
            </w14:schemeClr>
          </w14:solidFill>
        </w14:textFill>
      </w:rPr>
    </w:tblStylePr>
    <w:tblStylePr w:type="band1Vert">
      <w:tcPr>
        <w:shd w:val="clear" w:color="F2DCDC" w:themeColor="accent2" w:themeTint="32" w:fill="F2DCDC" w:themeFill="accent2" w:themeFillTint="32"/>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01">
    <w:name w:val="Grid Table 6 Colorful - Accent 3"/>
    <w:qFormat/>
    <w:uiPriority w:val="99"/>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Row">
      <w:rPr>
        <w:b/>
        <w:color w:val="9BBB59" w:themeColor="accent3" w:themeTint="FF"/>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lastCol">
      <w:rPr>
        <w:b/>
        <w:color w:val="9BBB59" w:themeColor="accent3" w:themeTint="FF"/>
        <w14:textFill>
          <w14:solidFill>
            <w14:schemeClr w14:val="accent3">
              <w14:lumMod w14:val="100000"/>
              <w14:lumOff w14:val="0"/>
            </w14:schemeClr>
          </w14:solidFill>
        </w14:textFill>
      </w:rPr>
    </w:tblStylePr>
    <w:tblStylePr w:type="band1Vert">
      <w:tcPr>
        <w:shd w:val="clear" w:color="EAF1DD" w:themeColor="accent3" w:themeTint="34" w:fill="EAF1DD" w:themeFill="accent3" w:themeFillTint="34"/>
      </w:tcPr>
    </w:tblStyle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style>
  <w:style w:type="table" w:customStyle="1" w:styleId="102">
    <w:name w:val="Grid Table 6 Colorful - Accent 4"/>
    <w:qFormat/>
    <w:uiPriority w:val="99"/>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Row">
      <w:rPr>
        <w:b/>
        <w:color w:val="B3A2C7" w:themeColor="accent4" w:themeTint="99"/>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lastCol">
      <w:rPr>
        <w:b/>
        <w:color w:val="B3A2C7" w:themeColor="accent4" w:themeTint="99"/>
        <w14:textFill>
          <w14:solidFill>
            <w14:schemeClr w14:val="accent4">
              <w14:lumMod w14:val="60000"/>
              <w14:lumOff w14:val="40000"/>
            </w14:schemeClr>
          </w14:solidFill>
        </w14:textFill>
      </w:rPr>
    </w:tblStylePr>
    <w:tblStylePr w:type="band1Vert">
      <w:tcPr>
        <w:shd w:val="clear" w:color="E5DFEC" w:themeColor="accent4" w:themeTint="34" w:fill="E5DFEC" w:themeFill="accent4" w:themeFillTint="34"/>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03">
    <w:name w:val="Grid Table 6 Colorful - Accent 5"/>
    <w:qFormat/>
    <w:uiPriority w:val="99"/>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firstRow">
      <w:rPr>
        <w:b/>
        <w:color w:val="266778" w:themeColor="accent5" w:themeShade="94"/>
      </w:rPr>
      <w:tcPr>
        <w:tcBorders>
          <w:bottom w:val="single" w:color="4BACC6" w:themeColor="accent5" w:sz="12" w:space="0"/>
        </w:tcBorders>
      </w:tcPr>
    </w:tblStylePr>
    <w:tblStylePr w:type="lastRow">
      <w:rPr>
        <w:b/>
        <w:color w:val="266778" w:themeColor="accent5" w:themeShade="94"/>
      </w:rPr>
    </w:tblStylePr>
    <w:tblStylePr w:type="firstCol">
      <w:rPr>
        <w:b/>
        <w:color w:val="266778" w:themeColor="accent5" w:themeShade="94"/>
      </w:rPr>
    </w:tblStylePr>
    <w:tblStylePr w:type="lastCol">
      <w:rPr>
        <w:b/>
        <w:color w:val="266778" w:themeColor="accent5" w:themeShade="94"/>
      </w:rPr>
    </w:tblStylePr>
    <w:tblStylePr w:type="band1Vert">
      <w:tcPr>
        <w:shd w:val="clear" w:color="DAEEF3" w:themeColor="accent5" w:themeTint="34" w:fill="DAEEF3" w:themeFill="accent5" w:themeFillTint="34"/>
      </w:tcPr>
    </w:tblStyle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2Horz">
      <w:rPr>
        <w:rFonts w:ascii="Arial" w:hAnsi="Arial"/>
        <w:color w:val="266778" w:themeColor="accent5" w:themeShade="94"/>
        <w:sz w:val="22"/>
      </w:rPr>
    </w:tblStylePr>
  </w:style>
  <w:style w:type="table" w:customStyle="1" w:styleId="104">
    <w:name w:val="Grid Table 6 Colorful - Accent 6"/>
    <w:qFormat/>
    <w:uiPriority w:val="99"/>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firstRow">
      <w:rPr>
        <w:b/>
        <w:color w:val="266778" w:themeColor="accent5" w:themeShade="94"/>
      </w:rPr>
      <w:tcPr>
        <w:tcBorders>
          <w:bottom w:val="single" w:color="F79646" w:themeColor="accent6" w:sz="12" w:space="0"/>
        </w:tcBorders>
      </w:tcPr>
    </w:tblStylePr>
    <w:tblStylePr w:type="lastRow">
      <w:rPr>
        <w:b/>
        <w:color w:val="266778" w:themeColor="accent5" w:themeShade="94"/>
      </w:rPr>
    </w:tblStylePr>
    <w:tblStylePr w:type="firstCol">
      <w:rPr>
        <w:b/>
        <w:color w:val="266778" w:themeColor="accent5" w:themeShade="94"/>
      </w:rPr>
    </w:tblStylePr>
    <w:tblStylePr w:type="lastCol">
      <w:rPr>
        <w:b/>
        <w:color w:val="266778" w:themeColor="accent5" w:themeShade="94"/>
      </w:rPr>
    </w:tblStylePr>
    <w:tblStylePr w:type="band1Vert">
      <w:tcPr>
        <w:shd w:val="clear" w:color="FDE9D9" w:themeColor="accent6" w:themeTint="34" w:fill="FDE9D9" w:themeFill="accent6" w:themeFillTint="34"/>
      </w:tcPr>
    </w:tblStyle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2Horz">
      <w:rPr>
        <w:rFonts w:ascii="Arial" w:hAnsi="Arial"/>
        <w:color w:val="266778" w:themeColor="accent5" w:themeShade="94"/>
        <w:sz w:val="22"/>
      </w:rPr>
    </w:tblStylePr>
  </w:style>
  <w:style w:type="table" w:customStyle="1" w:styleId="105">
    <w:name w:val="Grid Table 7 Colorful"/>
    <w:qFormat/>
    <w:uiPriority w:val="99"/>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rFonts w:ascii="Arial" w:hAnsi="Arial"/>
        <w:b/>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F1F1F1" w:themeColor="text1" w:themeTint="0D" w:fill="F1F1F1" w:themeFill="text1" w:themeFillTint="0D"/>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06">
    <w:name w:val="Grid Table 7 Colorful - Accent 1"/>
    <w:qFormat/>
    <w:uiPriority w:val="99"/>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firstRow">
      <w:rPr>
        <w:rFonts w:ascii="Arial" w:hAnsi="Arial"/>
        <w:b/>
        <w:color w:val="A7C0DE" w:themeColor="accent1" w:themeTint="80"/>
        <w:sz w:val="22"/>
        <w14:textFill>
          <w14:solidFill>
            <w14:schemeClr w14:val="accent1">
              <w14:lumMod w14:val="50000"/>
              <w14:lumOff w14:val="50000"/>
            </w14:schemeClr>
          </w14:solidFill>
        </w14:textFill>
      </w:rPr>
      <w:tcPr>
        <w:tcBorders>
          <w:top w:val="nil"/>
          <w:left w:val="nil"/>
          <w:bottom w:val="single" w:color="A6BFDD" w:themeColor="accent1" w:themeTint="80" w:sz="4" w:space="0"/>
          <w:right w:val="nil"/>
        </w:tcBorders>
        <w:shd w:val="clear" w:color="FFFFFF" w:themeColor="light1" w:fill="FFFFFF" w:themeFill="light1"/>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tcBorders>
          <w:top w:val="single" w:color="A6BFDD" w:themeColor="accent1" w:themeTint="80" w:sz="4" w:space="0"/>
          <w:left w:val="nil"/>
          <w:bottom w:val="nil"/>
          <w:right w:val="nil"/>
        </w:tcBorders>
        <w:shd w:val="clear" w:color="FFFFFF" w:themeColor="light1" w:fill="FFFFFF" w:themeFill="light1"/>
      </w:tcPr>
    </w:tblStylePr>
    <w:tblStylePr w:type="firstCol">
      <w:pPr>
        <w:jc w:val="right"/>
      </w:pPr>
      <w:rPr>
        <w:rFonts w:ascii="Arial" w:hAnsi="Arial"/>
        <w:i/>
        <w:color w:val="A7C0DE" w:themeColor="accent1" w:themeTint="80"/>
        <w:sz w:val="22"/>
        <w14:textFill>
          <w14:solidFill>
            <w14:schemeClr w14:val="accent1">
              <w14:lumMod w14:val="50000"/>
              <w14:lumOff w14:val="50000"/>
            </w14:schemeClr>
          </w14:solidFill>
        </w14:textFill>
      </w:rPr>
      <w:tcPr>
        <w:tcBorders>
          <w:top w:val="nil"/>
          <w:left w:val="nil"/>
          <w:bottom w:val="nil"/>
          <w:right w:val="single" w:color="A6BFDD" w:themeColor="accent1" w:themeTint="80" w:sz="4" w:space="0"/>
        </w:tcBorders>
        <w:shd w:val="clear" w:color="FFFFFF" w:fill="auto"/>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tcBorders>
          <w:top w:val="nil"/>
          <w:left w:val="single" w:color="A6BFDD" w:themeColor="accent1" w:themeTint="80" w:sz="4" w:space="0"/>
          <w:bottom w:val="nil"/>
          <w:right w:val="nil"/>
        </w:tcBorders>
        <w:shd w:val="clear" w:color="FFFFFF" w:fill="auto"/>
      </w:tcPr>
    </w:tblStylePr>
    <w:tblStylePr w:type="band1Vert">
      <w:tcPr>
        <w:shd w:val="clear" w:color="DBE5F1" w:themeColor="accent1" w:themeTint="34" w:fill="DBE5F1" w:themeFill="accent1" w:themeFillTint="34"/>
      </w:tcPr>
    </w:tblStyle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style>
  <w:style w:type="table" w:customStyle="1" w:styleId="107">
    <w:name w:val="Grid Table 7 Colorful - Accent 2"/>
    <w:qFormat/>
    <w:uiPriority w:val="99"/>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firstRow">
      <w:rPr>
        <w:rFonts w:ascii="Arial" w:hAnsi="Arial"/>
        <w:b/>
        <w:color w:val="DA9896" w:themeColor="accent2" w:themeTint="96"/>
        <w:sz w:val="22"/>
        <w14:textFill>
          <w14:solidFill>
            <w14:schemeClr w14:val="accent2">
              <w14:lumMod w14:val="59000"/>
              <w14:lumOff w14:val="41000"/>
            </w14:schemeClr>
          </w14:solidFill>
        </w14:textFill>
      </w:rPr>
      <w:tcPr>
        <w:tcBorders>
          <w:top w:val="nil"/>
          <w:left w:val="nil"/>
          <w:bottom w:val="single" w:color="D99795" w:themeColor="accent2" w:themeTint="97" w:sz="4" w:space="0"/>
          <w:right w:val="nil"/>
        </w:tcBorders>
        <w:shd w:val="clear" w:color="FFFFFF" w:themeColor="light1" w:fill="FFFFFF" w:themeFill="light1"/>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tcBorders>
          <w:top w:val="single" w:color="D9979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nil"/>
          <w:right w:val="single" w:color="D99795" w:themeColor="accent2" w:themeTint="97" w:sz="4" w:space="0"/>
        </w:tcBorders>
        <w:shd w:val="clear" w:color="FFFFFF" w:fill="auto"/>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single" w:color="D99795" w:themeColor="accent2" w:themeTint="97" w:sz="4" w:space="0"/>
          <w:bottom w:val="nil"/>
          <w:right w:val="nil"/>
        </w:tcBorders>
        <w:shd w:val="clear" w:color="FFFFFF" w:fill="auto"/>
      </w:tcPr>
    </w:tblStylePr>
    <w:tblStylePr w:type="band1Vert">
      <w:tcPr>
        <w:shd w:val="clear" w:color="F2DCDC" w:themeColor="accent2" w:themeTint="32" w:fill="F2DCDC" w:themeFill="accent2" w:themeFillTint="32"/>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08">
    <w:name w:val="Grid Table 7 Colorful - Accent 3"/>
    <w:qFormat/>
    <w:uiPriority w:val="99"/>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firstRow">
      <w:rPr>
        <w:rFonts w:ascii="Arial" w:hAnsi="Arial"/>
        <w:b/>
        <w:color w:val="9BBB59" w:themeColor="accent3" w:themeTint="FF"/>
        <w:sz w:val="22"/>
        <w14:textFill>
          <w14:solidFill>
            <w14:schemeClr w14:val="accent3">
              <w14:lumMod w14:val="100000"/>
              <w14:lumOff w14:val="0"/>
            </w14:schemeClr>
          </w14:solidFill>
        </w14:textFill>
      </w:rPr>
      <w:tcPr>
        <w:tcBorders>
          <w:top w:val="nil"/>
          <w:left w:val="nil"/>
          <w:bottom w:val="single" w:color="9BBB59" w:themeColor="accent3" w:themeTint="FE" w:sz="4" w:space="0"/>
          <w:right w:val="nil"/>
        </w:tcBorders>
        <w:shd w:val="clear" w:color="FFFFFF" w:themeColor="light1" w:fill="FFFFFF" w:themeFill="light1"/>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tcBorders>
          <w:top w:val="single" w:color="9BBB59" w:themeColor="accent3" w:themeTint="FE" w:sz="4" w:space="0"/>
          <w:left w:val="nil"/>
          <w:bottom w:val="nil"/>
          <w:right w:val="nil"/>
        </w:tcBorders>
        <w:shd w:val="clear" w:color="FFFFFF" w:themeColor="light1" w:fill="FFFFFF" w:themeFill="light1"/>
      </w:tcPr>
    </w:tblStylePr>
    <w:tblStylePr w:type="firstCol">
      <w:pPr>
        <w:jc w:val="right"/>
      </w:pPr>
      <w:rPr>
        <w:rFonts w:ascii="Arial" w:hAnsi="Arial"/>
        <w:i/>
        <w:color w:val="9BBB59" w:themeColor="accent3" w:themeTint="FF"/>
        <w:sz w:val="22"/>
        <w14:textFill>
          <w14:solidFill>
            <w14:schemeClr w14:val="accent3">
              <w14:lumMod w14:val="100000"/>
              <w14:lumOff w14:val="0"/>
            </w14:schemeClr>
          </w14:solidFill>
        </w14:textFill>
      </w:rPr>
      <w:tcPr>
        <w:tcBorders>
          <w:top w:val="nil"/>
          <w:left w:val="nil"/>
          <w:bottom w:val="nil"/>
          <w:right w:val="single" w:color="9BBB59" w:themeColor="accent3" w:themeTint="FE" w:sz="4" w:space="0"/>
        </w:tcBorders>
        <w:shd w:val="clear" w:color="FFFFFF" w:fill="auto"/>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tcBorders>
          <w:top w:val="nil"/>
          <w:left w:val="single" w:color="9BBB59" w:themeColor="accent3" w:themeTint="FE" w:sz="4" w:space="0"/>
          <w:bottom w:val="nil"/>
          <w:right w:val="nil"/>
        </w:tcBorders>
        <w:shd w:val="clear" w:color="FFFFFF" w:fill="auto"/>
      </w:tcPr>
    </w:tblStylePr>
    <w:tblStylePr w:type="band1Vert">
      <w:tcPr>
        <w:shd w:val="clear" w:color="EAF1DD" w:themeColor="accent3" w:themeTint="34" w:fill="EAF1DD" w:themeFill="accent3" w:themeFillTint="34"/>
      </w:tcPr>
    </w:tblStyle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style>
  <w:style w:type="table" w:customStyle="1" w:styleId="109">
    <w:name w:val="Grid Table 7 Colorful - Accent 4"/>
    <w:qFormat/>
    <w:uiPriority w:val="99"/>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firstRow">
      <w:rPr>
        <w:rFonts w:ascii="Arial" w:hAnsi="Arial"/>
        <w:b/>
        <w:color w:val="B3A2C7" w:themeColor="accent4" w:themeTint="99"/>
        <w:sz w:val="22"/>
        <w14:textFill>
          <w14:solidFill>
            <w14:schemeClr w14:val="accent4">
              <w14:lumMod w14:val="60000"/>
              <w14:lumOff w14:val="40000"/>
            </w14:schemeClr>
          </w14:solidFill>
        </w14:textFill>
      </w:rPr>
      <w:tcPr>
        <w:tcBorders>
          <w:top w:val="nil"/>
          <w:left w:val="nil"/>
          <w:bottom w:val="single" w:color="B2A1C6" w:themeColor="accent4" w:themeTint="9A" w:sz="4" w:space="0"/>
          <w:right w:val="nil"/>
        </w:tcBorders>
        <w:shd w:val="clear" w:color="FFFFFF" w:themeColor="light1" w:fill="FFFFFF" w:themeFill="light1"/>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tcBorders>
          <w:top w:val="single" w:color="B2A1C6"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nil"/>
          <w:right w:val="single" w:color="B2A1C6" w:themeColor="accent4" w:themeTint="9A" w:sz="4" w:space="0"/>
        </w:tcBorders>
        <w:shd w:val="clear" w:color="FFFFFF" w:fill="auto"/>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single" w:color="B2A1C6" w:themeColor="accent4" w:themeTint="9A" w:sz="4" w:space="0"/>
          <w:bottom w:val="nil"/>
          <w:right w:val="nil"/>
        </w:tcBorders>
        <w:shd w:val="clear" w:color="FFFFFF" w:fill="auto"/>
      </w:tcPr>
    </w:tblStylePr>
    <w:tblStylePr w:type="band1Vert">
      <w:tcPr>
        <w:shd w:val="clear" w:color="E5DFEC" w:themeColor="accent4" w:themeTint="34" w:fill="E5DFEC" w:themeFill="accent4" w:themeFillTint="34"/>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10">
    <w:name w:val="Grid Table 7 Colorful - Accent 5"/>
    <w:qFormat/>
    <w:uiPriority w:val="99"/>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firstRow">
      <w:rPr>
        <w:rFonts w:ascii="Arial" w:hAnsi="Arial"/>
        <w:b/>
        <w:color w:val="266778" w:themeColor="accent5" w:themeShade="94"/>
        <w:sz w:val="22"/>
      </w:rPr>
      <w:tcPr>
        <w:tcBorders>
          <w:top w:val="nil"/>
          <w:left w:val="nil"/>
          <w:bottom w:val="single" w:color="99D0DE" w:themeColor="accent5" w:themeTint="90" w:sz="4" w:space="0"/>
          <w:right w:val="nil"/>
        </w:tcBorders>
        <w:shd w:val="clear" w:color="FFFFFF" w:themeColor="light1" w:fill="FFFFFF" w:themeFill="light1"/>
      </w:tcPr>
    </w:tblStylePr>
    <w:tblStylePr w:type="lastRow">
      <w:rPr>
        <w:rFonts w:ascii="Arial" w:hAnsi="Arial"/>
        <w:b/>
        <w:color w:val="266778" w:themeColor="accent5" w:themeShade="94"/>
        <w:sz w:val="22"/>
      </w:rPr>
      <w:tcPr>
        <w:tcBorders>
          <w:top w:val="single" w:color="99D0DE" w:themeColor="accent5" w:themeTint="90" w:sz="4" w:space="0"/>
          <w:left w:val="nil"/>
          <w:bottom w:val="nil"/>
          <w:right w:val="nil"/>
        </w:tcBorders>
        <w:shd w:val="clear" w:color="FFFFFF" w:themeColor="light1" w:fill="FFFFFF" w:themeFill="light1"/>
      </w:tcPr>
    </w:tblStylePr>
    <w:tblStylePr w:type="firstCol">
      <w:pPr>
        <w:jc w:val="right"/>
      </w:pPr>
      <w:rPr>
        <w:rFonts w:ascii="Arial" w:hAnsi="Arial"/>
        <w:i/>
        <w:color w:val="266778" w:themeColor="accent5" w:themeShade="94"/>
        <w:sz w:val="22"/>
      </w:rPr>
      <w:tcPr>
        <w:tcBorders>
          <w:top w:val="nil"/>
          <w:left w:val="nil"/>
          <w:bottom w:val="nil"/>
          <w:right w:val="single" w:color="99D0DE" w:themeColor="accent5" w:themeTint="90" w:sz="4" w:space="0"/>
        </w:tcBorders>
        <w:shd w:val="clear" w:color="FFFFFF" w:fill="auto"/>
      </w:tcPr>
    </w:tblStylePr>
    <w:tblStylePr w:type="lastCol">
      <w:rPr>
        <w:rFonts w:ascii="Arial" w:hAnsi="Arial"/>
        <w:i/>
        <w:color w:val="266778" w:themeColor="accent5" w:themeShade="94"/>
        <w:sz w:val="22"/>
      </w:rPr>
      <w:tcPr>
        <w:tcBorders>
          <w:top w:val="nil"/>
          <w:left w:val="single" w:color="99D0DE" w:themeColor="accent5" w:themeTint="90" w:sz="4" w:space="0"/>
          <w:bottom w:val="nil"/>
          <w:right w:val="nil"/>
        </w:tcBorders>
        <w:shd w:val="clear" w:color="FFFFFF" w:fill="auto"/>
      </w:tcPr>
    </w:tblStylePr>
    <w:tblStylePr w:type="band1Vert">
      <w:tcPr>
        <w:shd w:val="clear" w:color="DAEEF3" w:themeColor="accent5" w:themeTint="34" w:fill="DAEEF3" w:themeFill="accent5" w:themeFillTint="34"/>
      </w:tcPr>
    </w:tblStyle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2Horz">
      <w:rPr>
        <w:rFonts w:ascii="Arial" w:hAnsi="Arial"/>
        <w:color w:val="266778" w:themeColor="accent5" w:themeShade="94"/>
        <w:sz w:val="22"/>
      </w:rPr>
    </w:tblStylePr>
  </w:style>
  <w:style w:type="table" w:customStyle="1" w:styleId="111">
    <w:name w:val="Grid Table 7 Colorful - Accent 6"/>
    <w:qFormat/>
    <w:uiPriority w:val="99"/>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firstRow">
      <w:rPr>
        <w:rFonts w:ascii="Arial" w:hAnsi="Arial"/>
        <w:b/>
        <w:color w:val="B05408" w:themeColor="accent6" w:themeShade="94"/>
        <w:sz w:val="22"/>
      </w:rPr>
      <w:tcPr>
        <w:tcBorders>
          <w:top w:val="nil"/>
          <w:left w:val="nil"/>
          <w:bottom w:val="single" w:color="FAC396" w:themeColor="accent6" w:themeTint="90" w:sz="4" w:space="0"/>
          <w:right w:val="nil"/>
        </w:tcBorders>
        <w:shd w:val="clear" w:color="FFFFFF" w:themeColor="light1" w:fill="FFFFFF" w:themeFill="light1"/>
      </w:tcPr>
    </w:tblStylePr>
    <w:tblStylePr w:type="lastRow">
      <w:rPr>
        <w:rFonts w:ascii="Arial" w:hAnsi="Arial"/>
        <w:b/>
        <w:color w:val="B05408" w:themeColor="accent6" w:themeShade="94"/>
        <w:sz w:val="22"/>
      </w:rPr>
      <w:tcPr>
        <w:tcBorders>
          <w:top w:val="single" w:color="FAC396" w:themeColor="accent6" w:themeTint="90" w:sz="4" w:space="0"/>
          <w:left w:val="nil"/>
          <w:bottom w:val="nil"/>
          <w:right w:val="nil"/>
        </w:tcBorders>
        <w:shd w:val="clear" w:color="FFFFFF" w:themeColor="light1" w:fill="FFFFFF" w:themeFill="light1"/>
      </w:tcPr>
    </w:tblStylePr>
    <w:tblStylePr w:type="firstCol">
      <w:pPr>
        <w:jc w:val="right"/>
      </w:pPr>
      <w:rPr>
        <w:rFonts w:ascii="Arial" w:hAnsi="Arial"/>
        <w:i/>
        <w:color w:val="B05408" w:themeColor="accent6" w:themeShade="94"/>
        <w:sz w:val="22"/>
      </w:rPr>
      <w:tcPr>
        <w:tcBorders>
          <w:top w:val="nil"/>
          <w:left w:val="nil"/>
          <w:bottom w:val="nil"/>
          <w:right w:val="single" w:color="FAC396" w:themeColor="accent6" w:themeTint="90" w:sz="4" w:space="0"/>
        </w:tcBorders>
        <w:shd w:val="clear" w:color="FFFFFF" w:fill="auto"/>
      </w:tcPr>
    </w:tblStylePr>
    <w:tblStylePr w:type="lastCol">
      <w:rPr>
        <w:rFonts w:ascii="Arial" w:hAnsi="Arial"/>
        <w:i/>
        <w:color w:val="B05408" w:themeColor="accent6" w:themeShade="94"/>
        <w:sz w:val="22"/>
      </w:rPr>
      <w:tcPr>
        <w:tcBorders>
          <w:top w:val="nil"/>
          <w:left w:val="single" w:color="FAC396" w:themeColor="accent6" w:themeTint="90" w:sz="4" w:space="0"/>
          <w:bottom w:val="nil"/>
          <w:right w:val="nil"/>
        </w:tcBorders>
        <w:shd w:val="clear" w:color="FFFFFF" w:fill="auto"/>
      </w:tcPr>
    </w:tblStylePr>
    <w:tblStylePr w:type="band1Vert">
      <w:tcPr>
        <w:shd w:val="clear" w:color="FDE9D9" w:themeColor="accent6" w:themeTint="34" w:fill="FDE9D9" w:themeFill="accent6" w:themeFillTint="34"/>
      </w:tcPr>
    </w:tblStyle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2Horz">
      <w:rPr>
        <w:rFonts w:ascii="Arial" w:hAnsi="Arial"/>
        <w:color w:val="B05408" w:themeColor="accent6" w:themeShade="94"/>
        <w:sz w:val="22"/>
      </w:rPr>
    </w:tblStylePr>
  </w:style>
  <w:style w:type="table" w:customStyle="1" w:styleId="112">
    <w:name w:val="List Table 1 Light"/>
    <w:qFormat/>
    <w:uiPriority w:val="99"/>
    <w:pPr>
      <w:spacing w:after="0" w:line="240" w:lineRule="auto"/>
    </w:pPr>
    <w:tblStylePr w:type="firstRow">
      <w:rPr>
        <w:b/>
        <w:color w:val="404040"/>
      </w:rPr>
      <w:tcPr>
        <w:tcBorders>
          <w:top w:val="nil"/>
          <w:left w:val="nil"/>
          <w:bottom w:val="single" w:color="000000" w:themeColor="text1" w:sz="4" w:space="0"/>
          <w:right w:val="nil"/>
        </w:tcBorders>
      </w:tcPr>
    </w:tblStylePr>
    <w:tblStylePr w:type="lastRow">
      <w:rPr>
        <w:b/>
        <w:color w:val="404040"/>
      </w:rPr>
      <w:tcPr>
        <w:tcBorders>
          <w:top w:val="single" w:color="000000" w:themeColor="tex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BEBEBE" w:themeColor="text1" w:themeTint="40" w:fill="BEBEBE" w:themeFill="text1" w:themeFillTint="40"/>
      </w:tcPr>
    </w:tblStylePr>
    <w:tblStylePr w:type="band1Horz">
      <w:tcPr>
        <w:shd w:val="clear" w:color="BEBEBE" w:themeColor="text1" w:themeTint="40" w:fill="BEBEBE" w:themeFill="text1" w:themeFillTint="40"/>
      </w:tcPr>
    </w:tblStylePr>
  </w:style>
  <w:style w:type="table" w:customStyle="1" w:styleId="113">
    <w:name w:val="List Table 1 Light - Accent 1"/>
    <w:qFormat/>
    <w:uiPriority w:val="99"/>
    <w:pPr>
      <w:spacing w:after="0" w:line="240" w:lineRule="auto"/>
    </w:pPr>
    <w:tblStylePr w:type="firstRow">
      <w:rPr>
        <w:b/>
        <w:color w:val="404040"/>
      </w:rPr>
      <w:tcPr>
        <w:tcBorders>
          <w:top w:val="nil"/>
          <w:left w:val="nil"/>
          <w:bottom w:val="single" w:color="4F81BD" w:themeColor="accent1" w:sz="4" w:space="0"/>
          <w:right w:val="nil"/>
        </w:tcBorders>
      </w:tcPr>
    </w:tblStylePr>
    <w:tblStylePr w:type="lastRow">
      <w:rPr>
        <w:b/>
        <w:color w:val="404040"/>
      </w:rPr>
      <w:tcPr>
        <w:tcBorders>
          <w:top w:val="single" w:color="4F81BD" w:themeColor="accen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2DFEE" w:themeColor="accent1" w:themeTint="40" w:fill="D2DFEE" w:themeFill="accent1" w:themeFillTint="40"/>
      </w:tcPr>
    </w:tblStylePr>
    <w:tblStylePr w:type="band1Horz">
      <w:tcPr>
        <w:shd w:val="clear" w:color="D2DFEE" w:themeColor="accent1" w:themeTint="40" w:fill="D2DFEE" w:themeFill="accent1" w:themeFillTint="40"/>
      </w:tcPr>
    </w:tblStylePr>
  </w:style>
  <w:style w:type="table" w:customStyle="1" w:styleId="114">
    <w:name w:val="List Table 1 Light - Accent 2"/>
    <w:qFormat/>
    <w:uiPriority w:val="99"/>
    <w:pPr>
      <w:spacing w:after="0" w:line="240" w:lineRule="auto"/>
    </w:pPr>
    <w:tblStylePr w:type="firstRow">
      <w:rPr>
        <w:b/>
        <w:color w:val="404040"/>
      </w:rPr>
      <w:tcPr>
        <w:tcBorders>
          <w:top w:val="nil"/>
          <w:left w:val="nil"/>
          <w:bottom w:val="single" w:color="C0504D" w:themeColor="accent2" w:sz="4" w:space="0"/>
          <w:right w:val="nil"/>
        </w:tcBorders>
      </w:tcPr>
    </w:tblStylePr>
    <w:tblStylePr w:type="lastRow">
      <w:rPr>
        <w:b/>
        <w:color w:val="404040"/>
      </w:rPr>
      <w:tcPr>
        <w:tcBorders>
          <w:top w:val="single" w:color="C0504D" w:themeColor="accent2"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FD3D2" w:themeColor="accent2" w:themeTint="40" w:fill="EFD3D2" w:themeFill="accent2" w:themeFillTint="40"/>
      </w:tcPr>
    </w:tblStylePr>
    <w:tblStylePr w:type="band1Horz">
      <w:tcPr>
        <w:shd w:val="clear" w:color="EFD3D2" w:themeColor="accent2" w:themeTint="40" w:fill="EFD3D2" w:themeFill="accent2" w:themeFillTint="40"/>
      </w:tcPr>
    </w:tblStylePr>
  </w:style>
  <w:style w:type="table" w:customStyle="1" w:styleId="115">
    <w:name w:val="List Table 1 Light - Accent 3"/>
    <w:qFormat/>
    <w:uiPriority w:val="99"/>
    <w:pPr>
      <w:spacing w:after="0" w:line="240" w:lineRule="auto"/>
    </w:pPr>
    <w:tblStylePr w:type="firstRow">
      <w:rPr>
        <w:b/>
        <w:color w:val="404040"/>
      </w:rPr>
      <w:tcPr>
        <w:tcBorders>
          <w:top w:val="nil"/>
          <w:left w:val="nil"/>
          <w:bottom w:val="single" w:color="9BBB59" w:themeColor="accent3" w:sz="4" w:space="0"/>
          <w:right w:val="nil"/>
        </w:tcBorders>
      </w:tcPr>
    </w:tblStylePr>
    <w:tblStylePr w:type="lastRow">
      <w:rPr>
        <w:b/>
        <w:color w:val="404040"/>
      </w:rPr>
      <w:tcPr>
        <w:tcBorders>
          <w:top w:val="single" w:color="9BBB59" w:themeColor="accent3"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5EDD5" w:themeColor="accent3" w:themeTint="40" w:fill="E5EDD5" w:themeFill="accent3" w:themeFillTint="40"/>
      </w:tcPr>
    </w:tblStylePr>
    <w:tblStylePr w:type="band1Horz">
      <w:tcPr>
        <w:shd w:val="clear" w:color="E5EDD5" w:themeColor="accent3" w:themeTint="40" w:fill="E5EDD5" w:themeFill="accent3" w:themeFillTint="40"/>
      </w:tcPr>
    </w:tblStylePr>
  </w:style>
  <w:style w:type="table" w:customStyle="1" w:styleId="116">
    <w:name w:val="List Table 1 Light - Accent 4"/>
    <w:qFormat/>
    <w:uiPriority w:val="99"/>
    <w:pPr>
      <w:spacing w:after="0" w:line="240" w:lineRule="auto"/>
    </w:pPr>
    <w:tblStylePr w:type="firstRow">
      <w:rPr>
        <w:b/>
        <w:color w:val="404040"/>
      </w:rPr>
      <w:tcPr>
        <w:tcBorders>
          <w:top w:val="nil"/>
          <w:left w:val="nil"/>
          <w:bottom w:val="single" w:color="8064A2" w:themeColor="accent4" w:sz="4" w:space="0"/>
          <w:right w:val="nil"/>
        </w:tcBorders>
      </w:tcPr>
    </w:tblStylePr>
    <w:tblStylePr w:type="lastRow">
      <w:rPr>
        <w:b/>
        <w:color w:val="404040"/>
      </w:rPr>
      <w:tcPr>
        <w:tcBorders>
          <w:top w:val="single" w:color="8064A2" w:themeColor="accent4"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FD8E7" w:themeColor="accent4" w:themeTint="40" w:fill="DFD8E7" w:themeFill="accent4" w:themeFillTint="40"/>
      </w:tcPr>
    </w:tblStylePr>
    <w:tblStylePr w:type="band1Horz">
      <w:tcPr>
        <w:shd w:val="clear" w:color="DFD8E7" w:themeColor="accent4" w:themeTint="40" w:fill="DFD8E7" w:themeFill="accent4" w:themeFillTint="40"/>
      </w:tcPr>
    </w:tblStylePr>
  </w:style>
  <w:style w:type="table" w:customStyle="1" w:styleId="117">
    <w:name w:val="List Table 1 Light - Accent 5"/>
    <w:qFormat/>
    <w:uiPriority w:val="99"/>
    <w:pPr>
      <w:spacing w:after="0" w:line="240" w:lineRule="auto"/>
    </w:pPr>
    <w:tblStylePr w:type="firstRow">
      <w:rPr>
        <w:b/>
        <w:color w:val="404040"/>
      </w:rPr>
      <w:tcPr>
        <w:tcBorders>
          <w:top w:val="nil"/>
          <w:left w:val="nil"/>
          <w:bottom w:val="single" w:color="4BACC6" w:themeColor="accent5" w:sz="4" w:space="0"/>
          <w:right w:val="nil"/>
        </w:tcBorders>
      </w:tcPr>
    </w:tblStylePr>
    <w:tblStylePr w:type="lastRow">
      <w:rPr>
        <w:b/>
        <w:color w:val="404040"/>
      </w:rPr>
      <w:tcPr>
        <w:tcBorders>
          <w:top w:val="single" w:color="4BACC6" w:themeColor="accent5"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1EAF0" w:themeColor="accent5" w:themeTint="40" w:fill="D1EAF0" w:themeFill="accent5" w:themeFillTint="40"/>
      </w:tcPr>
    </w:tblStylePr>
    <w:tblStylePr w:type="band1Horz">
      <w:tcPr>
        <w:shd w:val="clear" w:color="D1EAF0" w:themeColor="accent5" w:themeTint="40" w:fill="D1EAF0" w:themeFill="accent5" w:themeFillTint="40"/>
      </w:tcPr>
    </w:tblStylePr>
  </w:style>
  <w:style w:type="table" w:customStyle="1" w:styleId="118">
    <w:name w:val="List Table 1 Light - Accent 6"/>
    <w:qFormat/>
    <w:uiPriority w:val="99"/>
    <w:pPr>
      <w:spacing w:after="0" w:line="240" w:lineRule="auto"/>
    </w:pPr>
    <w:tblStylePr w:type="firstRow">
      <w:rPr>
        <w:b/>
        <w:color w:val="404040"/>
      </w:rPr>
      <w:tcPr>
        <w:tcBorders>
          <w:top w:val="nil"/>
          <w:left w:val="nil"/>
          <w:bottom w:val="single" w:color="F79646" w:themeColor="accent6" w:sz="4" w:space="0"/>
          <w:right w:val="nil"/>
        </w:tcBorders>
      </w:tcPr>
    </w:tblStylePr>
    <w:tblStylePr w:type="lastRow">
      <w:rPr>
        <w:b/>
        <w:color w:val="404040"/>
      </w:rPr>
      <w:tcPr>
        <w:tcBorders>
          <w:top w:val="single" w:color="F79646" w:themeColor="accent6" w:sz="4" w:space="0"/>
          <w:left w:val="nil"/>
          <w:bottom w:val="nil"/>
          <w:right w:val="nil"/>
        </w:tcBorders>
      </w:tcPr>
    </w:tblStylePr>
    <w:tblStylePr w:type="firstCol">
      <w:rPr>
        <w:b/>
        <w:color w:val="404040"/>
      </w:rPr>
    </w:tblStylePr>
    <w:tblStylePr w:type="lastCol">
      <w:rPr>
        <w:b/>
        <w:color w:val="404040"/>
      </w:rPr>
    </w:tblStylePr>
    <w:tblStylePr w:type="band1Vert">
      <w:tcPr>
        <w:shd w:val="clear" w:color="FCE4D0" w:themeColor="accent6" w:themeTint="40" w:fill="FCE4D0" w:themeFill="accent6" w:themeFillTint="40"/>
      </w:tcPr>
    </w:tblStylePr>
    <w:tblStylePr w:type="band1Horz">
      <w:tcPr>
        <w:shd w:val="clear" w:color="FCE4D0" w:themeColor="accent6" w:themeTint="40" w:fill="FCE4D0" w:themeFill="accent6" w:themeFillTint="40"/>
      </w:tcPr>
    </w:tblStylePr>
  </w:style>
  <w:style w:type="table" w:customStyle="1" w:styleId="119">
    <w:name w:val="List Table 2"/>
    <w:qFormat/>
    <w:uiPriority w:val="99"/>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fir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la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20">
    <w:name w:val="List Table 2 - Accent 1"/>
    <w:qFormat/>
    <w:uiPriority w:val="99"/>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firstRow">
      <w:rPr>
        <w:rFonts w:ascii="Arial" w:hAnsi="Arial"/>
        <w:b/>
        <w:color w:val="404040"/>
        <w:sz w:val="22"/>
      </w:rPr>
      <w:tcPr>
        <w:tcBorders>
          <w:top w:val="single" w:color="9BB7D9" w:themeColor="accent1" w:themeTint="90" w:sz="4" w:space="0"/>
          <w:left w:val="nil"/>
          <w:bottom w:val="single" w:color="9BB7D9" w:themeColor="accent1" w:themeTint="90" w:sz="4" w:space="0"/>
          <w:right w:val="nil"/>
        </w:tcBorders>
      </w:tcPr>
    </w:tblStylePr>
    <w:tblStylePr w:type="lastRow">
      <w:rPr>
        <w:rFonts w:ascii="Arial" w:hAnsi="Arial"/>
        <w:b/>
        <w:color w:val="404040"/>
        <w:sz w:val="22"/>
      </w:rPr>
      <w:tcPr>
        <w:tcBorders>
          <w:top w:val="single" w:color="9BB7D9" w:themeColor="accent1" w:themeTint="90" w:sz="4" w:space="0"/>
          <w:left w:val="nil"/>
          <w:bottom w:val="single" w:color="9BB7D9" w:themeColor="accen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2DFEE" w:themeColor="accent1" w:themeTint="40" w:fill="D2DFEE" w:themeFill="accent1" w:themeFillTint="40"/>
      </w:tcPr>
    </w:tblStylePr>
    <w:tblStylePr w:type="band1Horz">
      <w:rPr>
        <w:rFonts w:ascii="Arial" w:hAnsi="Arial"/>
        <w:color w:val="404040"/>
        <w:sz w:val="22"/>
      </w:rPr>
      <w:tcPr>
        <w:shd w:val="clear" w:color="D2DFEE" w:themeColor="accent1" w:themeTint="40" w:fill="D2DFEE" w:themeFill="accent1" w:themeFillTint="40"/>
      </w:tcPr>
    </w:tblStylePr>
  </w:style>
  <w:style w:type="table" w:customStyle="1" w:styleId="121">
    <w:name w:val="List Table 2 - Accent 2"/>
    <w:qFormat/>
    <w:uiPriority w:val="99"/>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firstRow">
      <w:rPr>
        <w:rFonts w:ascii="Arial" w:hAnsi="Arial"/>
        <w:b/>
        <w:color w:val="404040"/>
        <w:sz w:val="22"/>
      </w:rPr>
      <w:tcPr>
        <w:tcBorders>
          <w:top w:val="single" w:color="DB9C9A" w:themeColor="accent2" w:themeTint="90" w:sz="4" w:space="0"/>
          <w:left w:val="nil"/>
          <w:bottom w:val="single" w:color="DB9C9A" w:themeColor="accent2" w:themeTint="90" w:sz="4" w:space="0"/>
          <w:right w:val="nil"/>
        </w:tcBorders>
      </w:tcPr>
    </w:tblStylePr>
    <w:tblStylePr w:type="lastRow">
      <w:rPr>
        <w:rFonts w:ascii="Arial" w:hAnsi="Arial"/>
        <w:b/>
        <w:color w:val="404040"/>
        <w:sz w:val="22"/>
      </w:rPr>
      <w:tcPr>
        <w:tcBorders>
          <w:top w:val="single" w:color="DB9C9A" w:themeColor="accent2" w:themeTint="90" w:sz="4" w:space="0"/>
          <w:left w:val="nil"/>
          <w:bottom w:val="single" w:color="DB9C9A" w:themeColor="accent2"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FD3D2" w:themeColor="accent2" w:themeTint="40" w:fill="EFD3D2" w:themeFill="accent2" w:themeFillTint="40"/>
      </w:tcPr>
    </w:tblStylePr>
    <w:tblStylePr w:type="band1Horz">
      <w:rPr>
        <w:rFonts w:ascii="Arial" w:hAnsi="Arial"/>
        <w:color w:val="404040"/>
        <w:sz w:val="22"/>
      </w:rPr>
      <w:tcPr>
        <w:shd w:val="clear" w:color="EFD3D2" w:themeColor="accent2" w:themeTint="40" w:fill="EFD3D2" w:themeFill="accent2" w:themeFillTint="40"/>
      </w:tcPr>
    </w:tblStylePr>
  </w:style>
  <w:style w:type="table" w:customStyle="1" w:styleId="122">
    <w:name w:val="List Table 2 - Accent 3"/>
    <w:qFormat/>
    <w:uiPriority w:val="99"/>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firstRow">
      <w:rPr>
        <w:rFonts w:ascii="Arial" w:hAnsi="Arial"/>
        <w:b/>
        <w:color w:val="404040"/>
        <w:sz w:val="22"/>
      </w:rPr>
      <w:tcPr>
        <w:tcBorders>
          <w:top w:val="single" w:color="C6D8A1" w:themeColor="accent3" w:themeTint="90" w:sz="4" w:space="0"/>
          <w:left w:val="nil"/>
          <w:bottom w:val="single" w:color="C6D8A1" w:themeColor="accent3" w:themeTint="90" w:sz="4" w:space="0"/>
          <w:right w:val="nil"/>
        </w:tcBorders>
      </w:tcPr>
    </w:tblStylePr>
    <w:tblStylePr w:type="lastRow">
      <w:rPr>
        <w:rFonts w:ascii="Arial" w:hAnsi="Arial"/>
        <w:b/>
        <w:color w:val="404040"/>
        <w:sz w:val="22"/>
      </w:rPr>
      <w:tcPr>
        <w:tcBorders>
          <w:top w:val="single" w:color="C6D8A1" w:themeColor="accent3" w:themeTint="90" w:sz="4" w:space="0"/>
          <w:left w:val="nil"/>
          <w:bottom w:val="single" w:color="C6D8A1" w:themeColor="accent3"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5EDD5" w:themeColor="accent3" w:themeTint="40" w:fill="E5EDD5" w:themeFill="accent3" w:themeFillTint="40"/>
      </w:tcPr>
    </w:tblStylePr>
    <w:tblStylePr w:type="band1Horz">
      <w:rPr>
        <w:rFonts w:ascii="Arial" w:hAnsi="Arial"/>
        <w:color w:val="404040"/>
        <w:sz w:val="22"/>
      </w:rPr>
      <w:tcPr>
        <w:shd w:val="clear" w:color="E5EDD5" w:themeColor="accent3" w:themeTint="40" w:fill="E5EDD5" w:themeFill="accent3" w:themeFillTint="40"/>
      </w:tcPr>
    </w:tblStylePr>
  </w:style>
  <w:style w:type="table" w:customStyle="1" w:styleId="123">
    <w:name w:val="List Table 2 - Accent 4"/>
    <w:qFormat/>
    <w:uiPriority w:val="99"/>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firstRow">
      <w:rPr>
        <w:rFonts w:ascii="Arial" w:hAnsi="Arial"/>
        <w:b/>
        <w:color w:val="404040"/>
        <w:sz w:val="22"/>
      </w:rPr>
      <w:tcPr>
        <w:tcBorders>
          <w:top w:val="single" w:color="B7A7CA" w:themeColor="accent4" w:themeTint="90" w:sz="4" w:space="0"/>
          <w:left w:val="nil"/>
          <w:bottom w:val="single" w:color="B7A7CA" w:themeColor="accent4" w:themeTint="90" w:sz="4" w:space="0"/>
          <w:right w:val="nil"/>
        </w:tcBorders>
      </w:tcPr>
    </w:tblStylePr>
    <w:tblStylePr w:type="lastRow">
      <w:rPr>
        <w:rFonts w:ascii="Arial" w:hAnsi="Arial"/>
        <w:b/>
        <w:color w:val="404040"/>
        <w:sz w:val="22"/>
      </w:rPr>
      <w:tcPr>
        <w:tcBorders>
          <w:top w:val="single" w:color="B7A7CA" w:themeColor="accent4" w:themeTint="90" w:sz="4" w:space="0"/>
          <w:left w:val="nil"/>
          <w:bottom w:val="single" w:color="B7A7CA" w:themeColor="accent4"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FD8E7" w:themeColor="accent4" w:themeTint="40" w:fill="DFD8E7" w:themeFill="accent4" w:themeFillTint="40"/>
      </w:tcPr>
    </w:tblStylePr>
    <w:tblStylePr w:type="band1Horz">
      <w:rPr>
        <w:rFonts w:ascii="Arial" w:hAnsi="Arial"/>
        <w:color w:val="404040"/>
        <w:sz w:val="22"/>
      </w:rPr>
      <w:tcPr>
        <w:shd w:val="clear" w:color="DFD8E7" w:themeColor="accent4" w:themeTint="40" w:fill="DFD8E7" w:themeFill="accent4" w:themeFillTint="40"/>
      </w:tcPr>
    </w:tblStylePr>
  </w:style>
  <w:style w:type="table" w:customStyle="1" w:styleId="124">
    <w:name w:val="List Table 2 - Accent 5"/>
    <w:qFormat/>
    <w:uiPriority w:val="99"/>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firstRow">
      <w:rPr>
        <w:rFonts w:ascii="Arial" w:hAnsi="Arial"/>
        <w:b/>
        <w:color w:val="404040"/>
        <w:sz w:val="22"/>
      </w:rPr>
      <w:tcPr>
        <w:tcBorders>
          <w:top w:val="single" w:color="99D0DE" w:themeColor="accent5" w:themeTint="90" w:sz="4" w:space="0"/>
          <w:left w:val="nil"/>
          <w:bottom w:val="single" w:color="99D0DE" w:themeColor="accent5" w:themeTint="90" w:sz="4" w:space="0"/>
          <w:right w:val="nil"/>
        </w:tcBorders>
      </w:tcPr>
    </w:tblStylePr>
    <w:tblStylePr w:type="lastRow">
      <w:rPr>
        <w:rFonts w:ascii="Arial" w:hAnsi="Arial"/>
        <w:b/>
        <w:color w:val="404040"/>
        <w:sz w:val="22"/>
      </w:rPr>
      <w:tcPr>
        <w:tcBorders>
          <w:top w:val="single" w:color="99D0DE" w:themeColor="accent5" w:themeTint="90" w:sz="4" w:space="0"/>
          <w:left w:val="nil"/>
          <w:bottom w:val="single" w:color="99D0DE" w:themeColor="accent5"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1EAF0" w:themeColor="accent5" w:themeTint="40" w:fill="D1EAF0" w:themeFill="accent5" w:themeFillTint="40"/>
      </w:tcPr>
    </w:tblStylePr>
    <w:tblStylePr w:type="band1Horz">
      <w:rPr>
        <w:rFonts w:ascii="Arial" w:hAnsi="Arial"/>
        <w:color w:val="404040"/>
        <w:sz w:val="22"/>
      </w:rPr>
      <w:tcPr>
        <w:shd w:val="clear" w:color="D1EAF0" w:themeColor="accent5" w:themeTint="40" w:fill="D1EAF0" w:themeFill="accent5" w:themeFillTint="40"/>
      </w:tcPr>
    </w:tblStylePr>
  </w:style>
  <w:style w:type="table" w:customStyle="1" w:styleId="125">
    <w:name w:val="List Table 2 - Accent 6"/>
    <w:qFormat/>
    <w:uiPriority w:val="99"/>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firstRow">
      <w:rPr>
        <w:rFonts w:ascii="Arial" w:hAnsi="Arial"/>
        <w:b/>
        <w:color w:val="404040"/>
        <w:sz w:val="22"/>
      </w:rPr>
      <w:tcPr>
        <w:tcBorders>
          <w:top w:val="single" w:color="FAC396" w:themeColor="accent6" w:themeTint="90" w:sz="4" w:space="0"/>
          <w:left w:val="nil"/>
          <w:bottom w:val="single" w:color="FAC396" w:themeColor="accent6" w:themeTint="90" w:sz="4" w:space="0"/>
          <w:right w:val="nil"/>
        </w:tcBorders>
      </w:tcPr>
    </w:tblStylePr>
    <w:tblStylePr w:type="lastRow">
      <w:rPr>
        <w:rFonts w:ascii="Arial" w:hAnsi="Arial"/>
        <w:b/>
        <w:color w:val="404040"/>
        <w:sz w:val="22"/>
      </w:rPr>
      <w:tcPr>
        <w:tcBorders>
          <w:top w:val="single" w:color="FAC396" w:themeColor="accent6" w:themeTint="90" w:sz="4" w:space="0"/>
          <w:left w:val="nil"/>
          <w:bottom w:val="single" w:color="FAC396" w:themeColor="accent6"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FCE4D0" w:themeColor="accent6" w:themeTint="40" w:fill="FCE4D0" w:themeFill="accent6" w:themeFillTint="40"/>
      </w:tcPr>
    </w:tblStylePr>
    <w:tblStylePr w:type="band1Horz">
      <w:rPr>
        <w:rFonts w:ascii="Arial" w:hAnsi="Arial"/>
        <w:color w:val="404040"/>
        <w:sz w:val="22"/>
      </w:rPr>
      <w:tcPr>
        <w:shd w:val="clear" w:color="FCE4D0" w:themeColor="accent6" w:themeTint="40" w:fill="FCE4D0" w:themeFill="accent6" w:themeFillTint="40"/>
      </w:tcPr>
    </w:tblStylePr>
  </w:style>
  <w:style w:type="table" w:customStyle="1" w:styleId="126">
    <w:name w:val="List Table 3"/>
    <w:qFormat/>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band1Horz">
      <w:rPr>
        <w:rFonts w:ascii="Arial" w:hAnsi="Arial"/>
        <w:color w:val="404040"/>
        <w:sz w:val="22"/>
      </w:rPr>
      <w:tcPr>
        <w:tcBorders>
          <w:top w:val="single" w:color="000000" w:themeColor="text1" w:sz="4" w:space="0"/>
          <w:bottom w:val="single" w:color="000000" w:themeColor="text1" w:sz="4" w:space="0"/>
        </w:tcBorders>
      </w:tcPr>
    </w:tblStylePr>
  </w:style>
  <w:style w:type="table" w:customStyle="1" w:styleId="127">
    <w:name w:val="List Table 3 - Accent 1"/>
    <w:qFormat/>
    <w:uiPriority w:val="99"/>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firstRow">
      <w:rPr>
        <w:rFonts w:ascii="Arial" w:hAnsi="Arial"/>
        <w:b/>
        <w:color w:val="FFFFFF"/>
        <w:sz w:val="22"/>
      </w:r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band1Horz">
      <w:rPr>
        <w:rFonts w:ascii="Arial" w:hAnsi="Arial"/>
        <w:color w:val="404040"/>
        <w:sz w:val="22"/>
      </w:rPr>
      <w:tcPr>
        <w:tcBorders>
          <w:top w:val="single" w:color="4F81BD" w:themeColor="accent1" w:sz="4" w:space="0"/>
          <w:bottom w:val="single" w:color="4F81BD" w:themeColor="accent1" w:sz="4" w:space="0"/>
        </w:tcBorders>
      </w:tcPr>
    </w:tblStylePr>
  </w:style>
  <w:style w:type="table" w:customStyle="1" w:styleId="128">
    <w:name w:val="List Table 3 - Accent 2"/>
    <w:qFormat/>
    <w:uiPriority w:val="99"/>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firstRow">
      <w:rPr>
        <w:rFonts w:ascii="Arial" w:hAnsi="Arial"/>
        <w:b/>
        <w:color w:val="FFFFFF"/>
        <w:sz w:val="22"/>
      </w:rPr>
      <w:tcPr>
        <w:shd w:val="clear" w:color="D99795" w:themeColor="accent2" w:themeTint="97" w:fill="D99795"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style>
  <w:style w:type="table" w:customStyle="1" w:styleId="129">
    <w:name w:val="List Table 3 - Accent 3"/>
    <w:qFormat/>
    <w:uiPriority w:val="99"/>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firstRow">
      <w:rPr>
        <w:rFonts w:ascii="Arial" w:hAnsi="Arial"/>
        <w:b/>
        <w:color w:val="FFFFFF"/>
        <w:sz w:val="22"/>
      </w:rPr>
      <w:tcPr>
        <w:shd w:val="clear" w:color="C3D69C" w:themeColor="accent3" w:themeTint="98" w:fill="C3D69C"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style>
  <w:style w:type="table" w:customStyle="1" w:styleId="130">
    <w:name w:val="List Table 3 - Accent 4"/>
    <w:qFormat/>
    <w:uiPriority w:val="99"/>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firstRow">
      <w:rPr>
        <w:rFonts w:ascii="Arial" w:hAnsi="Arial"/>
        <w:b/>
        <w:color w:val="FFFFFF"/>
        <w:sz w:val="22"/>
      </w:rPr>
      <w:tcPr>
        <w:shd w:val="clear" w:color="B2A1C6" w:themeColor="accent4" w:themeTint="9A" w:fill="B2A1C6"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style>
  <w:style w:type="table" w:customStyle="1" w:styleId="131">
    <w:name w:val="List Table 3 - Accent 5"/>
    <w:qFormat/>
    <w:uiPriority w:val="99"/>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firstRow">
      <w:rPr>
        <w:rFonts w:ascii="Arial" w:hAnsi="Arial"/>
        <w:b/>
        <w:color w:val="FFFFFF"/>
        <w:sz w:val="22"/>
      </w:rPr>
      <w:tcPr>
        <w:shd w:val="clear" w:color="92CCDC" w:themeColor="accent5" w:themeTint="9A" w:fill="92CCDC"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style>
  <w:style w:type="table" w:customStyle="1" w:styleId="132">
    <w:name w:val="List Table 3 - Accent 6"/>
    <w:qFormat/>
    <w:uiPriority w:val="99"/>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firstRow">
      <w:rPr>
        <w:rFonts w:ascii="Arial" w:hAnsi="Arial"/>
        <w:b/>
        <w:color w:val="FFFFFF"/>
        <w:sz w:val="22"/>
      </w:rPr>
      <w:tcPr>
        <w:shd w:val="clear" w:color="FAC090" w:themeColor="accent6" w:themeTint="98" w:fill="FAC090"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style>
  <w:style w:type="table" w:customStyle="1" w:styleId="133">
    <w:name w:val="List Table 4"/>
    <w:qFormat/>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34">
    <w:name w:val="List Table 4 - Accent 1"/>
    <w:qFormat/>
    <w:uiPriority w:val="99"/>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firstRow">
      <w:rPr>
        <w:rFonts w:ascii="Arial" w:hAnsi="Arial"/>
        <w:b/>
        <w:color w:val="FFFFFF"/>
        <w:sz w:val="22"/>
      </w:r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2DFEE" w:themeColor="accent1" w:themeTint="40" w:fill="D2DFEE" w:themeFill="accent1" w:themeFillTint="40"/>
      </w:tcPr>
    </w:tblStylePr>
    <w:tblStylePr w:type="band1Horz">
      <w:rPr>
        <w:rFonts w:ascii="Arial" w:hAnsi="Arial"/>
        <w:color w:val="404040"/>
        <w:sz w:val="22"/>
      </w:rPr>
      <w:tcPr>
        <w:shd w:val="clear" w:color="D2DFEE" w:themeColor="accent1" w:themeTint="40" w:fill="D2DFEE" w:themeFill="accent1" w:themeFillTint="40"/>
      </w:tcPr>
    </w:tblStylePr>
  </w:style>
  <w:style w:type="table" w:customStyle="1" w:styleId="135">
    <w:name w:val="List Table 4 - Accent 2"/>
    <w:qFormat/>
    <w:uiPriority w:val="99"/>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firstRow">
      <w:rPr>
        <w:rFonts w:ascii="Arial" w:hAnsi="Arial"/>
        <w:b/>
        <w:color w:val="FFFFFF"/>
        <w:sz w:val="22"/>
      </w:rPr>
      <w:tcPr>
        <w:shd w:val="clear" w:color="C0504D" w:themeColor="accent2" w:fill="C0504D"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FD3D2" w:themeColor="accent2" w:themeTint="40" w:fill="EFD3D2" w:themeFill="accent2" w:themeFillTint="40"/>
      </w:tcPr>
    </w:tblStylePr>
    <w:tblStylePr w:type="band1Horz">
      <w:rPr>
        <w:rFonts w:ascii="Arial" w:hAnsi="Arial"/>
        <w:color w:val="404040"/>
        <w:sz w:val="22"/>
      </w:rPr>
      <w:tcPr>
        <w:shd w:val="clear" w:color="EFD3D2" w:themeColor="accent2" w:themeTint="40" w:fill="EFD3D2" w:themeFill="accent2" w:themeFillTint="40"/>
      </w:tcPr>
    </w:tblStylePr>
  </w:style>
  <w:style w:type="table" w:customStyle="1" w:styleId="136">
    <w:name w:val="List Table 4 - Accent 3"/>
    <w:qFormat/>
    <w:uiPriority w:val="99"/>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firstRow">
      <w:rPr>
        <w:rFonts w:ascii="Arial" w:hAnsi="Arial"/>
        <w:b/>
        <w:color w:val="FFFFFF"/>
        <w:sz w:val="22"/>
      </w:rPr>
      <w:tcPr>
        <w:shd w:val="clear" w:color="9BBB59" w:themeColor="accent3" w:fill="9BBB59"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5EDD5" w:themeColor="accent3" w:themeTint="40" w:fill="E5EDD5" w:themeFill="accent3" w:themeFillTint="40"/>
      </w:tcPr>
    </w:tblStylePr>
    <w:tblStylePr w:type="band1Horz">
      <w:rPr>
        <w:rFonts w:ascii="Arial" w:hAnsi="Arial"/>
        <w:color w:val="404040"/>
        <w:sz w:val="22"/>
      </w:rPr>
      <w:tcPr>
        <w:shd w:val="clear" w:color="E5EDD5" w:themeColor="accent3" w:themeTint="40" w:fill="E5EDD5" w:themeFill="accent3" w:themeFillTint="40"/>
      </w:tcPr>
    </w:tblStylePr>
  </w:style>
  <w:style w:type="table" w:customStyle="1" w:styleId="137">
    <w:name w:val="List Table 4 - Accent 4"/>
    <w:qFormat/>
    <w:uiPriority w:val="99"/>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firstRow">
      <w:rPr>
        <w:rFonts w:ascii="Arial" w:hAnsi="Arial"/>
        <w:b/>
        <w:color w:val="FFFFFF"/>
        <w:sz w:val="22"/>
      </w:rPr>
      <w:tcPr>
        <w:shd w:val="clear" w:color="8064A2" w:themeColor="accent4" w:fill="8064A2"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FD8E7" w:themeColor="accent4" w:themeTint="40" w:fill="DFD8E7" w:themeFill="accent4" w:themeFillTint="40"/>
      </w:tcPr>
    </w:tblStylePr>
    <w:tblStylePr w:type="band1Horz">
      <w:rPr>
        <w:rFonts w:ascii="Arial" w:hAnsi="Arial"/>
        <w:color w:val="404040"/>
        <w:sz w:val="22"/>
      </w:rPr>
      <w:tcPr>
        <w:shd w:val="clear" w:color="DFD8E7" w:themeColor="accent4" w:themeTint="40" w:fill="DFD8E7" w:themeFill="accent4" w:themeFillTint="40"/>
      </w:tcPr>
    </w:tblStylePr>
  </w:style>
  <w:style w:type="table" w:customStyle="1" w:styleId="138">
    <w:name w:val="List Table 4 - Accent 5"/>
    <w:qFormat/>
    <w:uiPriority w:val="99"/>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firstRow">
      <w:rPr>
        <w:rFonts w:ascii="Arial" w:hAnsi="Arial"/>
        <w:b/>
        <w:color w:val="FFFFFF"/>
        <w:sz w:val="22"/>
      </w:rPr>
      <w:tcPr>
        <w:shd w:val="clear" w:color="4BACC6" w:themeColor="accent5" w:fill="4BACC6"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1EAF0" w:themeColor="accent5" w:themeTint="40" w:fill="D1EAF0" w:themeFill="accent5" w:themeFillTint="40"/>
      </w:tcPr>
    </w:tblStylePr>
    <w:tblStylePr w:type="band1Horz">
      <w:rPr>
        <w:rFonts w:ascii="Arial" w:hAnsi="Arial"/>
        <w:color w:val="404040"/>
        <w:sz w:val="22"/>
      </w:rPr>
      <w:tcPr>
        <w:shd w:val="clear" w:color="D1EAF0" w:themeColor="accent5" w:themeTint="40" w:fill="D1EAF0" w:themeFill="accent5" w:themeFillTint="40"/>
      </w:tcPr>
    </w:tblStylePr>
  </w:style>
  <w:style w:type="table" w:customStyle="1" w:styleId="139">
    <w:name w:val="List Table 4 - Accent 6"/>
    <w:qFormat/>
    <w:uiPriority w:val="99"/>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firstRow">
      <w:rPr>
        <w:rFonts w:ascii="Arial" w:hAnsi="Arial"/>
        <w:b/>
        <w:color w:val="FFFFFF"/>
        <w:sz w:val="22"/>
      </w:rPr>
      <w:tcPr>
        <w:shd w:val="clear" w:color="F79646" w:themeColor="accent6" w:fill="F79646"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CE4D0" w:themeColor="accent6" w:themeTint="40" w:fill="FCE4D0" w:themeFill="accent6" w:themeFillTint="40"/>
      </w:tcPr>
    </w:tblStylePr>
    <w:tblStylePr w:type="band1Horz">
      <w:rPr>
        <w:rFonts w:ascii="Arial" w:hAnsi="Arial"/>
        <w:color w:val="404040"/>
        <w:sz w:val="22"/>
      </w:rPr>
      <w:tcPr>
        <w:shd w:val="clear" w:color="FCE4D0" w:themeColor="accent6" w:themeTint="40" w:fill="FCE4D0" w:themeFill="accent6" w:themeFillTint="40"/>
      </w:tcPr>
    </w:tblStylePr>
  </w:style>
  <w:style w:type="table" w:customStyle="1" w:styleId="140">
    <w:name w:val="List Table 5 Dark"/>
    <w:qFormat/>
    <w:uiPriority w:val="99"/>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firstRow">
      <w:rPr>
        <w:rFonts w:ascii="Arial" w:hAnsi="Arial"/>
        <w:b/>
        <w:color w:val="FFFFFF" w:themeColor="light1"/>
        <w:sz w:val="22"/>
        <w14:textFill>
          <w14:solidFill>
            <w14:schemeClr w14:val="lt1"/>
          </w14:solidFill>
        </w14:textFill>
      </w:rPr>
      <w:tcPr>
        <w:tcBorders>
          <w:top w:val="single" w:color="7E7E7E" w:themeColor="text1" w:themeTint="80" w:sz="32" w:space="0"/>
          <w:bottom w:val="single" w:color="FFFFFF" w:themeColor="light1" w:sz="12" w:space="0"/>
        </w:tcBorders>
        <w:shd w:val="clear" w:color="7E7E7E" w:themeColor="text1" w:themeTint="80" w:fill="7E7E7E" w:themeFill="text1" w:themeFillTint="80"/>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lastCol">
      <w:tcPr>
        <w:tcBorders>
          <w:left w:val="single" w:color="FFFFFF" w:themeColor="light1" w:sz="4" w:space="0"/>
          <w:right w:val="single" w:color="7E7E7E" w:themeColor="text1" w:themeTint="80" w:sz="32" w:space="0"/>
        </w:tcBorders>
      </w:tcPr>
    </w:tblStylePr>
    <w:tblStylePr w:type="band1Vert">
      <w:tcPr>
        <w:tcBorders>
          <w:left w:val="single" w:color="FFFFFF" w:themeColor="light1" w:sz="4" w:space="0"/>
          <w:right w:val="single" w:color="FFFFFF" w:themeColor="light1" w:sz="4" w:space="0"/>
        </w:tcBorders>
        <w:shd w:val="clear" w:color="7E7E7E" w:themeColor="text1" w:themeTint="80" w:fill="7E7E7E" w:themeFill="text1" w:themeFillTint="80"/>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7E7E7E" w:themeColor="text1" w:themeTint="80" w:fill="7E7E7E" w:themeFill="text1" w:themeFillTint="80"/>
      </w:tcPr>
    </w:tblStylePr>
    <w:tblStylePr w:type="band2Horz">
      <w:tcPr>
        <w:tcBorders>
          <w:top w:val="single" w:color="FFFFFF" w:themeColor="light1" w:sz="4" w:space="0"/>
          <w:bottom w:val="single" w:color="FFFFFF" w:themeColor="light1" w:sz="4" w:space="0"/>
        </w:tcBorders>
        <w:shd w:val="clear" w:color="7E7E7E" w:themeColor="text1" w:themeTint="80" w:fill="7E7E7E" w:themeFill="text1" w:themeFillTint="80"/>
      </w:tcPr>
    </w:tblStylePr>
  </w:style>
  <w:style w:type="table" w:customStyle="1" w:styleId="141">
    <w:name w:val="List Table 5 Dark - Accent 1"/>
    <w:qFormat/>
    <w:uiPriority w:val="99"/>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firstRow">
      <w:rPr>
        <w:rFonts w:ascii="Arial" w:hAnsi="Arial"/>
        <w:b/>
        <w:color w:val="FFFFFF" w:themeColor="light1"/>
        <w:sz w:val="22"/>
        <w14:textFill>
          <w14:solidFill>
            <w14:schemeClr w14:val="lt1"/>
          </w14:solidFill>
        </w14:textFill>
      </w:rPr>
      <w:tcPr>
        <w:tcBorders>
          <w:top w:val="single" w:color="4F81BD" w:themeColor="accent1" w:sz="32" w:space="0"/>
          <w:bottom w:val="single" w:color="FFFFFF" w:themeColor="light1" w:sz="12" w:space="0"/>
        </w:tcBorders>
        <w:shd w:val="clear" w:color="4F81BD" w:themeColor="accent1" w:fill="4F81BD" w:themeFill="accent1"/>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lastCol">
      <w:tcPr>
        <w:tcBorders>
          <w:left w:val="single" w:color="FFFFFF" w:themeColor="light1" w:sz="4" w:space="0"/>
          <w:right w:val="single" w:color="4F81BD" w:themeColor="accent1" w:sz="32" w:space="0"/>
        </w:tcBorders>
      </w:tcPr>
    </w:tblStylePr>
    <w:tblStylePr w:type="band1Vert">
      <w:tcPr>
        <w:tcBorders>
          <w:left w:val="single" w:color="FFFFFF" w:themeColor="light1" w:sz="4" w:space="0"/>
          <w:right w:val="single" w:color="FFFFFF" w:themeColor="light1" w:sz="4" w:space="0"/>
        </w:tcBorders>
        <w:shd w:val="clear" w:color="4F81BD" w:themeColor="accent1" w:fill="4F81BD" w:themeFill="accent1"/>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4F81BD" w:themeColor="accent1" w:fill="4F81BD" w:themeFill="accent1"/>
      </w:tcPr>
    </w:tblStylePr>
    <w:tblStylePr w:type="band2Horz">
      <w:tcPr>
        <w:tcBorders>
          <w:top w:val="single" w:color="FFFFFF" w:themeColor="light1" w:sz="4" w:space="0"/>
          <w:bottom w:val="single" w:color="FFFFFF" w:themeColor="light1" w:sz="4" w:space="0"/>
        </w:tcBorders>
        <w:shd w:val="clear" w:color="4F81BD" w:themeColor="accent1" w:fill="4F81BD" w:themeFill="accent1"/>
      </w:tcPr>
    </w:tblStylePr>
  </w:style>
  <w:style w:type="table" w:customStyle="1" w:styleId="142">
    <w:name w:val="List Table 5 Dark - Accent 2"/>
    <w:qFormat/>
    <w:uiPriority w:val="99"/>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firstRow">
      <w:rPr>
        <w:rFonts w:ascii="Arial" w:hAnsi="Arial"/>
        <w:b/>
        <w:color w:val="FFFFFF" w:themeColor="light1"/>
        <w:sz w:val="22"/>
        <w14:textFill>
          <w14:solidFill>
            <w14:schemeClr w14:val="lt1"/>
          </w14:solidFill>
        </w14:textFill>
      </w:rPr>
      <w:tcPr>
        <w:tcBorders>
          <w:top w:val="single" w:color="D99795" w:themeColor="accent2" w:themeTint="97" w:sz="32" w:space="0"/>
          <w:bottom w:val="single" w:color="FFFFFF" w:themeColor="light1" w:sz="12" w:space="0"/>
        </w:tcBorders>
        <w:shd w:val="clear" w:color="D99795" w:themeColor="accent2" w:themeTint="97" w:fill="D99795" w:themeFill="accent2" w:themeFillTint="97"/>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lastCol">
      <w:tcPr>
        <w:tcBorders>
          <w:left w:val="single" w:color="FFFFFF" w:themeColor="light1" w:sz="4" w:space="0"/>
          <w:right w:val="single" w:color="D99795" w:themeColor="accent2" w:themeTint="97" w:sz="32" w:space="0"/>
        </w:tcBorders>
      </w:tcPr>
    </w:tblStylePr>
    <w:tblStylePr w:type="band1Vert">
      <w:tcPr>
        <w:tcBorders>
          <w:left w:val="single" w:color="FFFFFF" w:themeColor="light1" w:sz="4" w:space="0"/>
          <w:right w:val="single" w:color="FFFFFF" w:themeColor="light1" w:sz="4" w:space="0"/>
        </w:tcBorders>
        <w:shd w:val="clear" w:color="D99795" w:themeColor="accent2" w:themeTint="97" w:fill="D99795" w:themeFill="accent2" w:themeFillTint="97"/>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D99795" w:themeColor="accent2" w:themeTint="97" w:fill="D99795" w:themeFill="accent2" w:themeFillTint="97"/>
      </w:tcPr>
    </w:tblStylePr>
    <w:tblStylePr w:type="band2Horz">
      <w:tcPr>
        <w:tcBorders>
          <w:top w:val="single" w:color="FFFFFF" w:themeColor="light1" w:sz="4" w:space="0"/>
          <w:bottom w:val="single" w:color="FFFFFF" w:themeColor="light1" w:sz="4" w:space="0"/>
        </w:tcBorders>
        <w:shd w:val="clear" w:color="D99795" w:themeColor="accent2" w:themeTint="97" w:fill="D99795" w:themeFill="accent2" w:themeFillTint="97"/>
      </w:tcPr>
    </w:tblStylePr>
  </w:style>
  <w:style w:type="table" w:customStyle="1" w:styleId="143">
    <w:name w:val="List Table 5 Dark - Accent 3"/>
    <w:qFormat/>
    <w:uiPriority w:val="99"/>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firstRow">
      <w:rPr>
        <w:rFonts w:ascii="Arial" w:hAnsi="Arial"/>
        <w:b/>
        <w:color w:val="FFFFFF" w:themeColor="light1"/>
        <w:sz w:val="22"/>
        <w14:textFill>
          <w14:solidFill>
            <w14:schemeClr w14:val="lt1"/>
          </w14:solidFill>
        </w14:textFill>
      </w:rPr>
      <w:tcPr>
        <w:tcBorders>
          <w:top w:val="single" w:color="C3D69C" w:themeColor="accent3" w:themeTint="98" w:sz="32" w:space="0"/>
          <w:bottom w:val="single" w:color="FFFFFF" w:themeColor="light1" w:sz="12" w:space="0"/>
        </w:tcBorders>
        <w:shd w:val="clear" w:color="C3D69C" w:themeColor="accent3" w:themeTint="98" w:fill="C3D69C" w:themeFill="accent3"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lastCol">
      <w:tcPr>
        <w:tcBorders>
          <w:left w:val="single" w:color="FFFFFF" w:themeColor="light1" w:sz="4" w:space="0"/>
          <w:right w:val="single" w:color="C3D69C" w:themeColor="accent3" w:themeTint="98" w:sz="32" w:space="0"/>
        </w:tcBorders>
      </w:tcPr>
    </w:tblStylePr>
    <w:tblStylePr w:type="band1Vert">
      <w:tcPr>
        <w:tcBorders>
          <w:left w:val="single" w:color="FFFFFF" w:themeColor="light1" w:sz="4" w:space="0"/>
          <w:right w:val="single" w:color="FFFFFF" w:themeColor="light1" w:sz="4" w:space="0"/>
        </w:tcBorders>
        <w:shd w:val="clear" w:color="C3D69C" w:themeColor="accent3" w:themeTint="98" w:fill="C3D69C" w:themeFill="accent3"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C3D69C" w:themeColor="accent3" w:themeTint="98" w:fill="C3D69C" w:themeFill="accent3" w:themeFillTint="98"/>
      </w:tcPr>
    </w:tblStylePr>
    <w:tblStylePr w:type="band2Horz">
      <w:tcPr>
        <w:tcBorders>
          <w:top w:val="single" w:color="FFFFFF" w:themeColor="light1" w:sz="4" w:space="0"/>
          <w:bottom w:val="single" w:color="FFFFFF" w:themeColor="light1" w:sz="4" w:space="0"/>
        </w:tcBorders>
        <w:shd w:val="clear" w:color="C3D69C" w:themeColor="accent3" w:themeTint="98" w:fill="C3D69C" w:themeFill="accent3" w:themeFillTint="98"/>
      </w:tcPr>
    </w:tblStylePr>
  </w:style>
  <w:style w:type="table" w:customStyle="1" w:styleId="144">
    <w:name w:val="List Table 5 Dark - Accent 4"/>
    <w:qFormat/>
    <w:uiPriority w:val="99"/>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firstRow">
      <w:rPr>
        <w:rFonts w:ascii="Arial" w:hAnsi="Arial"/>
        <w:b/>
        <w:color w:val="FFFFFF" w:themeColor="light1"/>
        <w:sz w:val="22"/>
        <w14:textFill>
          <w14:solidFill>
            <w14:schemeClr w14:val="lt1"/>
          </w14:solidFill>
        </w14:textFill>
      </w:rPr>
      <w:tcPr>
        <w:tcBorders>
          <w:top w:val="single" w:color="B2A1C6" w:themeColor="accent4" w:themeTint="9A" w:sz="32" w:space="0"/>
          <w:bottom w:val="single" w:color="FFFFFF" w:themeColor="light1" w:sz="12" w:space="0"/>
        </w:tcBorders>
        <w:shd w:val="clear" w:color="B2A1C6" w:themeColor="accent4" w:themeTint="9A" w:fill="B2A1C6" w:themeFill="accent4"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lastCol">
      <w:tcPr>
        <w:tcBorders>
          <w:left w:val="single" w:color="FFFFFF" w:themeColor="light1" w:sz="4" w:space="0"/>
          <w:right w:val="single" w:color="B2A1C6" w:themeColor="accent4" w:themeTint="9A" w:sz="32" w:space="0"/>
        </w:tcBorders>
      </w:tcPr>
    </w:tblStylePr>
    <w:tblStylePr w:type="band1Vert">
      <w:tcPr>
        <w:tcBorders>
          <w:left w:val="single" w:color="FFFFFF" w:themeColor="light1" w:sz="4" w:space="0"/>
          <w:right w:val="single" w:color="FFFFFF" w:themeColor="light1" w:sz="4" w:space="0"/>
        </w:tcBorders>
        <w:shd w:val="clear" w:color="B2A1C6" w:themeColor="accent4" w:themeTint="9A" w:fill="B2A1C6" w:themeFill="accent4"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B2A1C6" w:themeColor="accent4" w:themeTint="9A" w:fill="B2A1C6" w:themeFill="accent4" w:themeFillTint="9A"/>
      </w:tcPr>
    </w:tblStylePr>
    <w:tblStylePr w:type="band2Horz">
      <w:tcPr>
        <w:tcBorders>
          <w:top w:val="single" w:color="FFFFFF" w:themeColor="light1" w:sz="4" w:space="0"/>
          <w:bottom w:val="single" w:color="FFFFFF" w:themeColor="light1" w:sz="4" w:space="0"/>
        </w:tcBorders>
        <w:shd w:val="clear" w:color="B2A1C6" w:themeColor="accent4" w:themeTint="9A" w:fill="B2A1C6" w:themeFill="accent4" w:themeFillTint="9A"/>
      </w:tcPr>
    </w:tblStylePr>
  </w:style>
  <w:style w:type="table" w:customStyle="1" w:styleId="145">
    <w:name w:val="List Table 5 Dark - Accent 5"/>
    <w:qFormat/>
    <w:uiPriority w:val="99"/>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firstRow">
      <w:rPr>
        <w:rFonts w:ascii="Arial" w:hAnsi="Arial"/>
        <w:b/>
        <w:color w:val="FFFFFF" w:themeColor="light1"/>
        <w:sz w:val="22"/>
        <w14:textFill>
          <w14:solidFill>
            <w14:schemeClr w14:val="lt1"/>
          </w14:solidFill>
        </w14:textFill>
      </w:rPr>
      <w:tcPr>
        <w:tcBorders>
          <w:top w:val="single" w:color="92CCDC" w:themeColor="accent5" w:themeTint="9A" w:sz="32" w:space="0"/>
          <w:bottom w:val="single" w:color="FFFFFF" w:themeColor="light1" w:sz="12" w:space="0"/>
        </w:tcBorders>
        <w:shd w:val="clear" w:color="92CCDC" w:themeColor="accent5" w:themeTint="9A" w:fill="92CCDC" w:themeFill="accent5"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lastCol">
      <w:tcPr>
        <w:tcBorders>
          <w:left w:val="single" w:color="FFFFFF" w:themeColor="light1" w:sz="4" w:space="0"/>
          <w:right w:val="single" w:color="92CCDC" w:themeColor="accent5" w:themeTint="9A" w:sz="32" w:space="0"/>
        </w:tcBorders>
      </w:tcPr>
    </w:tblStylePr>
    <w:tblStylePr w:type="band1Vert">
      <w:tcPr>
        <w:tcBorders>
          <w:left w:val="single" w:color="FFFFFF" w:themeColor="light1" w:sz="4" w:space="0"/>
          <w:right w:val="single" w:color="FFFFFF" w:themeColor="light1" w:sz="4" w:space="0"/>
        </w:tcBorders>
        <w:shd w:val="clear" w:color="92CCDC" w:themeColor="accent5" w:themeTint="9A" w:fill="92CCDC" w:themeFill="accent5"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92CCDC" w:themeColor="accent5" w:themeTint="9A" w:fill="92CCDC" w:themeFill="accent5" w:themeFillTint="9A"/>
      </w:tcPr>
    </w:tblStylePr>
    <w:tblStylePr w:type="band2Horz">
      <w:tcPr>
        <w:tcBorders>
          <w:top w:val="single" w:color="FFFFFF" w:themeColor="light1" w:sz="4" w:space="0"/>
          <w:bottom w:val="single" w:color="FFFFFF" w:themeColor="light1" w:sz="4" w:space="0"/>
        </w:tcBorders>
        <w:shd w:val="clear" w:color="92CCDC" w:themeColor="accent5" w:themeTint="9A" w:fill="92CCDC" w:themeFill="accent5" w:themeFillTint="9A"/>
      </w:tcPr>
    </w:tblStylePr>
  </w:style>
  <w:style w:type="table" w:customStyle="1" w:styleId="146">
    <w:name w:val="List Table 5 Dark - Accent 6"/>
    <w:qFormat/>
    <w:uiPriority w:val="99"/>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firstRow">
      <w:rPr>
        <w:rFonts w:ascii="Arial" w:hAnsi="Arial"/>
        <w:b/>
        <w:color w:val="FFFFFF" w:themeColor="light1"/>
        <w:sz w:val="22"/>
        <w14:textFill>
          <w14:solidFill>
            <w14:schemeClr w14:val="lt1"/>
          </w14:solidFill>
        </w14:textFill>
      </w:rPr>
      <w:tcPr>
        <w:tcBorders>
          <w:top w:val="single" w:color="FAC090" w:themeColor="accent6" w:themeTint="98" w:sz="32" w:space="0"/>
          <w:bottom w:val="single" w:color="FFFFFF" w:themeColor="light1" w:sz="12" w:space="0"/>
        </w:tcBorders>
        <w:shd w:val="clear" w:color="FAC090" w:themeColor="accent6" w:themeTint="98" w:fill="FAC090" w:themeFill="accent6"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lastCol">
      <w:tcPr>
        <w:tcBorders>
          <w:left w:val="single" w:color="FFFFFF" w:themeColor="light1" w:sz="4" w:space="0"/>
          <w:right w:val="single" w:color="FAC090" w:themeColor="accent6" w:themeTint="98" w:sz="32" w:space="0"/>
        </w:tcBorders>
      </w:tcPr>
    </w:tblStylePr>
    <w:tblStylePr w:type="band1Vert">
      <w:tcPr>
        <w:tcBorders>
          <w:left w:val="single" w:color="FFFFFF" w:themeColor="light1" w:sz="4" w:space="0"/>
          <w:right w:val="single" w:color="FFFFFF" w:themeColor="light1" w:sz="4" w:space="0"/>
        </w:tcBorders>
        <w:shd w:val="clear" w:color="FAC090" w:themeColor="accent6" w:themeTint="98" w:fill="FAC090" w:themeFill="accent6"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FAC090" w:themeColor="accent6" w:themeTint="98" w:fill="FAC090" w:themeFill="accent6" w:themeFillTint="98"/>
      </w:tcPr>
    </w:tblStylePr>
    <w:tblStylePr w:type="band2Horz">
      <w:tcPr>
        <w:tcBorders>
          <w:top w:val="single" w:color="FFFFFF" w:themeColor="light1" w:sz="4" w:space="0"/>
          <w:bottom w:val="single" w:color="FFFFFF" w:themeColor="light1" w:sz="4" w:space="0"/>
        </w:tcBorders>
        <w:shd w:val="clear" w:color="FAC090" w:themeColor="accent6" w:themeTint="98" w:fill="FAC090" w:themeFill="accent6" w:themeFillTint="98"/>
      </w:tcPr>
    </w:tblStylePr>
  </w:style>
  <w:style w:type="table" w:customStyle="1" w:styleId="147">
    <w:name w:val="List Table 6 Colorful"/>
    <w:qFormat/>
    <w:uiPriority w:val="99"/>
    <w:pPr>
      <w:spacing w:after="0" w:line="240" w:lineRule="auto"/>
    </w:pPr>
    <w:tblPr>
      <w:tblBorders>
        <w:top w:val="single" w:color="7E7E7E" w:themeColor="text1" w:themeTint="80" w:sz="4" w:space="0"/>
        <w:bottom w:val="single" w:color="7E7E7E" w:themeColor="text1" w:themeTint="80" w:sz="4" w:space="0"/>
      </w:tblBorders>
    </w:tbl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tblStylePr w:type="firstCol">
      <w:rPr>
        <w:b/>
        <w:color w:val="000000" w:themeColor="text1"/>
        <w14:textFill>
          <w14:solidFill>
            <w14:schemeClr w14:val="tx1"/>
          </w14:solidFill>
        </w14:textFill>
      </w:rPr>
    </w:tblStylePr>
    <w:tblStylePr w:type="lastCol">
      <w:rPr>
        <w:b/>
        <w:color w:val="000000" w:themeColor="text1"/>
        <w14:textFill>
          <w14:solidFill>
            <w14:schemeClr w14:val="tx1"/>
          </w14:solidFill>
        </w14:textFill>
      </w:rPr>
    </w:tblStylePr>
    <w:tblStylePr w:type="band1Vert">
      <w:tcPr>
        <w:shd w:val="clear" w:color="BEBEBE" w:themeColor="text1" w:themeTint="40" w:fill="BEBEBE" w:themeFill="text1" w:themeFillTint="40"/>
      </w:tcPr>
    </w:tblStyle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style>
  <w:style w:type="table" w:customStyle="1" w:styleId="148">
    <w:name w:val="List Table 6 Colorful - Accent 1"/>
    <w:qFormat/>
    <w:uiPriority w:val="99"/>
    <w:pPr>
      <w:spacing w:after="0" w:line="240" w:lineRule="auto"/>
    </w:pPr>
    <w:tblPr>
      <w:tblBorders>
        <w:top w:val="single" w:color="4F81BD" w:themeColor="accent1" w:sz="4" w:space="0"/>
        <w:bottom w:val="single" w:color="4F81BD" w:themeColor="accent1" w:sz="4" w:space="0"/>
      </w:tblBorders>
    </w:tblPr>
    <w:tblStylePr w:type="firstRow">
      <w:rPr>
        <w:b/>
        <w:color w:val="2A4B71" w:themeColor="accent1" w:themeShade="94"/>
      </w:rPr>
      <w:tcPr>
        <w:tcBorders>
          <w:bottom w:val="single" w:color="4F81BD" w:themeColor="accent1" w:sz="4" w:space="0"/>
        </w:tcBorders>
      </w:tcPr>
    </w:tblStylePr>
    <w:tblStylePr w:type="lastRow">
      <w:rPr>
        <w:b/>
        <w:color w:val="2A4B71" w:themeColor="accent1" w:themeShade="94"/>
      </w:rPr>
      <w:tcPr>
        <w:tcBorders>
          <w:top w:val="single" w:color="4F81BD" w:themeColor="accent1" w:sz="4" w:space="0"/>
        </w:tcBorders>
      </w:tcPr>
    </w:tblStylePr>
    <w:tblStylePr w:type="firstCol">
      <w:rPr>
        <w:b/>
        <w:color w:val="2A4B71" w:themeColor="accent1" w:themeShade="94"/>
      </w:rPr>
    </w:tblStylePr>
    <w:tblStylePr w:type="lastCol">
      <w:rPr>
        <w:b/>
        <w:color w:val="2A4B71" w:themeColor="accent1" w:themeShade="94"/>
      </w:rPr>
    </w:tblStylePr>
    <w:tblStylePr w:type="band1Vert">
      <w:tcPr>
        <w:shd w:val="clear" w:color="D2DFEE" w:themeColor="accent1" w:themeTint="40" w:fill="D2DFEE" w:themeFill="accent1" w:themeFillTint="40"/>
      </w:tcPr>
    </w:tblStyle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2Horz">
      <w:rPr>
        <w:rFonts w:ascii="Arial" w:hAnsi="Arial"/>
        <w:color w:val="2A4B71" w:themeColor="accent1" w:themeShade="94"/>
        <w:sz w:val="22"/>
      </w:rPr>
    </w:tblStylePr>
  </w:style>
  <w:style w:type="table" w:customStyle="1" w:styleId="149">
    <w:name w:val="List Table 6 Colorful - Accent 2"/>
    <w:qFormat/>
    <w:uiPriority w:val="99"/>
    <w:pPr>
      <w:spacing w:after="0" w:line="240" w:lineRule="auto"/>
    </w:pPr>
    <w:tblPr>
      <w:tblBorders>
        <w:top w:val="single" w:color="D99795" w:themeColor="accent2" w:themeTint="97" w:sz="4" w:space="0"/>
        <w:bottom w:val="single" w:color="D99795" w:themeColor="accent2" w:themeTint="97" w:sz="4" w:space="0"/>
      </w:tblBorders>
    </w:tbl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tblStylePr w:type="firstCol">
      <w:rPr>
        <w:b/>
        <w:color w:val="DA9896" w:themeColor="accent2" w:themeTint="96"/>
        <w14:textFill>
          <w14:solidFill>
            <w14:schemeClr w14:val="accent2">
              <w14:lumMod w14:val="59000"/>
              <w14:lumOff w14:val="41000"/>
            </w14:schemeClr>
          </w14:solidFill>
        </w14:textFill>
      </w:rPr>
    </w:tblStylePr>
    <w:tblStylePr w:type="lastCol">
      <w:rPr>
        <w:b/>
        <w:color w:val="DA9896" w:themeColor="accent2" w:themeTint="96"/>
        <w14:textFill>
          <w14:solidFill>
            <w14:schemeClr w14:val="accent2">
              <w14:lumMod w14:val="59000"/>
              <w14:lumOff w14:val="41000"/>
            </w14:schemeClr>
          </w14:solidFill>
        </w14:textFill>
      </w:rPr>
    </w:tblStylePr>
    <w:tblStylePr w:type="band1Vert">
      <w:tcPr>
        <w:shd w:val="clear" w:color="EFD3D2" w:themeColor="accent2" w:themeTint="40" w:fill="EFD3D2" w:themeFill="accent2" w:themeFillTint="40"/>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50">
    <w:name w:val="List Table 6 Colorful - Accent 3"/>
    <w:qFormat/>
    <w:uiPriority w:val="99"/>
    <w:pPr>
      <w:spacing w:after="0" w:line="240" w:lineRule="auto"/>
    </w:pPr>
    <w:tblPr>
      <w:tblBorders>
        <w:top w:val="single" w:color="C3D69C" w:themeColor="accent3" w:themeTint="98" w:sz="4" w:space="0"/>
        <w:bottom w:val="single" w:color="C3D69C" w:themeColor="accent3" w:themeTint="98" w:sz="4" w:space="0"/>
      </w:tblBorders>
    </w:tbl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tblStylePr w:type="firstCol">
      <w:rPr>
        <w:b/>
        <w:color w:val="C3D69B" w:themeColor="accent3" w:themeTint="99"/>
        <w14:textFill>
          <w14:solidFill>
            <w14:schemeClr w14:val="accent3">
              <w14:lumMod w14:val="60000"/>
              <w14:lumOff w14:val="40000"/>
            </w14:schemeClr>
          </w14:solidFill>
        </w14:textFill>
      </w:rPr>
    </w:tblStylePr>
    <w:tblStylePr w:type="lastCol">
      <w:rPr>
        <w:b/>
        <w:color w:val="C3D69B" w:themeColor="accent3" w:themeTint="99"/>
        <w14:textFill>
          <w14:solidFill>
            <w14:schemeClr w14:val="accent3">
              <w14:lumMod w14:val="60000"/>
              <w14:lumOff w14:val="40000"/>
            </w14:schemeClr>
          </w14:solidFill>
        </w14:textFill>
      </w:rPr>
    </w:tblStylePr>
    <w:tblStylePr w:type="band1Vert">
      <w:tcPr>
        <w:shd w:val="clear" w:color="E5EDD5" w:themeColor="accent3" w:themeTint="40" w:fill="E5EDD5" w:themeFill="accent3" w:themeFillTint="40"/>
      </w:tcPr>
    </w:tblStyle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style>
  <w:style w:type="table" w:customStyle="1" w:styleId="151">
    <w:name w:val="List Table 6 Colorful - Accent 4"/>
    <w:qFormat/>
    <w:uiPriority w:val="99"/>
    <w:pPr>
      <w:spacing w:after="0" w:line="240" w:lineRule="auto"/>
    </w:pPr>
    <w:tblPr>
      <w:tblBorders>
        <w:top w:val="single" w:color="B2A1C6" w:themeColor="accent4" w:themeTint="9A" w:sz="4" w:space="0"/>
        <w:bottom w:val="single" w:color="B2A1C6" w:themeColor="accent4" w:themeTint="9A" w:sz="4" w:space="0"/>
      </w:tblBorders>
    </w:tbl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tblStylePr w:type="firstCol">
      <w:rPr>
        <w:b/>
        <w:color w:val="B3A2C7" w:themeColor="accent4" w:themeTint="99"/>
        <w14:textFill>
          <w14:solidFill>
            <w14:schemeClr w14:val="accent4">
              <w14:lumMod w14:val="60000"/>
              <w14:lumOff w14:val="40000"/>
            </w14:schemeClr>
          </w14:solidFill>
        </w14:textFill>
      </w:rPr>
    </w:tblStylePr>
    <w:tblStylePr w:type="lastCol">
      <w:rPr>
        <w:b/>
        <w:color w:val="B3A2C7" w:themeColor="accent4" w:themeTint="99"/>
        <w14:textFill>
          <w14:solidFill>
            <w14:schemeClr w14:val="accent4">
              <w14:lumMod w14:val="60000"/>
              <w14:lumOff w14:val="40000"/>
            </w14:schemeClr>
          </w14:solidFill>
        </w14:textFill>
      </w:rPr>
    </w:tblStylePr>
    <w:tblStylePr w:type="band1Vert">
      <w:tcPr>
        <w:shd w:val="clear" w:color="DFD8E7" w:themeColor="accent4" w:themeTint="40" w:fill="DFD8E7" w:themeFill="accent4" w:themeFillTint="40"/>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52">
    <w:name w:val="List Table 6 Colorful - Accent 5"/>
    <w:qFormat/>
    <w:uiPriority w:val="99"/>
    <w:pPr>
      <w:spacing w:after="0" w:line="240" w:lineRule="auto"/>
    </w:pPr>
    <w:tblPr>
      <w:tblBorders>
        <w:top w:val="single" w:color="92CCDC" w:themeColor="accent5" w:themeTint="9A" w:sz="4" w:space="0"/>
        <w:bottom w:val="single" w:color="92CCDC" w:themeColor="accent5" w:themeTint="9A" w:sz="4" w:space="0"/>
      </w:tblBorders>
    </w:tbl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tblStylePr w:type="firstCol">
      <w:rPr>
        <w:b/>
        <w:color w:val="93CDDD" w:themeColor="accent5" w:themeTint="99"/>
        <w14:textFill>
          <w14:solidFill>
            <w14:schemeClr w14:val="accent5">
              <w14:lumMod w14:val="60000"/>
              <w14:lumOff w14:val="40000"/>
            </w14:schemeClr>
          </w14:solidFill>
        </w14:textFill>
      </w:rPr>
    </w:tblStylePr>
    <w:tblStylePr w:type="lastCol">
      <w:rPr>
        <w:b/>
        <w:color w:val="93CDDD" w:themeColor="accent5" w:themeTint="99"/>
        <w14:textFill>
          <w14:solidFill>
            <w14:schemeClr w14:val="accent5">
              <w14:lumMod w14:val="60000"/>
              <w14:lumOff w14:val="40000"/>
            </w14:schemeClr>
          </w14:solidFill>
        </w14:textFill>
      </w:rPr>
    </w:tblStylePr>
    <w:tblStylePr w:type="band1Vert">
      <w:tcPr>
        <w:shd w:val="clear" w:color="D1EAF0" w:themeColor="accent5" w:themeTint="40" w:fill="D1EAF0" w:themeFill="accent5" w:themeFillTint="40"/>
      </w:tcPr>
    </w:tblStyle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style>
  <w:style w:type="table" w:customStyle="1" w:styleId="153">
    <w:name w:val="List Table 6 Colorful - Accent 6"/>
    <w:qFormat/>
    <w:uiPriority w:val="99"/>
    <w:pPr>
      <w:spacing w:after="0" w:line="240" w:lineRule="auto"/>
    </w:pPr>
    <w:tblPr>
      <w:tblBorders>
        <w:top w:val="single" w:color="FAC090" w:themeColor="accent6" w:themeTint="98" w:sz="4" w:space="0"/>
        <w:bottom w:val="single" w:color="FAC090" w:themeColor="accent6" w:themeTint="98" w:sz="4" w:space="0"/>
      </w:tblBorders>
    </w:tbl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tblStylePr w:type="firstCol">
      <w:rPr>
        <w:b/>
        <w:color w:val="FAC090" w:themeColor="accent6" w:themeTint="99"/>
        <w14:textFill>
          <w14:solidFill>
            <w14:schemeClr w14:val="accent6">
              <w14:lumMod w14:val="60000"/>
              <w14:lumOff w14:val="40000"/>
            </w14:schemeClr>
          </w14:solidFill>
        </w14:textFill>
      </w:rPr>
    </w:tblStylePr>
    <w:tblStylePr w:type="lastCol">
      <w:rPr>
        <w:b/>
        <w:color w:val="FAC090" w:themeColor="accent6" w:themeTint="99"/>
        <w14:textFill>
          <w14:solidFill>
            <w14:schemeClr w14:val="accent6">
              <w14:lumMod w14:val="60000"/>
              <w14:lumOff w14:val="40000"/>
            </w14:schemeClr>
          </w14:solidFill>
        </w14:textFill>
      </w:rPr>
    </w:tblStylePr>
    <w:tblStylePr w:type="band1Vert">
      <w:tcPr>
        <w:shd w:val="clear" w:color="FCE4D0" w:themeColor="accent6" w:themeTint="40" w:fill="FCE4D0" w:themeFill="accent6" w:themeFillTint="40"/>
      </w:tcPr>
    </w:tblStyle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style>
  <w:style w:type="table" w:customStyle="1" w:styleId="154">
    <w:name w:val="List Table 7 Colorful"/>
    <w:qFormat/>
    <w:uiPriority w:val="99"/>
    <w:pPr>
      <w:spacing w:after="0" w:line="240" w:lineRule="auto"/>
    </w:pPr>
    <w:tblPr>
      <w:tblBorders>
        <w:right w:val="single" w:color="7E7E7E" w:themeColor="text1" w:themeTint="80" w:sz="4" w:space="0"/>
      </w:tblBorders>
    </w:tblPr>
    <w:tblStylePr w:type="firstRow">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BEBEBE" w:themeColor="text1" w:themeTint="40" w:fill="BEBEBE" w:themeFill="text1" w:themeFillTint="40"/>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55">
    <w:name w:val="List Table 7 Colorful - Accent 1"/>
    <w:qFormat/>
    <w:uiPriority w:val="99"/>
    <w:pPr>
      <w:spacing w:after="0" w:line="240" w:lineRule="auto"/>
    </w:pPr>
    <w:tblPr>
      <w:tblBorders>
        <w:right w:val="single" w:color="4F81BD" w:themeColor="accent1" w:sz="4" w:space="0"/>
      </w:tblBorders>
    </w:tblPr>
    <w:tblStylePr w:type="firstRow">
      <w:rPr>
        <w:rFonts w:ascii="Arial" w:hAnsi="Arial"/>
        <w:i/>
        <w:color w:val="2A4B71" w:themeColor="accent1" w:themeShade="94"/>
        <w:sz w:val="22"/>
      </w:rPr>
      <w:tcPr>
        <w:tcBorders>
          <w:top w:val="nil"/>
          <w:left w:val="nil"/>
          <w:bottom w:val="single" w:color="4F81BD" w:themeColor="accent1" w:sz="4" w:space="0"/>
          <w:right w:val="nil"/>
        </w:tcBorders>
        <w:shd w:val="clear" w:color="FFFFFF" w:themeColor="light1" w:fill="FFFFFF" w:themeFill="light1"/>
      </w:tcPr>
    </w:tblStylePr>
    <w:tblStylePr w:type="lastRow">
      <w:rPr>
        <w:rFonts w:ascii="Arial" w:hAnsi="Arial"/>
        <w:i/>
        <w:color w:val="2A4B71" w:themeColor="accent1" w:themeShade="94"/>
        <w:sz w:val="22"/>
      </w:rPr>
      <w:tcPr>
        <w:tcBorders>
          <w:top w:val="single" w:color="4F81BD" w:themeColor="accent1" w:sz="4" w:space="0"/>
          <w:left w:val="nil"/>
          <w:bottom w:val="nil"/>
          <w:right w:val="nil"/>
        </w:tcBorders>
        <w:shd w:val="clear" w:color="FFFFFF" w:themeColor="light1" w:fill="FFFFFF" w:themeFill="light1"/>
      </w:tcPr>
    </w:tblStylePr>
    <w:tblStylePr w:type="firstCol">
      <w:pPr>
        <w:jc w:val="right"/>
      </w:pPr>
      <w:rPr>
        <w:rFonts w:ascii="Arial" w:hAnsi="Arial"/>
        <w:i/>
        <w:color w:val="2A4B71" w:themeColor="accent1" w:themeShade="94"/>
        <w:sz w:val="22"/>
      </w:rPr>
      <w:tcPr>
        <w:tcBorders>
          <w:top w:val="nil"/>
          <w:left w:val="nil"/>
          <w:bottom w:val="nil"/>
          <w:right w:val="single" w:color="4F81BD" w:themeColor="accent1" w:sz="4" w:space="0"/>
        </w:tcBorders>
        <w:shd w:val="clear" w:color="FFFFFF" w:fill="auto"/>
      </w:tcPr>
    </w:tblStylePr>
    <w:tblStylePr w:type="lastCol">
      <w:rPr>
        <w:rFonts w:ascii="Arial" w:hAnsi="Arial"/>
        <w:i/>
        <w:color w:val="2A4B71" w:themeColor="accent1" w:themeShade="94"/>
        <w:sz w:val="22"/>
      </w:rPr>
      <w:tcPr>
        <w:tcBorders>
          <w:top w:val="nil"/>
          <w:left w:val="single" w:color="4F81BD" w:themeColor="accent1" w:sz="4" w:space="0"/>
          <w:bottom w:val="nil"/>
          <w:right w:val="nil"/>
        </w:tcBorders>
        <w:shd w:val="clear" w:color="FFFFFF" w:fill="auto"/>
      </w:tcPr>
    </w:tblStylePr>
    <w:tblStylePr w:type="band1Vert">
      <w:tcPr>
        <w:shd w:val="clear" w:color="D2DFEE" w:themeColor="accent1" w:themeTint="40" w:fill="D2DFEE" w:themeFill="accent1" w:themeFillTint="40"/>
      </w:tcPr>
    </w:tblStyle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2Horz">
      <w:rPr>
        <w:rFonts w:ascii="Arial" w:hAnsi="Arial"/>
        <w:color w:val="2A4B71" w:themeColor="accent1" w:themeShade="94"/>
        <w:sz w:val="22"/>
      </w:rPr>
    </w:tblStylePr>
  </w:style>
  <w:style w:type="table" w:customStyle="1" w:styleId="156">
    <w:name w:val="List Table 7 Colorful - Accent 2"/>
    <w:qFormat/>
    <w:uiPriority w:val="99"/>
    <w:pPr>
      <w:spacing w:after="0" w:line="240" w:lineRule="auto"/>
    </w:pPr>
    <w:tblPr>
      <w:tblBorders>
        <w:right w:val="single" w:color="D99795" w:themeColor="accent2" w:themeTint="97" w:sz="4" w:space="0"/>
      </w:tblBorders>
    </w:tblPr>
    <w:tblStylePr w:type="firstRow">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single" w:color="D99795" w:themeColor="accent2" w:themeTint="97" w:sz="4" w:space="0"/>
          <w:right w:val="nil"/>
        </w:tcBorders>
        <w:shd w:val="clear" w:color="FFFFFF" w:themeColor="light1" w:fill="FFFFFF" w:themeFill="light1"/>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tcBorders>
          <w:top w:val="single" w:color="D9979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nil"/>
          <w:right w:val="single" w:color="D99795" w:themeColor="accent2" w:themeTint="97" w:sz="4" w:space="0"/>
        </w:tcBorders>
        <w:shd w:val="clear" w:color="FFFFFF" w:fill="auto"/>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single" w:color="D99795" w:themeColor="accent2" w:themeTint="97" w:sz="4" w:space="0"/>
          <w:bottom w:val="nil"/>
          <w:right w:val="nil"/>
        </w:tcBorders>
        <w:shd w:val="clear" w:color="FFFFFF" w:fill="auto"/>
      </w:tcPr>
    </w:tblStylePr>
    <w:tblStylePr w:type="band1Vert">
      <w:tcPr>
        <w:shd w:val="clear" w:color="EFD3D2" w:themeColor="accent2" w:themeTint="40" w:fill="EFD3D2" w:themeFill="accent2" w:themeFillTint="40"/>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57">
    <w:name w:val="List Table 7 Colorful - Accent 3"/>
    <w:qFormat/>
    <w:uiPriority w:val="99"/>
    <w:pPr>
      <w:spacing w:after="0" w:line="240" w:lineRule="auto"/>
    </w:pPr>
    <w:tblPr>
      <w:tblBorders>
        <w:right w:val="single" w:color="C3D69C" w:themeColor="accent3" w:themeTint="98" w:sz="4" w:space="0"/>
      </w:tblBorders>
    </w:tblPr>
    <w:tblStylePr w:type="firstRow">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nil"/>
          <w:bottom w:val="single" w:color="C3D69C" w:themeColor="accent3" w:themeTint="98" w:sz="4" w:space="0"/>
          <w:right w:val="nil"/>
        </w:tcBorders>
        <w:shd w:val="clear" w:color="FFFFFF" w:themeColor="light1" w:fill="FFFFFF" w:themeFill="light1"/>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tcBorders>
          <w:top w:val="single" w:color="C3D69C" w:themeColor="accent3" w:themeTint="98" w:sz="4" w:space="0"/>
          <w:left w:val="nil"/>
          <w:bottom w:val="nil"/>
          <w:right w:val="nil"/>
        </w:tcBorders>
        <w:shd w:val="clear" w:color="FFFFFF" w:themeColor="light1" w:fill="FFFFFF" w:themeFill="light1"/>
      </w:tcPr>
    </w:tblStylePr>
    <w:tblStylePr w:type="firstCol">
      <w:pPr>
        <w:jc w:val="right"/>
      </w:pPr>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nil"/>
          <w:bottom w:val="nil"/>
          <w:right w:val="single" w:color="C3D69C" w:themeColor="accent3" w:themeTint="98" w:sz="4" w:space="0"/>
        </w:tcBorders>
        <w:shd w:val="clear" w:color="FFFFFF" w:fill="auto"/>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single" w:color="C3D69C" w:themeColor="accent3" w:themeTint="98" w:sz="4" w:space="0"/>
          <w:bottom w:val="nil"/>
          <w:right w:val="nil"/>
        </w:tcBorders>
        <w:shd w:val="clear" w:color="FFFFFF" w:fill="auto"/>
      </w:tcPr>
    </w:tblStylePr>
    <w:tblStylePr w:type="band1Vert">
      <w:tcPr>
        <w:shd w:val="clear" w:color="E5EDD5" w:themeColor="accent3" w:themeTint="40" w:fill="E5EDD5" w:themeFill="accent3" w:themeFillTint="40"/>
      </w:tcPr>
    </w:tblStyle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style>
  <w:style w:type="table" w:customStyle="1" w:styleId="158">
    <w:name w:val="List Table 7 Colorful - Accent 4"/>
    <w:qFormat/>
    <w:uiPriority w:val="99"/>
    <w:pPr>
      <w:spacing w:after="0" w:line="240" w:lineRule="auto"/>
    </w:pPr>
    <w:tblPr>
      <w:tblBorders>
        <w:right w:val="single" w:color="B2A1C6" w:themeColor="accent4" w:themeTint="9A" w:sz="4" w:space="0"/>
      </w:tblBorders>
    </w:tblPr>
    <w:tblStylePr w:type="firstRow">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single" w:color="B2A1C6" w:themeColor="accent4" w:themeTint="9A" w:sz="4" w:space="0"/>
          <w:right w:val="nil"/>
        </w:tcBorders>
        <w:shd w:val="clear" w:color="FFFFFF" w:themeColor="light1" w:fill="FFFFFF" w:themeFill="light1"/>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tcBorders>
          <w:top w:val="single" w:color="B2A1C6"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nil"/>
          <w:right w:val="single" w:color="B2A1C6" w:themeColor="accent4" w:themeTint="9A" w:sz="4" w:space="0"/>
        </w:tcBorders>
        <w:shd w:val="clear" w:color="FFFFFF" w:fill="auto"/>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single" w:color="B2A1C6" w:themeColor="accent4" w:themeTint="9A" w:sz="4" w:space="0"/>
          <w:bottom w:val="nil"/>
          <w:right w:val="nil"/>
        </w:tcBorders>
        <w:shd w:val="clear" w:color="FFFFFF" w:fill="auto"/>
      </w:tcPr>
    </w:tblStylePr>
    <w:tblStylePr w:type="band1Vert">
      <w:tcPr>
        <w:shd w:val="clear" w:color="DFD8E7" w:themeColor="accent4" w:themeTint="40" w:fill="DFD8E7" w:themeFill="accent4" w:themeFillTint="40"/>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59">
    <w:name w:val="List Table 7 Colorful - Accent 5"/>
    <w:qFormat/>
    <w:uiPriority w:val="99"/>
    <w:pPr>
      <w:spacing w:after="0" w:line="240" w:lineRule="auto"/>
    </w:pPr>
    <w:tblPr>
      <w:tblBorders>
        <w:right w:val="single" w:color="92CCDC" w:themeColor="accent5" w:themeTint="9A" w:sz="4" w:space="0"/>
      </w:tblBorders>
    </w:tblPr>
    <w:tblStylePr w:type="firstRow">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nil"/>
          <w:bottom w:val="single" w:color="92CCDC" w:themeColor="accent5" w:themeTint="9A" w:sz="4" w:space="0"/>
          <w:right w:val="nil"/>
        </w:tcBorders>
        <w:shd w:val="clear" w:color="FFFFFF" w:themeColor="light1" w:fill="FFFFFF" w:themeFill="light1"/>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tcBorders>
          <w:top w:val="single" w:color="92CCDC" w:themeColor="accent5" w:themeTint="9A" w:sz="4" w:space="0"/>
          <w:left w:val="nil"/>
          <w:bottom w:val="nil"/>
          <w:right w:val="nil"/>
        </w:tcBorders>
        <w:shd w:val="clear" w:color="FFFFFF" w:themeColor="light1" w:fill="FFFFFF" w:themeFill="light1"/>
      </w:tcPr>
    </w:tblStylePr>
    <w:tblStylePr w:type="firstCol">
      <w:pPr>
        <w:jc w:val="right"/>
      </w:pPr>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nil"/>
          <w:bottom w:val="nil"/>
          <w:right w:val="single" w:color="92CCDC" w:themeColor="accent5" w:themeTint="9A" w:sz="4" w:space="0"/>
        </w:tcBorders>
        <w:shd w:val="clear" w:color="FFFFFF" w:fill="auto"/>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single" w:color="92CCDC" w:themeColor="accent5" w:themeTint="9A" w:sz="4" w:space="0"/>
          <w:bottom w:val="nil"/>
          <w:right w:val="nil"/>
        </w:tcBorders>
        <w:shd w:val="clear" w:color="FFFFFF" w:fill="auto"/>
      </w:tcPr>
    </w:tblStylePr>
    <w:tblStylePr w:type="band1Vert">
      <w:tcPr>
        <w:shd w:val="clear" w:color="D1EAF0" w:themeColor="accent5" w:themeTint="40" w:fill="D1EAF0" w:themeFill="accent5" w:themeFillTint="40"/>
      </w:tcPr>
    </w:tblStyle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style>
  <w:style w:type="table" w:customStyle="1" w:styleId="160">
    <w:name w:val="List Table 7 Colorful - Accent 6"/>
    <w:qFormat/>
    <w:uiPriority w:val="99"/>
    <w:pPr>
      <w:spacing w:after="0" w:line="240" w:lineRule="auto"/>
    </w:pPr>
    <w:tblPr>
      <w:tblBorders>
        <w:right w:val="single" w:color="FAC090" w:themeColor="accent6" w:themeTint="98" w:sz="4" w:space="0"/>
      </w:tblBorders>
    </w:tblPr>
    <w:tblStylePr w:type="firstRow">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nil"/>
          <w:bottom w:val="single" w:color="FAC090" w:themeColor="accent6" w:themeTint="98" w:sz="4" w:space="0"/>
          <w:right w:val="nil"/>
        </w:tcBorders>
        <w:shd w:val="clear" w:color="FFFFFF" w:themeColor="light1" w:fill="FFFFFF" w:themeFill="light1"/>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tcBorders>
          <w:top w:val="single" w:color="FAC090" w:themeColor="accent6" w:themeTint="98" w:sz="4" w:space="0"/>
          <w:left w:val="nil"/>
          <w:bottom w:val="nil"/>
          <w:right w:val="nil"/>
        </w:tcBorders>
        <w:shd w:val="clear" w:color="FFFFFF" w:themeColor="light1" w:fill="FFFFFF" w:themeFill="light1"/>
      </w:tcPr>
    </w:tblStylePr>
    <w:tblStylePr w:type="firstCol">
      <w:pPr>
        <w:jc w:val="right"/>
      </w:pPr>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nil"/>
          <w:bottom w:val="nil"/>
          <w:right w:val="single" w:color="FAC090" w:themeColor="accent6" w:themeTint="98" w:sz="4" w:space="0"/>
        </w:tcBorders>
        <w:shd w:val="clear" w:color="FFFFFF" w:fill="auto"/>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single" w:color="FAC090" w:themeColor="accent6" w:themeTint="98" w:sz="4" w:space="0"/>
          <w:bottom w:val="nil"/>
          <w:right w:val="nil"/>
        </w:tcBorders>
        <w:shd w:val="clear" w:color="FFFFFF" w:fill="auto"/>
      </w:tcPr>
    </w:tblStylePr>
    <w:tblStylePr w:type="band1Vert">
      <w:tcPr>
        <w:shd w:val="clear" w:color="FCE4D0" w:themeColor="accent6" w:themeTint="40" w:fill="FCE4D0" w:themeFill="accent6" w:themeFillTint="40"/>
      </w:tcPr>
    </w:tblStyle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style>
  <w:style w:type="table" w:customStyle="1" w:styleId="161">
    <w:name w:val="Lined - Accent"/>
    <w:qFormat/>
    <w:uiPriority w:val="99"/>
    <w:pPr>
      <w:spacing w:after="0" w:line="240" w:lineRule="auto"/>
    </w:pPr>
    <w:rPr>
      <w:color w:val="404040"/>
    </w:r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162">
    <w:name w:val="Lined - Accent 1"/>
    <w:qFormat/>
    <w:uiPriority w:val="99"/>
    <w:pPr>
      <w:spacing w:after="0" w:line="240" w:lineRule="auto"/>
    </w:pPr>
    <w:rPr>
      <w:color w:val="404040"/>
    </w:rPr>
    <w:tblStylePr w:type="firstRow">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tblStylePr w:type="firstCol">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style>
  <w:style w:type="table" w:customStyle="1" w:styleId="163">
    <w:name w:val="Lined - Accent 2"/>
    <w:qFormat/>
    <w:uiPriority w:val="99"/>
    <w:pPr>
      <w:spacing w:after="0" w:line="240" w:lineRule="auto"/>
    </w:pPr>
    <w:rPr>
      <w:color w:val="404040"/>
    </w:rPr>
    <w:tblStylePr w:type="firstRow">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tblStylePr w:type="firstCol">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style>
  <w:style w:type="table" w:customStyle="1" w:styleId="164">
    <w:name w:val="Lined - Accent 3"/>
    <w:qFormat/>
    <w:uiPriority w:val="99"/>
    <w:pPr>
      <w:spacing w:after="0" w:line="240" w:lineRule="auto"/>
    </w:pPr>
    <w:rPr>
      <w:color w:val="404040"/>
    </w:rPr>
    <w:tblStylePr w:type="firstRow">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tblStylePr w:type="firstCol">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style>
  <w:style w:type="table" w:customStyle="1" w:styleId="165">
    <w:name w:val="Lined - Accent 4"/>
    <w:qFormat/>
    <w:uiPriority w:val="99"/>
    <w:pPr>
      <w:spacing w:after="0" w:line="240" w:lineRule="auto"/>
    </w:pPr>
    <w:rPr>
      <w:color w:val="404040"/>
    </w:rPr>
    <w:tblStylePr w:type="firstRow">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tblStylePr w:type="firstCol">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style>
  <w:style w:type="table" w:customStyle="1" w:styleId="166">
    <w:name w:val="Lined - Accent 5"/>
    <w:qFormat/>
    <w:uiPriority w:val="99"/>
    <w:pPr>
      <w:spacing w:after="0" w:line="240" w:lineRule="auto"/>
    </w:pPr>
    <w:rPr>
      <w:color w:val="404040"/>
    </w:rPr>
    <w:tblStylePr w:type="firstRow">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tblStylePr w:type="firstCol">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style>
  <w:style w:type="table" w:customStyle="1" w:styleId="167">
    <w:name w:val="Lined - Accent 6"/>
    <w:qFormat/>
    <w:uiPriority w:val="99"/>
    <w:pPr>
      <w:spacing w:after="0" w:line="240" w:lineRule="auto"/>
    </w:pPr>
    <w:rPr>
      <w:color w:val="404040"/>
    </w:rPr>
    <w:tblStylePr w:type="firstRow">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tblStylePr w:type="firstCol">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style>
  <w:style w:type="table" w:customStyle="1" w:styleId="168">
    <w:name w:val="Bordered &amp; Lined - Accent"/>
    <w:qFormat/>
    <w:uiPriority w:val="99"/>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169">
    <w:name w:val="Bordered &amp; Lined - Accent 1"/>
    <w:qFormat/>
    <w:uiPriority w:val="99"/>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firstRow">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tblStylePr w:type="firstCol">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style>
  <w:style w:type="table" w:customStyle="1" w:styleId="170">
    <w:name w:val="Bordered &amp; Lined - Accent 2"/>
    <w:qFormat/>
    <w:uiPriority w:val="99"/>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firstRow">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tblStylePr w:type="firstCol">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style>
  <w:style w:type="table" w:customStyle="1" w:styleId="171">
    <w:name w:val="Bordered &amp; Lined - Accent 3"/>
    <w:qFormat/>
    <w:uiPriority w:val="99"/>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firstRow">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tblStylePr w:type="firstCol">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style>
  <w:style w:type="table" w:customStyle="1" w:styleId="172">
    <w:name w:val="Bordered &amp; Lined - Accent 4"/>
    <w:qFormat/>
    <w:uiPriority w:val="99"/>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firstRow">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tblStylePr w:type="firstCol">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style>
  <w:style w:type="table" w:customStyle="1" w:styleId="173">
    <w:name w:val="Bordered &amp; Lined - Accent 5"/>
    <w:qFormat/>
    <w:uiPriority w:val="99"/>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firstRow">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tblStylePr w:type="firstCol">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style>
  <w:style w:type="table" w:customStyle="1" w:styleId="174">
    <w:name w:val="Bordered &amp; Lined - Accent 6"/>
    <w:qFormat/>
    <w:uiPriority w:val="99"/>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firstRow">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tblStylePr w:type="firstCol">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style>
  <w:style w:type="table" w:customStyle="1" w:styleId="175">
    <w:name w:val="Bordered"/>
    <w:qFormat/>
    <w:uiPriority w:val="99"/>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firstRow">
      <w:rPr>
        <w:rFonts w:ascii="Arial" w:hAnsi="Arial"/>
        <w:color w:val="404040"/>
        <w:sz w:val="22"/>
      </w:rPr>
      <w:tcPr>
        <w:tcBorders>
          <w:bottom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7E7E7E" w:themeColor="text1" w:themeTint="80" w:sz="12" w:space="0"/>
        </w:tcBorders>
      </w:tcPr>
    </w:tblStyle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style>
  <w:style w:type="table" w:customStyle="1" w:styleId="176">
    <w:name w:val="Bordered - Accent 1"/>
    <w:qFormat/>
    <w:uiPriority w:val="99"/>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firstRow">
      <w:rPr>
        <w:rFonts w:ascii="Arial" w:hAnsi="Arial"/>
        <w:color w:val="404040"/>
        <w:sz w:val="22"/>
      </w:rPr>
      <w:tcPr>
        <w:tcBorders>
          <w:bottom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4F81BD" w:themeColor="accent1" w:sz="12" w:space="0"/>
        </w:tcBorders>
      </w:tcPr>
    </w:tblStyle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style>
  <w:style w:type="table" w:customStyle="1" w:styleId="177">
    <w:name w:val="Bordered - Accent 2"/>
    <w:qFormat/>
    <w:uiPriority w:val="99"/>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firstRow">
      <w:rPr>
        <w:rFonts w:ascii="Arial" w:hAnsi="Arial"/>
        <w:color w:val="404040"/>
        <w:sz w:val="22"/>
      </w:rPr>
      <w:tcPr>
        <w:tcBorders>
          <w:bottom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D99795" w:themeColor="accent2" w:themeTint="97" w:sz="12" w:space="0"/>
        </w:tcBorders>
      </w:tcPr>
    </w:tblStyle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style>
  <w:style w:type="table" w:customStyle="1" w:styleId="178">
    <w:name w:val="Bordered - Accent 3"/>
    <w:qFormat/>
    <w:uiPriority w:val="99"/>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firstRow">
      <w:rPr>
        <w:rFonts w:ascii="Arial" w:hAnsi="Arial"/>
        <w:color w:val="404040"/>
        <w:sz w:val="22"/>
      </w:rPr>
      <w:tcPr>
        <w:tcBorders>
          <w:bottom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C3D69C" w:themeColor="accent3" w:themeTint="98" w:sz="12" w:space="0"/>
        </w:tcBorders>
      </w:tcPr>
    </w:tblStyle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style>
  <w:style w:type="table" w:customStyle="1" w:styleId="179">
    <w:name w:val="Bordered - Accent 4"/>
    <w:qFormat/>
    <w:uiPriority w:val="99"/>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firstRow">
      <w:rPr>
        <w:rFonts w:ascii="Arial" w:hAnsi="Arial"/>
        <w:color w:val="404040"/>
        <w:sz w:val="22"/>
      </w:rPr>
      <w:tcPr>
        <w:tcBorders>
          <w:bottom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B2A1C6" w:themeColor="accent4" w:themeTint="9A" w:sz="12" w:space="0"/>
        </w:tcBorders>
      </w:tcPr>
    </w:tblStyle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style>
  <w:style w:type="table" w:customStyle="1" w:styleId="180">
    <w:name w:val="Bordered - Accent 5"/>
    <w:qFormat/>
    <w:uiPriority w:val="99"/>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firstRow">
      <w:rPr>
        <w:rFonts w:ascii="Arial" w:hAnsi="Arial"/>
        <w:color w:val="404040"/>
        <w:sz w:val="22"/>
      </w:rPr>
      <w:tcPr>
        <w:tcBorders>
          <w:bottom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92CCDC" w:themeColor="accent5" w:themeTint="9A" w:sz="12" w:space="0"/>
        </w:tcBorders>
      </w:tcPr>
    </w:tblStyle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style>
  <w:style w:type="table" w:customStyle="1" w:styleId="181">
    <w:name w:val="Bordered - Accent 6"/>
    <w:qFormat/>
    <w:uiPriority w:val="99"/>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firstRow">
      <w:rPr>
        <w:rFonts w:ascii="Arial" w:hAnsi="Arial"/>
        <w:color w:val="404040"/>
        <w:sz w:val="22"/>
      </w:rPr>
      <w:tcPr>
        <w:tcBorders>
          <w:bottom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FAC090" w:themeColor="accent6" w:themeTint="98" w:sz="12" w:space="0"/>
        </w:tcBorders>
      </w:tcPr>
    </w:tblStyle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style>
  <w:style w:type="character" w:customStyle="1" w:styleId="182">
    <w:name w:val="Footnote Text Char"/>
    <w:link w:val="24"/>
    <w:qFormat/>
    <w:uiPriority w:val="99"/>
    <w:rPr>
      <w:sz w:val="18"/>
    </w:rPr>
  </w:style>
  <w:style w:type="character" w:customStyle="1" w:styleId="183">
    <w:name w:val="Endnote Text Char"/>
    <w:link w:val="18"/>
    <w:qFormat/>
    <w:uiPriority w:val="99"/>
    <w:rPr>
      <w:sz w:val="20"/>
    </w:rPr>
  </w:style>
  <w:style w:type="paragraph" w:customStyle="1" w:styleId="184">
    <w:name w:val="TOC Heading"/>
    <w:unhideWhenUsed/>
    <w:qFormat/>
    <w:uiPriority w:val="39"/>
    <w:rPr>
      <w:rFonts w:hint="default" w:ascii="Times New Roman" w:hAnsi="Times New Roman" w:eastAsia="宋体" w:cs="Times New Roman"/>
    </w:rPr>
  </w:style>
  <w:style w:type="paragraph" w:customStyle="1" w:styleId="185">
    <w:name w:val="标题 11"/>
    <w:basedOn w:val="1"/>
    <w:next w:val="1"/>
    <w:link w:val="197"/>
    <w:qFormat/>
    <w:uiPriority w:val="0"/>
    <w:pPr>
      <w:keepNext/>
      <w:jc w:val="center"/>
      <w:outlineLvl w:val="0"/>
    </w:pPr>
    <w:rPr>
      <w:rFonts w:ascii="楷体_GB2312" w:hAnsi="Times New Roman" w:eastAsia="楷体_GB2312" w:cs="Times New Roman"/>
      <w:sz w:val="28"/>
      <w:szCs w:val="28"/>
    </w:rPr>
  </w:style>
  <w:style w:type="paragraph" w:customStyle="1" w:styleId="186">
    <w:name w:val="标题 21"/>
    <w:basedOn w:val="1"/>
    <w:next w:val="1"/>
    <w:link w:val="198"/>
    <w:qFormat/>
    <w:uiPriority w:val="0"/>
    <w:pPr>
      <w:keepNext/>
      <w:keepLines/>
      <w:spacing w:before="260" w:after="260" w:line="416" w:lineRule="auto"/>
      <w:jc w:val="center"/>
      <w:outlineLvl w:val="1"/>
    </w:pPr>
    <w:rPr>
      <w:rFonts w:ascii="Arial" w:hAnsi="Arial" w:eastAsia="幼圆" w:cs="Arial"/>
      <w:b/>
      <w:bCs/>
      <w:sz w:val="44"/>
      <w:szCs w:val="44"/>
    </w:rPr>
  </w:style>
  <w:style w:type="paragraph" w:customStyle="1" w:styleId="187">
    <w:name w:val="标题 31"/>
    <w:basedOn w:val="1"/>
    <w:next w:val="1"/>
    <w:link w:val="199"/>
    <w:qFormat/>
    <w:uiPriority w:val="0"/>
    <w:pPr>
      <w:keepNext/>
      <w:keepLines/>
      <w:spacing w:before="260" w:after="260" w:line="416" w:lineRule="auto"/>
      <w:outlineLvl w:val="2"/>
    </w:pPr>
    <w:rPr>
      <w:rFonts w:ascii="Times New Roman" w:hAnsi="Times New Roman" w:eastAsia="宋体" w:cs="Times New Roman"/>
      <w:b/>
      <w:bCs/>
      <w:sz w:val="32"/>
      <w:szCs w:val="32"/>
    </w:rPr>
  </w:style>
  <w:style w:type="paragraph" w:customStyle="1" w:styleId="188">
    <w:name w:val="标题 41"/>
    <w:basedOn w:val="1"/>
    <w:next w:val="1"/>
    <w:link w:val="200"/>
    <w:qFormat/>
    <w:uiPriority w:val="0"/>
    <w:pPr>
      <w:keepNext/>
      <w:keepLines/>
      <w:spacing w:before="280" w:after="290" w:line="376" w:lineRule="auto"/>
      <w:outlineLvl w:val="3"/>
    </w:pPr>
    <w:rPr>
      <w:rFonts w:ascii="Arial" w:hAnsi="Arial" w:eastAsia="黑体" w:cs="Arial"/>
      <w:b/>
      <w:bCs/>
      <w:sz w:val="28"/>
      <w:szCs w:val="28"/>
    </w:rPr>
  </w:style>
  <w:style w:type="paragraph" w:customStyle="1" w:styleId="189">
    <w:name w:val="标题 51"/>
    <w:basedOn w:val="1"/>
    <w:next w:val="190"/>
    <w:link w:val="201"/>
    <w:qFormat/>
    <w:uiPriority w:val="0"/>
    <w:pPr>
      <w:keepNext/>
      <w:outlineLvl w:val="4"/>
    </w:pPr>
    <w:rPr>
      <w:rFonts w:ascii="宋体" w:hAnsi="Times New Roman" w:eastAsia="宋体" w:cs="Times New Roman"/>
      <w:color w:val="000000"/>
      <w:sz w:val="28"/>
      <w:szCs w:val="28"/>
    </w:rPr>
  </w:style>
  <w:style w:type="paragraph" w:customStyle="1" w:styleId="190">
    <w:name w:val="正文缩进1"/>
    <w:basedOn w:val="1"/>
    <w:link w:val="202"/>
    <w:qFormat/>
    <w:uiPriority w:val="0"/>
    <w:pPr>
      <w:ind w:firstLine="420"/>
    </w:pPr>
    <w:rPr>
      <w:szCs w:val="21"/>
    </w:rPr>
  </w:style>
  <w:style w:type="paragraph" w:customStyle="1" w:styleId="191">
    <w:name w:val="标题 61"/>
    <w:basedOn w:val="1"/>
    <w:next w:val="1"/>
    <w:link w:val="203"/>
    <w:qFormat/>
    <w:uiPriority w:val="0"/>
    <w:pPr>
      <w:keepNext/>
      <w:keepLines/>
      <w:numPr>
        <w:ilvl w:val="5"/>
        <w:numId w:val="1"/>
      </w:numPr>
      <w:spacing w:before="240" w:after="64" w:line="320" w:lineRule="auto"/>
      <w:outlineLvl w:val="5"/>
    </w:pPr>
    <w:rPr>
      <w:rFonts w:ascii="Arial" w:hAnsi="Arial" w:eastAsia="黑体" w:cs="Times New Roman"/>
      <w:b/>
      <w:bCs/>
      <w:sz w:val="24"/>
      <w:szCs w:val="24"/>
    </w:rPr>
  </w:style>
  <w:style w:type="paragraph" w:customStyle="1" w:styleId="192">
    <w:name w:val="标题 71"/>
    <w:basedOn w:val="1"/>
    <w:next w:val="1"/>
    <w:link w:val="204"/>
    <w:qFormat/>
    <w:uiPriority w:val="0"/>
    <w:pPr>
      <w:keepNext/>
      <w:keepLines/>
      <w:numPr>
        <w:ilvl w:val="6"/>
        <w:numId w:val="1"/>
      </w:numPr>
      <w:spacing w:before="240" w:after="64" w:line="320" w:lineRule="auto"/>
      <w:outlineLvl w:val="6"/>
    </w:pPr>
    <w:rPr>
      <w:rFonts w:ascii="Times New Roman" w:hAnsi="Times New Roman" w:eastAsia="宋体" w:cs="Times New Roman"/>
      <w:b/>
      <w:bCs/>
      <w:sz w:val="24"/>
      <w:szCs w:val="24"/>
    </w:rPr>
  </w:style>
  <w:style w:type="paragraph" w:customStyle="1" w:styleId="193">
    <w:name w:val="标题 81"/>
    <w:basedOn w:val="1"/>
    <w:next w:val="1"/>
    <w:link w:val="205"/>
    <w:qFormat/>
    <w:uiPriority w:val="0"/>
    <w:pPr>
      <w:keepNext/>
      <w:keepLines/>
      <w:numPr>
        <w:ilvl w:val="7"/>
        <w:numId w:val="1"/>
      </w:numPr>
      <w:spacing w:before="240" w:after="64" w:line="320" w:lineRule="auto"/>
      <w:outlineLvl w:val="7"/>
    </w:pPr>
    <w:rPr>
      <w:rFonts w:ascii="Arial" w:hAnsi="Arial" w:eastAsia="黑体" w:cs="Times New Roman"/>
      <w:sz w:val="24"/>
      <w:szCs w:val="24"/>
    </w:rPr>
  </w:style>
  <w:style w:type="paragraph" w:customStyle="1" w:styleId="194">
    <w:name w:val="标题 91"/>
    <w:basedOn w:val="1"/>
    <w:next w:val="1"/>
    <w:link w:val="206"/>
    <w:qFormat/>
    <w:uiPriority w:val="0"/>
    <w:pPr>
      <w:keepNext/>
      <w:keepLines/>
      <w:numPr>
        <w:ilvl w:val="8"/>
        <w:numId w:val="1"/>
      </w:numPr>
      <w:spacing w:before="240" w:after="64" w:line="320" w:lineRule="auto"/>
      <w:outlineLvl w:val="8"/>
    </w:pPr>
    <w:rPr>
      <w:rFonts w:ascii="Arial" w:hAnsi="Arial" w:eastAsia="黑体" w:cs="Times New Roman"/>
      <w:szCs w:val="21"/>
    </w:rPr>
  </w:style>
  <w:style w:type="character" w:customStyle="1" w:styleId="195">
    <w:name w:val="默认段落字体1"/>
    <w:link w:val="1"/>
    <w:unhideWhenUsed/>
    <w:qFormat/>
    <w:uiPriority w:val="1"/>
  </w:style>
  <w:style w:type="table" w:customStyle="1" w:styleId="196">
    <w:name w:val="普通表格1"/>
    <w:unhideWhenUsed/>
    <w:qFormat/>
    <w:uiPriority w:val="99"/>
  </w:style>
  <w:style w:type="character" w:customStyle="1" w:styleId="197">
    <w:name w:val="标题 1 Char"/>
    <w:link w:val="185"/>
    <w:qFormat/>
    <w:uiPriority w:val="0"/>
    <w:rPr>
      <w:rFonts w:ascii="楷体_GB2312" w:hAnsi="Times New Roman" w:eastAsia="楷体_GB2312" w:cs="Times New Roman"/>
      <w:sz w:val="28"/>
      <w:szCs w:val="28"/>
    </w:rPr>
  </w:style>
  <w:style w:type="character" w:customStyle="1" w:styleId="198">
    <w:name w:val="标题 2 Char"/>
    <w:link w:val="186"/>
    <w:qFormat/>
    <w:uiPriority w:val="0"/>
    <w:rPr>
      <w:rFonts w:ascii="Arial" w:hAnsi="Arial" w:eastAsia="幼圆" w:cs="Arial"/>
      <w:b/>
      <w:bCs/>
      <w:sz w:val="44"/>
      <w:szCs w:val="44"/>
    </w:rPr>
  </w:style>
  <w:style w:type="character" w:customStyle="1" w:styleId="199">
    <w:name w:val="标题 3 Char"/>
    <w:link w:val="187"/>
    <w:qFormat/>
    <w:uiPriority w:val="0"/>
    <w:rPr>
      <w:rFonts w:ascii="Times New Roman" w:hAnsi="Times New Roman" w:eastAsia="宋体" w:cs="Times New Roman"/>
      <w:b/>
      <w:bCs/>
      <w:sz w:val="32"/>
      <w:szCs w:val="32"/>
    </w:rPr>
  </w:style>
  <w:style w:type="character" w:customStyle="1" w:styleId="200">
    <w:name w:val="标题 4 Char"/>
    <w:link w:val="188"/>
    <w:qFormat/>
    <w:uiPriority w:val="0"/>
    <w:rPr>
      <w:rFonts w:ascii="Arial" w:hAnsi="Arial" w:eastAsia="黑体" w:cs="Arial"/>
      <w:b/>
      <w:bCs/>
      <w:sz w:val="28"/>
      <w:szCs w:val="28"/>
    </w:rPr>
  </w:style>
  <w:style w:type="character" w:customStyle="1" w:styleId="201">
    <w:name w:val="标题 5 Char"/>
    <w:link w:val="189"/>
    <w:qFormat/>
    <w:uiPriority w:val="0"/>
    <w:rPr>
      <w:rFonts w:ascii="宋体" w:hAnsi="Times New Roman" w:eastAsia="宋体" w:cs="Times New Roman"/>
      <w:color w:val="000000"/>
      <w:sz w:val="28"/>
      <w:szCs w:val="28"/>
    </w:rPr>
  </w:style>
  <w:style w:type="character" w:customStyle="1" w:styleId="202">
    <w:name w:val="正文缩进 Char"/>
    <w:link w:val="190"/>
    <w:qFormat/>
    <w:uiPriority w:val="0"/>
    <w:rPr>
      <w:szCs w:val="21"/>
    </w:rPr>
  </w:style>
  <w:style w:type="character" w:customStyle="1" w:styleId="203">
    <w:name w:val="标题 6 Char"/>
    <w:link w:val="191"/>
    <w:qFormat/>
    <w:uiPriority w:val="0"/>
    <w:rPr>
      <w:rFonts w:ascii="Arial" w:hAnsi="Arial" w:eastAsia="黑体" w:cs="Times New Roman"/>
      <w:b/>
      <w:bCs/>
      <w:sz w:val="24"/>
      <w:szCs w:val="24"/>
    </w:rPr>
  </w:style>
  <w:style w:type="character" w:customStyle="1" w:styleId="204">
    <w:name w:val="标题 7 Char"/>
    <w:link w:val="192"/>
    <w:qFormat/>
    <w:uiPriority w:val="0"/>
    <w:rPr>
      <w:rFonts w:ascii="Times New Roman" w:hAnsi="Times New Roman" w:eastAsia="宋体" w:cs="Times New Roman"/>
      <w:b/>
      <w:bCs/>
      <w:sz w:val="24"/>
      <w:szCs w:val="24"/>
    </w:rPr>
  </w:style>
  <w:style w:type="character" w:customStyle="1" w:styleId="205">
    <w:name w:val="标题 8 Char"/>
    <w:link w:val="193"/>
    <w:qFormat/>
    <w:uiPriority w:val="0"/>
    <w:rPr>
      <w:rFonts w:ascii="Arial" w:hAnsi="Arial" w:eastAsia="黑体" w:cs="Times New Roman"/>
      <w:sz w:val="24"/>
      <w:szCs w:val="24"/>
    </w:rPr>
  </w:style>
  <w:style w:type="character" w:customStyle="1" w:styleId="206">
    <w:name w:val="标题 9 Char"/>
    <w:link w:val="194"/>
    <w:qFormat/>
    <w:uiPriority w:val="0"/>
    <w:rPr>
      <w:rFonts w:ascii="Arial" w:hAnsi="Arial" w:eastAsia="黑体" w:cs="Times New Roman"/>
      <w:szCs w:val="21"/>
    </w:rPr>
  </w:style>
  <w:style w:type="paragraph" w:customStyle="1" w:styleId="207">
    <w:name w:val="列表 31"/>
    <w:basedOn w:val="1"/>
    <w:qFormat/>
    <w:uiPriority w:val="0"/>
    <w:pPr>
      <w:ind w:left="100" w:hanging="200"/>
    </w:pPr>
    <w:rPr>
      <w:rFonts w:ascii="Times New Roman" w:hAnsi="Times New Roman" w:eastAsia="宋体" w:cs="Times New Roman"/>
      <w:szCs w:val="21"/>
    </w:rPr>
  </w:style>
  <w:style w:type="paragraph" w:customStyle="1" w:styleId="208">
    <w:name w:val="目录 71"/>
    <w:basedOn w:val="1"/>
    <w:next w:val="1"/>
    <w:semiHidden/>
    <w:qFormat/>
    <w:uiPriority w:val="0"/>
    <w:pPr>
      <w:ind w:left="1260"/>
      <w:jc w:val="left"/>
    </w:pPr>
    <w:rPr>
      <w:rFonts w:ascii="Times New Roman" w:hAnsi="Times New Roman" w:eastAsia="宋体" w:cs="Times New Roman"/>
      <w:szCs w:val="21"/>
    </w:rPr>
  </w:style>
  <w:style w:type="paragraph" w:customStyle="1" w:styleId="209">
    <w:name w:val="文档结构图1"/>
    <w:basedOn w:val="1"/>
    <w:link w:val="210"/>
    <w:semiHidden/>
    <w:qFormat/>
    <w:uiPriority w:val="0"/>
    <w:pPr>
      <w:shd w:val="clear" w:color="auto" w:fill="000080"/>
    </w:pPr>
    <w:rPr>
      <w:rFonts w:ascii="Times New Roman" w:hAnsi="Times New Roman" w:eastAsia="宋体" w:cs="Times New Roman"/>
      <w:szCs w:val="21"/>
    </w:rPr>
  </w:style>
  <w:style w:type="character" w:customStyle="1" w:styleId="210">
    <w:name w:val="文档结构图 Char"/>
    <w:link w:val="209"/>
    <w:semiHidden/>
    <w:qFormat/>
    <w:uiPriority w:val="0"/>
    <w:rPr>
      <w:rFonts w:ascii="Times New Roman" w:hAnsi="Times New Roman" w:eastAsia="宋体" w:cs="Times New Roman"/>
      <w:szCs w:val="21"/>
      <w:shd w:val="clear" w:color="auto" w:fill="000080"/>
    </w:rPr>
  </w:style>
  <w:style w:type="paragraph" w:customStyle="1" w:styleId="211">
    <w:name w:val="批注文字1"/>
    <w:basedOn w:val="1"/>
    <w:link w:val="212"/>
    <w:unhideWhenUsed/>
    <w:qFormat/>
    <w:uiPriority w:val="0"/>
    <w:pPr>
      <w:jc w:val="left"/>
    </w:pPr>
  </w:style>
  <w:style w:type="character" w:customStyle="1" w:styleId="212">
    <w:name w:val="批注文字 Char"/>
    <w:basedOn w:val="195"/>
    <w:link w:val="211"/>
    <w:semiHidden/>
    <w:qFormat/>
    <w:uiPriority w:val="99"/>
  </w:style>
  <w:style w:type="paragraph" w:customStyle="1" w:styleId="213">
    <w:name w:val="正文文本 31"/>
    <w:basedOn w:val="1"/>
    <w:link w:val="214"/>
    <w:qFormat/>
    <w:uiPriority w:val="0"/>
    <w:rPr>
      <w:rFonts w:ascii="仿宋_GB2312" w:hAnsi="Arial" w:eastAsia="仿宋_GB2312" w:cs="Times New Roman"/>
      <w:sz w:val="32"/>
      <w:szCs w:val="32"/>
    </w:rPr>
  </w:style>
  <w:style w:type="character" w:customStyle="1" w:styleId="214">
    <w:name w:val="正文文本 3 Char"/>
    <w:link w:val="213"/>
    <w:qFormat/>
    <w:uiPriority w:val="0"/>
    <w:rPr>
      <w:rFonts w:ascii="仿宋_GB2312" w:hAnsi="Arial" w:eastAsia="仿宋_GB2312" w:cs="Times New Roman"/>
      <w:sz w:val="32"/>
      <w:szCs w:val="32"/>
    </w:rPr>
  </w:style>
  <w:style w:type="paragraph" w:customStyle="1" w:styleId="215">
    <w:name w:val="正文文本11"/>
    <w:basedOn w:val="1"/>
    <w:link w:val="216"/>
    <w:qFormat/>
    <w:uiPriority w:val="0"/>
    <w:rPr>
      <w:rFonts w:ascii="楷体_GB2312" w:hAnsi="Arial" w:eastAsia="楷体_GB2312" w:cs="Times New Roman"/>
      <w:sz w:val="28"/>
      <w:szCs w:val="28"/>
    </w:rPr>
  </w:style>
  <w:style w:type="character" w:customStyle="1" w:styleId="216">
    <w:name w:val="正文文本 Char"/>
    <w:link w:val="215"/>
    <w:qFormat/>
    <w:uiPriority w:val="0"/>
    <w:rPr>
      <w:rFonts w:ascii="楷体_GB2312" w:hAnsi="Arial" w:eastAsia="楷体_GB2312" w:cs="Times New Roman"/>
      <w:sz w:val="28"/>
      <w:szCs w:val="28"/>
    </w:rPr>
  </w:style>
  <w:style w:type="paragraph" w:customStyle="1" w:styleId="217">
    <w:name w:val="正文文本缩进11"/>
    <w:basedOn w:val="1"/>
    <w:next w:val="218"/>
    <w:link w:val="219"/>
    <w:unhideWhenUsed/>
    <w:qFormat/>
    <w:uiPriority w:val="0"/>
    <w:pPr>
      <w:spacing w:after="120"/>
      <w:ind w:left="420"/>
    </w:pPr>
  </w:style>
  <w:style w:type="paragraph" w:customStyle="1" w:styleId="218">
    <w:name w:val="寄信人地址11"/>
    <w:basedOn w:val="1"/>
    <w:qFormat/>
    <w:uiPriority w:val="0"/>
    <w:rPr>
      <w:rFonts w:ascii="Arial" w:hAnsi="Arial" w:eastAsia="宋体" w:cs="Times New Roman"/>
    </w:rPr>
  </w:style>
  <w:style w:type="character" w:customStyle="1" w:styleId="219">
    <w:name w:val="正文文本缩进 Char"/>
    <w:basedOn w:val="195"/>
    <w:link w:val="217"/>
    <w:semiHidden/>
    <w:qFormat/>
    <w:uiPriority w:val="99"/>
  </w:style>
  <w:style w:type="paragraph" w:customStyle="1" w:styleId="220">
    <w:name w:val="列表 21"/>
    <w:basedOn w:val="1"/>
    <w:qFormat/>
    <w:uiPriority w:val="0"/>
    <w:pPr>
      <w:ind w:left="100" w:hanging="200"/>
    </w:pPr>
    <w:rPr>
      <w:rFonts w:ascii="Times New Roman" w:hAnsi="Times New Roman" w:eastAsia="宋体" w:cs="Times New Roman"/>
      <w:szCs w:val="21"/>
    </w:rPr>
  </w:style>
  <w:style w:type="paragraph" w:customStyle="1" w:styleId="221">
    <w:name w:val="索引 41"/>
    <w:basedOn w:val="1"/>
    <w:next w:val="1"/>
    <w:qFormat/>
    <w:uiPriority w:val="99"/>
    <w:pPr>
      <w:widowControl/>
      <w:spacing w:before="160" w:after="160" w:line="240" w:lineRule="atLeast"/>
      <w:ind w:left="1260"/>
      <w:jc w:val="left"/>
    </w:pPr>
    <w:rPr>
      <w:rFonts w:ascii="Times New Roman" w:hAnsi="Times New Roman" w:cs="Arial"/>
      <w:szCs w:val="21"/>
    </w:rPr>
  </w:style>
  <w:style w:type="paragraph" w:customStyle="1" w:styleId="222">
    <w:name w:val="目录 51"/>
    <w:basedOn w:val="1"/>
    <w:next w:val="1"/>
    <w:semiHidden/>
    <w:qFormat/>
    <w:uiPriority w:val="0"/>
    <w:pPr>
      <w:ind w:left="840"/>
      <w:jc w:val="left"/>
    </w:pPr>
    <w:rPr>
      <w:rFonts w:ascii="Times New Roman" w:hAnsi="Times New Roman" w:eastAsia="宋体" w:cs="Times New Roman"/>
      <w:szCs w:val="21"/>
    </w:rPr>
  </w:style>
  <w:style w:type="paragraph" w:customStyle="1" w:styleId="223">
    <w:name w:val="目录 31"/>
    <w:basedOn w:val="1"/>
    <w:next w:val="1"/>
    <w:semiHidden/>
    <w:qFormat/>
    <w:uiPriority w:val="0"/>
    <w:pPr>
      <w:ind w:left="420"/>
      <w:jc w:val="left"/>
    </w:pPr>
    <w:rPr>
      <w:rFonts w:ascii="Times New Roman" w:hAnsi="Times New Roman" w:eastAsia="宋体" w:cs="Times New Roman"/>
      <w:i/>
      <w:iCs/>
      <w:szCs w:val="24"/>
    </w:rPr>
  </w:style>
  <w:style w:type="paragraph" w:customStyle="1" w:styleId="224">
    <w:name w:val="纯文本1"/>
    <w:basedOn w:val="1"/>
    <w:link w:val="225"/>
    <w:qFormat/>
    <w:uiPriority w:val="0"/>
    <w:rPr>
      <w:rFonts w:ascii="宋体" w:hAnsi="Courier New" w:eastAsia="宋体" w:cs="Courier New"/>
      <w:szCs w:val="21"/>
    </w:rPr>
  </w:style>
  <w:style w:type="character" w:customStyle="1" w:styleId="225">
    <w:name w:val="纯文本 Char"/>
    <w:link w:val="224"/>
    <w:qFormat/>
    <w:uiPriority w:val="0"/>
    <w:rPr>
      <w:rFonts w:ascii="宋体" w:hAnsi="Courier New" w:eastAsia="宋体" w:cs="Courier New"/>
      <w:szCs w:val="21"/>
    </w:rPr>
  </w:style>
  <w:style w:type="paragraph" w:customStyle="1" w:styleId="226">
    <w:name w:val="目录 81"/>
    <w:basedOn w:val="1"/>
    <w:next w:val="1"/>
    <w:semiHidden/>
    <w:qFormat/>
    <w:uiPriority w:val="0"/>
    <w:pPr>
      <w:ind w:left="1470"/>
      <w:jc w:val="left"/>
    </w:pPr>
    <w:rPr>
      <w:rFonts w:ascii="Times New Roman" w:hAnsi="Times New Roman" w:eastAsia="宋体" w:cs="Times New Roman"/>
      <w:szCs w:val="21"/>
    </w:rPr>
  </w:style>
  <w:style w:type="paragraph" w:customStyle="1" w:styleId="227">
    <w:name w:val="日期1"/>
    <w:basedOn w:val="1"/>
    <w:next w:val="1"/>
    <w:link w:val="228"/>
    <w:qFormat/>
    <w:uiPriority w:val="0"/>
    <w:rPr>
      <w:rFonts w:ascii="Times New Roman" w:hAnsi="Times New Roman" w:eastAsia="宋体" w:cs="Times New Roman"/>
      <w:sz w:val="24"/>
      <w:szCs w:val="24"/>
    </w:rPr>
  </w:style>
  <w:style w:type="character" w:customStyle="1" w:styleId="228">
    <w:name w:val="日期 Char"/>
    <w:link w:val="227"/>
    <w:qFormat/>
    <w:uiPriority w:val="0"/>
    <w:rPr>
      <w:rFonts w:ascii="Times New Roman" w:hAnsi="Times New Roman" w:eastAsia="宋体" w:cs="Times New Roman"/>
      <w:sz w:val="24"/>
      <w:szCs w:val="24"/>
    </w:rPr>
  </w:style>
  <w:style w:type="paragraph" w:customStyle="1" w:styleId="229">
    <w:name w:val="正文文本缩进 21"/>
    <w:basedOn w:val="1"/>
    <w:link w:val="230"/>
    <w:qFormat/>
    <w:uiPriority w:val="0"/>
    <w:pPr>
      <w:ind w:left="630" w:firstLine="645"/>
    </w:pPr>
    <w:rPr>
      <w:rFonts w:ascii="Arial" w:hAnsi="Arial" w:eastAsia="仿宋_GB2312" w:cs="Arial"/>
      <w:sz w:val="32"/>
      <w:szCs w:val="32"/>
    </w:rPr>
  </w:style>
  <w:style w:type="character" w:customStyle="1" w:styleId="230">
    <w:name w:val="正文文本缩进 2 Char"/>
    <w:link w:val="229"/>
    <w:qFormat/>
    <w:uiPriority w:val="0"/>
    <w:rPr>
      <w:rFonts w:ascii="Arial" w:hAnsi="Arial" w:eastAsia="仿宋_GB2312" w:cs="Arial"/>
      <w:sz w:val="32"/>
      <w:szCs w:val="32"/>
    </w:rPr>
  </w:style>
  <w:style w:type="paragraph" w:customStyle="1" w:styleId="231">
    <w:name w:val="批注框文本1"/>
    <w:basedOn w:val="1"/>
    <w:link w:val="232"/>
    <w:semiHidden/>
    <w:qFormat/>
    <w:uiPriority w:val="0"/>
    <w:rPr>
      <w:rFonts w:ascii="Times New Roman" w:hAnsi="Times New Roman" w:eastAsia="宋体" w:cs="Times New Roman"/>
      <w:sz w:val="18"/>
      <w:szCs w:val="18"/>
    </w:rPr>
  </w:style>
  <w:style w:type="character" w:customStyle="1" w:styleId="232">
    <w:name w:val="批注框文本 Char"/>
    <w:link w:val="231"/>
    <w:semiHidden/>
    <w:qFormat/>
    <w:uiPriority w:val="0"/>
    <w:rPr>
      <w:rFonts w:ascii="Times New Roman" w:hAnsi="Times New Roman" w:eastAsia="宋体" w:cs="Times New Roman"/>
      <w:sz w:val="18"/>
      <w:szCs w:val="18"/>
    </w:rPr>
  </w:style>
  <w:style w:type="paragraph" w:customStyle="1" w:styleId="233">
    <w:name w:val="页脚1"/>
    <w:basedOn w:val="1"/>
    <w:link w:val="234"/>
    <w:qFormat/>
    <w:uiPriority w:val="0"/>
    <w:pPr>
      <w:tabs>
        <w:tab w:val="center" w:pos="4153"/>
        <w:tab w:val="right" w:pos="8306"/>
      </w:tabs>
      <w:jc w:val="left"/>
    </w:pPr>
    <w:rPr>
      <w:rFonts w:ascii="Times New Roman" w:hAnsi="Times New Roman" w:eastAsia="宋体" w:cs="Times New Roman"/>
      <w:sz w:val="18"/>
      <w:szCs w:val="18"/>
    </w:rPr>
  </w:style>
  <w:style w:type="character" w:customStyle="1" w:styleId="234">
    <w:name w:val="页脚 Char"/>
    <w:link w:val="233"/>
    <w:qFormat/>
    <w:uiPriority w:val="0"/>
    <w:rPr>
      <w:rFonts w:ascii="Times New Roman" w:hAnsi="Times New Roman" w:eastAsia="宋体" w:cs="Times New Roman"/>
      <w:sz w:val="18"/>
      <w:szCs w:val="18"/>
    </w:rPr>
  </w:style>
  <w:style w:type="paragraph" w:customStyle="1" w:styleId="235">
    <w:name w:val="页眉1"/>
    <w:basedOn w:val="1"/>
    <w:link w:val="236"/>
    <w:qFormat/>
    <w:uiPriority w:val="0"/>
    <w:pPr>
      <w:pBdr>
        <w:bottom w:val="single" w:color="000000" w:sz="6" w:space="1"/>
      </w:pBdr>
      <w:tabs>
        <w:tab w:val="center" w:pos="4153"/>
        <w:tab w:val="right" w:pos="8306"/>
      </w:tabs>
      <w:jc w:val="center"/>
    </w:pPr>
    <w:rPr>
      <w:rFonts w:ascii="Times New Roman" w:hAnsi="Times New Roman" w:eastAsia="宋体" w:cs="Times New Roman"/>
      <w:sz w:val="18"/>
      <w:szCs w:val="18"/>
    </w:rPr>
  </w:style>
  <w:style w:type="character" w:customStyle="1" w:styleId="236">
    <w:name w:val="页眉 Char"/>
    <w:link w:val="235"/>
    <w:qFormat/>
    <w:uiPriority w:val="0"/>
    <w:rPr>
      <w:rFonts w:ascii="Times New Roman" w:hAnsi="Times New Roman" w:eastAsia="宋体" w:cs="Times New Roman"/>
      <w:sz w:val="18"/>
      <w:szCs w:val="18"/>
    </w:rPr>
  </w:style>
  <w:style w:type="paragraph" w:customStyle="1" w:styleId="237">
    <w:name w:val="目录 11"/>
    <w:basedOn w:val="1"/>
    <w:next w:val="1"/>
    <w:semiHidden/>
    <w:qFormat/>
    <w:uiPriority w:val="0"/>
    <w:pPr>
      <w:tabs>
        <w:tab w:val="right" w:leader="dot" w:pos="8720"/>
      </w:tabs>
      <w:spacing w:before="120" w:after="120" w:line="400" w:lineRule="exact"/>
      <w:jc w:val="left"/>
    </w:pPr>
    <w:rPr>
      <w:rFonts w:ascii="宋体" w:hAnsi="宋体" w:eastAsia="宋体" w:cs="Times New Roman"/>
      <w:caps/>
      <w:sz w:val="24"/>
      <w:szCs w:val="24"/>
    </w:rPr>
  </w:style>
  <w:style w:type="paragraph" w:customStyle="1" w:styleId="238">
    <w:name w:val="目录 41"/>
    <w:basedOn w:val="1"/>
    <w:next w:val="1"/>
    <w:semiHidden/>
    <w:qFormat/>
    <w:uiPriority w:val="0"/>
    <w:pPr>
      <w:ind w:left="630"/>
      <w:jc w:val="left"/>
    </w:pPr>
    <w:rPr>
      <w:rFonts w:ascii="Times New Roman" w:hAnsi="Times New Roman" w:eastAsia="宋体" w:cs="Times New Roman"/>
      <w:szCs w:val="21"/>
    </w:rPr>
  </w:style>
  <w:style w:type="paragraph" w:customStyle="1" w:styleId="239">
    <w:name w:val="列表1"/>
    <w:basedOn w:val="1"/>
    <w:qFormat/>
    <w:uiPriority w:val="0"/>
    <w:pPr>
      <w:ind w:left="200" w:hanging="200"/>
    </w:pPr>
    <w:rPr>
      <w:rFonts w:ascii="Times New Roman" w:hAnsi="Times New Roman" w:eastAsia="宋体" w:cs="Times New Roman"/>
      <w:szCs w:val="21"/>
    </w:rPr>
  </w:style>
  <w:style w:type="paragraph" w:customStyle="1" w:styleId="240">
    <w:name w:val="目录 61"/>
    <w:basedOn w:val="1"/>
    <w:next w:val="1"/>
    <w:semiHidden/>
    <w:qFormat/>
    <w:uiPriority w:val="0"/>
    <w:pPr>
      <w:ind w:left="1050"/>
      <w:jc w:val="left"/>
    </w:pPr>
    <w:rPr>
      <w:rFonts w:ascii="Times New Roman" w:hAnsi="Times New Roman" w:eastAsia="宋体" w:cs="Times New Roman"/>
      <w:szCs w:val="21"/>
    </w:rPr>
  </w:style>
  <w:style w:type="paragraph" w:customStyle="1" w:styleId="241">
    <w:name w:val="正文文本缩进 31"/>
    <w:basedOn w:val="1"/>
    <w:link w:val="242"/>
    <w:qFormat/>
    <w:uiPriority w:val="0"/>
    <w:pPr>
      <w:ind w:left="645" w:firstLine="645"/>
    </w:pPr>
    <w:rPr>
      <w:rFonts w:ascii="Arial" w:hAnsi="Arial" w:eastAsia="仿宋_GB2312" w:cs="Arial"/>
      <w:color w:val="FFFF00"/>
      <w:sz w:val="32"/>
      <w:szCs w:val="32"/>
    </w:rPr>
  </w:style>
  <w:style w:type="character" w:customStyle="1" w:styleId="242">
    <w:name w:val="正文文本缩进 3 Char"/>
    <w:link w:val="241"/>
    <w:qFormat/>
    <w:uiPriority w:val="0"/>
    <w:rPr>
      <w:rFonts w:ascii="Arial" w:hAnsi="Arial" w:eastAsia="仿宋_GB2312" w:cs="Arial"/>
      <w:color w:val="FFFF00"/>
      <w:sz w:val="32"/>
      <w:szCs w:val="32"/>
    </w:rPr>
  </w:style>
  <w:style w:type="paragraph" w:customStyle="1" w:styleId="243">
    <w:name w:val="图表目录1"/>
    <w:basedOn w:val="1"/>
    <w:next w:val="1"/>
    <w:semiHidden/>
    <w:qFormat/>
    <w:uiPriority w:val="0"/>
    <w:pPr>
      <w:ind w:left="840" w:hanging="420"/>
    </w:pPr>
    <w:rPr>
      <w:rFonts w:ascii="Times New Roman" w:hAnsi="Times New Roman" w:eastAsia="宋体" w:cs="Times New Roman"/>
      <w:szCs w:val="21"/>
    </w:rPr>
  </w:style>
  <w:style w:type="paragraph" w:customStyle="1" w:styleId="244">
    <w:name w:val="目录 21"/>
    <w:basedOn w:val="1"/>
    <w:next w:val="1"/>
    <w:semiHidden/>
    <w:qFormat/>
    <w:uiPriority w:val="0"/>
    <w:pPr>
      <w:ind w:left="210"/>
      <w:jc w:val="left"/>
    </w:pPr>
    <w:rPr>
      <w:rFonts w:ascii="Times New Roman" w:hAnsi="Times New Roman" w:eastAsia="宋体" w:cs="Times New Roman"/>
      <w:smallCaps/>
      <w:szCs w:val="24"/>
    </w:rPr>
  </w:style>
  <w:style w:type="paragraph" w:customStyle="1" w:styleId="245">
    <w:name w:val="目录 91"/>
    <w:basedOn w:val="1"/>
    <w:next w:val="1"/>
    <w:semiHidden/>
    <w:qFormat/>
    <w:uiPriority w:val="0"/>
    <w:pPr>
      <w:ind w:left="1680"/>
      <w:jc w:val="left"/>
    </w:pPr>
    <w:rPr>
      <w:rFonts w:ascii="Times New Roman" w:hAnsi="Times New Roman" w:eastAsia="宋体" w:cs="Times New Roman"/>
      <w:szCs w:val="21"/>
    </w:rPr>
  </w:style>
  <w:style w:type="paragraph" w:customStyle="1" w:styleId="246">
    <w:name w:val="正文文本 21"/>
    <w:basedOn w:val="1"/>
    <w:link w:val="247"/>
    <w:qFormat/>
    <w:uiPriority w:val="0"/>
    <w:pPr>
      <w:widowControl/>
      <w:jc w:val="center"/>
    </w:pPr>
    <w:rPr>
      <w:rFonts w:ascii="楷体_GB2312" w:hAnsi="Times New Roman" w:eastAsia="楷体_GB2312" w:cs="Times New Roman"/>
      <w:sz w:val="28"/>
      <w:szCs w:val="28"/>
    </w:rPr>
  </w:style>
  <w:style w:type="character" w:customStyle="1" w:styleId="247">
    <w:name w:val="正文文本 2 Char"/>
    <w:link w:val="246"/>
    <w:qFormat/>
    <w:uiPriority w:val="0"/>
    <w:rPr>
      <w:rFonts w:ascii="楷体_GB2312" w:hAnsi="Times New Roman" w:eastAsia="楷体_GB2312" w:cs="Times New Roman"/>
      <w:sz w:val="28"/>
      <w:szCs w:val="28"/>
    </w:rPr>
  </w:style>
  <w:style w:type="paragraph" w:customStyle="1" w:styleId="248">
    <w:name w:val="普通(网站)1"/>
    <w:basedOn w:val="1"/>
    <w:qFormat/>
    <w:uiPriority w:val="99"/>
    <w:pPr>
      <w:widowControl/>
      <w:spacing w:before="100" w:beforeAutospacing="1" w:after="100" w:afterAutospacing="1"/>
      <w:jc w:val="left"/>
    </w:pPr>
    <w:rPr>
      <w:rFonts w:ascii="宋体" w:hAnsi="宋体" w:eastAsia="宋体" w:cs="宋体"/>
      <w:sz w:val="24"/>
      <w:szCs w:val="24"/>
    </w:rPr>
  </w:style>
  <w:style w:type="paragraph" w:customStyle="1" w:styleId="249">
    <w:name w:val="索引 11"/>
    <w:basedOn w:val="1"/>
    <w:next w:val="1"/>
    <w:semiHidden/>
    <w:qFormat/>
    <w:uiPriority w:val="0"/>
    <w:pPr>
      <w:spacing w:line="240" w:lineRule="atLeast"/>
    </w:pPr>
    <w:rPr>
      <w:rFonts w:ascii="Times New Roman" w:hAnsi="Times New Roman" w:eastAsia="宋体" w:cs="Times New Roman"/>
      <w:b/>
      <w:bCs/>
      <w:szCs w:val="21"/>
    </w:rPr>
  </w:style>
  <w:style w:type="paragraph" w:customStyle="1" w:styleId="250">
    <w:name w:val="批注主题1"/>
    <w:basedOn w:val="211"/>
    <w:next w:val="211"/>
    <w:link w:val="251"/>
    <w:semiHidden/>
    <w:qFormat/>
    <w:uiPriority w:val="0"/>
    <w:rPr>
      <w:rFonts w:ascii="Times New Roman" w:hAnsi="Times New Roman" w:eastAsia="宋体" w:cs="Times New Roman"/>
      <w:b/>
      <w:bCs/>
      <w:szCs w:val="21"/>
    </w:rPr>
  </w:style>
  <w:style w:type="character" w:customStyle="1" w:styleId="251">
    <w:name w:val="批注主题 Char"/>
    <w:link w:val="250"/>
    <w:semiHidden/>
    <w:qFormat/>
    <w:uiPriority w:val="0"/>
    <w:rPr>
      <w:rFonts w:ascii="Times New Roman" w:hAnsi="Times New Roman" w:eastAsia="宋体" w:cs="Times New Roman"/>
      <w:b/>
      <w:bCs/>
      <w:szCs w:val="21"/>
    </w:rPr>
  </w:style>
  <w:style w:type="paragraph" w:customStyle="1" w:styleId="252">
    <w:name w:val="正文首行缩进1"/>
    <w:basedOn w:val="215"/>
    <w:link w:val="253"/>
    <w:qFormat/>
    <w:uiPriority w:val="0"/>
    <w:pPr>
      <w:spacing w:line="360" w:lineRule="auto"/>
      <w:ind w:firstLine="200"/>
    </w:pPr>
    <w:rPr>
      <w:rFonts w:ascii="仿宋_GB2312" w:hAnsi="Times New Roman" w:eastAsia="仿宋_GB2312" w:cs="Times New Roman"/>
      <w:sz w:val="30"/>
      <w:szCs w:val="30"/>
    </w:rPr>
  </w:style>
  <w:style w:type="character" w:customStyle="1" w:styleId="253">
    <w:name w:val="正文首行缩进 Char"/>
    <w:link w:val="252"/>
    <w:qFormat/>
    <w:uiPriority w:val="0"/>
    <w:rPr>
      <w:rFonts w:ascii="仿宋_GB2312" w:hAnsi="Times New Roman" w:eastAsia="仿宋_GB2312" w:cs="Times New Roman"/>
      <w:sz w:val="30"/>
      <w:szCs w:val="30"/>
    </w:rPr>
  </w:style>
  <w:style w:type="paragraph" w:customStyle="1" w:styleId="254">
    <w:name w:val="正文首行缩进 211"/>
    <w:basedOn w:val="217"/>
    <w:next w:val="255"/>
    <w:link w:val="259"/>
    <w:qFormat/>
    <w:uiPriority w:val="0"/>
    <w:pPr>
      <w:spacing w:after="0" w:line="360" w:lineRule="auto"/>
      <w:ind w:left="0" w:firstLine="420"/>
    </w:pPr>
    <w:rPr>
      <w:rFonts w:ascii="宋体" w:hAnsi="宋体" w:eastAsia="宋体" w:cs="Times New Roman"/>
      <w:szCs w:val="20"/>
    </w:rPr>
  </w:style>
  <w:style w:type="paragraph" w:customStyle="1" w:styleId="255">
    <w:name w:val="样式 标题 3 + (中文) 黑体 小四 非加粗 段前: 7.8 磅 段后: 0 磅 行距: 固定值 20 磅_0"/>
    <w:basedOn w:val="256"/>
    <w:qFormat/>
    <w:uiPriority w:val="0"/>
    <w:pPr>
      <w:spacing w:before="0" w:after="0" w:line="400" w:lineRule="exact"/>
    </w:pPr>
    <w:rPr>
      <w:rFonts w:ascii="Times New Roman" w:hAnsi="Times New Roman" w:eastAsia="黑体" w:cs="宋体"/>
      <w:b w:val="0"/>
      <w:bCs w:val="0"/>
      <w:sz w:val="21"/>
      <w:szCs w:val="20"/>
    </w:rPr>
  </w:style>
  <w:style w:type="paragraph" w:customStyle="1" w:styleId="256">
    <w:name w:val="标题 3_0"/>
    <w:basedOn w:val="257"/>
    <w:next w:val="258"/>
    <w:qFormat/>
    <w:uiPriority w:val="0"/>
    <w:pPr>
      <w:keepNext/>
      <w:keepLines/>
      <w:spacing w:before="260" w:after="260" w:line="416" w:lineRule="auto"/>
      <w:outlineLvl w:val="2"/>
    </w:pPr>
    <w:rPr>
      <w:rFonts w:ascii="Calibri" w:hAnsi="Calibri" w:eastAsia="宋体"/>
      <w:b/>
      <w:bCs/>
      <w:sz w:val="32"/>
      <w:szCs w:val="32"/>
    </w:rPr>
  </w:style>
  <w:style w:type="paragraph" w:customStyle="1" w:styleId="257">
    <w:name w:val="正文_0"/>
    <w:next w:val="254"/>
    <w:qFormat/>
    <w:uiPriority w:val="0"/>
    <w:pPr>
      <w:widowControl w:val="0"/>
      <w:jc w:val="both"/>
    </w:pPr>
    <w:rPr>
      <w:rFonts w:hint="default" w:ascii="Calibri" w:hAnsi="Calibri" w:eastAsia="仿宋_GB2312" w:cs="Times New Roman"/>
      <w:sz w:val="21"/>
      <w:szCs w:val="22"/>
      <w:lang w:val="en-US" w:eastAsia="zh-CN" w:bidi="ar-SA"/>
    </w:rPr>
  </w:style>
  <w:style w:type="paragraph" w:customStyle="1" w:styleId="258">
    <w:name w:val="正文_1"/>
    <w:next w:val="254"/>
    <w:qFormat/>
    <w:uiPriority w:val="0"/>
    <w:pPr>
      <w:widowControl w:val="0"/>
      <w:jc w:val="both"/>
    </w:pPr>
    <w:rPr>
      <w:rFonts w:hint="default" w:ascii="Calibri" w:hAnsi="Calibri" w:eastAsia="仿宋_GB2312" w:cs="Times New Roman"/>
      <w:sz w:val="21"/>
      <w:szCs w:val="22"/>
      <w:lang w:val="en-US" w:eastAsia="zh-CN" w:bidi="ar-SA"/>
    </w:rPr>
  </w:style>
  <w:style w:type="character" w:customStyle="1" w:styleId="259">
    <w:name w:val="正文首行缩进 2 Char"/>
    <w:link w:val="254"/>
    <w:qFormat/>
    <w:uiPriority w:val="0"/>
    <w:rPr>
      <w:rFonts w:ascii="宋体" w:hAnsi="宋体" w:eastAsia="宋体" w:cs="Times New Roman"/>
      <w:szCs w:val="20"/>
    </w:rPr>
  </w:style>
  <w:style w:type="table" w:customStyle="1" w:styleId="260">
    <w:name w:val="网格型1"/>
    <w:basedOn w:val="196"/>
    <w:qFormat/>
    <w:uiPriority w:val="0"/>
    <w:pPr>
      <w:widowControl w:val="0"/>
      <w:jc w:val="both"/>
    </w:pPr>
    <w:rPr>
      <w:rFonts w:ascii="Times New Roman" w:hAnsi="Times New Roman" w:eastAsia="宋体" w:cs="Times New Roman"/>
      <w:sz w:val="20"/>
      <w:szCs w:val="20"/>
    </w:rPr>
  </w:style>
  <w:style w:type="character" w:customStyle="1" w:styleId="261">
    <w:name w:val="要点1"/>
    <w:basedOn w:val="195"/>
    <w:link w:val="1"/>
    <w:qFormat/>
    <w:uiPriority w:val="0"/>
    <w:rPr>
      <w:b/>
      <w:bCs/>
    </w:rPr>
  </w:style>
  <w:style w:type="character" w:customStyle="1" w:styleId="262">
    <w:name w:val="页码1"/>
    <w:basedOn w:val="195"/>
    <w:link w:val="1"/>
    <w:qFormat/>
    <w:uiPriority w:val="0"/>
  </w:style>
  <w:style w:type="character" w:customStyle="1" w:styleId="263">
    <w:name w:val="已访问的超链接1"/>
    <w:basedOn w:val="195"/>
    <w:link w:val="1"/>
    <w:qFormat/>
    <w:uiPriority w:val="0"/>
    <w:rPr>
      <w:color w:val="FFFFFF"/>
      <w:u w:val="none"/>
    </w:rPr>
  </w:style>
  <w:style w:type="character" w:customStyle="1" w:styleId="264">
    <w:name w:val="HTML 定义1"/>
    <w:basedOn w:val="195"/>
    <w:link w:val="1"/>
    <w:unhideWhenUsed/>
    <w:qFormat/>
    <w:uiPriority w:val="99"/>
  </w:style>
  <w:style w:type="character" w:customStyle="1" w:styleId="265">
    <w:name w:val="HTML 打字机1"/>
    <w:basedOn w:val="195"/>
    <w:link w:val="1"/>
    <w:unhideWhenUsed/>
    <w:qFormat/>
    <w:uiPriority w:val="99"/>
    <w:rPr>
      <w:rFonts w:ascii="monospace" w:hAnsi="monospace" w:eastAsia="monospace" w:cs="monospace"/>
      <w:sz w:val="20"/>
    </w:rPr>
  </w:style>
  <w:style w:type="character" w:customStyle="1" w:styleId="266">
    <w:name w:val="HTML 缩写1"/>
    <w:basedOn w:val="195"/>
    <w:link w:val="1"/>
    <w:unhideWhenUsed/>
    <w:qFormat/>
    <w:uiPriority w:val="99"/>
  </w:style>
  <w:style w:type="character" w:customStyle="1" w:styleId="267">
    <w:name w:val="HTML 变量1"/>
    <w:basedOn w:val="195"/>
    <w:link w:val="1"/>
    <w:unhideWhenUsed/>
    <w:qFormat/>
    <w:uiPriority w:val="99"/>
  </w:style>
  <w:style w:type="character" w:customStyle="1" w:styleId="268">
    <w:name w:val="超链接1"/>
    <w:basedOn w:val="195"/>
    <w:link w:val="1"/>
    <w:qFormat/>
    <w:uiPriority w:val="0"/>
    <w:rPr>
      <w:color w:val="FFFFFF"/>
      <w:u w:val="none"/>
    </w:rPr>
  </w:style>
  <w:style w:type="character" w:customStyle="1" w:styleId="269">
    <w:name w:val="HTML 代码1"/>
    <w:basedOn w:val="195"/>
    <w:link w:val="1"/>
    <w:unhideWhenUsed/>
    <w:qFormat/>
    <w:uiPriority w:val="99"/>
    <w:rPr>
      <w:rFonts w:ascii="monospace" w:hAnsi="monospace" w:eastAsia="monospace" w:cs="monospace"/>
      <w:sz w:val="20"/>
    </w:rPr>
  </w:style>
  <w:style w:type="character" w:customStyle="1" w:styleId="270">
    <w:name w:val="批注引用1"/>
    <w:link w:val="1"/>
    <w:semiHidden/>
    <w:qFormat/>
    <w:uiPriority w:val="0"/>
    <w:rPr>
      <w:sz w:val="21"/>
      <w:szCs w:val="21"/>
    </w:rPr>
  </w:style>
  <w:style w:type="character" w:customStyle="1" w:styleId="271">
    <w:name w:val="HTML 引文1"/>
    <w:basedOn w:val="195"/>
    <w:link w:val="1"/>
    <w:unhideWhenUsed/>
    <w:qFormat/>
    <w:uiPriority w:val="99"/>
  </w:style>
  <w:style w:type="character" w:customStyle="1" w:styleId="272">
    <w:name w:val="HTML 键盘1"/>
    <w:basedOn w:val="195"/>
    <w:link w:val="1"/>
    <w:unhideWhenUsed/>
    <w:qFormat/>
    <w:uiPriority w:val="99"/>
    <w:rPr>
      <w:rFonts w:ascii="monospace" w:hAnsi="monospace" w:eastAsia="monospace" w:cs="monospace"/>
      <w:sz w:val="20"/>
    </w:rPr>
  </w:style>
  <w:style w:type="character" w:customStyle="1" w:styleId="273">
    <w:name w:val="HTML 样本1"/>
    <w:basedOn w:val="195"/>
    <w:link w:val="1"/>
    <w:unhideWhenUsed/>
    <w:qFormat/>
    <w:uiPriority w:val="99"/>
    <w:rPr>
      <w:rFonts w:ascii="monospace" w:hAnsi="monospace" w:eastAsia="monospace" w:cs="monospace"/>
    </w:rPr>
  </w:style>
  <w:style w:type="paragraph" w:customStyle="1" w:styleId="274">
    <w:name w:val="正文首行缩进 21"/>
    <w:basedOn w:val="275"/>
    <w:next w:val="1"/>
    <w:qFormat/>
    <w:uiPriority w:val="0"/>
    <w:pPr>
      <w:spacing w:after="0" w:line="360" w:lineRule="auto"/>
      <w:ind w:left="0" w:firstLine="420"/>
    </w:pPr>
    <w:rPr>
      <w:rFonts w:ascii="宋体" w:hAnsi="宋体" w:eastAsia="宋体" w:cs="Times New Roman"/>
      <w:szCs w:val="20"/>
    </w:rPr>
  </w:style>
  <w:style w:type="paragraph" w:customStyle="1" w:styleId="275">
    <w:name w:val="正文文本缩进1"/>
    <w:basedOn w:val="1"/>
    <w:next w:val="276"/>
    <w:unhideWhenUsed/>
    <w:qFormat/>
    <w:uiPriority w:val="0"/>
    <w:pPr>
      <w:spacing w:after="120"/>
      <w:ind w:left="420"/>
    </w:pPr>
  </w:style>
  <w:style w:type="paragraph" w:customStyle="1" w:styleId="276">
    <w:name w:val="寄信人地址1"/>
    <w:basedOn w:val="1"/>
    <w:qFormat/>
    <w:uiPriority w:val="0"/>
    <w:rPr>
      <w:rFonts w:ascii="Arial" w:hAnsi="Arial" w:eastAsia="宋体" w:cs="Times New Roman"/>
    </w:rPr>
  </w:style>
  <w:style w:type="character" w:customStyle="1" w:styleId="277">
    <w:name w:val="font5 Char"/>
    <w:link w:val="1"/>
    <w:qFormat/>
    <w:uiPriority w:val="0"/>
    <w:rPr>
      <w:rFonts w:ascii="宋体" w:hAnsi="宋体" w:eastAsia="宋体"/>
      <w:sz w:val="28"/>
      <w:szCs w:val="28"/>
      <w:lang w:val="en-US" w:eastAsia="zh-CN" w:bidi="ar-SA"/>
    </w:rPr>
  </w:style>
  <w:style w:type="character" w:customStyle="1" w:styleId="278">
    <w:name w:val="二级目录 Char"/>
    <w:link w:val="279"/>
    <w:qFormat/>
    <w:uiPriority w:val="0"/>
    <w:rPr>
      <w:b/>
      <w:sz w:val="30"/>
      <w:szCs w:val="28"/>
    </w:rPr>
  </w:style>
  <w:style w:type="paragraph" w:customStyle="1" w:styleId="279">
    <w:name w:val="二级目录"/>
    <w:next w:val="1"/>
    <w:link w:val="278"/>
    <w:qFormat/>
    <w:uiPriority w:val="0"/>
    <w:pPr>
      <w:numPr>
        <w:ilvl w:val="0"/>
        <w:numId w:val="2"/>
      </w:numPr>
      <w:tabs>
        <w:tab w:val="left" w:pos="1145"/>
      </w:tabs>
      <w:outlineLvl w:val="1"/>
    </w:pPr>
    <w:rPr>
      <w:rFonts w:hint="default" w:ascii="Times New Roman" w:hAnsi="Times New Roman" w:eastAsia="宋体" w:cs="Times New Roman"/>
      <w:b/>
      <w:sz w:val="30"/>
      <w:szCs w:val="28"/>
      <w:lang w:val="en-US" w:eastAsia="zh-CN" w:bidi="ar-SA"/>
    </w:rPr>
  </w:style>
  <w:style w:type="character" w:customStyle="1" w:styleId="280">
    <w:name w:val="列出段落 Char"/>
    <w:link w:val="281"/>
    <w:qFormat/>
    <w:uiPriority w:val="0"/>
    <w:rPr>
      <w:rFonts w:ascii="Calibri" w:hAnsi="Calibri"/>
      <w:sz w:val="24"/>
      <w:szCs w:val="24"/>
      <w:lang w:eastAsia="en-US" w:bidi="en-US"/>
    </w:rPr>
  </w:style>
  <w:style w:type="paragraph" w:customStyle="1" w:styleId="281">
    <w:name w:val="列出段落1"/>
    <w:basedOn w:val="1"/>
    <w:link w:val="280"/>
    <w:qFormat/>
    <w:uiPriority w:val="0"/>
    <w:pPr>
      <w:widowControl/>
      <w:ind w:left="720"/>
      <w:contextualSpacing/>
      <w:jc w:val="left"/>
    </w:pPr>
    <w:rPr>
      <w:rFonts w:ascii="Calibri" w:hAnsi="Calibri"/>
      <w:sz w:val="24"/>
      <w:szCs w:val="24"/>
      <w:lang w:eastAsia="en-US" w:bidi="en-US"/>
    </w:rPr>
  </w:style>
  <w:style w:type="paragraph" w:customStyle="1" w:styleId="282">
    <w:name w:val="Body Text(ch)"/>
    <w:basedOn w:val="1"/>
    <w:next w:val="215"/>
    <w:qFormat/>
    <w:uiPriority w:val="0"/>
    <w:pPr>
      <w:spacing w:after="120"/>
    </w:pPr>
    <w:rPr>
      <w:rFonts w:ascii="宋体" w:hAnsi="Arial" w:eastAsia="宋体" w:cs="Times New Roman"/>
      <w:bCs/>
      <w:iCs/>
      <w:szCs w:val="24"/>
    </w:rPr>
  </w:style>
  <w:style w:type="paragraph" w:customStyle="1" w:styleId="283">
    <w:name w:val="xl27"/>
    <w:basedOn w:val="1"/>
    <w:qFormat/>
    <w:uiPriority w:val="0"/>
    <w:pPr>
      <w:widowControl/>
      <w:pBdr>
        <w:left w:val="single" w:color="000000" w:sz="4" w:space="0"/>
        <w:bottom w:val="single" w:color="000000" w:sz="4" w:space="0"/>
        <w:right w:val="single" w:color="000000" w:sz="4" w:space="0"/>
      </w:pBdr>
      <w:spacing w:before="100" w:beforeAutospacing="1" w:after="100" w:afterAutospacing="1"/>
      <w:jc w:val="center"/>
    </w:pPr>
    <w:rPr>
      <w:rFonts w:ascii="宋体" w:hAnsi="宋体" w:eastAsia="宋体" w:cs="Times New Roman"/>
      <w:sz w:val="24"/>
      <w:szCs w:val="24"/>
    </w:rPr>
  </w:style>
  <w:style w:type="paragraph" w:customStyle="1" w:styleId="284">
    <w:name w:val="xl26"/>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宋体" w:hAnsi="宋体" w:eastAsia="宋体" w:cs="Times New Roman"/>
      <w:sz w:val="24"/>
      <w:szCs w:val="24"/>
    </w:rPr>
  </w:style>
  <w:style w:type="paragraph" w:customStyle="1" w:styleId="285">
    <w:name w:val="Char"/>
    <w:basedOn w:val="1"/>
    <w:qFormat/>
    <w:uiPriority w:val="0"/>
    <w:pPr>
      <w:tabs>
        <w:tab w:val="left" w:pos="360"/>
      </w:tabs>
      <w:ind w:firstLine="200"/>
    </w:pPr>
    <w:rPr>
      <w:rFonts w:ascii="Times New Roman" w:hAnsi="Times New Roman" w:eastAsia="宋体" w:cs="Times New Roman"/>
      <w:sz w:val="28"/>
      <w:szCs w:val="30"/>
    </w:rPr>
  </w:style>
  <w:style w:type="paragraph" w:customStyle="1" w:styleId="286">
    <w:name w:val=" Char"/>
    <w:basedOn w:val="209"/>
    <w:qFormat/>
    <w:uiPriority w:val="0"/>
    <w:rPr>
      <w:rFonts w:ascii="Tahoma" w:hAnsi="Tahoma"/>
      <w:sz w:val="24"/>
      <w:szCs w:val="24"/>
    </w:rPr>
  </w:style>
  <w:style w:type="paragraph" w:customStyle="1" w:styleId="287">
    <w:name w:val="普通正文"/>
    <w:basedOn w:val="1"/>
    <w:qFormat/>
    <w:uiPriority w:val="0"/>
    <w:pPr>
      <w:spacing w:before="120" w:after="120" w:line="360" w:lineRule="auto"/>
      <w:ind w:firstLine="480"/>
      <w:jc w:val="left"/>
    </w:pPr>
    <w:rPr>
      <w:rFonts w:ascii="Arial" w:hAnsi="Arial" w:eastAsia="宋体" w:cs="Times New Roman"/>
      <w:sz w:val="24"/>
      <w:szCs w:val="24"/>
    </w:rPr>
  </w:style>
  <w:style w:type="paragraph" w:customStyle="1" w:styleId="288">
    <w:name w:val="table_lines"/>
    <w:basedOn w:val="1"/>
    <w:qFormat/>
    <w:uiPriority w:val="0"/>
    <w:pPr>
      <w:widowControl/>
      <w:jc w:val="left"/>
    </w:pPr>
    <w:rPr>
      <w:rFonts w:ascii="Times New Roman" w:hAnsi="Times New Roman" w:eastAsia="宋体" w:cs="Times New Roman"/>
      <w:sz w:val="20"/>
      <w:szCs w:val="20"/>
      <w:lang w:val="de-DE" w:eastAsia="de-DE"/>
    </w:rPr>
  </w:style>
  <w:style w:type="paragraph" w:customStyle="1" w:styleId="289">
    <w:name w:val="附录1"/>
    <w:qFormat/>
    <w:uiPriority w:val="0"/>
    <w:pPr>
      <w:numPr>
        <w:ilvl w:val="0"/>
        <w:numId w:val="2"/>
      </w:numPr>
      <w:spacing w:before="240" w:line="600" w:lineRule="atLeast"/>
    </w:pPr>
    <w:rPr>
      <w:rFonts w:hint="default" w:ascii="Times New Roman" w:hAnsi="Times New Roman" w:eastAsia="宋体" w:cs="Times New Roman"/>
      <w:b/>
      <w:i/>
      <w:sz w:val="28"/>
      <w:lang w:val="en-US" w:eastAsia="zh-CN" w:bidi="ar-SA"/>
    </w:rPr>
  </w:style>
  <w:style w:type="paragraph" w:customStyle="1" w:styleId="290">
    <w:name w:val="font7"/>
    <w:basedOn w:val="1"/>
    <w:qFormat/>
    <w:uiPriority w:val="0"/>
    <w:pPr>
      <w:widowControl/>
      <w:spacing w:before="100" w:beforeAutospacing="1" w:after="100" w:afterAutospacing="1"/>
      <w:jc w:val="left"/>
    </w:pPr>
    <w:rPr>
      <w:rFonts w:hint="eastAsia" w:ascii="宋体" w:hAnsi="宋体" w:eastAsia="宋体" w:cs="Times New Roman"/>
      <w:sz w:val="18"/>
      <w:szCs w:val="18"/>
    </w:rPr>
  </w:style>
  <w:style w:type="paragraph" w:customStyle="1" w:styleId="291">
    <w:name w:val=" Char Char Char Char"/>
    <w:basedOn w:val="209"/>
    <w:qFormat/>
    <w:uiPriority w:val="0"/>
    <w:pPr>
      <w:spacing w:line="360" w:lineRule="auto"/>
    </w:pPr>
    <w:rPr>
      <w:rFonts w:ascii="Tahoma" w:hAnsi="Tahoma"/>
      <w:sz w:val="24"/>
      <w:szCs w:val="24"/>
    </w:rPr>
  </w:style>
  <w:style w:type="paragraph" w:customStyle="1" w:styleId="292">
    <w:name w:val="列出段落"/>
    <w:basedOn w:val="1"/>
    <w:qFormat/>
    <w:uiPriority w:val="0"/>
    <w:pPr>
      <w:widowControl/>
      <w:ind w:left="720"/>
      <w:contextualSpacing/>
      <w:jc w:val="left"/>
    </w:pPr>
    <w:rPr>
      <w:rFonts w:ascii="Calibri" w:hAnsi="Calibri" w:eastAsia="宋体" w:cs="Times New Roman"/>
      <w:sz w:val="24"/>
      <w:szCs w:val="24"/>
      <w:lang w:eastAsia="en-US" w:bidi="en-US"/>
    </w:rPr>
  </w:style>
  <w:style w:type="paragraph" w:customStyle="1" w:styleId="293">
    <w:name w:val="4"/>
    <w:basedOn w:val="1"/>
    <w:next w:val="241"/>
    <w:qFormat/>
    <w:uiPriority w:val="0"/>
    <w:pPr>
      <w:spacing w:line="360" w:lineRule="auto"/>
      <w:ind w:firstLine="420"/>
    </w:pPr>
    <w:rPr>
      <w:rFonts w:ascii="Times New Roman" w:hAnsi="Times New Roman" w:eastAsia="宋体" w:cs="Times New Roman"/>
      <w:color w:val="FF0000"/>
      <w:sz w:val="24"/>
      <w:szCs w:val="24"/>
    </w:rPr>
  </w:style>
  <w:style w:type="paragraph" w:customStyle="1" w:styleId="294">
    <w:name w:val="普通 (Web)"/>
    <w:basedOn w:val="1"/>
    <w:qFormat/>
    <w:uiPriority w:val="0"/>
    <w:pPr>
      <w:widowControl/>
      <w:spacing w:before="100" w:beforeAutospacing="1" w:after="100" w:afterAutospacing="1"/>
      <w:jc w:val="left"/>
    </w:pPr>
    <w:rPr>
      <w:rFonts w:ascii="宋体" w:hAnsi="宋体" w:eastAsia="宋体" w:cs="Times New Roman"/>
      <w:sz w:val="24"/>
      <w:szCs w:val="24"/>
    </w:rPr>
  </w:style>
  <w:style w:type="paragraph" w:customStyle="1" w:styleId="295">
    <w:name w:val=" Char Char Char Char Char Char Char Char Char Char"/>
    <w:basedOn w:val="1"/>
    <w:qFormat/>
    <w:uiPriority w:val="0"/>
    <w:pPr>
      <w:spacing w:line="360" w:lineRule="auto"/>
    </w:pPr>
    <w:rPr>
      <w:rFonts w:ascii="Times New Roman" w:hAnsi="Times New Roman" w:eastAsia="宋体" w:cs="Times New Roman"/>
      <w:sz w:val="24"/>
      <w:szCs w:val="20"/>
    </w:rPr>
  </w:style>
  <w:style w:type="paragraph" w:customStyle="1" w:styleId="296">
    <w:name w:val="样式1"/>
    <w:basedOn w:val="1"/>
    <w:qFormat/>
    <w:uiPriority w:val="0"/>
    <w:pPr>
      <w:numPr>
        <w:ilvl w:val="0"/>
        <w:numId w:val="3"/>
      </w:numPr>
    </w:pPr>
    <w:rPr>
      <w:rFonts w:ascii="宋体" w:hAnsi="宋体" w:eastAsia="宋体" w:cs="Times New Roman"/>
      <w:szCs w:val="21"/>
    </w:rPr>
  </w:style>
  <w:style w:type="paragraph" w:customStyle="1" w:styleId="297">
    <w:name w:val="font6"/>
    <w:basedOn w:val="1"/>
    <w:qFormat/>
    <w:uiPriority w:val="0"/>
    <w:pPr>
      <w:widowControl/>
      <w:spacing w:before="100" w:beforeAutospacing="1" w:after="100" w:afterAutospacing="1"/>
      <w:jc w:val="left"/>
    </w:pPr>
    <w:rPr>
      <w:rFonts w:hint="eastAsia" w:ascii="宋体" w:hAnsi="宋体" w:eastAsia="宋体" w:cs="Times New Roman"/>
      <w:sz w:val="28"/>
      <w:szCs w:val="28"/>
      <w:u w:val="single"/>
    </w:rPr>
  </w:style>
  <w:style w:type="paragraph" w:customStyle="1" w:styleId="298">
    <w:name w:val="xl25"/>
    <w:basedOn w:val="1"/>
    <w:qFormat/>
    <w:uiPriority w:val="0"/>
    <w:pPr>
      <w:widowControl/>
      <w:spacing w:before="100" w:beforeAutospacing="1" w:after="100" w:afterAutospacing="1"/>
      <w:jc w:val="center"/>
    </w:pPr>
    <w:rPr>
      <w:rFonts w:ascii="Arial Unicode MS" w:hAnsi="Arial Unicode MS" w:eastAsia="Arial Unicode MS" w:cs="Arial Unicode MS"/>
      <w:sz w:val="24"/>
      <w:szCs w:val="24"/>
    </w:rPr>
  </w:style>
  <w:style w:type="paragraph" w:customStyle="1" w:styleId="299">
    <w:name w:val="图标"/>
    <w:basedOn w:val="1"/>
    <w:next w:val="1"/>
    <w:qFormat/>
    <w:uiPriority w:val="0"/>
    <w:pPr>
      <w:tabs>
        <w:tab w:val="left" w:pos="567"/>
        <w:tab w:val="left" w:pos="840"/>
      </w:tabs>
      <w:spacing w:before="120" w:after="120" w:line="320" w:lineRule="atLeast"/>
      <w:ind w:left="840" w:hanging="420"/>
      <w:jc w:val="center"/>
    </w:pPr>
    <w:rPr>
      <w:rFonts w:ascii="Times New Roman" w:hAnsi="Times New Roman" w:eastAsia="仿宋_GB2312" w:cs="Times New Roman"/>
      <w:sz w:val="24"/>
      <w:szCs w:val="20"/>
    </w:rPr>
  </w:style>
  <w:style w:type="paragraph" w:customStyle="1" w:styleId="300">
    <w:name w:val="标题3"/>
    <w:basedOn w:val="1"/>
    <w:next w:val="1"/>
    <w:qFormat/>
    <w:uiPriority w:val="0"/>
    <w:pPr>
      <w:spacing w:line="590" w:lineRule="atLeast"/>
      <w:ind w:firstLine="624"/>
    </w:pPr>
    <w:rPr>
      <w:rFonts w:ascii="方正黑体_GBK" w:hAnsi="Times New Roman" w:eastAsia="方正黑体_GBK" w:cs="Times New Roman"/>
      <w:sz w:val="32"/>
      <w:szCs w:val="32"/>
    </w:rPr>
  </w:style>
  <w:style w:type="paragraph" w:customStyle="1" w:styleId="301">
    <w:name w:val="xl24"/>
    <w:basedOn w:val="1"/>
    <w:qFormat/>
    <w:uiPriority w:val="0"/>
    <w:pPr>
      <w:widowControl/>
      <w:pBdr>
        <w:left w:val="single" w:color="000000" w:sz="4" w:space="0"/>
        <w:bottom w:val="single" w:color="000000" w:sz="4" w:space="0"/>
        <w:right w:val="single" w:color="000000" w:sz="4" w:space="0"/>
      </w:pBdr>
      <w:spacing w:before="100" w:beforeAutospacing="1" w:after="100" w:afterAutospacing="1"/>
      <w:jc w:val="center"/>
    </w:pPr>
    <w:rPr>
      <w:rFonts w:ascii="宋体" w:hAnsi="宋体" w:eastAsia="宋体" w:cs="Times New Roman"/>
      <w:sz w:val="24"/>
      <w:szCs w:val="24"/>
    </w:rPr>
  </w:style>
  <w:style w:type="paragraph" w:customStyle="1" w:styleId="302">
    <w:name w:val="xl29"/>
    <w:basedOn w:val="1"/>
    <w:qFormat/>
    <w:uiPriority w:val="0"/>
    <w:pPr>
      <w:widowControl/>
      <w:pBdr>
        <w:left w:val="single" w:color="000000" w:sz="4" w:space="0"/>
        <w:bottom w:val="single" w:color="000000" w:sz="4" w:space="0"/>
      </w:pBdr>
      <w:spacing w:before="100" w:beforeAutospacing="1" w:after="100" w:afterAutospacing="1"/>
      <w:jc w:val="left"/>
    </w:pPr>
    <w:rPr>
      <w:rFonts w:ascii="宋体" w:hAnsi="宋体" w:eastAsia="宋体" w:cs="Times New Roman"/>
      <w:sz w:val="24"/>
      <w:szCs w:val="24"/>
    </w:rPr>
  </w:style>
  <w:style w:type="paragraph" w:customStyle="1" w:styleId="303">
    <w:name w:val="Char Char Char Char Char Char Char Char"/>
    <w:basedOn w:val="1"/>
    <w:qFormat/>
    <w:uiPriority w:val="0"/>
    <w:pPr>
      <w:widowControl/>
      <w:spacing w:after="160" w:line="240" w:lineRule="exact"/>
      <w:jc w:val="left"/>
    </w:pPr>
    <w:rPr>
      <w:rFonts w:ascii="Verdana" w:hAnsi="Verdana" w:eastAsia="宋体" w:cs="Times New Roman"/>
      <w:sz w:val="20"/>
      <w:szCs w:val="20"/>
      <w:lang w:eastAsia="en-US"/>
    </w:rPr>
  </w:style>
  <w:style w:type="paragraph" w:customStyle="1" w:styleId="304">
    <w:name w:val="xl28"/>
    <w:basedOn w:val="1"/>
    <w:qFormat/>
    <w:uiPriority w:val="0"/>
    <w:pPr>
      <w:widowControl/>
      <w:pBdr>
        <w:top w:val="single" w:color="000000" w:sz="4" w:space="0"/>
        <w:left w:val="single" w:color="000000" w:sz="4" w:space="0"/>
        <w:bottom w:val="single" w:color="000000" w:sz="4" w:space="0"/>
      </w:pBdr>
      <w:spacing w:before="100" w:beforeAutospacing="1" w:after="100" w:afterAutospacing="1"/>
      <w:jc w:val="left"/>
    </w:pPr>
    <w:rPr>
      <w:rFonts w:ascii="宋体" w:hAnsi="宋体" w:eastAsia="宋体" w:cs="Times New Roman"/>
      <w:sz w:val="24"/>
      <w:szCs w:val="24"/>
    </w:rPr>
  </w:style>
  <w:style w:type="paragraph" w:customStyle="1" w:styleId="305">
    <w:name w:val=" Char Char Char Char Char Char Char Char"/>
    <w:basedOn w:val="1"/>
    <w:qFormat/>
    <w:uiPriority w:val="0"/>
    <w:pPr>
      <w:widowControl/>
      <w:spacing w:after="160" w:line="240" w:lineRule="exact"/>
      <w:jc w:val="left"/>
    </w:pPr>
    <w:rPr>
      <w:rFonts w:ascii="Verdana" w:hAnsi="Verdana" w:eastAsia="宋体" w:cs="Times New Roman"/>
      <w:sz w:val="20"/>
      <w:szCs w:val="20"/>
      <w:lang w:eastAsia="en-US"/>
    </w:rPr>
  </w:style>
  <w:style w:type="paragraph" w:customStyle="1" w:styleId="306">
    <w:name w:val="xl30"/>
    <w:basedOn w:val="1"/>
    <w:qFormat/>
    <w:uiPriority w:val="0"/>
    <w:pPr>
      <w:widowControl/>
      <w:spacing w:before="100" w:beforeAutospacing="1" w:after="100" w:afterAutospacing="1"/>
      <w:jc w:val="center"/>
    </w:pPr>
    <w:rPr>
      <w:rFonts w:ascii="宋体" w:hAnsi="宋体" w:eastAsia="宋体" w:cs="Times New Roman"/>
      <w:b/>
      <w:bCs/>
      <w:sz w:val="36"/>
      <w:szCs w:val="36"/>
    </w:rPr>
  </w:style>
  <w:style w:type="paragraph" w:customStyle="1" w:styleId="307">
    <w:name w:val="Char Char Char Char"/>
    <w:basedOn w:val="209"/>
    <w:qFormat/>
    <w:uiPriority w:val="0"/>
    <w:pPr>
      <w:spacing w:line="360" w:lineRule="auto"/>
    </w:pPr>
    <w:rPr>
      <w:rFonts w:ascii="Tahoma" w:hAnsi="Tahoma"/>
      <w:sz w:val="24"/>
      <w:szCs w:val="24"/>
    </w:rPr>
  </w:style>
  <w:style w:type="paragraph" w:customStyle="1" w:styleId="308">
    <w:name w:val="table_1stline"/>
    <w:basedOn w:val="1"/>
    <w:qFormat/>
    <w:uiPriority w:val="0"/>
    <w:pPr>
      <w:widowControl/>
      <w:spacing w:before="120"/>
      <w:jc w:val="left"/>
    </w:pPr>
    <w:rPr>
      <w:rFonts w:ascii="Times New Roman" w:hAnsi="Times New Roman" w:eastAsia="宋体" w:cs="Times New Roman"/>
      <w:bCs/>
      <w:sz w:val="20"/>
      <w:szCs w:val="20"/>
      <w:lang w:val="de-DE" w:eastAsia="de-DE"/>
    </w:rPr>
  </w:style>
  <w:style w:type="paragraph" w:customStyle="1" w:styleId="309">
    <w:name w:val="font5"/>
    <w:basedOn w:val="1"/>
    <w:qFormat/>
    <w:uiPriority w:val="0"/>
    <w:pPr>
      <w:widowControl/>
      <w:spacing w:before="100" w:beforeAutospacing="1" w:after="100" w:afterAutospacing="1"/>
      <w:jc w:val="left"/>
    </w:pPr>
    <w:rPr>
      <w:rFonts w:hint="eastAsia" w:ascii="宋体" w:hAnsi="宋体" w:eastAsia="宋体" w:cs="Times New Roman"/>
      <w:sz w:val="28"/>
      <w:szCs w:val="28"/>
    </w:rPr>
  </w:style>
  <w:style w:type="paragraph" w:customStyle="1" w:styleId="310">
    <w:name w:val="标题1"/>
    <w:basedOn w:val="1"/>
    <w:next w:val="1"/>
    <w:qFormat/>
    <w:uiPriority w:val="0"/>
    <w:pPr>
      <w:tabs>
        <w:tab w:val="left" w:pos="9193"/>
        <w:tab w:val="left" w:pos="9827"/>
      </w:tabs>
      <w:spacing w:line="700" w:lineRule="atLeast"/>
      <w:jc w:val="center"/>
    </w:pPr>
    <w:rPr>
      <w:rFonts w:ascii="方正小标宋_GBK" w:hAnsi="Times New Roman" w:eastAsia="方正小标宋_GBK" w:cs="Times New Roman"/>
      <w:sz w:val="44"/>
      <w:szCs w:val="20"/>
    </w:rPr>
  </w:style>
  <w:style w:type="paragraph" w:customStyle="1" w:styleId="311">
    <w:name w:val="修订"/>
    <w:semiHidden/>
    <w:qFormat/>
    <w:uiPriority w:val="99"/>
    <w:rPr>
      <w:rFonts w:hint="default" w:ascii="Times New Roman" w:hAnsi="Times New Roman" w:eastAsia="宋体" w:cs="Times New Roman"/>
      <w:sz w:val="21"/>
      <w:szCs w:val="21"/>
      <w:lang w:val="en-US" w:eastAsia="zh-CN" w:bidi="ar-SA"/>
    </w:rPr>
  </w:style>
  <w:style w:type="paragraph" w:customStyle="1" w:styleId="312">
    <w:name w:val="无间隔"/>
    <w:qFormat/>
    <w:uiPriority w:val="99"/>
    <w:pPr>
      <w:widowControl w:val="0"/>
      <w:jc w:val="both"/>
    </w:pPr>
    <w:rPr>
      <w:rFonts w:hint="default" w:ascii="Times New Roman" w:hAnsi="Times New Roman" w:eastAsia="宋体" w:cs="Times New Roman"/>
      <w:sz w:val="21"/>
      <w:szCs w:val="21"/>
      <w:lang w:val="en-US" w:eastAsia="zh-CN" w:bidi="ar-SA"/>
    </w:rPr>
  </w:style>
  <w:style w:type="paragraph" w:customStyle="1" w:styleId="313">
    <w:name w:val="正文文本1"/>
    <w:basedOn w:val="1"/>
    <w:next w:val="1"/>
    <w:unhideWhenUsed/>
    <w:qFormat/>
    <w:uiPriority w:val="99"/>
    <w:pPr>
      <w:spacing w:after="120"/>
    </w:pPr>
  </w:style>
  <w:style w:type="paragraph" w:customStyle="1" w:styleId="314">
    <w:name w:val="信息标题1"/>
    <w:basedOn w:val="1"/>
    <w:next w:val="1"/>
    <w:unhideWhenUsed/>
    <w:qFormat/>
    <w:uiPriority w:val="99"/>
    <w:pPr>
      <w:pBdr>
        <w:top w:val="single" w:color="000000" w:sz="6" w:space="1"/>
        <w:left w:val="single" w:color="000000" w:sz="6" w:space="1"/>
        <w:bottom w:val="single" w:color="000000" w:sz="6" w:space="1"/>
        <w:right w:val="single" w:color="000000" w:sz="6" w:space="1"/>
      </w:pBdr>
      <w:shd w:val="clear" w:color="auto" w:fill="7F7F7F"/>
      <w:spacing w:before="100" w:beforeAutospacing="1" w:after="100" w:afterAutospacing="1" w:line="120" w:lineRule="auto"/>
      <w:ind w:left="1080" w:hanging="1080"/>
    </w:pPr>
    <w:rPr>
      <w:rFonts w:ascii="Arial" w:hAnsi="Arial" w:eastAsia="宋体" w:cs="Arial"/>
      <w:sz w:val="21"/>
      <w:szCs w:val="24"/>
      <w:lang w:val="en-US" w:eastAsia="zh-CN" w:bidi="ar-SA"/>
    </w:rPr>
  </w:style>
  <w:style w:type="paragraph" w:customStyle="1" w:styleId="315">
    <w:name w:val="UserStyle_0"/>
    <w:qFormat/>
    <w:uiPriority w:val="0"/>
    <w:rPr>
      <w:rFonts w:hint="default" w:ascii="仿宋_GB2312" w:hAnsi="Times New Roman" w:eastAsia="仿宋_GB2312" w:cs="Times New Roman"/>
      <w:color w:val="000000"/>
      <w:sz w:val="24"/>
      <w:szCs w:val="24"/>
      <w:lang w:val="en-US" w:eastAsia="zh-CN" w:bidi="ar-SA"/>
    </w:rPr>
  </w:style>
  <w:style w:type="paragraph" w:customStyle="1" w:styleId="316">
    <w:name w:val="正文 A"/>
    <w:qFormat/>
    <w:uiPriority w:val="0"/>
    <w:pPr>
      <w:widowControl w:val="0"/>
      <w:jc w:val="both"/>
    </w:pPr>
    <w:rPr>
      <w:rFonts w:hint="default" w:ascii="Arial Unicode MS" w:hAnsi="Arial Unicode MS" w:eastAsia="Arial Unicode MS" w:cs="Arial Unicode MS"/>
      <w:color w:val="000000"/>
      <w:sz w:val="21"/>
      <w:szCs w:val="21"/>
      <w:u w:val="none"/>
      <w:lang w:val="en-US" w:eastAsia="zh-CN" w:bidi="ar-SA"/>
    </w:rPr>
  </w:style>
  <w:style w:type="character" w:customStyle="1" w:styleId="317">
    <w:name w:val="fc01294d3e-4153-482a-aea1-4b54892b7913-0"/>
    <w:basedOn w:val="195"/>
    <w:link w:val="1"/>
    <w:qFormat/>
    <w:uiPriority w:val="0"/>
  </w:style>
  <w:style w:type="character" w:customStyle="1" w:styleId="318">
    <w:name w:val="font11"/>
    <w:basedOn w:val="195"/>
    <w:link w:val="1"/>
    <w:qFormat/>
    <w:uiPriority w:val="0"/>
    <w:rPr>
      <w:rFonts w:hint="eastAsia" w:ascii="宋体" w:hAnsi="宋体" w:eastAsia="宋体" w:cs="宋体"/>
      <w:color w:val="4F81BD"/>
      <w:sz w:val="22"/>
      <w:szCs w:val="22"/>
      <w:u w:val="none"/>
    </w:rPr>
  </w:style>
  <w:style w:type="character" w:customStyle="1" w:styleId="319">
    <w:name w:val="font01"/>
    <w:basedOn w:val="195"/>
    <w:link w:val="1"/>
    <w:qFormat/>
    <w:uiPriority w:val="0"/>
    <w:rPr>
      <w:rFonts w:hint="eastAsia" w:ascii="宋体" w:hAnsi="宋体" w:eastAsia="宋体" w:cs="宋体"/>
      <w:color w:val="000000"/>
      <w:sz w:val="22"/>
      <w:szCs w:val="22"/>
      <w:u w:val="none"/>
    </w:rPr>
  </w:style>
  <w:style w:type="character" w:customStyle="1" w:styleId="320">
    <w:name w:val="layui-layer-tabnow"/>
    <w:basedOn w:val="195"/>
    <w:link w:val="1"/>
    <w:qFormat/>
    <w:uiPriority w:val="0"/>
    <w:rPr>
      <w:shd w:val="clear" w:color="auto" w:fill="FFFFFF"/>
    </w:rPr>
  </w:style>
  <w:style w:type="character" w:customStyle="1" w:styleId="321">
    <w:name w:val="first-child1"/>
    <w:basedOn w:val="195"/>
    <w:link w:val="1"/>
    <w:qFormat/>
    <w:uiPriority w:val="0"/>
  </w:style>
  <w:style w:type="paragraph" w:customStyle="1" w:styleId="322">
    <w:name w:val="AONormal"/>
    <w:qFormat/>
    <w:uiPriority w:val="0"/>
    <w:pPr>
      <w:spacing w:line="400" w:lineRule="exact"/>
      <w:ind w:firstLine="440"/>
    </w:pPr>
    <w:rPr>
      <w:rFonts w:hint="default" w:ascii="华文楷体" w:hAnsi="华文楷体" w:eastAsia="华文楷体" w:cs="华文楷体"/>
      <w:sz w:val="22"/>
      <w:szCs w:val="21"/>
      <w:lang w:val="en-US" w:eastAsia="zh-CN" w:bidi="ar-SA"/>
    </w:rPr>
  </w:style>
  <w:style w:type="paragraph" w:customStyle="1" w:styleId="323">
    <w:name w:val="正文1"/>
    <w:basedOn w:val="1"/>
    <w:qFormat/>
    <w:uiPriority w:val="0"/>
    <w:pPr>
      <w:spacing w:line="400" w:lineRule="exact"/>
      <w:ind w:firstLine="420"/>
    </w:pPr>
    <w:rPr>
      <w:rFonts w:ascii="宋体" w:hAnsi="宋体"/>
      <w:szCs w:val="21"/>
    </w:rPr>
  </w:style>
  <w:style w:type="paragraph" w:customStyle="1" w:styleId="324">
    <w:name w:val="样式5"/>
    <w:basedOn w:val="187"/>
    <w:qFormat/>
    <w:uiPriority w:val="0"/>
    <w:pPr>
      <w:spacing w:line="415" w:lineRule="auto"/>
    </w:pPr>
    <w:rPr>
      <w:sz w:val="28"/>
      <w:szCs w:val="28"/>
    </w:rPr>
  </w:style>
  <w:style w:type="paragraph" w:customStyle="1" w:styleId="325">
    <w:name w:val="无间隔1"/>
    <w:qFormat/>
    <w:uiPriority w:val="99"/>
    <w:rPr>
      <w:rFonts w:hint="default" w:ascii="Tahoma" w:hAnsi="Tahoma" w:eastAsia="微软雅黑" w:cs="Times New Roman"/>
      <w:sz w:val="22"/>
      <w:szCs w:val="22"/>
      <w:lang w:val="en-US" w:eastAsia="zh-CN" w:bidi="ar-SA"/>
    </w:rPr>
  </w:style>
  <w:style w:type="character" w:customStyle="1" w:styleId="326">
    <w:name w:val="fc01294d3e-4153-482a-aea1-4b54892b7913-1"/>
    <w:basedOn w:val="195"/>
    <w:link w:val="1"/>
    <w:qFormat/>
    <w:uiPriority w:val="0"/>
  </w:style>
  <w:style w:type="paragraph" w:customStyle="1" w:styleId="327">
    <w:name w:val="Default"/>
    <w:basedOn w:val="1"/>
    <w:semiHidden/>
    <w:qFormat/>
    <w:uiPriority w:val="0"/>
    <w:pPr>
      <w:jc w:val="left"/>
    </w:pPr>
    <w:rPr>
      <w:rFonts w:ascii="宋体" w:hAnsi="Calibri" w:cs="宋体"/>
      <w:color w:val="000000"/>
      <w:sz w:val="24"/>
    </w:rPr>
  </w:style>
  <w:style w:type="paragraph" w:customStyle="1" w:styleId="328">
    <w:name w:val="一级条标题"/>
    <w:basedOn w:val="329"/>
    <w:next w:val="330"/>
    <w:qFormat/>
    <w:uiPriority w:val="0"/>
    <w:pPr>
      <w:tabs>
        <w:tab w:val="left" w:pos="810"/>
        <w:tab w:val="left" w:pos="907"/>
        <w:tab w:val="left" w:pos="1265"/>
      </w:tabs>
      <w:spacing w:before="0" w:after="0"/>
      <w:ind w:left="907" w:hanging="907"/>
      <w:outlineLvl w:val="2"/>
    </w:pPr>
    <w:rPr>
      <w:rFonts w:hAnsi="宋体"/>
      <w:sz w:val="20"/>
      <w:szCs w:val="20"/>
    </w:rPr>
  </w:style>
  <w:style w:type="paragraph" w:customStyle="1" w:styleId="329">
    <w:name w:val="章标题"/>
    <w:next w:val="1"/>
    <w:qFormat/>
    <w:uiPriority w:val="0"/>
    <w:pPr>
      <w:tabs>
        <w:tab w:val="left" w:pos="810"/>
        <w:tab w:val="left" w:pos="1265"/>
      </w:tabs>
      <w:spacing w:before="50" w:after="50"/>
      <w:ind w:left="810" w:hanging="810"/>
      <w:jc w:val="both"/>
      <w:outlineLvl w:val="1"/>
    </w:pPr>
    <w:rPr>
      <w:rFonts w:hint="default" w:ascii="黑体" w:hAnsi="Calibri" w:eastAsia="黑体" w:cs="Times New Roman"/>
      <w:sz w:val="21"/>
      <w:szCs w:val="22"/>
      <w:lang w:val="en-US" w:eastAsia="zh-CN" w:bidi="ar-SA"/>
    </w:rPr>
  </w:style>
  <w:style w:type="paragraph" w:customStyle="1" w:styleId="330">
    <w:name w:val="段"/>
    <w:next w:val="1"/>
    <w:qFormat/>
    <w:uiPriority w:val="99"/>
    <w:pPr>
      <w:ind w:firstLine="200"/>
      <w:jc w:val="both"/>
    </w:pPr>
    <w:rPr>
      <w:rFonts w:hint="default" w:ascii="宋体" w:hAnsi="Times New Roman" w:eastAsia="宋体" w:cs="Times New Roman"/>
      <w:sz w:val="22"/>
      <w:lang w:val="en-US" w:eastAsia="zh-CN" w:bidi="ar-SA"/>
    </w:rPr>
  </w:style>
  <w:style w:type="paragraph" w:customStyle="1" w:styleId="331">
    <w:name w:val="普通(网站)12"/>
    <w:basedOn w:val="1"/>
    <w:unhideWhenUsed/>
    <w:qFormat/>
    <w:uiPriority w:val="0"/>
    <w:pPr>
      <w:widowControl/>
      <w:spacing w:before="100" w:beforeAutospacing="1" w:after="100" w:afterAutospacing="1"/>
      <w:jc w:val="left"/>
    </w:pPr>
    <w:rPr>
      <w:rFonts w:eastAsia="Times New Roman"/>
      <w:sz w:val="24"/>
    </w:rPr>
  </w:style>
</w:styles>
</file>

<file path=word/_rels/document.xml.rels><?xml version="1.0" encoding="UTF-8" standalone="yes"?>
<Relationships xmlns="http://schemas.openxmlformats.org/package/2006/relationships"><Relationship Id="rId9" Type="http://schemas.openxmlformats.org/officeDocument/2006/relationships/header" Target="header3.xml"/><Relationship Id="rId8" Type="http://schemas.openxmlformats.org/officeDocument/2006/relationships/footer" Target="footer4.xml"/><Relationship Id="rId7" Type="http://schemas.openxmlformats.org/officeDocument/2006/relationships/footer" Target="footer3.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8" Type="http://schemas.openxmlformats.org/officeDocument/2006/relationships/fontTable" Target="fontTable.xml"/><Relationship Id="rId17" Type="http://schemas.openxmlformats.org/officeDocument/2006/relationships/customXml" Target="../customXml/item2.xml"/><Relationship Id="rId16" Type="http://schemas.openxmlformats.org/officeDocument/2006/relationships/numbering" Target="numbering.xml"/><Relationship Id="rId15" Type="http://schemas.openxmlformats.org/officeDocument/2006/relationships/customXml" Target="../customXml/item1.xml"/><Relationship Id="rId14" Type="http://schemas.openxmlformats.org/officeDocument/2006/relationships/theme" Target="theme/theme1.xml"/><Relationship Id="rId13" Type="http://schemas.openxmlformats.org/officeDocument/2006/relationships/footer" Target="footer8.xml"/><Relationship Id="rId12" Type="http://schemas.openxmlformats.org/officeDocument/2006/relationships/footer" Target="footer7.xml"/><Relationship Id="rId11" Type="http://schemas.openxmlformats.org/officeDocument/2006/relationships/footer" Target="footer6.xml"/><Relationship Id="rId10" Type="http://schemas.openxmlformats.org/officeDocument/2006/relationships/footer" Target="footer5.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9" Type="http://schemas.openxmlformats.org/officeDocument/2006/relationships/font" Target="fonts/font9.odttf"/><Relationship Id="rId8" Type="http://schemas.openxmlformats.org/officeDocument/2006/relationships/font" Target="fonts/font8.odttf"/><Relationship Id="rId7" Type="http://schemas.openxmlformats.org/officeDocument/2006/relationships/font" Target="fonts/font7.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1" Type="http://schemas.openxmlformats.org/officeDocument/2006/relationships/font" Target="fonts/font11.odttf"/><Relationship Id="rId10" Type="http://schemas.openxmlformats.org/officeDocument/2006/relationships/font" Target="fonts/font10.odttf"/><Relationship Id="rId1" Type="http://schemas.openxmlformats.org/officeDocument/2006/relationships/font" Target="fonts/font1.odttf"/></Relationships>
</file>

<file path=word/theme/theme1.xml><?xml version="1.0" encoding="utf-8"?>
<a:theme xmlns:a="http://schemas.openxmlformats.org/drawing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textRotate="1"/>
  </customShpExts>
</s:customData>
</file>

<file path=customXml/item2.xml><?xml version="1.0" encoding="utf-8"?>
<contractReview xmlns="http://schemas.wps.cn/vas-ai-hub/contract-review">
  <reviewItems>
    <reviewItem>
      <errorID>b369f36b-02bb-41c8-acfd-9eca64103119</errorID>
      <errorWord>(</errorWord>
      <group>L1_Format</group>
      <groupName>格式问题</groupName>
      <ability>L2_HalfPunc_CN</ability>
      <abilityName>全半角问题</abilityName>
      <candidateList>
        <item>（</item>
      </candidateList>
      <explain>文本全半角错误。</explain>
      <paraID>22F58B35</paraID>
      <start>96</start>
      <end>97</end>
      <status>modified</status>
      <modifiedWord>（</modifiedWord>
      <trackRevisions>false</trackRevisions>
    </reviewItem>
    <reviewItem>
      <errorID>d51385e2-da63-4a13-a419-8cabc56150fd</errorID>
      <errorWord>)</errorWord>
      <group>L1_Format</group>
      <groupName>格式问题</groupName>
      <ability>L2_HalfPunc_CN</ability>
      <abilityName>全半角问题</abilityName>
      <candidateList>
        <item>）</item>
      </candidateList>
      <explain>文本全半角错误。</explain>
      <paraID>22F58B35</paraID>
      <start>104</start>
      <end>105</end>
      <status>modified</status>
      <modifiedWord>）</modifiedWord>
      <trackRevisions>false</trackRevisions>
    </reviewItem>
    <reviewItem>
      <errorID>af3c950b-dc2d-4d41-a7b1-d27ba9a849ec</errorID>
      <errorWord>【2026】2号</errorWord>
      <group>L1_Knowledge</group>
      <groupName>知识性问题</groupName>
      <ability>L2_Knowledge</ability>
      <abilityName>其他知识</abilityName>
      <candidateList>
        <item>〔2026〕2号</item>
      </candidateList>
      <explain>发文字号格式错误。</explain>
      <paraID>3278871A</paraID>
      <start>30</start>
      <end>38</end>
      <status>modified</status>
      <modifiedWord>〔2026〕2号</modifiedWord>
      <trackRevisions>false</trackRevisions>
    </reviewItem>
    <reviewItem>
      <errorID>0db07280-8949-47fc-be46-3269e061799e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3C0D65A3</paraID>
      <start>0</start>
      <end>2</end>
      <status>modified</status>
      <modifiedWord>1.</modifiedWord>
      <trackRevisions>false</trackRevisions>
    </reviewItem>
    <reviewItem>
      <errorID>5a48f742-cd28-43f4-b240-2288679286a3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F9E4BB1</paraID>
      <start>0</start>
      <end>2</end>
      <status>modified</status>
      <modifiedWord>2.</modifiedWord>
      <trackRevisions>false</trackRevisions>
    </reviewItem>
    <reviewItem>
      <errorID>dde121ae-c7e6-4f38-af49-4afe376bf442</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1CE99390</paraID>
      <start>0</start>
      <end>2</end>
      <status>modified</status>
      <modifiedWord>4.</modifiedWord>
      <trackRevisions>false</trackRevisions>
    </reviewItem>
    <reviewItem>
      <errorID>472020af-f7b3-4e60-abf2-db9b220c95aa</errorID>
      <errorWord>一切权力</errorWord>
      <group>L1_Word</group>
      <groupName>字词问题</groupName>
      <ability>L2_Typo</ability>
      <abilityName>字词错误</abilityName>
      <candidateList>
        <item>一切权利</item>
      </candidateList>
      <explain/>
      <paraID>72FE8DF9</paraID>
      <start>97</start>
      <end>101</end>
      <status>modified</status>
      <modifiedWord>一切权利</modifiedWord>
      <trackRevisions>false</trackRevisions>
    </reviewItem>
    <reviewItem>
      <errorID>fe3cc3ad-7ed4-412f-a3d6-51f040dda58f</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4BDF381D</paraID>
      <start>28</start>
      <end>29</end>
      <status>ignored</status>
      <modifiedWord/>
      <trackRevisions>false</trackRevisions>
    </reviewItem>
    <reviewItem>
      <errorID>927fbffe-6541-4e1a-bb5b-6b4b7e909b7a</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322DA72B</paraID>
      <start>47</start>
      <end>48</end>
      <status>ignored</status>
      <modifiedWord/>
      <trackRevisions>false</trackRevisions>
    </reviewItem>
    <reviewItem>
      <errorID>dbbeb6ea-dd03-48c5-bd2a-42e89dfa0497</errorID>
      <errorWord>(</errorWord>
      <group>L1_Format</group>
      <groupName>格式问题</groupName>
      <ability>L2_HalfPunc_CN</ability>
      <abilityName>全半角问题</abilityName>
      <candidateList>
        <item>（</item>
      </candidateList>
      <explain>文本全半角错误。</explain>
      <paraID>4E83EDCC</paraID>
      <start>16</start>
      <end>17</end>
      <status>modified</status>
      <modifiedWord>（</modifiedWord>
      <trackRevisions>false</trackRevisions>
    </reviewItem>
    <reviewItem>
      <errorID>70da1029-2676-40a3-8655-fa4dd5697c61</errorID>
      <errorWord>)</errorWord>
      <group>L1_Format</group>
      <groupName>格式问题</groupName>
      <ability>L2_HalfPunc_CN</ability>
      <abilityName>全半角问题</abilityName>
      <candidateList>
        <item>）</item>
      </candidateList>
      <explain>文本全半角错误。</explain>
      <paraID>4E83EDCC</paraID>
      <start>24</start>
      <end>25</end>
      <status>modified</status>
      <modifiedWord>）</modifiedWord>
      <trackRevisions>false</trackRevisions>
    </reviewItem>
    <reviewItem>
      <errorID>c864cd82-7f02-466f-83c8-1386e70b1ea6</errorID>
      <errorWord>(</errorWord>
      <group>L1_Format</group>
      <groupName>格式问题</groupName>
      <ability>L2_HalfPunc_CN</ability>
      <abilityName>全半角问题</abilityName>
      <candidateList>
        <item>（</item>
      </candidateList>
      <explain>文本全半角错误。</explain>
      <paraID>3AD83744</paraID>
      <start>49</start>
      <end>50</end>
      <status>modified</status>
      <modifiedWord>（</modifiedWord>
      <trackRevisions>false</trackRevisions>
    </reviewItem>
    <reviewItem>
      <errorID>df564b74-6472-4225-af49-764139c0c0c8</errorID>
      <errorWord>)</errorWord>
      <group>L1_Format</group>
      <groupName>格式问题</groupName>
      <ability>L2_HalfPunc_CN</ability>
      <abilityName>全半角问题</abilityName>
      <candidateList>
        <item>）</item>
      </candidateList>
      <explain>文本全半角错误。</explain>
      <paraID>3AD83744</paraID>
      <start>57</start>
      <end>58</end>
      <status>modified</status>
      <modifiedWord>）</modifiedWord>
      <trackRevisions>false</trackRevisions>
    </reviewItem>
    <reviewItem>
      <errorID>420c190f-076a-403e-b281-2262d9579100</errorID>
      <errorWord>挡</errorWord>
      <group>L1_Word</group>
      <groupName>字词问题</groupName>
      <ability>L2_Typo</ability>
      <abilityName>字词错误</abilityName>
      <candidateList>
        <item>档</item>
      </candidateList>
      <explain>存在发音相同字词的误用。</explain>
      <paraID>1B18BB7A</paraID>
      <start>5</start>
      <end>6</end>
      <status>modified</status>
      <modifiedWord>档</modifiedWord>
      <trackRevisions>false</trackRevisions>
    </reviewItem>
    <reviewItem>
      <errorID>bc7eb79d-9260-4cc2-9392-b7453faebe2c</errorID>
      <errorWord>(</errorWord>
      <group>L1_Format</group>
      <groupName>格式问题</groupName>
      <ability>L2_HalfPunc_CN</ability>
      <abilityName>全半角问题</abilityName>
      <candidateList>
        <item>（</item>
      </candidateList>
      <explain>文本全半角错误。</explain>
      <paraID>1313D40A</paraID>
      <start>32</start>
      <end>33</end>
      <status>modified</status>
      <modifiedWord>（</modifiedWord>
      <trackRevisions>false</trackRevisions>
    </reviewItem>
    <reviewItem>
      <errorID>447ba4db-419f-4e41-9a53-58f9063efa74</errorID>
      <errorWord>(</errorWord>
      <group>L1_Format</group>
      <groupName>格式问题</groupName>
      <ability>L2_HalfPunc_CN</ability>
      <abilityName>全半角问题</abilityName>
      <candidateList>
        <item>（</item>
      </candidateList>
      <explain>文本全半角错误。</explain>
      <paraID>2892178B</paraID>
      <start>50</start>
      <end>51</end>
      <status>modified</status>
      <modifiedWord>（</modifiedWord>
      <trackRevisions>false</trackRevisions>
    </reviewItem>
    <reviewItem>
      <errorID>ae74d57a-242e-482f-bd9d-2d08b0d62472</errorID>
      <errorWord>)</errorWord>
      <group>L1_Format</group>
      <groupName>格式问题</groupName>
      <ability>L2_HalfPunc_CN</ability>
      <abilityName>全半角问题</abilityName>
      <candidateList>
        <item>）</item>
      </candidateList>
      <explain>文本全半角错误。</explain>
      <paraID>2892178B</paraID>
      <start>58</start>
      <end>59</end>
      <status>modified</status>
      <modifiedWord>）</modifiedWord>
      <trackRevisions>false</trackRevisions>
    </reviewItem>
    <reviewItem>
      <errorID>3f87c73c-602c-43b6-9f10-d5cd042c6807</errorID>
      <errorWord>其它</errorWord>
      <group>L1_Word</group>
      <groupName>字词问题</groupName>
      <ability>L2_Alias</ability>
      <abilityName>也作/曾用词</abilityName>
      <candidateList>
        <item>其他</item>
      </candidateList>
      <explain>词汇[其它]为不规范表述或旧称，其规范书面表述为[其他]。</explain>
      <paraID>47AF7801</paraID>
      <start>53</start>
      <end>55</end>
      <status>modified</status>
      <modifiedWord>其他</modifiedWord>
      <trackRevisions>false</trackRevisions>
    </reviewItem>
    <reviewItem>
      <errorID>5bb107e9-6da5-4ea7-bb17-f8a5c4aed3c6</errorID>
      <errorWord>,</errorWord>
      <group>L1_Format</group>
      <groupName>格式问题</groupName>
      <ability>L2_HalfPunc_CN</ability>
      <abilityName>全半角问题</abilityName>
      <candidateList>
        <item>，</item>
      </candidateList>
      <explain>文本全半角错误。</explain>
      <paraID>4C3670CD</paraID>
      <start>28</start>
      <end>29</end>
      <status>modified</status>
      <modifiedWord>，</modifiedWord>
      <trackRevisions>false</trackRevisions>
    </reviewItem>
    <reviewItem>
      <errorID>c07928ab-e8be-46d5-9956-1786a8b341d0</errorID>
      <errorWord>与</errorWord>
      <group>L1_Word</group>
      <groupName>字词问题</groupName>
      <ability>L2_Typo</ability>
      <abilityName>字词错误</abilityName>
      <candidateList>
        <item>予</item>
      </candidateList>
      <explain/>
      <paraID>204974EE</paraID>
      <start>52</start>
      <end>53</end>
      <status>modified</status>
      <modifiedWord>予</modifiedWord>
      <trackRevisions>false</trackRevisions>
    </reviewItem>
  </reviewItems>
  <config/>
</contractReview>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e1f91a62-9fb8-46d7-ad8a-eadb8ddfcd7d}">
  <ds:schemaRefs/>
</ds:datastoreItem>
</file>

<file path=docProps/app.xml><?xml version="1.0" encoding="utf-8"?>
<Properties xmlns="http://schemas.openxmlformats.org/officeDocument/2006/extended-properties" xmlns:vt="http://schemas.openxmlformats.org/officeDocument/2006/docPropsVTypes">
  <Template>Nor</Template>
  <Company>Micro</Company>
  <Pages>66</Pages>
  <Words>14890</Words>
  <Characters>15995</Characters>
  <TotalTime>0</TotalTime>
  <ScaleCrop>false</ScaleCrop>
  <LinksUpToDate>false</LinksUpToDate>
  <CharactersWithSpaces>17433</CharactersWithSpaces>
  <Application>WPS Office_12.1.0.28043_F1E327BC-269C-435d-A152-05C5408002CA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2023-03-16T02:13:00Z</dcterms:created>
  <dc:creator>赵国</dc:creator>
  <cp:lastModifiedBy>陈胖子</cp:lastModifiedBy>
  <cp:lastPrinted>2026-08-12T08:48:00Z</cp:lastPrinted>
  <dcterms:modified xsi:type="dcterms:W3CDTF">2026-09-03T02:52:15Z</dcterms:modified>
  <cp:revision>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eyJoZGlkIjoiNDY4YTEyMGQ2MzE4MDk0ZWNhMjA3ZDQ5MGZlNjJlZjQiLCJ1c2VySWQiOiI4MDA4ODQ5NjEifQ==</vt:lpwstr>
  </property>
  <property fmtid="{D5CDD505-2E9C-101B-9397-08002B2CF9AE}" pid="3" name="KSOProductBuildVer">
    <vt:lpwstr>2052-12.1.0.28043</vt:lpwstr>
  </property>
  <property fmtid="{D5CDD505-2E9C-101B-9397-08002B2CF9AE}" pid="4" name="ICV">
    <vt:lpwstr>8F80E82C349A4A978EF7F18799C08CE5_13</vt:lpwstr>
  </property>
</Properties>
</file>