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341CD">
      <w:pPr>
        <w:jc w:val="center"/>
        <w:rPr>
          <w:rFonts w:hint="eastAsia" w:ascii="宋体" w:hAnsi="宋体"/>
          <w:color w:val="auto"/>
          <w:highlight w:val="none"/>
        </w:rPr>
      </w:pPr>
    </w:p>
    <w:p w14:paraId="615060A6">
      <w:pPr>
        <w:jc w:val="center"/>
        <w:rPr>
          <w:rFonts w:hint="eastAsia" w:ascii="宋体" w:hAnsi="宋体"/>
          <w:color w:val="auto"/>
          <w:highlight w:val="none"/>
        </w:rPr>
      </w:pPr>
    </w:p>
    <w:p w14:paraId="3DA05EB8">
      <w:pPr>
        <w:jc w:val="center"/>
        <w:rPr>
          <w:rFonts w:hint="eastAsia" w:ascii="宋体" w:hAnsi="宋体"/>
          <w:b/>
          <w:color w:val="auto"/>
          <w:sz w:val="72"/>
          <w:highlight w:val="none"/>
        </w:rPr>
      </w:pPr>
    </w:p>
    <w:p w14:paraId="3448BB23">
      <w:pPr>
        <w:jc w:val="center"/>
        <w:rPr>
          <w:rFonts w:hint="eastAsia" w:ascii="宋体" w:hAnsi="宋体"/>
          <w:b/>
          <w:color w:val="auto"/>
          <w:sz w:val="72"/>
          <w:highlight w:val="none"/>
        </w:rPr>
      </w:pPr>
      <w:r>
        <w:rPr>
          <w:rFonts w:hint="eastAsia" w:ascii="宋体" w:hAnsi="宋体"/>
          <w:b/>
          <w:color w:val="auto"/>
          <w:sz w:val="72"/>
          <w:highlight w:val="none"/>
        </w:rPr>
        <w:t>苏州市相城区政府采购</w:t>
      </w:r>
    </w:p>
    <w:p w14:paraId="57ACE795">
      <w:pPr>
        <w:jc w:val="center"/>
        <w:rPr>
          <w:rFonts w:hint="eastAsia" w:ascii="宋体" w:hAnsi="宋体"/>
          <w:b/>
          <w:color w:val="auto"/>
          <w:sz w:val="72"/>
          <w:highlight w:val="none"/>
        </w:rPr>
      </w:pPr>
      <w:r>
        <w:rPr>
          <w:rFonts w:hint="eastAsia" w:ascii="宋体" w:hAnsi="宋体"/>
          <w:b/>
          <w:color w:val="auto"/>
          <w:sz w:val="72"/>
          <w:highlight w:val="none"/>
        </w:rPr>
        <w:t>服务类磋商项目</w:t>
      </w:r>
    </w:p>
    <w:p w14:paraId="6D5AC04D">
      <w:pPr>
        <w:jc w:val="center"/>
        <w:rPr>
          <w:rFonts w:hint="eastAsia" w:ascii="宋体" w:hAnsi="宋体"/>
          <w:b/>
          <w:color w:val="auto"/>
          <w:sz w:val="72"/>
          <w:highlight w:val="none"/>
        </w:rPr>
      </w:pPr>
      <w:r>
        <w:rPr>
          <w:rFonts w:hint="eastAsia" w:ascii="宋体" w:hAnsi="宋体"/>
          <w:b/>
          <w:color w:val="auto"/>
          <w:sz w:val="72"/>
          <w:highlight w:val="none"/>
        </w:rPr>
        <w:t>采购文件</w:t>
      </w:r>
    </w:p>
    <w:p w14:paraId="76219AA6">
      <w:pPr>
        <w:jc w:val="center"/>
        <w:rPr>
          <w:rFonts w:hint="eastAsia" w:ascii="宋体" w:hAnsi="宋体"/>
          <w:color w:val="auto"/>
          <w:highlight w:val="none"/>
        </w:rPr>
      </w:pPr>
    </w:p>
    <w:p w14:paraId="3789E4B0">
      <w:pPr>
        <w:spacing w:line="360" w:lineRule="auto"/>
        <w:jc w:val="center"/>
        <w:rPr>
          <w:rFonts w:hint="eastAsia" w:ascii="宋体" w:hAnsi="宋体"/>
          <w:color w:val="auto"/>
          <w:sz w:val="36"/>
          <w:highlight w:val="none"/>
        </w:rPr>
      </w:pPr>
    </w:p>
    <w:p w14:paraId="2C5BC215">
      <w:pPr>
        <w:spacing w:line="360" w:lineRule="auto"/>
        <w:ind w:firstLine="1546" w:firstLineChars="500"/>
        <w:rPr>
          <w:rFonts w:hint="eastAsia" w:ascii="宋体" w:hAnsi="宋体" w:cs="宋体"/>
          <w:b/>
          <w:color w:val="auto"/>
          <w:spacing w:val="-6"/>
          <w:sz w:val="32"/>
          <w:highlight w:val="none"/>
        </w:rPr>
      </w:pPr>
      <w:r>
        <w:rPr>
          <w:rFonts w:hint="eastAsia" w:ascii="宋体" w:hAnsi="宋体" w:cs="宋体"/>
          <w:b/>
          <w:color w:val="auto"/>
          <w:spacing w:val="-6"/>
          <w:sz w:val="32"/>
          <w:highlight w:val="none"/>
        </w:rPr>
        <w:t>标    号：</w:t>
      </w:r>
      <w:r>
        <w:rPr>
          <w:rFonts w:hint="eastAsia" w:ascii="宋体" w:hAnsi="宋体" w:cs="宋体"/>
          <w:b/>
          <w:color w:val="auto"/>
          <w:spacing w:val="-6"/>
          <w:sz w:val="32"/>
          <w:highlight w:val="none"/>
          <w:lang w:eastAsia="zh-CN"/>
        </w:rPr>
        <w:t>JSZC-320507-XTPC-C2026-0019</w:t>
      </w:r>
      <w:r>
        <w:rPr>
          <w:rFonts w:hint="eastAsia" w:ascii="宋体" w:hAnsi="宋体" w:cs="宋体"/>
          <w:b/>
          <w:color w:val="auto"/>
          <w:spacing w:val="-6"/>
          <w:sz w:val="32"/>
          <w:highlight w:val="none"/>
        </w:rPr>
        <w:t xml:space="preserve"> </w:t>
      </w:r>
    </w:p>
    <w:p w14:paraId="521A7018">
      <w:pPr>
        <w:spacing w:line="360" w:lineRule="auto"/>
        <w:ind w:firstLine="1546" w:firstLineChars="500"/>
        <w:rPr>
          <w:rFonts w:hint="eastAsia" w:ascii="宋体" w:hAnsi="宋体" w:cs="宋体"/>
          <w:b/>
          <w:color w:val="auto"/>
          <w:spacing w:val="-6"/>
          <w:sz w:val="32"/>
          <w:highlight w:val="none"/>
        </w:rPr>
      </w:pPr>
      <w:r>
        <w:rPr>
          <w:rFonts w:hint="eastAsia" w:ascii="宋体" w:hAnsi="宋体" w:cs="宋体"/>
          <w:b/>
          <w:color w:val="auto"/>
          <w:spacing w:val="-6"/>
          <w:sz w:val="32"/>
          <w:highlight w:val="none"/>
        </w:rPr>
        <w:t>采 购 人：苏州市相城区数据局</w:t>
      </w:r>
    </w:p>
    <w:p w14:paraId="4A92BBDF">
      <w:pPr>
        <w:spacing w:line="360" w:lineRule="auto"/>
        <w:ind w:left="1596" w:leftChars="760"/>
        <w:rPr>
          <w:rFonts w:hint="eastAsia" w:ascii="宋体" w:hAnsi="宋体" w:cs="宋体"/>
          <w:b/>
          <w:color w:val="auto"/>
          <w:spacing w:val="-6"/>
          <w:sz w:val="32"/>
          <w:highlight w:val="none"/>
        </w:rPr>
      </w:pPr>
      <w:r>
        <w:rPr>
          <w:rFonts w:hint="eastAsia" w:ascii="宋体" w:hAnsi="宋体" w:cs="宋体"/>
          <w:b/>
          <w:color w:val="auto"/>
          <w:spacing w:val="-6"/>
          <w:sz w:val="32"/>
          <w:highlight w:val="none"/>
        </w:rPr>
        <w:t>采购内容：2026年政务服务大厅非执法类辅助性服务</w:t>
      </w:r>
    </w:p>
    <w:p w14:paraId="2C48AE0B">
      <w:pPr>
        <w:spacing w:line="360" w:lineRule="auto"/>
        <w:ind w:firstLine="1546" w:firstLineChars="500"/>
        <w:rPr>
          <w:rFonts w:hint="eastAsia" w:ascii="宋体" w:hAnsi="宋体" w:cs="宋体"/>
          <w:b/>
          <w:color w:val="auto"/>
          <w:spacing w:val="-6"/>
          <w:sz w:val="32"/>
          <w:highlight w:val="none"/>
        </w:rPr>
      </w:pPr>
      <w:r>
        <w:rPr>
          <w:rFonts w:hint="eastAsia" w:ascii="宋体" w:hAnsi="宋体" w:cs="宋体"/>
          <w:b/>
          <w:color w:val="auto"/>
          <w:spacing w:val="-6"/>
          <w:sz w:val="32"/>
          <w:highlight w:val="none"/>
        </w:rPr>
        <w:t>采购代理：苏州新天平工程咨询有限公司</w:t>
      </w:r>
    </w:p>
    <w:p w14:paraId="22B97165">
      <w:pPr>
        <w:spacing w:line="360" w:lineRule="auto"/>
        <w:ind w:firstLine="1546" w:firstLineChars="500"/>
        <w:rPr>
          <w:rFonts w:hint="eastAsia" w:ascii="宋体" w:hAnsi="宋体" w:cs="宋体"/>
          <w:b/>
          <w:color w:val="auto"/>
          <w:spacing w:val="-6"/>
          <w:sz w:val="32"/>
          <w:highlight w:val="none"/>
        </w:rPr>
      </w:pPr>
      <w:r>
        <w:rPr>
          <w:rFonts w:hint="eastAsia" w:ascii="宋体" w:hAnsi="宋体" w:cs="宋体"/>
          <w:b/>
          <w:color w:val="auto"/>
          <w:spacing w:val="-6"/>
          <w:sz w:val="32"/>
          <w:highlight w:val="none"/>
        </w:rPr>
        <w:t>采购类别：服务类</w:t>
      </w:r>
    </w:p>
    <w:p w14:paraId="59A99C4C">
      <w:pPr>
        <w:jc w:val="center"/>
        <w:rPr>
          <w:rFonts w:hint="eastAsia" w:ascii="宋体" w:hAnsi="宋体"/>
          <w:color w:val="auto"/>
          <w:szCs w:val="26"/>
          <w:highlight w:val="none"/>
        </w:rPr>
      </w:pPr>
    </w:p>
    <w:p w14:paraId="065D587E">
      <w:pPr>
        <w:jc w:val="center"/>
        <w:rPr>
          <w:rFonts w:hint="eastAsia" w:ascii="宋体" w:hAnsi="宋体"/>
          <w:color w:val="auto"/>
          <w:szCs w:val="26"/>
          <w:highlight w:val="none"/>
        </w:rPr>
      </w:pPr>
    </w:p>
    <w:p w14:paraId="42596810">
      <w:pPr>
        <w:pStyle w:val="264"/>
        <w:rPr>
          <w:rFonts w:hint="eastAsia" w:ascii="宋体" w:hAnsi="宋体"/>
          <w:b/>
          <w:color w:val="auto"/>
          <w:szCs w:val="26"/>
          <w:highlight w:val="none"/>
        </w:rPr>
      </w:pPr>
    </w:p>
    <w:p w14:paraId="7AA38AF5">
      <w:pPr>
        <w:pStyle w:val="264"/>
        <w:rPr>
          <w:rFonts w:hint="eastAsia" w:ascii="宋体" w:hAnsi="宋体"/>
          <w:b/>
          <w:color w:val="auto"/>
          <w:szCs w:val="26"/>
          <w:highlight w:val="none"/>
        </w:rPr>
      </w:pPr>
    </w:p>
    <w:p w14:paraId="5FC9812C">
      <w:pPr>
        <w:pStyle w:val="264"/>
        <w:rPr>
          <w:rFonts w:hint="eastAsia" w:ascii="宋体" w:hAnsi="宋体"/>
          <w:b/>
          <w:color w:val="auto"/>
          <w:szCs w:val="26"/>
          <w:highlight w:val="none"/>
        </w:rPr>
      </w:pPr>
    </w:p>
    <w:p w14:paraId="7539F3D7">
      <w:pPr>
        <w:pStyle w:val="206"/>
        <w:rPr>
          <w:rFonts w:hint="eastAsia"/>
          <w:color w:val="auto"/>
          <w:highlight w:val="none"/>
        </w:rPr>
      </w:pPr>
    </w:p>
    <w:p w14:paraId="30B3C154">
      <w:pPr>
        <w:pStyle w:val="206"/>
        <w:rPr>
          <w:rFonts w:hint="eastAsia"/>
          <w:color w:val="auto"/>
          <w:highlight w:val="none"/>
        </w:rPr>
      </w:pPr>
    </w:p>
    <w:p w14:paraId="74DCC3ED">
      <w:pPr>
        <w:spacing w:line="360" w:lineRule="auto"/>
        <w:jc w:val="center"/>
        <w:rPr>
          <w:rFonts w:hint="eastAsia" w:ascii="宋体" w:hAnsi="宋体"/>
          <w:b/>
          <w:color w:val="auto"/>
          <w:sz w:val="32"/>
          <w:highlight w:val="none"/>
        </w:rPr>
      </w:pPr>
      <w:r>
        <w:rPr>
          <w:rFonts w:hint="eastAsia" w:ascii="宋体" w:hAnsi="宋体"/>
          <w:b/>
          <w:color w:val="auto"/>
          <w:sz w:val="32"/>
          <w:highlight w:val="none"/>
        </w:rPr>
        <w:t>苏州新天平工程咨询有限公司</w:t>
      </w:r>
    </w:p>
    <w:p w14:paraId="0B070C0B">
      <w:pPr>
        <w:spacing w:line="360" w:lineRule="auto"/>
        <w:jc w:val="center"/>
        <w:rPr>
          <w:rFonts w:hint="eastAsia" w:ascii="宋体" w:hAnsi="宋体" w:cs="宋体"/>
          <w:b/>
          <w:color w:val="auto"/>
          <w:sz w:val="36"/>
          <w:highlight w:val="none"/>
        </w:rPr>
        <w:sectPr>
          <w:headerReference r:id="rId3" w:type="default"/>
          <w:footerReference r:id="rId4" w:type="default"/>
          <w:pgSz w:w="11906" w:h="16838"/>
          <w:pgMar w:top="1134" w:right="1134" w:bottom="1134" w:left="1134" w:header="680" w:footer="680" w:gutter="0"/>
          <w:cols w:space="720" w:num="1"/>
          <w:docGrid w:linePitch="360" w:charSpace="0"/>
        </w:sectPr>
      </w:pPr>
      <w:r>
        <w:rPr>
          <w:rFonts w:hint="eastAsia" w:ascii="宋体" w:hAnsi="宋体"/>
          <w:b/>
          <w:color w:val="auto"/>
          <w:sz w:val="32"/>
          <w:highlight w:val="none"/>
        </w:rPr>
        <w:t>二○二六年</w:t>
      </w:r>
      <w:r>
        <w:rPr>
          <w:rFonts w:hint="eastAsia" w:ascii="宋体" w:hAnsi="宋体"/>
          <w:b/>
          <w:color w:val="auto"/>
          <w:sz w:val="32"/>
          <w:highlight w:val="none"/>
          <w:lang w:val="en-US" w:eastAsia="zh-CN"/>
        </w:rPr>
        <w:t>九</w:t>
      </w:r>
      <w:r>
        <w:rPr>
          <w:rFonts w:hint="eastAsia" w:ascii="宋体" w:hAnsi="宋体"/>
          <w:b/>
          <w:color w:val="auto"/>
          <w:sz w:val="32"/>
          <w:highlight w:val="none"/>
        </w:rPr>
        <w:t>月</w:t>
      </w:r>
    </w:p>
    <w:p w14:paraId="1AE7B02D">
      <w:pPr>
        <w:spacing w:line="360" w:lineRule="auto"/>
        <w:jc w:val="center"/>
        <w:rPr>
          <w:rFonts w:hint="eastAsia" w:ascii="宋体" w:hAnsi="宋体" w:cs="宋体"/>
          <w:b/>
          <w:color w:val="auto"/>
          <w:sz w:val="36"/>
          <w:highlight w:val="none"/>
        </w:rPr>
      </w:pPr>
      <w:r>
        <w:rPr>
          <w:rFonts w:hint="eastAsia" w:ascii="宋体" w:hAnsi="宋体" w:cs="宋体"/>
          <w:b/>
          <w:color w:val="auto"/>
          <w:sz w:val="36"/>
          <w:highlight w:val="none"/>
        </w:rPr>
        <w:t>前附表</w:t>
      </w:r>
    </w:p>
    <w:tbl>
      <w:tblPr>
        <w:tblStyle w:val="47"/>
        <w:tblW w:w="9760" w:type="dxa"/>
        <w:tblInd w:w="108" w:type="dxa"/>
        <w:tblLayout w:type="fixed"/>
        <w:tblCellMar>
          <w:top w:w="0" w:type="dxa"/>
          <w:left w:w="0" w:type="dxa"/>
          <w:bottom w:w="0" w:type="dxa"/>
          <w:right w:w="0" w:type="dxa"/>
        </w:tblCellMar>
      </w:tblPr>
      <w:tblGrid>
        <w:gridCol w:w="675"/>
        <w:gridCol w:w="1764"/>
        <w:gridCol w:w="7321"/>
      </w:tblGrid>
      <w:tr w14:paraId="2A3B84AC">
        <w:tblPrEx>
          <w:tblCellMar>
            <w:top w:w="0" w:type="dxa"/>
            <w:left w:w="0" w:type="dxa"/>
            <w:bottom w:w="0" w:type="dxa"/>
            <w:right w:w="0" w:type="dxa"/>
          </w:tblCellMar>
        </w:tblPrEx>
        <w:trPr>
          <w:trHeight w:val="1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2E738C">
            <w:pPr>
              <w:spacing w:line="312"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B2A4BE">
            <w:pPr>
              <w:spacing w:line="312" w:lineRule="auto"/>
              <w:jc w:val="center"/>
              <w:rPr>
                <w:rFonts w:hint="eastAsia" w:ascii="宋体" w:hAnsi="宋体"/>
                <w:color w:val="auto"/>
                <w:szCs w:val="21"/>
                <w:highlight w:val="none"/>
              </w:rPr>
            </w:pPr>
            <w:r>
              <w:rPr>
                <w:rFonts w:hint="eastAsia" w:ascii="宋体" w:hAnsi="宋体"/>
                <w:color w:val="auto"/>
                <w:szCs w:val="21"/>
                <w:highlight w:val="none"/>
              </w:rPr>
              <w:t>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92C859">
            <w:pPr>
              <w:spacing w:line="312" w:lineRule="auto"/>
              <w:jc w:val="center"/>
              <w:rPr>
                <w:rFonts w:hint="eastAsia" w:ascii="宋体" w:hAnsi="宋体"/>
                <w:color w:val="auto"/>
                <w:szCs w:val="21"/>
                <w:highlight w:val="none"/>
              </w:rPr>
            </w:pPr>
            <w:r>
              <w:rPr>
                <w:rFonts w:hint="eastAsia" w:ascii="宋体" w:hAnsi="宋体"/>
                <w:color w:val="auto"/>
                <w:szCs w:val="21"/>
                <w:highlight w:val="none"/>
              </w:rPr>
              <w:t>内               容</w:t>
            </w:r>
          </w:p>
        </w:tc>
      </w:tr>
      <w:tr w14:paraId="0AC468B3">
        <w:tblPrEx>
          <w:tblCellMar>
            <w:top w:w="0" w:type="dxa"/>
            <w:left w:w="0" w:type="dxa"/>
            <w:bottom w:w="0" w:type="dxa"/>
            <w:right w:w="0" w:type="dxa"/>
          </w:tblCellMar>
        </w:tblPrEx>
        <w:trPr>
          <w:trHeight w:val="42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A4B819">
            <w:pPr>
              <w:spacing w:line="312"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C0BA14">
            <w:pPr>
              <w:spacing w:line="312" w:lineRule="auto"/>
              <w:jc w:val="center"/>
              <w:rPr>
                <w:rFonts w:hint="eastAsia" w:ascii="宋体" w:hAnsi="宋体"/>
                <w:color w:val="auto"/>
                <w:szCs w:val="21"/>
                <w:highlight w:val="none"/>
              </w:rPr>
            </w:pPr>
            <w:r>
              <w:rPr>
                <w:rFonts w:hint="eastAsia" w:ascii="宋体" w:hAnsi="宋体"/>
                <w:color w:val="auto"/>
                <w:szCs w:val="21"/>
                <w:highlight w:val="none"/>
              </w:rPr>
              <w:t>项目编号</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3C5618">
            <w:pPr>
              <w:spacing w:line="312"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JSZC-320507-XTPC-C2026-0019</w:t>
            </w:r>
          </w:p>
        </w:tc>
      </w:tr>
      <w:tr w14:paraId="5748CCE6">
        <w:tblPrEx>
          <w:tblCellMar>
            <w:top w:w="0" w:type="dxa"/>
            <w:left w:w="0" w:type="dxa"/>
            <w:bottom w:w="0" w:type="dxa"/>
            <w:right w:w="0" w:type="dxa"/>
          </w:tblCellMar>
        </w:tblPrEx>
        <w:trPr>
          <w:trHeight w:val="39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DF0D74">
            <w:pPr>
              <w:spacing w:line="312"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434A27">
            <w:pPr>
              <w:spacing w:line="312" w:lineRule="auto"/>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B05A0F">
            <w:pPr>
              <w:spacing w:line="312" w:lineRule="auto"/>
              <w:rPr>
                <w:rFonts w:hint="eastAsia" w:ascii="宋体" w:hAnsi="宋体"/>
                <w:color w:val="auto"/>
                <w:szCs w:val="21"/>
                <w:highlight w:val="none"/>
              </w:rPr>
            </w:pPr>
            <w:r>
              <w:rPr>
                <w:rFonts w:hint="eastAsia" w:ascii="宋体" w:hAnsi="宋体"/>
                <w:color w:val="auto"/>
                <w:szCs w:val="21"/>
                <w:highlight w:val="none"/>
              </w:rPr>
              <w:t>2026年政务服务大厅非执法类辅助性服务</w:t>
            </w:r>
          </w:p>
        </w:tc>
      </w:tr>
      <w:tr w14:paraId="34882C76">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36E17D">
            <w:pPr>
              <w:tabs>
                <w:tab w:val="left" w:pos="252"/>
              </w:tabs>
              <w:spacing w:line="312"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EEB33D">
            <w:pPr>
              <w:spacing w:line="312" w:lineRule="auto"/>
              <w:jc w:val="center"/>
              <w:rPr>
                <w:rFonts w:hint="eastAsia" w:ascii="宋体" w:hAnsi="宋体"/>
                <w:color w:val="auto"/>
                <w:szCs w:val="21"/>
                <w:highlight w:val="none"/>
              </w:rPr>
            </w:pPr>
            <w:r>
              <w:rPr>
                <w:rFonts w:hint="eastAsia" w:ascii="宋体" w:hAnsi="宋体"/>
                <w:color w:val="auto"/>
                <w:szCs w:val="21"/>
                <w:highlight w:val="none"/>
              </w:rPr>
              <w:t>采购代理机构</w:t>
            </w:r>
          </w:p>
          <w:p w14:paraId="06CB2C29">
            <w:pPr>
              <w:spacing w:line="312" w:lineRule="auto"/>
              <w:jc w:val="center"/>
              <w:rPr>
                <w:rFonts w:hint="eastAsia" w:ascii="宋体" w:hAnsi="宋体"/>
                <w:color w:val="auto"/>
                <w:szCs w:val="21"/>
                <w:highlight w:val="none"/>
              </w:rPr>
            </w:pPr>
            <w:r>
              <w:rPr>
                <w:rFonts w:hint="eastAsia" w:ascii="宋体" w:hAnsi="宋体"/>
                <w:color w:val="auto"/>
                <w:szCs w:val="21"/>
                <w:highlight w:val="none"/>
              </w:rPr>
              <w:t>名称及地址</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5864B6">
            <w:pPr>
              <w:spacing w:line="312" w:lineRule="auto"/>
              <w:jc w:val="left"/>
              <w:rPr>
                <w:rFonts w:hint="eastAsia" w:ascii="宋体" w:hAnsi="宋体"/>
                <w:color w:val="auto"/>
                <w:szCs w:val="21"/>
                <w:highlight w:val="none"/>
              </w:rPr>
            </w:pPr>
            <w:r>
              <w:rPr>
                <w:rFonts w:hint="eastAsia" w:ascii="宋体" w:hAnsi="宋体"/>
                <w:color w:val="auto"/>
                <w:szCs w:val="21"/>
                <w:highlight w:val="none"/>
              </w:rPr>
              <w:t>名称：苏州新天平工程咨询有限公司</w:t>
            </w:r>
          </w:p>
          <w:p w14:paraId="3977D628">
            <w:pPr>
              <w:spacing w:line="312" w:lineRule="auto"/>
              <w:jc w:val="left"/>
              <w:rPr>
                <w:rFonts w:hint="eastAsia" w:ascii="宋体" w:hAnsi="宋体"/>
                <w:color w:val="auto"/>
                <w:szCs w:val="21"/>
                <w:highlight w:val="none"/>
              </w:rPr>
            </w:pPr>
            <w:r>
              <w:rPr>
                <w:rFonts w:hint="eastAsia" w:ascii="宋体" w:hAnsi="宋体"/>
                <w:color w:val="auto"/>
                <w:szCs w:val="21"/>
                <w:highlight w:val="none"/>
              </w:rPr>
              <w:t>地址：苏州市相城区高铁新城苏州北站综合服务楼4楼东侧</w:t>
            </w:r>
          </w:p>
          <w:p w14:paraId="76C9CAAA">
            <w:pPr>
              <w:spacing w:line="312" w:lineRule="auto"/>
              <w:jc w:val="left"/>
              <w:rPr>
                <w:rFonts w:hint="eastAsia" w:ascii="宋体" w:hAnsi="宋体"/>
                <w:color w:val="auto"/>
                <w:szCs w:val="21"/>
                <w:highlight w:val="none"/>
              </w:rPr>
            </w:pPr>
            <w:r>
              <w:rPr>
                <w:rFonts w:hint="eastAsia" w:ascii="宋体" w:hAnsi="宋体"/>
                <w:color w:val="auto"/>
                <w:szCs w:val="21"/>
                <w:highlight w:val="none"/>
              </w:rPr>
              <w:t>联系人:</w:t>
            </w:r>
            <w:r>
              <w:rPr>
                <w:rFonts w:hint="eastAsia" w:ascii="宋体" w:hAnsi="宋体" w:cs="宋体"/>
                <w:color w:val="auto"/>
                <w:szCs w:val="21"/>
                <w:highlight w:val="none"/>
              </w:rPr>
              <w:t>惠天睿</w:t>
            </w:r>
          </w:p>
          <w:p w14:paraId="45504821">
            <w:pPr>
              <w:pStyle w:val="46"/>
              <w:ind w:left="0" w:firstLine="0"/>
              <w:rPr>
                <w:color w:val="auto"/>
                <w:highlight w:val="none"/>
              </w:rPr>
            </w:pPr>
            <w:r>
              <w:rPr>
                <w:rFonts w:hint="eastAsia" w:ascii="宋体" w:hAnsi="宋体"/>
                <w:color w:val="auto"/>
                <w:szCs w:val="21"/>
                <w:highlight w:val="none"/>
              </w:rPr>
              <w:t>联系电话：0512-65239192</w:t>
            </w:r>
          </w:p>
        </w:tc>
      </w:tr>
      <w:tr w14:paraId="1D58309B">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02628F01">
            <w:pPr>
              <w:spacing w:line="312"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38A942">
            <w:pPr>
              <w:spacing w:line="312" w:lineRule="auto"/>
              <w:jc w:val="center"/>
              <w:rPr>
                <w:rFonts w:hint="eastAsia" w:ascii="宋体" w:hAnsi="宋体"/>
                <w:color w:val="auto"/>
                <w:szCs w:val="21"/>
                <w:highlight w:val="none"/>
              </w:rPr>
            </w:pPr>
            <w:r>
              <w:rPr>
                <w:rFonts w:hint="eastAsia" w:ascii="宋体" w:hAnsi="宋体"/>
                <w:color w:val="auto"/>
                <w:szCs w:val="21"/>
                <w:highlight w:val="none"/>
              </w:rPr>
              <w:t>采购单位</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1FCC59">
            <w:pPr>
              <w:spacing w:line="312" w:lineRule="auto"/>
              <w:jc w:val="left"/>
              <w:rPr>
                <w:rFonts w:hint="eastAsia" w:ascii="宋体" w:hAnsi="宋体"/>
                <w:color w:val="auto"/>
                <w:szCs w:val="21"/>
                <w:highlight w:val="none"/>
              </w:rPr>
            </w:pPr>
            <w:r>
              <w:rPr>
                <w:rFonts w:hint="eastAsia" w:ascii="宋体" w:hAnsi="宋体"/>
                <w:color w:val="auto"/>
                <w:szCs w:val="21"/>
                <w:highlight w:val="none"/>
              </w:rPr>
              <w:t>名称：苏州市相城区数据局</w:t>
            </w:r>
          </w:p>
          <w:p w14:paraId="7BFEB911">
            <w:pPr>
              <w:spacing w:line="312" w:lineRule="auto"/>
              <w:jc w:val="left"/>
              <w:rPr>
                <w:rFonts w:hint="eastAsia" w:ascii="宋体" w:hAnsi="宋体"/>
                <w:color w:val="auto"/>
                <w:szCs w:val="21"/>
                <w:highlight w:val="none"/>
              </w:rPr>
            </w:pPr>
            <w:r>
              <w:rPr>
                <w:rFonts w:hint="eastAsia" w:ascii="宋体" w:hAnsi="宋体"/>
                <w:color w:val="auto"/>
                <w:szCs w:val="21"/>
                <w:highlight w:val="none"/>
              </w:rPr>
              <w:t>地址：苏州市相城区庆元路168号</w:t>
            </w:r>
          </w:p>
          <w:p w14:paraId="347182D7">
            <w:pPr>
              <w:spacing w:line="312" w:lineRule="auto"/>
              <w:jc w:val="left"/>
              <w:rPr>
                <w:rFonts w:hint="eastAsia" w:ascii="宋体" w:hAnsi="宋体"/>
                <w:color w:val="auto"/>
                <w:szCs w:val="21"/>
                <w:highlight w:val="none"/>
              </w:rPr>
            </w:pPr>
            <w:r>
              <w:rPr>
                <w:rFonts w:hint="eastAsia" w:ascii="宋体" w:hAnsi="宋体"/>
                <w:color w:val="auto"/>
                <w:szCs w:val="21"/>
                <w:highlight w:val="none"/>
              </w:rPr>
              <w:t>联 系 人：周夕雯</w:t>
            </w:r>
          </w:p>
          <w:p w14:paraId="4A50A0CE">
            <w:pPr>
              <w:spacing w:line="312" w:lineRule="auto"/>
              <w:jc w:val="left"/>
              <w:rPr>
                <w:rFonts w:hint="eastAsia" w:ascii="宋体" w:hAnsi="宋体"/>
                <w:color w:val="auto"/>
                <w:szCs w:val="21"/>
                <w:highlight w:val="none"/>
              </w:rPr>
            </w:pPr>
            <w:r>
              <w:rPr>
                <w:rFonts w:hint="eastAsia" w:ascii="宋体" w:hAnsi="宋体"/>
                <w:color w:val="auto"/>
                <w:szCs w:val="21"/>
                <w:highlight w:val="none"/>
              </w:rPr>
              <w:t>联系电话：0512-67597889</w:t>
            </w:r>
          </w:p>
        </w:tc>
      </w:tr>
      <w:tr w14:paraId="0B38E781">
        <w:tblPrEx>
          <w:tblCellMar>
            <w:top w:w="0" w:type="dxa"/>
            <w:left w:w="0" w:type="dxa"/>
            <w:bottom w:w="0" w:type="dxa"/>
            <w:right w:w="0" w:type="dxa"/>
          </w:tblCellMar>
        </w:tblPrEx>
        <w:trPr>
          <w:trHeight w:val="478"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49AA37">
            <w:pPr>
              <w:spacing w:line="312"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27EDAD">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响应文件组成</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46055B">
            <w:pPr>
              <w:spacing w:line="312" w:lineRule="auto"/>
              <w:jc w:val="left"/>
              <w:rPr>
                <w:rFonts w:hint="eastAsia" w:ascii="宋体" w:hAnsi="宋体" w:cs="宋体"/>
                <w:color w:val="auto"/>
                <w:szCs w:val="21"/>
                <w:highlight w:val="none"/>
              </w:rPr>
            </w:pPr>
            <w:r>
              <w:rPr>
                <w:rFonts w:hint="eastAsia" w:ascii="宋体" w:hAnsi="宋体" w:cs="宋体"/>
                <w:color w:val="auto"/>
                <w:szCs w:val="21"/>
                <w:highlight w:val="none"/>
              </w:rPr>
              <w:t>详见采购文件第二章</w:t>
            </w:r>
          </w:p>
        </w:tc>
      </w:tr>
      <w:tr w14:paraId="6818BD5C">
        <w:tblPrEx>
          <w:tblCellMar>
            <w:top w:w="0" w:type="dxa"/>
            <w:left w:w="0" w:type="dxa"/>
            <w:bottom w:w="0" w:type="dxa"/>
            <w:right w:w="0" w:type="dxa"/>
          </w:tblCellMar>
        </w:tblPrEx>
        <w:trPr>
          <w:trHeight w:val="38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BBAE46">
            <w:pPr>
              <w:spacing w:line="312"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DFED91">
            <w:pPr>
              <w:spacing w:line="312" w:lineRule="auto"/>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67DED6">
            <w:pPr>
              <w:spacing w:line="312" w:lineRule="auto"/>
              <w:jc w:val="left"/>
              <w:rPr>
                <w:rFonts w:hint="eastAsia" w:ascii="宋体" w:hAnsi="宋体" w:cs="宋体"/>
                <w:color w:val="auto"/>
                <w:szCs w:val="21"/>
                <w:highlight w:val="none"/>
              </w:rPr>
            </w:pPr>
            <w:r>
              <w:rPr>
                <w:rFonts w:hint="eastAsia" w:ascii="宋体" w:hAnsi="宋体" w:cs="宋体"/>
                <w:color w:val="auto"/>
                <w:szCs w:val="21"/>
                <w:highlight w:val="none"/>
              </w:rPr>
              <w:t>本项目不收取磋商保证金</w:t>
            </w:r>
          </w:p>
        </w:tc>
      </w:tr>
      <w:tr w14:paraId="2C6B9EE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3EBA49">
            <w:pPr>
              <w:spacing w:line="312"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55BED2">
            <w:pPr>
              <w:spacing w:line="312" w:lineRule="auto"/>
              <w:jc w:val="center"/>
              <w:rPr>
                <w:rFonts w:hint="eastAsia" w:ascii="宋体" w:hAnsi="宋体"/>
                <w:color w:val="auto"/>
                <w:szCs w:val="21"/>
                <w:highlight w:val="none"/>
              </w:rPr>
            </w:pPr>
            <w:r>
              <w:rPr>
                <w:rFonts w:hint="eastAsia" w:ascii="宋体" w:hAnsi="宋体"/>
                <w:color w:val="auto"/>
                <w:szCs w:val="21"/>
                <w:highlight w:val="none"/>
              </w:rPr>
              <w:t>响应文件有效期</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8ECCA2">
            <w:pPr>
              <w:spacing w:line="312" w:lineRule="auto"/>
              <w:jc w:val="left"/>
              <w:rPr>
                <w:rFonts w:hint="eastAsia" w:ascii="宋体" w:hAnsi="宋体"/>
                <w:color w:val="auto"/>
                <w:szCs w:val="21"/>
                <w:highlight w:val="none"/>
              </w:rPr>
            </w:pPr>
            <w:r>
              <w:rPr>
                <w:rFonts w:hint="eastAsia" w:ascii="宋体" w:hAnsi="宋体"/>
                <w:color w:val="auto"/>
                <w:szCs w:val="21"/>
                <w:highlight w:val="none"/>
              </w:rPr>
              <w:t>响应文件提交截止之日起45天（日历日）</w:t>
            </w:r>
          </w:p>
        </w:tc>
      </w:tr>
      <w:tr w14:paraId="393DF280">
        <w:tblPrEx>
          <w:tblCellMar>
            <w:top w:w="0" w:type="dxa"/>
            <w:left w:w="0" w:type="dxa"/>
            <w:bottom w:w="0" w:type="dxa"/>
            <w:right w:w="0" w:type="dxa"/>
          </w:tblCellMar>
        </w:tblPrEx>
        <w:trPr>
          <w:trHeight w:val="15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B5ED0C">
            <w:pPr>
              <w:spacing w:line="312"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B8CF0B">
            <w:pPr>
              <w:spacing w:line="312" w:lineRule="auto"/>
              <w:jc w:val="center"/>
              <w:rPr>
                <w:rFonts w:hint="eastAsia" w:ascii="宋体" w:hAnsi="宋体"/>
                <w:color w:val="auto"/>
                <w:szCs w:val="21"/>
                <w:highlight w:val="none"/>
              </w:rPr>
            </w:pPr>
            <w:r>
              <w:rPr>
                <w:rFonts w:hint="eastAsia" w:ascii="宋体" w:hAnsi="宋体"/>
                <w:color w:val="auto"/>
                <w:szCs w:val="21"/>
                <w:highlight w:val="none"/>
              </w:rPr>
              <w:t>获取采购文件</w:t>
            </w:r>
          </w:p>
          <w:p w14:paraId="68E6970C">
            <w:pPr>
              <w:spacing w:line="312" w:lineRule="auto"/>
              <w:jc w:val="center"/>
              <w:rPr>
                <w:rFonts w:hint="eastAsia" w:ascii="宋体" w:hAnsi="宋体"/>
                <w:color w:val="auto"/>
                <w:szCs w:val="21"/>
                <w:highlight w:val="none"/>
              </w:rPr>
            </w:pPr>
            <w:r>
              <w:rPr>
                <w:rFonts w:hint="eastAsia" w:ascii="宋体" w:hAnsi="宋体"/>
                <w:color w:val="auto"/>
                <w:szCs w:val="21"/>
                <w:highlight w:val="none"/>
              </w:rPr>
              <w:t>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AD5D6D">
            <w:pPr>
              <w:spacing w:line="312" w:lineRule="auto"/>
              <w:jc w:val="left"/>
              <w:rPr>
                <w:rFonts w:hint="eastAsia" w:ascii="仿宋" w:hAnsi="仿宋" w:eastAsia="仿宋" w:cs="仿宋"/>
                <w:color w:val="auto"/>
                <w:szCs w:val="21"/>
                <w:highlight w:val="none"/>
              </w:rPr>
            </w:pPr>
            <w:r>
              <w:rPr>
                <w:rFonts w:hint="eastAsia" w:ascii="宋体" w:hAnsi="宋体"/>
                <w:color w:val="auto"/>
                <w:szCs w:val="21"/>
                <w:highlight w:val="none"/>
              </w:rPr>
              <w:t>自公告发布之日起5个工作日</w:t>
            </w:r>
          </w:p>
        </w:tc>
      </w:tr>
      <w:tr w14:paraId="32842407">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5E9A90">
            <w:pPr>
              <w:spacing w:line="312" w:lineRule="auto"/>
              <w:jc w:val="center"/>
              <w:rPr>
                <w:rFonts w:hint="eastAsia" w:ascii="宋体" w:hAnsi="宋体"/>
                <w:color w:val="auto"/>
                <w:szCs w:val="21"/>
                <w:highlight w:val="none"/>
              </w:rPr>
            </w:pPr>
            <w:r>
              <w:rPr>
                <w:rFonts w:ascii="宋体" w:hAnsi="宋体"/>
                <w:color w:val="auto"/>
                <w:szCs w:val="21"/>
                <w:highlight w:val="none"/>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1294CF">
            <w:pPr>
              <w:spacing w:line="312" w:lineRule="auto"/>
              <w:jc w:val="center"/>
              <w:rPr>
                <w:rFonts w:hint="eastAsia" w:ascii="宋体" w:hAnsi="宋体"/>
                <w:color w:val="auto"/>
                <w:szCs w:val="21"/>
                <w:highlight w:val="none"/>
              </w:rPr>
            </w:pPr>
            <w:r>
              <w:rPr>
                <w:rFonts w:hint="eastAsia" w:ascii="宋体" w:hAnsi="宋体"/>
                <w:color w:val="auto"/>
                <w:szCs w:val="21"/>
                <w:highlight w:val="none"/>
              </w:rPr>
              <w:t>响应文件网上</w:t>
            </w:r>
          </w:p>
          <w:p w14:paraId="4A23596C">
            <w:pPr>
              <w:spacing w:line="312" w:lineRule="auto"/>
              <w:jc w:val="center"/>
              <w:rPr>
                <w:rFonts w:hint="eastAsia" w:ascii="宋体" w:hAnsi="宋体"/>
                <w:color w:val="auto"/>
                <w:szCs w:val="21"/>
                <w:highlight w:val="none"/>
              </w:rPr>
            </w:pPr>
            <w:r>
              <w:rPr>
                <w:rFonts w:hint="eastAsia" w:ascii="宋体" w:hAnsi="宋体"/>
                <w:color w:val="auto"/>
                <w:szCs w:val="21"/>
                <w:highlight w:val="none"/>
              </w:rPr>
              <w:t>提交截止时间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53FD8F">
            <w:pPr>
              <w:spacing w:line="312" w:lineRule="auto"/>
              <w:jc w:val="left"/>
              <w:rPr>
                <w:rFonts w:hint="eastAsia" w:ascii="宋体" w:hAnsi="宋体"/>
                <w:color w:val="auto"/>
                <w:szCs w:val="21"/>
                <w:highlight w:val="none"/>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日09点</w:t>
            </w:r>
            <w:r>
              <w:rPr>
                <w:rFonts w:ascii="宋体" w:hAnsi="宋体" w:cs="宋体"/>
                <w:color w:val="auto"/>
                <w:szCs w:val="21"/>
                <w:highlight w:val="none"/>
              </w:rPr>
              <w:t>30</w:t>
            </w:r>
            <w:r>
              <w:rPr>
                <w:rFonts w:hint="eastAsia" w:ascii="宋体" w:hAnsi="宋体" w:cs="宋体"/>
                <w:color w:val="auto"/>
                <w:szCs w:val="21"/>
                <w:highlight w:val="none"/>
              </w:rPr>
              <w:t>分</w:t>
            </w:r>
            <w:r>
              <w:rPr>
                <w:rFonts w:hint="eastAsia" w:ascii="宋体" w:hAnsi="宋体"/>
                <w:color w:val="auto"/>
                <w:szCs w:val="21"/>
                <w:highlight w:val="none"/>
              </w:rPr>
              <w:t>（北京时间）</w:t>
            </w:r>
          </w:p>
          <w:p w14:paraId="2482ED32">
            <w:pPr>
              <w:spacing w:line="312" w:lineRule="auto"/>
              <w:jc w:val="left"/>
              <w:rPr>
                <w:rFonts w:hint="eastAsia" w:ascii="宋体" w:hAnsi="宋体"/>
                <w:color w:val="auto"/>
                <w:szCs w:val="21"/>
                <w:highlight w:val="none"/>
              </w:rPr>
            </w:pPr>
            <w:r>
              <w:rPr>
                <w:rFonts w:hint="eastAsia" w:ascii="宋体" w:hAnsi="宋体"/>
                <w:color w:val="auto"/>
                <w:szCs w:val="21"/>
                <w:highlight w:val="none"/>
              </w:rPr>
              <w:t>响应文件必须在截止时间前完成提交（上传），逾期提交（上传）的响应文件恕不接受。</w:t>
            </w:r>
          </w:p>
        </w:tc>
      </w:tr>
      <w:tr w14:paraId="156FCB0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773FD0">
            <w:pPr>
              <w:spacing w:line="312" w:lineRule="auto"/>
              <w:jc w:val="center"/>
              <w:rPr>
                <w:rFonts w:hint="eastAsia" w:ascii="宋体" w:hAnsi="宋体"/>
                <w:color w:val="auto"/>
                <w:szCs w:val="21"/>
                <w:highlight w:val="none"/>
              </w:rPr>
            </w:pPr>
            <w:r>
              <w:rPr>
                <w:rFonts w:hint="eastAsia" w:ascii="宋体" w:hAnsi="宋体"/>
                <w:color w:val="auto"/>
                <w:szCs w:val="21"/>
                <w:highlight w:val="none"/>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1BC1BA">
            <w:pPr>
              <w:spacing w:line="312" w:lineRule="auto"/>
              <w:jc w:val="center"/>
              <w:rPr>
                <w:rFonts w:hint="eastAsia" w:ascii="宋体" w:hAnsi="宋体"/>
                <w:color w:val="auto"/>
                <w:szCs w:val="21"/>
                <w:highlight w:val="none"/>
              </w:rPr>
            </w:pPr>
            <w:r>
              <w:rPr>
                <w:rFonts w:hint="eastAsia" w:ascii="宋体" w:hAnsi="宋体"/>
                <w:color w:val="auto"/>
                <w:szCs w:val="21"/>
                <w:highlight w:val="none"/>
              </w:rPr>
              <w:t>开启时间</w:t>
            </w:r>
          </w:p>
          <w:p w14:paraId="4C6DA303">
            <w:pPr>
              <w:spacing w:line="312" w:lineRule="auto"/>
              <w:jc w:val="center"/>
              <w:rPr>
                <w:rFonts w:hint="eastAsia" w:ascii="宋体" w:hAnsi="宋体"/>
                <w:color w:val="auto"/>
                <w:szCs w:val="21"/>
                <w:highlight w:val="none"/>
              </w:rPr>
            </w:pPr>
            <w:r>
              <w:rPr>
                <w:rFonts w:hint="eastAsia" w:ascii="宋体" w:hAnsi="宋体"/>
                <w:color w:val="auto"/>
                <w:szCs w:val="21"/>
                <w:highlight w:val="none"/>
              </w:rPr>
              <w:t>开启地点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5A7EEF">
            <w:pPr>
              <w:spacing w:line="312" w:lineRule="auto"/>
              <w:jc w:val="left"/>
              <w:rPr>
                <w:rFonts w:hint="eastAsia" w:ascii="宋体" w:hAnsi="宋体"/>
                <w:color w:val="auto"/>
                <w:szCs w:val="21"/>
                <w:highlight w:val="none"/>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日09点</w:t>
            </w:r>
            <w:r>
              <w:rPr>
                <w:rFonts w:ascii="宋体" w:hAnsi="宋体" w:cs="宋体"/>
                <w:color w:val="auto"/>
                <w:szCs w:val="21"/>
                <w:highlight w:val="none"/>
              </w:rPr>
              <w:t>30</w:t>
            </w:r>
            <w:r>
              <w:rPr>
                <w:rFonts w:hint="eastAsia" w:ascii="宋体" w:hAnsi="宋体" w:cs="宋体"/>
                <w:color w:val="auto"/>
                <w:szCs w:val="21"/>
                <w:highlight w:val="none"/>
              </w:rPr>
              <w:t>分</w:t>
            </w:r>
            <w:r>
              <w:rPr>
                <w:rFonts w:hint="eastAsia" w:ascii="宋体" w:hAnsi="宋体"/>
                <w:color w:val="auto"/>
                <w:szCs w:val="21"/>
                <w:highlight w:val="none"/>
              </w:rPr>
              <w:t>（北京时间）</w:t>
            </w:r>
          </w:p>
          <w:p w14:paraId="6F8C88D7">
            <w:pPr>
              <w:spacing w:line="312" w:lineRule="auto"/>
              <w:jc w:val="left"/>
              <w:rPr>
                <w:rFonts w:hint="eastAsia" w:ascii="宋体" w:hAnsi="宋体"/>
                <w:color w:val="auto"/>
                <w:szCs w:val="21"/>
                <w:highlight w:val="none"/>
              </w:rPr>
            </w:pPr>
            <w:r>
              <w:rPr>
                <w:rFonts w:hint="eastAsia" w:ascii="宋体" w:hAnsi="宋体"/>
                <w:color w:val="auto"/>
                <w:szCs w:val="21"/>
                <w:highlight w:val="none"/>
              </w:rPr>
              <w:t>“苏采云”系统（网址：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olor w:val="auto"/>
                <w:szCs w:val="21"/>
                <w:highlight w:val="none"/>
              </w:rPr>
              <w:t>http://jszfcg.jsczt.cn/</w:t>
            </w:r>
            <w:r>
              <w:rPr>
                <w:rFonts w:hint="eastAsia" w:ascii="宋体" w:hAnsi="宋体"/>
                <w:color w:val="auto"/>
                <w:szCs w:val="21"/>
                <w:highlight w:val="none"/>
              </w:rPr>
              <w:fldChar w:fldCharType="end"/>
            </w:r>
            <w:r>
              <w:rPr>
                <w:rFonts w:hint="eastAsia" w:ascii="宋体" w:hAnsi="宋体"/>
                <w:color w:val="auto"/>
                <w:szCs w:val="21"/>
                <w:highlight w:val="none"/>
              </w:rPr>
              <w:t>）</w:t>
            </w:r>
          </w:p>
          <w:p w14:paraId="1EFD9CFA">
            <w:pPr>
              <w:spacing w:line="312" w:lineRule="auto"/>
              <w:jc w:val="left"/>
              <w:rPr>
                <w:rFonts w:hint="eastAsia" w:ascii="宋体" w:hAnsi="宋体"/>
                <w:color w:val="auto"/>
                <w:szCs w:val="21"/>
                <w:highlight w:val="none"/>
              </w:rPr>
            </w:pPr>
            <w:r>
              <w:rPr>
                <w:rFonts w:hint="eastAsia" w:ascii="宋体" w:hAnsi="宋体"/>
                <w:b/>
                <w:color w:val="auto"/>
                <w:szCs w:val="21"/>
                <w:highlight w:val="none"/>
              </w:rPr>
              <w:t>本项目为不见面磋商项目，开启阶段供应商在【供应商解密】环节必须使用 CA证书解密电子响应文件，如在系统规定的解密时间(响应文件提交截止时间后 30 分钟)内未能完成解密的视为放弃参与本项目。</w:t>
            </w:r>
          </w:p>
        </w:tc>
      </w:tr>
      <w:tr w14:paraId="20E3BD77">
        <w:tblPrEx>
          <w:tblCellMar>
            <w:top w:w="0" w:type="dxa"/>
            <w:left w:w="0" w:type="dxa"/>
            <w:bottom w:w="0" w:type="dxa"/>
            <w:right w:w="0" w:type="dxa"/>
          </w:tblCellMar>
        </w:tblPrEx>
        <w:trPr>
          <w:trHeight w:val="11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71FDA9">
            <w:pPr>
              <w:spacing w:line="312" w:lineRule="auto"/>
              <w:jc w:val="center"/>
              <w:rPr>
                <w:rFonts w:hint="eastAsia" w:ascii="宋体" w:hAnsi="宋体"/>
                <w:color w:val="auto"/>
                <w:szCs w:val="21"/>
                <w:highlight w:val="none"/>
              </w:rPr>
            </w:pPr>
            <w:r>
              <w:rPr>
                <w:rFonts w:ascii="宋体" w:hAnsi="宋体"/>
                <w:color w:val="auto"/>
                <w:szCs w:val="21"/>
                <w:highlight w:val="none"/>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2FC6B3">
            <w:pPr>
              <w:spacing w:line="312" w:lineRule="auto"/>
              <w:jc w:val="center"/>
              <w:rPr>
                <w:rFonts w:hint="eastAsia" w:ascii="宋体" w:hAnsi="宋体"/>
                <w:color w:val="auto"/>
                <w:szCs w:val="21"/>
                <w:highlight w:val="none"/>
              </w:rPr>
            </w:pPr>
            <w:r>
              <w:rPr>
                <w:rFonts w:hint="eastAsia" w:ascii="宋体" w:hAnsi="宋体"/>
                <w:color w:val="auto"/>
                <w:szCs w:val="21"/>
                <w:highlight w:val="none"/>
              </w:rPr>
              <w:t>评审时间</w:t>
            </w:r>
          </w:p>
          <w:p w14:paraId="190B2534">
            <w:pPr>
              <w:spacing w:line="312" w:lineRule="auto"/>
              <w:jc w:val="center"/>
              <w:rPr>
                <w:rFonts w:hint="eastAsia" w:ascii="宋体" w:hAnsi="宋体"/>
                <w:color w:val="auto"/>
                <w:szCs w:val="21"/>
                <w:highlight w:val="none"/>
              </w:rPr>
            </w:pPr>
            <w:r>
              <w:rPr>
                <w:rFonts w:hint="eastAsia" w:ascii="宋体" w:hAnsi="宋体"/>
                <w:color w:val="auto"/>
                <w:szCs w:val="21"/>
                <w:highlight w:val="none"/>
              </w:rPr>
              <w:t>评审地点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EA8CC3">
            <w:pPr>
              <w:spacing w:line="312" w:lineRule="auto"/>
              <w:jc w:val="left"/>
              <w:rPr>
                <w:rFonts w:hint="eastAsia" w:ascii="宋体" w:hAnsi="宋体"/>
                <w:color w:val="auto"/>
                <w:szCs w:val="21"/>
                <w:highlight w:val="none"/>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日09点</w:t>
            </w:r>
            <w:r>
              <w:rPr>
                <w:rFonts w:ascii="宋体" w:hAnsi="宋体" w:cs="宋体"/>
                <w:color w:val="auto"/>
                <w:szCs w:val="21"/>
                <w:highlight w:val="none"/>
              </w:rPr>
              <w:t>30</w:t>
            </w:r>
            <w:r>
              <w:rPr>
                <w:rFonts w:hint="eastAsia" w:ascii="宋体" w:hAnsi="宋体" w:cs="宋体"/>
                <w:color w:val="auto"/>
                <w:szCs w:val="21"/>
                <w:highlight w:val="none"/>
              </w:rPr>
              <w:t>分</w:t>
            </w:r>
            <w:r>
              <w:rPr>
                <w:rFonts w:hint="eastAsia" w:ascii="宋体" w:hAnsi="宋体"/>
                <w:color w:val="auto"/>
                <w:szCs w:val="21"/>
                <w:highlight w:val="none"/>
              </w:rPr>
              <w:t>（北京时间）</w:t>
            </w:r>
          </w:p>
          <w:p w14:paraId="1F768789">
            <w:pPr>
              <w:spacing w:line="312" w:lineRule="auto"/>
              <w:jc w:val="left"/>
              <w:rPr>
                <w:rFonts w:hint="eastAsia" w:ascii="宋体" w:hAnsi="宋体"/>
                <w:color w:val="auto"/>
                <w:szCs w:val="21"/>
                <w:highlight w:val="none"/>
              </w:rPr>
            </w:pPr>
            <w:r>
              <w:rPr>
                <w:rFonts w:hint="eastAsia" w:ascii="宋体" w:hAnsi="宋体"/>
                <w:color w:val="auto"/>
                <w:szCs w:val="21"/>
                <w:highlight w:val="none"/>
              </w:rPr>
              <w:t>“苏采云”系统</w:t>
            </w:r>
          </w:p>
        </w:tc>
      </w:tr>
      <w:tr w14:paraId="17D3C627">
        <w:tblPrEx>
          <w:tblCellMar>
            <w:top w:w="0" w:type="dxa"/>
            <w:left w:w="0" w:type="dxa"/>
            <w:bottom w:w="0" w:type="dxa"/>
            <w:right w:w="0" w:type="dxa"/>
          </w:tblCellMar>
        </w:tblPrEx>
        <w:trPr>
          <w:trHeight w:val="349"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FD6E94">
            <w:pPr>
              <w:spacing w:line="312" w:lineRule="auto"/>
              <w:jc w:val="center"/>
              <w:rPr>
                <w:rFonts w:hint="eastAsia" w:ascii="宋体" w:hAnsi="宋体"/>
                <w:color w:val="auto"/>
                <w:szCs w:val="21"/>
                <w:highlight w:val="none"/>
              </w:rPr>
            </w:pPr>
            <w:r>
              <w:rPr>
                <w:rFonts w:ascii="宋体" w:hAnsi="宋体"/>
                <w:color w:val="auto"/>
                <w:szCs w:val="21"/>
                <w:highlight w:val="none"/>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A13471">
            <w:pPr>
              <w:spacing w:line="312" w:lineRule="auto"/>
              <w:jc w:val="center"/>
              <w:rPr>
                <w:rFonts w:hint="eastAsia" w:ascii="宋体" w:hAnsi="宋体"/>
                <w:color w:val="auto"/>
                <w:szCs w:val="21"/>
                <w:highlight w:val="none"/>
              </w:rPr>
            </w:pPr>
            <w:r>
              <w:rPr>
                <w:rFonts w:hint="eastAsia" w:ascii="宋体" w:hAnsi="宋体"/>
                <w:color w:val="auto"/>
                <w:szCs w:val="21"/>
                <w:highlight w:val="none"/>
              </w:rPr>
              <w:t>磋商响应</w:t>
            </w:r>
          </w:p>
          <w:p w14:paraId="5BF0C293">
            <w:pPr>
              <w:spacing w:line="312" w:lineRule="auto"/>
              <w:jc w:val="center"/>
              <w:rPr>
                <w:rFonts w:hint="eastAsia" w:ascii="宋体" w:hAnsi="宋体"/>
                <w:color w:val="auto"/>
                <w:szCs w:val="21"/>
                <w:highlight w:val="none"/>
              </w:rPr>
            </w:pPr>
            <w:r>
              <w:rPr>
                <w:rFonts w:hint="eastAsia" w:ascii="宋体" w:hAnsi="宋体"/>
                <w:color w:val="auto"/>
                <w:szCs w:val="21"/>
                <w:highlight w:val="none"/>
              </w:rPr>
              <w:t>文件份数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4DDE21">
            <w:pPr>
              <w:spacing w:line="312" w:lineRule="auto"/>
              <w:rPr>
                <w:color w:val="auto"/>
                <w:highlight w:val="none"/>
              </w:rPr>
            </w:pPr>
            <w:r>
              <w:rPr>
                <w:rFonts w:hint="eastAsia"/>
                <w:color w:val="auto"/>
                <w:highlight w:val="none"/>
              </w:rPr>
              <w:t>本项目采用电子响应文件，供应商按照采购文件要求制作上传电子响应文件，投标时供应商无需提供纸质响应文件。</w:t>
            </w:r>
          </w:p>
          <w:p w14:paraId="2A81276C">
            <w:pPr>
              <w:spacing w:line="312" w:lineRule="auto"/>
              <w:rPr>
                <w:color w:val="auto"/>
                <w:highlight w:val="none"/>
              </w:rPr>
            </w:pPr>
            <w:r>
              <w:rPr>
                <w:rFonts w:hint="eastAsia"/>
                <w:color w:val="auto"/>
                <w:highlight w:val="none"/>
              </w:rPr>
              <w:t>成交后5个工作日内，成交单位向招标代理机构提供与电子响应文件内容一致的纸质响应文件三份。</w:t>
            </w:r>
          </w:p>
        </w:tc>
      </w:tr>
      <w:tr w14:paraId="1D071E1A">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973670">
            <w:pPr>
              <w:spacing w:line="312" w:lineRule="auto"/>
              <w:jc w:val="center"/>
              <w:rPr>
                <w:rFonts w:hint="eastAsia" w:ascii="宋体" w:hAnsi="宋体"/>
                <w:color w:val="auto"/>
                <w:szCs w:val="21"/>
                <w:highlight w:val="none"/>
              </w:rPr>
            </w:pPr>
            <w:r>
              <w:rPr>
                <w:rFonts w:ascii="宋体" w:hAnsi="宋体"/>
                <w:color w:val="auto"/>
                <w:szCs w:val="21"/>
                <w:highlight w:val="none"/>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9CC015">
            <w:pPr>
              <w:spacing w:line="312" w:lineRule="auto"/>
              <w:jc w:val="center"/>
              <w:rPr>
                <w:rFonts w:hint="eastAsia" w:ascii="宋体" w:hAnsi="宋体"/>
                <w:color w:val="auto"/>
                <w:szCs w:val="21"/>
                <w:highlight w:val="none"/>
              </w:rPr>
            </w:pPr>
            <w:r>
              <w:rPr>
                <w:rFonts w:hint="eastAsia" w:ascii="宋体" w:hAnsi="宋体"/>
                <w:color w:val="auto"/>
                <w:szCs w:val="21"/>
                <w:highlight w:val="none"/>
              </w:rPr>
              <w:t>报价本位币</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90C8F9">
            <w:pPr>
              <w:spacing w:line="312" w:lineRule="auto"/>
              <w:jc w:val="left"/>
              <w:rPr>
                <w:rFonts w:hint="eastAsia" w:ascii="宋体" w:hAnsi="宋体"/>
                <w:color w:val="auto"/>
                <w:szCs w:val="21"/>
                <w:highlight w:val="none"/>
              </w:rPr>
            </w:pPr>
            <w:r>
              <w:rPr>
                <w:rFonts w:hint="eastAsia" w:ascii="宋体" w:hAnsi="宋体"/>
                <w:color w:val="auto"/>
                <w:szCs w:val="21"/>
                <w:highlight w:val="none"/>
              </w:rPr>
              <w:t xml:space="preserve">人民币  </w:t>
            </w:r>
          </w:p>
        </w:tc>
      </w:tr>
      <w:tr w14:paraId="33FA0753">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B97CB5">
            <w:pPr>
              <w:spacing w:line="312" w:lineRule="auto"/>
              <w:jc w:val="center"/>
              <w:rPr>
                <w:rFonts w:hint="eastAsia" w:ascii="宋体" w:hAnsi="宋体"/>
                <w:color w:val="auto"/>
                <w:szCs w:val="21"/>
                <w:highlight w:val="none"/>
              </w:rPr>
            </w:pPr>
            <w:r>
              <w:rPr>
                <w:rFonts w:ascii="宋体" w:hAnsi="宋体"/>
                <w:color w:val="auto"/>
                <w:szCs w:val="21"/>
                <w:highlight w:val="none"/>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D2AAEB">
            <w:pPr>
              <w:spacing w:line="312" w:lineRule="auto"/>
              <w:jc w:val="center"/>
              <w:rPr>
                <w:rFonts w:hint="eastAsia" w:ascii="宋体" w:hAnsi="宋体"/>
                <w:color w:val="auto"/>
                <w:szCs w:val="21"/>
                <w:highlight w:val="none"/>
              </w:rPr>
            </w:pPr>
            <w:r>
              <w:rPr>
                <w:rFonts w:hint="eastAsia" w:ascii="宋体" w:hAnsi="宋体" w:cs="宋体"/>
                <w:color w:val="auto"/>
                <w:szCs w:val="21"/>
                <w:highlight w:val="none"/>
                <w:lang w:val="zh-CN"/>
              </w:rPr>
              <w:t>履约保证金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61B97A">
            <w:pPr>
              <w:spacing w:line="312" w:lineRule="auto"/>
              <w:jc w:val="left"/>
              <w:rPr>
                <w:rFonts w:hint="eastAsia" w:ascii="宋体" w:hAnsi="宋体"/>
                <w:color w:val="auto"/>
                <w:szCs w:val="21"/>
                <w:highlight w:val="none"/>
              </w:rPr>
            </w:pPr>
            <w:r>
              <w:rPr>
                <w:rFonts w:hint="eastAsia" w:ascii="宋体" w:hAnsi="宋体"/>
                <w:color w:val="auto"/>
                <w:szCs w:val="21"/>
                <w:highlight w:val="none"/>
              </w:rPr>
              <w:t>无</w:t>
            </w:r>
          </w:p>
        </w:tc>
      </w:tr>
      <w:tr w14:paraId="4288682D">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FE5328">
            <w:pPr>
              <w:spacing w:line="312" w:lineRule="auto"/>
              <w:jc w:val="center"/>
              <w:rPr>
                <w:rFonts w:hint="eastAsia" w:ascii="宋体" w:hAnsi="宋体"/>
                <w:color w:val="auto"/>
                <w:szCs w:val="21"/>
                <w:highlight w:val="none"/>
              </w:rPr>
            </w:pPr>
            <w:r>
              <w:rPr>
                <w:rFonts w:ascii="宋体" w:hAnsi="宋体"/>
                <w:color w:val="auto"/>
                <w:szCs w:val="21"/>
                <w:highlight w:val="none"/>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D630A8">
            <w:pPr>
              <w:spacing w:line="312" w:lineRule="auto"/>
              <w:jc w:val="center"/>
              <w:rPr>
                <w:rFonts w:hint="eastAsia" w:ascii="宋体" w:hAnsi="宋体"/>
                <w:color w:val="auto"/>
                <w:szCs w:val="21"/>
                <w:highlight w:val="none"/>
              </w:rPr>
            </w:pPr>
            <w:r>
              <w:rPr>
                <w:rFonts w:hint="eastAsia" w:ascii="宋体" w:hAnsi="宋体"/>
                <w:color w:val="auto"/>
                <w:szCs w:val="21"/>
                <w:highlight w:val="none"/>
              </w:rPr>
              <w:t>成交通知书</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87E42C">
            <w:pPr>
              <w:spacing w:line="312" w:lineRule="auto"/>
              <w:rPr>
                <w:color w:val="auto"/>
                <w:highlight w:val="none"/>
              </w:rPr>
            </w:pPr>
            <w:r>
              <w:rPr>
                <w:rFonts w:hint="eastAsia"/>
                <w:color w:val="auto"/>
                <w:highlight w:val="none"/>
              </w:rPr>
              <w:t>确定出成交单位后，采购代理机构在法定时间内向成交单位发出成交通知书。成交通知书将成为合同的组成部分。</w:t>
            </w:r>
          </w:p>
          <w:p w14:paraId="655AE38E">
            <w:pPr>
              <w:pStyle w:val="206"/>
              <w:spacing w:line="312" w:lineRule="auto"/>
              <w:ind w:firstLine="0"/>
              <w:rPr>
                <w:rFonts w:hint="eastAsia" w:cs="宋体"/>
                <w:color w:val="auto"/>
                <w:sz w:val="21"/>
                <w:szCs w:val="21"/>
                <w:highlight w:val="none"/>
              </w:rPr>
            </w:pPr>
            <w:r>
              <w:rPr>
                <w:rFonts w:hint="eastAsia" w:cs="宋体"/>
                <w:b/>
                <w:color w:val="auto"/>
                <w:sz w:val="21"/>
                <w:szCs w:val="21"/>
                <w:highlight w:val="none"/>
              </w:rPr>
              <w:t>请成交单位在成交结果公告届满之日起30日内,使用CA证书登录“苏采云”系统及时下载成交通知书。</w:t>
            </w:r>
          </w:p>
        </w:tc>
      </w:tr>
    </w:tbl>
    <w:p w14:paraId="4E303999">
      <w:pPr>
        <w:pageBreakBefore/>
        <w:tabs>
          <w:tab w:val="left" w:pos="315"/>
          <w:tab w:val="center" w:pos="4153"/>
        </w:tabs>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目    录</w:t>
      </w:r>
    </w:p>
    <w:p w14:paraId="07DC76BE">
      <w:pPr>
        <w:tabs>
          <w:tab w:val="left" w:pos="315"/>
          <w:tab w:val="center" w:pos="4153"/>
        </w:tabs>
        <w:spacing w:line="360" w:lineRule="auto"/>
        <w:ind w:firstLine="720"/>
        <w:rPr>
          <w:rFonts w:hint="eastAsia" w:ascii="宋体" w:hAnsi="宋体" w:cs="宋体"/>
          <w:color w:val="auto"/>
          <w:sz w:val="36"/>
          <w:szCs w:val="36"/>
          <w:highlight w:val="none"/>
        </w:rPr>
      </w:pPr>
    </w:p>
    <w:p w14:paraId="34D54293">
      <w:pPr>
        <w:tabs>
          <w:tab w:val="left" w:pos="315"/>
          <w:tab w:val="center" w:pos="4153"/>
        </w:tabs>
        <w:spacing w:line="360" w:lineRule="auto"/>
        <w:ind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一、磋商公告</w:t>
      </w:r>
    </w:p>
    <w:p w14:paraId="36E4EEA6">
      <w:pPr>
        <w:tabs>
          <w:tab w:val="left" w:pos="315"/>
          <w:tab w:val="center" w:pos="4153"/>
        </w:tabs>
        <w:spacing w:line="360" w:lineRule="auto"/>
        <w:ind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二、采购需求</w:t>
      </w:r>
    </w:p>
    <w:p w14:paraId="32CA9B20">
      <w:pPr>
        <w:tabs>
          <w:tab w:val="left" w:pos="315"/>
          <w:tab w:val="center" w:pos="4153"/>
        </w:tabs>
        <w:spacing w:line="360" w:lineRule="auto"/>
        <w:ind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三、评标方法及评分标准</w:t>
      </w:r>
    </w:p>
    <w:p w14:paraId="6AE1CE55">
      <w:pPr>
        <w:tabs>
          <w:tab w:val="left" w:pos="315"/>
          <w:tab w:val="center" w:pos="4153"/>
        </w:tabs>
        <w:spacing w:line="360" w:lineRule="auto"/>
        <w:ind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四、合同主要条款及格式</w:t>
      </w:r>
    </w:p>
    <w:p w14:paraId="7ADAEA20">
      <w:pPr>
        <w:tabs>
          <w:tab w:val="left" w:pos="315"/>
          <w:tab w:val="center" w:pos="4153"/>
        </w:tabs>
        <w:spacing w:line="360" w:lineRule="auto"/>
        <w:ind w:firstLine="720"/>
        <w:rPr>
          <w:rFonts w:hint="eastAsia" w:ascii="宋体" w:hAnsi="宋体" w:cs="宋体"/>
          <w:color w:val="auto"/>
          <w:sz w:val="36"/>
          <w:szCs w:val="36"/>
          <w:highlight w:val="none"/>
        </w:rPr>
        <w:sectPr>
          <w:pgSz w:w="11906" w:h="16838"/>
          <w:pgMar w:top="1134" w:right="1134" w:bottom="1134" w:left="1134" w:header="680" w:footer="680" w:gutter="0"/>
          <w:cols w:space="720" w:num="1"/>
          <w:docGrid w:linePitch="360" w:charSpace="0"/>
        </w:sectPr>
      </w:pPr>
      <w:r>
        <w:rPr>
          <w:rFonts w:hint="eastAsia" w:ascii="宋体" w:hAnsi="宋体" w:cs="宋体"/>
          <w:color w:val="auto"/>
          <w:sz w:val="36"/>
          <w:szCs w:val="36"/>
          <w:highlight w:val="none"/>
        </w:rPr>
        <w:t>五、磋商响应文件格式</w:t>
      </w:r>
    </w:p>
    <w:p w14:paraId="107A2C82">
      <w:pPr>
        <w:tabs>
          <w:tab w:val="left" w:pos="315"/>
          <w:tab w:val="center" w:pos="4153"/>
        </w:tabs>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一、磋商公告</w:t>
      </w:r>
    </w:p>
    <w:p w14:paraId="744ECB11">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项目概况</w:t>
      </w:r>
    </w:p>
    <w:p w14:paraId="56BC54D7">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u w:val="single"/>
        </w:rPr>
        <w:t xml:space="preserve"> 2026年政务服务大厅非执法类辅助性服务</w:t>
      </w:r>
      <w:r>
        <w:rPr>
          <w:rFonts w:hint="eastAsia" w:ascii="宋体" w:hAnsi="宋体" w:cs="宋体"/>
          <w:color w:val="auto"/>
          <w:szCs w:val="21"/>
          <w:highlight w:val="none"/>
        </w:rPr>
        <w:t>项目的潜在供应商应在</w:t>
      </w:r>
      <w:r>
        <w:rPr>
          <w:rFonts w:hint="eastAsia" w:ascii="宋体" w:hAnsi="宋体" w:cs="宋体"/>
          <w:color w:val="auto"/>
          <w:szCs w:val="21"/>
          <w:highlight w:val="none"/>
          <w:u w:val="single"/>
        </w:rPr>
        <w:t>苏采云平台</w:t>
      </w:r>
      <w:r>
        <w:rPr>
          <w:rFonts w:hint="eastAsia" w:ascii="宋体" w:hAnsi="宋体" w:cs="宋体"/>
          <w:color w:val="auto"/>
          <w:szCs w:val="21"/>
          <w:highlight w:val="none"/>
        </w:rPr>
        <w:t>获取采购文件，并于</w:t>
      </w:r>
      <w:r>
        <w:rPr>
          <w:rFonts w:hint="eastAsia" w:ascii="宋体" w:hAnsi="宋体" w:cs="宋体"/>
          <w:color w:val="auto"/>
          <w:szCs w:val="21"/>
          <w:highlight w:val="none"/>
          <w:u w:val="single"/>
        </w:rPr>
        <w:t>2026年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cs="宋体"/>
          <w:color w:val="auto"/>
          <w:szCs w:val="21"/>
          <w:highlight w:val="none"/>
          <w:u w:val="single"/>
        </w:rPr>
        <w:t>日09点30分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24EB0024">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一、项目基本情况</w:t>
      </w:r>
    </w:p>
    <w:p w14:paraId="0FF129DF">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JSZC-320507-XTPC-C2026-0019</w:t>
      </w:r>
    </w:p>
    <w:p w14:paraId="7CF77F2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项目名称：2026年政务服务大厅非执法类辅助性服务</w:t>
      </w:r>
    </w:p>
    <w:p w14:paraId="611FAF1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采购方式：竞争性磋商</w:t>
      </w:r>
    </w:p>
    <w:p w14:paraId="1C157BB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预算金额：人民币壹佰玖拾捌万元整（小写：1980000.00元）</w:t>
      </w:r>
    </w:p>
    <w:p w14:paraId="52DBF22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采购需求：</w:t>
      </w:r>
      <w:r>
        <w:rPr>
          <w:rFonts w:ascii="宋体" w:hAnsi="宋体" w:cs="宋体"/>
          <w:color w:val="auto"/>
          <w:szCs w:val="21"/>
          <w:highlight w:val="none"/>
        </w:rPr>
        <w:t>提供标准、规范、优质的</w:t>
      </w:r>
      <w:r>
        <w:rPr>
          <w:rFonts w:hint="eastAsia" w:ascii="宋体" w:hAnsi="宋体" w:cs="宋体"/>
          <w:color w:val="auto"/>
          <w:szCs w:val="21"/>
          <w:highlight w:val="none"/>
        </w:rPr>
        <w:t>非</w:t>
      </w:r>
      <w:r>
        <w:rPr>
          <w:rFonts w:ascii="宋体" w:hAnsi="宋体" w:cs="宋体"/>
          <w:color w:val="auto"/>
          <w:szCs w:val="21"/>
          <w:highlight w:val="none"/>
        </w:rPr>
        <w:t>执法类辅助性服务，如</w:t>
      </w:r>
      <w:r>
        <w:rPr>
          <w:rFonts w:hint="eastAsia" w:ascii="宋体" w:hAnsi="宋体" w:cs="宋体"/>
          <w:color w:val="auto"/>
          <w:szCs w:val="21"/>
          <w:highlight w:val="none"/>
        </w:rPr>
        <w:t>资料预审、</w:t>
      </w:r>
      <w:r>
        <w:rPr>
          <w:rFonts w:ascii="宋体" w:hAnsi="宋体" w:cs="宋体"/>
          <w:color w:val="auto"/>
          <w:szCs w:val="21"/>
          <w:highlight w:val="none"/>
        </w:rPr>
        <w:t>信息录入与材料整理</w:t>
      </w:r>
      <w:r>
        <w:rPr>
          <w:rFonts w:hint="eastAsia" w:ascii="宋体" w:hAnsi="宋体" w:cs="宋体"/>
          <w:color w:val="auto"/>
          <w:szCs w:val="21"/>
          <w:highlight w:val="none"/>
        </w:rPr>
        <w:t>、</w:t>
      </w:r>
      <w:r>
        <w:rPr>
          <w:rFonts w:ascii="宋体" w:hAnsi="宋体" w:cs="宋体"/>
          <w:color w:val="auto"/>
          <w:szCs w:val="21"/>
          <w:highlight w:val="none"/>
        </w:rPr>
        <w:t>咨询引导与秩序维护</w:t>
      </w:r>
      <w:r>
        <w:rPr>
          <w:rFonts w:hint="eastAsia" w:ascii="宋体" w:hAnsi="宋体" w:cs="宋体"/>
          <w:color w:val="auto"/>
          <w:szCs w:val="21"/>
          <w:highlight w:val="none"/>
        </w:rPr>
        <w:t>、</w:t>
      </w:r>
      <w:r>
        <w:rPr>
          <w:rFonts w:ascii="宋体" w:hAnsi="宋体" w:cs="宋体"/>
          <w:color w:val="auto"/>
          <w:szCs w:val="21"/>
          <w:highlight w:val="none"/>
        </w:rPr>
        <w:t>现场辅导服务</w:t>
      </w:r>
      <w:r>
        <w:rPr>
          <w:rFonts w:hint="eastAsia" w:ascii="宋体" w:hAnsi="宋体" w:cs="宋体"/>
          <w:color w:val="auto"/>
          <w:szCs w:val="21"/>
          <w:highlight w:val="none"/>
        </w:rPr>
        <w:t>等非执法类辅助性服务。</w:t>
      </w:r>
    </w:p>
    <w:p w14:paraId="2312CA3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服务期限：自合同签订之日起至2026年12月31日。</w:t>
      </w:r>
    </w:p>
    <w:p w14:paraId="6D10BDF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项目实施地点：相城区政务服务大厅。</w:t>
      </w:r>
    </w:p>
    <w:p w14:paraId="00478FA7">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二、申请人的资格要求：</w:t>
      </w:r>
    </w:p>
    <w:p w14:paraId="08E3E9B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24AD9E2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14:paraId="203FFE1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6AF9FE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2DE1386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6F6C933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47D8195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（6）法律、行政法规规定的其他条件。</w:t>
      </w:r>
    </w:p>
    <w:p w14:paraId="76D8FBF5">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、落实政府采购政策需满足的资格要求：本项目专门面向中小企业采购，所属行业为</w:t>
      </w:r>
      <w:r>
        <w:rPr>
          <w:rFonts w:ascii="宋体" w:hAnsi="宋体" w:cs="宋体"/>
          <w:color w:val="auto"/>
          <w:szCs w:val="21"/>
          <w:highlight w:val="none"/>
        </w:rPr>
        <w:t>租赁和商务服务业</w:t>
      </w:r>
      <w:r>
        <w:rPr>
          <w:rFonts w:hint="eastAsia" w:ascii="宋体" w:hAnsi="宋体" w:cs="宋体"/>
          <w:color w:val="auto"/>
          <w:szCs w:val="21"/>
          <w:highlight w:val="none"/>
        </w:rPr>
        <w:t>，供应商应为中小微企业或监狱企业或残疾人福利性单位。</w:t>
      </w:r>
    </w:p>
    <w:p w14:paraId="249A96A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 </w:t>
      </w:r>
    </w:p>
    <w:p w14:paraId="7628F34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注：（1）响应供应商应未被列入失信被执行人、重大税收违法案件当事人名单、政府采购严重失信行为记录名单；</w:t>
      </w:r>
    </w:p>
    <w:p w14:paraId="090760D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（2）本项目不接受联合体投标；</w:t>
      </w:r>
    </w:p>
    <w:p w14:paraId="7B9F7BA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（3）单位负责人为同一人或者存在直接控股、管理关系的不同供应商（包含法定代表人为同一个人的两个及两个以上法人，母公司、全资子公司及其控股公司），不得参加同一合同项下的政府采购活动。</w:t>
      </w:r>
    </w:p>
    <w:p w14:paraId="099F7419">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三、获取采购文件</w:t>
      </w:r>
    </w:p>
    <w:p w14:paraId="1A878E24">
      <w:pPr>
        <w:spacing w:line="360" w:lineRule="auto"/>
        <w:ind w:firstLine="420"/>
        <w:rPr>
          <w:rFonts w:hint="eastAsia" w:ascii="宋体" w:hAnsi="宋体" w:cs="宋体"/>
          <w:color w:val="auto"/>
          <w:szCs w:val="21"/>
          <w:highlight w:val="none"/>
          <w:shd w:val="clear" w:color="auto" w:fill="FFFFFF"/>
        </w:rPr>
      </w:pPr>
      <w:bookmarkStart w:id="0" w:name="_Toc28359082"/>
      <w:bookmarkStart w:id="1" w:name="_Toc35393624"/>
      <w:bookmarkStart w:id="2" w:name="_Toc28359005"/>
      <w:bookmarkStart w:id="3" w:name="_Toc35393793"/>
      <w:r>
        <w:rPr>
          <w:rFonts w:hint="eastAsia" w:ascii="宋体" w:hAnsi="宋体" w:cs="宋体"/>
          <w:color w:val="auto"/>
          <w:szCs w:val="21"/>
          <w:highlight w:val="none"/>
          <w:shd w:val="clear" w:color="auto" w:fill="FFFFFF"/>
        </w:rPr>
        <w:t>1.时间：自磋商文件公告发布之日起5个工作日</w:t>
      </w:r>
    </w:p>
    <w:p w14:paraId="00BB9E01">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2.地点：</w:t>
      </w:r>
      <w:r>
        <w:rPr>
          <w:rFonts w:hint="eastAsia" w:ascii="宋体" w:hAnsi="宋体" w:cs="宋体"/>
          <w:bCs/>
          <w:color w:val="auto"/>
          <w:szCs w:val="21"/>
          <w:highlight w:val="none"/>
        </w:rPr>
        <w:t>苏州市政府采购网</w:t>
      </w:r>
    </w:p>
    <w:p w14:paraId="570AE0E7">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3.方式：</w:t>
      </w:r>
    </w:p>
    <w:p w14:paraId="0BF381F3">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（1）CA证书办理</w:t>
      </w:r>
    </w:p>
    <w:p w14:paraId="0BEC52B2">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Cs w:val="21"/>
          <w:highlight w:val="none"/>
          <w:shd w:val="clear" w:color="auto" w:fill="FFFFFF"/>
        </w:rPr>
        <w:t>“苏采云”系统目前仅支持“苏采云”系统下的政务CA证书，江苏省内各地区办理的“苏采云”系统下的政务CA证书全省通用。</w:t>
      </w:r>
      <w:r>
        <w:rPr>
          <w:rFonts w:hint="eastAsia" w:ascii="宋体" w:hAnsi="宋体" w:cs="宋体"/>
          <w:color w:val="auto"/>
          <w:szCs w:val="21"/>
          <w:highlight w:val="none"/>
          <w:shd w:val="clear" w:color="auto" w:fill="FFFFFF"/>
        </w:rPr>
        <w:t>苏州现场办理地址：苏州高新区邓尉路105号狮山科技馆1楼服务大厅，咨询电话：0512-65737699。</w:t>
      </w:r>
    </w:p>
    <w:p w14:paraId="220E892D">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（2）参与采购活动</w:t>
      </w:r>
    </w:p>
    <w:p w14:paraId="77EFEF0C">
      <w:pPr>
        <w:spacing w:line="360" w:lineRule="auto"/>
        <w:ind w:right="-161"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59965FF4">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（3）电子投标准备</w:t>
      </w:r>
    </w:p>
    <w:p w14:paraId="6E42D4B5">
      <w:pPr>
        <w:spacing w:line="360" w:lineRule="auto"/>
        <w:ind w:firstLine="420"/>
        <w:jc w:val="left"/>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szCs w:val="21"/>
          <w:highlight w:val="none"/>
          <w:shd w:val="clear" w:color="auto" w:fill="FFFFFF"/>
        </w:rPr>
        <w:t>（具体详见《苏采云系统供应商操作手册》，网址链接https://czju.suzhou.gov.cn/zfcg/html/content/20231220161910031.shtml）</w:t>
      </w:r>
      <w:r>
        <w:rPr>
          <w:rFonts w:hint="eastAsia" w:ascii="宋体" w:hAnsi="宋体" w:cs="宋体"/>
          <w:color w:val="auto"/>
          <w:szCs w:val="21"/>
          <w:highlight w:val="none"/>
          <w:shd w:val="clear" w:color="auto" w:fill="FFFFFF"/>
        </w:rPr>
        <w:t>。在系统操作过程中如有疑问，请按以下方式联系：</w:t>
      </w:r>
    </w:p>
    <w:p w14:paraId="6BF594CD">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注册咨询：13914088964；</w:t>
      </w:r>
    </w:p>
    <w:p w14:paraId="14ABD458">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CA技术咨询电话：400-608-6099；</w:t>
      </w:r>
    </w:p>
    <w:p w14:paraId="5BD08F93">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签章使用问题：025-83633811、025-83633812、15380932027、15371015030；</w:t>
      </w:r>
    </w:p>
    <w:p w14:paraId="31146BDD">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系统使用指导与咨询：联系电话：13914088964；智能客服：登录苏采云系统后，联系系统右下方智能客服图标进行咨询。</w:t>
      </w:r>
    </w:p>
    <w:p w14:paraId="1367D26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4.售价：免费</w:t>
      </w:r>
      <w:r>
        <w:rPr>
          <w:rFonts w:hint="eastAsia" w:ascii="宋体" w:hAnsi="宋体" w:cs="宋体"/>
          <w:color w:val="auto"/>
          <w:szCs w:val="21"/>
          <w:highlight w:val="none"/>
        </w:rPr>
        <w:t>。</w:t>
      </w:r>
      <w:bookmarkEnd w:id="0"/>
      <w:bookmarkEnd w:id="1"/>
      <w:bookmarkEnd w:id="2"/>
      <w:bookmarkEnd w:id="3"/>
    </w:p>
    <w:p w14:paraId="51F1BEDA">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四、响应文件提交</w:t>
      </w:r>
    </w:p>
    <w:p w14:paraId="3FAD004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bCs/>
          <w:color w:val="auto"/>
          <w:szCs w:val="21"/>
          <w:highlight w:val="none"/>
        </w:rPr>
        <w:t>递交响应文件截止时间</w:t>
      </w: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日09点30分（北京时间）</w:t>
      </w:r>
    </w:p>
    <w:p w14:paraId="6656133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2.地点：“苏采云”系统（网址：http://jszfcg.jsczt.cn/）。响应文件网上递交，不需要现场参加采购活动。</w:t>
      </w:r>
    </w:p>
    <w:p w14:paraId="2C60F30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3.本项目采用电子招投标形式，请</w:t>
      </w:r>
      <w:r>
        <w:rPr>
          <w:rFonts w:hint="eastAsia" w:ascii="宋体" w:hAnsi="宋体" w:cs="宋体"/>
          <w:bCs/>
          <w:color w:val="auto"/>
          <w:szCs w:val="21"/>
          <w:highlight w:val="none"/>
        </w:rPr>
        <w:t>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供应商应充分考虑到网络环境、网络带宽等风险因素，如因供应商自身原因造成的电子响应文件上传不成功由供应商自行承担全部责任。</w:t>
      </w:r>
    </w:p>
    <w:p w14:paraId="678DCE21">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五、开启</w:t>
      </w:r>
    </w:p>
    <w:p w14:paraId="032A115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日09点30分（北京时间）</w:t>
      </w:r>
    </w:p>
    <w:p w14:paraId="4E903A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2.地点：“苏采云”系统（网址：http://jszfcg.jsczt.cn/）</w:t>
      </w:r>
    </w:p>
    <w:p w14:paraId="233CC3C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本项目为不见面磋商项目，</w:t>
      </w:r>
      <w:r>
        <w:rPr>
          <w:rFonts w:hint="eastAsia" w:ascii="宋体" w:hAnsi="宋体"/>
          <w:b/>
          <w:color w:val="auto"/>
          <w:szCs w:val="21"/>
          <w:highlight w:val="none"/>
        </w:rPr>
        <w:t>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Cs w:val="21"/>
          <w:highlight w:val="none"/>
        </w:rPr>
        <w:t>。</w:t>
      </w:r>
    </w:p>
    <w:p w14:paraId="0B7A512E">
      <w:pPr>
        <w:spacing w:line="360" w:lineRule="auto"/>
        <w:ind w:firstLine="422"/>
        <w:rPr>
          <w:rFonts w:hint="eastAsia" w:ascii="宋体" w:hAnsi="宋体" w:cs="宋体"/>
          <w:color w:val="auto"/>
          <w:szCs w:val="21"/>
          <w:highlight w:val="none"/>
        </w:rPr>
      </w:pPr>
      <w:r>
        <w:rPr>
          <w:rFonts w:hint="eastAsia" w:ascii="宋体" w:hAnsi="宋体" w:cs="宋体"/>
          <w:b/>
          <w:bCs/>
          <w:color w:val="auto"/>
          <w:szCs w:val="21"/>
          <w:highlight w:val="none"/>
        </w:rPr>
        <w:t>请供应商确保电脑、系统及其他设备（视频输入输出设备等）无误，且开启直至项目结束始终保持系统在线状态。</w:t>
      </w:r>
    </w:p>
    <w:p w14:paraId="54272C87">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六、公告期限</w:t>
      </w:r>
    </w:p>
    <w:p w14:paraId="3562943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自本公告发布之日起3个工作日。</w:t>
      </w:r>
    </w:p>
    <w:p w14:paraId="624D9085">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七、其他补充事宜</w:t>
      </w:r>
    </w:p>
    <w:p w14:paraId="065E20C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olor w:val="auto"/>
          <w:szCs w:val="21"/>
          <w:highlight w:val="none"/>
        </w:rPr>
        <w:t>本项目获取采购文件截止日期之后仍可以下载采购文件，但截止日期之后下载的采购文件，视为非有效方式且不作为供应商</w:t>
      </w:r>
      <w:r>
        <w:rPr>
          <w:rFonts w:hint="eastAsia" w:ascii="宋体" w:hAnsi="宋体" w:cs="宋体"/>
          <w:color w:val="auto"/>
          <w:szCs w:val="21"/>
          <w:highlight w:val="none"/>
        </w:rPr>
        <w:t>权益受到损害的证明材料和依据。</w:t>
      </w:r>
    </w:p>
    <w:p w14:paraId="45DF843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2.本次采购的相关信息刊登在苏州政府采购网、江苏政府采购网。</w:t>
      </w:r>
    </w:p>
    <w:p w14:paraId="06BF3F2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3.苏州市相城区财政局政府采购监管处电话：0512-67591005、0512-67591006</w:t>
      </w:r>
    </w:p>
    <w:p w14:paraId="1DFBDAAD">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八、凡对本次采购提出询问，请按以下方式联系。</w:t>
      </w:r>
    </w:p>
    <w:p w14:paraId="3614614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1.采购人信息</w:t>
      </w:r>
    </w:p>
    <w:p w14:paraId="046040C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名  称：苏州市相城区数据局</w:t>
      </w:r>
    </w:p>
    <w:p w14:paraId="4D534FB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  址：苏州市相城区庆元路168号</w:t>
      </w:r>
    </w:p>
    <w:p w14:paraId="6586EB3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 系 人：周夕雯</w:t>
      </w:r>
    </w:p>
    <w:p w14:paraId="6C9275B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联系电话：0512-67597889</w:t>
      </w:r>
    </w:p>
    <w:p w14:paraId="636D680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1AECB6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名  称：苏州新天平工程咨询有限公司</w:t>
      </w:r>
    </w:p>
    <w:p w14:paraId="5B81F76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　　址：苏州市相城区高铁新城苏州北站综合服务楼4楼东侧</w:t>
      </w:r>
    </w:p>
    <w:p w14:paraId="33EC5A4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 系 人：惠天睿</w:t>
      </w:r>
    </w:p>
    <w:p w14:paraId="3579CD5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联系方式：0512-65239192</w:t>
      </w:r>
    </w:p>
    <w:p w14:paraId="0827569B">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3.项目联系方式</w:t>
      </w:r>
    </w:p>
    <w:p w14:paraId="44068090">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项目联系人：惠天睿</w:t>
      </w:r>
    </w:p>
    <w:p w14:paraId="7A25577E">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电　　  话：0512-65239192</w:t>
      </w:r>
    </w:p>
    <w:p w14:paraId="5C7FD234">
      <w:pPr>
        <w:spacing w:line="360" w:lineRule="auto"/>
        <w:ind w:firstLine="420"/>
        <w:jc w:val="right"/>
        <w:rPr>
          <w:rFonts w:hint="eastAsia" w:ascii="宋体" w:hAnsi="宋体" w:cs="宋体"/>
          <w:color w:val="auto"/>
          <w:szCs w:val="21"/>
          <w:highlight w:val="none"/>
        </w:rPr>
      </w:pPr>
      <w:r>
        <w:rPr>
          <w:rFonts w:hint="eastAsia" w:ascii="宋体" w:hAnsi="宋体" w:cs="宋体"/>
          <w:color w:val="auto"/>
          <w:szCs w:val="21"/>
          <w:highlight w:val="none"/>
        </w:rPr>
        <w:t>苏州新天平工程咨询有限公司</w:t>
      </w:r>
    </w:p>
    <w:p w14:paraId="6244464F">
      <w:pPr>
        <w:pageBreakBefore/>
        <w:tabs>
          <w:tab w:val="left" w:pos="315"/>
          <w:tab w:val="center" w:pos="4153"/>
        </w:tabs>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二、采购需求</w:t>
      </w:r>
    </w:p>
    <w:p w14:paraId="1F8F7852">
      <w:pPr>
        <w:spacing w:line="360" w:lineRule="auto"/>
        <w:ind w:firstLine="420"/>
        <w:rPr>
          <w:rFonts w:hint="eastAsia" w:ascii="宋体" w:hAnsi="宋体" w:cs="宋体"/>
          <w:color w:val="auto"/>
          <w:szCs w:val="21"/>
          <w:highlight w:val="none"/>
        </w:rPr>
      </w:pPr>
      <w:r>
        <w:rPr>
          <w:rFonts w:hint="eastAsia" w:ascii="宋体" w:hAnsi="宋体" w:cs="宋体"/>
          <w:color w:val="auto"/>
          <w:highlight w:val="none"/>
        </w:rPr>
        <w:t>受苏州市相城区数据局之委托，苏州新天平工程咨询有限公司对其需采购的2026年政务服务大厅非执法类辅助性服务在国内组织竞争性磋商采购。欢迎符合资格条件的供应商前来报名参加磋商</w:t>
      </w:r>
      <w:r>
        <w:rPr>
          <w:rFonts w:hint="eastAsia" w:ascii="宋体" w:hAnsi="宋体" w:cs="宋体"/>
          <w:color w:val="auto"/>
          <w:szCs w:val="21"/>
          <w:highlight w:val="none"/>
        </w:rPr>
        <w:t>。</w:t>
      </w:r>
    </w:p>
    <w:p w14:paraId="6ECB1AF0">
      <w:pPr>
        <w:spacing w:line="360" w:lineRule="auto"/>
        <w:ind w:firstLine="422"/>
        <w:outlineLvl w:val="1"/>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一、采购编号：</w:t>
      </w:r>
      <w:r>
        <w:rPr>
          <w:rFonts w:hint="eastAsia" w:ascii="宋体" w:hAnsi="宋体" w:cs="宋体"/>
          <w:color w:val="auto"/>
          <w:szCs w:val="21"/>
          <w:highlight w:val="none"/>
          <w:lang w:eastAsia="zh-CN"/>
        </w:rPr>
        <w:t>JSZC-320507-XTPC-C2026-0019</w:t>
      </w:r>
    </w:p>
    <w:p w14:paraId="29D8EFB8">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二、项目名称：</w:t>
      </w:r>
      <w:r>
        <w:rPr>
          <w:rFonts w:hint="eastAsia" w:ascii="宋体" w:hAnsi="宋体" w:cs="宋体"/>
          <w:bCs/>
          <w:color w:val="auto"/>
          <w:szCs w:val="21"/>
          <w:highlight w:val="none"/>
        </w:rPr>
        <w:t>2026年政务服务大厅非执法类辅助性服务</w:t>
      </w:r>
    </w:p>
    <w:p w14:paraId="4D8D9214">
      <w:pPr>
        <w:spacing w:line="360" w:lineRule="auto"/>
        <w:ind w:firstLine="422"/>
        <w:outlineLvl w:val="1"/>
        <w:rPr>
          <w:rFonts w:hint="eastAsia" w:ascii="宋体" w:hAnsi="宋体" w:cs="宋体"/>
          <w:color w:val="auto"/>
          <w:szCs w:val="21"/>
          <w:highlight w:val="none"/>
        </w:rPr>
      </w:pPr>
      <w:r>
        <w:rPr>
          <w:rFonts w:hint="eastAsia" w:ascii="宋体" w:hAnsi="宋体" w:cs="宋体"/>
          <w:b/>
          <w:color w:val="auto"/>
          <w:szCs w:val="21"/>
          <w:highlight w:val="none"/>
        </w:rPr>
        <w:t>三、采购项目预算：</w:t>
      </w:r>
      <w:r>
        <w:rPr>
          <w:rFonts w:hint="eastAsia" w:ascii="宋体" w:hAnsi="宋体" w:cs="宋体"/>
          <w:color w:val="auto"/>
          <w:szCs w:val="21"/>
          <w:highlight w:val="none"/>
        </w:rPr>
        <w:t>人民币壹佰玖拾捌万元整（小写：1980000.00元）</w:t>
      </w:r>
    </w:p>
    <w:p w14:paraId="0545C4BA">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四、采购需求：</w:t>
      </w:r>
    </w:p>
    <w:p w14:paraId="00A3D032">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（一）服务内容：</w:t>
      </w:r>
    </w:p>
    <w:p w14:paraId="31344DE1">
      <w:pPr>
        <w:spacing w:line="360" w:lineRule="auto"/>
        <w:ind w:firstLine="422"/>
        <w:outlineLvl w:val="1"/>
        <w:rPr>
          <w:rFonts w:hint="eastAsia" w:ascii="宋体" w:hAnsi="宋体" w:cs="宋体"/>
          <w:color w:val="auto"/>
          <w:szCs w:val="21"/>
          <w:highlight w:val="none"/>
        </w:rPr>
      </w:pPr>
      <w:r>
        <w:rPr>
          <w:rFonts w:hint="eastAsia" w:ascii="宋体" w:hAnsi="宋体" w:cs="宋体"/>
          <w:color w:val="auto"/>
          <w:szCs w:val="21"/>
          <w:highlight w:val="none"/>
        </w:rPr>
        <w:t>1.资料预审：</w:t>
      </w:r>
      <w:r>
        <w:rPr>
          <w:rFonts w:ascii="宋体" w:hAnsi="宋体" w:cs="宋体"/>
          <w:color w:val="auto"/>
          <w:szCs w:val="21"/>
          <w:highlight w:val="none"/>
        </w:rPr>
        <w:t>根据采购人提供的服务事项办理规范、材料清单及接件标准，对服务对象提交的申请材料进行形式上的完整性、规范性初步核对；对材料齐全、符合形式要求的，按规定做好接收、登记及后续流转；对材料不完整或不符合形式要求的，依据统一的补正要求一次性告知需补充或完善的材料，不得擅自增加材料或改变办理条件。</w:t>
      </w:r>
    </w:p>
    <w:p w14:paraId="3B4FA4BE">
      <w:pPr>
        <w:spacing w:line="360" w:lineRule="auto"/>
        <w:ind w:firstLine="422"/>
        <w:outlineLvl w:val="1"/>
        <w:rPr>
          <w:rFonts w:hint="eastAsia" w:ascii="宋体" w:hAnsi="宋体" w:cs="宋体"/>
          <w:color w:val="auto"/>
          <w:szCs w:val="21"/>
          <w:highlight w:val="none"/>
        </w:rPr>
      </w:pPr>
      <w:r>
        <w:rPr>
          <w:rFonts w:hint="eastAsia" w:ascii="宋体" w:hAnsi="宋体" w:cs="宋体"/>
          <w:color w:val="auto"/>
          <w:szCs w:val="21"/>
          <w:highlight w:val="none"/>
        </w:rPr>
        <w:t>2.</w:t>
      </w:r>
      <w:bookmarkStart w:id="4" w:name="OLE_LINK1"/>
      <w:r>
        <w:rPr>
          <w:rFonts w:ascii="宋体" w:hAnsi="宋体" w:cs="宋体"/>
          <w:color w:val="auto"/>
          <w:szCs w:val="21"/>
          <w:highlight w:val="none"/>
        </w:rPr>
        <w:t>信息录入与材料整理</w:t>
      </w:r>
      <w:bookmarkEnd w:id="4"/>
      <w:r>
        <w:rPr>
          <w:rFonts w:ascii="宋体" w:hAnsi="宋体" w:cs="宋体"/>
          <w:color w:val="auto"/>
          <w:szCs w:val="21"/>
          <w:highlight w:val="none"/>
        </w:rPr>
        <w:t>：按照统一的数据录入规范，将服务事项相关信息准确录入指定业务系统；做好纸质及电子材料的分类、整理、编号、装订、扫描、归档前整理等工作，确保信息与材料对应一致。发现信息不一致、录入异常或系统故障时，应及时报告并做好记录，不得擅自修改业务规则或处理权限范围外事项。</w:t>
      </w:r>
    </w:p>
    <w:p w14:paraId="3308F28A">
      <w:pPr>
        <w:spacing w:line="360" w:lineRule="auto"/>
        <w:ind w:firstLine="422"/>
        <w:outlineLvl w:val="1"/>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咨询引导与秩序维护：负责服务区域内的咨询引导、取号及排队秩序辅助管理，向服务对象提供办事流程、材料准备、办理地点、办理方式等基础性信息指引；对超出服务人员职责范围或无法准确判断的问题，应及时引导至相应工作人员或指定咨询渠道，不得作出未经授权的政策解释或承诺。</w:t>
      </w:r>
    </w:p>
    <w:p w14:paraId="2F54554D">
      <w:pPr>
        <w:spacing w:line="360" w:lineRule="auto"/>
        <w:ind w:firstLine="422"/>
        <w:outlineLvl w:val="1"/>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现场</w:t>
      </w:r>
      <w:r>
        <w:rPr>
          <w:rFonts w:hint="eastAsia" w:ascii="宋体" w:hAnsi="宋体" w:cs="宋体"/>
          <w:color w:val="auto"/>
          <w:szCs w:val="21"/>
          <w:highlight w:val="none"/>
        </w:rPr>
        <w:t>辅导服务</w:t>
      </w:r>
      <w:r>
        <w:rPr>
          <w:rFonts w:ascii="宋体" w:hAnsi="宋体" w:cs="宋体"/>
          <w:color w:val="auto"/>
          <w:szCs w:val="21"/>
          <w:highlight w:val="none"/>
        </w:rPr>
        <w:t>：协助服务对象使用自助设备、线上办理终端及其他公共服务设施；对老年人、残疾人、孕妇及其他有特殊服务需求的人员，在职责范围内提供必要的操作引导和便利服务；遇到现场秩序、设备故障、系统异常等情况，应及时报告并协助做好现场疏导。</w:t>
      </w:r>
    </w:p>
    <w:p w14:paraId="3BAB4E65">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（二）服务工作量</w:t>
      </w:r>
    </w:p>
    <w:p w14:paraId="0FDA6E90">
      <w:pPr>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服务工作量约17.2万件，需配置27个服务岗位。服务工作量为暂估量，中标后具体服务费用按实际工作量进行结算；服务工作量计算方法最终以采购人解释为准。</w:t>
      </w:r>
    </w:p>
    <w:p w14:paraId="4676BA4A">
      <w:pPr>
        <w:spacing w:line="360" w:lineRule="auto"/>
        <w:ind w:firstLine="482"/>
        <w:rPr>
          <w:rStyle w:val="268"/>
          <w:rFonts w:hint="eastAsia" w:ascii="宋体" w:hAnsi="宋体" w:cs="宋体"/>
          <w:b/>
          <w:bCs/>
          <w:color w:val="auto"/>
          <w:szCs w:val="21"/>
          <w:highlight w:val="none"/>
        </w:rPr>
      </w:pPr>
      <w:r>
        <w:rPr>
          <w:rStyle w:val="268"/>
          <w:rFonts w:hint="eastAsia" w:ascii="宋体" w:hAnsi="宋体" w:cs="宋体"/>
          <w:b/>
          <w:bCs/>
          <w:color w:val="auto"/>
          <w:szCs w:val="21"/>
          <w:highlight w:val="none"/>
        </w:rPr>
        <w:t>（三）服务要求：</w:t>
      </w:r>
    </w:p>
    <w:p w14:paraId="3136CBD4">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供应商须严格按照采购人的服务标准与要求完成相关服务工作，供应商需负责对本项目服务人员进行日常管理和考核工作，根据采购人制定的工作标准，定期安排项目管理人员巡查监管服务人员的在岗状态、工作纪律、工作质量、工作作风、日常考勤和卫生等情况。</w:t>
      </w:r>
    </w:p>
    <w:p w14:paraId="5036C6D4">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 xml:space="preserve">2.供应商应执行采购人对服务人员的各项工作纪律、廉洁纪律、保密规定及安全措施等相关管理办法及考核奖惩制度（包括但不限于业务能力、服务态度、满意度），供应商制定的相关管理办法、考核奖惩制度需提前报采购人备案后实施。 </w:t>
      </w:r>
    </w:p>
    <w:p w14:paraId="4B425F1E">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服务时间为工作日9:00—17:00（含午间值班，如采购人对其他非工作时间值班有要求，遵从采购人规定）。服务人员要严格遵守采购人各项规章制度，在采购人指定地点办公，日常工作由采购人调配。采购人可要求供应商提供的服务人员在国家法律法规允许范围内加班，所需费用均包含在投标总报价中。</w:t>
      </w:r>
    </w:p>
    <w:p w14:paraId="5C698433">
      <w:pPr>
        <w:spacing w:line="360" w:lineRule="auto"/>
        <w:ind w:firstLine="482"/>
        <w:rPr>
          <w:rStyle w:val="268"/>
          <w:rFonts w:hint="eastAsia" w:ascii="宋体" w:hAnsi="宋体" w:cs="宋体"/>
          <w:color w:val="auto"/>
          <w:szCs w:val="21"/>
          <w:highlight w:val="none"/>
        </w:rPr>
      </w:pPr>
      <w:r>
        <w:rPr>
          <w:rStyle w:val="268"/>
          <w:rFonts w:hint="eastAsia" w:ascii="宋体" w:hAnsi="宋体" w:cs="宋体"/>
          <w:b/>
          <w:bCs/>
          <w:color w:val="auto"/>
          <w:szCs w:val="21"/>
          <w:highlight w:val="none"/>
        </w:rPr>
        <w:t>（四）项目实施要求：</w:t>
      </w:r>
      <w:r>
        <w:rPr>
          <w:rStyle w:val="268"/>
          <w:rFonts w:hint="eastAsia" w:ascii="宋体" w:hAnsi="宋体" w:cs="宋体"/>
          <w:color w:val="auto"/>
          <w:szCs w:val="21"/>
          <w:highlight w:val="none"/>
        </w:rPr>
        <w:t xml:space="preserve"> </w:t>
      </w:r>
    </w:p>
    <w:p w14:paraId="7DD1A985">
      <w:pPr>
        <w:spacing w:line="360" w:lineRule="auto"/>
        <w:ind w:firstLine="482"/>
        <w:rPr>
          <w:rStyle w:val="268"/>
          <w:rFonts w:ascii="宋体" w:hAnsi="宋体" w:cs="宋体"/>
          <w:color w:val="auto"/>
          <w:szCs w:val="21"/>
          <w:highlight w:val="none"/>
        </w:rPr>
      </w:pPr>
      <w:r>
        <w:rPr>
          <w:rStyle w:val="268"/>
          <w:rFonts w:hint="eastAsia" w:ascii="宋体" w:hAnsi="宋体" w:cs="宋体"/>
          <w:color w:val="auto"/>
          <w:szCs w:val="21"/>
          <w:highlight w:val="none"/>
        </w:rPr>
        <w:t>1.</w:t>
      </w:r>
      <w:r>
        <w:rPr>
          <w:rFonts w:hint="eastAsia"/>
          <w:color w:val="auto"/>
          <w:highlight w:val="none"/>
        </w:rPr>
        <w:t xml:space="preserve"> </w:t>
      </w:r>
      <w:r>
        <w:rPr>
          <w:rStyle w:val="268"/>
          <w:rFonts w:ascii="宋体" w:hAnsi="宋体" w:cs="宋体"/>
          <w:color w:val="auto"/>
          <w:szCs w:val="21"/>
          <w:highlight w:val="none"/>
        </w:rPr>
        <w:t>服务人员要求：</w:t>
      </w:r>
    </w:p>
    <w:p w14:paraId="35A0E033">
      <w:pPr>
        <w:spacing w:line="360" w:lineRule="auto"/>
        <w:ind w:firstLine="482"/>
        <w:rPr>
          <w:rStyle w:val="268"/>
          <w:rFonts w:ascii="宋体" w:hAnsi="宋体" w:cs="宋体"/>
          <w:color w:val="auto"/>
          <w:szCs w:val="21"/>
          <w:highlight w:val="none"/>
        </w:rPr>
      </w:pPr>
      <w:r>
        <w:rPr>
          <w:rStyle w:val="268"/>
          <w:rFonts w:ascii="宋体" w:hAnsi="宋体" w:cs="宋体"/>
          <w:color w:val="auto"/>
          <w:szCs w:val="21"/>
          <w:highlight w:val="none"/>
        </w:rPr>
        <w:t>（1）供应商为本项目配备的所有服务人员应无违法犯罪记录，身体健康。</w:t>
      </w:r>
    </w:p>
    <w:p w14:paraId="5E56542A">
      <w:pPr>
        <w:spacing w:line="360" w:lineRule="auto"/>
        <w:ind w:firstLine="482"/>
        <w:rPr>
          <w:rStyle w:val="268"/>
          <w:rFonts w:hint="eastAsia" w:ascii="宋体" w:hAnsi="宋体" w:cs="宋体"/>
          <w:color w:val="auto"/>
          <w:szCs w:val="21"/>
          <w:highlight w:val="none"/>
        </w:rPr>
      </w:pPr>
      <w:r>
        <w:rPr>
          <w:rStyle w:val="268"/>
          <w:rFonts w:ascii="宋体" w:hAnsi="宋体" w:cs="宋体"/>
          <w:color w:val="auto"/>
          <w:szCs w:val="21"/>
          <w:highlight w:val="none"/>
        </w:rPr>
        <w:t>（2）所有服务人员的年龄须在法定劳动年龄内；精神面貌佳，应变能力强，服务态度好，责任心强；普通话流利</w:t>
      </w:r>
      <w:r>
        <w:rPr>
          <w:rStyle w:val="268"/>
          <w:rFonts w:hint="eastAsia" w:ascii="宋体" w:hAnsi="宋体" w:cs="宋体"/>
          <w:color w:val="auto"/>
          <w:szCs w:val="21"/>
          <w:highlight w:val="none"/>
        </w:rPr>
        <w:t>；</w:t>
      </w:r>
      <w:r>
        <w:rPr>
          <w:rStyle w:val="268"/>
          <w:rFonts w:ascii="宋体" w:hAnsi="宋体" w:cs="宋体"/>
          <w:color w:val="auto"/>
          <w:szCs w:val="21"/>
          <w:highlight w:val="none"/>
        </w:rPr>
        <w:t>具备较强的服务意识、良好的职业道德、敬业精神和抗压能力</w:t>
      </w:r>
      <w:r>
        <w:rPr>
          <w:rStyle w:val="268"/>
          <w:rFonts w:hint="eastAsia" w:ascii="宋体" w:hAnsi="宋体" w:cs="宋体"/>
          <w:color w:val="auto"/>
          <w:szCs w:val="21"/>
          <w:highlight w:val="none"/>
        </w:rPr>
        <w:t>。</w:t>
      </w:r>
    </w:p>
    <w:p w14:paraId="1B49818C">
      <w:pPr>
        <w:spacing w:line="360" w:lineRule="auto"/>
        <w:ind w:firstLine="482"/>
        <w:rPr>
          <w:rStyle w:val="268"/>
          <w:rFonts w:ascii="宋体" w:hAnsi="宋体" w:cs="宋体"/>
          <w:color w:val="auto"/>
          <w:szCs w:val="21"/>
          <w:highlight w:val="none"/>
        </w:rPr>
      </w:pPr>
      <w:r>
        <w:rPr>
          <w:rStyle w:val="268"/>
          <w:rFonts w:ascii="宋体" w:hAnsi="宋体" w:cs="宋体"/>
          <w:color w:val="auto"/>
          <w:szCs w:val="21"/>
          <w:highlight w:val="none"/>
        </w:rPr>
        <w:t>（3）供应商提供的所有服务人员需进行岗前培训，经采购人确认后方可上岗。</w:t>
      </w:r>
    </w:p>
    <w:p w14:paraId="6070953D">
      <w:pPr>
        <w:spacing w:line="360" w:lineRule="auto"/>
        <w:ind w:firstLine="482"/>
        <w:rPr>
          <w:rStyle w:val="268"/>
          <w:rFonts w:ascii="宋体" w:hAnsi="宋体" w:cs="宋体"/>
          <w:color w:val="auto"/>
          <w:szCs w:val="21"/>
          <w:highlight w:val="none"/>
        </w:rPr>
      </w:pPr>
      <w:r>
        <w:rPr>
          <w:rStyle w:val="268"/>
          <w:rFonts w:hint="eastAsia" w:ascii="宋体" w:hAnsi="宋体" w:cs="宋体"/>
          <w:color w:val="auto"/>
          <w:szCs w:val="21"/>
          <w:highlight w:val="none"/>
        </w:rPr>
        <w:t>2.</w:t>
      </w:r>
      <w:r>
        <w:rPr>
          <w:rStyle w:val="268"/>
          <w:rFonts w:ascii="宋体" w:hAnsi="宋体" w:cs="宋体"/>
          <w:color w:val="auto"/>
          <w:szCs w:val="21"/>
          <w:highlight w:val="none"/>
        </w:rPr>
        <w:t>供应商应确定一名项目负责人，专职负责与采购人联络对接，项目负责人如需更换的，需提前一个月报采购人同意后方可执行。</w:t>
      </w:r>
    </w:p>
    <w:p w14:paraId="0202DAD7">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3.供应商必须按照劳动合同法的规定合法规范用工，并全部承担人员涉及工资、社会保险、住房公积金等劳动关系的所有事宜。</w:t>
      </w:r>
    </w:p>
    <w:p w14:paraId="6F1AEAE9">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 xml:space="preserve">4. 服务人员与供应商签订的劳动协议等事项所产生的争议、纠纷、赔偿等，由供应商自行承担和负责解决，与采购人无关。如产生劳动争议，经济赔偿和服务人员提出的劳动仲裁、诉讼等事宜由供应商负责处理，采购人不再支付额外费用。在服务期间，服务人员和项目管理人员未经采购人许可不得随意变更，如特殊情况需要调整的，应提前一个月书面通知，并获得采购人的确认后才能安排调整。 </w:t>
      </w:r>
    </w:p>
    <w:p w14:paraId="330863E8">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5.服务人员有下列情况的，采购人可要求退回，引发的经济损失 (或违约责任) 由供应商承担：</w:t>
      </w:r>
    </w:p>
    <w:p w14:paraId="4D358BDA">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 在试用期间被证明不符合条件的或者无法胜任岗位工作的；</w:t>
      </w:r>
    </w:p>
    <w:p w14:paraId="77C90F28">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(2) 严重违反采购人规章制度的；</w:t>
      </w:r>
    </w:p>
    <w:p w14:paraId="7E7D5F91">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 严重失职，给采购人造成重大损害的；</w:t>
      </w:r>
    </w:p>
    <w:p w14:paraId="258E4022">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(4) 服务人员负责的工作因业务不熟悉或工作态度等原因引起投诉累计3次以上并经查实的；</w:t>
      </w:r>
    </w:p>
    <w:p w14:paraId="51061A0C">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(5) 服务人员在外兼职，对完成采购人的工作任务造成严重影响，或者经采购人提出，拒不改正的；</w:t>
      </w:r>
    </w:p>
    <w:p w14:paraId="71BF8A76">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 xml:space="preserve">(6) 因劳动合同法第二十六条第一款第一项规定的情形致使劳动合同无效的； </w:t>
      </w:r>
    </w:p>
    <w:p w14:paraId="1561FE27">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(7) 被依法追究刑事责任的。</w:t>
      </w:r>
    </w:p>
    <w:p w14:paraId="7E25A6E6">
      <w:pPr>
        <w:spacing w:line="360" w:lineRule="auto"/>
        <w:ind w:firstLine="482"/>
        <w:rPr>
          <w:rFonts w:hint="eastAsia" w:ascii="宋体" w:hAnsi="宋体" w:cs="宋体"/>
          <w:color w:val="auto"/>
          <w:szCs w:val="21"/>
          <w:highlight w:val="none"/>
        </w:rPr>
      </w:pPr>
      <w:r>
        <w:rPr>
          <w:rStyle w:val="268"/>
          <w:rFonts w:hint="eastAsia" w:ascii="宋体" w:hAnsi="宋体" w:cs="宋体"/>
          <w:color w:val="auto"/>
          <w:szCs w:val="21"/>
          <w:highlight w:val="none"/>
        </w:rPr>
        <w:t>6.供应商承担劳动法规定的责任以及其他全部服务外包责任，因未按法律法规支付缴纳服务人员相关费用而引发的劳资纠纷由供应商全权负责。</w:t>
      </w:r>
    </w:p>
    <w:p w14:paraId="5D74A3D4">
      <w:pPr>
        <w:spacing w:line="360" w:lineRule="auto"/>
        <w:ind w:firstLine="482"/>
        <w:rPr>
          <w:rStyle w:val="268"/>
          <w:rFonts w:ascii="宋体" w:hAnsi="宋体" w:cs="宋体"/>
          <w:color w:val="auto"/>
          <w:szCs w:val="21"/>
          <w:highlight w:val="none"/>
        </w:rPr>
      </w:pPr>
      <w:r>
        <w:rPr>
          <w:rStyle w:val="268"/>
          <w:rFonts w:hint="eastAsia" w:ascii="宋体" w:hAnsi="宋体" w:cs="宋体"/>
          <w:color w:val="auto"/>
          <w:szCs w:val="21"/>
          <w:highlight w:val="none"/>
        </w:rPr>
        <w:t>7.</w:t>
      </w:r>
      <w:r>
        <w:rPr>
          <w:rStyle w:val="268"/>
          <w:rFonts w:ascii="宋体" w:hAnsi="宋体" w:cs="宋体"/>
          <w:color w:val="auto"/>
          <w:szCs w:val="21"/>
          <w:highlight w:val="none"/>
        </w:rPr>
        <w:t>在服务过程中，若供应商与第三方发生纠纷（含工伤事故），或因供应商管理不到位产生纠纷或安全事故，所有法律责任由供应商承担，由此造成采购人损失或社会公信力遭受影响的，概由供应商承担赔偿责任。</w:t>
      </w:r>
    </w:p>
    <w:p w14:paraId="3EAA9BF9">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8.供应商须建立严格的保密制度。供应商安排的服务人员不得对外透露在工作中接触到的商业秘密或个人隐私信息。供应商及其服务人员需与采购人签订保密协议，如发现服务人员主观故意或因工作失误泄密，按照采购人相关保密规定进行处理。情节严重的，将予追究法律责任。</w:t>
      </w:r>
    </w:p>
    <w:p w14:paraId="7E946958">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9.供应商安排的服务人员不得兼职，服务过程中不得透露自己的姓名和个人联系方式、不得谋取不正当利益等。</w:t>
      </w:r>
    </w:p>
    <w:p w14:paraId="623EAA6D">
      <w:pPr>
        <w:spacing w:line="360" w:lineRule="auto"/>
        <w:ind w:firstLine="482"/>
        <w:rPr>
          <w:rStyle w:val="268"/>
          <w:rFonts w:hint="eastAsia" w:ascii="宋体" w:hAnsi="宋体" w:cs="宋体"/>
          <w:b/>
          <w:bCs/>
          <w:color w:val="auto"/>
          <w:szCs w:val="21"/>
          <w:highlight w:val="none"/>
        </w:rPr>
      </w:pPr>
      <w:r>
        <w:rPr>
          <w:rStyle w:val="268"/>
          <w:rFonts w:hint="eastAsia" w:ascii="宋体" w:hAnsi="宋体" w:cs="宋体"/>
          <w:b/>
          <w:bCs/>
          <w:color w:val="auto"/>
          <w:szCs w:val="21"/>
          <w:highlight w:val="none"/>
        </w:rPr>
        <w:t>（五）项目衔接要求</w:t>
      </w:r>
    </w:p>
    <w:p w14:paraId="5C6CCE1B">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业务衔接。供应商须在中标通知书发出之日起30日内签订合同，在签订合同后最迟15日内安排全部符合要求的服务人员上岗（必须经过服务商组织的岗前培训，并经采购人测试合格），确保服务工作正常开展。具体业务交接时间服务商须与原服务商商定并无缝对接，确保非执法类辅助性服务工作不受影响，相关费用由服务商承担。</w:t>
      </w:r>
    </w:p>
    <w:p w14:paraId="1CC2CF6B">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2.技术衔接。服务商应承诺承接原服务商未完成的各项业务工作，与原服务商做好沟通协调，妥善处理遗留问题，不得影响服务质量，不得对采购人造成不良后果。</w:t>
      </w:r>
    </w:p>
    <w:p w14:paraId="6469F1AB">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服务商需在投标文件中对服务人员上岗时间作出承诺，中标后未能履行相关承诺的、影响采购人服务工作正常开展的，采购人可以追究服务商的违约责任，每推迟1日扣服务费5000元，如推迟5日后仍未安排全部符合要求的服务人员上岗的，采购人有权解除合同。</w:t>
      </w:r>
    </w:p>
    <w:p w14:paraId="092AD92C">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4.以上工作所发生费用均由本次中标服务商承担。</w:t>
      </w:r>
    </w:p>
    <w:p w14:paraId="54F4B799">
      <w:pPr>
        <w:spacing w:line="360" w:lineRule="auto"/>
        <w:ind w:firstLine="482"/>
        <w:rPr>
          <w:rStyle w:val="268"/>
          <w:rFonts w:hint="eastAsia" w:ascii="宋体" w:hAnsi="宋体" w:cs="宋体"/>
          <w:b/>
          <w:bCs/>
          <w:color w:val="auto"/>
          <w:szCs w:val="21"/>
          <w:highlight w:val="none"/>
        </w:rPr>
      </w:pPr>
      <w:r>
        <w:rPr>
          <w:rStyle w:val="268"/>
          <w:rFonts w:hint="eastAsia" w:ascii="宋体" w:hAnsi="宋体" w:cs="宋体"/>
          <w:b/>
          <w:bCs/>
          <w:color w:val="auto"/>
          <w:szCs w:val="21"/>
          <w:highlight w:val="none"/>
        </w:rPr>
        <w:t>（六）相关责任及风险：</w:t>
      </w:r>
    </w:p>
    <w:p w14:paraId="6477F486">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1、采购人将对服务质量进行全过程监控，服务人员日常工作不到位、不达标、或有违约现象，将依据合同约定，做出相应的违约处理与处罚。</w:t>
      </w:r>
    </w:p>
    <w:p w14:paraId="4AF6CAA2">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2、服务人员在履行工作职责期间，发生人员的人身伤害、伤亡，均由供应商负责处理并承担经济和道义上的责任，采购人不承担任何责任。</w:t>
      </w:r>
    </w:p>
    <w:p w14:paraId="29E62CDF">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3、供应商违反国家相关法规，与服务人员发生纠纷，均由供应商负责调解与处理，采购人不承担责任。</w:t>
      </w:r>
    </w:p>
    <w:p w14:paraId="37B2C51C">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4、供应商在服务中造成第三方人身伤亡及财产损失的，均由供应商负责处理并承担经济和道义上的责任，采购人不承担任何责任。造成工作范围内的设施、设备等损坏的，由直接负责人赔偿，若直接负责人因故无法赔偿的，采购人有权要求供应商负责赔偿损失，情节严重的可终止合同甚至诉诸法律。</w:t>
      </w:r>
    </w:p>
    <w:p w14:paraId="5E4E91FB">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5、因供应商或其服务人员原因造成服务地点发生安全事故（如人身伤害、火灾、</w:t>
      </w:r>
      <w:r>
        <w:rPr>
          <w:rStyle w:val="268"/>
          <w:rFonts w:hint="eastAsia" w:ascii="宋体" w:hAnsi="宋体" w:cs="宋体"/>
          <w:color w:val="auto"/>
          <w:szCs w:val="21"/>
          <w:highlight w:val="none"/>
          <w:lang w:val="en-US"/>
        </w:rPr>
        <w:t>盗窃</w:t>
      </w:r>
      <w:r>
        <w:rPr>
          <w:rStyle w:val="268"/>
          <w:rFonts w:hint="eastAsia" w:ascii="宋体" w:hAnsi="宋体" w:cs="宋体"/>
          <w:color w:val="auto"/>
          <w:szCs w:val="21"/>
          <w:highlight w:val="none"/>
        </w:rPr>
        <w:t>），要追究相关责任，供应商应协助采购人追究责任，并承担相应的赔偿责任。</w:t>
      </w:r>
    </w:p>
    <w:p w14:paraId="594CD7F0">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6、若供应商在服务管理期间，违反下列规定将被解除服务合同：</w:t>
      </w:r>
      <w:bookmarkStart w:id="8" w:name="_GoBack"/>
      <w:bookmarkEnd w:id="8"/>
    </w:p>
    <w:p w14:paraId="40D271A2">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（1）将本项目转包他人。</w:t>
      </w:r>
    </w:p>
    <w:p w14:paraId="7187237B">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（2）在履行合同期间，若所提供的服务未能达到采购文件规定的标准及其投标承诺。</w:t>
      </w:r>
    </w:p>
    <w:p w14:paraId="47D0EF28">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（3）未按照国家劳动法规定聘用服务人员；</w:t>
      </w:r>
    </w:p>
    <w:p w14:paraId="0D752A71">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（4）服务人员的工资社保待遇低于最新政策规定的人均最低工资标准和社保缴费标准。</w:t>
      </w:r>
    </w:p>
    <w:p w14:paraId="30F13988">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（5）在服务前，供应商与采购人签订相关的考核标准，考核标准由采购人拟定执行，在服务过程中，如供应商按照相应的考核标准考核不达标的，采购人有权解除服务合同。</w:t>
      </w:r>
    </w:p>
    <w:p w14:paraId="350C8A50">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7、合同履行期间由于供应商的责任造成社会不良影响的，采购方有权根据情节轻重采取以下一项或多项措施：</w:t>
      </w:r>
    </w:p>
    <w:p w14:paraId="555F0AB2">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（1）解除与供应商的合同；</w:t>
      </w:r>
    </w:p>
    <w:p w14:paraId="6632B42C">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（2）涉及违约金、赔偿金或其他应付费用的，采购方有权从应支付供应商的服务费等可扣款项中扣除（若上述款项不足或没有可扣除款项，供应商应另行向采购人支付）。</w:t>
      </w:r>
    </w:p>
    <w:p w14:paraId="0CB59E9E">
      <w:pPr>
        <w:spacing w:line="360" w:lineRule="auto"/>
        <w:ind w:firstLine="482"/>
        <w:rPr>
          <w:rStyle w:val="268"/>
          <w:rFonts w:hint="eastAsia" w:ascii="宋体" w:hAnsi="宋体" w:cs="宋体"/>
          <w:color w:val="auto"/>
          <w:szCs w:val="21"/>
          <w:highlight w:val="none"/>
        </w:rPr>
      </w:pPr>
      <w:r>
        <w:rPr>
          <w:rStyle w:val="268"/>
          <w:rFonts w:hint="eastAsia" w:ascii="宋体" w:hAnsi="宋体" w:cs="宋体"/>
          <w:color w:val="auto"/>
          <w:szCs w:val="21"/>
          <w:highlight w:val="none"/>
        </w:rPr>
        <w:t>8、服务期满后或任何原因提前终止等，供应商所提供的为本项目服务的人员由供应商自行负责，采购人不承担任何义务与责任。供应商确保在服务期满前三月或提前终止前一周向采购人出具处置其服务人员的书面预案，并积极予以处置、确保服务期满或终止后一周内完善处置，如发生因此而对采购人造成损失等均由供应商承担赔偿责任、且须承担全部违约责任等。</w:t>
      </w:r>
    </w:p>
    <w:p w14:paraId="31A160C3">
      <w:pPr>
        <w:spacing w:line="360" w:lineRule="auto"/>
        <w:ind w:firstLine="482"/>
        <w:rPr>
          <w:rStyle w:val="268"/>
          <w:rFonts w:hint="eastAsia" w:ascii="宋体" w:hAnsi="宋体" w:cs="宋体"/>
          <w:color w:val="auto"/>
          <w:szCs w:val="21"/>
          <w:highlight w:val="none"/>
        </w:rPr>
      </w:pPr>
      <w:r>
        <w:rPr>
          <w:rStyle w:val="268"/>
          <w:rFonts w:hint="eastAsia" w:ascii="宋体" w:hAnsi="宋体" w:cs="宋体"/>
          <w:b/>
          <w:bCs/>
          <w:color w:val="auto"/>
          <w:szCs w:val="21"/>
          <w:highlight w:val="none"/>
        </w:rPr>
        <w:t>（七）项目验收、考核、服务费结算要求：</w:t>
      </w:r>
      <w:r>
        <w:rPr>
          <w:rStyle w:val="268"/>
          <w:rFonts w:hint="eastAsia" w:ascii="宋体" w:hAnsi="宋体" w:cs="宋体"/>
          <w:color w:val="auto"/>
          <w:szCs w:val="21"/>
          <w:highlight w:val="none"/>
        </w:rPr>
        <w:t xml:space="preserve"> </w:t>
      </w:r>
    </w:p>
    <w:p w14:paraId="423A9111">
      <w:pPr>
        <w:spacing w:line="360" w:lineRule="auto"/>
        <w:ind w:firstLine="480"/>
        <w:rPr>
          <w:rStyle w:val="268"/>
          <w:rFonts w:hint="eastAsia" w:ascii="宋体" w:hAnsi="宋体" w:cs="宋体"/>
          <w:color w:val="auto"/>
          <w:szCs w:val="21"/>
          <w:highlight w:val="none"/>
        </w:rPr>
      </w:pPr>
      <w:r>
        <w:rPr>
          <w:rStyle w:val="268"/>
          <w:rFonts w:hint="eastAsia" w:ascii="宋体" w:hAnsi="宋体" w:cs="宋体"/>
          <w:color w:val="auto"/>
          <w:szCs w:val="21"/>
          <w:highlight w:val="none"/>
        </w:rPr>
        <w:t>1.供应商应每月向采购人提交服务报告，包含但不限于各类别服务人员工作量、考勤、培训、奖惩、服务工作开展情况及存在问题等。供应商的服务报告将作为采购人进行验收的重要依据。采购人根据招标文件、供应商投标文件的服务内容及相关标准对供应商完成工作的服务质量、技术指标、服务成果进行验收。</w:t>
      </w:r>
    </w:p>
    <w:p w14:paraId="48AFE95C">
      <w:pPr>
        <w:spacing w:line="360" w:lineRule="auto"/>
        <w:ind w:firstLine="480"/>
        <w:rPr>
          <w:rStyle w:val="268"/>
          <w:rFonts w:hint="eastAsia" w:ascii="宋体" w:hAnsi="宋体" w:cs="宋体"/>
          <w:color w:val="auto"/>
          <w:szCs w:val="21"/>
          <w:highlight w:val="none"/>
        </w:rPr>
      </w:pPr>
      <w:r>
        <w:rPr>
          <w:rStyle w:val="268"/>
          <w:rFonts w:hint="eastAsia" w:ascii="宋体" w:hAnsi="宋体" w:cs="宋体"/>
          <w:color w:val="auto"/>
          <w:szCs w:val="21"/>
          <w:highlight w:val="none"/>
        </w:rPr>
        <w:t>2.合同签订生效后，经采购人按月对服务质效进行考核，考核以《非执法类辅助性服务月度考核表》为依据，进行综合测评打分。考核结果双方确认后10日内结算上月的费用，凭采购人认可的增值税发票结算。</w:t>
      </w:r>
    </w:p>
    <w:p w14:paraId="1FD999C7">
      <w:pPr>
        <w:spacing w:line="360" w:lineRule="auto"/>
        <w:ind w:firstLine="480"/>
        <w:rPr>
          <w:rFonts w:hint="eastAsia" w:ascii="宋体" w:hAnsi="宋体" w:cs="宋体"/>
          <w:color w:val="auto"/>
          <w:szCs w:val="21"/>
          <w:highlight w:val="none"/>
        </w:rPr>
      </w:pPr>
      <w:r>
        <w:rPr>
          <w:rStyle w:val="268"/>
          <w:rFonts w:hint="eastAsia" w:ascii="宋体" w:hAnsi="宋体" w:cs="宋体"/>
          <w:color w:val="auto"/>
          <w:szCs w:val="21"/>
          <w:highlight w:val="none"/>
        </w:rPr>
        <w:t>3.</w:t>
      </w:r>
      <w:r>
        <w:rPr>
          <w:rFonts w:hint="eastAsia"/>
          <w:color w:val="auto"/>
          <w:highlight w:val="none"/>
        </w:rPr>
        <w:t xml:space="preserve"> </w:t>
      </w:r>
      <w:r>
        <w:rPr>
          <w:rStyle w:val="268"/>
          <w:rFonts w:ascii="宋体" w:hAnsi="宋体" w:cs="宋体"/>
          <w:color w:val="auto"/>
          <w:szCs w:val="21"/>
          <w:highlight w:val="none"/>
        </w:rPr>
        <w:t>非执法类辅助性服务月度考核表</w:t>
      </w:r>
    </w:p>
    <w:tbl>
      <w:tblPr>
        <w:tblStyle w:val="47"/>
        <w:tblW w:w="9992" w:type="dxa"/>
        <w:jc w:val="center"/>
        <w:tblLayout w:type="fixed"/>
        <w:tblCellMar>
          <w:top w:w="0" w:type="dxa"/>
          <w:left w:w="108" w:type="dxa"/>
          <w:bottom w:w="0" w:type="dxa"/>
          <w:right w:w="108" w:type="dxa"/>
        </w:tblCellMar>
      </w:tblPr>
      <w:tblGrid>
        <w:gridCol w:w="878"/>
        <w:gridCol w:w="7770"/>
        <w:gridCol w:w="1344"/>
      </w:tblGrid>
      <w:tr w14:paraId="7C70C760">
        <w:tblPrEx>
          <w:tblCellMar>
            <w:top w:w="0" w:type="dxa"/>
            <w:left w:w="108" w:type="dxa"/>
            <w:bottom w:w="0" w:type="dxa"/>
            <w:right w:w="108" w:type="dxa"/>
          </w:tblCellMar>
        </w:tblPrEx>
        <w:trPr>
          <w:trHeight w:val="589"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23A2F3A9">
            <w:pPr>
              <w:spacing w:line="460" w:lineRule="exact"/>
              <w:ind w:right="45"/>
              <w:jc w:val="center"/>
              <w:rPr>
                <w:rStyle w:val="268"/>
                <w:rFonts w:ascii="宋体" w:hAnsi="宋体" w:cs="宋体"/>
                <w:color w:val="auto"/>
                <w:szCs w:val="21"/>
                <w:highlight w:val="none"/>
              </w:rPr>
            </w:pPr>
            <w:r>
              <w:rPr>
                <w:rStyle w:val="268"/>
                <w:rFonts w:ascii="宋体" w:hAnsi="宋体" w:cs="宋体"/>
                <w:color w:val="auto"/>
                <w:szCs w:val="21"/>
                <w:highlight w:val="none"/>
              </w:rPr>
              <w:t>序号</w:t>
            </w:r>
          </w:p>
        </w:tc>
        <w:tc>
          <w:tcPr>
            <w:tcW w:w="7770" w:type="dxa"/>
            <w:tcBorders>
              <w:top w:val="single" w:color="auto" w:sz="4" w:space="0"/>
              <w:left w:val="nil"/>
              <w:bottom w:val="single" w:color="auto" w:sz="4" w:space="0"/>
              <w:right w:val="single" w:color="auto" w:sz="4" w:space="0"/>
            </w:tcBorders>
            <w:noWrap/>
            <w:vAlign w:val="center"/>
          </w:tcPr>
          <w:p w14:paraId="341EB714">
            <w:pPr>
              <w:spacing w:line="460" w:lineRule="exact"/>
              <w:ind w:right="45"/>
              <w:jc w:val="center"/>
              <w:rPr>
                <w:rStyle w:val="268"/>
                <w:rFonts w:ascii="宋体" w:hAnsi="宋体" w:cs="宋体"/>
                <w:color w:val="auto"/>
                <w:szCs w:val="21"/>
                <w:highlight w:val="none"/>
              </w:rPr>
            </w:pPr>
            <w:r>
              <w:rPr>
                <w:rStyle w:val="268"/>
                <w:rFonts w:ascii="宋体" w:hAnsi="宋体" w:cs="宋体"/>
                <w:color w:val="auto"/>
                <w:szCs w:val="21"/>
                <w:highlight w:val="none"/>
              </w:rPr>
              <w:t>考核内容</w:t>
            </w:r>
          </w:p>
        </w:tc>
        <w:tc>
          <w:tcPr>
            <w:tcW w:w="1344" w:type="dxa"/>
            <w:tcBorders>
              <w:top w:val="single" w:color="auto" w:sz="4" w:space="0"/>
              <w:left w:val="nil"/>
              <w:bottom w:val="single" w:color="auto" w:sz="4" w:space="0"/>
              <w:right w:val="single" w:color="auto" w:sz="4" w:space="0"/>
            </w:tcBorders>
            <w:vAlign w:val="center"/>
          </w:tcPr>
          <w:p w14:paraId="6126DB31">
            <w:pPr>
              <w:spacing w:line="460" w:lineRule="exact"/>
              <w:ind w:right="45"/>
              <w:jc w:val="center"/>
              <w:rPr>
                <w:rStyle w:val="268"/>
                <w:rFonts w:ascii="宋体" w:hAnsi="宋体" w:cs="宋体"/>
                <w:color w:val="auto"/>
                <w:szCs w:val="21"/>
                <w:highlight w:val="none"/>
              </w:rPr>
            </w:pPr>
            <w:r>
              <w:rPr>
                <w:rStyle w:val="268"/>
                <w:rFonts w:ascii="宋体" w:hAnsi="宋体" w:cs="宋体"/>
                <w:color w:val="auto"/>
                <w:szCs w:val="21"/>
                <w:highlight w:val="none"/>
              </w:rPr>
              <w:t>考核分值</w:t>
            </w:r>
          </w:p>
        </w:tc>
      </w:tr>
      <w:tr w14:paraId="04FC3FBB">
        <w:tblPrEx>
          <w:tblCellMar>
            <w:top w:w="0" w:type="dxa"/>
            <w:left w:w="108" w:type="dxa"/>
            <w:bottom w:w="0" w:type="dxa"/>
            <w:right w:w="108" w:type="dxa"/>
          </w:tblCellMar>
        </w:tblPrEx>
        <w:trPr>
          <w:trHeight w:val="839" w:hRule="atLeast"/>
          <w:jc w:val="center"/>
        </w:trPr>
        <w:tc>
          <w:tcPr>
            <w:tcW w:w="878" w:type="dxa"/>
            <w:tcBorders>
              <w:top w:val="nil"/>
              <w:left w:val="single" w:color="auto" w:sz="4" w:space="0"/>
              <w:bottom w:val="single" w:color="auto" w:sz="4" w:space="0"/>
              <w:right w:val="single" w:color="auto" w:sz="4" w:space="0"/>
            </w:tcBorders>
            <w:vAlign w:val="center"/>
          </w:tcPr>
          <w:p w14:paraId="4B803675">
            <w:pPr>
              <w:spacing w:line="460" w:lineRule="exact"/>
              <w:ind w:right="45"/>
              <w:jc w:val="center"/>
              <w:rPr>
                <w:rStyle w:val="268"/>
                <w:rFonts w:ascii="宋体" w:hAnsi="宋体" w:cs="宋体"/>
                <w:color w:val="auto"/>
                <w:szCs w:val="21"/>
                <w:highlight w:val="none"/>
              </w:rPr>
            </w:pPr>
            <w:r>
              <w:rPr>
                <w:rStyle w:val="268"/>
                <w:rFonts w:ascii="宋体" w:hAnsi="宋体" w:cs="宋体"/>
                <w:color w:val="auto"/>
                <w:szCs w:val="21"/>
                <w:highlight w:val="none"/>
              </w:rPr>
              <w:t>1</w:t>
            </w:r>
          </w:p>
        </w:tc>
        <w:tc>
          <w:tcPr>
            <w:tcW w:w="7770" w:type="dxa"/>
            <w:tcBorders>
              <w:top w:val="nil"/>
              <w:left w:val="nil"/>
              <w:bottom w:val="single" w:color="auto" w:sz="4" w:space="0"/>
              <w:right w:val="single" w:color="auto" w:sz="4" w:space="0"/>
            </w:tcBorders>
            <w:vAlign w:val="center"/>
          </w:tcPr>
          <w:p w14:paraId="05598148">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供应商完成采购人交办的服务工作量，服务质量达标，并及时与采购人沟通，对工作中发现的问题及时做出回应并妥善处理。</w:t>
            </w:r>
          </w:p>
        </w:tc>
        <w:tc>
          <w:tcPr>
            <w:tcW w:w="1344" w:type="dxa"/>
            <w:tcBorders>
              <w:top w:val="nil"/>
              <w:left w:val="nil"/>
              <w:bottom w:val="single" w:color="auto" w:sz="4" w:space="0"/>
              <w:right w:val="single" w:color="auto" w:sz="4" w:space="0"/>
            </w:tcBorders>
            <w:noWrap/>
            <w:vAlign w:val="center"/>
          </w:tcPr>
          <w:p w14:paraId="7A40A797">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10</w:t>
            </w:r>
          </w:p>
        </w:tc>
      </w:tr>
      <w:tr w14:paraId="7BFA04E3">
        <w:tblPrEx>
          <w:tblCellMar>
            <w:top w:w="0" w:type="dxa"/>
            <w:left w:w="108" w:type="dxa"/>
            <w:bottom w:w="0" w:type="dxa"/>
            <w:right w:w="108" w:type="dxa"/>
          </w:tblCellMar>
        </w:tblPrEx>
        <w:trPr>
          <w:trHeight w:val="839" w:hRule="atLeast"/>
          <w:jc w:val="center"/>
        </w:trPr>
        <w:tc>
          <w:tcPr>
            <w:tcW w:w="878" w:type="dxa"/>
            <w:tcBorders>
              <w:top w:val="nil"/>
              <w:left w:val="single" w:color="auto" w:sz="4" w:space="0"/>
              <w:bottom w:val="single" w:color="auto" w:sz="4" w:space="0"/>
              <w:right w:val="single" w:color="auto" w:sz="4" w:space="0"/>
            </w:tcBorders>
            <w:vAlign w:val="center"/>
          </w:tcPr>
          <w:p w14:paraId="4F06E2D0">
            <w:pPr>
              <w:spacing w:line="460" w:lineRule="exact"/>
              <w:ind w:right="45"/>
              <w:jc w:val="center"/>
              <w:rPr>
                <w:rStyle w:val="268"/>
                <w:rFonts w:ascii="宋体" w:hAnsi="宋体" w:cs="宋体"/>
                <w:color w:val="auto"/>
                <w:szCs w:val="21"/>
                <w:highlight w:val="none"/>
              </w:rPr>
            </w:pPr>
            <w:r>
              <w:rPr>
                <w:rStyle w:val="268"/>
                <w:rFonts w:ascii="宋体" w:hAnsi="宋体" w:cs="宋体"/>
                <w:color w:val="auto"/>
                <w:szCs w:val="21"/>
                <w:highlight w:val="none"/>
              </w:rPr>
              <w:t>2</w:t>
            </w:r>
          </w:p>
        </w:tc>
        <w:tc>
          <w:tcPr>
            <w:tcW w:w="7770" w:type="dxa"/>
            <w:tcBorders>
              <w:top w:val="nil"/>
              <w:left w:val="nil"/>
              <w:bottom w:val="single" w:color="auto" w:sz="4" w:space="0"/>
              <w:right w:val="single" w:color="auto" w:sz="4" w:space="0"/>
            </w:tcBorders>
            <w:vAlign w:val="center"/>
          </w:tcPr>
          <w:p w14:paraId="169EA32B">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供应商按照采购合同约定提供服务，满足服务岗位需求的得满分，出现服务岗位空缺且没有提前告知采购人，或已告知但未能及时补充服务人员的，该项不得分。</w:t>
            </w:r>
          </w:p>
        </w:tc>
        <w:tc>
          <w:tcPr>
            <w:tcW w:w="1344" w:type="dxa"/>
            <w:tcBorders>
              <w:top w:val="nil"/>
              <w:left w:val="nil"/>
              <w:bottom w:val="single" w:color="auto" w:sz="4" w:space="0"/>
              <w:right w:val="single" w:color="auto" w:sz="4" w:space="0"/>
            </w:tcBorders>
            <w:noWrap/>
            <w:vAlign w:val="center"/>
          </w:tcPr>
          <w:p w14:paraId="46B2E867">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5</w:t>
            </w:r>
          </w:p>
        </w:tc>
      </w:tr>
      <w:tr w14:paraId="0C131937">
        <w:tblPrEx>
          <w:tblCellMar>
            <w:top w:w="0" w:type="dxa"/>
            <w:left w:w="108" w:type="dxa"/>
            <w:bottom w:w="0" w:type="dxa"/>
            <w:right w:w="108" w:type="dxa"/>
          </w:tblCellMar>
        </w:tblPrEx>
        <w:trPr>
          <w:trHeight w:val="996"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191EB25C">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3</w:t>
            </w:r>
          </w:p>
        </w:tc>
        <w:tc>
          <w:tcPr>
            <w:tcW w:w="7770" w:type="dxa"/>
            <w:tcBorders>
              <w:top w:val="single" w:color="auto" w:sz="4" w:space="0"/>
              <w:left w:val="single" w:color="auto" w:sz="4" w:space="0"/>
              <w:bottom w:val="single" w:color="auto" w:sz="4" w:space="0"/>
              <w:right w:val="single" w:color="auto" w:sz="4" w:space="0"/>
            </w:tcBorders>
            <w:vAlign w:val="center"/>
          </w:tcPr>
          <w:p w14:paraId="7F65B0D4">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服务人员上班无故迟到或早退每次扣1分；上班时间内无故脱岗30分钟及以上的每次扣1分；出现旷工的扣2分；未认真执行、晨会、中午值班、延时服务等管理制度的，每次扣2分；保持整洁，办公桌面摆放办公用品有序、台面整洁；有一项不符合规定的，扣1分。未按规定着装的，每次扣1分；串岗聊天或聚众闲聊，每次扣2分；在玩游戏、网上聊天购物等做与工作无关的事情、发现一次，扣2分。违反信息化、保密规定的，造成信息化事故或者泄密的，按次扣5分</w:t>
            </w:r>
          </w:p>
        </w:tc>
        <w:tc>
          <w:tcPr>
            <w:tcW w:w="1344" w:type="dxa"/>
            <w:tcBorders>
              <w:top w:val="single" w:color="auto" w:sz="4" w:space="0"/>
              <w:left w:val="single" w:color="auto" w:sz="4" w:space="0"/>
              <w:bottom w:val="single" w:color="auto" w:sz="4" w:space="0"/>
              <w:right w:val="single" w:color="auto" w:sz="4" w:space="0"/>
            </w:tcBorders>
            <w:noWrap/>
            <w:vAlign w:val="center"/>
          </w:tcPr>
          <w:p w14:paraId="00D8B43E">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20</w:t>
            </w:r>
          </w:p>
        </w:tc>
      </w:tr>
      <w:tr w14:paraId="13B82FEE">
        <w:tblPrEx>
          <w:tblCellMar>
            <w:top w:w="0" w:type="dxa"/>
            <w:left w:w="108" w:type="dxa"/>
            <w:bottom w:w="0" w:type="dxa"/>
            <w:right w:w="108" w:type="dxa"/>
          </w:tblCellMar>
        </w:tblPrEx>
        <w:trPr>
          <w:trHeight w:val="473"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3BDAC7B3">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4</w:t>
            </w:r>
          </w:p>
        </w:tc>
        <w:tc>
          <w:tcPr>
            <w:tcW w:w="7770" w:type="dxa"/>
            <w:tcBorders>
              <w:top w:val="single" w:color="auto" w:sz="4" w:space="0"/>
              <w:left w:val="nil"/>
              <w:bottom w:val="single" w:color="auto" w:sz="4" w:space="0"/>
              <w:right w:val="single" w:color="auto" w:sz="4" w:space="0"/>
            </w:tcBorders>
            <w:vAlign w:val="center"/>
          </w:tcPr>
          <w:p w14:paraId="3D2F1272">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服务人员在工作中发生轻微业务差错的，未造成严重后果的，每次扣1分；出现无法补救的差错或者在各级督查、审计、巡察中被发现的，每次扣5分。</w:t>
            </w:r>
          </w:p>
        </w:tc>
        <w:tc>
          <w:tcPr>
            <w:tcW w:w="1344" w:type="dxa"/>
            <w:tcBorders>
              <w:top w:val="single" w:color="auto" w:sz="4" w:space="0"/>
              <w:left w:val="nil"/>
              <w:bottom w:val="single" w:color="auto" w:sz="4" w:space="0"/>
              <w:right w:val="single" w:color="auto" w:sz="4" w:space="0"/>
            </w:tcBorders>
            <w:noWrap/>
            <w:vAlign w:val="center"/>
          </w:tcPr>
          <w:p w14:paraId="33909779">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20</w:t>
            </w:r>
          </w:p>
        </w:tc>
      </w:tr>
      <w:tr w14:paraId="4634BE25">
        <w:tblPrEx>
          <w:tblCellMar>
            <w:top w:w="0" w:type="dxa"/>
            <w:left w:w="108" w:type="dxa"/>
            <w:bottom w:w="0" w:type="dxa"/>
            <w:right w:w="108" w:type="dxa"/>
          </w:tblCellMar>
        </w:tblPrEx>
        <w:trPr>
          <w:trHeight w:val="473"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6ADF0248">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5</w:t>
            </w:r>
          </w:p>
        </w:tc>
        <w:tc>
          <w:tcPr>
            <w:tcW w:w="7770" w:type="dxa"/>
            <w:tcBorders>
              <w:top w:val="single" w:color="auto" w:sz="4" w:space="0"/>
              <w:left w:val="nil"/>
              <w:bottom w:val="single" w:color="auto" w:sz="4" w:space="0"/>
              <w:right w:val="single" w:color="auto" w:sz="4" w:space="0"/>
            </w:tcBorders>
            <w:vAlign w:val="center"/>
          </w:tcPr>
          <w:p w14:paraId="4FE5629C">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服务人员在明查、暗访中被发现查实的问题，每次扣2分；工作中被投诉后查实的，每次扣2分；引发负面舆情被查实的，每次扣5分。</w:t>
            </w:r>
          </w:p>
        </w:tc>
        <w:tc>
          <w:tcPr>
            <w:tcW w:w="1344" w:type="dxa"/>
            <w:tcBorders>
              <w:top w:val="single" w:color="auto" w:sz="4" w:space="0"/>
              <w:left w:val="nil"/>
              <w:bottom w:val="single" w:color="auto" w:sz="4" w:space="0"/>
              <w:right w:val="single" w:color="auto" w:sz="4" w:space="0"/>
            </w:tcBorders>
            <w:noWrap/>
            <w:vAlign w:val="center"/>
          </w:tcPr>
          <w:p w14:paraId="7616739A">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10</w:t>
            </w:r>
          </w:p>
        </w:tc>
      </w:tr>
      <w:tr w14:paraId="132E3417">
        <w:tblPrEx>
          <w:tblCellMar>
            <w:top w:w="0" w:type="dxa"/>
            <w:left w:w="108" w:type="dxa"/>
            <w:bottom w:w="0" w:type="dxa"/>
            <w:right w:w="108" w:type="dxa"/>
          </w:tblCellMar>
        </w:tblPrEx>
        <w:trPr>
          <w:trHeight w:val="473"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591E0EE4">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6</w:t>
            </w:r>
          </w:p>
        </w:tc>
        <w:tc>
          <w:tcPr>
            <w:tcW w:w="7770" w:type="dxa"/>
            <w:tcBorders>
              <w:top w:val="single" w:color="auto" w:sz="4" w:space="0"/>
              <w:left w:val="nil"/>
              <w:bottom w:val="single" w:color="auto" w:sz="4" w:space="0"/>
              <w:right w:val="single" w:color="auto" w:sz="4" w:space="0"/>
            </w:tcBorders>
            <w:vAlign w:val="center"/>
          </w:tcPr>
          <w:p w14:paraId="1E55A48A">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发生服务人员个人或集体违规串联聚集、违规上访、在网络上发表不实（当）言论的，按次扣5分；造成舆情及不良影响的，按次扣10分</w:t>
            </w:r>
          </w:p>
        </w:tc>
        <w:tc>
          <w:tcPr>
            <w:tcW w:w="1344" w:type="dxa"/>
            <w:tcBorders>
              <w:top w:val="single" w:color="auto" w:sz="4" w:space="0"/>
              <w:left w:val="nil"/>
              <w:bottom w:val="single" w:color="auto" w:sz="4" w:space="0"/>
              <w:right w:val="single" w:color="auto" w:sz="4" w:space="0"/>
            </w:tcBorders>
            <w:noWrap/>
            <w:vAlign w:val="center"/>
          </w:tcPr>
          <w:p w14:paraId="7680D7DC">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10</w:t>
            </w:r>
          </w:p>
        </w:tc>
      </w:tr>
      <w:tr w14:paraId="64BA9FE1">
        <w:tblPrEx>
          <w:tblCellMar>
            <w:top w:w="0" w:type="dxa"/>
            <w:left w:w="108" w:type="dxa"/>
            <w:bottom w:w="0" w:type="dxa"/>
            <w:right w:w="108" w:type="dxa"/>
          </w:tblCellMar>
        </w:tblPrEx>
        <w:trPr>
          <w:trHeight w:val="519" w:hRule="atLeast"/>
          <w:jc w:val="center"/>
        </w:trPr>
        <w:tc>
          <w:tcPr>
            <w:tcW w:w="878" w:type="dxa"/>
            <w:tcBorders>
              <w:top w:val="nil"/>
              <w:left w:val="single" w:color="auto" w:sz="4" w:space="0"/>
              <w:bottom w:val="single" w:color="auto" w:sz="4" w:space="0"/>
              <w:right w:val="single" w:color="auto" w:sz="4" w:space="0"/>
            </w:tcBorders>
            <w:vAlign w:val="center"/>
          </w:tcPr>
          <w:p w14:paraId="529AE07C">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7</w:t>
            </w:r>
          </w:p>
        </w:tc>
        <w:tc>
          <w:tcPr>
            <w:tcW w:w="7770" w:type="dxa"/>
            <w:tcBorders>
              <w:top w:val="nil"/>
              <w:left w:val="nil"/>
              <w:bottom w:val="single" w:color="auto" w:sz="4" w:space="0"/>
              <w:right w:val="single" w:color="auto" w:sz="4" w:space="0"/>
            </w:tcBorders>
            <w:vAlign w:val="center"/>
          </w:tcPr>
          <w:p w14:paraId="064DBCC7">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遇突发事件，服务商应安排经理级别以上人员迅速赶赴服务现场，并进行应急处理，应急处理快速得当。</w:t>
            </w:r>
          </w:p>
        </w:tc>
        <w:tc>
          <w:tcPr>
            <w:tcW w:w="1344" w:type="dxa"/>
            <w:tcBorders>
              <w:top w:val="nil"/>
              <w:left w:val="nil"/>
              <w:bottom w:val="single" w:color="auto" w:sz="4" w:space="0"/>
              <w:right w:val="single" w:color="auto" w:sz="4" w:space="0"/>
            </w:tcBorders>
            <w:noWrap/>
            <w:vAlign w:val="center"/>
          </w:tcPr>
          <w:p w14:paraId="44AC77B2">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10</w:t>
            </w:r>
          </w:p>
        </w:tc>
      </w:tr>
      <w:tr w14:paraId="26EAC839">
        <w:tblPrEx>
          <w:tblCellMar>
            <w:top w:w="0" w:type="dxa"/>
            <w:left w:w="108" w:type="dxa"/>
            <w:bottom w:w="0" w:type="dxa"/>
            <w:right w:w="108" w:type="dxa"/>
          </w:tblCellMar>
        </w:tblPrEx>
        <w:trPr>
          <w:trHeight w:val="810" w:hRule="atLeast"/>
          <w:jc w:val="center"/>
        </w:trPr>
        <w:tc>
          <w:tcPr>
            <w:tcW w:w="878" w:type="dxa"/>
            <w:tcBorders>
              <w:top w:val="nil"/>
              <w:left w:val="single" w:color="auto" w:sz="4" w:space="0"/>
              <w:bottom w:val="single" w:color="auto" w:sz="4" w:space="0"/>
              <w:right w:val="single" w:color="auto" w:sz="4" w:space="0"/>
            </w:tcBorders>
            <w:vAlign w:val="center"/>
          </w:tcPr>
          <w:p w14:paraId="6E6B11AE">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8</w:t>
            </w:r>
          </w:p>
        </w:tc>
        <w:tc>
          <w:tcPr>
            <w:tcW w:w="7770" w:type="dxa"/>
            <w:tcBorders>
              <w:top w:val="nil"/>
              <w:left w:val="nil"/>
              <w:bottom w:val="single" w:color="auto" w:sz="4" w:space="0"/>
              <w:right w:val="single" w:color="auto" w:sz="4" w:space="0"/>
            </w:tcBorders>
            <w:vAlign w:val="center"/>
          </w:tcPr>
          <w:p w14:paraId="78BFF065">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按月开展现场巡查并形成巡查报告、列明发现的问题及整改措施，未开展巡查的，当月该项不得分；巡查报告质量不高的，扣2分。</w:t>
            </w:r>
          </w:p>
        </w:tc>
        <w:tc>
          <w:tcPr>
            <w:tcW w:w="1344" w:type="dxa"/>
            <w:tcBorders>
              <w:top w:val="nil"/>
              <w:left w:val="nil"/>
              <w:bottom w:val="single" w:color="auto" w:sz="4" w:space="0"/>
              <w:right w:val="single" w:color="auto" w:sz="4" w:space="0"/>
            </w:tcBorders>
            <w:noWrap/>
            <w:vAlign w:val="center"/>
          </w:tcPr>
          <w:p w14:paraId="2A019C88">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5</w:t>
            </w:r>
          </w:p>
        </w:tc>
      </w:tr>
      <w:tr w14:paraId="0B5B3916">
        <w:tblPrEx>
          <w:tblCellMar>
            <w:top w:w="0" w:type="dxa"/>
            <w:left w:w="108" w:type="dxa"/>
            <w:bottom w:w="0" w:type="dxa"/>
            <w:right w:w="108" w:type="dxa"/>
          </w:tblCellMar>
        </w:tblPrEx>
        <w:trPr>
          <w:trHeight w:val="733" w:hRule="atLeast"/>
          <w:jc w:val="center"/>
        </w:trPr>
        <w:tc>
          <w:tcPr>
            <w:tcW w:w="878" w:type="dxa"/>
            <w:tcBorders>
              <w:top w:val="nil"/>
              <w:left w:val="single" w:color="auto" w:sz="4" w:space="0"/>
              <w:bottom w:val="single" w:color="auto" w:sz="4" w:space="0"/>
              <w:right w:val="single" w:color="auto" w:sz="4" w:space="0"/>
            </w:tcBorders>
            <w:vAlign w:val="center"/>
          </w:tcPr>
          <w:p w14:paraId="3CC044D8">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lang w:val="en-US"/>
              </w:rPr>
              <w:t>9</w:t>
            </w:r>
          </w:p>
        </w:tc>
        <w:tc>
          <w:tcPr>
            <w:tcW w:w="7770" w:type="dxa"/>
            <w:tcBorders>
              <w:top w:val="nil"/>
              <w:left w:val="nil"/>
              <w:bottom w:val="single" w:color="auto" w:sz="4" w:space="0"/>
              <w:right w:val="single" w:color="auto" w:sz="4" w:space="0"/>
            </w:tcBorders>
            <w:vAlign w:val="center"/>
          </w:tcPr>
          <w:p w14:paraId="40D48987">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服务人员发生违反廉洁规定、酒驾醉驾等违纪违法行为，或其行为对采购人造成恶劣影响的，视为严重违反规章制度，每次扣10分。</w:t>
            </w:r>
          </w:p>
        </w:tc>
        <w:tc>
          <w:tcPr>
            <w:tcW w:w="1344" w:type="dxa"/>
            <w:tcBorders>
              <w:top w:val="nil"/>
              <w:left w:val="nil"/>
              <w:bottom w:val="single" w:color="auto" w:sz="4" w:space="0"/>
              <w:right w:val="single" w:color="auto" w:sz="4" w:space="0"/>
            </w:tcBorders>
            <w:noWrap/>
            <w:vAlign w:val="center"/>
          </w:tcPr>
          <w:p w14:paraId="6556E563">
            <w:pPr>
              <w:spacing w:line="460" w:lineRule="exact"/>
              <w:ind w:right="45" w:firstLine="420" w:firstLineChars="200"/>
              <w:rPr>
                <w:rStyle w:val="268"/>
                <w:rFonts w:ascii="宋体" w:hAnsi="宋体" w:cs="宋体"/>
                <w:color w:val="auto"/>
                <w:szCs w:val="21"/>
                <w:highlight w:val="none"/>
              </w:rPr>
            </w:pPr>
            <w:r>
              <w:rPr>
                <w:rStyle w:val="268"/>
                <w:rFonts w:ascii="宋体" w:hAnsi="宋体" w:cs="宋体"/>
                <w:color w:val="auto"/>
                <w:szCs w:val="21"/>
                <w:highlight w:val="none"/>
              </w:rPr>
              <w:t>10</w:t>
            </w:r>
          </w:p>
        </w:tc>
      </w:tr>
      <w:tr w14:paraId="2AE61604">
        <w:tblPrEx>
          <w:tblCellMar>
            <w:top w:w="0" w:type="dxa"/>
            <w:left w:w="108" w:type="dxa"/>
            <w:bottom w:w="0" w:type="dxa"/>
            <w:right w:w="108" w:type="dxa"/>
          </w:tblCellMar>
        </w:tblPrEx>
        <w:trPr>
          <w:trHeight w:val="733" w:hRule="atLeast"/>
          <w:jc w:val="center"/>
        </w:trPr>
        <w:tc>
          <w:tcPr>
            <w:tcW w:w="878" w:type="dxa"/>
            <w:tcBorders>
              <w:top w:val="nil"/>
              <w:left w:val="single" w:color="auto" w:sz="4" w:space="0"/>
              <w:bottom w:val="single" w:color="auto" w:sz="4" w:space="0"/>
              <w:right w:val="single" w:color="auto" w:sz="4" w:space="0"/>
            </w:tcBorders>
            <w:vAlign w:val="center"/>
          </w:tcPr>
          <w:p w14:paraId="694C323F">
            <w:pPr>
              <w:spacing w:line="460" w:lineRule="exact"/>
              <w:ind w:right="45"/>
              <w:jc w:val="center"/>
              <w:rPr>
                <w:rStyle w:val="268"/>
                <w:rFonts w:ascii="宋体" w:hAnsi="宋体" w:cs="宋体"/>
                <w:color w:val="auto"/>
                <w:szCs w:val="21"/>
                <w:highlight w:val="none"/>
              </w:rPr>
            </w:pPr>
          </w:p>
        </w:tc>
        <w:tc>
          <w:tcPr>
            <w:tcW w:w="7770" w:type="dxa"/>
            <w:tcBorders>
              <w:top w:val="nil"/>
              <w:left w:val="nil"/>
              <w:bottom w:val="single" w:color="auto" w:sz="4" w:space="0"/>
              <w:right w:val="single" w:color="auto" w:sz="4" w:space="0"/>
            </w:tcBorders>
            <w:vAlign w:val="center"/>
          </w:tcPr>
          <w:p w14:paraId="50BCC03C">
            <w:pPr>
              <w:spacing w:line="460" w:lineRule="exact"/>
              <w:ind w:right="45" w:firstLine="210" w:firstLineChars="100"/>
              <w:rPr>
                <w:rStyle w:val="268"/>
                <w:rFonts w:ascii="宋体" w:hAnsi="宋体" w:cs="宋体"/>
                <w:color w:val="auto"/>
                <w:szCs w:val="21"/>
                <w:highlight w:val="none"/>
              </w:rPr>
            </w:pPr>
            <w:r>
              <w:rPr>
                <w:rStyle w:val="268"/>
                <w:rFonts w:hint="eastAsia" w:ascii="宋体" w:hAnsi="宋体" w:cs="宋体"/>
                <w:color w:val="auto"/>
                <w:szCs w:val="21"/>
                <w:highlight w:val="none"/>
              </w:rPr>
              <w:t>合计</w:t>
            </w:r>
          </w:p>
        </w:tc>
        <w:tc>
          <w:tcPr>
            <w:tcW w:w="1344" w:type="dxa"/>
            <w:tcBorders>
              <w:top w:val="nil"/>
              <w:left w:val="nil"/>
              <w:bottom w:val="single" w:color="auto" w:sz="4" w:space="0"/>
              <w:right w:val="single" w:color="auto" w:sz="4" w:space="0"/>
            </w:tcBorders>
            <w:noWrap/>
            <w:vAlign w:val="center"/>
          </w:tcPr>
          <w:p w14:paraId="7551B7AD">
            <w:pPr>
              <w:spacing w:line="460" w:lineRule="exact"/>
              <w:ind w:right="45" w:firstLine="420" w:firstLineChars="200"/>
              <w:rPr>
                <w:rStyle w:val="268"/>
                <w:rFonts w:hint="eastAsia" w:ascii="宋体" w:hAnsi="宋体" w:cs="宋体"/>
                <w:color w:val="auto"/>
                <w:szCs w:val="21"/>
                <w:highlight w:val="none"/>
              </w:rPr>
            </w:pPr>
            <w:r>
              <w:rPr>
                <w:rStyle w:val="268"/>
                <w:rFonts w:hint="eastAsia" w:ascii="宋体" w:hAnsi="宋体" w:cs="宋体"/>
                <w:color w:val="auto"/>
                <w:szCs w:val="21"/>
                <w:highlight w:val="none"/>
              </w:rPr>
              <w:t>100</w:t>
            </w:r>
          </w:p>
        </w:tc>
      </w:tr>
      <w:tr w14:paraId="794817D8">
        <w:tblPrEx>
          <w:tblCellMar>
            <w:top w:w="0" w:type="dxa"/>
            <w:left w:w="108" w:type="dxa"/>
            <w:bottom w:w="0" w:type="dxa"/>
            <w:right w:w="108" w:type="dxa"/>
          </w:tblCellMar>
        </w:tblPrEx>
        <w:trPr>
          <w:trHeight w:val="733" w:hRule="atLeast"/>
          <w:jc w:val="center"/>
        </w:trPr>
        <w:tc>
          <w:tcPr>
            <w:tcW w:w="878" w:type="dxa"/>
            <w:tcBorders>
              <w:top w:val="nil"/>
              <w:left w:val="single" w:color="auto" w:sz="4" w:space="0"/>
              <w:bottom w:val="single" w:color="auto" w:sz="4" w:space="0"/>
              <w:right w:val="single" w:color="auto" w:sz="4" w:space="0"/>
            </w:tcBorders>
            <w:vAlign w:val="center"/>
          </w:tcPr>
          <w:p w14:paraId="76A0A733">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rPr>
              <w:t>特别加分项</w:t>
            </w:r>
          </w:p>
        </w:tc>
        <w:tc>
          <w:tcPr>
            <w:tcW w:w="7770" w:type="dxa"/>
            <w:tcBorders>
              <w:top w:val="nil"/>
              <w:left w:val="nil"/>
              <w:bottom w:val="single" w:color="auto" w:sz="4" w:space="0"/>
              <w:right w:val="single" w:color="auto" w:sz="4" w:space="0"/>
            </w:tcBorders>
            <w:vAlign w:val="center"/>
          </w:tcPr>
          <w:p w14:paraId="4631313B">
            <w:pPr>
              <w:spacing w:line="460" w:lineRule="exact"/>
              <w:ind w:right="45" w:firstLine="210" w:firstLineChars="100"/>
              <w:rPr>
                <w:rStyle w:val="268"/>
                <w:rFonts w:ascii="宋体" w:hAnsi="宋体" w:cs="宋体"/>
                <w:color w:val="auto"/>
                <w:szCs w:val="21"/>
                <w:highlight w:val="none"/>
              </w:rPr>
            </w:pPr>
            <w:r>
              <w:rPr>
                <w:rStyle w:val="268"/>
                <w:rFonts w:ascii="宋体" w:hAnsi="宋体" w:cs="宋体"/>
                <w:color w:val="auto"/>
                <w:szCs w:val="21"/>
                <w:highlight w:val="none"/>
              </w:rPr>
              <w:t>1.服务团队</w:t>
            </w:r>
            <w:r>
              <w:rPr>
                <w:rStyle w:val="268"/>
                <w:rFonts w:hint="eastAsia" w:ascii="宋体" w:hAnsi="宋体" w:cs="宋体"/>
                <w:color w:val="auto"/>
                <w:szCs w:val="21"/>
                <w:highlight w:val="none"/>
              </w:rPr>
              <w:t>成员被评选为服务明星或者优秀工作者的，加5分/人次；</w:t>
            </w:r>
          </w:p>
          <w:p w14:paraId="7351D0ED">
            <w:pPr>
              <w:spacing w:line="460" w:lineRule="exact"/>
              <w:ind w:left="210" w:leftChars="100" w:right="45"/>
              <w:rPr>
                <w:rStyle w:val="268"/>
                <w:rFonts w:ascii="宋体" w:hAnsi="宋体" w:cs="宋体"/>
                <w:color w:val="auto"/>
                <w:szCs w:val="21"/>
                <w:highlight w:val="none"/>
              </w:rPr>
            </w:pPr>
            <w:r>
              <w:rPr>
                <w:rStyle w:val="268"/>
                <w:rFonts w:ascii="宋体" w:hAnsi="宋体" w:cs="宋体"/>
                <w:color w:val="auto"/>
                <w:szCs w:val="21"/>
                <w:highlight w:val="none"/>
              </w:rPr>
              <w:t>2.服务团队向采购人提出合理化建议，收到良好效果的，每采纳一条加5分</w:t>
            </w:r>
            <w:r>
              <w:rPr>
                <w:rStyle w:val="268"/>
                <w:rFonts w:hint="eastAsia" w:ascii="宋体" w:hAnsi="宋体" w:cs="宋体"/>
                <w:color w:val="auto"/>
                <w:szCs w:val="21"/>
                <w:highlight w:val="none"/>
              </w:rPr>
              <w:t>；3</w:t>
            </w:r>
            <w:r>
              <w:rPr>
                <w:rStyle w:val="268"/>
                <w:rFonts w:ascii="宋体" w:hAnsi="宋体" w:cs="宋体"/>
                <w:color w:val="auto"/>
                <w:szCs w:val="21"/>
                <w:highlight w:val="none"/>
              </w:rPr>
              <w:t>.</w:t>
            </w:r>
            <w:r>
              <w:rPr>
                <w:rStyle w:val="268"/>
                <w:rFonts w:hint="eastAsia" w:ascii="宋体" w:hAnsi="宋体" w:cs="宋体"/>
                <w:color w:val="auto"/>
                <w:szCs w:val="21"/>
                <w:highlight w:val="none"/>
              </w:rPr>
              <w:t>服务团队成员</w:t>
            </w:r>
            <w:r>
              <w:rPr>
                <w:rStyle w:val="268"/>
                <w:rFonts w:ascii="宋体" w:hAnsi="宋体" w:cs="宋体"/>
                <w:color w:val="auto"/>
                <w:szCs w:val="21"/>
                <w:highlight w:val="none"/>
              </w:rPr>
              <w:t>受到</w:t>
            </w:r>
            <w:r>
              <w:rPr>
                <w:rStyle w:val="268"/>
                <w:rFonts w:hint="eastAsia" w:ascii="宋体" w:hAnsi="宋体" w:cs="宋体"/>
                <w:color w:val="auto"/>
                <w:szCs w:val="21"/>
                <w:highlight w:val="none"/>
              </w:rPr>
              <w:t>办事企业或者群众</w:t>
            </w:r>
            <w:r>
              <w:rPr>
                <w:rStyle w:val="268"/>
                <w:rFonts w:ascii="宋体" w:hAnsi="宋体" w:cs="宋体"/>
                <w:color w:val="auto"/>
                <w:szCs w:val="21"/>
                <w:highlight w:val="none"/>
              </w:rPr>
              <w:t>表扬，形式包括但不限于表扬信、锦旗、电话表扬、通报表扬、联系值班领导当面表扬等</w:t>
            </w:r>
            <w:r>
              <w:rPr>
                <w:rStyle w:val="268"/>
                <w:rFonts w:hint="eastAsia" w:ascii="宋体" w:hAnsi="宋体" w:cs="宋体"/>
                <w:color w:val="auto"/>
                <w:szCs w:val="21"/>
                <w:highlight w:val="none"/>
              </w:rPr>
              <w:t>，</w:t>
            </w:r>
            <w:r>
              <w:rPr>
                <w:rStyle w:val="268"/>
                <w:rFonts w:ascii="宋体" w:hAnsi="宋体" w:cs="宋体"/>
                <w:color w:val="auto"/>
                <w:szCs w:val="21"/>
                <w:highlight w:val="none"/>
              </w:rPr>
              <w:t>加</w:t>
            </w:r>
            <w:r>
              <w:rPr>
                <w:rStyle w:val="268"/>
                <w:rFonts w:hint="eastAsia" w:ascii="宋体" w:hAnsi="宋体" w:cs="宋体"/>
                <w:color w:val="auto"/>
                <w:szCs w:val="21"/>
                <w:highlight w:val="none"/>
              </w:rPr>
              <w:t>3</w:t>
            </w:r>
            <w:r>
              <w:rPr>
                <w:rStyle w:val="268"/>
                <w:rFonts w:ascii="宋体" w:hAnsi="宋体" w:cs="宋体"/>
                <w:color w:val="auto"/>
                <w:szCs w:val="21"/>
                <w:highlight w:val="none"/>
              </w:rPr>
              <w:t>分，政务服务中心通报表扬</w:t>
            </w:r>
            <w:r>
              <w:rPr>
                <w:rStyle w:val="268"/>
                <w:rFonts w:hint="eastAsia" w:ascii="宋体" w:hAnsi="宋体" w:cs="宋体"/>
                <w:color w:val="auto"/>
                <w:szCs w:val="21"/>
                <w:highlight w:val="none"/>
              </w:rPr>
              <w:t>的</w:t>
            </w:r>
            <w:r>
              <w:rPr>
                <w:rStyle w:val="268"/>
                <w:rFonts w:ascii="宋体" w:hAnsi="宋体" w:cs="宋体"/>
                <w:color w:val="auto"/>
                <w:szCs w:val="21"/>
                <w:highlight w:val="none"/>
              </w:rPr>
              <w:t>加5分</w:t>
            </w:r>
            <w:r>
              <w:rPr>
                <w:rStyle w:val="268"/>
                <w:rFonts w:hint="eastAsia" w:ascii="宋体" w:hAnsi="宋体" w:cs="宋体"/>
                <w:color w:val="auto"/>
                <w:szCs w:val="21"/>
                <w:highlight w:val="none"/>
              </w:rPr>
              <w:t>；</w:t>
            </w:r>
          </w:p>
        </w:tc>
        <w:tc>
          <w:tcPr>
            <w:tcW w:w="1344" w:type="dxa"/>
            <w:tcBorders>
              <w:top w:val="nil"/>
              <w:left w:val="nil"/>
              <w:bottom w:val="single" w:color="auto" w:sz="4" w:space="0"/>
              <w:right w:val="single" w:color="auto" w:sz="4" w:space="0"/>
            </w:tcBorders>
            <w:noWrap/>
            <w:vAlign w:val="center"/>
          </w:tcPr>
          <w:p w14:paraId="470FE8D2">
            <w:pPr>
              <w:spacing w:line="460" w:lineRule="exact"/>
              <w:ind w:right="45" w:firstLine="420" w:firstLineChars="200"/>
              <w:rPr>
                <w:rStyle w:val="268"/>
                <w:rFonts w:ascii="宋体" w:hAnsi="宋体" w:cs="宋体"/>
                <w:color w:val="auto"/>
                <w:szCs w:val="21"/>
                <w:highlight w:val="none"/>
              </w:rPr>
            </w:pPr>
          </w:p>
        </w:tc>
      </w:tr>
      <w:tr w14:paraId="42646D07">
        <w:tblPrEx>
          <w:tblCellMar>
            <w:top w:w="0" w:type="dxa"/>
            <w:left w:w="108" w:type="dxa"/>
            <w:bottom w:w="0" w:type="dxa"/>
            <w:right w:w="108" w:type="dxa"/>
          </w:tblCellMar>
        </w:tblPrEx>
        <w:trPr>
          <w:trHeight w:val="733" w:hRule="atLeast"/>
          <w:jc w:val="center"/>
        </w:trPr>
        <w:tc>
          <w:tcPr>
            <w:tcW w:w="878" w:type="dxa"/>
            <w:tcBorders>
              <w:top w:val="nil"/>
              <w:left w:val="single" w:color="auto" w:sz="4" w:space="0"/>
              <w:bottom w:val="single" w:color="auto" w:sz="4" w:space="0"/>
              <w:right w:val="single" w:color="auto" w:sz="4" w:space="0"/>
            </w:tcBorders>
            <w:vAlign w:val="center"/>
          </w:tcPr>
          <w:p w14:paraId="569ABB6D">
            <w:pPr>
              <w:spacing w:line="460" w:lineRule="exact"/>
              <w:ind w:right="45"/>
              <w:jc w:val="center"/>
              <w:rPr>
                <w:rStyle w:val="268"/>
                <w:rFonts w:ascii="宋体" w:hAnsi="宋体" w:cs="宋体"/>
                <w:color w:val="auto"/>
                <w:szCs w:val="21"/>
                <w:highlight w:val="none"/>
              </w:rPr>
            </w:pPr>
            <w:r>
              <w:rPr>
                <w:rStyle w:val="268"/>
                <w:rFonts w:hint="eastAsia" w:ascii="宋体" w:hAnsi="宋体" w:cs="宋体"/>
                <w:color w:val="auto"/>
                <w:szCs w:val="21"/>
                <w:highlight w:val="none"/>
              </w:rPr>
              <w:t>考核得分</w:t>
            </w:r>
          </w:p>
        </w:tc>
        <w:tc>
          <w:tcPr>
            <w:tcW w:w="7770" w:type="dxa"/>
            <w:tcBorders>
              <w:top w:val="nil"/>
              <w:left w:val="nil"/>
              <w:bottom w:val="single" w:color="auto" w:sz="4" w:space="0"/>
              <w:right w:val="single" w:color="auto" w:sz="4" w:space="0"/>
            </w:tcBorders>
            <w:vAlign w:val="center"/>
          </w:tcPr>
          <w:p w14:paraId="39A50A4C">
            <w:pPr>
              <w:spacing w:line="460" w:lineRule="exact"/>
              <w:ind w:right="45" w:firstLine="210" w:firstLineChars="100"/>
              <w:rPr>
                <w:rStyle w:val="268"/>
                <w:rFonts w:ascii="宋体" w:hAnsi="宋体" w:cs="宋体"/>
                <w:color w:val="auto"/>
                <w:szCs w:val="21"/>
                <w:highlight w:val="none"/>
              </w:rPr>
            </w:pPr>
            <w:r>
              <w:rPr>
                <w:rFonts w:hint="eastAsia" w:ascii="宋体" w:hAnsi="宋体" w:cs="宋体"/>
                <w:color w:val="auto"/>
                <w:szCs w:val="21"/>
                <w:highlight w:val="none"/>
              </w:rPr>
              <w:t>100-扣分+特别加分</w:t>
            </w:r>
          </w:p>
        </w:tc>
        <w:tc>
          <w:tcPr>
            <w:tcW w:w="1344" w:type="dxa"/>
            <w:tcBorders>
              <w:top w:val="nil"/>
              <w:left w:val="nil"/>
              <w:bottom w:val="single" w:color="auto" w:sz="4" w:space="0"/>
              <w:right w:val="single" w:color="auto" w:sz="4" w:space="0"/>
            </w:tcBorders>
            <w:noWrap/>
            <w:vAlign w:val="center"/>
          </w:tcPr>
          <w:p w14:paraId="7C0F35B6">
            <w:pPr>
              <w:spacing w:line="460" w:lineRule="exact"/>
              <w:ind w:right="45" w:firstLine="420" w:firstLineChars="200"/>
              <w:rPr>
                <w:rStyle w:val="268"/>
                <w:rFonts w:ascii="宋体" w:hAnsi="宋体" w:cs="宋体"/>
                <w:color w:val="auto"/>
                <w:szCs w:val="21"/>
                <w:highlight w:val="none"/>
              </w:rPr>
            </w:pPr>
          </w:p>
        </w:tc>
      </w:tr>
    </w:tbl>
    <w:p w14:paraId="26F839F5">
      <w:pPr>
        <w:widowControl/>
        <w:spacing w:line="360" w:lineRule="auto"/>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4.考核结果运用</w:t>
      </w:r>
    </w:p>
    <w:p w14:paraId="09F904DA">
      <w:pPr>
        <w:widowControl/>
        <w:spacing w:line="360" w:lineRule="auto"/>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(1) 考核总分为100分，当月考核得分90分（含）以上的，全额支付当月服务费；当月考核得分90分（不含）-80分（含）的，按90%支付当月服务费；当月考核得分为80分（不含）以下，按80%支付当月服务费。</w:t>
      </w:r>
    </w:p>
    <w:p w14:paraId="470F7664">
      <w:pPr>
        <w:widowControl/>
        <w:spacing w:line="360" w:lineRule="auto"/>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(2) 服务期月度考核中发生三个月及以上月考核得分低于80分的，可视为服务期考核不合格，甲方有权要求终止合同，由服务公司承担违约和赔偿责任。</w:t>
      </w:r>
    </w:p>
    <w:p w14:paraId="7F5F5B08">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（3）如服务期内有其他考核扣款的，则采购人扣除考核扣款后支付相应服务费用。</w:t>
      </w:r>
    </w:p>
    <w:p w14:paraId="33424053">
      <w:pPr>
        <w:spacing w:line="360" w:lineRule="auto"/>
        <w:ind w:firstLine="422"/>
        <w:outlineLvl w:val="1"/>
        <w:rPr>
          <w:rFonts w:hint="eastAsia" w:ascii="宋体" w:hAnsi="宋体" w:cs="宋体"/>
          <w:color w:val="auto"/>
          <w:szCs w:val="21"/>
          <w:highlight w:val="none"/>
        </w:rPr>
      </w:pPr>
      <w:r>
        <w:rPr>
          <w:rFonts w:hint="eastAsia" w:ascii="宋体" w:hAnsi="宋体" w:cs="宋体"/>
          <w:b/>
          <w:color w:val="auto"/>
          <w:szCs w:val="21"/>
          <w:highlight w:val="none"/>
        </w:rPr>
        <w:t>五、响应文件的组成及要求</w:t>
      </w:r>
    </w:p>
    <w:p w14:paraId="4C0E22F1">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（一）文件组成（部分格式见附件）</w:t>
      </w:r>
    </w:p>
    <w:p w14:paraId="2782A240">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1、封面</w:t>
      </w:r>
    </w:p>
    <w:p w14:paraId="333CDFCC">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2、开标一览表</w:t>
      </w:r>
    </w:p>
    <w:p w14:paraId="4848F172">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3、资格审查响应文件</w:t>
      </w:r>
    </w:p>
    <w:p w14:paraId="7F90B6F2">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3.1关于资格文件的声明函；</w:t>
      </w:r>
    </w:p>
    <w:p w14:paraId="6C73ED56">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3.2磋商响应单位基本情况表；</w:t>
      </w:r>
    </w:p>
    <w:p w14:paraId="289EF75F">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3.3磋商响应单位法定代表人身份证复印件；</w:t>
      </w:r>
    </w:p>
    <w:p w14:paraId="057EAD4B">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3.4法定代表人授权委托书（如有授权）；</w:t>
      </w:r>
    </w:p>
    <w:p w14:paraId="079DCB16">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3.5磋商响应单位授权代理人身份证复印件（如有授权）；</w:t>
      </w:r>
    </w:p>
    <w:p w14:paraId="0A8F237E">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3.6合格供应商的基本条件</w:t>
      </w:r>
    </w:p>
    <w:p w14:paraId="49C5199E">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3.6.1具有独立承担民事责任的能力。提供包括法人或者其他组织的营业执照等证明文件，自然人的身份证明；</w:t>
      </w:r>
    </w:p>
    <w:p w14:paraId="6B2B7D63">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3.6.2具有良好的商业信誉和健全的财务会计制度。提供包括但不限于最近一期财务审计报告或最近一期财务报表，其他组织、自然人及成立未满一年的法人应提供银行出具的资信证明；</w:t>
      </w:r>
    </w:p>
    <w:p w14:paraId="6ED7612B">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3.6.3具有履行合同所必需的设备和专业技术能力。提供证明材料或承诺；</w:t>
      </w:r>
    </w:p>
    <w:p w14:paraId="2618C362">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p>
    <w:p w14:paraId="53CD6425">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3.6.5参加政府采购活动前三年内在经营活动中没有重大违法记录。提供书面声明函；</w:t>
      </w:r>
    </w:p>
    <w:p w14:paraId="4CA31109">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3.6.6</w:t>
      </w:r>
      <w:r>
        <w:rPr>
          <w:rFonts w:hint="eastAsia" w:ascii="宋体" w:hAnsi="宋体" w:eastAsia="宋体" w:cs="宋体"/>
          <w:color w:val="auto"/>
          <w:sz w:val="21"/>
          <w:szCs w:val="21"/>
          <w:highlight w:val="none"/>
        </w:rPr>
        <w:t>《中小企业声明函》或《残疾人福利性单位声明函》或</w:t>
      </w:r>
      <w:r>
        <w:rPr>
          <w:rFonts w:hint="eastAsia" w:ascii="宋体" w:hAnsi="宋体" w:eastAsia="宋体" w:cs="宋体"/>
          <w:color w:val="auto"/>
          <w:sz w:val="21"/>
          <w:szCs w:val="21"/>
          <w:highlight w:val="none"/>
          <w:lang w:val="zh-CN"/>
        </w:rPr>
        <w:t>省级以上监狱管理局、戒毒管理局（含新疆生产建设兵团）出具的属于监狱企业的证明文件（</w:t>
      </w:r>
      <w:r>
        <w:rPr>
          <w:rFonts w:hint="eastAsia" w:ascii="宋体" w:hAnsi="宋体" w:eastAsia="宋体" w:cs="宋体"/>
          <w:color w:val="auto"/>
          <w:sz w:val="21"/>
          <w:szCs w:val="21"/>
          <w:highlight w:val="none"/>
        </w:rPr>
        <w:t>如为中小微企业或残疾人福利性单位或监狱企业提供</w:t>
      </w:r>
      <w:r>
        <w:rPr>
          <w:rFonts w:hint="eastAsia" w:ascii="宋体" w:hAnsi="宋体" w:eastAsia="宋体" w:cs="宋体"/>
          <w:color w:val="auto"/>
          <w:sz w:val="21"/>
          <w:szCs w:val="21"/>
          <w:highlight w:val="none"/>
          <w:lang w:val="zh-CN"/>
        </w:rPr>
        <w:t>）；</w:t>
      </w:r>
    </w:p>
    <w:p w14:paraId="46DB7D68">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3.7</w:t>
      </w:r>
      <w:r>
        <w:rPr>
          <w:rFonts w:hint="eastAsia" w:ascii="宋体" w:hAnsi="宋体" w:eastAsia="宋体" w:cs="宋体"/>
          <w:bCs/>
          <w:color w:val="auto"/>
          <w:sz w:val="21"/>
          <w:szCs w:val="21"/>
          <w:highlight w:val="none"/>
        </w:rPr>
        <w:t>其它有关资格证明的文件；</w:t>
      </w:r>
    </w:p>
    <w:p w14:paraId="5736169D">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4、符合性审查响应文件</w:t>
      </w:r>
    </w:p>
    <w:p w14:paraId="2AA7D3A7">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4.1磋商响应函；</w:t>
      </w:r>
    </w:p>
    <w:p w14:paraId="3EEB37F9">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4.2磋商报价分析表；</w:t>
      </w:r>
    </w:p>
    <w:p w14:paraId="5DC1C41A">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4.3服务偏离表；</w:t>
      </w:r>
    </w:p>
    <w:p w14:paraId="6D57C900">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4.4商务条款偏离表；</w:t>
      </w:r>
    </w:p>
    <w:p w14:paraId="29235BCD">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4.5投标（响应）保证承诺书；</w:t>
      </w:r>
    </w:p>
    <w:p w14:paraId="0629B72D">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4.6其他有关符合性证明的文件；</w:t>
      </w:r>
    </w:p>
    <w:p w14:paraId="3B0B390E">
      <w:pPr>
        <w:pStyle w:val="15"/>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5、综合评审响应文件</w:t>
      </w:r>
    </w:p>
    <w:p w14:paraId="1611F227">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5.1项目详细说明方案；</w:t>
      </w:r>
    </w:p>
    <w:p w14:paraId="5CC17962">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5.2针对本项目的人员配置表；</w:t>
      </w:r>
    </w:p>
    <w:p w14:paraId="79A38825">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类似项目</w:t>
      </w:r>
      <w:r>
        <w:rPr>
          <w:rFonts w:hint="eastAsia" w:ascii="宋体" w:hAnsi="宋体" w:eastAsia="宋体" w:cs="宋体"/>
          <w:color w:val="auto"/>
          <w:sz w:val="21"/>
          <w:szCs w:val="21"/>
          <w:highlight w:val="none"/>
          <w:lang w:val="zh-CN"/>
        </w:rPr>
        <w:t>业绩一览表</w:t>
      </w:r>
      <w:r>
        <w:rPr>
          <w:rFonts w:hint="eastAsia" w:ascii="宋体" w:hAnsi="宋体" w:eastAsia="宋体" w:cs="宋体"/>
          <w:color w:val="auto"/>
          <w:sz w:val="21"/>
          <w:szCs w:val="21"/>
          <w:highlight w:val="none"/>
        </w:rPr>
        <w:t>；</w:t>
      </w:r>
    </w:p>
    <w:p w14:paraId="1570A56B">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 采购需求及评分标准中所涉及到的其他材料。</w:t>
      </w:r>
    </w:p>
    <w:p w14:paraId="048F68D2">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5.5《中小企业声明函》或《残疾人福利性单位声明函》或</w:t>
      </w:r>
      <w:r>
        <w:rPr>
          <w:rFonts w:hint="eastAsia" w:ascii="宋体" w:hAnsi="宋体" w:eastAsia="宋体" w:cs="宋体"/>
          <w:color w:val="auto"/>
          <w:sz w:val="21"/>
          <w:szCs w:val="21"/>
          <w:highlight w:val="none"/>
          <w:lang w:val="zh-CN"/>
        </w:rPr>
        <w:t>省级以上监狱管理局、戒毒管理局（含新疆生产建设兵团）出具的属于监狱企业的证明文件（</w:t>
      </w:r>
      <w:r>
        <w:rPr>
          <w:rFonts w:hint="eastAsia" w:ascii="宋体" w:hAnsi="宋体" w:eastAsia="宋体" w:cs="宋体"/>
          <w:color w:val="auto"/>
          <w:sz w:val="21"/>
          <w:szCs w:val="21"/>
          <w:highlight w:val="none"/>
        </w:rPr>
        <w:t>如为中小微企业或残疾人福利性单位或监狱企业提供</w:t>
      </w:r>
      <w:r>
        <w:rPr>
          <w:rFonts w:hint="eastAsia" w:ascii="宋体" w:hAnsi="宋体" w:eastAsia="宋体" w:cs="宋体"/>
          <w:color w:val="auto"/>
          <w:sz w:val="21"/>
          <w:szCs w:val="21"/>
          <w:highlight w:val="none"/>
          <w:lang w:val="zh-CN"/>
        </w:rPr>
        <w:t>）。</w:t>
      </w:r>
    </w:p>
    <w:p w14:paraId="4DE0BB89">
      <w:pPr>
        <w:pStyle w:val="15"/>
        <w:spacing w:line="360" w:lineRule="auto"/>
        <w:ind w:firstLine="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（1）以上3.1-3.7为资格审查要求提供的材料，是作为对供应商资格审查、质疑身份认定的依据，响应供应商必须提供并加盖电子公章。否则，磋商响应文件将被认定为不符合资格审查要求。</w:t>
      </w:r>
    </w:p>
    <w:p w14:paraId="039F0A64">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（2）以上4.1-4.6为符合性审查须提供的资料，响应供应商必须提供并加盖电子公章。否则，磋商响应文件将被认定为未实质性响应。</w:t>
      </w:r>
    </w:p>
    <w:p w14:paraId="2D9D5512">
      <w:pPr>
        <w:tabs>
          <w:tab w:val="left" w:pos="0"/>
        </w:tabs>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（3）制作电子响应文件时必须与投标文件制作软件目录一一对应，将相关资料上传至相应模块。</w:t>
      </w:r>
      <w:r>
        <w:rPr>
          <w:rFonts w:hint="eastAsia" w:ascii="宋体" w:hAnsi="宋体" w:cs="宋体"/>
          <w:color w:val="auto"/>
          <w:szCs w:val="21"/>
          <w:highlight w:val="none"/>
        </w:rPr>
        <w:t>注意不要漏项。如有不确定上传的位置的，可以上传至其他资料或上传至符合性审查资料</w:t>
      </w:r>
      <w:r>
        <w:rPr>
          <w:rFonts w:hint="eastAsia" w:ascii="宋体" w:hAnsi="宋体" w:cs="宋体"/>
          <w:b/>
          <w:bCs/>
          <w:color w:val="auto"/>
          <w:szCs w:val="21"/>
          <w:highlight w:val="none"/>
          <w:lang w:val="zh-CN"/>
        </w:rPr>
        <w:t>。</w:t>
      </w:r>
    </w:p>
    <w:p w14:paraId="39F33EDF">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p>
    <w:p w14:paraId="59370E82">
      <w:pPr>
        <w:tabs>
          <w:tab w:val="left" w:pos="0"/>
        </w:tabs>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（5）磋商过程中如有问题采购代理机构工作人员会及时通《投标供应商确认函》留存的手机号与供应商联系。请供应商确保该手机号磋商当日通讯畅通，否则导致的对供应商不利的后果由供应商自行承担。</w:t>
      </w:r>
    </w:p>
    <w:p w14:paraId="1FAED4EB">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六、磋商程序</w:t>
      </w:r>
    </w:p>
    <w:p w14:paraId="2FBC063C">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1、采购代理机构按规定的时间、地点主持磋商采购活动。</w:t>
      </w:r>
    </w:p>
    <w:p w14:paraId="3E72955D">
      <w:pPr>
        <w:pStyle w:val="15"/>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2、供应商通过“苏采云”系统在线参与磋商活动。供应商应当按照《苏采云系统供应商操作手册》规定在 “苏采云”系统规定的时间内对响应文件进行解密。</w:t>
      </w:r>
    </w:p>
    <w:p w14:paraId="1CE90682">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3、在磋商响应文件网上递交截止时间止成功解密的磋商供应商少于三家，则本次采购失败。</w:t>
      </w:r>
    </w:p>
    <w:p w14:paraId="76422234">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4、由磋商小组审查供应商解密的响应文件。</w:t>
      </w:r>
    </w:p>
    <w:p w14:paraId="4954F563">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6645934">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6、磋商小组要求供应商澄清、说明或者更正响应文件应当以书面形式做出。供应商的澄清、说明或者更正应当由其单位加盖电子公章。</w:t>
      </w:r>
    </w:p>
    <w:p w14:paraId="762FFB0E">
      <w:pPr>
        <w:pStyle w:val="206"/>
        <w:ind w:firstLine="422"/>
        <w:rPr>
          <w:rFonts w:hint="eastAsia" w:cs="宋体"/>
          <w:b/>
          <w:color w:val="auto"/>
          <w:sz w:val="21"/>
          <w:szCs w:val="21"/>
          <w:highlight w:val="none"/>
        </w:rPr>
      </w:pPr>
      <w:r>
        <w:rPr>
          <w:rFonts w:hint="eastAsia" w:cs="宋体"/>
          <w:b/>
          <w:color w:val="auto"/>
          <w:sz w:val="21"/>
          <w:szCs w:val="21"/>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sz w:val="21"/>
          <w:szCs w:val="21"/>
          <w:highlight w:val="none"/>
        </w:rPr>
        <w:t>(</w:t>
      </w:r>
      <w:r>
        <w:rPr>
          <w:rFonts w:hint="eastAsia" w:cs="宋体"/>
          <w:b/>
          <w:color w:val="auto"/>
          <w:sz w:val="21"/>
          <w:szCs w:val="21"/>
          <w:highlight w:val="none"/>
        </w:rPr>
        <w:t>此处规定时间的计算以系统中的倒计时间为准，供应商应随时保持系统在线，如因供应商自身原因未在规定时间内提交澄清确认资料的，导致的不利后果由供应商自行承担。</w:t>
      </w:r>
    </w:p>
    <w:p w14:paraId="4FFE405E">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磋商小组通过“苏采云”系统向供应商发布“磋商函”，供应商应当按照要求在“苏采云”系统提交“磋商响应函”并加盖CA电子公章。</w:t>
      </w:r>
    </w:p>
    <w:p w14:paraId="544B90A0">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2FB099C1">
      <w:pPr>
        <w:pStyle w:val="15"/>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b/>
          <w:color w:val="auto"/>
          <w:sz w:val="21"/>
          <w:szCs w:val="21"/>
          <w:highlight w:val="none"/>
        </w:rPr>
        <w:t>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rPr>
        <w:t>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rPr>
        <w:t>除因磋商采购文件修改导致供应商成本增加的，最后报价不得高于第一次报价，否则为无效响应报价。</w:t>
      </w:r>
    </w:p>
    <w:p w14:paraId="6D9C7FC3">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24D85D18">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已提交响应文件的供应商，在提交最后报价之前，可以根据磋商情况退出磋商，并在“苏采云”系统中提交“退出磋商函”并加盖CA电子公章。</w:t>
      </w:r>
    </w:p>
    <w:p w14:paraId="02C5941E">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3A8677A6">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11、经磋商确定最终采购需求和提交最后报价的供应商后，由磋商小组采用综合评分法对提交最后报价的供应商的响应文件和最后报价进行综合评分。</w:t>
      </w:r>
    </w:p>
    <w:p w14:paraId="4F7C5E85">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12、磋商小组根据磋商成交原则确定成交供应商，并将结果通知所有参加磋商的供应商。</w:t>
      </w:r>
    </w:p>
    <w:p w14:paraId="53163143">
      <w:pPr>
        <w:pStyle w:val="15"/>
        <w:spacing w:line="36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13、如磋商过程中出现本采购文件未尽事宜，由磋商小组根据政府采购有关法律、法规讨论决定。</w:t>
      </w:r>
    </w:p>
    <w:p w14:paraId="45183B37">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ascii="宋体" w:hAnsi="宋体" w:eastAsia="宋体" w:cs="宋体"/>
          <w:color w:val="auto"/>
          <w:sz w:val="21"/>
          <w:szCs w:val="21"/>
          <w:highlight w:val="none"/>
        </w:rPr>
        <w:t>评审中出现下列情形之一的，评审委员会应当启动异常低价投标（响应）审查程序：</w:t>
      </w:r>
    </w:p>
    <w:p w14:paraId="2F4E76F0">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ascii="宋体" w:hAnsi="宋体" w:eastAsia="宋体" w:cs="宋体"/>
          <w:color w:val="auto"/>
          <w:sz w:val="21"/>
          <w:szCs w:val="21"/>
          <w:highlight w:val="none"/>
        </w:rPr>
        <w:t>1.投标（响应）报价低于全部通过符合性审查供应商投标（响应）报价平均值50%的，即投标（响应）报价&lt;全部通过符合性审查供应商投标（响应）报价平均值×50%；</w:t>
      </w:r>
    </w:p>
    <w:p w14:paraId="22A8A90F">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ascii="宋体" w:hAnsi="宋体" w:eastAsia="宋体" w:cs="宋体"/>
          <w:color w:val="auto"/>
          <w:sz w:val="21"/>
          <w:szCs w:val="21"/>
          <w:highlight w:val="none"/>
        </w:rPr>
        <w:t>2.投标（响应）报价低于通过符合性审查的次低报价供应商投标（响应）报价50%的，即投标（响应）报价&lt;通过符合性审查的次低报价供应商投标（响应）报价×50%；</w:t>
      </w:r>
    </w:p>
    <w:p w14:paraId="199F0DC8">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ascii="宋体" w:hAnsi="宋体" w:eastAsia="宋体" w:cs="宋体"/>
          <w:color w:val="auto"/>
          <w:sz w:val="21"/>
          <w:szCs w:val="21"/>
          <w:highlight w:val="none"/>
        </w:rPr>
        <w:t>3.投标（响应）报价低于采购项目最高限价45%的，即投标（响应）报价&lt;采购项目最高限价×45%；</w:t>
      </w:r>
    </w:p>
    <w:p w14:paraId="75DE2301">
      <w:pPr>
        <w:pStyle w:val="42"/>
        <w:spacing w:before="0" w:beforeAutospacing="0" w:after="0" w:afterAutospacing="0" w:line="360" w:lineRule="auto"/>
        <w:ind w:firstLine="430"/>
        <w:rPr>
          <w:rFonts w:hint="eastAsia"/>
          <w:color w:val="auto"/>
          <w:sz w:val="21"/>
          <w:szCs w:val="21"/>
          <w:highlight w:val="none"/>
        </w:rPr>
      </w:pPr>
      <w:r>
        <w:rPr>
          <w:rFonts w:hint="eastAsia"/>
          <w:color w:val="auto"/>
          <w:sz w:val="21"/>
          <w:szCs w:val="21"/>
          <w:highlight w:val="none"/>
        </w:rPr>
        <w:t>14.</w:t>
      </w:r>
      <w:r>
        <w:rPr>
          <w:color w:val="auto"/>
          <w:sz w:val="21"/>
          <w:szCs w:val="21"/>
          <w:highlight w:val="none"/>
        </w:rPr>
        <w:t>4.评审委员会基于专业判断，认为供应商报价过低，有可能影响产品质量或者不能诚信履约的其他情形。</w:t>
      </w:r>
    </w:p>
    <w:p w14:paraId="58B1D97F">
      <w:pPr>
        <w:pStyle w:val="42"/>
        <w:spacing w:before="0" w:beforeAutospacing="0" w:after="0" w:afterAutospacing="0" w:line="360" w:lineRule="auto"/>
        <w:ind w:firstLine="430"/>
        <w:rPr>
          <w:rFonts w:hint="eastAsia"/>
          <w:color w:val="auto"/>
          <w:sz w:val="21"/>
          <w:szCs w:val="21"/>
          <w:highlight w:val="none"/>
        </w:rPr>
      </w:pPr>
      <w:r>
        <w:rPr>
          <w:rFonts w:hint="eastAsia"/>
          <w:color w:val="auto"/>
          <w:sz w:val="21"/>
          <w:szCs w:val="21"/>
          <w:highlight w:val="none"/>
        </w:rPr>
        <w:t>14.5</w:t>
      </w:r>
      <w:r>
        <w:rPr>
          <w:color w:val="auto"/>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BE9EAEC">
      <w:pPr>
        <w:pStyle w:val="42"/>
        <w:spacing w:before="0" w:beforeAutospacing="0" w:after="0" w:afterAutospacing="0" w:line="360" w:lineRule="auto"/>
        <w:ind w:firstLine="430"/>
        <w:rPr>
          <w:rFonts w:hint="eastAsia"/>
          <w:color w:val="auto"/>
          <w:sz w:val="21"/>
          <w:szCs w:val="21"/>
          <w:highlight w:val="none"/>
        </w:rPr>
      </w:pPr>
      <w:r>
        <w:rPr>
          <w:rFonts w:hint="eastAsia"/>
          <w:color w:val="auto"/>
          <w:sz w:val="21"/>
          <w:szCs w:val="21"/>
          <w:highlight w:val="none"/>
        </w:rPr>
        <w:t>14.6</w:t>
      </w:r>
      <w:r>
        <w:rPr>
          <w:color w:val="auto"/>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E61E4D">
      <w:pPr>
        <w:spacing w:line="360" w:lineRule="auto"/>
        <w:ind w:firstLine="422"/>
        <w:outlineLvl w:val="1"/>
        <w:rPr>
          <w:rFonts w:hint="eastAsia" w:ascii="宋体" w:hAnsi="宋体" w:cs="宋体"/>
          <w:b/>
          <w:color w:val="auto"/>
          <w:szCs w:val="21"/>
          <w:highlight w:val="none"/>
        </w:rPr>
      </w:pPr>
      <w:r>
        <w:rPr>
          <w:rFonts w:hint="eastAsia" w:ascii="宋体" w:hAnsi="宋体" w:cs="宋体"/>
          <w:b/>
          <w:color w:val="auto"/>
          <w:szCs w:val="21"/>
          <w:highlight w:val="none"/>
        </w:rPr>
        <w:t>七、综合说明</w:t>
      </w:r>
    </w:p>
    <w:p w14:paraId="48624C6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磋商响应报价包括服务管理费、税金、人工费用、国家规定的社保、公积金，以及离职风险金、年假、有薪病假、婚丧假、护理假、产假、福利费（工会经费）、餐费、工伤备用金等其他风险金的全部费用以及投标人企业利润和政策性文件规定及合同包含的所有风险、责任等各项应有费用。除非合同条款中另有规定，否则，成交单位所报价格在合同实施期间不因市场变化因素而变动。磋商响应单位未填价格的项目，在实施后，采购单位将不予支付，并视为该项费用已包括磋商总报价中。</w:t>
      </w:r>
    </w:p>
    <w:p w14:paraId="54F5210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2、磋商响应单位必须说明其是否响应采购文件中提出的全部服务内容与要求，如果以其中某些条款不响应时，应在文件中逐条列出，未列出的视同响应。</w:t>
      </w:r>
    </w:p>
    <w:p w14:paraId="56FDBAE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3、磋商保证金：</w:t>
      </w:r>
    </w:p>
    <w:p w14:paraId="6EC821F5">
      <w:pPr>
        <w:spacing w:line="360" w:lineRule="auto"/>
        <w:ind w:firstLine="422"/>
        <w:rPr>
          <w:rStyle w:val="253"/>
          <w:rFonts w:hint="eastAsia" w:ascii="宋体" w:hAnsi="宋体" w:cs="宋体"/>
          <w:b/>
          <w:color w:val="auto"/>
          <w:szCs w:val="21"/>
          <w:highlight w:val="none"/>
        </w:rPr>
      </w:pPr>
      <w:r>
        <w:rPr>
          <w:rStyle w:val="253"/>
          <w:rFonts w:ascii="Wingdings" w:hAnsi="Wingdings" w:eastAsia="Wingdings" w:cs="Wingdings"/>
          <w:b/>
          <w:color w:val="auto"/>
          <w:szCs w:val="21"/>
          <w:highlight w:val="none"/>
        </w:rPr>
        <w:t></w:t>
      </w:r>
      <w:r>
        <w:rPr>
          <w:rStyle w:val="253"/>
          <w:rFonts w:hint="eastAsia" w:ascii="宋体" w:hAnsi="宋体" w:cs="宋体"/>
          <w:b/>
          <w:color w:val="auto"/>
          <w:szCs w:val="21"/>
          <w:highlight w:val="none"/>
        </w:rPr>
        <w:t>不需提交，采购文件中有关磋商保证金的规定均不适用。投标（响应）人应在投标（响应）文件中提交《投标（响应）保证承诺书》（详见附件），否则为无效投标。</w:t>
      </w:r>
    </w:p>
    <w:p w14:paraId="32C91977">
      <w:pPr>
        <w:spacing w:line="360" w:lineRule="auto"/>
        <w:ind w:firstLine="420"/>
        <w:rPr>
          <w:color w:val="auto"/>
          <w:highlight w:val="none"/>
        </w:rPr>
      </w:pPr>
      <w:r>
        <w:rPr>
          <w:rFonts w:hint="eastAsia" w:ascii="宋体" w:hAnsi="宋体" w:cs="宋体"/>
          <w:bCs/>
          <w:color w:val="auto"/>
          <w:szCs w:val="21"/>
          <w:highlight w:val="none"/>
        </w:rPr>
        <w:t>4、成交服务费：</w:t>
      </w:r>
      <w:r>
        <w:rPr>
          <w:rStyle w:val="253"/>
          <w:rFonts w:hint="eastAsia" w:ascii="宋体" w:hAnsi="宋体" w:cs="宋体"/>
          <w:color w:val="auto"/>
          <w:szCs w:val="21"/>
          <w:highlight w:val="none"/>
        </w:rPr>
        <w:t>由成交单位按照预算总金额计算并支付，具体为100万元以内1.5%、100万元～500万元以内1.1%差额定率累进法计算后以70%支付成交服务费，该费用应在领取成交通知书时付清。</w:t>
      </w:r>
    </w:p>
    <w:p w14:paraId="04240AD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服务费交纳账户：苏州新天平工程咨询有限公司 </w:t>
      </w:r>
    </w:p>
    <w:p w14:paraId="62F67B3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bCs/>
          <w:color w:val="auto"/>
          <w:szCs w:val="21"/>
          <w:highlight w:val="none"/>
        </w:rPr>
        <w:t>中国建设银行股份有限公司苏州高铁新城支行</w:t>
      </w:r>
      <w:r>
        <w:rPr>
          <w:rFonts w:hint="eastAsia" w:ascii="宋体" w:hAnsi="宋体" w:cs="宋体"/>
          <w:color w:val="auto"/>
          <w:szCs w:val="21"/>
          <w:highlight w:val="none"/>
        </w:rPr>
        <w:t xml:space="preserve">  </w:t>
      </w:r>
    </w:p>
    <w:p w14:paraId="0DC1E13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账   号：32250110452800000503</w:t>
      </w:r>
    </w:p>
    <w:p w14:paraId="61B42F8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5、磋商说明：</w:t>
      </w:r>
    </w:p>
    <w:p w14:paraId="240C9D4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（1）不符合供应商资格要求的响应文件将被拒绝；</w:t>
      </w:r>
    </w:p>
    <w:p w14:paraId="24F2D0D2">
      <w:pPr>
        <w:spacing w:line="360" w:lineRule="auto"/>
        <w:ind w:firstLine="420"/>
        <w:rPr>
          <w:rFonts w:hint="eastAsia" w:ascii="宋体" w:hAnsi="宋体" w:cs="宋体"/>
          <w:b/>
          <w:color w:val="auto"/>
          <w:szCs w:val="21"/>
          <w:highlight w:val="none"/>
        </w:rPr>
      </w:pPr>
      <w:r>
        <w:rPr>
          <w:rFonts w:hint="eastAsia" w:ascii="宋体" w:hAnsi="宋体" w:cs="宋体"/>
          <w:bCs/>
          <w:color w:val="auto"/>
          <w:szCs w:val="21"/>
          <w:highlight w:val="none"/>
        </w:rPr>
        <w:t>（2）</w:t>
      </w:r>
      <w:r>
        <w:rPr>
          <w:rFonts w:hint="eastAsia" w:ascii="宋体" w:hAnsi="宋体" w:cs="宋体"/>
          <w:b/>
          <w:color w:val="auto"/>
          <w:szCs w:val="21"/>
          <w:highlight w:val="none"/>
        </w:rPr>
        <w:t>机器码检查中，不同供应商使用同一台电脑编制响应文件的，响应文件将被认定为无效响应；</w:t>
      </w:r>
    </w:p>
    <w:p w14:paraId="25995B2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（3）最终报价超过采购预算或最高限价的，不能成交；</w:t>
      </w:r>
    </w:p>
    <w:p w14:paraId="4179F5A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（4）不实质性响应磋商文件的不能成交；</w:t>
      </w:r>
    </w:p>
    <w:p w14:paraId="7CE5101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w:t>
      </w:r>
      <w:r>
        <w:rPr>
          <w:rFonts w:hint="eastAsia" w:ascii="宋体" w:hAnsi="宋体" w:cs="宋体"/>
          <w:color w:val="auto"/>
          <w:szCs w:val="21"/>
          <w:highlight w:val="none"/>
        </w:rPr>
        <w:t>参加磋商响应的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color w:val="auto"/>
          <w:szCs w:val="21"/>
          <w:highlight w:val="none"/>
        </w:rPr>
        <w:t>。</w:t>
      </w:r>
    </w:p>
    <w:p w14:paraId="4C7F9C9C">
      <w:pPr>
        <w:spacing w:line="360" w:lineRule="auto"/>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（6）</w:t>
      </w:r>
      <w:r>
        <w:rPr>
          <w:rFonts w:hint="eastAsia" w:ascii="宋体" w:hAnsi="宋体" w:cs="宋体"/>
          <w:color w:val="auto"/>
          <w:szCs w:val="21"/>
          <w:highlight w:val="none"/>
        </w:rPr>
        <w:t>最终合同单价按最终总报价同比例下浮。</w:t>
      </w:r>
    </w:p>
    <w:p w14:paraId="5F61520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w:t>
      </w:r>
      <w:r>
        <w:rPr>
          <w:rFonts w:hint="eastAsia" w:ascii="宋体" w:hAnsi="宋体" w:cs="宋体"/>
          <w:b/>
          <w:color w:val="auto"/>
          <w:szCs w:val="21"/>
          <w:highlight w:val="none"/>
        </w:rPr>
        <w:t>联合投标：</w:t>
      </w:r>
      <w:r>
        <w:rPr>
          <w:rFonts w:hint="eastAsia" w:ascii="宋体" w:hAnsi="宋体" w:cs="宋体"/>
          <w:b/>
          <w:bCs/>
          <w:color w:val="auto"/>
          <w:szCs w:val="21"/>
          <w:highlight w:val="none"/>
          <w:lang w:val="zh-CN"/>
        </w:rPr>
        <w:t>本项目不接受联合投标。</w:t>
      </w:r>
    </w:p>
    <w:p w14:paraId="5669A228">
      <w:pPr>
        <w:pStyle w:val="251"/>
        <w:numPr>
          <w:ilvl w:val="0"/>
          <w:numId w:val="3"/>
        </w:numPr>
        <w:tabs>
          <w:tab w:val="left" w:pos="993"/>
        </w:tabs>
        <w:spacing w:line="360" w:lineRule="auto"/>
        <w:ind w:left="-4" w:firstLine="424"/>
        <w:rPr>
          <w:rFonts w:hint="eastAsia" w:ascii="宋体" w:hAnsi="宋体" w:cs="宋体"/>
          <w:color w:val="auto"/>
          <w:szCs w:val="21"/>
          <w:highlight w:val="none"/>
          <w:lang w:val="zh-CN"/>
        </w:rPr>
      </w:pPr>
      <w:r>
        <w:rPr>
          <w:rFonts w:hint="eastAsia" w:ascii="宋体" w:hAnsi="宋体" w:cs="宋体"/>
          <w:color w:val="auto"/>
          <w:szCs w:val="21"/>
          <w:highlight w:val="none"/>
          <w:lang w:val="zh-CN"/>
        </w:rPr>
        <w:t>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p>
    <w:p w14:paraId="213F3A06">
      <w:pPr>
        <w:pStyle w:val="251"/>
        <w:numPr>
          <w:ilvl w:val="0"/>
          <w:numId w:val="3"/>
        </w:numPr>
        <w:tabs>
          <w:tab w:val="left" w:pos="993"/>
        </w:tabs>
        <w:spacing w:line="360" w:lineRule="auto"/>
        <w:ind w:left="-4" w:firstLine="424"/>
        <w:rPr>
          <w:rFonts w:hint="eastAsia" w:ascii="宋体" w:hAnsi="宋体" w:cs="宋体"/>
          <w:color w:val="auto"/>
          <w:szCs w:val="21"/>
          <w:highlight w:val="none"/>
          <w:lang w:val="zh-CN"/>
        </w:rPr>
      </w:pPr>
      <w:r>
        <w:rPr>
          <w:rFonts w:hint="eastAsia" w:ascii="宋体" w:hAnsi="宋体" w:cs="宋体"/>
          <w:color w:val="auto"/>
          <w:szCs w:val="21"/>
          <w:highlight w:val="none"/>
          <w:lang w:val="zh-CN"/>
        </w:rPr>
        <w:t>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p>
    <w:p w14:paraId="6E42563A">
      <w:pPr>
        <w:pStyle w:val="251"/>
        <w:numPr>
          <w:ilvl w:val="0"/>
          <w:numId w:val="3"/>
        </w:numPr>
        <w:tabs>
          <w:tab w:val="left" w:pos="993"/>
        </w:tabs>
        <w:spacing w:line="360" w:lineRule="auto"/>
        <w:ind w:left="-4" w:firstLine="424"/>
        <w:rPr>
          <w:rFonts w:hint="eastAsia" w:ascii="宋体" w:hAnsi="宋体" w:cs="宋体"/>
          <w:color w:val="auto"/>
          <w:szCs w:val="21"/>
          <w:highlight w:val="none"/>
          <w:lang w:val="zh-CN"/>
        </w:rPr>
      </w:pPr>
      <w:r>
        <w:rPr>
          <w:rFonts w:hint="eastAsia" w:ascii="宋体" w:hAnsi="宋体" w:cs="宋体"/>
          <w:color w:val="auto"/>
          <w:szCs w:val="21"/>
          <w:highlight w:val="none"/>
          <w:lang w:val="zh-CN"/>
        </w:rPr>
        <w:t>联合体各方共同与采购人签订合同，就采购合同约定的事项对采购人承担连带责任。</w:t>
      </w:r>
    </w:p>
    <w:p w14:paraId="00BE3F2A">
      <w:pPr>
        <w:pStyle w:val="251"/>
        <w:numPr>
          <w:ilvl w:val="0"/>
          <w:numId w:val="3"/>
        </w:numPr>
        <w:tabs>
          <w:tab w:val="left" w:pos="993"/>
        </w:tabs>
        <w:spacing w:line="360" w:lineRule="auto"/>
        <w:ind w:left="-4" w:firstLine="424"/>
        <w:rPr>
          <w:rFonts w:hint="eastAsia" w:ascii="宋体" w:hAnsi="宋体" w:cs="宋体"/>
          <w:color w:val="auto"/>
          <w:szCs w:val="21"/>
          <w:highlight w:val="none"/>
          <w:lang w:val="zh-CN"/>
        </w:rPr>
      </w:pPr>
      <w:r>
        <w:rPr>
          <w:rFonts w:hint="eastAsia" w:ascii="宋体" w:hAnsi="宋体" w:cs="宋体"/>
          <w:color w:val="auto"/>
          <w:szCs w:val="21"/>
          <w:highlight w:val="none"/>
          <w:lang w:val="zh-CN"/>
        </w:rPr>
        <w:t>除非另有规定或说明，本文中“响应单位”一词亦指联合体各成员。</w:t>
      </w:r>
    </w:p>
    <w:p w14:paraId="68CAC1C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7、凡涉及磋商采购文件的补充说明和修改，均以苏州政府采购网上发布的通知为准。</w:t>
      </w:r>
    </w:p>
    <w:p w14:paraId="106CEE17">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8、</w:t>
      </w:r>
      <w:r>
        <w:rPr>
          <w:rFonts w:hint="eastAsia" w:ascii="宋体" w:hAnsi="宋体" w:cs="宋体"/>
          <w:b/>
          <w:bCs/>
          <w:color w:val="auto"/>
          <w:szCs w:val="21"/>
          <w:highlight w:val="none"/>
        </w:rPr>
        <w:t>关于对参与供应商信用记录的政府采购要求</w:t>
      </w:r>
      <w:r>
        <w:rPr>
          <w:rFonts w:hint="eastAsia" w:ascii="宋体" w:hAnsi="宋体" w:cs="宋体"/>
          <w:color w:val="auto"/>
          <w:szCs w:val="21"/>
          <w:highlight w:val="none"/>
        </w:rPr>
        <w:t>：</w:t>
      </w:r>
    </w:p>
    <w:p w14:paraId="4C0AB1F8">
      <w:pPr>
        <w:tabs>
          <w:tab w:val="left" w:pos="42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（1）采购代理机构会在接收响应文件截止时间后，登录</w:t>
      </w:r>
      <w:r>
        <w:rPr>
          <w:rFonts w:ascii="宋体" w:hAnsi="宋体" w:cs="宋体"/>
          <w:color w:val="auto"/>
          <w:szCs w:val="21"/>
          <w:highlight w:val="none"/>
        </w:rPr>
        <w:t>信用中国</w:t>
      </w:r>
      <w:r>
        <w:rPr>
          <w:rFonts w:hint="eastAsia" w:ascii="宋体" w:hAnsi="宋体" w:cs="宋体"/>
          <w:color w:val="auto"/>
          <w:szCs w:val="21"/>
          <w:highlight w:val="none"/>
        </w:rPr>
        <w:t>网站</w:t>
      </w:r>
      <w:r>
        <w:rPr>
          <w:rFonts w:ascii="宋体" w:hAnsi="宋体" w:cs="宋体"/>
          <w:color w:val="auto"/>
          <w:szCs w:val="21"/>
          <w:highlight w:val="none"/>
        </w:rPr>
        <w:t>（www.creditchina.gov.cn/）</w:t>
      </w:r>
      <w:r>
        <w:rPr>
          <w:rFonts w:hint="eastAsia" w:ascii="宋体" w:hAnsi="宋体" w:cs="宋体"/>
          <w:color w:val="auto"/>
          <w:szCs w:val="21"/>
          <w:highlight w:val="none"/>
        </w:rPr>
        <w:t>和</w:t>
      </w:r>
      <w:r>
        <w:rPr>
          <w:rFonts w:hint="eastAsia" w:ascii="宋体" w:hAnsi="宋体"/>
          <w:color w:val="auto"/>
          <w:szCs w:val="21"/>
          <w:highlight w:val="none"/>
        </w:rPr>
        <w:t>中国政府采购网（</w:t>
      </w:r>
      <w:r>
        <w:rPr>
          <w:rFonts w:ascii="宋体" w:hAnsi="宋体"/>
          <w:color w:val="auto"/>
          <w:szCs w:val="21"/>
          <w:highlight w:val="none"/>
        </w:rPr>
        <w:t>www.ccgp.gov.cn/</w:t>
      </w:r>
      <w:r>
        <w:rPr>
          <w:rFonts w:hint="eastAsia" w:ascii="宋体" w:hAnsi="宋体"/>
          <w:color w:val="auto"/>
          <w:szCs w:val="21"/>
          <w:highlight w:val="none"/>
        </w:rPr>
        <w:t>）</w:t>
      </w:r>
      <w:r>
        <w:rPr>
          <w:rFonts w:ascii="宋体" w:hAnsi="宋体" w:cs="宋体"/>
          <w:color w:val="auto"/>
          <w:szCs w:val="21"/>
          <w:highlight w:val="none"/>
        </w:rPr>
        <w:t>查询供应商的信用记录，并将查询结果递交</w:t>
      </w:r>
      <w:r>
        <w:rPr>
          <w:rFonts w:hint="eastAsia" w:ascii="宋体" w:hAnsi="宋体" w:cs="宋体"/>
          <w:color w:val="auto"/>
          <w:szCs w:val="21"/>
          <w:highlight w:val="none"/>
        </w:rPr>
        <w:t>评审小组。</w:t>
      </w:r>
    </w:p>
    <w:p w14:paraId="7F9402EC">
      <w:pPr>
        <w:tabs>
          <w:tab w:val="left" w:pos="56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148C95DE">
      <w:pPr>
        <w:tabs>
          <w:tab w:val="left" w:pos="56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ADFCA45">
      <w:pPr>
        <w:tabs>
          <w:tab w:val="left" w:pos="56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（3）供应商若在经营活动中受到罚款的，请携带相关地方、部门对较大数额认定标准的证明材料，与响应文件一并提交。若无法提供，则可能承担响应无效等相应不利后果。</w:t>
      </w:r>
    </w:p>
    <w:p w14:paraId="2F01F9C4">
      <w:pPr>
        <w:tabs>
          <w:tab w:val="left" w:pos="42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（4）对存在失信信息的供应商，由失信供应商进行确认。同时，采购代理机构工作人员应根据评审小组确认的失信信息，登陆到相关来源网站页面进行复核并打印，作为证据留存。</w:t>
      </w:r>
    </w:p>
    <w:p w14:paraId="768AE99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（5）按照《中华人民共和国政府采购法》第二十二条规定，下列信用记录属于应依法拒绝供应商参加政府采购的失信信息：</w:t>
      </w:r>
    </w:p>
    <w:p w14:paraId="798AD48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（一）政府采购严重违法记录，即供应商被全国各级财政部门列入“政府采购严重违法失信行为记录名单”，且在处罚有效期内的。</w:t>
      </w:r>
    </w:p>
    <w:p w14:paraId="65F6E4D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（二）财政部门与法院、工商、税务等部门联合惩戒的失信信息，包括：</w:t>
      </w:r>
    </w:p>
    <w:p w14:paraId="2198481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1）被列入失信被执行人名单；</w:t>
      </w:r>
    </w:p>
    <w:p w14:paraId="0762174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2）被列入重大税收违法案件当事人名单；</w:t>
      </w:r>
    </w:p>
    <w:p w14:paraId="26E61E6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66CD4CD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9、告知成交结果</w:t>
      </w:r>
    </w:p>
    <w:p w14:paraId="62D5135F">
      <w:pPr>
        <w:spacing w:line="360" w:lineRule="auto"/>
        <w:ind w:firstLine="420"/>
        <w:rPr>
          <w:rFonts w:hint="eastAsia" w:ascii="宋体" w:hAnsi="宋体" w:cs="宋体"/>
          <w:color w:val="auto"/>
          <w:highlight w:val="none"/>
        </w:rPr>
      </w:pPr>
      <w:r>
        <w:rPr>
          <w:rFonts w:hint="eastAsia" w:ascii="宋体" w:hAnsi="宋体" w:cs="宋体"/>
          <w:color w:val="auto"/>
          <w:highlight w:val="none"/>
        </w:rPr>
        <w:t>采购单位或其委托的代理机构根据相关规定发布成交公告，成交公告发出的同时应当向成交供应商发出《成交通知书》</w:t>
      </w:r>
      <w:bookmarkStart w:id="5" w:name="_Hlk132385599"/>
      <w:bookmarkStart w:id="6" w:name="_Hlk132385577"/>
      <w:bookmarkStart w:id="7" w:name="_Hlk132389804"/>
      <w:r>
        <w:rPr>
          <w:rFonts w:hint="eastAsia" w:ascii="宋体" w:hAnsi="宋体" w:cs="宋体"/>
          <w:color w:val="auto"/>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
      <w:bookmarkEnd w:id="6"/>
      <w:bookmarkEnd w:id="7"/>
      <w:r>
        <w:rPr>
          <w:rFonts w:hint="eastAsia" w:ascii="宋体" w:hAnsi="宋体" w:cs="宋体"/>
          <w:color w:val="auto"/>
          <w:highlight w:val="none"/>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3E697C9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10、成交供应商除发生法律规定的不能预见、不能避免并不能克服的客观情况外不得放弃或拒绝签订合同的。放弃或拒绝签订合同的，采购人视情将其通报给财政部门。</w:t>
      </w:r>
    </w:p>
    <w:p w14:paraId="3F631CD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11、采购合同履行中，采购人需追加与合同标的相同的服务的，在不改变合同其他条款的前提下，可以与成交供应商协商签订补充合同，但所有补充合同的项目金额不得超过原合同项目金额的百分之十。</w:t>
      </w:r>
    </w:p>
    <w:p w14:paraId="68A0AD4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12、成交供应商拒绝签订采购合同的，或因不可抗力或者自身原因不能履行采购合同的，采购人可以视情与排位在成交供应商之后第一位的成交候选供应商签订采购合同，也可以重新开展招标活动。</w:t>
      </w:r>
    </w:p>
    <w:p w14:paraId="4838AFC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13、质疑处理</w:t>
      </w:r>
    </w:p>
    <w:p w14:paraId="449D8577">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46AA39F9">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13.2本次采购文件要求供应商在法定质疑期内一次性提出针对同一采购程序环节的质疑。</w:t>
      </w:r>
    </w:p>
    <w:p w14:paraId="54058C41">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13.3供应商提出质疑应当提交质疑函和必要的证明材料，质疑函应当包括下列内容：</w:t>
      </w:r>
    </w:p>
    <w:p w14:paraId="7984C98B">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（1）供应商的姓名或者名称（以提供的营业执照副本复印件为准）、地址、邮编、联系人及联系电话；</w:t>
      </w:r>
    </w:p>
    <w:p w14:paraId="1E709A01">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（2）质疑项目的名称、编号；</w:t>
      </w:r>
    </w:p>
    <w:p w14:paraId="588DD795">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（3）具体、明确的质疑事项和与质疑事项相关的请求；</w:t>
      </w:r>
    </w:p>
    <w:p w14:paraId="1A76742E">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（4）事实依据；</w:t>
      </w:r>
    </w:p>
    <w:p w14:paraId="482C438D">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（5）必要的法律依据；</w:t>
      </w:r>
    </w:p>
    <w:p w14:paraId="74851A41">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（6）提出质疑的日期。</w:t>
      </w:r>
    </w:p>
    <w:p w14:paraId="5622B468">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4D7715EB">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7D890A9D">
      <w:pPr>
        <w:pStyle w:val="15"/>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5F557081">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13.5接收质疑函的方式：书面形式</w:t>
      </w:r>
    </w:p>
    <w:p w14:paraId="053F4E67">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质疑联系人：惠天睿</w:t>
      </w:r>
    </w:p>
    <w:p w14:paraId="11006232">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联系电话：0512-65239192</w:t>
      </w:r>
    </w:p>
    <w:p w14:paraId="24ECC522">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现场递交地址:苏州市相城区高铁新城苏州北站综合服务楼4楼东侧</w:t>
      </w:r>
    </w:p>
    <w:p w14:paraId="16D4B0F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14、相关政策（如涉及）</w:t>
      </w:r>
    </w:p>
    <w:p w14:paraId="40A7251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p>
    <w:p w14:paraId="63ACC428">
      <w:pPr>
        <w:tabs>
          <w:tab w:val="left" w:pos="56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（2）小、微企业</w:t>
      </w:r>
    </w:p>
    <w:p w14:paraId="483064D9">
      <w:pPr>
        <w:tabs>
          <w:tab w:val="left" w:pos="567"/>
        </w:tabs>
        <w:spacing w:line="360" w:lineRule="auto"/>
        <w:ind w:firstLine="420"/>
        <w:rPr>
          <w:rFonts w:hint="eastAsia" w:ascii="宋体" w:hAnsi="宋体"/>
          <w:color w:val="auto"/>
          <w:highlight w:val="none"/>
        </w:rPr>
      </w:pPr>
      <w:r>
        <w:rPr>
          <w:rFonts w:hint="eastAsia" w:ascii="宋体" w:hAnsi="宋体"/>
          <w:color w:val="auto"/>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13F71217">
      <w:pPr>
        <w:tabs>
          <w:tab w:val="left" w:pos="567"/>
        </w:tabs>
        <w:spacing w:line="360" w:lineRule="auto"/>
        <w:ind w:firstLine="420"/>
        <w:rPr>
          <w:color w:val="auto"/>
          <w:szCs w:val="21"/>
          <w:highlight w:val="none"/>
        </w:rPr>
      </w:pPr>
      <w:r>
        <w:rPr>
          <w:rFonts w:hint="eastAsia"/>
          <w:color w:val="auto"/>
          <w:szCs w:val="21"/>
          <w:highlight w:val="none"/>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color w:val="auto"/>
          <w:szCs w:val="21"/>
          <w:highlight w:val="none"/>
        </w:rPr>
        <w:t>服务类项目中供应商若使用退休人员，将不享受相关扶持政策。</w:t>
      </w:r>
    </w:p>
    <w:p w14:paraId="574D9393">
      <w:pPr>
        <w:tabs>
          <w:tab w:val="left" w:pos="567"/>
        </w:tabs>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根据《政府采购促进中小企业发展管理办法》（财库〔2020〕46号）及《中小企业划型标准规定》（工信部联企业〔2011〕300号），本采购项目对应的中小企业划分标准所属行业为：租赁和商务服务业</w:t>
      </w:r>
      <w:r>
        <w:rPr>
          <w:rFonts w:hint="eastAsia" w:ascii="宋体" w:hAnsi="宋体" w:cs="宋体"/>
          <w:b/>
          <w:bCs/>
          <w:color w:val="auto"/>
          <w:szCs w:val="21"/>
          <w:highlight w:val="none"/>
        </w:rPr>
        <w:t>。</w:t>
      </w:r>
    </w:p>
    <w:p w14:paraId="37702467">
      <w:pPr>
        <w:tabs>
          <w:tab w:val="left" w:pos="567"/>
        </w:tabs>
        <w:spacing w:line="360" w:lineRule="auto"/>
        <w:ind w:firstLine="420"/>
        <w:rPr>
          <w:color w:val="auto"/>
          <w:szCs w:val="21"/>
          <w:highlight w:val="none"/>
        </w:rPr>
      </w:pPr>
      <w:r>
        <w:rPr>
          <w:rFonts w:hint="eastAsia"/>
          <w:color w:val="auto"/>
          <w:szCs w:val="21"/>
          <w:highlight w:val="none"/>
        </w:rPr>
        <w:t>（3）残疾人福利性单位</w:t>
      </w:r>
    </w:p>
    <w:p w14:paraId="0EA0F6C8">
      <w:pPr>
        <w:tabs>
          <w:tab w:val="left" w:pos="567"/>
        </w:tabs>
        <w:spacing w:line="360" w:lineRule="auto"/>
        <w:ind w:firstLine="420"/>
        <w:rPr>
          <w:color w:val="auto"/>
          <w:szCs w:val="21"/>
          <w:highlight w:val="none"/>
        </w:rPr>
      </w:pPr>
      <w:r>
        <w:rPr>
          <w:rFonts w:hint="eastAsia"/>
          <w:color w:val="auto"/>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1E81AA9F">
      <w:pPr>
        <w:tabs>
          <w:tab w:val="left" w:pos="567"/>
        </w:tabs>
        <w:spacing w:line="360" w:lineRule="auto"/>
        <w:ind w:firstLine="420"/>
        <w:rPr>
          <w:color w:val="auto"/>
          <w:szCs w:val="21"/>
          <w:highlight w:val="none"/>
        </w:rPr>
      </w:pPr>
      <w:r>
        <w:rPr>
          <w:rFonts w:hint="eastAsia"/>
          <w:color w:val="auto"/>
          <w:szCs w:val="21"/>
          <w:highlight w:val="none"/>
        </w:rPr>
        <w:t>（4）监狱企业</w:t>
      </w:r>
    </w:p>
    <w:p w14:paraId="69117D53">
      <w:pPr>
        <w:tabs>
          <w:tab w:val="left" w:pos="567"/>
        </w:tabs>
        <w:spacing w:line="360" w:lineRule="auto"/>
        <w:ind w:firstLine="420"/>
        <w:rPr>
          <w:color w:val="auto"/>
          <w:szCs w:val="21"/>
          <w:highlight w:val="none"/>
        </w:rPr>
      </w:pPr>
      <w:r>
        <w:rPr>
          <w:rFonts w:hint="eastAsia"/>
          <w:color w:val="auto"/>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7B1BE681">
      <w:pPr>
        <w:tabs>
          <w:tab w:val="left" w:pos="56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（5）绿色采购</w:t>
      </w:r>
    </w:p>
    <w:p w14:paraId="676223E3">
      <w:pPr>
        <w:tabs>
          <w:tab w:val="left" w:pos="567"/>
        </w:tabs>
        <w:spacing w:line="360" w:lineRule="auto"/>
        <w:ind w:firstLine="420"/>
        <w:rPr>
          <w:color w:val="auto"/>
          <w:szCs w:val="21"/>
          <w:highlight w:val="none"/>
        </w:rPr>
      </w:pPr>
      <w:r>
        <w:rPr>
          <w:rFonts w:hint="eastAsia" w:ascii="宋体" w:hAnsi="宋体"/>
          <w:color w:val="auto"/>
          <w:szCs w:val="21"/>
          <w:highlight w:val="none"/>
        </w:rPr>
        <w:t>1）根据《关于调整优化节能产品、环境标志产品政府采购执行机制的通知》（财库〔</w:t>
      </w:r>
      <w:r>
        <w:rPr>
          <w:rFonts w:ascii="宋体" w:hAnsi="宋体"/>
          <w:color w:val="auto"/>
          <w:szCs w:val="21"/>
          <w:highlight w:val="none"/>
        </w:rPr>
        <w:t>2019</w:t>
      </w:r>
      <w:r>
        <w:rPr>
          <w:rFonts w:hint="eastAsia" w:ascii="宋体" w:hAnsi="宋体"/>
          <w:color w:val="auto"/>
          <w:szCs w:val="21"/>
          <w:highlight w:val="none"/>
        </w:rPr>
        <w:t>〕</w:t>
      </w:r>
      <w:r>
        <w:rPr>
          <w:rFonts w:ascii="宋体" w:hAnsi="宋体"/>
          <w:color w:val="auto"/>
          <w:szCs w:val="21"/>
          <w:highlight w:val="none"/>
        </w:rPr>
        <w:t>9</w:t>
      </w:r>
      <w:r>
        <w:rPr>
          <w:rFonts w:hint="eastAsia" w:ascii="宋体" w:hAnsi="宋体"/>
          <w:color w:val="auto"/>
          <w:szCs w:val="21"/>
          <w:highlight w:val="none"/>
        </w:rPr>
        <w:t>号）等相关文件的规定，</w:t>
      </w:r>
      <w:r>
        <w:rPr>
          <w:rFonts w:hint="eastAsia" w:ascii="宋体" w:hAnsi="宋体"/>
          <w:b/>
          <w:color w:val="auto"/>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2E685A0">
      <w:pPr>
        <w:tabs>
          <w:tab w:val="left" w:pos="567"/>
        </w:tabs>
        <w:spacing w:line="360" w:lineRule="auto"/>
        <w:ind w:firstLine="420"/>
        <w:rPr>
          <w:rFonts w:hint="eastAsia" w:ascii="宋体" w:hAnsi="宋体"/>
          <w:color w:val="auto"/>
          <w:highlight w:val="none"/>
        </w:rPr>
      </w:pPr>
      <w:r>
        <w:rPr>
          <w:rFonts w:hint="eastAsia" w:ascii="宋体" w:hAnsi="宋体"/>
          <w:color w:val="auto"/>
          <w:highlight w:val="none"/>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640AE76">
      <w:pPr>
        <w:spacing w:line="360" w:lineRule="auto"/>
        <w:ind w:firstLine="420"/>
        <w:rPr>
          <w:rFonts w:hint="eastAsia" w:ascii="宋体" w:hAnsi="宋体" w:cs="宋体"/>
          <w:color w:val="auto"/>
          <w:szCs w:val="21"/>
          <w:highlight w:val="none"/>
        </w:rPr>
      </w:pPr>
      <w:r>
        <w:rPr>
          <w:rFonts w:hint="eastAsia" w:ascii="宋体" w:hAnsi="宋体"/>
          <w:color w:val="auto"/>
          <w:highlight w:val="none"/>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04B798C">
      <w:pPr>
        <w:pStyle w:val="15"/>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15、</w:t>
      </w:r>
      <w:r>
        <w:rPr>
          <w:rFonts w:hint="eastAsia" w:ascii="宋体" w:hAnsi="宋体" w:eastAsia="宋体" w:cs="宋体"/>
          <w:b/>
          <w:color w:val="auto"/>
          <w:sz w:val="21"/>
          <w:szCs w:val="21"/>
          <w:highlight w:val="none"/>
        </w:rPr>
        <w:t>项目的终止</w:t>
      </w:r>
    </w:p>
    <w:p w14:paraId="1DF29F2D">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出现下列情形之一的，将终止竞争性磋商采购活动：</w:t>
      </w:r>
    </w:p>
    <w:p w14:paraId="7C1DA16C">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（1）因情况变化，不再符合规定的竞争性磋商采购方式适用情形的；</w:t>
      </w:r>
    </w:p>
    <w:p w14:paraId="32C4A92E">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49DEE799">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（3）在采购活动中因重大变故，采购任务取消的。</w:t>
      </w:r>
    </w:p>
    <w:p w14:paraId="61A2BE88">
      <w:pPr>
        <w:pStyle w:val="15"/>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注：采用竞争性磋商采购方式采购的政府购买服务项目，在采购过程中符合要求的供应商只有2家的，竞争性磋商采购活动可以继续进行。</w:t>
      </w:r>
    </w:p>
    <w:p w14:paraId="648F6C43">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16、导致无效投标因素</w:t>
      </w:r>
    </w:p>
    <w:p w14:paraId="3A42074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投标人（响应单位）存在下列情况之一的，投标无效：</w:t>
      </w:r>
    </w:p>
    <w:p w14:paraId="6D6A4C3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（1）投标（响应）文件未按招标（采购）文件要求签署、盖章的；</w:t>
      </w:r>
    </w:p>
    <w:p w14:paraId="1CA4D9D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（2）不具备招标（采购）文件中规定的资格要求的；</w:t>
      </w:r>
    </w:p>
    <w:p w14:paraId="2868A78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（3）报价超过招标（采购）文件中规定的预算金额（总预算和单项预算）或者最高限价的；</w:t>
      </w:r>
    </w:p>
    <w:p w14:paraId="1964D1B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（4）投标（响应）文件含有采购单位不能接受的附加条件的；</w:t>
      </w:r>
    </w:p>
    <w:p w14:paraId="3FC73F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（5）不同投标（响应）文件制作机器码一致的；</w:t>
      </w:r>
    </w:p>
    <w:p w14:paraId="57E65FEC">
      <w:pPr>
        <w:spacing w:line="360" w:lineRule="auto"/>
        <w:ind w:firstLine="420"/>
        <w:rPr>
          <w:rFonts w:hint="eastAsia" w:ascii="宋体" w:hAnsi="宋体" w:cs="宋体"/>
          <w:color w:val="auto"/>
          <w:szCs w:val="21"/>
          <w:highlight w:val="none"/>
        </w:rPr>
        <w:sectPr>
          <w:pgSz w:w="11906" w:h="16838"/>
          <w:pgMar w:top="1440" w:right="1417" w:bottom="1440" w:left="1417" w:header="850" w:footer="850" w:gutter="0"/>
          <w:cols w:space="720" w:num="1"/>
          <w:docGrid w:linePitch="360" w:charSpace="0"/>
        </w:sectPr>
      </w:pPr>
      <w:r>
        <w:rPr>
          <w:rFonts w:hint="eastAsia" w:ascii="宋体" w:hAnsi="宋体" w:cs="宋体"/>
          <w:color w:val="auto"/>
          <w:szCs w:val="21"/>
          <w:highlight w:val="none"/>
        </w:rPr>
        <w:t>（6）法律、法规和招标（采购）文件规定的其他无效情形。</w:t>
      </w:r>
    </w:p>
    <w:p w14:paraId="44C1D2CC">
      <w:pPr>
        <w:pageBreakBefore/>
        <w:tabs>
          <w:tab w:val="left" w:pos="315"/>
          <w:tab w:val="center" w:pos="4153"/>
        </w:tabs>
        <w:spacing w:line="360" w:lineRule="auto"/>
        <w:jc w:val="center"/>
        <w:outlineLvl w:val="0"/>
        <w:rPr>
          <w:rFonts w:hint="eastAsia" w:ascii="宋体" w:hAnsi="宋体" w:cs="宋体"/>
          <w:color w:val="auto"/>
          <w:highlight w:val="none"/>
        </w:rPr>
      </w:pPr>
      <w:r>
        <w:rPr>
          <w:rFonts w:hint="eastAsia" w:ascii="宋体" w:hAnsi="宋体" w:cs="宋体"/>
          <w:b/>
          <w:color w:val="auto"/>
          <w:sz w:val="32"/>
          <w:szCs w:val="32"/>
          <w:highlight w:val="none"/>
        </w:rPr>
        <w:t>三、评标方法及评分标准</w:t>
      </w:r>
    </w:p>
    <w:p w14:paraId="1E415F2F">
      <w:pPr>
        <w:spacing w:line="360" w:lineRule="auto"/>
        <w:outlineLvl w:val="1"/>
        <w:rPr>
          <w:rFonts w:hint="eastAsia" w:ascii="宋体" w:hAnsi="宋体" w:cs="宋体"/>
          <w:color w:val="auto"/>
          <w:szCs w:val="21"/>
          <w:highlight w:val="none"/>
          <w:shd w:val="clear" w:color="auto" w:fill="FFFFFF"/>
        </w:rPr>
      </w:pPr>
      <w:r>
        <w:rPr>
          <w:rFonts w:hint="eastAsia" w:ascii="宋体" w:hAnsi="宋体" w:cs="宋体"/>
          <w:b/>
          <w:bCs/>
          <w:color w:val="auto"/>
          <w:szCs w:val="21"/>
          <w:highlight w:val="none"/>
        </w:rPr>
        <w:t>一、评标方法</w:t>
      </w:r>
    </w:p>
    <w:p w14:paraId="233FE06A">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1、本次招标评标方法为综合评分法，即在最大限度地满足采购文件实质性要求前提下，按照采购文件中规定的评分标准和各项因素进行综合评审后，由</w:t>
      </w:r>
      <w:r>
        <w:rPr>
          <w:rFonts w:hint="eastAsia" w:ascii="宋体" w:hAnsi="宋体" w:cs="宋体"/>
          <w:color w:val="auto"/>
          <w:szCs w:val="21"/>
          <w:highlight w:val="none"/>
          <w:shd w:val="clear" w:color="auto" w:fill="FFFFFF"/>
          <w:lang w:val="zh-CN"/>
        </w:rPr>
        <w:t>综合评分得分最高的磋商响应单位为</w:t>
      </w:r>
      <w:r>
        <w:rPr>
          <w:rFonts w:hint="eastAsia" w:ascii="宋体" w:hAnsi="宋体" w:cs="宋体"/>
          <w:color w:val="auto"/>
          <w:szCs w:val="21"/>
          <w:highlight w:val="none"/>
          <w:shd w:val="clear" w:color="auto" w:fill="FFFFFF"/>
        </w:rPr>
        <w:t>成交候选单位。</w:t>
      </w:r>
    </w:p>
    <w:p w14:paraId="6E015530">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p>
    <w:p w14:paraId="4A3FA1E8">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3、如出现评标总得分最高的磋商响应单位有两个或两个以上的，以投标报价较低者优先作为成交单位，如果实际投标报价也相同的，则由采购人或者采购代理机构以抽签方式确定成交单位。</w:t>
      </w:r>
    </w:p>
    <w:p w14:paraId="090CB7D7">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评标委员会认为响应单位的报价出现异常低价，有可能影响产品质量或者不能诚信履约的，应当要求其在合理的时间内提供书面说明，必要时提交相关证明材料；响应单位不能证明其报价合理性的，评标委员会应当将其作为无效投标处理。</w:t>
      </w:r>
    </w:p>
    <w:p w14:paraId="7E560BC2">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5、针对中小型企业的评审：</w:t>
      </w:r>
    </w:p>
    <w:p w14:paraId="5D47F413">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本项目仅面向中小企业采购，不再执行价格评审优惠的扶持政策。</w:t>
      </w:r>
    </w:p>
    <w:p w14:paraId="3EAB9974">
      <w:pPr>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供应商需在采购文件中提供《中小企业声明函》或《残疾人福利性单位声明函》或</w:t>
      </w:r>
      <w:r>
        <w:rPr>
          <w:rFonts w:hint="eastAsia" w:ascii="宋体" w:hAnsi="宋体" w:cs="宋体"/>
          <w:color w:val="auto"/>
          <w:szCs w:val="21"/>
          <w:highlight w:val="none"/>
          <w:shd w:val="clear" w:color="auto" w:fill="FFFFFF"/>
          <w:lang w:val="zh-CN"/>
        </w:rPr>
        <w:t>省级以上监狱管理局、戒毒管理局（含新疆生产建设兵团）出具的属于监狱企业的证明文件</w:t>
      </w:r>
      <w:r>
        <w:rPr>
          <w:rFonts w:hint="eastAsia" w:ascii="宋体" w:hAnsi="宋体" w:cs="宋体"/>
          <w:color w:val="auto"/>
          <w:szCs w:val="21"/>
          <w:highlight w:val="none"/>
          <w:shd w:val="clear" w:color="auto" w:fill="FFFFFF"/>
        </w:rPr>
        <w:t>，否则视为未实质性响应采购文件。</w:t>
      </w:r>
    </w:p>
    <w:p w14:paraId="688E8FD7">
      <w:pPr>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二、评分标准</w:t>
      </w:r>
    </w:p>
    <w:p w14:paraId="10067DBB">
      <w:pPr>
        <w:tabs>
          <w:tab w:val="left" w:pos="3405"/>
        </w:tabs>
        <w:spacing w:line="360" w:lineRule="auto"/>
        <w:ind w:firstLine="482"/>
        <w:rPr>
          <w:rFonts w:hint="eastAsia" w:ascii="宋体" w:hAnsi="宋体" w:cs="宋体"/>
          <w:bCs/>
          <w:color w:val="auto"/>
          <w:szCs w:val="21"/>
          <w:highlight w:val="none"/>
        </w:rPr>
      </w:pPr>
      <w:r>
        <w:rPr>
          <w:rFonts w:hint="eastAsia" w:ascii="宋体" w:hAnsi="宋体" w:cs="宋体"/>
          <w:bCs/>
          <w:color w:val="auto"/>
          <w:szCs w:val="21"/>
          <w:highlight w:val="none"/>
        </w:rPr>
        <w:t>（一）价格分：(10分)</w:t>
      </w:r>
      <w:r>
        <w:rPr>
          <w:rFonts w:hint="eastAsia" w:ascii="宋体" w:hAnsi="宋体" w:cs="宋体"/>
          <w:bCs/>
          <w:color w:val="auto"/>
          <w:szCs w:val="21"/>
          <w:highlight w:val="none"/>
        </w:rPr>
        <w:tab/>
      </w:r>
    </w:p>
    <w:p w14:paraId="1BB4E6A7">
      <w:pPr>
        <w:spacing w:line="360" w:lineRule="auto"/>
        <w:ind w:firstLine="480"/>
        <w:rPr>
          <w:rFonts w:hint="eastAsia" w:ascii="宋体" w:hAnsi="宋体" w:cs="宋体"/>
          <w:bCs/>
          <w:color w:val="auto"/>
          <w:szCs w:val="21"/>
          <w:highlight w:val="none"/>
        </w:rPr>
      </w:pPr>
      <w:r>
        <w:rPr>
          <w:rFonts w:hint="eastAsia" w:ascii="宋体" w:hAnsi="宋体" w:cs="宋体"/>
          <w:bCs/>
          <w:color w:val="auto"/>
          <w:szCs w:val="21"/>
          <w:highlight w:val="none"/>
        </w:rPr>
        <w:t>1、磋商报价低于或等于采购预算价格的，为有效磋商报价。超采购预算的磋商报价为无效磋商报价。无效磋商报价的磋商响应文件不进行评审，也不得成交；</w:t>
      </w:r>
    </w:p>
    <w:p w14:paraId="2A65CDA9">
      <w:pPr>
        <w:spacing w:line="360" w:lineRule="auto"/>
        <w:ind w:firstLine="480"/>
        <w:rPr>
          <w:rFonts w:hint="eastAsia" w:ascii="宋体" w:hAnsi="宋体" w:cs="宋体"/>
          <w:bCs/>
          <w:color w:val="auto"/>
          <w:szCs w:val="21"/>
          <w:highlight w:val="none"/>
        </w:rPr>
      </w:pPr>
      <w:r>
        <w:rPr>
          <w:rFonts w:hint="eastAsia" w:ascii="宋体" w:hAnsi="宋体" w:cs="宋体"/>
          <w:bCs/>
          <w:color w:val="auto"/>
          <w:szCs w:val="21"/>
          <w:highlight w:val="none"/>
        </w:rPr>
        <w:t>2、价格分采用低价优先法计算，即满足招标文件要求且投标价格最低的投标报价为评标基准价，其价格分为满分。其他投标人的价格分统一按照下列公式计算：</w:t>
      </w:r>
    </w:p>
    <w:p w14:paraId="3DA857E0">
      <w:pPr>
        <w:widowControl/>
        <w:spacing w:line="360" w:lineRule="auto"/>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投标报价得分=（评标基准价/投标报价）*价格权值*100（本次招标价格权值为10%），（计算结果四舍五入保留小数点后两位）</w:t>
      </w:r>
    </w:p>
    <w:p w14:paraId="7737D787">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（二）服务</w:t>
      </w:r>
      <w:r>
        <w:rPr>
          <w:rFonts w:hint="eastAsia" w:ascii="宋体" w:hAnsi="宋体" w:cs="宋体"/>
          <w:bCs/>
          <w:color w:val="auto"/>
          <w:szCs w:val="21"/>
          <w:highlight w:val="none"/>
        </w:rPr>
        <w:t>方案</w:t>
      </w: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en-US" w:eastAsia="zh-CN"/>
        </w:rPr>
        <w:t>66</w:t>
      </w:r>
      <w:r>
        <w:rPr>
          <w:rFonts w:hint="eastAsia" w:ascii="宋体" w:hAnsi="宋体" w:cs="宋体"/>
          <w:bCs/>
          <w:color w:val="auto"/>
          <w:szCs w:val="21"/>
          <w:highlight w:val="none"/>
          <w:lang w:val="zh-CN"/>
        </w:rPr>
        <w:t>分</w:t>
      </w:r>
    </w:p>
    <w:p w14:paraId="7397BC99">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（1）项目整体服务方案：</w:t>
      </w:r>
      <w:r>
        <w:rPr>
          <w:rFonts w:hint="eastAsia" w:ascii="宋体" w:hAnsi="宋体" w:cs="宋体"/>
          <w:bCs/>
          <w:color w:val="auto"/>
          <w:szCs w:val="21"/>
          <w:highlight w:val="none"/>
          <w:lang w:val="en-US" w:eastAsia="zh-CN"/>
        </w:rPr>
        <w:t>12</w:t>
      </w:r>
      <w:r>
        <w:rPr>
          <w:rFonts w:hint="eastAsia" w:ascii="宋体" w:hAnsi="宋体" w:cs="宋体"/>
          <w:bCs/>
          <w:color w:val="auto"/>
          <w:szCs w:val="21"/>
          <w:highlight w:val="none"/>
          <w:lang w:val="zh-CN"/>
        </w:rPr>
        <w:t>分</w:t>
      </w:r>
    </w:p>
    <w:p w14:paraId="3321CB6F">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整体服务方案理念先进、总体工作部署清晰全面、服务目标定位准确的，得</w:t>
      </w:r>
      <w:r>
        <w:rPr>
          <w:rFonts w:hint="eastAsia" w:ascii="宋体" w:hAnsi="宋体" w:cs="宋体"/>
          <w:bCs/>
          <w:color w:val="auto"/>
          <w:szCs w:val="21"/>
          <w:highlight w:val="none"/>
          <w:lang w:val="en-US" w:eastAsia="zh-CN"/>
        </w:rPr>
        <w:t>12</w:t>
      </w:r>
      <w:r>
        <w:rPr>
          <w:rFonts w:hint="eastAsia" w:ascii="宋体" w:hAnsi="宋体" w:cs="宋体"/>
          <w:bCs/>
          <w:color w:val="auto"/>
          <w:szCs w:val="21"/>
          <w:highlight w:val="none"/>
          <w:lang w:val="zh-CN"/>
        </w:rPr>
        <w:t>分；整体服务方案理念较先进、总体工作部署较清晰全面、服务目标定位较准确的，得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lang w:val="zh-CN"/>
        </w:rPr>
        <w:t>分；整体服务方案理念及服务目标定位不够准确，总体工作部署较简单不清晰的，得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lang w:val="zh-CN"/>
        </w:rPr>
        <w:t>分；投标文件中无此项内容的，本项目不得分。</w:t>
      </w:r>
    </w:p>
    <w:p w14:paraId="76603752">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（2）人员管理方案:</w:t>
      </w:r>
      <w:r>
        <w:rPr>
          <w:rFonts w:hint="eastAsia" w:ascii="宋体" w:hAnsi="宋体" w:cs="宋体"/>
          <w:bCs/>
          <w:color w:val="auto"/>
          <w:szCs w:val="21"/>
          <w:highlight w:val="none"/>
          <w:lang w:val="en-US" w:eastAsia="zh-CN"/>
        </w:rPr>
        <w:t>12</w:t>
      </w:r>
      <w:r>
        <w:rPr>
          <w:rFonts w:hint="eastAsia" w:ascii="宋体" w:hAnsi="宋体" w:cs="宋体"/>
          <w:bCs/>
          <w:color w:val="auto"/>
          <w:szCs w:val="21"/>
          <w:highlight w:val="none"/>
          <w:lang w:val="zh-CN"/>
        </w:rPr>
        <w:t>分</w:t>
      </w:r>
    </w:p>
    <w:p w14:paraId="0141B24D">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 响应单位根据采购需求内容，提供员工管理方案。人员管理制度非常规范，内容全面、完善、合理，可操作性高的得</w:t>
      </w:r>
      <w:r>
        <w:rPr>
          <w:rFonts w:hint="eastAsia" w:ascii="宋体" w:hAnsi="宋体" w:cs="宋体"/>
          <w:bCs/>
          <w:color w:val="auto"/>
          <w:szCs w:val="21"/>
          <w:highlight w:val="none"/>
          <w:lang w:val="en-US" w:eastAsia="zh-CN"/>
        </w:rPr>
        <w:t>12</w:t>
      </w:r>
      <w:r>
        <w:rPr>
          <w:rFonts w:hint="eastAsia" w:ascii="宋体" w:hAnsi="宋体" w:cs="宋体"/>
          <w:bCs/>
          <w:color w:val="auto"/>
          <w:szCs w:val="21"/>
          <w:highlight w:val="none"/>
          <w:lang w:val="zh-CN"/>
        </w:rPr>
        <w:t>分；人员管理制度基本规范，</w:t>
      </w:r>
      <w:r>
        <w:rPr>
          <w:rFonts w:hint="eastAsia" w:ascii="宋体" w:hAnsi="宋体" w:cs="宋体"/>
          <w:bCs/>
          <w:color w:val="auto"/>
          <w:szCs w:val="21"/>
          <w:highlight w:val="none"/>
          <w:lang w:val="zh-CN" w:eastAsia="zh-CN"/>
        </w:rPr>
        <w:t>比较全面，合理</w:t>
      </w:r>
      <w:r>
        <w:rPr>
          <w:rFonts w:hint="eastAsia" w:ascii="宋体" w:hAnsi="宋体" w:cs="宋体"/>
          <w:bCs/>
          <w:color w:val="auto"/>
          <w:szCs w:val="21"/>
          <w:highlight w:val="none"/>
          <w:lang w:val="zh-CN"/>
        </w:rPr>
        <w:t>，具备一定可操作性的得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lang w:val="zh-CN"/>
        </w:rPr>
        <w:t>分；人员管理制度简略模糊、可操作性差的得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lang w:val="zh-CN"/>
        </w:rPr>
        <w:t>分。不符合项目需求或未提供方案的不得分。</w:t>
      </w:r>
    </w:p>
    <w:p w14:paraId="26AA74E9">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（3）人员培训方案：8分</w:t>
      </w:r>
    </w:p>
    <w:p w14:paraId="1AAFAF4C">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投标人根据采购需求内容，提供人员培训方案。培训方案科学完善，能涵盖服务各项培训需求，针对性强、可操作性高的得8分；培训方案较为完整，但未能涵盖服务具体培训内容，针对性、可操作性一般的得5分；培训方案空洞，针对性、可操作性差的得2分。不符合项目需求或未提供方案的不得分。</w:t>
      </w:r>
    </w:p>
    <w:p w14:paraId="559492CC">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（4）现场管理运行方案：</w:t>
      </w:r>
      <w:r>
        <w:rPr>
          <w:rFonts w:hint="eastAsia" w:ascii="宋体" w:hAnsi="宋体" w:cs="宋体"/>
          <w:bCs/>
          <w:color w:val="auto"/>
          <w:szCs w:val="21"/>
          <w:highlight w:val="none"/>
        </w:rPr>
        <w:t>10</w:t>
      </w:r>
      <w:r>
        <w:rPr>
          <w:rFonts w:hint="eastAsia" w:ascii="宋体" w:hAnsi="宋体" w:cs="宋体"/>
          <w:bCs/>
          <w:color w:val="auto"/>
          <w:szCs w:val="21"/>
          <w:highlight w:val="none"/>
          <w:lang w:val="zh-CN"/>
        </w:rPr>
        <w:t>分</w:t>
      </w:r>
    </w:p>
    <w:p w14:paraId="38601140">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投标人根据采购需求内容，提供现场管理运行方案。现场管理制度规范，措施完善，责任分工明确的得</w:t>
      </w:r>
      <w:r>
        <w:rPr>
          <w:rFonts w:hint="eastAsia" w:ascii="宋体" w:hAnsi="宋体" w:cs="宋体"/>
          <w:bCs/>
          <w:color w:val="auto"/>
          <w:szCs w:val="21"/>
          <w:highlight w:val="none"/>
        </w:rPr>
        <w:t>10</w:t>
      </w:r>
      <w:r>
        <w:rPr>
          <w:rFonts w:hint="eastAsia" w:ascii="宋体" w:hAnsi="宋体" w:cs="宋体"/>
          <w:bCs/>
          <w:color w:val="auto"/>
          <w:szCs w:val="21"/>
          <w:highlight w:val="none"/>
          <w:lang w:val="zh-CN"/>
        </w:rPr>
        <w:t>分；现场管理制度基本具备，措施较为完善，有责任分工的得</w:t>
      </w:r>
      <w:r>
        <w:rPr>
          <w:rFonts w:hint="eastAsia" w:ascii="宋体" w:hAnsi="宋体" w:cs="宋体"/>
          <w:bCs/>
          <w:color w:val="auto"/>
          <w:szCs w:val="21"/>
          <w:highlight w:val="none"/>
        </w:rPr>
        <w:t>7</w:t>
      </w:r>
      <w:r>
        <w:rPr>
          <w:rFonts w:hint="eastAsia" w:ascii="宋体" w:hAnsi="宋体" w:cs="宋体"/>
          <w:bCs/>
          <w:color w:val="auto"/>
          <w:szCs w:val="21"/>
          <w:highlight w:val="none"/>
          <w:lang w:val="zh-CN"/>
        </w:rPr>
        <w:t>分；现场管理制度规范有缺失，措施过于简单，责任分工不明确的得</w:t>
      </w:r>
      <w:r>
        <w:rPr>
          <w:rFonts w:hint="eastAsia" w:ascii="宋体" w:hAnsi="宋体" w:cs="宋体"/>
          <w:bCs/>
          <w:color w:val="auto"/>
          <w:szCs w:val="21"/>
          <w:highlight w:val="none"/>
        </w:rPr>
        <w:t>3</w:t>
      </w:r>
      <w:r>
        <w:rPr>
          <w:rFonts w:hint="eastAsia" w:ascii="宋体" w:hAnsi="宋体" w:cs="宋体"/>
          <w:bCs/>
          <w:color w:val="auto"/>
          <w:szCs w:val="21"/>
          <w:highlight w:val="none"/>
          <w:lang w:val="zh-CN"/>
        </w:rPr>
        <w:t>分。不符合项目需求或未提供方案的不得分。</w:t>
      </w:r>
    </w:p>
    <w:p w14:paraId="0E777ABC">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（5）信息安全保密方案：8分</w:t>
      </w:r>
    </w:p>
    <w:p w14:paraId="227845AF">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投标人根据采购需求内容，提供信息安全保密方案。信息安全保密方案考虑全面，科学完善，针对性、可操作性高的得8分；信息安全保密方案基本完整，针对性、可操作性一般的得5分；信息安全保密方案不完整，可操作性差的得2分。不符合项目需求或未提供方案的不得分。</w:t>
      </w:r>
    </w:p>
    <w:p w14:paraId="3341E609">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（6）应急保障方案：8分</w:t>
      </w:r>
    </w:p>
    <w:p w14:paraId="42534C13">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投标人根据采购需求内容，提供应急保障方案及措施。应急保障方案及措施完备详细，总体安排科学，考虑周全的得8分；应急保障方案及措施比较合理，主要情况考虑到位，能基本满足项目实施需要的得5分；应急保障方案及措施简单，操作性不强，很难达到项目实施需要的得2分。不符合项目需求或未提供方案的不得分。</w:t>
      </w:r>
    </w:p>
    <w:p w14:paraId="56764598">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（7）业务衔接方案：</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lang w:val="zh-CN"/>
        </w:rPr>
        <w:t>分</w:t>
      </w:r>
    </w:p>
    <w:p w14:paraId="4892FB08">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投标人根据采购需求内容，提供原业务衔接方案，方案内容详细，可行性强，并且承诺能够在合同签订之日起5天内，完全具备承接能力，人员全部到位，与前期业务无缝对接的得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lang w:val="zh-CN"/>
        </w:rPr>
        <w:t>分；方案内容较详细，具有较强的可行性，并且承诺能够在合同签订之日起10天内，完全具备承接能力，人员全部到位，与前期业务无缝对接，得</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lang w:val="zh-CN"/>
        </w:rPr>
        <w:t>分；方案内容基本可行，具有一定的可行性，并且承诺能够在合同签订之日起11-15天，完全具备承接能力，保障人员全部到位的得2分。</w:t>
      </w:r>
    </w:p>
    <w:p w14:paraId="4420A3C6">
      <w:pPr>
        <w:numPr>
          <w:ilvl w:val="0"/>
          <w:numId w:val="4"/>
        </w:numPr>
        <w:spacing w:line="360" w:lineRule="auto"/>
        <w:ind w:firstLine="482"/>
        <w:rPr>
          <w:rFonts w:hint="eastAsia" w:ascii="宋体" w:hAnsi="宋体" w:cs="宋体"/>
          <w:bCs/>
          <w:color w:val="auto"/>
          <w:szCs w:val="21"/>
          <w:highlight w:val="none"/>
        </w:rPr>
      </w:pPr>
      <w:r>
        <w:rPr>
          <w:rFonts w:hint="eastAsia" w:ascii="宋体" w:hAnsi="宋体" w:cs="宋体"/>
          <w:bCs/>
          <w:color w:val="auto"/>
          <w:szCs w:val="21"/>
          <w:highlight w:val="none"/>
        </w:rPr>
        <w:t>项目组成员：</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分</w:t>
      </w:r>
    </w:p>
    <w:p w14:paraId="677EC533">
      <w:pPr>
        <w:spacing w:line="360" w:lineRule="auto"/>
        <w:ind w:firstLine="480"/>
        <w:rPr>
          <w:color w:val="auto"/>
          <w:szCs w:val="21"/>
          <w:highlight w:val="none"/>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w:t>
      </w:r>
      <w:r>
        <w:rPr>
          <w:rFonts w:hint="eastAsia" w:ascii="宋体" w:hAnsi="宋体" w:cs="宋体"/>
          <w:bCs/>
          <w:color w:val="auto"/>
          <w:szCs w:val="21"/>
          <w:highlight w:val="none"/>
          <w:lang w:val="zh-CN"/>
        </w:rPr>
        <w:t>）拟投入的项目负责人具有2年（含）至3年（不含）类似工作经验的，得</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lang w:val="zh-CN"/>
        </w:rPr>
        <w:t>分；具有3年（含）至5年（不含）类似工作经验的，得</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lang w:val="zh-CN"/>
        </w:rPr>
        <w:t>分；具有5年(含）及以上类似工作经验的，得</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lang w:val="zh-CN"/>
        </w:rPr>
        <w:t>分。提供以往项目合同或采购人盖章的其他证明材料复印件并加盖公章，提供的证明材料需体现具体项目管理人，否则不予认可。</w:t>
      </w:r>
    </w:p>
    <w:p w14:paraId="206D8633">
      <w:pPr>
        <w:spacing w:line="360" w:lineRule="auto"/>
        <w:ind w:firstLine="480"/>
        <w:rPr>
          <w:color w:val="auto"/>
          <w:szCs w:val="21"/>
          <w:highlight w:val="none"/>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2</w:t>
      </w:r>
      <w:r>
        <w:rPr>
          <w:rFonts w:hint="eastAsia" w:ascii="宋体" w:hAnsi="宋体" w:cs="宋体"/>
          <w:bCs/>
          <w:color w:val="auto"/>
          <w:szCs w:val="21"/>
          <w:highlight w:val="none"/>
          <w:lang w:val="zh-CN"/>
        </w:rPr>
        <w:t>）承诺为本项目配备的服务人员学历全部达到专科及以上，且配备的服务人员中本科学历及以上的占比不低于</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lang w:val="zh-CN"/>
        </w:rPr>
        <w:t>0%的，得</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lang w:val="zh-CN"/>
        </w:rPr>
        <w:t xml:space="preserve">分;承诺为本项目配备的服务人员学历全部达到专科及以上，且配备的服务人员中本科学历及以上的占比不低于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lang w:val="zh-CN"/>
        </w:rPr>
        <w:t>0%的，得</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lang w:val="zh-CN"/>
        </w:rPr>
        <w:t xml:space="preserve">分；本项最高得 </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lang w:val="zh-CN"/>
        </w:rPr>
        <w:t>分。（需提供承诺书，并提供服务人员清单、服务人员身份证复印件、学历证明材料，不提供不得分。</w:t>
      </w:r>
    </w:p>
    <w:p w14:paraId="047999B6">
      <w:pPr>
        <w:spacing w:line="360" w:lineRule="auto"/>
        <w:ind w:firstLine="482"/>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四</w:t>
      </w:r>
      <w:r>
        <w:rPr>
          <w:rFonts w:hint="eastAsia" w:ascii="宋体" w:hAnsi="宋体" w:cs="宋体"/>
          <w:bCs/>
          <w:color w:val="auto"/>
          <w:szCs w:val="21"/>
          <w:highlight w:val="none"/>
          <w:lang w:val="zh-CN"/>
        </w:rPr>
        <w:t>）响应单位综合履约能力：</w:t>
      </w:r>
      <w:r>
        <w:rPr>
          <w:rFonts w:hint="eastAsia" w:ascii="宋体" w:hAnsi="宋体" w:cs="宋体"/>
          <w:bCs/>
          <w:color w:val="auto"/>
          <w:szCs w:val="21"/>
          <w:highlight w:val="none"/>
        </w:rPr>
        <w:t>15</w:t>
      </w:r>
      <w:r>
        <w:rPr>
          <w:rFonts w:hint="eastAsia" w:ascii="宋体" w:hAnsi="宋体" w:cs="宋体"/>
          <w:bCs/>
          <w:color w:val="auto"/>
          <w:szCs w:val="21"/>
          <w:highlight w:val="none"/>
          <w:lang w:val="zh-CN"/>
        </w:rPr>
        <w:t xml:space="preserve">分 </w:t>
      </w:r>
    </w:p>
    <w:p w14:paraId="4511275F">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（1）投标人具备有效期内《质量管理体系认证证书》、《职业健康安全管理体系认证证书》，每提供一个证书得</w:t>
      </w:r>
      <w:r>
        <w:rPr>
          <w:rFonts w:hint="eastAsia" w:ascii="宋体" w:hAnsi="宋体" w:cs="宋体"/>
          <w:bCs/>
          <w:color w:val="auto"/>
          <w:szCs w:val="21"/>
          <w:highlight w:val="none"/>
        </w:rPr>
        <w:t>3</w:t>
      </w:r>
      <w:r>
        <w:rPr>
          <w:rFonts w:hint="eastAsia" w:ascii="宋体" w:hAnsi="宋体" w:cs="宋体"/>
          <w:bCs/>
          <w:color w:val="auto"/>
          <w:szCs w:val="21"/>
          <w:highlight w:val="none"/>
          <w:lang w:val="zh-CN"/>
        </w:rPr>
        <w:t>分，最高得6分。注：投标文件中需提供以上认证证书复印件并加盖公章及对应证书在网站上查询的页面截图且显示为有效；未按要求提供</w:t>
      </w:r>
      <w:r>
        <w:rPr>
          <w:rFonts w:hint="eastAsia" w:ascii="宋体" w:hAnsi="宋体" w:cs="宋体"/>
          <w:bCs/>
          <w:color w:val="auto"/>
          <w:szCs w:val="21"/>
          <w:highlight w:val="none"/>
        </w:rPr>
        <w:t>或提供不全的</w:t>
      </w:r>
      <w:r>
        <w:rPr>
          <w:rFonts w:hint="eastAsia" w:ascii="宋体" w:hAnsi="宋体" w:cs="宋体"/>
          <w:bCs/>
          <w:color w:val="auto"/>
          <w:szCs w:val="21"/>
          <w:highlight w:val="none"/>
          <w:lang w:val="zh-CN"/>
        </w:rPr>
        <w:t>不得分。</w:t>
      </w:r>
    </w:p>
    <w:p w14:paraId="0E073436">
      <w:pPr>
        <w:spacing w:line="360" w:lineRule="auto"/>
        <w:ind w:firstLine="48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2</w:t>
      </w:r>
      <w:r>
        <w:rPr>
          <w:rFonts w:hint="eastAsia" w:ascii="宋体" w:hAnsi="宋体" w:cs="宋体"/>
          <w:bCs/>
          <w:color w:val="auto"/>
          <w:szCs w:val="21"/>
          <w:highlight w:val="none"/>
          <w:lang w:val="zh-CN"/>
        </w:rPr>
        <w:t>） 投标人自202</w:t>
      </w:r>
      <w:r>
        <w:rPr>
          <w:rFonts w:hint="eastAsia" w:ascii="宋体" w:hAnsi="宋体" w:cs="宋体"/>
          <w:bCs/>
          <w:color w:val="auto"/>
          <w:szCs w:val="21"/>
          <w:highlight w:val="none"/>
        </w:rPr>
        <w:t>3</w:t>
      </w:r>
      <w:r>
        <w:rPr>
          <w:rFonts w:hint="eastAsia" w:ascii="宋体" w:hAnsi="宋体" w:cs="宋体"/>
          <w:bCs/>
          <w:color w:val="auto"/>
          <w:szCs w:val="21"/>
          <w:highlight w:val="none"/>
          <w:lang w:val="zh-CN"/>
        </w:rPr>
        <w:t>年</w:t>
      </w:r>
      <w:r>
        <w:rPr>
          <w:rFonts w:hint="eastAsia" w:ascii="宋体" w:hAnsi="宋体" w:cs="宋体"/>
          <w:bCs/>
          <w:color w:val="auto"/>
          <w:szCs w:val="21"/>
          <w:highlight w:val="none"/>
        </w:rPr>
        <w:t>8月1日</w:t>
      </w:r>
      <w:r>
        <w:rPr>
          <w:rFonts w:hint="eastAsia" w:ascii="宋体" w:hAnsi="宋体" w:cs="宋体"/>
          <w:bCs/>
          <w:color w:val="auto"/>
          <w:szCs w:val="21"/>
          <w:highlight w:val="none"/>
          <w:lang w:val="zh-CN"/>
        </w:rPr>
        <w:t>以来承接过类似服务项目成功案例的，每提供一个得3分，最多得9分，没有不得分。提供合同复印件并加盖公章，合同以签署时间为准，同一服务对象不重复计分。</w:t>
      </w:r>
    </w:p>
    <w:p w14:paraId="22CC2330">
      <w:pPr>
        <w:spacing w:line="360" w:lineRule="auto"/>
        <w:ind w:firstLine="420"/>
        <w:jc w:val="left"/>
        <w:rPr>
          <w:rFonts w:hint="eastAsia" w:ascii="宋体" w:hAnsi="宋体" w:cstheme="minorBidi"/>
          <w:b/>
          <w:bCs/>
          <w:color w:val="auto"/>
          <w:szCs w:val="21"/>
          <w:highlight w:val="none"/>
        </w:rPr>
      </w:pPr>
    </w:p>
    <w:p w14:paraId="07FEBF20">
      <w:pPr>
        <w:spacing w:line="360" w:lineRule="auto"/>
        <w:ind w:firstLine="420"/>
        <w:jc w:val="left"/>
        <w:rPr>
          <w:rFonts w:hint="eastAsia" w:ascii="宋体" w:hAnsi="宋体" w:cs="宋体"/>
          <w:color w:val="auto"/>
          <w:szCs w:val="21"/>
          <w:highlight w:val="none"/>
        </w:rPr>
      </w:pPr>
      <w:r>
        <w:rPr>
          <w:rFonts w:hint="eastAsia" w:ascii="宋体" w:hAnsi="宋体" w:cs="宋体"/>
          <w:color w:val="auto"/>
          <w:kern w:val="32"/>
          <w:szCs w:val="21"/>
          <w:highlight w:val="none"/>
        </w:rPr>
        <w:t xml:space="preserve">注： </w:t>
      </w:r>
      <w:r>
        <w:rPr>
          <w:rFonts w:hint="eastAsia" w:ascii="宋体" w:hAnsi="宋体" w:cs="宋体"/>
          <w:b/>
          <w:color w:val="auto"/>
          <w:szCs w:val="21"/>
          <w:highlight w:val="none"/>
        </w:rPr>
        <w:t>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p>
    <w:p w14:paraId="2F561618">
      <w:pPr>
        <w:pageBreakBefore/>
        <w:tabs>
          <w:tab w:val="left" w:pos="315"/>
          <w:tab w:val="center" w:pos="4153"/>
        </w:tabs>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四、合同主要条款</w:t>
      </w:r>
    </w:p>
    <w:p w14:paraId="66B038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根据苏州新天平工程咨询有限公司采购编号</w:t>
      </w:r>
      <w:r>
        <w:rPr>
          <w:rFonts w:hint="eastAsia" w:ascii="宋体" w:hAnsi="宋体" w:cs="宋体"/>
          <w:color w:val="auto"/>
          <w:szCs w:val="21"/>
          <w:highlight w:val="none"/>
          <w:u w:val="single"/>
          <w:lang w:eastAsia="zh-CN"/>
        </w:rPr>
        <w:t>JSZC-320507-XTPC-C2026-0019</w:t>
      </w:r>
      <w:r>
        <w:rPr>
          <w:rFonts w:hint="eastAsia" w:ascii="宋体" w:hAnsi="宋体" w:cs="宋体"/>
          <w:color w:val="auto"/>
          <w:szCs w:val="21"/>
          <w:highlight w:val="none"/>
        </w:rPr>
        <w:t>号采购文件及成交单位的响应文件和成交通知书，委托方（简称“甲方”）和受托供应商（简称“乙方“）双方就此次成交的</w:t>
      </w:r>
      <w:r>
        <w:rPr>
          <w:rFonts w:hint="eastAsia" w:ascii="宋体" w:hAnsi="宋体" w:cs="宋体"/>
          <w:color w:val="auto"/>
          <w:szCs w:val="21"/>
          <w:highlight w:val="none"/>
          <w:u w:val="single"/>
        </w:rPr>
        <w:t>2026年政务服务大厅非执法类辅助性服务</w:t>
      </w:r>
      <w:r>
        <w:rPr>
          <w:rFonts w:hint="eastAsia" w:ascii="宋体" w:hAnsi="宋体" w:cs="宋体"/>
          <w:color w:val="auto"/>
          <w:szCs w:val="21"/>
          <w:highlight w:val="none"/>
        </w:rPr>
        <w:t>成交事宜，签订本合同书。</w:t>
      </w:r>
    </w:p>
    <w:p w14:paraId="73761B78">
      <w:pPr>
        <w:spacing w:line="360" w:lineRule="auto"/>
        <w:ind w:firstLine="482"/>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一、合同内容：</w:t>
      </w:r>
    </w:p>
    <w:p w14:paraId="3A626D69">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1、乙方负责完成甲方所需的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项目。</w:t>
      </w:r>
    </w:p>
    <w:p w14:paraId="36900101">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2、服务期限：自合同签订之日起至202</w:t>
      </w:r>
      <w:r>
        <w:rPr>
          <w:rFonts w:hint="eastAsia" w:ascii="宋体" w:hAnsi="宋体" w:cs="宋体"/>
          <w:color w:val="auto"/>
          <w:szCs w:val="21"/>
          <w:highlight w:val="none"/>
        </w:rPr>
        <w:t>6</w:t>
      </w:r>
      <w:r>
        <w:rPr>
          <w:rFonts w:hint="eastAsia" w:ascii="宋体" w:hAnsi="宋体" w:cs="宋体"/>
          <w:color w:val="auto"/>
          <w:szCs w:val="21"/>
          <w:highlight w:val="none"/>
          <w:lang w:val="zh-CN"/>
        </w:rPr>
        <w:t>年12月31日止，期限届满或年度实施金额达到</w:t>
      </w:r>
      <w:r>
        <w:rPr>
          <w:rFonts w:hint="eastAsia" w:ascii="宋体" w:hAnsi="宋体" w:cs="宋体"/>
          <w:color w:val="auto"/>
          <w:szCs w:val="21"/>
          <w:highlight w:val="none"/>
        </w:rPr>
        <w:t>合同金额</w:t>
      </w:r>
      <w:r>
        <w:rPr>
          <w:rFonts w:hint="eastAsia" w:ascii="宋体" w:hAnsi="宋体" w:cs="宋体"/>
          <w:color w:val="auto"/>
          <w:szCs w:val="21"/>
          <w:highlight w:val="none"/>
          <w:lang w:val="zh-CN"/>
        </w:rPr>
        <w:t>时本合同自动终止。</w:t>
      </w:r>
    </w:p>
    <w:p w14:paraId="32A9AB53">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3、服务地点：苏州市相城区政务服务中心，具体地点由甲方指定。</w:t>
      </w:r>
    </w:p>
    <w:p w14:paraId="1CB8787C">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4、服务内容及要求：详见招标文件。</w:t>
      </w:r>
    </w:p>
    <w:p w14:paraId="481FD525">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5、下列文件为本合同不可分割部分：</w:t>
      </w:r>
    </w:p>
    <w:p w14:paraId="1A90CDCD">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①成交通知书；</w:t>
      </w:r>
    </w:p>
    <w:p w14:paraId="2543C7E6">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②磋商文件； </w:t>
      </w:r>
    </w:p>
    <w:p w14:paraId="7546155A">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 3 \* GB3 </w:instrText>
      </w:r>
      <w:r>
        <w:rPr>
          <w:rFonts w:hint="eastAsia" w:ascii="宋体" w:hAnsi="宋体" w:cs="宋体"/>
          <w:color w:val="auto"/>
          <w:szCs w:val="21"/>
          <w:highlight w:val="none"/>
          <w:lang w:val="zh-CN"/>
        </w:rPr>
        <w:fldChar w:fldCharType="separate"/>
      </w:r>
      <w:r>
        <w:rPr>
          <w:rFonts w:hint="eastAsia" w:ascii="宋体" w:hAnsi="宋体" w:cs="宋体"/>
          <w:color w:val="auto"/>
          <w:szCs w:val="21"/>
          <w:highlight w:val="none"/>
          <w:lang w:val="zh-CN"/>
        </w:rPr>
        <w:t>③</w: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lang w:val="zh-CN"/>
        </w:rPr>
        <w:t>乙方的响应文件；</w:t>
      </w:r>
    </w:p>
    <w:p w14:paraId="1EB9C567">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④乙方在响应过程中所作的其它承诺、声明、书面澄清等；</w:t>
      </w:r>
    </w:p>
    <w:p w14:paraId="1655F15E">
      <w:pPr>
        <w:spacing w:line="360" w:lineRule="auto"/>
        <w:ind w:firstLine="480"/>
        <w:rPr>
          <w:rFonts w:hint="eastAsia" w:ascii="宋体" w:hAnsi="宋体" w:cs="宋体"/>
          <w:b/>
          <w:color w:val="auto"/>
          <w:szCs w:val="21"/>
          <w:highlight w:val="none"/>
        </w:rPr>
      </w:pPr>
      <w:r>
        <w:rPr>
          <w:rFonts w:hint="eastAsia" w:ascii="宋体" w:hAnsi="宋体" w:cs="宋体"/>
          <w:color w:val="auto"/>
          <w:szCs w:val="21"/>
          <w:highlight w:val="none"/>
          <w:lang w:val="zh-CN"/>
        </w:rPr>
        <w:t>⑤合同附件（如有）；</w:t>
      </w:r>
    </w:p>
    <w:p w14:paraId="69370026">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二、价格与支付：</w:t>
      </w:r>
    </w:p>
    <w:p w14:paraId="24E8E18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zh-CN"/>
        </w:rPr>
        <w:t>合同总金额为</w:t>
      </w:r>
      <w:r>
        <w:rPr>
          <w:rFonts w:hint="eastAsia" w:ascii="宋体" w:hAnsi="宋体" w:cs="宋体"/>
          <w:color w:val="auto"/>
          <w:szCs w:val="21"/>
          <w:highlight w:val="none"/>
          <w:u w:val="single"/>
        </w:rPr>
        <w:t>人民币            (¥：             )</w:t>
      </w:r>
      <w:r>
        <w:rPr>
          <w:rFonts w:hint="eastAsia" w:ascii="宋体" w:hAnsi="宋体" w:cs="宋体"/>
          <w:color w:val="auto"/>
          <w:szCs w:val="21"/>
          <w:highlight w:val="none"/>
          <w:lang w:val="zh-CN"/>
        </w:rPr>
        <w:t>，合同价格</w:t>
      </w:r>
      <w:r>
        <w:rPr>
          <w:rFonts w:hint="eastAsia" w:ascii="宋体" w:hAnsi="宋体" w:cs="宋体"/>
          <w:color w:val="auto"/>
          <w:szCs w:val="21"/>
          <w:highlight w:val="none"/>
        </w:rPr>
        <w:t>包括服务管理费、税金、人工费用、国家规定的社保、公积金，以及离职风险金、年假、有薪病假、婚丧假、护理假、产假、福利费（工会经费）、餐费、工伤备用金等其他风险金的全部费用以及投标人企业利润和政策性文件规定及合同包含的所有风险、责任等各项应有费用。除非因特殊原因并经采购双方协商同意，乙方不得再要求追加任何费用。同时，除非合同条款中另有规定，否则，乙方报价格在合同实施期间不因市场变化因素而变动。</w:t>
      </w:r>
    </w:p>
    <w:p w14:paraId="1834313C">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2、付款步骤：</w:t>
      </w:r>
    </w:p>
    <w:p w14:paraId="0B34E4CD">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合同签订后甲方支付乙方合同金额的30%的作为预付款，服务实施后甲方按月度付款，乙方于每月结束后15日内出具服务报告,提供至甲方，甲方按合同约定的考核标准对乙方进行考核，经双方确认无误后，乙方开具发票，甲方在收到发票后10个工作日内完成款项的支付。</w:t>
      </w:r>
    </w:p>
    <w:p w14:paraId="03C5FA55">
      <w:pPr>
        <w:spacing w:line="360" w:lineRule="auto"/>
        <w:ind w:firstLine="480"/>
        <w:rPr>
          <w:rFonts w:hint="eastAsia" w:ascii="宋体" w:hAnsi="宋体" w:cs="宋体"/>
          <w:b/>
          <w:bCs/>
          <w:color w:val="auto"/>
          <w:szCs w:val="21"/>
          <w:highlight w:val="none"/>
        </w:rPr>
      </w:pPr>
      <w:r>
        <w:rPr>
          <w:rFonts w:hint="eastAsia" w:ascii="宋体" w:hAnsi="宋体" w:cs="宋体"/>
          <w:b/>
          <w:bCs/>
          <w:color w:val="auto"/>
          <w:szCs w:val="21"/>
          <w:highlight w:val="none"/>
        </w:rPr>
        <w:t>注：在签订合同时，乙方明确表示无需预付款或者主动要求降低预付款比例的，甲方无需支付30%的预付款。</w:t>
      </w:r>
    </w:p>
    <w:p w14:paraId="2C158B12">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付款方式：转账、银行汇票或转账支票。</w:t>
      </w:r>
    </w:p>
    <w:p w14:paraId="1F19228E">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三、甲、乙双方的责任：</w:t>
      </w:r>
    </w:p>
    <w:p w14:paraId="0BF42B61">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（一）甲方责任：</w:t>
      </w:r>
    </w:p>
    <w:p w14:paraId="6AAF0D7E">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1、为乙方驻现场工作人员提供必要的工作条件，工作外的工作人员通讯费用乙方自理；并指定专人作为甲方联系人予以协调工作，加强与乙方沟通，交流情况，互通信息。</w:t>
      </w:r>
    </w:p>
    <w:p w14:paraId="212AEF77">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2、甲方应教育所属人员尊重乙方工作人员的劳动成果，积极配合乙方工作人员履行好合同所规定的职责和义务。因甲方人员使用设备、器材、器械不当而造成的损失与乙方无关。</w:t>
      </w:r>
    </w:p>
    <w:p w14:paraId="761A2FC9">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3、定期组织对乙方服务质量的考核、收集意见和建议，并将结果及时通报乙方。</w:t>
      </w:r>
    </w:p>
    <w:p w14:paraId="15984D7F">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4、为乙方有效开展工作提供其他必要的便利。</w:t>
      </w:r>
    </w:p>
    <w:p w14:paraId="18493FD2">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（二）乙方责任：  </w:t>
      </w:r>
    </w:p>
    <w:p w14:paraId="5918375D">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 xml:space="preserve">1、乙方应完成所有相关项目的服务工作，要求到达其相关规范要求；应积极配合，做好本项目有效承接、交接工作，并保证服务工作有序开展。 </w:t>
      </w:r>
    </w:p>
    <w:p w14:paraId="0CEA6353">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2、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无条件终止该合同。</w:t>
      </w:r>
    </w:p>
    <w:p w14:paraId="162608C4">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3、乙方经甲方审核通过后，安排在项目内的乙方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p>
    <w:p w14:paraId="6E2E1465">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4、在合同履行过程中乙方无法达到招标书及合同相关约定或甲方各项要求的，项目内乙方工作人员的工作未达到甲方工作要求的，甲方有权要求乙方在规定的时间内调换或增配服务人员，乙方应在3个工作日内将人员安排到位，甲方不承担除合同约定以外的其他任何费用。</w:t>
      </w:r>
    </w:p>
    <w:p w14:paraId="367275E0">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5、配置本项目的工作人员为本项目提供服务时，不得在其他项目兼职。配置给甲方的工作人员，如需在本项目内临时调配的，需书面申报并征得甲方同意。</w:t>
      </w:r>
    </w:p>
    <w:p w14:paraId="21FFD9BD">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 xml:space="preserve">6、乙方在提供服务过程中，不执行双方的约定，甲方发现一次视情形扣乙方1000-3000元的服务费。 </w:t>
      </w:r>
    </w:p>
    <w:p w14:paraId="6B0049E3">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 xml:space="preserve">7、因乙方过失或故意违反法律、法规规定，造成后果的，乙方应及时采取措施，不能挽回的部分应足额承担相应经济赔偿责任，需要追究法律责任的，依法追究有关责任人的法律责任。 </w:t>
      </w:r>
    </w:p>
    <w:p w14:paraId="59A206E7">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8、对不遵守法律法规和甲方各项工作制度、工作纪律的人员，甲方有权提出不继续使用该人员，并要求乙方在10天内更换，乙方应无条件配合。</w:t>
      </w:r>
    </w:p>
    <w:p w14:paraId="5484B7AE">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9、乙方在从事管理工作中应当做到文明礼貌、注意交通安全，并采取必要的安全防范措施，合同期内若发生交通安全事故、治安案件、刑事案件的，乙方在承担全部责任的同时还要追究法律责任，并负责赔偿由此造成的所有损失，与甲方无关。如超过3次以上事故或事故情节特别严重的或影响特别恶劣的，甲方有权无条件解除合同。</w:t>
      </w:r>
    </w:p>
    <w:p w14:paraId="21C5ADCF">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10、乙方应经常对员工进行岗位职责和安全教育，加强岗位责任考核。因管理不当、违规操作发生消防、设备损坏等安全事故的，乙方应承担全部责任，并负责赔偿由此造成的损失，与甲方无关。如超过3次以上事故或事故情节特别严重的或影响特别恶劣的，甲方有权无条件解除合同。</w:t>
      </w:r>
    </w:p>
    <w:p w14:paraId="4D83FAFC">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11、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p>
    <w:p w14:paraId="7FD9AB2D">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12、乙方须建立严格的保密制度，并加强对工作人员的保密管理及保密知识教育。乙方须承担与此有关信息的保密责任。与本项目有关的信息中涉及国家秘密的内容，均要求按照《中华人民共和国国家保密法》及相关法律法规执行。在服务过程中未经得甲方同意，不得以任何原因泄密任何信息，如有相关情形，甲方有权解除合同，并扣除服务费用，情形严重的，甲方有权追究乙方及当事人员的法律责任及赔偿义务。</w:t>
      </w:r>
    </w:p>
    <w:p w14:paraId="1D56C0B7">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13、乙方需接受并积极配合甲方组织的定期考核、满意度调查等工作，并按甲方提出的意见及时进行整改。</w:t>
      </w:r>
    </w:p>
    <w:p w14:paraId="433E5ADE">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14、本合同自然终止或因乙方责任导致甲方无条件解除合同情况出现时，双方按本合同交接管理的相关约定执行。</w:t>
      </w:r>
    </w:p>
    <w:p w14:paraId="05A6B54C">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15、确因甲方工作需要，乙方应无条件配合甲方完成突击性工作。</w:t>
      </w:r>
    </w:p>
    <w:p w14:paraId="4C20AD10">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16、乙方在投标文件中提出的其他服务承诺。</w:t>
      </w:r>
    </w:p>
    <w:p w14:paraId="6191A378">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四、违约责任：</w:t>
      </w:r>
    </w:p>
    <w:p w14:paraId="43A3A77A">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1、合同一方不履行合同义务或者履行合同义务不符合约定的，应当承担继续履行、采取补救措施或者赔偿损失等违约责任。</w:t>
      </w:r>
    </w:p>
    <w:p w14:paraId="5C8FE154">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2、在合同生效后，甲方无故要求取消此次服务的，应向乙方偿付合同总价款的5%作为违约金，违约金不足以补偿损失的，乙方有权要求甲方补足。</w:t>
      </w:r>
    </w:p>
    <w:p w14:paraId="69B8D5B4">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3、乙方不能正常提供服务（不可抗力因素除外）从而影响甲方按期正常使用的，乙方应向甲方偿付合同总价款5%的违约金，违约金不足以补偿损失的，甲方有权要求乙方补足。同时甲方有权要求乙方承担因此造成的其他损失。</w:t>
      </w:r>
    </w:p>
    <w:p w14:paraId="2C447736">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4、因不可抗力不能履行合同的，根据不可抗力的影响，部分或者全部免除责任。但合同一方迟延履行后发生不可抗力的，不能免除责任。</w:t>
      </w:r>
    </w:p>
    <w:p w14:paraId="12D71E28">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5、合同一方因不可抗力不能履行合同的，应及时通知对方，以减轻可能给对方造成的损失，并应当在合理期限内提供证明。</w:t>
      </w:r>
    </w:p>
    <w:p w14:paraId="7DB11EF7">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五、合同的转让：</w:t>
      </w:r>
    </w:p>
    <w:p w14:paraId="297C7C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本项目合同的部分和全部都不得转让。</w:t>
      </w:r>
    </w:p>
    <w:p w14:paraId="20972CFA">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六、合同的解除：</w:t>
      </w:r>
    </w:p>
    <w:p w14:paraId="2FD8154F">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zh-CN"/>
        </w:rPr>
        <w:t>、有下列情形之一</w:t>
      </w:r>
      <w:r>
        <w:rPr>
          <w:rFonts w:hint="eastAsia" w:ascii="宋体" w:hAnsi="宋体" w:cs="宋体"/>
          <w:color w:val="auto"/>
          <w:szCs w:val="21"/>
          <w:highlight w:val="none"/>
        </w:rPr>
        <w:t>，</w:t>
      </w:r>
      <w:r>
        <w:rPr>
          <w:rFonts w:hint="eastAsia" w:ascii="宋体" w:hAnsi="宋体" w:cs="宋体"/>
          <w:color w:val="auto"/>
          <w:szCs w:val="21"/>
          <w:highlight w:val="none"/>
          <w:lang w:val="zh-CN"/>
        </w:rPr>
        <w:t>合同一方可以解除合同</w:t>
      </w:r>
      <w:r>
        <w:rPr>
          <w:rFonts w:hint="eastAsia" w:ascii="宋体" w:hAnsi="宋体" w:cs="宋体"/>
          <w:color w:val="auto"/>
          <w:szCs w:val="21"/>
          <w:highlight w:val="none"/>
        </w:rPr>
        <w:t>：</w:t>
      </w:r>
    </w:p>
    <w:p w14:paraId="74500DB5">
      <w:pPr>
        <w:spacing w:line="360" w:lineRule="auto"/>
        <w:ind w:firstLine="482"/>
        <w:rPr>
          <w:rFonts w:hint="eastAsia" w:ascii="宋体" w:hAnsi="宋体" w:cs="宋体"/>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因不可抗力致使不能实现合同目的，未受不可抗力影响的一方有权解除合同；</w:t>
      </w:r>
    </w:p>
    <w:p w14:paraId="79302988">
      <w:pPr>
        <w:spacing w:line="360" w:lineRule="auto"/>
        <w:ind w:firstLine="482"/>
        <w:rPr>
          <w:rFonts w:hint="eastAsia" w:ascii="宋体" w:hAnsi="宋体" w:cs="宋体"/>
          <w:color w:val="auto"/>
          <w:szCs w:val="21"/>
          <w:highlight w:val="none"/>
          <w:lang w:val="zh-CN"/>
        </w:rPr>
      </w:pPr>
      <w:r>
        <w:rPr>
          <w:rFonts w:hint="eastAsia" w:ascii="宋体" w:hAnsi="宋体" w:cs="宋体"/>
          <w:color w:val="auto"/>
          <w:szCs w:val="21"/>
          <w:highlight w:val="none"/>
        </w:rPr>
        <w:t>(2)</w:t>
      </w:r>
      <w:r>
        <w:rPr>
          <w:rFonts w:hint="eastAsia" w:ascii="宋体" w:hAnsi="宋体" w:cs="宋体"/>
          <w:color w:val="auto"/>
          <w:szCs w:val="21"/>
          <w:highlight w:val="none"/>
          <w:lang w:val="zh-CN"/>
        </w:rPr>
        <w:t>因合同一方违约导致合同不能履行，另一方有权解除合同。</w:t>
      </w:r>
    </w:p>
    <w:p w14:paraId="5586E838">
      <w:pPr>
        <w:spacing w:line="360" w:lineRule="auto"/>
        <w:ind w:firstLine="482"/>
        <w:rPr>
          <w:rFonts w:hint="eastAsia" w:ascii="宋体" w:hAnsi="宋体" w:cs="宋体"/>
          <w:color w:val="auto"/>
          <w:szCs w:val="21"/>
          <w:highlight w:val="none"/>
          <w:lang w:val="zh-CN"/>
        </w:rPr>
      </w:pPr>
      <w:r>
        <w:rPr>
          <w:rFonts w:hint="eastAsia" w:ascii="宋体" w:hAnsi="宋体" w:cs="宋体"/>
          <w:color w:val="auto"/>
          <w:szCs w:val="21"/>
          <w:highlight w:val="none"/>
          <w:lang w:val="zh-CN"/>
        </w:rPr>
        <w:t>2、有权解除合同的一方，应当在违约事实或不可抗力发生之后三十天内书面通知对方以主张解除合同，合同在书面通知到达对方时解除。</w:t>
      </w:r>
    </w:p>
    <w:p w14:paraId="6BE52D18">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3、甲方因政策、机构调整等原因导致不能继续履行合同的，有权单方面解除本合同，乙方应同意甲方的要求并做好服务人员的善后处理并承担相关费用，包括但不限于经济赔偿等。</w:t>
      </w:r>
    </w:p>
    <w:p w14:paraId="386D58BF">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4、其他合同约定的解除条款。</w:t>
      </w:r>
    </w:p>
    <w:p w14:paraId="2BC08E06">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七、争议解决办法：</w:t>
      </w:r>
    </w:p>
    <w:p w14:paraId="6C26EA44">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1、因本合同或与本合同有关的一切事项发生争议，如有争议双方友好协商，协商不成，双方同意向甲方所在地人民法院进行诉讼。</w:t>
      </w:r>
    </w:p>
    <w:p w14:paraId="24DD6432">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2、合同履行过程中发生争议的，双方可以通过友好协商或调解解决；不愿协商、调解或者协商、调解不成的，可向甲方所在地人民法院提起诉讼。</w:t>
      </w:r>
    </w:p>
    <w:p w14:paraId="5D9E54C6">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八、未尽事宜：</w:t>
      </w:r>
    </w:p>
    <w:p w14:paraId="3AED6643">
      <w:pPr>
        <w:spacing w:line="360" w:lineRule="auto"/>
        <w:ind w:firstLine="482"/>
        <w:rPr>
          <w:rFonts w:hint="eastAsia" w:ascii="宋体" w:hAnsi="宋体" w:cs="宋体"/>
          <w:color w:val="auto"/>
          <w:szCs w:val="21"/>
          <w:highlight w:val="none"/>
        </w:rPr>
      </w:pPr>
      <w:r>
        <w:rPr>
          <w:rFonts w:hint="eastAsia" w:ascii="宋体" w:hAnsi="宋体" w:cs="宋体"/>
          <w:color w:val="auto"/>
          <w:szCs w:val="21"/>
          <w:highlight w:val="none"/>
        </w:rPr>
        <w:t>合同在执行过程中出现的未尽事宜，双方在不违背本合同和招标文件的原则下协商解决，协商结果以书面形式盖章记录在案，作为本合同的附件与本合同具有同等效力，但需要向招标方提交一份备存。</w:t>
      </w:r>
    </w:p>
    <w:p w14:paraId="20FA66C2">
      <w:pPr>
        <w:spacing w:line="360" w:lineRule="auto"/>
        <w:ind w:firstLine="482"/>
        <w:rPr>
          <w:rFonts w:hint="eastAsia" w:ascii="宋体" w:hAnsi="宋体" w:cs="宋体"/>
          <w:b/>
          <w:bCs/>
          <w:color w:val="auto"/>
          <w:szCs w:val="21"/>
          <w:highlight w:val="none"/>
        </w:rPr>
      </w:pPr>
      <w:r>
        <w:rPr>
          <w:rFonts w:hint="eastAsia" w:ascii="宋体" w:hAnsi="宋体" w:cs="宋体"/>
          <w:b/>
          <w:bCs/>
          <w:color w:val="auto"/>
          <w:szCs w:val="21"/>
          <w:highlight w:val="none"/>
        </w:rPr>
        <w:t>九、合同生效及其他：</w:t>
      </w:r>
    </w:p>
    <w:p w14:paraId="56ACBC36">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1、本合同经双方法定代表人或授权代表签字（或盖章）并经单位盖章后生效。合同需</w:t>
      </w:r>
      <w:r>
        <w:rPr>
          <w:rFonts w:hint="eastAsia" w:ascii="宋体" w:hAnsi="宋体" w:cs="宋体"/>
          <w:color w:val="auto"/>
          <w:szCs w:val="21"/>
          <w:highlight w:val="none"/>
        </w:rPr>
        <w:t>在</w:t>
      </w:r>
      <w:r>
        <w:rPr>
          <w:rFonts w:hint="eastAsia" w:ascii="宋体" w:hAnsi="宋体" w:cs="宋体"/>
          <w:color w:val="auto"/>
          <w:szCs w:val="21"/>
          <w:highlight w:val="none"/>
          <w:lang w:val="zh-CN"/>
        </w:rPr>
        <w:t>网上</w:t>
      </w:r>
      <w:r>
        <w:rPr>
          <w:rFonts w:hint="eastAsia" w:ascii="宋体" w:hAnsi="宋体" w:cs="宋体"/>
          <w:color w:val="auto"/>
          <w:szCs w:val="21"/>
          <w:highlight w:val="none"/>
        </w:rPr>
        <w:t>进行</w:t>
      </w:r>
      <w:r>
        <w:rPr>
          <w:rFonts w:hint="eastAsia" w:ascii="宋体" w:hAnsi="宋体" w:cs="宋体"/>
          <w:color w:val="auto"/>
          <w:szCs w:val="21"/>
          <w:highlight w:val="none"/>
          <w:lang w:val="zh-CN"/>
        </w:rPr>
        <w:t>备案。</w:t>
      </w:r>
    </w:p>
    <w:p w14:paraId="165C641A">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2、合同份数：本合同一式陆份，甲方、乙方、采购代理机构各执贰份。</w:t>
      </w:r>
    </w:p>
    <w:p w14:paraId="0A6597BC">
      <w:pPr>
        <w:spacing w:line="360" w:lineRule="auto"/>
        <w:ind w:firstLine="480"/>
        <w:rPr>
          <w:rFonts w:hint="eastAsia" w:ascii="宋体" w:hAnsi="宋体" w:cs="宋体"/>
          <w:color w:val="auto"/>
          <w:szCs w:val="21"/>
          <w:highlight w:val="none"/>
          <w:lang w:val="zh-CN"/>
        </w:rPr>
      </w:pPr>
    </w:p>
    <w:p w14:paraId="0D964265">
      <w:pPr>
        <w:spacing w:line="360" w:lineRule="auto"/>
        <w:ind w:firstLine="480"/>
        <w:rPr>
          <w:rFonts w:hint="eastAsia" w:ascii="宋体" w:hAnsi="宋体" w:cs="宋体"/>
          <w:color w:val="auto"/>
          <w:szCs w:val="21"/>
          <w:highlight w:val="none"/>
          <w:lang w:val="zh-CN"/>
        </w:rPr>
      </w:pPr>
    </w:p>
    <w:p w14:paraId="4830031B">
      <w:pPr>
        <w:spacing w:line="360" w:lineRule="auto"/>
        <w:ind w:firstLine="480"/>
        <w:rPr>
          <w:rFonts w:hint="eastAsia" w:ascii="宋体" w:hAnsi="宋体" w:cs="宋体"/>
          <w:color w:val="auto"/>
          <w:szCs w:val="21"/>
          <w:highlight w:val="none"/>
          <w:lang w:val="zh-CN"/>
        </w:rPr>
      </w:pPr>
    </w:p>
    <w:p w14:paraId="36F25F42">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甲方(</w:t>
      </w:r>
      <w:r>
        <w:rPr>
          <w:rFonts w:hint="eastAsia" w:ascii="宋体" w:hAnsi="宋体" w:cs="宋体"/>
          <w:color w:val="auto"/>
          <w:szCs w:val="21"/>
          <w:highlight w:val="none"/>
        </w:rPr>
        <w:t>盖章</w:t>
      </w:r>
      <w:r>
        <w:rPr>
          <w:rFonts w:hint="eastAsia" w:ascii="宋体" w:hAnsi="宋体" w:cs="宋体"/>
          <w:color w:val="auto"/>
          <w:szCs w:val="21"/>
          <w:highlight w:val="none"/>
          <w:lang w:val="zh-CN"/>
        </w:rPr>
        <w:t>)：                              乙方(</w:t>
      </w:r>
      <w:r>
        <w:rPr>
          <w:rFonts w:hint="eastAsia" w:ascii="宋体" w:hAnsi="宋体" w:cs="宋体"/>
          <w:color w:val="auto"/>
          <w:szCs w:val="21"/>
          <w:highlight w:val="none"/>
        </w:rPr>
        <w:t>盖章</w:t>
      </w:r>
      <w:r>
        <w:rPr>
          <w:rFonts w:hint="eastAsia" w:ascii="宋体" w:hAnsi="宋体" w:cs="宋体"/>
          <w:color w:val="auto"/>
          <w:szCs w:val="21"/>
          <w:highlight w:val="none"/>
          <w:lang w:val="zh-CN"/>
        </w:rPr>
        <w:t xml:space="preserve">)：              </w:t>
      </w:r>
    </w:p>
    <w:p w14:paraId="67AD3D28">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法定代表人或</w:t>
      </w:r>
      <w:r>
        <w:rPr>
          <w:rFonts w:hint="eastAsia" w:ascii="宋体" w:hAnsi="宋体" w:cs="宋体"/>
          <w:color w:val="auto"/>
          <w:szCs w:val="21"/>
          <w:highlight w:val="none"/>
        </w:rPr>
        <w:t>代理人</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法定代表人或</w:t>
      </w:r>
      <w:r>
        <w:rPr>
          <w:rFonts w:hint="eastAsia" w:ascii="宋体" w:hAnsi="宋体" w:cs="宋体"/>
          <w:color w:val="auto"/>
          <w:szCs w:val="21"/>
          <w:highlight w:val="none"/>
        </w:rPr>
        <w:t>代理人</w:t>
      </w:r>
      <w:r>
        <w:rPr>
          <w:rFonts w:hint="eastAsia" w:ascii="宋体" w:hAnsi="宋体" w:cs="宋体"/>
          <w:color w:val="auto"/>
          <w:szCs w:val="21"/>
          <w:highlight w:val="none"/>
          <w:lang w:val="zh-CN"/>
        </w:rPr>
        <w:t xml:space="preserve">                                 </w:t>
      </w:r>
    </w:p>
    <w:p w14:paraId="1990FF51">
      <w:pPr>
        <w:spacing w:line="360" w:lineRule="auto"/>
        <w:ind w:firstLine="480"/>
        <w:rPr>
          <w:rFonts w:hint="eastAsia" w:ascii="宋体" w:hAnsi="宋体" w:cs="宋体"/>
          <w:color w:val="auto"/>
          <w:szCs w:val="21"/>
          <w:highlight w:val="none"/>
          <w:lang w:val="zh-CN"/>
        </w:rPr>
      </w:pPr>
      <w:r>
        <w:rPr>
          <w:rFonts w:hint="eastAsia" w:ascii="宋体" w:hAnsi="宋体" w:cs="宋体"/>
          <w:color w:val="auto"/>
          <w:szCs w:val="21"/>
          <w:highlight w:val="none"/>
          <w:lang w:val="zh-CN"/>
        </w:rPr>
        <w:t>(签名</w:t>
      </w:r>
      <w:r>
        <w:rPr>
          <w:rFonts w:hint="eastAsia" w:ascii="宋体" w:hAnsi="宋体" w:cs="宋体"/>
          <w:color w:val="auto"/>
          <w:szCs w:val="21"/>
          <w:highlight w:val="none"/>
        </w:rPr>
        <w:t>或盖章</w:t>
      </w:r>
      <w:r>
        <w:rPr>
          <w:rFonts w:hint="eastAsia" w:ascii="宋体" w:hAnsi="宋体" w:cs="宋体"/>
          <w:color w:val="auto"/>
          <w:szCs w:val="21"/>
          <w:highlight w:val="none"/>
          <w:lang w:val="zh-CN"/>
        </w:rPr>
        <w:t>)：                             (签名</w:t>
      </w:r>
      <w:r>
        <w:rPr>
          <w:rFonts w:hint="eastAsia" w:ascii="宋体" w:hAnsi="宋体" w:cs="宋体"/>
          <w:color w:val="auto"/>
          <w:szCs w:val="21"/>
          <w:highlight w:val="none"/>
        </w:rPr>
        <w:t>或盖章</w:t>
      </w:r>
      <w:r>
        <w:rPr>
          <w:rFonts w:hint="eastAsia" w:ascii="宋体" w:hAnsi="宋体" w:cs="宋体"/>
          <w:color w:val="auto"/>
          <w:szCs w:val="21"/>
          <w:highlight w:val="none"/>
          <w:lang w:val="zh-CN"/>
        </w:rPr>
        <w:t>) ：</w:t>
      </w:r>
    </w:p>
    <w:p w14:paraId="7CC80EF5">
      <w:pPr>
        <w:pStyle w:val="24"/>
        <w:widowControl w:val="0"/>
        <w:spacing w:line="360" w:lineRule="auto"/>
        <w:ind w:firstLine="420"/>
        <w:rPr>
          <w:rFonts w:hint="eastAsia" w:hAnsi="宋体" w:eastAsia="宋体" w:cs="宋体"/>
          <w:color w:val="auto"/>
          <w:sz w:val="18"/>
          <w:szCs w:val="18"/>
          <w:highlight w:val="none"/>
        </w:rPr>
      </w:pPr>
      <w:r>
        <w:rPr>
          <w:rFonts w:hint="eastAsia" w:hAnsi="宋体" w:eastAsia="宋体" w:cs="宋体"/>
          <w:color w:val="auto"/>
          <w:sz w:val="21"/>
          <w:szCs w:val="21"/>
          <w:highlight w:val="none"/>
          <w:lang w:val="zh-CN"/>
        </w:rPr>
        <w:t>签订日期：    年   月   日                签订日期：    年   月   日</w:t>
      </w:r>
    </w:p>
    <w:p w14:paraId="399D8BEC">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2068E3D4">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五、磋商响应文件格式</w:t>
      </w:r>
    </w:p>
    <w:p w14:paraId="74B40F6C">
      <w:pPr>
        <w:spacing w:line="440" w:lineRule="exact"/>
        <w:jc w:val="left"/>
        <w:rPr>
          <w:rFonts w:hint="eastAsia" w:ascii="宋体" w:hAnsi="宋体"/>
          <w:b/>
          <w:color w:val="auto"/>
          <w:szCs w:val="21"/>
          <w:highlight w:val="none"/>
        </w:rPr>
      </w:pPr>
      <w:r>
        <w:rPr>
          <w:rFonts w:ascii="宋体" w:hAnsi="宋体"/>
          <w:b/>
          <w:color w:val="auto"/>
          <w:szCs w:val="21"/>
          <w:highlight w:val="none"/>
        </w:rPr>
        <w:t>说明：</w:t>
      </w:r>
    </w:p>
    <w:p w14:paraId="4609E25E">
      <w:pPr>
        <w:pStyle w:val="206"/>
        <w:ind w:firstLine="420"/>
        <w:rPr>
          <w:rFonts w:hint="eastAsia"/>
          <w:color w:val="auto"/>
          <w:sz w:val="21"/>
          <w:szCs w:val="21"/>
          <w:highlight w:val="none"/>
        </w:rPr>
      </w:pPr>
      <w:r>
        <w:rPr>
          <w:color w:val="auto"/>
          <w:sz w:val="21"/>
          <w:szCs w:val="21"/>
          <w:highlight w:val="none"/>
        </w:rPr>
        <w:t>对本章所有的格式，</w:t>
      </w:r>
      <w:r>
        <w:rPr>
          <w:rFonts w:hint="eastAsia"/>
          <w:color w:val="auto"/>
          <w:sz w:val="21"/>
          <w:szCs w:val="21"/>
          <w:highlight w:val="none"/>
        </w:rPr>
        <w:t>供应商</w:t>
      </w:r>
      <w:r>
        <w:rPr>
          <w:color w:val="auto"/>
          <w:sz w:val="21"/>
          <w:szCs w:val="21"/>
          <w:highlight w:val="none"/>
        </w:rPr>
        <w:t>可根据自身情况进行补充和修改，但补充和修改不得造成与本格式内容有实质性的违背。</w:t>
      </w:r>
    </w:p>
    <w:p w14:paraId="20B6493C">
      <w:pPr>
        <w:pStyle w:val="206"/>
        <w:ind w:firstLine="420"/>
        <w:rPr>
          <w:rFonts w:hint="eastAsia"/>
          <w:color w:val="auto"/>
          <w:sz w:val="21"/>
          <w:szCs w:val="21"/>
          <w:highlight w:val="none"/>
        </w:rPr>
      </w:pPr>
    </w:p>
    <w:p w14:paraId="08935209">
      <w:pPr>
        <w:spacing w:line="360" w:lineRule="auto"/>
        <w:outlineLvl w:val="1"/>
        <w:rPr>
          <w:rFonts w:hint="eastAsia" w:ascii="宋体" w:hAnsi="宋体" w:cs="宋体"/>
          <w:b/>
          <w:color w:val="auto"/>
          <w:szCs w:val="21"/>
          <w:highlight w:val="none"/>
        </w:rPr>
      </w:pPr>
    </w:p>
    <w:p w14:paraId="06C5417A">
      <w:pPr>
        <w:spacing w:line="360" w:lineRule="auto"/>
        <w:outlineLvl w:val="1"/>
        <w:rPr>
          <w:rFonts w:hint="eastAsia" w:ascii="宋体" w:hAnsi="宋体" w:cs="宋体"/>
          <w:b/>
          <w:color w:val="auto"/>
          <w:szCs w:val="21"/>
          <w:highlight w:val="none"/>
        </w:rPr>
      </w:pPr>
      <w:r>
        <w:rPr>
          <w:rFonts w:hint="eastAsia" w:ascii="宋体" w:hAnsi="宋体" w:cs="宋体"/>
          <w:b/>
          <w:color w:val="auto"/>
          <w:szCs w:val="21"/>
          <w:highlight w:val="none"/>
        </w:rPr>
        <w:t>附件1：开标一览表</w:t>
      </w:r>
    </w:p>
    <w:p w14:paraId="2DD08AD7">
      <w:pPr>
        <w:spacing w:line="360" w:lineRule="auto"/>
        <w:jc w:val="center"/>
        <w:rPr>
          <w:rFonts w:hint="eastAsia" w:ascii="宋体" w:hAnsi="宋体" w:cs="宋体"/>
          <w:b/>
          <w:color w:val="auto"/>
          <w:szCs w:val="21"/>
          <w:highlight w:val="none"/>
        </w:rPr>
      </w:pPr>
    </w:p>
    <w:p w14:paraId="1AFA0E77">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开标一览表</w:t>
      </w:r>
    </w:p>
    <w:p w14:paraId="02505224">
      <w:pPr>
        <w:spacing w:line="360" w:lineRule="auto"/>
        <w:jc w:val="left"/>
        <w:rPr>
          <w:rFonts w:hint="eastAsia" w:ascii="宋体" w:hAnsi="宋体" w:cs="宋体"/>
          <w:color w:val="auto"/>
          <w:szCs w:val="21"/>
          <w:highlight w:val="none"/>
        </w:rPr>
      </w:pPr>
    </w:p>
    <w:p w14:paraId="3274A33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采购编号：</w:t>
      </w:r>
    </w:p>
    <w:tbl>
      <w:tblPr>
        <w:tblStyle w:val="47"/>
        <w:tblW w:w="49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915"/>
        <w:gridCol w:w="2686"/>
        <w:gridCol w:w="2340"/>
        <w:gridCol w:w="1716"/>
      </w:tblGrid>
      <w:tr w14:paraId="02983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2915" w:type="dxa"/>
            <w:tcBorders>
              <w:top w:val="single" w:color="auto" w:sz="4" w:space="0"/>
              <w:left w:val="single" w:color="auto" w:sz="4" w:space="0"/>
              <w:bottom w:val="single" w:color="auto" w:sz="4" w:space="0"/>
              <w:right w:val="single" w:color="auto" w:sz="4" w:space="0"/>
            </w:tcBorders>
            <w:vAlign w:val="center"/>
          </w:tcPr>
          <w:p w14:paraId="6833FDA0">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2686" w:type="dxa"/>
            <w:tcBorders>
              <w:top w:val="single" w:color="auto" w:sz="4" w:space="0"/>
              <w:left w:val="single" w:color="auto" w:sz="4" w:space="0"/>
              <w:bottom w:val="single" w:color="auto" w:sz="4" w:space="0"/>
              <w:right w:val="single" w:color="auto" w:sz="4" w:space="0"/>
            </w:tcBorders>
            <w:vAlign w:val="center"/>
          </w:tcPr>
          <w:p w14:paraId="588788BA">
            <w:pPr>
              <w:jc w:val="center"/>
              <w:rPr>
                <w:rFonts w:hint="eastAsia" w:ascii="宋体" w:hAnsi="宋体" w:cs="宋体"/>
                <w:color w:val="auto"/>
                <w:spacing w:val="20"/>
                <w:szCs w:val="21"/>
                <w:highlight w:val="none"/>
              </w:rPr>
            </w:pPr>
            <w:r>
              <w:rPr>
                <w:rFonts w:hint="eastAsia" w:ascii="宋体" w:hAnsi="宋体" w:cs="宋体"/>
                <w:color w:val="auto"/>
                <w:spacing w:val="20"/>
                <w:szCs w:val="21"/>
                <w:highlight w:val="none"/>
              </w:rPr>
              <w:t>投标综合单价合计总金额(</w:t>
            </w:r>
            <w:r>
              <w:rPr>
                <w:rFonts w:hint="eastAsia" w:ascii="宋体" w:hAnsi="宋体" w:cs="宋体"/>
                <w:color w:val="auto"/>
                <w:spacing w:val="20"/>
                <w:szCs w:val="21"/>
                <w:highlight w:val="none"/>
                <w:lang w:val="zh-CN"/>
              </w:rPr>
              <w:t>元</w:t>
            </w:r>
            <w:r>
              <w:rPr>
                <w:rFonts w:hint="eastAsia" w:ascii="宋体" w:hAnsi="宋体" w:cs="宋体"/>
                <w:color w:val="auto"/>
                <w:spacing w:val="20"/>
                <w:szCs w:val="21"/>
                <w:highlight w:val="none"/>
              </w:rPr>
              <w:t>)</w:t>
            </w:r>
          </w:p>
        </w:tc>
        <w:tc>
          <w:tcPr>
            <w:tcW w:w="2340" w:type="dxa"/>
            <w:tcBorders>
              <w:top w:val="single" w:color="auto" w:sz="4" w:space="0"/>
              <w:left w:val="single" w:color="auto" w:sz="4" w:space="0"/>
              <w:bottom w:val="single" w:color="auto" w:sz="4" w:space="0"/>
              <w:right w:val="single" w:color="auto" w:sz="4" w:space="0"/>
            </w:tcBorders>
            <w:vAlign w:val="center"/>
          </w:tcPr>
          <w:p w14:paraId="6C2A3752">
            <w:pPr>
              <w:jc w:val="center"/>
              <w:rPr>
                <w:rFonts w:hint="eastAsia" w:ascii="宋体" w:hAnsi="宋体" w:cs="宋体"/>
                <w:color w:val="auto"/>
                <w:spacing w:val="20"/>
                <w:szCs w:val="21"/>
                <w:highlight w:val="none"/>
              </w:rPr>
            </w:pPr>
            <w:r>
              <w:rPr>
                <w:rFonts w:hint="eastAsia" w:ascii="宋体" w:hAnsi="宋体" w:cs="宋体"/>
                <w:color w:val="auto"/>
                <w:spacing w:val="20"/>
                <w:szCs w:val="21"/>
                <w:highlight w:val="none"/>
                <w:lang w:val="zh-CN"/>
              </w:rPr>
              <w:t>时间进度响应</w:t>
            </w:r>
          </w:p>
        </w:tc>
        <w:tc>
          <w:tcPr>
            <w:tcW w:w="1716" w:type="dxa"/>
            <w:tcBorders>
              <w:top w:val="single" w:color="auto" w:sz="4" w:space="0"/>
              <w:left w:val="single" w:color="auto" w:sz="4" w:space="0"/>
              <w:bottom w:val="single" w:color="auto" w:sz="4" w:space="0"/>
              <w:right w:val="single" w:color="auto" w:sz="4" w:space="0"/>
            </w:tcBorders>
            <w:vAlign w:val="center"/>
          </w:tcPr>
          <w:p w14:paraId="0A8975D5">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60A0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10" w:hRule="atLeast"/>
          <w:jc w:val="center"/>
        </w:trPr>
        <w:tc>
          <w:tcPr>
            <w:tcW w:w="2915" w:type="dxa"/>
            <w:tcBorders>
              <w:top w:val="single" w:color="auto" w:sz="4" w:space="0"/>
              <w:left w:val="single" w:color="auto" w:sz="4" w:space="0"/>
              <w:bottom w:val="single" w:color="auto" w:sz="4" w:space="0"/>
              <w:right w:val="single" w:color="auto" w:sz="4" w:space="0"/>
            </w:tcBorders>
            <w:vAlign w:val="center"/>
          </w:tcPr>
          <w:p w14:paraId="09D41460">
            <w:pPr>
              <w:jc w:val="center"/>
              <w:rPr>
                <w:rFonts w:hint="eastAsia" w:ascii="宋体" w:hAnsi="宋体" w:cs="宋体"/>
                <w:color w:val="auto"/>
                <w:szCs w:val="21"/>
                <w:highlight w:val="none"/>
              </w:rPr>
            </w:pPr>
          </w:p>
        </w:tc>
        <w:tc>
          <w:tcPr>
            <w:tcW w:w="2686" w:type="dxa"/>
            <w:tcBorders>
              <w:top w:val="single" w:color="auto" w:sz="4" w:space="0"/>
              <w:left w:val="single" w:color="auto" w:sz="4" w:space="0"/>
              <w:bottom w:val="single" w:color="auto" w:sz="4" w:space="0"/>
              <w:right w:val="single" w:color="auto" w:sz="4" w:space="0"/>
            </w:tcBorders>
            <w:vAlign w:val="center"/>
          </w:tcPr>
          <w:p w14:paraId="1BCAAB2D">
            <w:pPr>
              <w:jc w:val="center"/>
              <w:rPr>
                <w:rFonts w:hint="eastAsia" w:ascii="宋体" w:hAnsi="宋体" w:cs="宋体"/>
                <w:color w:val="auto"/>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0EF6BD4F">
            <w:pPr>
              <w:jc w:val="center"/>
              <w:rPr>
                <w:rFonts w:hint="eastAsia" w:ascii="宋体" w:hAnsi="宋体" w:cs="宋体"/>
                <w:color w:val="auto"/>
                <w:szCs w:val="21"/>
                <w:highlight w:val="none"/>
              </w:rPr>
            </w:pPr>
            <w:r>
              <w:rPr>
                <w:rFonts w:hint="eastAsia" w:ascii="宋体" w:hAnsi="宋体" w:cs="宋体"/>
                <w:color w:val="auto"/>
                <w:szCs w:val="21"/>
                <w:highlight w:val="none"/>
              </w:rPr>
              <w:t>按照采购文件要求</w:t>
            </w:r>
          </w:p>
        </w:tc>
        <w:tc>
          <w:tcPr>
            <w:tcW w:w="1716" w:type="dxa"/>
            <w:tcBorders>
              <w:top w:val="single" w:color="auto" w:sz="4" w:space="0"/>
              <w:left w:val="single" w:color="auto" w:sz="4" w:space="0"/>
              <w:bottom w:val="single" w:color="auto" w:sz="4" w:space="0"/>
              <w:right w:val="single" w:color="auto" w:sz="4" w:space="0"/>
            </w:tcBorders>
            <w:vAlign w:val="center"/>
          </w:tcPr>
          <w:p w14:paraId="30958B14">
            <w:pPr>
              <w:jc w:val="center"/>
              <w:rPr>
                <w:rFonts w:hint="eastAsia" w:ascii="宋体" w:hAnsi="宋体" w:cs="宋体"/>
                <w:color w:val="auto"/>
                <w:szCs w:val="21"/>
                <w:highlight w:val="none"/>
              </w:rPr>
            </w:pPr>
          </w:p>
        </w:tc>
      </w:tr>
    </w:tbl>
    <w:p w14:paraId="79588CE8">
      <w:pPr>
        <w:spacing w:line="360" w:lineRule="auto"/>
        <w:jc w:val="left"/>
        <w:rPr>
          <w:rFonts w:hint="eastAsia" w:ascii="宋体" w:hAnsi="宋体" w:cs="宋体"/>
          <w:color w:val="auto"/>
          <w:spacing w:val="20"/>
          <w:szCs w:val="21"/>
          <w:highlight w:val="none"/>
        </w:rPr>
      </w:pPr>
      <w:r>
        <w:rPr>
          <w:rFonts w:hint="eastAsia" w:ascii="宋体" w:hAnsi="宋体" w:cs="宋体"/>
          <w:color w:val="auto"/>
          <w:szCs w:val="21"/>
          <w:highlight w:val="none"/>
        </w:rPr>
        <w:t>磋商响应单位（盖章）：</w:t>
      </w:r>
    </w:p>
    <w:p w14:paraId="72D33BEF">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法定代表人或委托代理人：（签字或盖章）</w:t>
      </w:r>
    </w:p>
    <w:p w14:paraId="2BB5B8A3">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日期：</w:t>
      </w:r>
    </w:p>
    <w:p w14:paraId="552CAAAB">
      <w:pPr>
        <w:pStyle w:val="46"/>
        <w:ind w:firstLine="500"/>
        <w:rPr>
          <w:rFonts w:hint="eastAsia" w:ascii="宋体" w:hAnsi="宋体" w:cs="宋体"/>
          <w:color w:val="auto"/>
          <w:spacing w:val="20"/>
          <w:szCs w:val="21"/>
          <w:highlight w:val="none"/>
        </w:rPr>
      </w:pPr>
    </w:p>
    <w:p w14:paraId="14F03FA7">
      <w:pPr>
        <w:pStyle w:val="15"/>
        <w:pageBreakBefore/>
        <w:spacing w:line="360" w:lineRule="auto"/>
        <w:ind w:firstLine="0"/>
        <w:jc w:val="both"/>
        <w:rPr>
          <w:rFonts w:hint="eastAsia" w:ascii="宋体" w:hAnsi="宋体" w:eastAsia="宋体" w:cs="宋体"/>
          <w:b/>
          <w:color w:val="auto"/>
          <w:sz w:val="21"/>
          <w:highlight w:val="none"/>
        </w:rPr>
      </w:pPr>
      <w:r>
        <w:rPr>
          <w:rFonts w:hint="eastAsia" w:ascii="宋体" w:hAnsi="宋体" w:eastAsia="宋体" w:cs="宋体"/>
          <w:b/>
          <w:color w:val="auto"/>
          <w:sz w:val="21"/>
          <w:highlight w:val="none"/>
        </w:rPr>
        <w:t>附件2：关于资格文件的声明函</w:t>
      </w:r>
    </w:p>
    <w:p w14:paraId="55BF1D96">
      <w:pPr>
        <w:pStyle w:val="15"/>
        <w:spacing w:line="360" w:lineRule="auto"/>
        <w:jc w:val="center"/>
        <w:rPr>
          <w:rFonts w:hint="eastAsia" w:ascii="宋体" w:hAnsi="宋体" w:eastAsia="宋体" w:cs="宋体"/>
          <w:color w:val="auto"/>
          <w:sz w:val="21"/>
          <w:highlight w:val="none"/>
        </w:rPr>
      </w:pPr>
    </w:p>
    <w:p w14:paraId="3FE8E9E8">
      <w:pPr>
        <w:pStyle w:val="15"/>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关于资格文件的声明函</w:t>
      </w:r>
    </w:p>
    <w:p w14:paraId="6CB83185">
      <w:pPr>
        <w:pStyle w:val="15"/>
        <w:spacing w:line="360" w:lineRule="auto"/>
        <w:ind w:firstLine="0"/>
        <w:rPr>
          <w:rFonts w:hint="eastAsia" w:ascii="宋体" w:hAnsi="宋体" w:eastAsia="宋体" w:cs="宋体"/>
          <w:color w:val="auto"/>
          <w:sz w:val="21"/>
          <w:highlight w:val="none"/>
          <w:u w:val="single"/>
        </w:rPr>
      </w:pPr>
    </w:p>
    <w:p w14:paraId="76E2A51E">
      <w:pPr>
        <w:pStyle w:val="15"/>
        <w:spacing w:line="360" w:lineRule="auto"/>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p w14:paraId="50820D65">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p>
    <w:p w14:paraId="00059D5F">
      <w:pPr>
        <w:pStyle w:val="15"/>
        <w:spacing w:line="360" w:lineRule="auto"/>
        <w:ind w:firstLine="0"/>
        <w:jc w:val="both"/>
        <w:rPr>
          <w:rFonts w:hint="eastAsia" w:ascii="宋体" w:hAnsi="宋体" w:eastAsia="宋体" w:cs="宋体"/>
          <w:color w:val="auto"/>
          <w:sz w:val="21"/>
          <w:highlight w:val="none"/>
        </w:rPr>
      </w:pPr>
    </w:p>
    <w:p w14:paraId="317B7281">
      <w:pPr>
        <w:pStyle w:val="15"/>
        <w:spacing w:line="360" w:lineRule="auto"/>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磋商响应单位：（公章）</w:t>
      </w:r>
    </w:p>
    <w:p w14:paraId="3C35CC1A">
      <w:pPr>
        <w:pStyle w:val="15"/>
        <w:spacing w:line="360" w:lineRule="auto"/>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法定代表人或委托代理人：（签字或盖章）</w:t>
      </w:r>
    </w:p>
    <w:p w14:paraId="5C023B02">
      <w:pPr>
        <w:pStyle w:val="15"/>
        <w:spacing w:line="360" w:lineRule="auto"/>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DB341D7">
      <w:pPr>
        <w:rPr>
          <w:rFonts w:hint="eastAsia" w:ascii="宋体" w:hAnsi="宋体" w:cs="宋体"/>
          <w:color w:val="auto"/>
          <w:szCs w:val="21"/>
          <w:highlight w:val="none"/>
        </w:rPr>
      </w:pPr>
    </w:p>
    <w:p w14:paraId="10B9060F">
      <w:pPr>
        <w:pStyle w:val="15"/>
        <w:pageBreakBefore/>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附件3：磋商响应单位基本情况表</w:t>
      </w:r>
    </w:p>
    <w:p w14:paraId="70C21A8B">
      <w:pPr>
        <w:pStyle w:val="15"/>
        <w:spacing w:line="360" w:lineRule="auto"/>
        <w:jc w:val="center"/>
        <w:rPr>
          <w:rFonts w:hint="eastAsia" w:ascii="宋体" w:hAnsi="宋体" w:eastAsia="宋体" w:cs="宋体"/>
          <w:color w:val="auto"/>
          <w:sz w:val="21"/>
          <w:szCs w:val="21"/>
          <w:highlight w:val="none"/>
        </w:rPr>
      </w:pPr>
    </w:p>
    <w:p w14:paraId="5834E65A">
      <w:pPr>
        <w:pStyle w:val="1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磋商响应单位基本情况表</w:t>
      </w:r>
    </w:p>
    <w:p w14:paraId="0CD58765">
      <w:pPr>
        <w:pStyle w:val="15"/>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p>
    <w:tbl>
      <w:tblPr>
        <w:tblStyle w:val="47"/>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19"/>
        <w:gridCol w:w="1986"/>
        <w:gridCol w:w="1524"/>
        <w:gridCol w:w="2136"/>
        <w:gridCol w:w="1292"/>
      </w:tblGrid>
      <w:tr w14:paraId="50ACF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5D37731A">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986" w:type="dxa"/>
            <w:vAlign w:val="center"/>
          </w:tcPr>
          <w:p w14:paraId="55D45BD7">
            <w:pPr>
              <w:pStyle w:val="15"/>
              <w:ind w:firstLine="0"/>
              <w:rPr>
                <w:rFonts w:hint="eastAsia" w:ascii="宋体" w:hAnsi="宋体" w:eastAsia="宋体" w:cs="宋体"/>
                <w:color w:val="auto"/>
                <w:sz w:val="21"/>
                <w:szCs w:val="21"/>
                <w:highlight w:val="none"/>
              </w:rPr>
            </w:pPr>
          </w:p>
        </w:tc>
        <w:tc>
          <w:tcPr>
            <w:tcW w:w="1524" w:type="dxa"/>
            <w:vAlign w:val="center"/>
          </w:tcPr>
          <w:p w14:paraId="6904B472">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3428" w:type="dxa"/>
            <w:gridSpan w:val="2"/>
            <w:vAlign w:val="center"/>
          </w:tcPr>
          <w:p w14:paraId="1B00CDB2">
            <w:pPr>
              <w:pStyle w:val="15"/>
              <w:ind w:firstLine="0"/>
              <w:rPr>
                <w:rFonts w:hint="eastAsia" w:ascii="宋体" w:hAnsi="宋体" w:eastAsia="宋体" w:cs="宋体"/>
                <w:color w:val="auto"/>
                <w:sz w:val="21"/>
                <w:szCs w:val="21"/>
                <w:highlight w:val="none"/>
              </w:rPr>
            </w:pPr>
          </w:p>
        </w:tc>
      </w:tr>
      <w:tr w14:paraId="6B6D8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386C3951">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企业地址</w:t>
            </w:r>
          </w:p>
        </w:tc>
        <w:tc>
          <w:tcPr>
            <w:tcW w:w="1986" w:type="dxa"/>
            <w:vAlign w:val="center"/>
          </w:tcPr>
          <w:p w14:paraId="66FA6F06">
            <w:pPr>
              <w:pStyle w:val="15"/>
              <w:ind w:firstLine="0"/>
              <w:rPr>
                <w:rFonts w:hint="eastAsia" w:ascii="宋体" w:hAnsi="宋体" w:eastAsia="宋体" w:cs="宋体"/>
                <w:color w:val="auto"/>
                <w:sz w:val="21"/>
                <w:szCs w:val="21"/>
                <w:highlight w:val="none"/>
              </w:rPr>
            </w:pPr>
          </w:p>
        </w:tc>
        <w:tc>
          <w:tcPr>
            <w:tcW w:w="1524" w:type="dxa"/>
            <w:vAlign w:val="center"/>
          </w:tcPr>
          <w:p w14:paraId="154FB92A">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3428" w:type="dxa"/>
            <w:gridSpan w:val="2"/>
            <w:vAlign w:val="center"/>
          </w:tcPr>
          <w:p w14:paraId="30A0E68D">
            <w:pPr>
              <w:pStyle w:val="15"/>
              <w:ind w:firstLine="21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r>
      <w:tr w14:paraId="255B6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70581E20">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938" w:type="dxa"/>
            <w:gridSpan w:val="4"/>
            <w:vAlign w:val="center"/>
          </w:tcPr>
          <w:p w14:paraId="5A3E4594">
            <w:pPr>
              <w:pStyle w:val="15"/>
              <w:ind w:firstLine="0"/>
              <w:rPr>
                <w:rFonts w:hint="eastAsia" w:ascii="宋体" w:hAnsi="宋体" w:eastAsia="宋体" w:cs="宋体"/>
                <w:color w:val="auto"/>
                <w:sz w:val="21"/>
                <w:szCs w:val="21"/>
                <w:highlight w:val="none"/>
              </w:rPr>
            </w:pPr>
          </w:p>
        </w:tc>
      </w:tr>
      <w:tr w14:paraId="5CE31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574E6E82">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职工人数</w:t>
            </w:r>
          </w:p>
        </w:tc>
        <w:tc>
          <w:tcPr>
            <w:tcW w:w="1986" w:type="dxa"/>
            <w:vAlign w:val="center"/>
          </w:tcPr>
          <w:p w14:paraId="5786FBCC">
            <w:pPr>
              <w:pStyle w:val="15"/>
              <w:ind w:firstLine="0"/>
              <w:rPr>
                <w:rFonts w:hint="eastAsia" w:ascii="宋体" w:hAnsi="宋体" w:eastAsia="宋体" w:cs="宋体"/>
                <w:color w:val="auto"/>
                <w:sz w:val="21"/>
                <w:szCs w:val="21"/>
                <w:highlight w:val="none"/>
              </w:rPr>
            </w:pPr>
          </w:p>
        </w:tc>
        <w:tc>
          <w:tcPr>
            <w:tcW w:w="3660" w:type="dxa"/>
            <w:gridSpan w:val="2"/>
            <w:vAlign w:val="center"/>
          </w:tcPr>
          <w:p w14:paraId="20FB8C02">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其中：有中高级以上职称的人数</w:t>
            </w:r>
          </w:p>
        </w:tc>
        <w:tc>
          <w:tcPr>
            <w:tcW w:w="1292" w:type="dxa"/>
            <w:vAlign w:val="center"/>
          </w:tcPr>
          <w:p w14:paraId="59798CB0">
            <w:pPr>
              <w:pStyle w:val="15"/>
              <w:ind w:firstLine="0"/>
              <w:rPr>
                <w:rFonts w:hint="eastAsia" w:ascii="宋体" w:hAnsi="宋体" w:eastAsia="宋体" w:cs="宋体"/>
                <w:color w:val="auto"/>
                <w:sz w:val="21"/>
                <w:szCs w:val="21"/>
                <w:highlight w:val="none"/>
              </w:rPr>
            </w:pPr>
          </w:p>
        </w:tc>
      </w:tr>
      <w:tr w14:paraId="4A34A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4584344E">
            <w:pPr>
              <w:pStyle w:val="15"/>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资产总计</w:t>
            </w:r>
          </w:p>
        </w:tc>
        <w:tc>
          <w:tcPr>
            <w:tcW w:w="1986" w:type="dxa"/>
            <w:vAlign w:val="center"/>
          </w:tcPr>
          <w:p w14:paraId="2B0DBEA3">
            <w:pPr>
              <w:pStyle w:val="15"/>
              <w:ind w:firstLine="84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524" w:type="dxa"/>
            <w:vAlign w:val="center"/>
          </w:tcPr>
          <w:p w14:paraId="7C999333">
            <w:pPr>
              <w:pStyle w:val="15"/>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净资产</w:t>
            </w:r>
          </w:p>
        </w:tc>
        <w:tc>
          <w:tcPr>
            <w:tcW w:w="3428" w:type="dxa"/>
            <w:gridSpan w:val="2"/>
            <w:vAlign w:val="center"/>
          </w:tcPr>
          <w:p w14:paraId="00F816FB">
            <w:pPr>
              <w:pStyle w:val="15"/>
              <w:ind w:firstLine="2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r>
      <w:tr w14:paraId="241D7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32DF7B91">
            <w:pPr>
              <w:pStyle w:val="15"/>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股东权益</w:t>
            </w:r>
          </w:p>
        </w:tc>
        <w:tc>
          <w:tcPr>
            <w:tcW w:w="1986" w:type="dxa"/>
            <w:vAlign w:val="center"/>
          </w:tcPr>
          <w:p w14:paraId="7F4BE094">
            <w:pPr>
              <w:pStyle w:val="15"/>
              <w:ind w:firstLine="126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524" w:type="dxa"/>
            <w:vAlign w:val="center"/>
          </w:tcPr>
          <w:p w14:paraId="5D0B0B8C">
            <w:pPr>
              <w:pStyle w:val="15"/>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销售收入</w:t>
            </w:r>
          </w:p>
        </w:tc>
        <w:tc>
          <w:tcPr>
            <w:tcW w:w="3428" w:type="dxa"/>
            <w:gridSpan w:val="2"/>
            <w:vAlign w:val="center"/>
          </w:tcPr>
          <w:p w14:paraId="3EEE4A23">
            <w:pPr>
              <w:pStyle w:val="1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年       万元</w:t>
            </w:r>
          </w:p>
        </w:tc>
      </w:tr>
      <w:tr w14:paraId="540C7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7F32E8F6">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实现利润</w:t>
            </w:r>
          </w:p>
        </w:tc>
        <w:tc>
          <w:tcPr>
            <w:tcW w:w="1986" w:type="dxa"/>
            <w:vAlign w:val="center"/>
          </w:tcPr>
          <w:p w14:paraId="69DB3C20">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 年      万元</w:t>
            </w:r>
          </w:p>
        </w:tc>
        <w:tc>
          <w:tcPr>
            <w:tcW w:w="1524" w:type="dxa"/>
            <w:vAlign w:val="center"/>
          </w:tcPr>
          <w:p w14:paraId="761DEA6A">
            <w:pPr>
              <w:pStyle w:val="15"/>
              <w:ind w:firstLine="0"/>
              <w:rPr>
                <w:rFonts w:hint="eastAsia" w:ascii="宋体" w:hAnsi="宋体" w:eastAsia="宋体" w:cs="宋体"/>
                <w:color w:val="auto"/>
                <w:sz w:val="21"/>
                <w:szCs w:val="21"/>
                <w:highlight w:val="none"/>
              </w:rPr>
            </w:pPr>
          </w:p>
        </w:tc>
        <w:tc>
          <w:tcPr>
            <w:tcW w:w="3428" w:type="dxa"/>
            <w:gridSpan w:val="2"/>
            <w:vAlign w:val="center"/>
          </w:tcPr>
          <w:p w14:paraId="2326FCFA">
            <w:pPr>
              <w:pStyle w:val="15"/>
              <w:ind w:firstLine="0"/>
              <w:rPr>
                <w:rFonts w:hint="eastAsia" w:ascii="宋体" w:hAnsi="宋体" w:eastAsia="宋体" w:cs="宋体"/>
                <w:color w:val="auto"/>
                <w:sz w:val="21"/>
                <w:szCs w:val="21"/>
                <w:highlight w:val="none"/>
              </w:rPr>
            </w:pPr>
          </w:p>
        </w:tc>
      </w:tr>
      <w:tr w14:paraId="1BFA7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2A35A7AD">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营业面积（含厂房面积）</w:t>
            </w:r>
          </w:p>
        </w:tc>
        <w:tc>
          <w:tcPr>
            <w:tcW w:w="1986" w:type="dxa"/>
            <w:vAlign w:val="center"/>
          </w:tcPr>
          <w:p w14:paraId="6E8338EC">
            <w:pPr>
              <w:pStyle w:val="15"/>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p>
        </w:tc>
        <w:tc>
          <w:tcPr>
            <w:tcW w:w="1524" w:type="dxa"/>
            <w:vAlign w:val="center"/>
          </w:tcPr>
          <w:p w14:paraId="3C2161E8">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3428" w:type="dxa"/>
            <w:gridSpan w:val="2"/>
            <w:vAlign w:val="center"/>
          </w:tcPr>
          <w:p w14:paraId="39020829">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自有面积      平方米</w:t>
            </w:r>
          </w:p>
          <w:p w14:paraId="19DE1A8E">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承租面积      平方米</w:t>
            </w:r>
          </w:p>
        </w:tc>
      </w:tr>
      <w:tr w14:paraId="09B67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65A908E6">
            <w:pPr>
              <w:pStyle w:val="15"/>
              <w:ind w:firstLine="0"/>
              <w:rPr>
                <w:rFonts w:hint="eastAsia" w:ascii="宋体" w:hAnsi="宋体" w:eastAsia="宋体" w:cs="宋体"/>
                <w:color w:val="auto"/>
                <w:sz w:val="21"/>
                <w:szCs w:val="21"/>
                <w:highlight w:val="none"/>
              </w:rPr>
            </w:pPr>
          </w:p>
          <w:p w14:paraId="24C06BB4">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单位简历及内设机构情况</w:t>
            </w:r>
          </w:p>
          <w:p w14:paraId="7F801144">
            <w:pPr>
              <w:pStyle w:val="15"/>
              <w:ind w:firstLine="0"/>
              <w:rPr>
                <w:rFonts w:hint="eastAsia" w:ascii="宋体" w:hAnsi="宋体" w:eastAsia="宋体" w:cs="宋体"/>
                <w:color w:val="auto"/>
                <w:sz w:val="21"/>
                <w:szCs w:val="21"/>
                <w:highlight w:val="none"/>
              </w:rPr>
            </w:pPr>
          </w:p>
        </w:tc>
        <w:tc>
          <w:tcPr>
            <w:tcW w:w="6938" w:type="dxa"/>
            <w:gridSpan w:val="4"/>
            <w:vAlign w:val="center"/>
          </w:tcPr>
          <w:p w14:paraId="77AF4F49">
            <w:pPr>
              <w:pStyle w:val="15"/>
              <w:ind w:firstLine="0"/>
              <w:rPr>
                <w:rFonts w:hint="eastAsia" w:ascii="宋体" w:hAnsi="宋体" w:eastAsia="宋体" w:cs="宋体"/>
                <w:color w:val="auto"/>
                <w:sz w:val="21"/>
                <w:szCs w:val="21"/>
                <w:highlight w:val="none"/>
              </w:rPr>
            </w:pPr>
          </w:p>
        </w:tc>
      </w:tr>
      <w:tr w14:paraId="3814C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0AF0F0C0">
            <w:pPr>
              <w:pStyle w:val="15"/>
              <w:ind w:firstLine="0"/>
              <w:rPr>
                <w:rFonts w:hint="eastAsia" w:ascii="宋体" w:hAnsi="宋体" w:eastAsia="宋体" w:cs="宋体"/>
                <w:color w:val="auto"/>
                <w:sz w:val="21"/>
                <w:szCs w:val="21"/>
                <w:highlight w:val="none"/>
              </w:rPr>
            </w:pPr>
          </w:p>
          <w:p w14:paraId="4F15C4AF">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单位优势及特长</w:t>
            </w:r>
          </w:p>
          <w:p w14:paraId="04D94EA9">
            <w:pPr>
              <w:pStyle w:val="15"/>
              <w:ind w:firstLine="0"/>
              <w:rPr>
                <w:rFonts w:hint="eastAsia" w:ascii="宋体" w:hAnsi="宋体" w:eastAsia="宋体" w:cs="宋体"/>
                <w:color w:val="auto"/>
                <w:sz w:val="21"/>
                <w:szCs w:val="21"/>
                <w:highlight w:val="none"/>
              </w:rPr>
            </w:pPr>
          </w:p>
        </w:tc>
        <w:tc>
          <w:tcPr>
            <w:tcW w:w="6938" w:type="dxa"/>
            <w:gridSpan w:val="4"/>
            <w:vAlign w:val="center"/>
          </w:tcPr>
          <w:p w14:paraId="4F85DF92">
            <w:pPr>
              <w:pStyle w:val="15"/>
              <w:ind w:firstLine="0"/>
              <w:rPr>
                <w:rFonts w:hint="eastAsia" w:ascii="宋体" w:hAnsi="宋体" w:eastAsia="宋体" w:cs="宋体"/>
                <w:color w:val="auto"/>
                <w:sz w:val="21"/>
                <w:szCs w:val="21"/>
                <w:highlight w:val="none"/>
              </w:rPr>
            </w:pPr>
          </w:p>
        </w:tc>
      </w:tr>
      <w:tr w14:paraId="7E469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7BDE5427">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近三年来完成或正在履行的重大合同情况</w:t>
            </w:r>
          </w:p>
        </w:tc>
        <w:tc>
          <w:tcPr>
            <w:tcW w:w="6938" w:type="dxa"/>
            <w:gridSpan w:val="4"/>
            <w:vAlign w:val="center"/>
          </w:tcPr>
          <w:p w14:paraId="6DBAD374">
            <w:pPr>
              <w:pStyle w:val="15"/>
              <w:ind w:firstLine="0"/>
              <w:rPr>
                <w:rFonts w:hint="eastAsia" w:ascii="宋体" w:hAnsi="宋体" w:eastAsia="宋体" w:cs="宋体"/>
                <w:color w:val="auto"/>
                <w:sz w:val="21"/>
                <w:szCs w:val="21"/>
                <w:highlight w:val="none"/>
              </w:rPr>
            </w:pPr>
          </w:p>
        </w:tc>
      </w:tr>
      <w:tr w14:paraId="15145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60871490">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最近2年内在经营过程中受到何种奖励或处分</w:t>
            </w:r>
          </w:p>
        </w:tc>
        <w:tc>
          <w:tcPr>
            <w:tcW w:w="6938" w:type="dxa"/>
            <w:gridSpan w:val="4"/>
            <w:vAlign w:val="center"/>
          </w:tcPr>
          <w:p w14:paraId="757A7E73">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（包括财政、工商、税务、物价、技监部门稽查情况和结果）</w:t>
            </w:r>
          </w:p>
        </w:tc>
      </w:tr>
      <w:tr w14:paraId="1CB7B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448DE133">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最近3年内有无因售假、售劣或是其他原因被消费者投诉或起诉的情况及说明</w:t>
            </w:r>
          </w:p>
        </w:tc>
        <w:tc>
          <w:tcPr>
            <w:tcW w:w="6938" w:type="dxa"/>
            <w:gridSpan w:val="4"/>
            <w:vAlign w:val="center"/>
          </w:tcPr>
          <w:p w14:paraId="33C1EE1A">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（包括解决方式和结果）</w:t>
            </w:r>
          </w:p>
        </w:tc>
      </w:tr>
      <w:tr w14:paraId="22BB0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2D2A7CAC">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参加政府采购活动前三年内，在经营活动中有无重大违法记录情况及说明</w:t>
            </w:r>
          </w:p>
        </w:tc>
        <w:tc>
          <w:tcPr>
            <w:tcW w:w="6938" w:type="dxa"/>
            <w:gridSpan w:val="4"/>
            <w:vAlign w:val="center"/>
          </w:tcPr>
          <w:p w14:paraId="5F9616D4">
            <w:pPr>
              <w:pStyle w:val="15"/>
              <w:ind w:firstLine="0"/>
              <w:rPr>
                <w:rFonts w:hint="eastAsia" w:ascii="宋体" w:hAnsi="宋体" w:eastAsia="宋体" w:cs="宋体"/>
                <w:color w:val="auto"/>
                <w:sz w:val="21"/>
                <w:szCs w:val="21"/>
                <w:highlight w:val="none"/>
              </w:rPr>
            </w:pPr>
          </w:p>
        </w:tc>
      </w:tr>
      <w:tr w14:paraId="6511A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3048F556">
            <w:pPr>
              <w:pStyle w:val="15"/>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其他需要说明的情况</w:t>
            </w:r>
          </w:p>
        </w:tc>
        <w:tc>
          <w:tcPr>
            <w:tcW w:w="6938" w:type="dxa"/>
            <w:gridSpan w:val="4"/>
            <w:vAlign w:val="center"/>
          </w:tcPr>
          <w:p w14:paraId="048BAEC4">
            <w:pPr>
              <w:pStyle w:val="15"/>
              <w:ind w:firstLine="0"/>
              <w:rPr>
                <w:rFonts w:hint="eastAsia" w:ascii="宋体" w:hAnsi="宋体" w:eastAsia="宋体" w:cs="宋体"/>
                <w:color w:val="auto"/>
                <w:sz w:val="21"/>
                <w:szCs w:val="21"/>
                <w:highlight w:val="none"/>
              </w:rPr>
            </w:pPr>
          </w:p>
        </w:tc>
      </w:tr>
    </w:tbl>
    <w:p w14:paraId="4E07E919">
      <w:pPr>
        <w:pStyle w:val="205"/>
        <w:rPr>
          <w:color w:val="auto"/>
          <w:highlight w:val="none"/>
        </w:rPr>
        <w:sectPr>
          <w:pgSz w:w="11906" w:h="16838"/>
          <w:pgMar w:top="1134" w:right="1134" w:bottom="1134" w:left="1134" w:header="680" w:footer="680" w:gutter="0"/>
          <w:cols w:space="720" w:num="1"/>
          <w:docGrid w:linePitch="360" w:charSpace="0"/>
        </w:sectPr>
      </w:pPr>
    </w:p>
    <w:p w14:paraId="636615FC">
      <w:pPr>
        <w:spacing w:line="360" w:lineRule="auto"/>
        <w:outlineLvl w:val="1"/>
        <w:rPr>
          <w:rFonts w:hint="eastAsia" w:ascii="宋体" w:hAnsi="宋体" w:cs="宋体"/>
          <w:b/>
          <w:color w:val="auto"/>
          <w:szCs w:val="21"/>
          <w:highlight w:val="none"/>
        </w:rPr>
      </w:pPr>
      <w:r>
        <w:rPr>
          <w:rFonts w:hint="eastAsia" w:ascii="宋体" w:hAnsi="宋体" w:cs="宋体"/>
          <w:b/>
          <w:color w:val="auto"/>
          <w:szCs w:val="21"/>
          <w:highlight w:val="none"/>
        </w:rPr>
        <w:t>附件4：（磋商响应单位）法定代表人授权委托书</w:t>
      </w:r>
    </w:p>
    <w:p w14:paraId="191684D9">
      <w:pPr>
        <w:pStyle w:val="15"/>
        <w:spacing w:line="360" w:lineRule="auto"/>
        <w:jc w:val="center"/>
        <w:rPr>
          <w:rFonts w:hint="eastAsia" w:ascii="宋体" w:hAnsi="宋体" w:eastAsia="宋体" w:cs="宋体"/>
          <w:b/>
          <w:color w:val="auto"/>
          <w:sz w:val="21"/>
          <w:szCs w:val="21"/>
          <w:highlight w:val="none"/>
        </w:rPr>
      </w:pPr>
    </w:p>
    <w:p w14:paraId="44E54ACA">
      <w:pPr>
        <w:pStyle w:val="15"/>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法定代表人授权委托书</w:t>
      </w:r>
    </w:p>
    <w:p w14:paraId="39D840D4">
      <w:pPr>
        <w:pStyle w:val="15"/>
        <w:spacing w:line="360" w:lineRule="auto"/>
        <w:rPr>
          <w:rFonts w:hint="eastAsia" w:ascii="宋体" w:hAnsi="宋体" w:eastAsia="宋体" w:cs="宋体"/>
          <w:color w:val="auto"/>
          <w:sz w:val="21"/>
          <w:szCs w:val="21"/>
          <w:highlight w:val="none"/>
        </w:rPr>
      </w:pPr>
    </w:p>
    <w:p w14:paraId="7EEDE93C">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本授权委托书声明：我</w:t>
      </w:r>
      <w:r>
        <w:rPr>
          <w:rFonts w:hint="eastAsia" w:ascii="宋体" w:hAnsi="宋体" w:eastAsia="宋体" w:cs="宋体"/>
          <w:color w:val="auto"/>
          <w:sz w:val="21"/>
          <w:szCs w:val="21"/>
          <w:highlight w:val="none"/>
          <w:u w:val="single"/>
        </w:rPr>
        <w:t>（姓名）</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（磋商响应单位名称）</w:t>
      </w:r>
      <w:r>
        <w:rPr>
          <w:rFonts w:hint="eastAsia" w:ascii="宋体" w:hAnsi="宋体" w:eastAsia="宋体" w:cs="宋体"/>
          <w:color w:val="auto"/>
          <w:sz w:val="21"/>
          <w:szCs w:val="21"/>
          <w:highlight w:val="none"/>
        </w:rPr>
        <w:t>的法定代表人，现授权委托</w:t>
      </w:r>
      <w:r>
        <w:rPr>
          <w:rFonts w:hint="eastAsia" w:ascii="宋体" w:hAnsi="宋体" w:eastAsia="宋体" w:cs="宋体"/>
          <w:color w:val="auto"/>
          <w:sz w:val="21"/>
          <w:szCs w:val="21"/>
          <w:highlight w:val="none"/>
          <w:u w:val="single"/>
        </w:rPr>
        <w:t xml:space="preserve">    （姓名）</w:t>
      </w:r>
      <w:r>
        <w:rPr>
          <w:rFonts w:hint="eastAsia" w:ascii="宋体" w:hAnsi="宋体" w:eastAsia="宋体" w:cs="宋体"/>
          <w:color w:val="auto"/>
          <w:sz w:val="21"/>
          <w:szCs w:val="21"/>
          <w:highlight w:val="none"/>
        </w:rPr>
        <w:t>为我公司委托代理人，以本公司的名义参加苏州新天平工程咨询有限公司组织实施的编号为号的磋商采购活动。委托代理人在报名、制作磋商响应文件、磋商、评标、合同磋商过程中所签署的一切文件和处理与这有关的一切事务，我均予以承认。</w:t>
      </w:r>
    </w:p>
    <w:p w14:paraId="0C8A49FD">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委托代理人在授权委托书有效期内签署的所有文件不因授权委托的撤销而失效，除非有撤销授权委托的书面通知，本授权委托书自签署之时起至合同履行完毕止。</w:t>
      </w:r>
    </w:p>
    <w:p w14:paraId="5FF40EF5">
      <w:pPr>
        <w:pStyle w:val="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委托代理人无转委托权。特此委托。</w:t>
      </w:r>
    </w:p>
    <w:p w14:paraId="7249AE2F">
      <w:pPr>
        <w:pStyle w:val="15"/>
        <w:spacing w:line="360" w:lineRule="auto"/>
        <w:ind w:firstLine="200"/>
        <w:rPr>
          <w:rFonts w:hint="eastAsia" w:ascii="宋体" w:hAnsi="宋体" w:eastAsia="宋体" w:cs="宋体"/>
          <w:color w:val="auto"/>
          <w:sz w:val="21"/>
          <w:szCs w:val="21"/>
          <w:highlight w:val="none"/>
        </w:rPr>
      </w:pPr>
    </w:p>
    <w:p w14:paraId="7ECD3D85">
      <w:pPr>
        <w:pStyle w:val="15"/>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09490346">
      <w:pPr>
        <w:pStyle w:val="15"/>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法定代表人：（签字或盖章）</w:t>
      </w:r>
    </w:p>
    <w:p w14:paraId="6D74276B">
      <w:pPr>
        <w:pStyle w:val="15"/>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委托代理人：（签字或盖章）</w:t>
      </w:r>
    </w:p>
    <w:p w14:paraId="2E170754">
      <w:pPr>
        <w:pStyle w:val="15"/>
        <w:spacing w:line="360" w:lineRule="auto"/>
        <w:ind w:firstLine="200"/>
        <w:rPr>
          <w:rFonts w:hint="eastAsia" w:ascii="宋体" w:hAnsi="宋体" w:eastAsia="宋体" w:cs="宋体"/>
          <w:color w:val="auto"/>
          <w:sz w:val="21"/>
          <w:szCs w:val="21"/>
          <w:highlight w:val="none"/>
        </w:rPr>
        <w:sectPr>
          <w:pgSz w:w="11906" w:h="16838"/>
          <w:pgMar w:top="1134" w:right="1134" w:bottom="1134" w:left="1134" w:header="680" w:footer="680" w:gutter="0"/>
          <w:cols w:space="720" w:num="1"/>
          <w:docGrid w:linePitch="360" w:charSpace="0"/>
        </w:sectPr>
      </w:pPr>
      <w:r>
        <w:rPr>
          <w:rFonts w:hint="eastAsia" w:ascii="宋体" w:hAnsi="宋体" w:eastAsia="宋体" w:cs="宋体"/>
          <w:color w:val="auto"/>
          <w:sz w:val="21"/>
          <w:szCs w:val="21"/>
          <w:highlight w:val="none"/>
        </w:rPr>
        <w:t>日期：        年    月    日</w:t>
      </w:r>
    </w:p>
    <w:p w14:paraId="1AC4BE8D">
      <w:pPr>
        <w:spacing w:line="360" w:lineRule="auto"/>
        <w:outlineLvl w:val="1"/>
        <w:rPr>
          <w:rFonts w:hint="eastAsia" w:ascii="宋体" w:hAnsi="宋体" w:cs="宋体"/>
          <w:b/>
          <w:color w:val="auto"/>
          <w:szCs w:val="21"/>
          <w:highlight w:val="none"/>
        </w:rPr>
      </w:pPr>
      <w:r>
        <w:rPr>
          <w:rFonts w:hint="eastAsia" w:ascii="宋体" w:hAnsi="宋体" w:cs="宋体"/>
          <w:b/>
          <w:color w:val="auto"/>
          <w:szCs w:val="21"/>
          <w:highlight w:val="none"/>
        </w:rPr>
        <w:t>附件5：磋商响应函</w:t>
      </w:r>
    </w:p>
    <w:p w14:paraId="12BD3F87">
      <w:pPr>
        <w:spacing w:line="360" w:lineRule="auto"/>
        <w:jc w:val="cente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t>磋商响应函</w:t>
      </w:r>
    </w:p>
    <w:p w14:paraId="46C373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苏州新天平工程咨询有限公司：</w:t>
      </w:r>
    </w:p>
    <w:p w14:paraId="5FE376E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我们收到你们 号磋商采购文件，经仔细阅读和研究，我们决定参加本项目的磋商。</w:t>
      </w:r>
    </w:p>
    <w:p w14:paraId="2434B34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1、我们愿意按照磋商采购文件的一切要求，提供本次采购的全部服务。</w:t>
      </w:r>
    </w:p>
    <w:p w14:paraId="075CB37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2、如果我们的响应文件被接受，我们将严格履行磋商采购文件中规定的每一项要求，按期、按质、按量履行服务义务。</w:t>
      </w:r>
    </w:p>
    <w:p w14:paraId="4C7096F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3、我们同意按磋商采购文件中的规定，本响应文件的有效期限为自开标之日起45日。</w:t>
      </w:r>
    </w:p>
    <w:p w14:paraId="64AB2A9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4、我们愿意提供采购人在磋商采购文件中要求的所有资料。</w:t>
      </w:r>
    </w:p>
    <w:p w14:paraId="06BF159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5、我方愿意遵守磋商采购文件中所列的收费标准。</w:t>
      </w:r>
    </w:p>
    <w:p w14:paraId="0EA4F2E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6、我方在磋商响应文件和磋商中所作的承诺在磋商后保持有效，不作任何更改和变动。</w:t>
      </w:r>
    </w:p>
    <w:p w14:paraId="3E945DD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7、我们愿意按磋商采购文件的规定交纳</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元的磋商保证金。</w:t>
      </w:r>
    </w:p>
    <w:p w14:paraId="50F2FFB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8、如我方成为成交单位，我方愿意在领取成交通知书时按采购文件要求向代理机构支付成交服务费。</w:t>
      </w:r>
    </w:p>
    <w:p w14:paraId="014A7B8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9、我们愿意按照</w:t>
      </w:r>
      <w:r>
        <w:rPr>
          <w:rFonts w:hint="eastAsia" w:ascii="宋体" w:hAnsi="宋体" w:cs="宋体"/>
          <w:bCs/>
          <w:color w:val="auto"/>
          <w:szCs w:val="21"/>
          <w:highlight w:val="none"/>
        </w:rPr>
        <w:t>《中华人民共和国民法典》</w:t>
      </w:r>
      <w:r>
        <w:rPr>
          <w:rFonts w:hint="eastAsia" w:ascii="宋体" w:hAnsi="宋体" w:cs="宋体"/>
          <w:color w:val="auto"/>
          <w:szCs w:val="21"/>
          <w:highlight w:val="none"/>
        </w:rPr>
        <w:t>履行自己应该承担的全部责任。</w:t>
      </w:r>
    </w:p>
    <w:p w14:paraId="185E94D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10、我们愿意按照贵公司磋商采购文件的要求提供电子响应文件（成交后按要求提供纸质响应文件），并保证全部磋商响应文件内容真实有效，若有虚假，我公司愿意承担与此相关的一切责任。</w:t>
      </w:r>
    </w:p>
    <w:p w14:paraId="22CBA6D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11、综合说明：</w:t>
      </w:r>
    </w:p>
    <w:p w14:paraId="71578B3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（1）伴随服务及配合措施；</w:t>
      </w:r>
    </w:p>
    <w:p w14:paraId="5E38197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（2）要求采购单位提供的配合；</w:t>
      </w:r>
    </w:p>
    <w:p w14:paraId="1B0B5C2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（3）对磋商采购文件有不同意见的偏离说明；</w:t>
      </w:r>
    </w:p>
    <w:p w14:paraId="687DC9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（4）其它说明；</w:t>
      </w:r>
    </w:p>
    <w:p w14:paraId="553D90D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所有有关标书的函电，请按下列地址联系：</w:t>
      </w:r>
    </w:p>
    <w:p w14:paraId="746D121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              邮编：</w:t>
      </w:r>
    </w:p>
    <w:p w14:paraId="55658CD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            地址：</w:t>
      </w:r>
    </w:p>
    <w:p w14:paraId="3B66C8E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开户名称：          电话：</w:t>
      </w:r>
    </w:p>
    <w:p w14:paraId="083B995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开户银行：          传真：</w:t>
      </w:r>
    </w:p>
    <w:p w14:paraId="59EE051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开户账号：           邮箱地址：</w:t>
      </w:r>
    </w:p>
    <w:p w14:paraId="576359DB">
      <w:pPr>
        <w:pStyle w:val="15"/>
        <w:spacing w:line="360" w:lineRule="auto"/>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磋商响应单位：（公章）</w:t>
      </w:r>
    </w:p>
    <w:p w14:paraId="5D072946">
      <w:pPr>
        <w:pStyle w:val="15"/>
        <w:spacing w:line="360" w:lineRule="auto"/>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法定代表人或委托代理人：（签字或盖章）</w:t>
      </w:r>
    </w:p>
    <w:p w14:paraId="5D52AD17">
      <w:pPr>
        <w:pStyle w:val="15"/>
        <w:spacing w:line="360" w:lineRule="auto"/>
        <w:ind w:firstLine="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5BCF1B5">
      <w:pPr>
        <w:pStyle w:val="205"/>
        <w:rPr>
          <w:color w:val="auto"/>
          <w:highlight w:val="none"/>
        </w:rPr>
        <w:sectPr>
          <w:pgSz w:w="11906" w:h="16838"/>
          <w:pgMar w:top="992" w:right="1134" w:bottom="1134" w:left="1134" w:header="680" w:footer="680" w:gutter="0"/>
          <w:cols w:space="720" w:num="1"/>
          <w:docGrid w:linePitch="360" w:charSpace="0"/>
        </w:sectPr>
      </w:pPr>
    </w:p>
    <w:p w14:paraId="7DE1BA76">
      <w:pPr>
        <w:pStyle w:val="5"/>
        <w:pageBreakBefore/>
        <w:spacing w:before="0" w:after="0"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附件6：</w:t>
      </w:r>
      <w:r>
        <w:rPr>
          <w:rFonts w:hint="eastAsia" w:ascii="宋体" w:hAnsi="宋体"/>
          <w:color w:val="auto"/>
          <w:sz w:val="21"/>
          <w:szCs w:val="21"/>
          <w:highlight w:val="none"/>
        </w:rPr>
        <w:t>磋商报价分析表</w:t>
      </w:r>
    </w:p>
    <w:p w14:paraId="54D977BF">
      <w:pPr>
        <w:spacing w:line="360" w:lineRule="auto"/>
        <w:ind w:left="420"/>
        <w:jc w:val="center"/>
        <w:rPr>
          <w:rFonts w:hint="eastAsia" w:ascii="宋体" w:hAnsi="宋体"/>
          <w:b/>
          <w:color w:val="auto"/>
          <w:szCs w:val="21"/>
          <w:highlight w:val="none"/>
        </w:rPr>
      </w:pPr>
      <w:r>
        <w:rPr>
          <w:rFonts w:hint="eastAsia" w:ascii="宋体" w:hAnsi="宋体"/>
          <w:b/>
          <w:color w:val="auto"/>
          <w:szCs w:val="21"/>
          <w:highlight w:val="none"/>
        </w:rPr>
        <w:t>磋商报价分析表</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460"/>
        <w:gridCol w:w="696"/>
        <w:gridCol w:w="924"/>
        <w:gridCol w:w="1383"/>
        <w:gridCol w:w="1163"/>
        <w:gridCol w:w="3298"/>
      </w:tblGrid>
      <w:tr w14:paraId="4C7D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469" w:type="pct"/>
            <w:vAlign w:val="center"/>
          </w:tcPr>
          <w:p w14:paraId="2BA7C77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741" w:type="pct"/>
            <w:vAlign w:val="center"/>
          </w:tcPr>
          <w:p w14:paraId="4DAE309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353" w:type="pct"/>
            <w:vAlign w:val="center"/>
          </w:tcPr>
          <w:p w14:paraId="7552ED9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469" w:type="pct"/>
            <w:vAlign w:val="center"/>
          </w:tcPr>
          <w:p w14:paraId="76ADDF6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702" w:type="pct"/>
            <w:vAlign w:val="center"/>
          </w:tcPr>
          <w:p w14:paraId="4D2C2AF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单价（元）</w:t>
            </w:r>
          </w:p>
        </w:tc>
        <w:tc>
          <w:tcPr>
            <w:tcW w:w="590" w:type="pct"/>
            <w:vAlign w:val="center"/>
          </w:tcPr>
          <w:p w14:paraId="77E491F7">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金额(元)</w:t>
            </w:r>
          </w:p>
        </w:tc>
        <w:tc>
          <w:tcPr>
            <w:tcW w:w="1674" w:type="pct"/>
            <w:vAlign w:val="center"/>
          </w:tcPr>
          <w:p w14:paraId="00A1C16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A65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1BB324F9">
            <w:pPr>
              <w:autoSpaceDE w:val="0"/>
              <w:autoSpaceDN w:val="0"/>
              <w:adjustRightInd w:val="0"/>
              <w:ind w:left="284" w:hanging="284"/>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60" w:type="dxa"/>
            <w:vAlign w:val="center"/>
          </w:tcPr>
          <w:p w14:paraId="3D6E61B3">
            <w:pPr>
              <w:autoSpaceDE w:val="0"/>
              <w:autoSpaceDN w:val="0"/>
              <w:adjustRightInd w:val="0"/>
              <w:jc w:val="center"/>
              <w:rPr>
                <w:rFonts w:hint="eastAsia" w:ascii="宋体" w:hAnsi="宋体" w:cs="宋体"/>
                <w:color w:val="auto"/>
                <w:szCs w:val="21"/>
                <w:highlight w:val="none"/>
              </w:rPr>
            </w:pPr>
            <w:r>
              <w:rPr>
                <w:rFonts w:hint="eastAsia" w:ascii="宋体" w:hAnsi="宋体" w:cs="宋体"/>
                <w:bCs/>
                <w:color w:val="auto"/>
                <w:szCs w:val="21"/>
                <w:highlight w:val="none"/>
              </w:rPr>
              <w:t>2026年政务服务大厅非执法类辅助性服务</w:t>
            </w:r>
          </w:p>
        </w:tc>
        <w:tc>
          <w:tcPr>
            <w:tcW w:w="353" w:type="pct"/>
            <w:vAlign w:val="center"/>
          </w:tcPr>
          <w:p w14:paraId="2F304AA2">
            <w:pPr>
              <w:autoSpaceDE w:val="0"/>
              <w:autoSpaceDN w:val="0"/>
              <w:adjustRightInd w:val="0"/>
              <w:ind w:left="284" w:hanging="284"/>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件</w:t>
            </w:r>
          </w:p>
        </w:tc>
        <w:tc>
          <w:tcPr>
            <w:tcW w:w="469" w:type="pct"/>
            <w:vAlign w:val="center"/>
          </w:tcPr>
          <w:p w14:paraId="7227F33F">
            <w:pPr>
              <w:autoSpaceDE w:val="0"/>
              <w:autoSpaceDN w:val="0"/>
              <w:adjustRightInd w:val="0"/>
              <w:ind w:left="284" w:hanging="284"/>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172000</w:t>
            </w:r>
          </w:p>
        </w:tc>
        <w:tc>
          <w:tcPr>
            <w:tcW w:w="702" w:type="pct"/>
            <w:vAlign w:val="center"/>
          </w:tcPr>
          <w:p w14:paraId="514218F8">
            <w:pPr>
              <w:widowControl/>
              <w:jc w:val="center"/>
              <w:rPr>
                <w:rFonts w:hint="eastAsia" w:ascii="宋体" w:hAnsi="宋体" w:cs="宋体"/>
                <w:color w:val="auto"/>
                <w:szCs w:val="21"/>
                <w:highlight w:val="none"/>
              </w:rPr>
            </w:pPr>
          </w:p>
        </w:tc>
        <w:tc>
          <w:tcPr>
            <w:tcW w:w="590" w:type="pct"/>
            <w:noWrap/>
            <w:vAlign w:val="center"/>
          </w:tcPr>
          <w:p w14:paraId="749DFC20">
            <w:pPr>
              <w:widowControl/>
              <w:jc w:val="right"/>
              <w:rPr>
                <w:rFonts w:hint="eastAsia" w:ascii="宋体" w:hAnsi="宋体" w:cs="宋体"/>
                <w:color w:val="auto"/>
                <w:szCs w:val="21"/>
                <w:highlight w:val="none"/>
              </w:rPr>
            </w:pPr>
          </w:p>
        </w:tc>
        <w:tc>
          <w:tcPr>
            <w:tcW w:w="1674" w:type="pct"/>
            <w:noWrap/>
            <w:vAlign w:val="center"/>
          </w:tcPr>
          <w:p w14:paraId="565BD1DF">
            <w:pPr>
              <w:autoSpaceDE w:val="0"/>
              <w:autoSpaceDN w:val="0"/>
              <w:adjustRightInd w:val="0"/>
              <w:jc w:val="left"/>
              <w:rPr>
                <w:rFonts w:hint="eastAsia" w:ascii="宋体" w:hAnsi="宋体" w:cs="宋体"/>
                <w:color w:val="auto"/>
                <w:szCs w:val="21"/>
                <w:highlight w:val="none"/>
              </w:rPr>
            </w:pPr>
          </w:p>
        </w:tc>
      </w:tr>
      <w:tr w14:paraId="34A9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39DEDE7C">
            <w:pPr>
              <w:autoSpaceDE w:val="0"/>
              <w:autoSpaceDN w:val="0"/>
              <w:adjustRightInd w:val="0"/>
              <w:ind w:left="284" w:hanging="284"/>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60" w:type="dxa"/>
            <w:vAlign w:val="center"/>
          </w:tcPr>
          <w:p w14:paraId="7347B5CE">
            <w:pPr>
              <w:autoSpaceDE w:val="0"/>
              <w:autoSpaceDN w:val="0"/>
              <w:adjustRightInd w:val="0"/>
              <w:ind w:left="4" w:hanging="4"/>
              <w:jc w:val="center"/>
              <w:rPr>
                <w:rFonts w:hint="eastAsia" w:ascii="宋体" w:hAnsi="宋体" w:cs="宋体"/>
                <w:color w:val="auto"/>
                <w:szCs w:val="21"/>
                <w:highlight w:val="none"/>
              </w:rPr>
            </w:pPr>
          </w:p>
        </w:tc>
        <w:tc>
          <w:tcPr>
            <w:tcW w:w="353" w:type="pct"/>
            <w:vAlign w:val="center"/>
          </w:tcPr>
          <w:p w14:paraId="0B718709">
            <w:pPr>
              <w:autoSpaceDE w:val="0"/>
              <w:autoSpaceDN w:val="0"/>
              <w:adjustRightInd w:val="0"/>
              <w:ind w:left="284" w:hanging="284"/>
              <w:jc w:val="center"/>
              <w:rPr>
                <w:rFonts w:hint="eastAsia" w:ascii="宋体" w:hAnsi="宋体" w:cs="宋体"/>
                <w:color w:val="auto"/>
                <w:szCs w:val="21"/>
                <w:highlight w:val="none"/>
              </w:rPr>
            </w:pPr>
          </w:p>
        </w:tc>
        <w:tc>
          <w:tcPr>
            <w:tcW w:w="469" w:type="pct"/>
            <w:vAlign w:val="center"/>
          </w:tcPr>
          <w:p w14:paraId="7FAF2C88">
            <w:pPr>
              <w:autoSpaceDE w:val="0"/>
              <w:autoSpaceDN w:val="0"/>
              <w:adjustRightInd w:val="0"/>
              <w:ind w:left="284" w:hanging="284"/>
              <w:jc w:val="center"/>
              <w:rPr>
                <w:rFonts w:hint="eastAsia" w:ascii="宋体" w:hAnsi="宋体" w:cs="宋体"/>
                <w:color w:val="auto"/>
                <w:szCs w:val="21"/>
                <w:highlight w:val="none"/>
              </w:rPr>
            </w:pPr>
          </w:p>
        </w:tc>
        <w:tc>
          <w:tcPr>
            <w:tcW w:w="702" w:type="pct"/>
            <w:vAlign w:val="center"/>
          </w:tcPr>
          <w:p w14:paraId="2E8CC966">
            <w:pPr>
              <w:widowControl/>
              <w:jc w:val="center"/>
              <w:rPr>
                <w:rFonts w:hint="eastAsia" w:ascii="宋体" w:hAnsi="宋体" w:cs="宋体"/>
                <w:color w:val="auto"/>
                <w:szCs w:val="21"/>
                <w:highlight w:val="none"/>
              </w:rPr>
            </w:pPr>
          </w:p>
        </w:tc>
        <w:tc>
          <w:tcPr>
            <w:tcW w:w="590" w:type="pct"/>
            <w:noWrap/>
            <w:vAlign w:val="center"/>
          </w:tcPr>
          <w:p w14:paraId="105CAF44">
            <w:pPr>
              <w:widowControl/>
              <w:jc w:val="right"/>
              <w:rPr>
                <w:rFonts w:hint="eastAsia" w:ascii="宋体" w:hAnsi="宋体" w:cs="宋体"/>
                <w:color w:val="auto"/>
                <w:szCs w:val="21"/>
                <w:highlight w:val="none"/>
              </w:rPr>
            </w:pPr>
          </w:p>
        </w:tc>
        <w:tc>
          <w:tcPr>
            <w:tcW w:w="1674" w:type="pct"/>
            <w:noWrap/>
            <w:vAlign w:val="center"/>
          </w:tcPr>
          <w:p w14:paraId="1BC4C743">
            <w:pPr>
              <w:autoSpaceDE w:val="0"/>
              <w:autoSpaceDN w:val="0"/>
              <w:adjustRightInd w:val="0"/>
              <w:jc w:val="left"/>
              <w:rPr>
                <w:rFonts w:hint="eastAsia" w:ascii="宋体" w:hAnsi="宋体" w:cs="宋体"/>
                <w:color w:val="auto"/>
                <w:szCs w:val="21"/>
                <w:highlight w:val="none"/>
              </w:rPr>
            </w:pPr>
          </w:p>
        </w:tc>
      </w:tr>
      <w:tr w14:paraId="6423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044B8BB1">
            <w:pPr>
              <w:autoSpaceDE w:val="0"/>
              <w:autoSpaceDN w:val="0"/>
              <w:adjustRightInd w:val="0"/>
              <w:ind w:left="284" w:hanging="284"/>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741" w:type="pct"/>
            <w:vAlign w:val="center"/>
          </w:tcPr>
          <w:p w14:paraId="123E1D71">
            <w:pPr>
              <w:autoSpaceDE w:val="0"/>
              <w:autoSpaceDN w:val="0"/>
              <w:adjustRightInd w:val="0"/>
              <w:ind w:left="284" w:hanging="284"/>
              <w:jc w:val="center"/>
              <w:rPr>
                <w:rFonts w:hint="eastAsia" w:ascii="宋体" w:hAnsi="宋体" w:cs="宋体"/>
                <w:color w:val="auto"/>
                <w:szCs w:val="21"/>
                <w:highlight w:val="none"/>
              </w:rPr>
            </w:pPr>
          </w:p>
        </w:tc>
        <w:tc>
          <w:tcPr>
            <w:tcW w:w="353" w:type="pct"/>
            <w:vAlign w:val="center"/>
          </w:tcPr>
          <w:p w14:paraId="003555D0">
            <w:pPr>
              <w:autoSpaceDE w:val="0"/>
              <w:autoSpaceDN w:val="0"/>
              <w:adjustRightInd w:val="0"/>
              <w:ind w:left="284" w:hanging="284"/>
              <w:jc w:val="center"/>
              <w:rPr>
                <w:rFonts w:hint="eastAsia" w:ascii="宋体" w:hAnsi="宋体" w:cs="宋体"/>
                <w:color w:val="auto"/>
                <w:szCs w:val="21"/>
                <w:highlight w:val="none"/>
              </w:rPr>
            </w:pPr>
          </w:p>
        </w:tc>
        <w:tc>
          <w:tcPr>
            <w:tcW w:w="469" w:type="pct"/>
            <w:vAlign w:val="center"/>
          </w:tcPr>
          <w:p w14:paraId="09B6A96D">
            <w:pPr>
              <w:autoSpaceDE w:val="0"/>
              <w:autoSpaceDN w:val="0"/>
              <w:adjustRightInd w:val="0"/>
              <w:ind w:left="284" w:hanging="284"/>
              <w:jc w:val="center"/>
              <w:rPr>
                <w:rFonts w:hint="eastAsia" w:ascii="宋体" w:hAnsi="宋体" w:cs="宋体"/>
                <w:color w:val="auto"/>
                <w:szCs w:val="21"/>
                <w:highlight w:val="none"/>
              </w:rPr>
            </w:pPr>
          </w:p>
        </w:tc>
        <w:tc>
          <w:tcPr>
            <w:tcW w:w="702" w:type="pct"/>
            <w:vAlign w:val="center"/>
          </w:tcPr>
          <w:p w14:paraId="086F7ABF">
            <w:pPr>
              <w:widowControl/>
              <w:jc w:val="center"/>
              <w:rPr>
                <w:rFonts w:hint="eastAsia" w:ascii="宋体" w:hAnsi="宋体" w:cs="宋体"/>
                <w:color w:val="auto"/>
                <w:szCs w:val="21"/>
                <w:highlight w:val="none"/>
              </w:rPr>
            </w:pPr>
          </w:p>
        </w:tc>
        <w:tc>
          <w:tcPr>
            <w:tcW w:w="590" w:type="pct"/>
            <w:noWrap/>
            <w:vAlign w:val="center"/>
          </w:tcPr>
          <w:p w14:paraId="675A68B2">
            <w:pPr>
              <w:widowControl/>
              <w:jc w:val="right"/>
              <w:rPr>
                <w:rFonts w:hint="eastAsia" w:ascii="宋体" w:hAnsi="宋体" w:cs="宋体"/>
                <w:color w:val="auto"/>
                <w:szCs w:val="21"/>
                <w:highlight w:val="none"/>
              </w:rPr>
            </w:pPr>
          </w:p>
        </w:tc>
        <w:tc>
          <w:tcPr>
            <w:tcW w:w="1674" w:type="pct"/>
            <w:noWrap/>
            <w:vAlign w:val="center"/>
          </w:tcPr>
          <w:p w14:paraId="66DCC6A1">
            <w:pPr>
              <w:autoSpaceDE w:val="0"/>
              <w:autoSpaceDN w:val="0"/>
              <w:adjustRightInd w:val="0"/>
              <w:jc w:val="left"/>
              <w:rPr>
                <w:rFonts w:hint="eastAsia" w:ascii="宋体" w:hAnsi="宋体" w:cs="宋体"/>
                <w:color w:val="auto"/>
                <w:szCs w:val="21"/>
                <w:highlight w:val="none"/>
              </w:rPr>
            </w:pPr>
          </w:p>
        </w:tc>
      </w:tr>
      <w:tr w14:paraId="63D7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17D0909B">
            <w:pPr>
              <w:autoSpaceDE w:val="0"/>
              <w:autoSpaceDN w:val="0"/>
              <w:adjustRightInd w:val="0"/>
              <w:ind w:left="284" w:hanging="284"/>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741" w:type="pct"/>
            <w:vAlign w:val="center"/>
          </w:tcPr>
          <w:p w14:paraId="4D15CA1A">
            <w:pPr>
              <w:autoSpaceDE w:val="0"/>
              <w:autoSpaceDN w:val="0"/>
              <w:adjustRightInd w:val="0"/>
              <w:ind w:left="284" w:hanging="284"/>
              <w:jc w:val="center"/>
              <w:rPr>
                <w:rFonts w:hint="eastAsia" w:ascii="宋体" w:hAnsi="宋体" w:cs="宋体"/>
                <w:color w:val="auto"/>
                <w:szCs w:val="21"/>
                <w:highlight w:val="none"/>
              </w:rPr>
            </w:pPr>
          </w:p>
        </w:tc>
        <w:tc>
          <w:tcPr>
            <w:tcW w:w="353" w:type="pct"/>
            <w:vAlign w:val="center"/>
          </w:tcPr>
          <w:p w14:paraId="53522B6C">
            <w:pPr>
              <w:autoSpaceDE w:val="0"/>
              <w:autoSpaceDN w:val="0"/>
              <w:adjustRightInd w:val="0"/>
              <w:ind w:left="284" w:hanging="284"/>
              <w:jc w:val="center"/>
              <w:rPr>
                <w:rFonts w:hint="eastAsia" w:ascii="宋体" w:hAnsi="宋体" w:cs="宋体"/>
                <w:color w:val="auto"/>
                <w:szCs w:val="21"/>
                <w:highlight w:val="none"/>
              </w:rPr>
            </w:pPr>
          </w:p>
        </w:tc>
        <w:tc>
          <w:tcPr>
            <w:tcW w:w="469" w:type="pct"/>
            <w:vAlign w:val="center"/>
          </w:tcPr>
          <w:p w14:paraId="2D4ED780">
            <w:pPr>
              <w:autoSpaceDE w:val="0"/>
              <w:autoSpaceDN w:val="0"/>
              <w:adjustRightInd w:val="0"/>
              <w:ind w:left="284" w:hanging="284"/>
              <w:jc w:val="center"/>
              <w:rPr>
                <w:rFonts w:hint="eastAsia" w:ascii="宋体" w:hAnsi="宋体" w:cs="宋体"/>
                <w:color w:val="auto"/>
                <w:szCs w:val="21"/>
                <w:highlight w:val="none"/>
              </w:rPr>
            </w:pPr>
          </w:p>
        </w:tc>
        <w:tc>
          <w:tcPr>
            <w:tcW w:w="702" w:type="pct"/>
            <w:vAlign w:val="center"/>
          </w:tcPr>
          <w:p w14:paraId="2A1461FC">
            <w:pPr>
              <w:widowControl/>
              <w:jc w:val="center"/>
              <w:rPr>
                <w:rFonts w:hint="eastAsia" w:ascii="宋体" w:hAnsi="宋体" w:cs="宋体"/>
                <w:color w:val="auto"/>
                <w:szCs w:val="21"/>
                <w:highlight w:val="none"/>
              </w:rPr>
            </w:pPr>
          </w:p>
        </w:tc>
        <w:tc>
          <w:tcPr>
            <w:tcW w:w="590" w:type="pct"/>
            <w:noWrap/>
            <w:vAlign w:val="center"/>
          </w:tcPr>
          <w:p w14:paraId="56CB232B">
            <w:pPr>
              <w:widowControl/>
              <w:jc w:val="right"/>
              <w:rPr>
                <w:rFonts w:hint="eastAsia" w:ascii="宋体" w:hAnsi="宋体" w:cs="宋体"/>
                <w:color w:val="auto"/>
                <w:szCs w:val="21"/>
                <w:highlight w:val="none"/>
              </w:rPr>
            </w:pPr>
          </w:p>
        </w:tc>
        <w:tc>
          <w:tcPr>
            <w:tcW w:w="1674" w:type="pct"/>
            <w:noWrap/>
            <w:vAlign w:val="center"/>
          </w:tcPr>
          <w:p w14:paraId="2F0D61A0">
            <w:pPr>
              <w:autoSpaceDE w:val="0"/>
              <w:autoSpaceDN w:val="0"/>
              <w:adjustRightInd w:val="0"/>
              <w:rPr>
                <w:rFonts w:hint="eastAsia" w:ascii="宋体" w:hAnsi="宋体" w:cs="宋体"/>
                <w:color w:val="auto"/>
                <w:szCs w:val="21"/>
                <w:highlight w:val="none"/>
              </w:rPr>
            </w:pPr>
          </w:p>
        </w:tc>
      </w:tr>
      <w:tr w14:paraId="4718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53E5639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41" w:type="pct"/>
            <w:vAlign w:val="center"/>
          </w:tcPr>
          <w:p w14:paraId="48F1FD81">
            <w:pPr>
              <w:widowControl/>
              <w:jc w:val="center"/>
              <w:rPr>
                <w:rFonts w:hint="eastAsia" w:ascii="宋体" w:hAnsi="宋体" w:cs="宋体"/>
                <w:color w:val="auto"/>
                <w:szCs w:val="21"/>
                <w:highlight w:val="none"/>
              </w:rPr>
            </w:pPr>
          </w:p>
        </w:tc>
        <w:tc>
          <w:tcPr>
            <w:tcW w:w="353" w:type="pct"/>
            <w:vAlign w:val="center"/>
          </w:tcPr>
          <w:p w14:paraId="62D890F1">
            <w:pPr>
              <w:widowControl/>
              <w:jc w:val="center"/>
              <w:rPr>
                <w:rFonts w:hint="eastAsia" w:ascii="宋体" w:hAnsi="宋体" w:cs="宋体"/>
                <w:color w:val="auto"/>
                <w:szCs w:val="21"/>
                <w:highlight w:val="none"/>
              </w:rPr>
            </w:pPr>
          </w:p>
        </w:tc>
        <w:tc>
          <w:tcPr>
            <w:tcW w:w="469" w:type="pct"/>
            <w:vAlign w:val="center"/>
          </w:tcPr>
          <w:p w14:paraId="2E99A162">
            <w:pPr>
              <w:widowControl/>
              <w:jc w:val="center"/>
              <w:rPr>
                <w:rFonts w:hint="eastAsia" w:ascii="宋体" w:hAnsi="宋体" w:cs="宋体"/>
                <w:color w:val="auto"/>
                <w:szCs w:val="21"/>
                <w:highlight w:val="none"/>
              </w:rPr>
            </w:pPr>
          </w:p>
        </w:tc>
        <w:tc>
          <w:tcPr>
            <w:tcW w:w="702" w:type="pct"/>
            <w:vAlign w:val="center"/>
          </w:tcPr>
          <w:p w14:paraId="19860254">
            <w:pPr>
              <w:widowControl/>
              <w:jc w:val="center"/>
              <w:rPr>
                <w:rFonts w:hint="eastAsia" w:ascii="宋体" w:hAnsi="宋体" w:cs="宋体"/>
                <w:color w:val="auto"/>
                <w:szCs w:val="21"/>
                <w:highlight w:val="none"/>
              </w:rPr>
            </w:pPr>
          </w:p>
        </w:tc>
        <w:tc>
          <w:tcPr>
            <w:tcW w:w="590" w:type="pct"/>
            <w:noWrap/>
            <w:vAlign w:val="center"/>
          </w:tcPr>
          <w:p w14:paraId="6502265B">
            <w:pPr>
              <w:widowControl/>
              <w:jc w:val="right"/>
              <w:rPr>
                <w:rFonts w:hint="eastAsia" w:ascii="宋体" w:hAnsi="宋体" w:cs="宋体"/>
                <w:color w:val="auto"/>
                <w:szCs w:val="21"/>
                <w:highlight w:val="none"/>
              </w:rPr>
            </w:pPr>
          </w:p>
        </w:tc>
        <w:tc>
          <w:tcPr>
            <w:tcW w:w="1674" w:type="pct"/>
            <w:noWrap/>
            <w:vAlign w:val="center"/>
          </w:tcPr>
          <w:p w14:paraId="329470A1">
            <w:pPr>
              <w:widowControl/>
              <w:jc w:val="right"/>
              <w:rPr>
                <w:rFonts w:hint="eastAsia" w:ascii="宋体" w:hAnsi="宋体" w:cs="宋体"/>
                <w:color w:val="auto"/>
                <w:szCs w:val="21"/>
                <w:highlight w:val="none"/>
              </w:rPr>
            </w:pPr>
          </w:p>
        </w:tc>
      </w:tr>
      <w:tr w14:paraId="5B967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210" w:type="pct"/>
            <w:gridSpan w:val="2"/>
            <w:vAlign w:val="center"/>
          </w:tcPr>
          <w:p w14:paraId="5BF3543C">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3" w:type="pct"/>
            <w:vAlign w:val="center"/>
          </w:tcPr>
          <w:p w14:paraId="6E6F4A02">
            <w:pPr>
              <w:widowControl/>
              <w:jc w:val="center"/>
              <w:rPr>
                <w:rFonts w:hint="eastAsia" w:ascii="宋体" w:hAnsi="宋体" w:cs="宋体"/>
                <w:color w:val="auto"/>
                <w:szCs w:val="21"/>
                <w:highlight w:val="none"/>
              </w:rPr>
            </w:pPr>
          </w:p>
        </w:tc>
        <w:tc>
          <w:tcPr>
            <w:tcW w:w="469" w:type="pct"/>
            <w:vAlign w:val="center"/>
          </w:tcPr>
          <w:p w14:paraId="3E484AC8">
            <w:pPr>
              <w:widowControl/>
              <w:jc w:val="center"/>
              <w:rPr>
                <w:rFonts w:hint="eastAsia" w:ascii="宋体" w:hAnsi="宋体" w:cs="宋体"/>
                <w:color w:val="auto"/>
                <w:szCs w:val="21"/>
                <w:highlight w:val="none"/>
              </w:rPr>
            </w:pPr>
          </w:p>
        </w:tc>
        <w:tc>
          <w:tcPr>
            <w:tcW w:w="702" w:type="pct"/>
            <w:vAlign w:val="center"/>
          </w:tcPr>
          <w:p w14:paraId="23E518A0">
            <w:pPr>
              <w:widowControl/>
              <w:jc w:val="center"/>
              <w:rPr>
                <w:rFonts w:hint="eastAsia" w:ascii="宋体" w:hAnsi="宋体" w:cs="宋体"/>
                <w:color w:val="auto"/>
                <w:szCs w:val="21"/>
                <w:highlight w:val="none"/>
              </w:rPr>
            </w:pPr>
          </w:p>
        </w:tc>
        <w:tc>
          <w:tcPr>
            <w:tcW w:w="590" w:type="pct"/>
            <w:noWrap/>
            <w:vAlign w:val="center"/>
          </w:tcPr>
          <w:p w14:paraId="7EA4E5FD">
            <w:pPr>
              <w:widowControl/>
              <w:jc w:val="right"/>
              <w:rPr>
                <w:rFonts w:hint="eastAsia" w:ascii="宋体" w:hAnsi="宋体" w:cs="宋体"/>
                <w:color w:val="auto"/>
                <w:szCs w:val="21"/>
                <w:highlight w:val="none"/>
              </w:rPr>
            </w:pPr>
          </w:p>
        </w:tc>
        <w:tc>
          <w:tcPr>
            <w:tcW w:w="1674" w:type="pct"/>
            <w:noWrap/>
            <w:vAlign w:val="center"/>
          </w:tcPr>
          <w:p w14:paraId="37CB347C">
            <w:pPr>
              <w:widowControl/>
              <w:jc w:val="right"/>
              <w:rPr>
                <w:rFonts w:hint="eastAsia" w:ascii="宋体" w:hAnsi="宋体" w:cs="宋体"/>
                <w:color w:val="auto"/>
                <w:szCs w:val="21"/>
                <w:highlight w:val="none"/>
              </w:rPr>
            </w:pPr>
          </w:p>
        </w:tc>
      </w:tr>
    </w:tbl>
    <w:p w14:paraId="23CF18DA">
      <w:pPr>
        <w:spacing w:line="360" w:lineRule="auto"/>
        <w:ind w:left="420"/>
        <w:jc w:val="center"/>
        <w:rPr>
          <w:rFonts w:hint="eastAsia" w:ascii="宋体" w:hAnsi="宋体"/>
          <w:b/>
          <w:color w:val="auto"/>
          <w:szCs w:val="21"/>
          <w:highlight w:val="none"/>
        </w:rPr>
      </w:pPr>
    </w:p>
    <w:p w14:paraId="714571F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磋商响应单位（盖章）：</w:t>
      </w:r>
    </w:p>
    <w:p w14:paraId="73B3EDB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法定代表人或委托代理人：（签字或盖章）</w:t>
      </w:r>
    </w:p>
    <w:p w14:paraId="774B8AC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p>
    <w:p w14:paraId="5F209B17">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41086427">
      <w:pPr>
        <w:widowControl/>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附件7：服务偏离表</w:t>
      </w:r>
    </w:p>
    <w:p w14:paraId="20EF9C6C">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服务偏离表</w:t>
      </w:r>
    </w:p>
    <w:p w14:paraId="559B7190">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采购编号：</w:t>
      </w:r>
    </w:p>
    <w:tbl>
      <w:tblPr>
        <w:tblStyle w:val="47"/>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901"/>
        <w:gridCol w:w="1711"/>
        <w:gridCol w:w="1521"/>
        <w:gridCol w:w="1795"/>
        <w:gridCol w:w="1855"/>
      </w:tblGrid>
      <w:tr w14:paraId="60A5DA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6F721DDA">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901" w:type="dxa"/>
            <w:vAlign w:val="center"/>
          </w:tcPr>
          <w:p w14:paraId="687ECAD2">
            <w:pPr>
              <w:jc w:val="center"/>
              <w:rPr>
                <w:rFonts w:hint="eastAsia" w:ascii="宋体" w:hAnsi="宋体" w:cs="宋体"/>
                <w:color w:val="auto"/>
                <w:szCs w:val="21"/>
                <w:highlight w:val="none"/>
              </w:rPr>
            </w:pPr>
            <w:r>
              <w:rPr>
                <w:rFonts w:hint="eastAsia" w:ascii="宋体" w:hAnsi="宋体" w:cs="宋体"/>
                <w:color w:val="auto"/>
                <w:szCs w:val="21"/>
                <w:highlight w:val="none"/>
              </w:rPr>
              <w:t>服务内容</w:t>
            </w:r>
          </w:p>
        </w:tc>
        <w:tc>
          <w:tcPr>
            <w:tcW w:w="1711" w:type="dxa"/>
            <w:vAlign w:val="center"/>
          </w:tcPr>
          <w:p w14:paraId="274CEA4C">
            <w:pPr>
              <w:jc w:val="center"/>
              <w:rPr>
                <w:rFonts w:hint="eastAsia" w:ascii="宋体" w:hAnsi="宋体" w:cs="宋体"/>
                <w:color w:val="auto"/>
                <w:szCs w:val="21"/>
                <w:highlight w:val="none"/>
              </w:rPr>
            </w:pPr>
            <w:r>
              <w:rPr>
                <w:rFonts w:hint="eastAsia" w:ascii="宋体" w:hAnsi="宋体" w:cs="宋体"/>
                <w:color w:val="auto"/>
                <w:szCs w:val="21"/>
                <w:highlight w:val="none"/>
              </w:rPr>
              <w:t>采购要求</w:t>
            </w:r>
          </w:p>
        </w:tc>
        <w:tc>
          <w:tcPr>
            <w:tcW w:w="1521" w:type="dxa"/>
            <w:vAlign w:val="center"/>
          </w:tcPr>
          <w:p w14:paraId="24FCB3A2">
            <w:pPr>
              <w:jc w:val="center"/>
              <w:rPr>
                <w:rFonts w:hint="eastAsia" w:ascii="宋体" w:hAnsi="宋体" w:cs="宋体"/>
                <w:color w:val="auto"/>
                <w:szCs w:val="21"/>
                <w:highlight w:val="none"/>
              </w:rPr>
            </w:pPr>
            <w:r>
              <w:rPr>
                <w:rFonts w:hint="eastAsia" w:ascii="宋体" w:hAnsi="宋体" w:cs="宋体"/>
                <w:color w:val="auto"/>
                <w:szCs w:val="21"/>
                <w:highlight w:val="none"/>
              </w:rPr>
              <w:t>投标要求</w:t>
            </w:r>
          </w:p>
        </w:tc>
        <w:tc>
          <w:tcPr>
            <w:tcW w:w="1795" w:type="dxa"/>
            <w:vAlign w:val="center"/>
          </w:tcPr>
          <w:p w14:paraId="1AEBCED0">
            <w:pPr>
              <w:jc w:val="center"/>
              <w:rPr>
                <w:rFonts w:hint="eastAsia" w:ascii="宋体" w:hAnsi="宋体" w:cs="宋体"/>
                <w:color w:val="auto"/>
                <w:szCs w:val="21"/>
                <w:highlight w:val="none"/>
              </w:rPr>
            </w:pPr>
            <w:r>
              <w:rPr>
                <w:rFonts w:hint="eastAsia" w:ascii="宋体" w:hAnsi="宋体" w:cs="宋体"/>
                <w:color w:val="auto"/>
                <w:szCs w:val="21"/>
                <w:highlight w:val="none"/>
              </w:rPr>
              <w:t>偏离/响应</w:t>
            </w:r>
          </w:p>
        </w:tc>
        <w:tc>
          <w:tcPr>
            <w:tcW w:w="1855" w:type="dxa"/>
            <w:vAlign w:val="center"/>
          </w:tcPr>
          <w:p w14:paraId="3DABA37F">
            <w:pPr>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5D0B16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7E20F186">
            <w:pPr>
              <w:rPr>
                <w:rFonts w:hint="eastAsia" w:ascii="宋体" w:hAnsi="宋体" w:cs="宋体"/>
                <w:color w:val="auto"/>
                <w:szCs w:val="21"/>
                <w:highlight w:val="none"/>
              </w:rPr>
            </w:pPr>
          </w:p>
        </w:tc>
        <w:tc>
          <w:tcPr>
            <w:tcW w:w="1901" w:type="dxa"/>
            <w:vAlign w:val="center"/>
          </w:tcPr>
          <w:p w14:paraId="5F587804">
            <w:pPr>
              <w:rPr>
                <w:rFonts w:hint="eastAsia" w:ascii="宋体" w:hAnsi="宋体" w:cs="宋体"/>
                <w:color w:val="auto"/>
                <w:szCs w:val="21"/>
                <w:highlight w:val="none"/>
              </w:rPr>
            </w:pPr>
          </w:p>
        </w:tc>
        <w:tc>
          <w:tcPr>
            <w:tcW w:w="1711" w:type="dxa"/>
            <w:vAlign w:val="center"/>
          </w:tcPr>
          <w:p w14:paraId="268347B4">
            <w:pPr>
              <w:rPr>
                <w:rFonts w:hint="eastAsia" w:ascii="宋体" w:hAnsi="宋体" w:cs="宋体"/>
                <w:color w:val="auto"/>
                <w:szCs w:val="21"/>
                <w:highlight w:val="none"/>
              </w:rPr>
            </w:pPr>
          </w:p>
        </w:tc>
        <w:tc>
          <w:tcPr>
            <w:tcW w:w="1521" w:type="dxa"/>
            <w:vAlign w:val="center"/>
          </w:tcPr>
          <w:p w14:paraId="4B842F29">
            <w:pPr>
              <w:rPr>
                <w:rFonts w:hint="eastAsia" w:ascii="宋体" w:hAnsi="宋体" w:cs="宋体"/>
                <w:color w:val="auto"/>
                <w:szCs w:val="21"/>
                <w:highlight w:val="none"/>
              </w:rPr>
            </w:pPr>
          </w:p>
        </w:tc>
        <w:tc>
          <w:tcPr>
            <w:tcW w:w="1795" w:type="dxa"/>
            <w:vAlign w:val="center"/>
          </w:tcPr>
          <w:p w14:paraId="692E9925">
            <w:pPr>
              <w:rPr>
                <w:rFonts w:hint="eastAsia" w:ascii="宋体" w:hAnsi="宋体" w:cs="宋体"/>
                <w:color w:val="auto"/>
                <w:szCs w:val="21"/>
                <w:highlight w:val="none"/>
              </w:rPr>
            </w:pPr>
          </w:p>
        </w:tc>
        <w:tc>
          <w:tcPr>
            <w:tcW w:w="1855" w:type="dxa"/>
            <w:vAlign w:val="center"/>
          </w:tcPr>
          <w:p w14:paraId="7719E5FC">
            <w:pPr>
              <w:rPr>
                <w:rFonts w:hint="eastAsia" w:ascii="宋体" w:hAnsi="宋体" w:cs="宋体"/>
                <w:color w:val="auto"/>
                <w:szCs w:val="21"/>
                <w:highlight w:val="none"/>
              </w:rPr>
            </w:pPr>
          </w:p>
        </w:tc>
      </w:tr>
      <w:tr w14:paraId="3BFC37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7E0C5305">
            <w:pPr>
              <w:rPr>
                <w:rFonts w:hint="eastAsia" w:ascii="宋体" w:hAnsi="宋体" w:cs="宋体"/>
                <w:color w:val="auto"/>
                <w:szCs w:val="21"/>
                <w:highlight w:val="none"/>
              </w:rPr>
            </w:pPr>
          </w:p>
        </w:tc>
        <w:tc>
          <w:tcPr>
            <w:tcW w:w="1901" w:type="dxa"/>
            <w:vAlign w:val="center"/>
          </w:tcPr>
          <w:p w14:paraId="667C479C">
            <w:pPr>
              <w:rPr>
                <w:rFonts w:hint="eastAsia" w:ascii="宋体" w:hAnsi="宋体" w:cs="宋体"/>
                <w:color w:val="auto"/>
                <w:szCs w:val="21"/>
                <w:highlight w:val="none"/>
              </w:rPr>
            </w:pPr>
          </w:p>
        </w:tc>
        <w:tc>
          <w:tcPr>
            <w:tcW w:w="1711" w:type="dxa"/>
            <w:vAlign w:val="center"/>
          </w:tcPr>
          <w:p w14:paraId="1DC3AFF1">
            <w:pPr>
              <w:rPr>
                <w:rFonts w:hint="eastAsia" w:ascii="宋体" w:hAnsi="宋体" w:cs="宋体"/>
                <w:color w:val="auto"/>
                <w:szCs w:val="21"/>
                <w:highlight w:val="none"/>
              </w:rPr>
            </w:pPr>
          </w:p>
        </w:tc>
        <w:tc>
          <w:tcPr>
            <w:tcW w:w="1521" w:type="dxa"/>
            <w:vAlign w:val="center"/>
          </w:tcPr>
          <w:p w14:paraId="2B5DB9AA">
            <w:pPr>
              <w:rPr>
                <w:rFonts w:hint="eastAsia" w:ascii="宋体" w:hAnsi="宋体" w:cs="宋体"/>
                <w:color w:val="auto"/>
                <w:szCs w:val="21"/>
                <w:highlight w:val="none"/>
              </w:rPr>
            </w:pPr>
          </w:p>
        </w:tc>
        <w:tc>
          <w:tcPr>
            <w:tcW w:w="1795" w:type="dxa"/>
            <w:vAlign w:val="center"/>
          </w:tcPr>
          <w:p w14:paraId="0D296E7A">
            <w:pPr>
              <w:rPr>
                <w:rFonts w:hint="eastAsia" w:ascii="宋体" w:hAnsi="宋体" w:cs="宋体"/>
                <w:color w:val="auto"/>
                <w:szCs w:val="21"/>
                <w:highlight w:val="none"/>
              </w:rPr>
            </w:pPr>
          </w:p>
        </w:tc>
        <w:tc>
          <w:tcPr>
            <w:tcW w:w="1855" w:type="dxa"/>
            <w:vAlign w:val="center"/>
          </w:tcPr>
          <w:p w14:paraId="4D938964">
            <w:pPr>
              <w:rPr>
                <w:rFonts w:hint="eastAsia" w:ascii="宋体" w:hAnsi="宋体" w:cs="宋体"/>
                <w:color w:val="auto"/>
                <w:szCs w:val="21"/>
                <w:highlight w:val="none"/>
              </w:rPr>
            </w:pPr>
          </w:p>
        </w:tc>
      </w:tr>
      <w:tr w14:paraId="7BA3F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0C44F9F3">
            <w:pPr>
              <w:rPr>
                <w:rFonts w:hint="eastAsia" w:ascii="宋体" w:hAnsi="宋体" w:cs="宋体"/>
                <w:color w:val="auto"/>
                <w:szCs w:val="21"/>
                <w:highlight w:val="none"/>
              </w:rPr>
            </w:pPr>
          </w:p>
        </w:tc>
        <w:tc>
          <w:tcPr>
            <w:tcW w:w="1901" w:type="dxa"/>
            <w:vAlign w:val="center"/>
          </w:tcPr>
          <w:p w14:paraId="54B787AF">
            <w:pPr>
              <w:rPr>
                <w:rFonts w:hint="eastAsia" w:ascii="宋体" w:hAnsi="宋体" w:cs="宋体"/>
                <w:color w:val="auto"/>
                <w:szCs w:val="21"/>
                <w:highlight w:val="none"/>
              </w:rPr>
            </w:pPr>
          </w:p>
        </w:tc>
        <w:tc>
          <w:tcPr>
            <w:tcW w:w="1711" w:type="dxa"/>
            <w:vAlign w:val="center"/>
          </w:tcPr>
          <w:p w14:paraId="2AAF46F9">
            <w:pPr>
              <w:rPr>
                <w:rFonts w:hint="eastAsia" w:ascii="宋体" w:hAnsi="宋体" w:cs="宋体"/>
                <w:color w:val="auto"/>
                <w:szCs w:val="21"/>
                <w:highlight w:val="none"/>
              </w:rPr>
            </w:pPr>
          </w:p>
        </w:tc>
        <w:tc>
          <w:tcPr>
            <w:tcW w:w="1521" w:type="dxa"/>
            <w:vAlign w:val="center"/>
          </w:tcPr>
          <w:p w14:paraId="153A9716">
            <w:pPr>
              <w:rPr>
                <w:rFonts w:hint="eastAsia" w:ascii="宋体" w:hAnsi="宋体" w:cs="宋体"/>
                <w:color w:val="auto"/>
                <w:szCs w:val="21"/>
                <w:highlight w:val="none"/>
              </w:rPr>
            </w:pPr>
          </w:p>
        </w:tc>
        <w:tc>
          <w:tcPr>
            <w:tcW w:w="1795" w:type="dxa"/>
            <w:vAlign w:val="center"/>
          </w:tcPr>
          <w:p w14:paraId="445A78B2">
            <w:pPr>
              <w:rPr>
                <w:rFonts w:hint="eastAsia" w:ascii="宋体" w:hAnsi="宋体" w:cs="宋体"/>
                <w:color w:val="auto"/>
                <w:szCs w:val="21"/>
                <w:highlight w:val="none"/>
              </w:rPr>
            </w:pPr>
          </w:p>
        </w:tc>
        <w:tc>
          <w:tcPr>
            <w:tcW w:w="1855" w:type="dxa"/>
            <w:vAlign w:val="center"/>
          </w:tcPr>
          <w:p w14:paraId="63437158">
            <w:pPr>
              <w:rPr>
                <w:rFonts w:hint="eastAsia" w:ascii="宋体" w:hAnsi="宋体" w:cs="宋体"/>
                <w:color w:val="auto"/>
                <w:szCs w:val="21"/>
                <w:highlight w:val="none"/>
              </w:rPr>
            </w:pPr>
          </w:p>
        </w:tc>
      </w:tr>
      <w:tr w14:paraId="057455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591EA7C0">
            <w:pPr>
              <w:rPr>
                <w:rFonts w:hint="eastAsia" w:ascii="宋体" w:hAnsi="宋体" w:cs="宋体"/>
                <w:color w:val="auto"/>
                <w:szCs w:val="21"/>
                <w:highlight w:val="none"/>
              </w:rPr>
            </w:pPr>
          </w:p>
        </w:tc>
        <w:tc>
          <w:tcPr>
            <w:tcW w:w="1901" w:type="dxa"/>
            <w:vAlign w:val="center"/>
          </w:tcPr>
          <w:p w14:paraId="1350FC51">
            <w:pPr>
              <w:rPr>
                <w:rFonts w:hint="eastAsia" w:ascii="宋体" w:hAnsi="宋体" w:cs="宋体"/>
                <w:color w:val="auto"/>
                <w:szCs w:val="21"/>
                <w:highlight w:val="none"/>
              </w:rPr>
            </w:pPr>
          </w:p>
        </w:tc>
        <w:tc>
          <w:tcPr>
            <w:tcW w:w="1711" w:type="dxa"/>
            <w:vAlign w:val="center"/>
          </w:tcPr>
          <w:p w14:paraId="05A4CD79">
            <w:pPr>
              <w:rPr>
                <w:rFonts w:hint="eastAsia" w:ascii="宋体" w:hAnsi="宋体" w:cs="宋体"/>
                <w:color w:val="auto"/>
                <w:szCs w:val="21"/>
                <w:highlight w:val="none"/>
              </w:rPr>
            </w:pPr>
          </w:p>
        </w:tc>
        <w:tc>
          <w:tcPr>
            <w:tcW w:w="1521" w:type="dxa"/>
            <w:vAlign w:val="center"/>
          </w:tcPr>
          <w:p w14:paraId="0A14EA39">
            <w:pPr>
              <w:rPr>
                <w:rFonts w:hint="eastAsia" w:ascii="宋体" w:hAnsi="宋体" w:cs="宋体"/>
                <w:color w:val="auto"/>
                <w:szCs w:val="21"/>
                <w:highlight w:val="none"/>
              </w:rPr>
            </w:pPr>
          </w:p>
        </w:tc>
        <w:tc>
          <w:tcPr>
            <w:tcW w:w="1795" w:type="dxa"/>
            <w:vAlign w:val="center"/>
          </w:tcPr>
          <w:p w14:paraId="3D27B27F">
            <w:pPr>
              <w:rPr>
                <w:rFonts w:hint="eastAsia" w:ascii="宋体" w:hAnsi="宋体" w:cs="宋体"/>
                <w:color w:val="auto"/>
                <w:szCs w:val="21"/>
                <w:highlight w:val="none"/>
              </w:rPr>
            </w:pPr>
          </w:p>
        </w:tc>
        <w:tc>
          <w:tcPr>
            <w:tcW w:w="1855" w:type="dxa"/>
            <w:vAlign w:val="center"/>
          </w:tcPr>
          <w:p w14:paraId="77D40E6B">
            <w:pPr>
              <w:rPr>
                <w:rFonts w:hint="eastAsia" w:ascii="宋体" w:hAnsi="宋体" w:cs="宋体"/>
                <w:color w:val="auto"/>
                <w:szCs w:val="21"/>
                <w:highlight w:val="none"/>
              </w:rPr>
            </w:pPr>
          </w:p>
        </w:tc>
      </w:tr>
      <w:tr w14:paraId="2D0F9E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21D7E342">
            <w:pPr>
              <w:rPr>
                <w:rFonts w:hint="eastAsia" w:ascii="宋体" w:hAnsi="宋体" w:cs="宋体"/>
                <w:color w:val="auto"/>
                <w:szCs w:val="21"/>
                <w:highlight w:val="none"/>
              </w:rPr>
            </w:pPr>
          </w:p>
        </w:tc>
        <w:tc>
          <w:tcPr>
            <w:tcW w:w="1901" w:type="dxa"/>
            <w:vAlign w:val="center"/>
          </w:tcPr>
          <w:p w14:paraId="12475C99">
            <w:pPr>
              <w:rPr>
                <w:rFonts w:hint="eastAsia" w:ascii="宋体" w:hAnsi="宋体" w:cs="宋体"/>
                <w:color w:val="auto"/>
                <w:szCs w:val="21"/>
                <w:highlight w:val="none"/>
              </w:rPr>
            </w:pPr>
          </w:p>
        </w:tc>
        <w:tc>
          <w:tcPr>
            <w:tcW w:w="1711" w:type="dxa"/>
            <w:vAlign w:val="center"/>
          </w:tcPr>
          <w:p w14:paraId="63FC1DB2">
            <w:pPr>
              <w:rPr>
                <w:rFonts w:hint="eastAsia" w:ascii="宋体" w:hAnsi="宋体" w:cs="宋体"/>
                <w:color w:val="auto"/>
                <w:szCs w:val="21"/>
                <w:highlight w:val="none"/>
              </w:rPr>
            </w:pPr>
          </w:p>
        </w:tc>
        <w:tc>
          <w:tcPr>
            <w:tcW w:w="1521" w:type="dxa"/>
            <w:vAlign w:val="center"/>
          </w:tcPr>
          <w:p w14:paraId="6561B2BD">
            <w:pPr>
              <w:rPr>
                <w:rFonts w:hint="eastAsia" w:ascii="宋体" w:hAnsi="宋体" w:cs="宋体"/>
                <w:color w:val="auto"/>
                <w:szCs w:val="21"/>
                <w:highlight w:val="none"/>
              </w:rPr>
            </w:pPr>
          </w:p>
        </w:tc>
        <w:tc>
          <w:tcPr>
            <w:tcW w:w="1795" w:type="dxa"/>
            <w:vAlign w:val="center"/>
          </w:tcPr>
          <w:p w14:paraId="559E32F4">
            <w:pPr>
              <w:rPr>
                <w:rFonts w:hint="eastAsia" w:ascii="宋体" w:hAnsi="宋体" w:cs="宋体"/>
                <w:color w:val="auto"/>
                <w:szCs w:val="21"/>
                <w:highlight w:val="none"/>
              </w:rPr>
            </w:pPr>
          </w:p>
        </w:tc>
        <w:tc>
          <w:tcPr>
            <w:tcW w:w="1855" w:type="dxa"/>
            <w:vAlign w:val="center"/>
          </w:tcPr>
          <w:p w14:paraId="37EE00B6">
            <w:pPr>
              <w:rPr>
                <w:rFonts w:hint="eastAsia" w:ascii="宋体" w:hAnsi="宋体" w:cs="宋体"/>
                <w:color w:val="auto"/>
                <w:szCs w:val="21"/>
                <w:highlight w:val="none"/>
              </w:rPr>
            </w:pPr>
          </w:p>
        </w:tc>
      </w:tr>
      <w:tr w14:paraId="7D0F44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6DA356B1">
            <w:pPr>
              <w:rPr>
                <w:rFonts w:hint="eastAsia" w:ascii="宋体" w:hAnsi="宋体" w:cs="宋体"/>
                <w:color w:val="auto"/>
                <w:szCs w:val="21"/>
                <w:highlight w:val="none"/>
              </w:rPr>
            </w:pPr>
          </w:p>
        </w:tc>
        <w:tc>
          <w:tcPr>
            <w:tcW w:w="1901" w:type="dxa"/>
            <w:vAlign w:val="center"/>
          </w:tcPr>
          <w:p w14:paraId="269700FE">
            <w:pPr>
              <w:rPr>
                <w:rFonts w:hint="eastAsia" w:ascii="宋体" w:hAnsi="宋体" w:cs="宋体"/>
                <w:color w:val="auto"/>
                <w:szCs w:val="21"/>
                <w:highlight w:val="none"/>
              </w:rPr>
            </w:pPr>
          </w:p>
        </w:tc>
        <w:tc>
          <w:tcPr>
            <w:tcW w:w="1711" w:type="dxa"/>
            <w:vAlign w:val="center"/>
          </w:tcPr>
          <w:p w14:paraId="55E76577">
            <w:pPr>
              <w:rPr>
                <w:rFonts w:hint="eastAsia" w:ascii="宋体" w:hAnsi="宋体" w:cs="宋体"/>
                <w:color w:val="auto"/>
                <w:szCs w:val="21"/>
                <w:highlight w:val="none"/>
              </w:rPr>
            </w:pPr>
          </w:p>
        </w:tc>
        <w:tc>
          <w:tcPr>
            <w:tcW w:w="1521" w:type="dxa"/>
            <w:vAlign w:val="center"/>
          </w:tcPr>
          <w:p w14:paraId="697ED044">
            <w:pPr>
              <w:rPr>
                <w:rFonts w:hint="eastAsia" w:ascii="宋体" w:hAnsi="宋体" w:cs="宋体"/>
                <w:color w:val="auto"/>
                <w:szCs w:val="21"/>
                <w:highlight w:val="none"/>
              </w:rPr>
            </w:pPr>
          </w:p>
        </w:tc>
        <w:tc>
          <w:tcPr>
            <w:tcW w:w="1795" w:type="dxa"/>
            <w:vAlign w:val="center"/>
          </w:tcPr>
          <w:p w14:paraId="3ECF646B">
            <w:pPr>
              <w:rPr>
                <w:rFonts w:hint="eastAsia" w:ascii="宋体" w:hAnsi="宋体" w:cs="宋体"/>
                <w:color w:val="auto"/>
                <w:szCs w:val="21"/>
                <w:highlight w:val="none"/>
              </w:rPr>
            </w:pPr>
          </w:p>
        </w:tc>
        <w:tc>
          <w:tcPr>
            <w:tcW w:w="1855" w:type="dxa"/>
            <w:vAlign w:val="center"/>
          </w:tcPr>
          <w:p w14:paraId="783A2663">
            <w:pPr>
              <w:rPr>
                <w:rFonts w:hint="eastAsia" w:ascii="宋体" w:hAnsi="宋体" w:cs="宋体"/>
                <w:color w:val="auto"/>
                <w:szCs w:val="21"/>
                <w:highlight w:val="none"/>
              </w:rPr>
            </w:pPr>
          </w:p>
        </w:tc>
      </w:tr>
      <w:tr w14:paraId="5289A4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090487A7">
            <w:pPr>
              <w:rPr>
                <w:rFonts w:hint="eastAsia" w:ascii="宋体" w:hAnsi="宋体" w:cs="宋体"/>
                <w:color w:val="auto"/>
                <w:szCs w:val="21"/>
                <w:highlight w:val="none"/>
              </w:rPr>
            </w:pPr>
          </w:p>
        </w:tc>
        <w:tc>
          <w:tcPr>
            <w:tcW w:w="1901" w:type="dxa"/>
            <w:vAlign w:val="center"/>
          </w:tcPr>
          <w:p w14:paraId="778D8982">
            <w:pPr>
              <w:rPr>
                <w:rFonts w:hint="eastAsia" w:ascii="宋体" w:hAnsi="宋体" w:cs="宋体"/>
                <w:color w:val="auto"/>
                <w:szCs w:val="21"/>
                <w:highlight w:val="none"/>
              </w:rPr>
            </w:pPr>
          </w:p>
        </w:tc>
        <w:tc>
          <w:tcPr>
            <w:tcW w:w="1711" w:type="dxa"/>
            <w:vAlign w:val="center"/>
          </w:tcPr>
          <w:p w14:paraId="6A9C7CE4">
            <w:pPr>
              <w:rPr>
                <w:rFonts w:hint="eastAsia" w:ascii="宋体" w:hAnsi="宋体" w:cs="宋体"/>
                <w:color w:val="auto"/>
                <w:szCs w:val="21"/>
                <w:highlight w:val="none"/>
              </w:rPr>
            </w:pPr>
          </w:p>
        </w:tc>
        <w:tc>
          <w:tcPr>
            <w:tcW w:w="1521" w:type="dxa"/>
            <w:vAlign w:val="center"/>
          </w:tcPr>
          <w:p w14:paraId="279B688C">
            <w:pPr>
              <w:rPr>
                <w:rFonts w:hint="eastAsia" w:ascii="宋体" w:hAnsi="宋体" w:cs="宋体"/>
                <w:color w:val="auto"/>
                <w:szCs w:val="21"/>
                <w:highlight w:val="none"/>
              </w:rPr>
            </w:pPr>
          </w:p>
        </w:tc>
        <w:tc>
          <w:tcPr>
            <w:tcW w:w="1795" w:type="dxa"/>
            <w:vAlign w:val="center"/>
          </w:tcPr>
          <w:p w14:paraId="227F5925">
            <w:pPr>
              <w:rPr>
                <w:rFonts w:hint="eastAsia" w:ascii="宋体" w:hAnsi="宋体" w:cs="宋体"/>
                <w:color w:val="auto"/>
                <w:szCs w:val="21"/>
                <w:highlight w:val="none"/>
              </w:rPr>
            </w:pPr>
          </w:p>
        </w:tc>
        <w:tc>
          <w:tcPr>
            <w:tcW w:w="1855" w:type="dxa"/>
            <w:vAlign w:val="center"/>
          </w:tcPr>
          <w:p w14:paraId="765E24E9">
            <w:pPr>
              <w:rPr>
                <w:rFonts w:hint="eastAsia" w:ascii="宋体" w:hAnsi="宋体" w:cs="宋体"/>
                <w:color w:val="auto"/>
                <w:szCs w:val="21"/>
                <w:highlight w:val="none"/>
              </w:rPr>
            </w:pPr>
          </w:p>
        </w:tc>
      </w:tr>
      <w:tr w14:paraId="09650E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01AAF660">
            <w:pPr>
              <w:rPr>
                <w:rFonts w:hint="eastAsia" w:ascii="宋体" w:hAnsi="宋体" w:cs="宋体"/>
                <w:color w:val="auto"/>
                <w:szCs w:val="21"/>
                <w:highlight w:val="none"/>
              </w:rPr>
            </w:pPr>
          </w:p>
        </w:tc>
        <w:tc>
          <w:tcPr>
            <w:tcW w:w="1901" w:type="dxa"/>
            <w:vAlign w:val="center"/>
          </w:tcPr>
          <w:p w14:paraId="358A02A2">
            <w:pPr>
              <w:rPr>
                <w:rFonts w:hint="eastAsia" w:ascii="宋体" w:hAnsi="宋体" w:cs="宋体"/>
                <w:color w:val="auto"/>
                <w:szCs w:val="21"/>
                <w:highlight w:val="none"/>
              </w:rPr>
            </w:pPr>
          </w:p>
        </w:tc>
        <w:tc>
          <w:tcPr>
            <w:tcW w:w="1711" w:type="dxa"/>
            <w:vAlign w:val="center"/>
          </w:tcPr>
          <w:p w14:paraId="1A501283">
            <w:pPr>
              <w:rPr>
                <w:rFonts w:hint="eastAsia" w:ascii="宋体" w:hAnsi="宋体" w:cs="宋体"/>
                <w:color w:val="auto"/>
                <w:szCs w:val="21"/>
                <w:highlight w:val="none"/>
              </w:rPr>
            </w:pPr>
          </w:p>
        </w:tc>
        <w:tc>
          <w:tcPr>
            <w:tcW w:w="1521" w:type="dxa"/>
            <w:vAlign w:val="center"/>
          </w:tcPr>
          <w:p w14:paraId="62C95D06">
            <w:pPr>
              <w:rPr>
                <w:rFonts w:hint="eastAsia" w:ascii="宋体" w:hAnsi="宋体" w:cs="宋体"/>
                <w:color w:val="auto"/>
                <w:szCs w:val="21"/>
                <w:highlight w:val="none"/>
              </w:rPr>
            </w:pPr>
          </w:p>
        </w:tc>
        <w:tc>
          <w:tcPr>
            <w:tcW w:w="1795" w:type="dxa"/>
            <w:vAlign w:val="center"/>
          </w:tcPr>
          <w:p w14:paraId="771D771B">
            <w:pPr>
              <w:rPr>
                <w:rFonts w:hint="eastAsia" w:ascii="宋体" w:hAnsi="宋体" w:cs="宋体"/>
                <w:color w:val="auto"/>
                <w:szCs w:val="21"/>
                <w:highlight w:val="none"/>
              </w:rPr>
            </w:pPr>
          </w:p>
        </w:tc>
        <w:tc>
          <w:tcPr>
            <w:tcW w:w="1855" w:type="dxa"/>
            <w:vAlign w:val="center"/>
          </w:tcPr>
          <w:p w14:paraId="7A72D48C">
            <w:pPr>
              <w:rPr>
                <w:rFonts w:hint="eastAsia" w:ascii="宋体" w:hAnsi="宋体" w:cs="宋体"/>
                <w:color w:val="auto"/>
                <w:szCs w:val="21"/>
                <w:highlight w:val="none"/>
              </w:rPr>
            </w:pPr>
          </w:p>
        </w:tc>
      </w:tr>
    </w:tbl>
    <w:p w14:paraId="13217507">
      <w:pPr>
        <w:spacing w:line="360" w:lineRule="auto"/>
        <w:ind w:left="735" w:hanging="735"/>
        <w:rPr>
          <w:rFonts w:hint="eastAsia" w:ascii="宋体" w:hAnsi="宋体" w:cs="宋体"/>
          <w:color w:val="auto"/>
          <w:szCs w:val="21"/>
          <w:highlight w:val="none"/>
        </w:rPr>
      </w:pPr>
      <w:r>
        <w:rPr>
          <w:rFonts w:hint="eastAsia" w:ascii="宋体" w:hAnsi="宋体" w:cs="宋体"/>
          <w:color w:val="auto"/>
          <w:szCs w:val="21"/>
          <w:highlight w:val="none"/>
        </w:rPr>
        <w:t>注：1、磋商响应单位应对照采购文件技术要求等要求，所投标的物（服务）与采购文件的规定有偏离的，应在此表中申明与技术要求条文的偏差和例外。</w:t>
      </w:r>
    </w:p>
    <w:p w14:paraId="65DD2FA8">
      <w:pPr>
        <w:spacing w:line="360" w:lineRule="auto"/>
        <w:ind w:left="735" w:hanging="315"/>
        <w:rPr>
          <w:rFonts w:hint="eastAsia" w:ascii="宋体" w:hAnsi="宋体" w:cs="宋体"/>
          <w:color w:val="auto"/>
          <w:szCs w:val="21"/>
          <w:highlight w:val="none"/>
        </w:rPr>
      </w:pPr>
      <w:r>
        <w:rPr>
          <w:rFonts w:hint="eastAsia" w:ascii="宋体" w:hAnsi="宋体" w:cs="宋体"/>
          <w:color w:val="auto"/>
          <w:szCs w:val="21"/>
          <w:highlight w:val="none"/>
        </w:rPr>
        <w:t>2、未在上表中说明的，如在响应文件其他内容中已有文字说明的，则以已有文字说明为准，否则，将被认为完全响应采购文件的规定。但该表不作为磋商响应单位对所投标的物（服务）关于技术要求等详细描述和说明的替代。</w:t>
      </w:r>
    </w:p>
    <w:p w14:paraId="78C12B83">
      <w:pPr>
        <w:spacing w:line="360" w:lineRule="auto"/>
        <w:rPr>
          <w:rFonts w:hint="eastAsia" w:ascii="宋体" w:hAnsi="宋体" w:cs="宋体"/>
          <w:color w:val="auto"/>
          <w:szCs w:val="21"/>
          <w:highlight w:val="none"/>
        </w:rPr>
      </w:pPr>
    </w:p>
    <w:p w14:paraId="32C963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磋商响应单位：（盖章）</w:t>
      </w:r>
    </w:p>
    <w:p w14:paraId="549D6E6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法定代表人或委托代理人：（签字或盖章）</w:t>
      </w:r>
    </w:p>
    <w:p w14:paraId="3C04FA81">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日期：        年    月    日</w:t>
      </w:r>
      <w:r>
        <w:rPr>
          <w:rFonts w:hint="eastAsia" w:ascii="宋体" w:hAnsi="宋体" w:cs="宋体"/>
          <w:b/>
          <w:color w:val="auto"/>
          <w:szCs w:val="21"/>
          <w:highlight w:val="none"/>
        </w:rPr>
        <w:br w:type="page" w:clear="all"/>
      </w:r>
      <w:r>
        <w:rPr>
          <w:rFonts w:hint="eastAsia" w:ascii="宋体" w:hAnsi="宋体" w:cs="宋体"/>
          <w:b/>
          <w:color w:val="auto"/>
          <w:szCs w:val="21"/>
          <w:highlight w:val="none"/>
        </w:rPr>
        <w:t>附件8：商务条款偏离表</w:t>
      </w:r>
    </w:p>
    <w:p w14:paraId="79965BAF">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商务条款偏离表</w:t>
      </w:r>
    </w:p>
    <w:p w14:paraId="02DB3047">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采购编号：</w:t>
      </w:r>
    </w:p>
    <w:tbl>
      <w:tblPr>
        <w:tblStyle w:val="47"/>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28"/>
        <w:gridCol w:w="2535"/>
        <w:gridCol w:w="2535"/>
        <w:gridCol w:w="1812"/>
      </w:tblGrid>
      <w:tr w14:paraId="060A32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0FE1AD87">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920" w:type="dxa"/>
            <w:vAlign w:val="center"/>
          </w:tcPr>
          <w:p w14:paraId="3DCB9088">
            <w:pPr>
              <w:jc w:val="center"/>
              <w:rPr>
                <w:rFonts w:hint="eastAsia" w:ascii="宋体" w:hAnsi="宋体" w:cs="宋体"/>
                <w:color w:val="auto"/>
                <w:szCs w:val="21"/>
                <w:highlight w:val="none"/>
              </w:rPr>
            </w:pPr>
            <w:r>
              <w:rPr>
                <w:rFonts w:hint="eastAsia" w:ascii="宋体" w:hAnsi="宋体" w:cs="宋体"/>
                <w:color w:val="auto"/>
                <w:szCs w:val="21"/>
                <w:highlight w:val="none"/>
              </w:rPr>
              <w:t>采购文件条目号</w:t>
            </w:r>
          </w:p>
        </w:tc>
        <w:tc>
          <w:tcPr>
            <w:tcW w:w="2400" w:type="dxa"/>
            <w:vAlign w:val="center"/>
          </w:tcPr>
          <w:p w14:paraId="3E1F734A">
            <w:pPr>
              <w:jc w:val="center"/>
              <w:rPr>
                <w:rFonts w:hint="eastAsia" w:ascii="宋体" w:hAnsi="宋体" w:cs="宋体"/>
                <w:color w:val="auto"/>
                <w:szCs w:val="21"/>
                <w:highlight w:val="none"/>
              </w:rPr>
            </w:pPr>
            <w:r>
              <w:rPr>
                <w:rFonts w:hint="eastAsia" w:ascii="宋体" w:hAnsi="宋体" w:cs="宋体"/>
                <w:color w:val="auto"/>
                <w:szCs w:val="21"/>
                <w:highlight w:val="none"/>
              </w:rPr>
              <w:t>采购文件的商务条款</w:t>
            </w:r>
          </w:p>
        </w:tc>
        <w:tc>
          <w:tcPr>
            <w:tcW w:w="2400" w:type="dxa"/>
            <w:vAlign w:val="center"/>
          </w:tcPr>
          <w:p w14:paraId="6A6829A0">
            <w:pPr>
              <w:jc w:val="center"/>
              <w:rPr>
                <w:rFonts w:hint="eastAsia" w:ascii="宋体" w:hAnsi="宋体" w:cs="宋体"/>
                <w:color w:val="auto"/>
                <w:szCs w:val="21"/>
                <w:highlight w:val="none"/>
              </w:rPr>
            </w:pPr>
            <w:r>
              <w:rPr>
                <w:rFonts w:hint="eastAsia" w:ascii="宋体" w:hAnsi="宋体" w:cs="宋体"/>
                <w:color w:val="auto"/>
                <w:szCs w:val="21"/>
                <w:highlight w:val="none"/>
              </w:rPr>
              <w:t>响应文件的商务条款</w:t>
            </w:r>
          </w:p>
        </w:tc>
        <w:tc>
          <w:tcPr>
            <w:tcW w:w="1716" w:type="dxa"/>
            <w:vAlign w:val="center"/>
          </w:tcPr>
          <w:p w14:paraId="344EF609">
            <w:pPr>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0DC24F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6B2B2C8D">
            <w:pPr>
              <w:rPr>
                <w:rFonts w:hint="eastAsia" w:ascii="宋体" w:hAnsi="宋体" w:cs="宋体"/>
                <w:color w:val="auto"/>
                <w:szCs w:val="21"/>
                <w:highlight w:val="none"/>
              </w:rPr>
            </w:pPr>
            <w:r>
              <w:rPr>
                <w:rFonts w:hint="eastAsia" w:ascii="宋体" w:hAnsi="宋体" w:cs="宋体"/>
                <w:color w:val="auto"/>
                <w:szCs w:val="21"/>
                <w:highlight w:val="none"/>
              </w:rPr>
              <w:t>1</w:t>
            </w:r>
          </w:p>
        </w:tc>
        <w:tc>
          <w:tcPr>
            <w:tcW w:w="1920" w:type="dxa"/>
            <w:vAlign w:val="center"/>
          </w:tcPr>
          <w:p w14:paraId="0EC8AFB8">
            <w:pPr>
              <w:rPr>
                <w:rFonts w:hint="eastAsia" w:ascii="宋体" w:hAnsi="宋体" w:cs="宋体"/>
                <w:color w:val="auto"/>
                <w:szCs w:val="21"/>
                <w:highlight w:val="none"/>
              </w:rPr>
            </w:pPr>
            <w:r>
              <w:rPr>
                <w:rFonts w:hint="eastAsia" w:ascii="宋体" w:hAnsi="宋体" w:cs="宋体"/>
                <w:color w:val="auto"/>
                <w:szCs w:val="21"/>
                <w:highlight w:val="none"/>
              </w:rPr>
              <w:t>服务期限</w:t>
            </w:r>
          </w:p>
        </w:tc>
        <w:tc>
          <w:tcPr>
            <w:tcW w:w="2400" w:type="dxa"/>
            <w:vAlign w:val="center"/>
          </w:tcPr>
          <w:p w14:paraId="39A52B6F">
            <w:pPr>
              <w:rPr>
                <w:rFonts w:hint="eastAsia" w:ascii="宋体" w:hAnsi="宋体" w:cs="宋体"/>
                <w:color w:val="auto"/>
                <w:szCs w:val="21"/>
                <w:highlight w:val="none"/>
              </w:rPr>
            </w:pPr>
          </w:p>
        </w:tc>
        <w:tc>
          <w:tcPr>
            <w:tcW w:w="2400" w:type="dxa"/>
            <w:vAlign w:val="center"/>
          </w:tcPr>
          <w:p w14:paraId="7EF6FA0A">
            <w:pPr>
              <w:rPr>
                <w:rFonts w:hint="eastAsia" w:ascii="宋体" w:hAnsi="宋体" w:cs="宋体"/>
                <w:color w:val="auto"/>
                <w:szCs w:val="21"/>
                <w:highlight w:val="none"/>
              </w:rPr>
            </w:pPr>
          </w:p>
        </w:tc>
        <w:tc>
          <w:tcPr>
            <w:tcW w:w="1716" w:type="dxa"/>
            <w:vAlign w:val="center"/>
          </w:tcPr>
          <w:p w14:paraId="4AB5931E">
            <w:pPr>
              <w:rPr>
                <w:rFonts w:hint="eastAsia" w:ascii="宋体" w:hAnsi="宋体" w:cs="宋体"/>
                <w:color w:val="auto"/>
                <w:szCs w:val="21"/>
                <w:highlight w:val="none"/>
              </w:rPr>
            </w:pPr>
          </w:p>
        </w:tc>
      </w:tr>
      <w:tr w14:paraId="7DE0D7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2F39BB46">
            <w:pPr>
              <w:rPr>
                <w:rFonts w:hint="eastAsia" w:ascii="宋体" w:hAnsi="宋体" w:cs="宋体"/>
                <w:color w:val="auto"/>
                <w:szCs w:val="21"/>
                <w:highlight w:val="none"/>
              </w:rPr>
            </w:pPr>
            <w:r>
              <w:rPr>
                <w:rFonts w:hint="eastAsia" w:ascii="宋体" w:hAnsi="宋体" w:cs="宋体"/>
                <w:color w:val="auto"/>
                <w:szCs w:val="21"/>
                <w:highlight w:val="none"/>
              </w:rPr>
              <w:t>2</w:t>
            </w:r>
          </w:p>
        </w:tc>
        <w:tc>
          <w:tcPr>
            <w:tcW w:w="1920" w:type="dxa"/>
            <w:vAlign w:val="center"/>
          </w:tcPr>
          <w:p w14:paraId="2DB84E37">
            <w:pPr>
              <w:rPr>
                <w:rFonts w:hint="eastAsia" w:ascii="宋体" w:hAnsi="宋体" w:cs="宋体"/>
                <w:color w:val="auto"/>
                <w:szCs w:val="21"/>
                <w:highlight w:val="none"/>
              </w:rPr>
            </w:pPr>
            <w:r>
              <w:rPr>
                <w:rFonts w:hint="eastAsia" w:ascii="宋体" w:hAnsi="宋体" w:cs="宋体"/>
                <w:color w:val="auto"/>
                <w:szCs w:val="21"/>
                <w:highlight w:val="none"/>
              </w:rPr>
              <w:t>付款步骤</w:t>
            </w:r>
          </w:p>
        </w:tc>
        <w:tc>
          <w:tcPr>
            <w:tcW w:w="2400" w:type="dxa"/>
            <w:vAlign w:val="center"/>
          </w:tcPr>
          <w:p w14:paraId="2AD530A5">
            <w:pPr>
              <w:rPr>
                <w:rFonts w:hint="eastAsia" w:ascii="宋体" w:hAnsi="宋体" w:cs="宋体"/>
                <w:color w:val="auto"/>
                <w:szCs w:val="21"/>
                <w:highlight w:val="none"/>
              </w:rPr>
            </w:pPr>
          </w:p>
        </w:tc>
        <w:tc>
          <w:tcPr>
            <w:tcW w:w="2400" w:type="dxa"/>
            <w:vAlign w:val="center"/>
          </w:tcPr>
          <w:p w14:paraId="6FBA6699">
            <w:pPr>
              <w:rPr>
                <w:rFonts w:hint="eastAsia" w:ascii="宋体" w:hAnsi="宋体" w:cs="宋体"/>
                <w:color w:val="auto"/>
                <w:szCs w:val="21"/>
                <w:highlight w:val="none"/>
              </w:rPr>
            </w:pPr>
          </w:p>
        </w:tc>
        <w:tc>
          <w:tcPr>
            <w:tcW w:w="1716" w:type="dxa"/>
            <w:vAlign w:val="center"/>
          </w:tcPr>
          <w:p w14:paraId="0009146F">
            <w:pPr>
              <w:rPr>
                <w:rFonts w:hint="eastAsia" w:ascii="宋体" w:hAnsi="宋体" w:cs="宋体"/>
                <w:color w:val="auto"/>
                <w:szCs w:val="21"/>
                <w:highlight w:val="none"/>
              </w:rPr>
            </w:pPr>
          </w:p>
        </w:tc>
      </w:tr>
      <w:tr w14:paraId="6E7CA8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4DE0EED5">
            <w:pPr>
              <w:rPr>
                <w:rFonts w:hint="eastAsia" w:ascii="宋体" w:hAnsi="宋体" w:cs="宋体"/>
                <w:color w:val="auto"/>
                <w:szCs w:val="21"/>
                <w:highlight w:val="none"/>
              </w:rPr>
            </w:pPr>
            <w:r>
              <w:rPr>
                <w:rFonts w:hint="eastAsia" w:ascii="宋体" w:hAnsi="宋体" w:cs="宋体"/>
                <w:color w:val="auto"/>
                <w:szCs w:val="21"/>
                <w:highlight w:val="none"/>
              </w:rPr>
              <w:t>3</w:t>
            </w:r>
          </w:p>
        </w:tc>
        <w:tc>
          <w:tcPr>
            <w:tcW w:w="1920" w:type="dxa"/>
            <w:vAlign w:val="center"/>
          </w:tcPr>
          <w:p w14:paraId="0FB6271C">
            <w:pPr>
              <w:rPr>
                <w:rFonts w:hint="eastAsia" w:ascii="宋体" w:hAnsi="宋体" w:cs="宋体"/>
                <w:color w:val="auto"/>
                <w:szCs w:val="21"/>
                <w:highlight w:val="none"/>
              </w:rPr>
            </w:pPr>
            <w:r>
              <w:rPr>
                <w:rFonts w:hint="eastAsia" w:ascii="宋体" w:hAnsi="宋体" w:cs="宋体"/>
                <w:color w:val="auto"/>
                <w:szCs w:val="21"/>
                <w:highlight w:val="none"/>
              </w:rPr>
              <w:t>合同条款</w:t>
            </w:r>
          </w:p>
        </w:tc>
        <w:tc>
          <w:tcPr>
            <w:tcW w:w="2400" w:type="dxa"/>
            <w:vAlign w:val="center"/>
          </w:tcPr>
          <w:p w14:paraId="3F9F3562">
            <w:pPr>
              <w:rPr>
                <w:rFonts w:hint="eastAsia" w:ascii="宋体" w:hAnsi="宋体" w:cs="宋体"/>
                <w:color w:val="auto"/>
                <w:szCs w:val="21"/>
                <w:highlight w:val="none"/>
              </w:rPr>
            </w:pPr>
          </w:p>
        </w:tc>
        <w:tc>
          <w:tcPr>
            <w:tcW w:w="2400" w:type="dxa"/>
            <w:vAlign w:val="center"/>
          </w:tcPr>
          <w:p w14:paraId="78F1842E">
            <w:pPr>
              <w:rPr>
                <w:rFonts w:hint="eastAsia" w:ascii="宋体" w:hAnsi="宋体" w:cs="宋体"/>
                <w:color w:val="auto"/>
                <w:szCs w:val="21"/>
                <w:highlight w:val="none"/>
              </w:rPr>
            </w:pPr>
          </w:p>
        </w:tc>
        <w:tc>
          <w:tcPr>
            <w:tcW w:w="1716" w:type="dxa"/>
            <w:vAlign w:val="center"/>
          </w:tcPr>
          <w:p w14:paraId="5BD35017">
            <w:pPr>
              <w:rPr>
                <w:rFonts w:hint="eastAsia" w:ascii="宋体" w:hAnsi="宋体" w:cs="宋体"/>
                <w:color w:val="auto"/>
                <w:szCs w:val="21"/>
                <w:highlight w:val="none"/>
              </w:rPr>
            </w:pPr>
          </w:p>
        </w:tc>
      </w:tr>
      <w:tr w14:paraId="698730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55E8E62F">
            <w:pPr>
              <w:rPr>
                <w:rFonts w:hint="eastAsia" w:ascii="宋体" w:hAnsi="宋体" w:cs="宋体"/>
                <w:color w:val="auto"/>
                <w:szCs w:val="21"/>
                <w:highlight w:val="none"/>
              </w:rPr>
            </w:pPr>
            <w:r>
              <w:rPr>
                <w:rFonts w:hint="eastAsia" w:ascii="宋体" w:hAnsi="宋体" w:cs="宋体"/>
                <w:color w:val="auto"/>
                <w:szCs w:val="21"/>
                <w:highlight w:val="none"/>
              </w:rPr>
              <w:t>4</w:t>
            </w:r>
          </w:p>
        </w:tc>
        <w:tc>
          <w:tcPr>
            <w:tcW w:w="1920" w:type="dxa"/>
            <w:vAlign w:val="center"/>
          </w:tcPr>
          <w:p w14:paraId="072D6D6C">
            <w:pPr>
              <w:rPr>
                <w:rFonts w:hint="eastAsia" w:ascii="宋体" w:hAnsi="宋体" w:cs="宋体"/>
                <w:color w:val="auto"/>
                <w:szCs w:val="21"/>
                <w:highlight w:val="none"/>
              </w:rPr>
            </w:pPr>
          </w:p>
        </w:tc>
        <w:tc>
          <w:tcPr>
            <w:tcW w:w="2400" w:type="dxa"/>
            <w:vAlign w:val="center"/>
          </w:tcPr>
          <w:p w14:paraId="3504EC4F">
            <w:pPr>
              <w:rPr>
                <w:rFonts w:hint="eastAsia" w:ascii="宋体" w:hAnsi="宋体" w:cs="宋体"/>
                <w:color w:val="auto"/>
                <w:szCs w:val="21"/>
                <w:highlight w:val="none"/>
              </w:rPr>
            </w:pPr>
          </w:p>
        </w:tc>
        <w:tc>
          <w:tcPr>
            <w:tcW w:w="2400" w:type="dxa"/>
            <w:vAlign w:val="center"/>
          </w:tcPr>
          <w:p w14:paraId="398BFB5F">
            <w:pPr>
              <w:rPr>
                <w:rFonts w:hint="eastAsia" w:ascii="宋体" w:hAnsi="宋体" w:cs="宋体"/>
                <w:color w:val="auto"/>
                <w:szCs w:val="21"/>
                <w:highlight w:val="none"/>
              </w:rPr>
            </w:pPr>
          </w:p>
        </w:tc>
        <w:tc>
          <w:tcPr>
            <w:tcW w:w="1716" w:type="dxa"/>
            <w:vAlign w:val="center"/>
          </w:tcPr>
          <w:p w14:paraId="50E97E9A">
            <w:pPr>
              <w:rPr>
                <w:rFonts w:hint="eastAsia" w:ascii="宋体" w:hAnsi="宋体" w:cs="宋体"/>
                <w:color w:val="auto"/>
                <w:szCs w:val="21"/>
                <w:highlight w:val="none"/>
              </w:rPr>
            </w:pPr>
          </w:p>
        </w:tc>
      </w:tr>
      <w:tr w14:paraId="26C60F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614E168C">
            <w:pPr>
              <w:rPr>
                <w:rFonts w:hint="eastAsia" w:ascii="宋体" w:hAnsi="宋体" w:cs="宋体"/>
                <w:color w:val="auto"/>
                <w:szCs w:val="21"/>
                <w:highlight w:val="none"/>
              </w:rPr>
            </w:pPr>
            <w:r>
              <w:rPr>
                <w:rFonts w:hint="eastAsia" w:ascii="宋体" w:hAnsi="宋体" w:cs="宋体"/>
                <w:color w:val="auto"/>
                <w:szCs w:val="21"/>
                <w:highlight w:val="none"/>
              </w:rPr>
              <w:t>...</w:t>
            </w:r>
          </w:p>
        </w:tc>
        <w:tc>
          <w:tcPr>
            <w:tcW w:w="1920" w:type="dxa"/>
            <w:vAlign w:val="center"/>
          </w:tcPr>
          <w:p w14:paraId="35649AB1">
            <w:pPr>
              <w:rPr>
                <w:rFonts w:hint="eastAsia" w:ascii="宋体" w:hAnsi="宋体" w:cs="宋体"/>
                <w:color w:val="auto"/>
                <w:szCs w:val="21"/>
                <w:highlight w:val="none"/>
              </w:rPr>
            </w:pPr>
          </w:p>
        </w:tc>
        <w:tc>
          <w:tcPr>
            <w:tcW w:w="2400" w:type="dxa"/>
            <w:vAlign w:val="center"/>
          </w:tcPr>
          <w:p w14:paraId="68E0EFA3">
            <w:pPr>
              <w:rPr>
                <w:rFonts w:hint="eastAsia" w:ascii="宋体" w:hAnsi="宋体" w:cs="宋体"/>
                <w:color w:val="auto"/>
                <w:szCs w:val="21"/>
                <w:highlight w:val="none"/>
              </w:rPr>
            </w:pPr>
          </w:p>
        </w:tc>
        <w:tc>
          <w:tcPr>
            <w:tcW w:w="2400" w:type="dxa"/>
            <w:vAlign w:val="center"/>
          </w:tcPr>
          <w:p w14:paraId="789FE6E1">
            <w:pPr>
              <w:rPr>
                <w:rFonts w:hint="eastAsia" w:ascii="宋体" w:hAnsi="宋体" w:cs="宋体"/>
                <w:color w:val="auto"/>
                <w:szCs w:val="21"/>
                <w:highlight w:val="none"/>
              </w:rPr>
            </w:pPr>
          </w:p>
        </w:tc>
        <w:tc>
          <w:tcPr>
            <w:tcW w:w="1716" w:type="dxa"/>
            <w:vAlign w:val="center"/>
          </w:tcPr>
          <w:p w14:paraId="5360BCEF">
            <w:pPr>
              <w:rPr>
                <w:rFonts w:hint="eastAsia" w:ascii="宋体" w:hAnsi="宋体" w:cs="宋体"/>
                <w:color w:val="auto"/>
                <w:szCs w:val="21"/>
                <w:highlight w:val="none"/>
              </w:rPr>
            </w:pPr>
          </w:p>
        </w:tc>
      </w:tr>
      <w:tr w14:paraId="45E96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40958BA2">
            <w:pPr>
              <w:rPr>
                <w:rFonts w:hint="eastAsia" w:ascii="宋体" w:hAnsi="宋体" w:cs="宋体"/>
                <w:color w:val="auto"/>
                <w:szCs w:val="21"/>
                <w:highlight w:val="none"/>
              </w:rPr>
            </w:pPr>
          </w:p>
        </w:tc>
        <w:tc>
          <w:tcPr>
            <w:tcW w:w="1920" w:type="dxa"/>
            <w:vAlign w:val="center"/>
          </w:tcPr>
          <w:p w14:paraId="6A88245F">
            <w:pPr>
              <w:rPr>
                <w:rFonts w:hint="eastAsia" w:ascii="宋体" w:hAnsi="宋体" w:cs="宋体"/>
                <w:color w:val="auto"/>
                <w:szCs w:val="21"/>
                <w:highlight w:val="none"/>
              </w:rPr>
            </w:pPr>
          </w:p>
        </w:tc>
        <w:tc>
          <w:tcPr>
            <w:tcW w:w="2400" w:type="dxa"/>
            <w:vAlign w:val="center"/>
          </w:tcPr>
          <w:p w14:paraId="14D85714">
            <w:pPr>
              <w:rPr>
                <w:rFonts w:hint="eastAsia" w:ascii="宋体" w:hAnsi="宋体" w:cs="宋体"/>
                <w:color w:val="auto"/>
                <w:szCs w:val="21"/>
                <w:highlight w:val="none"/>
              </w:rPr>
            </w:pPr>
          </w:p>
        </w:tc>
        <w:tc>
          <w:tcPr>
            <w:tcW w:w="2400" w:type="dxa"/>
            <w:vAlign w:val="center"/>
          </w:tcPr>
          <w:p w14:paraId="00276928">
            <w:pPr>
              <w:rPr>
                <w:rFonts w:hint="eastAsia" w:ascii="宋体" w:hAnsi="宋体" w:cs="宋体"/>
                <w:color w:val="auto"/>
                <w:szCs w:val="21"/>
                <w:highlight w:val="none"/>
              </w:rPr>
            </w:pPr>
          </w:p>
        </w:tc>
        <w:tc>
          <w:tcPr>
            <w:tcW w:w="1716" w:type="dxa"/>
            <w:vAlign w:val="center"/>
          </w:tcPr>
          <w:p w14:paraId="25CA0248">
            <w:pPr>
              <w:rPr>
                <w:rFonts w:hint="eastAsia" w:ascii="宋体" w:hAnsi="宋体" w:cs="宋体"/>
                <w:color w:val="auto"/>
                <w:szCs w:val="21"/>
                <w:highlight w:val="none"/>
              </w:rPr>
            </w:pPr>
          </w:p>
        </w:tc>
      </w:tr>
      <w:tr w14:paraId="2F1B8E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4C3D8436">
            <w:pPr>
              <w:rPr>
                <w:rFonts w:hint="eastAsia" w:ascii="宋体" w:hAnsi="宋体" w:cs="宋体"/>
                <w:color w:val="auto"/>
                <w:szCs w:val="21"/>
                <w:highlight w:val="none"/>
              </w:rPr>
            </w:pPr>
          </w:p>
        </w:tc>
        <w:tc>
          <w:tcPr>
            <w:tcW w:w="1920" w:type="dxa"/>
            <w:vAlign w:val="center"/>
          </w:tcPr>
          <w:p w14:paraId="5C6833CC">
            <w:pPr>
              <w:rPr>
                <w:rFonts w:hint="eastAsia" w:ascii="宋体" w:hAnsi="宋体" w:cs="宋体"/>
                <w:color w:val="auto"/>
                <w:szCs w:val="21"/>
                <w:highlight w:val="none"/>
              </w:rPr>
            </w:pPr>
          </w:p>
        </w:tc>
        <w:tc>
          <w:tcPr>
            <w:tcW w:w="2400" w:type="dxa"/>
            <w:vAlign w:val="center"/>
          </w:tcPr>
          <w:p w14:paraId="7987234A">
            <w:pPr>
              <w:rPr>
                <w:rFonts w:hint="eastAsia" w:ascii="宋体" w:hAnsi="宋体" w:cs="宋体"/>
                <w:color w:val="auto"/>
                <w:szCs w:val="21"/>
                <w:highlight w:val="none"/>
              </w:rPr>
            </w:pPr>
          </w:p>
        </w:tc>
        <w:tc>
          <w:tcPr>
            <w:tcW w:w="2400" w:type="dxa"/>
            <w:vAlign w:val="center"/>
          </w:tcPr>
          <w:p w14:paraId="6DAF8AAA">
            <w:pPr>
              <w:rPr>
                <w:rFonts w:hint="eastAsia" w:ascii="宋体" w:hAnsi="宋体" w:cs="宋体"/>
                <w:color w:val="auto"/>
                <w:szCs w:val="21"/>
                <w:highlight w:val="none"/>
              </w:rPr>
            </w:pPr>
          </w:p>
        </w:tc>
        <w:tc>
          <w:tcPr>
            <w:tcW w:w="1716" w:type="dxa"/>
            <w:vAlign w:val="center"/>
          </w:tcPr>
          <w:p w14:paraId="445AA58C">
            <w:pPr>
              <w:rPr>
                <w:rFonts w:hint="eastAsia" w:ascii="宋体" w:hAnsi="宋体" w:cs="宋体"/>
                <w:color w:val="auto"/>
                <w:szCs w:val="21"/>
                <w:highlight w:val="none"/>
              </w:rPr>
            </w:pPr>
          </w:p>
        </w:tc>
      </w:tr>
      <w:tr w14:paraId="1FA85C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78A77D64">
            <w:pPr>
              <w:rPr>
                <w:rFonts w:hint="eastAsia" w:ascii="宋体" w:hAnsi="宋体" w:cs="宋体"/>
                <w:color w:val="auto"/>
                <w:szCs w:val="21"/>
                <w:highlight w:val="none"/>
              </w:rPr>
            </w:pPr>
          </w:p>
        </w:tc>
        <w:tc>
          <w:tcPr>
            <w:tcW w:w="1920" w:type="dxa"/>
            <w:vAlign w:val="center"/>
          </w:tcPr>
          <w:p w14:paraId="0F785772">
            <w:pPr>
              <w:rPr>
                <w:rFonts w:hint="eastAsia" w:ascii="宋体" w:hAnsi="宋体" w:cs="宋体"/>
                <w:color w:val="auto"/>
                <w:szCs w:val="21"/>
                <w:highlight w:val="none"/>
              </w:rPr>
            </w:pPr>
          </w:p>
        </w:tc>
        <w:tc>
          <w:tcPr>
            <w:tcW w:w="2400" w:type="dxa"/>
            <w:vAlign w:val="center"/>
          </w:tcPr>
          <w:p w14:paraId="32F431BC">
            <w:pPr>
              <w:rPr>
                <w:rFonts w:hint="eastAsia" w:ascii="宋体" w:hAnsi="宋体" w:cs="宋体"/>
                <w:color w:val="auto"/>
                <w:szCs w:val="21"/>
                <w:highlight w:val="none"/>
              </w:rPr>
            </w:pPr>
          </w:p>
        </w:tc>
        <w:tc>
          <w:tcPr>
            <w:tcW w:w="2400" w:type="dxa"/>
            <w:vAlign w:val="center"/>
          </w:tcPr>
          <w:p w14:paraId="2661A85F">
            <w:pPr>
              <w:rPr>
                <w:rFonts w:hint="eastAsia" w:ascii="宋体" w:hAnsi="宋体" w:cs="宋体"/>
                <w:color w:val="auto"/>
                <w:szCs w:val="21"/>
                <w:highlight w:val="none"/>
              </w:rPr>
            </w:pPr>
          </w:p>
        </w:tc>
        <w:tc>
          <w:tcPr>
            <w:tcW w:w="1716" w:type="dxa"/>
            <w:vAlign w:val="center"/>
          </w:tcPr>
          <w:p w14:paraId="00EA77A5">
            <w:pPr>
              <w:rPr>
                <w:rFonts w:hint="eastAsia" w:ascii="宋体" w:hAnsi="宋体" w:cs="宋体"/>
                <w:color w:val="auto"/>
                <w:szCs w:val="21"/>
                <w:highlight w:val="none"/>
              </w:rPr>
            </w:pPr>
          </w:p>
        </w:tc>
      </w:tr>
      <w:tr w14:paraId="5B21BE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623CBE7B">
            <w:pPr>
              <w:rPr>
                <w:rFonts w:hint="eastAsia" w:ascii="宋体" w:hAnsi="宋体" w:cs="宋体"/>
                <w:color w:val="auto"/>
                <w:szCs w:val="21"/>
                <w:highlight w:val="none"/>
              </w:rPr>
            </w:pPr>
          </w:p>
        </w:tc>
        <w:tc>
          <w:tcPr>
            <w:tcW w:w="1920" w:type="dxa"/>
            <w:vAlign w:val="center"/>
          </w:tcPr>
          <w:p w14:paraId="71E15C19">
            <w:pPr>
              <w:rPr>
                <w:rFonts w:hint="eastAsia" w:ascii="宋体" w:hAnsi="宋体" w:cs="宋体"/>
                <w:color w:val="auto"/>
                <w:szCs w:val="21"/>
                <w:highlight w:val="none"/>
              </w:rPr>
            </w:pPr>
          </w:p>
        </w:tc>
        <w:tc>
          <w:tcPr>
            <w:tcW w:w="2400" w:type="dxa"/>
            <w:vAlign w:val="center"/>
          </w:tcPr>
          <w:p w14:paraId="1421D44A">
            <w:pPr>
              <w:rPr>
                <w:rFonts w:hint="eastAsia" w:ascii="宋体" w:hAnsi="宋体" w:cs="宋体"/>
                <w:color w:val="auto"/>
                <w:szCs w:val="21"/>
                <w:highlight w:val="none"/>
              </w:rPr>
            </w:pPr>
          </w:p>
        </w:tc>
        <w:tc>
          <w:tcPr>
            <w:tcW w:w="2400" w:type="dxa"/>
            <w:vAlign w:val="center"/>
          </w:tcPr>
          <w:p w14:paraId="57E3487A">
            <w:pPr>
              <w:rPr>
                <w:rFonts w:hint="eastAsia" w:ascii="宋体" w:hAnsi="宋体" w:cs="宋体"/>
                <w:color w:val="auto"/>
                <w:szCs w:val="21"/>
                <w:highlight w:val="none"/>
              </w:rPr>
            </w:pPr>
          </w:p>
        </w:tc>
        <w:tc>
          <w:tcPr>
            <w:tcW w:w="1716" w:type="dxa"/>
            <w:vAlign w:val="center"/>
          </w:tcPr>
          <w:p w14:paraId="6C14E463">
            <w:pPr>
              <w:rPr>
                <w:rFonts w:hint="eastAsia" w:ascii="宋体" w:hAnsi="宋体" w:cs="宋体"/>
                <w:color w:val="auto"/>
                <w:szCs w:val="21"/>
                <w:highlight w:val="none"/>
              </w:rPr>
            </w:pPr>
          </w:p>
        </w:tc>
      </w:tr>
      <w:tr w14:paraId="554B26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5DF8BC1C">
            <w:pPr>
              <w:rPr>
                <w:rFonts w:hint="eastAsia" w:ascii="宋体" w:hAnsi="宋体" w:cs="宋体"/>
                <w:color w:val="auto"/>
                <w:szCs w:val="21"/>
                <w:highlight w:val="none"/>
              </w:rPr>
            </w:pPr>
          </w:p>
        </w:tc>
        <w:tc>
          <w:tcPr>
            <w:tcW w:w="1920" w:type="dxa"/>
            <w:vAlign w:val="center"/>
          </w:tcPr>
          <w:p w14:paraId="761D75D0">
            <w:pPr>
              <w:rPr>
                <w:rFonts w:hint="eastAsia" w:ascii="宋体" w:hAnsi="宋体" w:cs="宋体"/>
                <w:color w:val="auto"/>
                <w:szCs w:val="21"/>
                <w:highlight w:val="none"/>
              </w:rPr>
            </w:pPr>
          </w:p>
        </w:tc>
        <w:tc>
          <w:tcPr>
            <w:tcW w:w="2400" w:type="dxa"/>
            <w:vAlign w:val="center"/>
          </w:tcPr>
          <w:p w14:paraId="6E4F666C">
            <w:pPr>
              <w:rPr>
                <w:rFonts w:hint="eastAsia" w:ascii="宋体" w:hAnsi="宋体" w:cs="宋体"/>
                <w:color w:val="auto"/>
                <w:szCs w:val="21"/>
                <w:highlight w:val="none"/>
              </w:rPr>
            </w:pPr>
          </w:p>
        </w:tc>
        <w:tc>
          <w:tcPr>
            <w:tcW w:w="2400" w:type="dxa"/>
            <w:vAlign w:val="center"/>
          </w:tcPr>
          <w:p w14:paraId="73678C36">
            <w:pPr>
              <w:rPr>
                <w:rFonts w:hint="eastAsia" w:ascii="宋体" w:hAnsi="宋体" w:cs="宋体"/>
                <w:color w:val="auto"/>
                <w:szCs w:val="21"/>
                <w:highlight w:val="none"/>
              </w:rPr>
            </w:pPr>
          </w:p>
        </w:tc>
        <w:tc>
          <w:tcPr>
            <w:tcW w:w="1716" w:type="dxa"/>
            <w:vAlign w:val="center"/>
          </w:tcPr>
          <w:p w14:paraId="51BDFB08">
            <w:pPr>
              <w:rPr>
                <w:rFonts w:hint="eastAsia" w:ascii="宋体" w:hAnsi="宋体" w:cs="宋体"/>
                <w:color w:val="auto"/>
                <w:szCs w:val="21"/>
                <w:highlight w:val="none"/>
              </w:rPr>
            </w:pPr>
          </w:p>
        </w:tc>
      </w:tr>
    </w:tbl>
    <w:p w14:paraId="5442BC26">
      <w:pPr>
        <w:spacing w:line="360" w:lineRule="auto"/>
        <w:ind w:left="420" w:hanging="420"/>
        <w:rPr>
          <w:rFonts w:hint="eastAsia" w:ascii="宋体" w:hAnsi="宋体" w:cs="宋体"/>
          <w:color w:val="auto"/>
          <w:szCs w:val="21"/>
          <w:highlight w:val="none"/>
        </w:rPr>
      </w:pPr>
      <w:r>
        <w:rPr>
          <w:rFonts w:hint="eastAsia" w:ascii="宋体" w:hAnsi="宋体" w:cs="宋体"/>
          <w:color w:val="auto"/>
          <w:szCs w:val="21"/>
          <w:highlight w:val="none"/>
        </w:rPr>
        <w:t>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p>
    <w:p w14:paraId="2F6D6667">
      <w:pPr>
        <w:spacing w:line="360" w:lineRule="auto"/>
        <w:rPr>
          <w:rFonts w:hint="eastAsia" w:ascii="宋体" w:hAnsi="宋体" w:cs="宋体"/>
          <w:color w:val="auto"/>
          <w:szCs w:val="21"/>
          <w:highlight w:val="none"/>
        </w:rPr>
      </w:pPr>
    </w:p>
    <w:p w14:paraId="441150D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磋商响应单位：（盖章）</w:t>
      </w:r>
    </w:p>
    <w:p w14:paraId="0E69F26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法定代表人或委托代理人：（签字或盖章）</w:t>
      </w:r>
    </w:p>
    <w:p w14:paraId="10DFE47A">
      <w:pPr>
        <w:widowControl/>
        <w:spacing w:line="360" w:lineRule="auto"/>
        <w:jc w:val="left"/>
        <w:rPr>
          <w:rFonts w:hint="eastAsia" w:ascii="宋体" w:hAnsi="宋体" w:cs="宋体"/>
          <w:color w:val="auto"/>
          <w:szCs w:val="21"/>
          <w:highlight w:val="none"/>
        </w:rPr>
        <w:sectPr>
          <w:pgSz w:w="11906" w:h="16838"/>
          <w:pgMar w:top="1134" w:right="1134" w:bottom="1134" w:left="1134" w:header="680" w:footer="680" w:gutter="0"/>
          <w:cols w:space="720" w:num="1"/>
          <w:docGrid w:linePitch="360" w:charSpace="0"/>
        </w:sectPr>
      </w:pPr>
      <w:r>
        <w:rPr>
          <w:rFonts w:hint="eastAsia" w:ascii="宋体" w:hAnsi="宋体" w:cs="宋体"/>
          <w:color w:val="auto"/>
          <w:szCs w:val="21"/>
          <w:highlight w:val="none"/>
        </w:rPr>
        <w:t>日期：        年    月    日</w:t>
      </w:r>
    </w:p>
    <w:p w14:paraId="272552E1">
      <w:pPr>
        <w:pageBreakBefore/>
        <w:spacing w:line="360" w:lineRule="auto"/>
        <w:outlineLvl w:val="1"/>
        <w:rPr>
          <w:rFonts w:hint="eastAsia" w:ascii="宋体" w:hAnsi="宋体" w:cs="宋体"/>
          <w:b/>
          <w:color w:val="auto"/>
          <w:highlight w:val="none"/>
        </w:rPr>
      </w:pPr>
      <w:r>
        <w:rPr>
          <w:rFonts w:hint="eastAsia" w:ascii="宋体" w:hAnsi="宋体" w:cs="宋体"/>
          <w:b/>
          <w:color w:val="auto"/>
          <w:highlight w:val="none"/>
        </w:rPr>
        <w:t>附件9：投标（响应）保证承诺书</w:t>
      </w:r>
    </w:p>
    <w:p w14:paraId="5969E712">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投标（响应）保证承诺书</w:t>
      </w:r>
    </w:p>
    <w:p w14:paraId="436DC3D7">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（采购代理机构名称）</w:t>
      </w:r>
    </w:p>
    <w:p w14:paraId="237E4707">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的投标（响应），并做出如下承诺：</w:t>
      </w:r>
    </w:p>
    <w:p w14:paraId="69692D92">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一、除不可抗力外，我单位如果发生以下行为，将在行为发生的10个工作日内，向贵方</w:t>
      </w:r>
      <w:r>
        <w:rPr>
          <w:rFonts w:hint="eastAsia" w:ascii="宋体" w:hAnsi="宋体" w:cs="宋体"/>
          <w:color w:val="auto"/>
          <w:szCs w:val="21"/>
          <w:highlight w:val="none"/>
          <w:u w:val="single"/>
        </w:rPr>
        <w:t>（或采购人）</w:t>
      </w:r>
      <w:r>
        <w:rPr>
          <w:rFonts w:hint="eastAsia" w:ascii="宋体" w:hAnsi="宋体" w:cs="宋体"/>
          <w:color w:val="auto"/>
          <w:szCs w:val="21"/>
          <w:highlight w:val="none"/>
        </w:rPr>
        <w:t>支付本采购文件公布的预算金额（或最高限价）的2%作为违约赔偿金（数量不确定的单价采购须约定具体金额）。</w:t>
      </w:r>
    </w:p>
    <w:p w14:paraId="12401E93">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1.自投标（响应）截止时间至本项目发布中标（成交）公告为止，撤销投标（响应）；</w:t>
      </w:r>
    </w:p>
    <w:p w14:paraId="5C0C41F0">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2.中标（成交）后不依法与采购人签订合同；</w:t>
      </w:r>
    </w:p>
    <w:p w14:paraId="10708CF4">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3.中标（成交）后不按本采购文件规定向采购人提交履约保证金（如有）；</w:t>
      </w:r>
    </w:p>
    <w:p w14:paraId="683CA6A6">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4.中标（成交）后不按本采购文件规定向贵方缴纳采购代理费。</w:t>
      </w:r>
    </w:p>
    <w:p w14:paraId="0999DC4C">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二、我单位知晓上述行为的法律后果，承认本承诺书作为贵方</w:t>
      </w:r>
      <w:r>
        <w:rPr>
          <w:rFonts w:hint="eastAsia" w:ascii="宋体" w:hAnsi="宋体" w:cs="宋体"/>
          <w:color w:val="auto"/>
          <w:szCs w:val="21"/>
          <w:highlight w:val="none"/>
          <w:u w:val="single"/>
        </w:rPr>
        <w:t>（或采购人）</w:t>
      </w:r>
      <w:r>
        <w:rPr>
          <w:rFonts w:hint="eastAsia" w:ascii="宋体" w:hAnsi="宋体" w:cs="宋体"/>
          <w:color w:val="auto"/>
          <w:szCs w:val="21"/>
          <w:highlight w:val="none"/>
        </w:rPr>
        <w:t>要求我单位履行违约赔偿义务的依据作用。</w:t>
      </w:r>
    </w:p>
    <w:p w14:paraId="0A04A587">
      <w:pPr>
        <w:widowControl/>
        <w:spacing w:line="360" w:lineRule="auto"/>
        <w:jc w:val="left"/>
        <w:rPr>
          <w:rFonts w:hint="eastAsia" w:ascii="宋体" w:hAnsi="宋体" w:cs="宋体"/>
          <w:color w:val="auto"/>
          <w:szCs w:val="21"/>
          <w:highlight w:val="none"/>
        </w:rPr>
      </w:pPr>
    </w:p>
    <w:p w14:paraId="0CDFDC27">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投标（响应）人（盖公章）：</w:t>
      </w:r>
    </w:p>
    <w:p w14:paraId="7C0EE137">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地址：</w:t>
      </w:r>
    </w:p>
    <w:p w14:paraId="1778B6A0">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电话：</w:t>
      </w:r>
    </w:p>
    <w:p w14:paraId="63D5EFC1">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传真：</w:t>
      </w:r>
    </w:p>
    <w:p w14:paraId="3ED6B6C3">
      <w:pPr>
        <w:widowControl/>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电子邮件：</w:t>
      </w:r>
    </w:p>
    <w:p w14:paraId="69253A62">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邮编：</w:t>
      </w:r>
    </w:p>
    <w:p w14:paraId="2C5D8BE1">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法定代表人或委托代理人(签字或签章)：</w:t>
      </w:r>
    </w:p>
    <w:p w14:paraId="54BD98D1">
      <w:pPr>
        <w:widowControl/>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14:paraId="54DC1A0D">
      <w:pPr>
        <w:pStyle w:val="46"/>
        <w:rPr>
          <w:rFonts w:hint="eastAsia" w:ascii="宋体" w:hAnsi="宋体" w:cs="宋体"/>
          <w:color w:val="auto"/>
          <w:szCs w:val="21"/>
          <w:highlight w:val="none"/>
        </w:rPr>
        <w:sectPr>
          <w:pgSz w:w="11906" w:h="16838"/>
          <w:pgMar w:top="1134" w:right="1134" w:bottom="1134" w:left="1134" w:header="680" w:footer="680" w:gutter="0"/>
          <w:cols w:space="720" w:num="1"/>
          <w:docGrid w:linePitch="360" w:charSpace="0"/>
        </w:sectPr>
      </w:pPr>
    </w:p>
    <w:p w14:paraId="2C31B614">
      <w:pPr>
        <w:spacing w:line="360" w:lineRule="auto"/>
        <w:rPr>
          <w:rFonts w:hint="eastAsia" w:ascii="宋体" w:hAnsi="宋体" w:cs="宋体"/>
          <w:b/>
          <w:color w:val="auto"/>
          <w:highlight w:val="none"/>
        </w:rPr>
      </w:pPr>
      <w:r>
        <w:rPr>
          <w:rFonts w:hint="eastAsia" w:ascii="宋体" w:hAnsi="宋体" w:cs="宋体"/>
          <w:b/>
          <w:color w:val="auto"/>
          <w:highlight w:val="none"/>
        </w:rPr>
        <w:t>附件10：针对本项目的人员配置表</w:t>
      </w:r>
    </w:p>
    <w:p w14:paraId="730F6DFF">
      <w:pPr>
        <w:spacing w:line="360" w:lineRule="auto"/>
        <w:jc w:val="center"/>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t>针对本项目的人员配置表</w:t>
      </w:r>
    </w:p>
    <w:p w14:paraId="26DDD78D">
      <w:pPr>
        <w:spacing w:line="360" w:lineRule="auto"/>
        <w:jc w:val="left"/>
        <w:rPr>
          <w:rFonts w:hint="eastAsia" w:ascii="宋体" w:hAnsi="宋体" w:cs="宋体"/>
          <w:color w:val="auto"/>
          <w:szCs w:val="21"/>
          <w:highlight w:val="none"/>
        </w:rPr>
      </w:pPr>
    </w:p>
    <w:p w14:paraId="20C8D8E3">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采购编号：</w:t>
      </w:r>
    </w:p>
    <w:tbl>
      <w:tblPr>
        <w:tblStyle w:val="47"/>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652"/>
        <w:gridCol w:w="1059"/>
        <w:gridCol w:w="1034"/>
        <w:gridCol w:w="869"/>
        <w:gridCol w:w="1764"/>
        <w:gridCol w:w="1116"/>
        <w:gridCol w:w="1458"/>
      </w:tblGrid>
      <w:tr w14:paraId="2887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5" w:type="dxa"/>
            <w:vAlign w:val="center"/>
          </w:tcPr>
          <w:p w14:paraId="55CD307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52" w:type="dxa"/>
            <w:vAlign w:val="center"/>
          </w:tcPr>
          <w:p w14:paraId="4CB2042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岗位</w:t>
            </w:r>
          </w:p>
        </w:tc>
        <w:tc>
          <w:tcPr>
            <w:tcW w:w="1059" w:type="dxa"/>
            <w:vAlign w:val="center"/>
          </w:tcPr>
          <w:p w14:paraId="4B382C4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34" w:type="dxa"/>
            <w:vAlign w:val="center"/>
          </w:tcPr>
          <w:p w14:paraId="4470E960">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869" w:type="dxa"/>
            <w:vAlign w:val="center"/>
          </w:tcPr>
          <w:p w14:paraId="78D149C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1764" w:type="dxa"/>
            <w:vAlign w:val="center"/>
          </w:tcPr>
          <w:p w14:paraId="0C78DC72">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1116" w:type="dxa"/>
            <w:vAlign w:val="center"/>
          </w:tcPr>
          <w:p w14:paraId="28B3BCC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1458" w:type="dxa"/>
            <w:vAlign w:val="center"/>
          </w:tcPr>
          <w:p w14:paraId="127E5777">
            <w:pPr>
              <w:jc w:val="center"/>
              <w:rPr>
                <w:rFonts w:hint="eastAsia" w:ascii="宋体" w:hAnsi="宋体" w:cs="宋体"/>
                <w:color w:val="auto"/>
                <w:szCs w:val="21"/>
                <w:highlight w:val="none"/>
              </w:rPr>
            </w:pPr>
            <w:r>
              <w:rPr>
                <w:rFonts w:hint="eastAsia" w:ascii="宋体" w:hAnsi="宋体" w:cs="宋体"/>
                <w:color w:val="auto"/>
                <w:szCs w:val="21"/>
                <w:highlight w:val="none"/>
              </w:rPr>
              <w:t>专业/资格</w:t>
            </w:r>
          </w:p>
        </w:tc>
      </w:tr>
      <w:tr w14:paraId="28F0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09AD79A5">
            <w:pPr>
              <w:jc w:val="center"/>
              <w:rPr>
                <w:rFonts w:hint="eastAsia" w:ascii="宋体" w:hAnsi="宋体" w:cs="宋体"/>
                <w:color w:val="auto"/>
                <w:szCs w:val="21"/>
                <w:highlight w:val="none"/>
              </w:rPr>
            </w:pPr>
          </w:p>
        </w:tc>
        <w:tc>
          <w:tcPr>
            <w:tcW w:w="1652" w:type="dxa"/>
            <w:vAlign w:val="center"/>
          </w:tcPr>
          <w:p w14:paraId="1C439FDC">
            <w:pPr>
              <w:jc w:val="center"/>
              <w:rPr>
                <w:rFonts w:hint="eastAsia" w:ascii="宋体" w:hAnsi="宋体" w:cs="宋体"/>
                <w:color w:val="auto"/>
                <w:szCs w:val="21"/>
                <w:highlight w:val="none"/>
              </w:rPr>
            </w:pPr>
          </w:p>
        </w:tc>
        <w:tc>
          <w:tcPr>
            <w:tcW w:w="1059" w:type="dxa"/>
            <w:vAlign w:val="center"/>
          </w:tcPr>
          <w:p w14:paraId="7AD18620">
            <w:pPr>
              <w:jc w:val="center"/>
              <w:rPr>
                <w:rFonts w:hint="eastAsia" w:ascii="宋体" w:hAnsi="宋体" w:cs="宋体"/>
                <w:color w:val="auto"/>
                <w:szCs w:val="21"/>
                <w:highlight w:val="none"/>
              </w:rPr>
            </w:pPr>
          </w:p>
        </w:tc>
        <w:tc>
          <w:tcPr>
            <w:tcW w:w="1034" w:type="dxa"/>
            <w:vAlign w:val="center"/>
          </w:tcPr>
          <w:p w14:paraId="7ECBB87F">
            <w:pPr>
              <w:jc w:val="center"/>
              <w:rPr>
                <w:rFonts w:hint="eastAsia" w:ascii="宋体" w:hAnsi="宋体" w:cs="宋体"/>
                <w:color w:val="auto"/>
                <w:szCs w:val="21"/>
                <w:highlight w:val="none"/>
              </w:rPr>
            </w:pPr>
          </w:p>
        </w:tc>
        <w:tc>
          <w:tcPr>
            <w:tcW w:w="869" w:type="dxa"/>
            <w:vAlign w:val="center"/>
          </w:tcPr>
          <w:p w14:paraId="64038763">
            <w:pPr>
              <w:jc w:val="center"/>
              <w:rPr>
                <w:rFonts w:hint="eastAsia" w:ascii="宋体" w:hAnsi="宋体" w:cs="宋体"/>
                <w:color w:val="auto"/>
                <w:szCs w:val="21"/>
                <w:highlight w:val="none"/>
              </w:rPr>
            </w:pPr>
          </w:p>
        </w:tc>
        <w:tc>
          <w:tcPr>
            <w:tcW w:w="1764" w:type="dxa"/>
            <w:vAlign w:val="center"/>
          </w:tcPr>
          <w:p w14:paraId="780BB761">
            <w:pPr>
              <w:jc w:val="center"/>
              <w:rPr>
                <w:rFonts w:hint="eastAsia" w:ascii="宋体" w:hAnsi="宋体" w:cs="宋体"/>
                <w:color w:val="auto"/>
                <w:szCs w:val="21"/>
                <w:highlight w:val="none"/>
              </w:rPr>
            </w:pPr>
          </w:p>
        </w:tc>
        <w:tc>
          <w:tcPr>
            <w:tcW w:w="1116" w:type="dxa"/>
            <w:vAlign w:val="center"/>
          </w:tcPr>
          <w:p w14:paraId="629D33A8">
            <w:pPr>
              <w:jc w:val="center"/>
              <w:rPr>
                <w:rFonts w:hint="eastAsia" w:ascii="宋体" w:hAnsi="宋体" w:cs="宋体"/>
                <w:color w:val="auto"/>
                <w:szCs w:val="21"/>
                <w:highlight w:val="none"/>
              </w:rPr>
            </w:pPr>
          </w:p>
        </w:tc>
        <w:tc>
          <w:tcPr>
            <w:tcW w:w="1458" w:type="dxa"/>
            <w:vAlign w:val="center"/>
          </w:tcPr>
          <w:p w14:paraId="43292FCB">
            <w:pPr>
              <w:jc w:val="center"/>
              <w:rPr>
                <w:rFonts w:hint="eastAsia" w:ascii="宋体" w:hAnsi="宋体" w:cs="宋体"/>
                <w:color w:val="auto"/>
                <w:szCs w:val="21"/>
                <w:highlight w:val="none"/>
              </w:rPr>
            </w:pPr>
          </w:p>
        </w:tc>
      </w:tr>
      <w:tr w14:paraId="2533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5DE4658D">
            <w:pPr>
              <w:jc w:val="center"/>
              <w:rPr>
                <w:rFonts w:hint="eastAsia" w:ascii="宋体" w:hAnsi="宋体" w:cs="宋体"/>
                <w:color w:val="auto"/>
                <w:szCs w:val="21"/>
                <w:highlight w:val="none"/>
              </w:rPr>
            </w:pPr>
          </w:p>
        </w:tc>
        <w:tc>
          <w:tcPr>
            <w:tcW w:w="1652" w:type="dxa"/>
            <w:vAlign w:val="center"/>
          </w:tcPr>
          <w:p w14:paraId="2E8FC41D">
            <w:pPr>
              <w:jc w:val="center"/>
              <w:rPr>
                <w:rFonts w:hint="eastAsia" w:ascii="宋体" w:hAnsi="宋体" w:cs="宋体"/>
                <w:color w:val="auto"/>
                <w:szCs w:val="21"/>
                <w:highlight w:val="none"/>
              </w:rPr>
            </w:pPr>
          </w:p>
        </w:tc>
        <w:tc>
          <w:tcPr>
            <w:tcW w:w="1059" w:type="dxa"/>
            <w:vAlign w:val="center"/>
          </w:tcPr>
          <w:p w14:paraId="658BC90B">
            <w:pPr>
              <w:jc w:val="center"/>
              <w:rPr>
                <w:rFonts w:hint="eastAsia" w:ascii="宋体" w:hAnsi="宋体" w:cs="宋体"/>
                <w:color w:val="auto"/>
                <w:szCs w:val="21"/>
                <w:highlight w:val="none"/>
              </w:rPr>
            </w:pPr>
          </w:p>
        </w:tc>
        <w:tc>
          <w:tcPr>
            <w:tcW w:w="1034" w:type="dxa"/>
            <w:vAlign w:val="center"/>
          </w:tcPr>
          <w:p w14:paraId="78B79F46">
            <w:pPr>
              <w:jc w:val="center"/>
              <w:rPr>
                <w:rFonts w:hint="eastAsia" w:ascii="宋体" w:hAnsi="宋体" w:cs="宋体"/>
                <w:color w:val="auto"/>
                <w:szCs w:val="21"/>
                <w:highlight w:val="none"/>
              </w:rPr>
            </w:pPr>
          </w:p>
        </w:tc>
        <w:tc>
          <w:tcPr>
            <w:tcW w:w="869" w:type="dxa"/>
            <w:vAlign w:val="center"/>
          </w:tcPr>
          <w:p w14:paraId="59AD1AC6">
            <w:pPr>
              <w:jc w:val="center"/>
              <w:rPr>
                <w:rFonts w:hint="eastAsia" w:ascii="宋体" w:hAnsi="宋体" w:cs="宋体"/>
                <w:color w:val="auto"/>
                <w:szCs w:val="21"/>
                <w:highlight w:val="none"/>
              </w:rPr>
            </w:pPr>
          </w:p>
        </w:tc>
        <w:tc>
          <w:tcPr>
            <w:tcW w:w="1764" w:type="dxa"/>
            <w:vAlign w:val="center"/>
          </w:tcPr>
          <w:p w14:paraId="1724091D">
            <w:pPr>
              <w:jc w:val="center"/>
              <w:rPr>
                <w:rFonts w:hint="eastAsia" w:ascii="宋体" w:hAnsi="宋体" w:cs="宋体"/>
                <w:color w:val="auto"/>
                <w:szCs w:val="21"/>
                <w:highlight w:val="none"/>
              </w:rPr>
            </w:pPr>
          </w:p>
        </w:tc>
        <w:tc>
          <w:tcPr>
            <w:tcW w:w="1116" w:type="dxa"/>
            <w:vAlign w:val="center"/>
          </w:tcPr>
          <w:p w14:paraId="1B952BF1">
            <w:pPr>
              <w:jc w:val="center"/>
              <w:rPr>
                <w:rFonts w:hint="eastAsia" w:ascii="宋体" w:hAnsi="宋体" w:cs="宋体"/>
                <w:color w:val="auto"/>
                <w:szCs w:val="21"/>
                <w:highlight w:val="none"/>
              </w:rPr>
            </w:pPr>
          </w:p>
        </w:tc>
        <w:tc>
          <w:tcPr>
            <w:tcW w:w="1458" w:type="dxa"/>
            <w:vAlign w:val="center"/>
          </w:tcPr>
          <w:p w14:paraId="059E566C">
            <w:pPr>
              <w:jc w:val="center"/>
              <w:rPr>
                <w:rFonts w:hint="eastAsia" w:ascii="宋体" w:hAnsi="宋体" w:cs="宋体"/>
                <w:color w:val="auto"/>
                <w:szCs w:val="21"/>
                <w:highlight w:val="none"/>
              </w:rPr>
            </w:pPr>
          </w:p>
        </w:tc>
      </w:tr>
      <w:tr w14:paraId="612E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20033BF7">
            <w:pPr>
              <w:jc w:val="center"/>
              <w:rPr>
                <w:rFonts w:hint="eastAsia" w:ascii="宋体" w:hAnsi="宋体" w:cs="宋体"/>
                <w:color w:val="auto"/>
                <w:szCs w:val="21"/>
                <w:highlight w:val="none"/>
              </w:rPr>
            </w:pPr>
          </w:p>
        </w:tc>
        <w:tc>
          <w:tcPr>
            <w:tcW w:w="1652" w:type="dxa"/>
            <w:vAlign w:val="center"/>
          </w:tcPr>
          <w:p w14:paraId="34AA3E25">
            <w:pPr>
              <w:jc w:val="center"/>
              <w:rPr>
                <w:rFonts w:hint="eastAsia" w:ascii="宋体" w:hAnsi="宋体" w:cs="宋体"/>
                <w:color w:val="auto"/>
                <w:szCs w:val="21"/>
                <w:highlight w:val="none"/>
              </w:rPr>
            </w:pPr>
          </w:p>
        </w:tc>
        <w:tc>
          <w:tcPr>
            <w:tcW w:w="1059" w:type="dxa"/>
            <w:vAlign w:val="center"/>
          </w:tcPr>
          <w:p w14:paraId="118B8F8D">
            <w:pPr>
              <w:jc w:val="center"/>
              <w:rPr>
                <w:rFonts w:hint="eastAsia" w:ascii="宋体" w:hAnsi="宋体" w:cs="宋体"/>
                <w:color w:val="auto"/>
                <w:szCs w:val="21"/>
                <w:highlight w:val="none"/>
              </w:rPr>
            </w:pPr>
          </w:p>
        </w:tc>
        <w:tc>
          <w:tcPr>
            <w:tcW w:w="1034" w:type="dxa"/>
            <w:vAlign w:val="center"/>
          </w:tcPr>
          <w:p w14:paraId="68BCEE14">
            <w:pPr>
              <w:jc w:val="center"/>
              <w:rPr>
                <w:rFonts w:hint="eastAsia" w:ascii="宋体" w:hAnsi="宋体" w:cs="宋体"/>
                <w:color w:val="auto"/>
                <w:szCs w:val="21"/>
                <w:highlight w:val="none"/>
              </w:rPr>
            </w:pPr>
          </w:p>
        </w:tc>
        <w:tc>
          <w:tcPr>
            <w:tcW w:w="869" w:type="dxa"/>
            <w:vAlign w:val="center"/>
          </w:tcPr>
          <w:p w14:paraId="1BD23ED9">
            <w:pPr>
              <w:jc w:val="center"/>
              <w:rPr>
                <w:rFonts w:hint="eastAsia" w:ascii="宋体" w:hAnsi="宋体" w:cs="宋体"/>
                <w:color w:val="auto"/>
                <w:szCs w:val="21"/>
                <w:highlight w:val="none"/>
              </w:rPr>
            </w:pPr>
          </w:p>
        </w:tc>
        <w:tc>
          <w:tcPr>
            <w:tcW w:w="1764" w:type="dxa"/>
            <w:vAlign w:val="center"/>
          </w:tcPr>
          <w:p w14:paraId="664A1794">
            <w:pPr>
              <w:jc w:val="center"/>
              <w:rPr>
                <w:rFonts w:hint="eastAsia" w:ascii="宋体" w:hAnsi="宋体" w:cs="宋体"/>
                <w:color w:val="auto"/>
                <w:szCs w:val="21"/>
                <w:highlight w:val="none"/>
              </w:rPr>
            </w:pPr>
          </w:p>
        </w:tc>
        <w:tc>
          <w:tcPr>
            <w:tcW w:w="1116" w:type="dxa"/>
            <w:vAlign w:val="center"/>
          </w:tcPr>
          <w:p w14:paraId="6F259711">
            <w:pPr>
              <w:jc w:val="center"/>
              <w:rPr>
                <w:rFonts w:hint="eastAsia" w:ascii="宋体" w:hAnsi="宋体" w:cs="宋体"/>
                <w:color w:val="auto"/>
                <w:szCs w:val="21"/>
                <w:highlight w:val="none"/>
              </w:rPr>
            </w:pPr>
          </w:p>
        </w:tc>
        <w:tc>
          <w:tcPr>
            <w:tcW w:w="1458" w:type="dxa"/>
            <w:vAlign w:val="center"/>
          </w:tcPr>
          <w:p w14:paraId="4A8450E1">
            <w:pPr>
              <w:jc w:val="center"/>
              <w:rPr>
                <w:rFonts w:hint="eastAsia" w:ascii="宋体" w:hAnsi="宋体" w:cs="宋体"/>
                <w:color w:val="auto"/>
                <w:szCs w:val="21"/>
                <w:highlight w:val="none"/>
              </w:rPr>
            </w:pPr>
          </w:p>
        </w:tc>
      </w:tr>
      <w:tr w14:paraId="1C18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6933704A">
            <w:pPr>
              <w:jc w:val="center"/>
              <w:rPr>
                <w:rFonts w:hint="eastAsia" w:ascii="宋体" w:hAnsi="宋体" w:cs="宋体"/>
                <w:color w:val="auto"/>
                <w:szCs w:val="21"/>
                <w:highlight w:val="none"/>
              </w:rPr>
            </w:pPr>
          </w:p>
        </w:tc>
        <w:tc>
          <w:tcPr>
            <w:tcW w:w="1652" w:type="dxa"/>
            <w:vAlign w:val="center"/>
          </w:tcPr>
          <w:p w14:paraId="4324CEE2">
            <w:pPr>
              <w:jc w:val="center"/>
              <w:rPr>
                <w:rFonts w:hint="eastAsia" w:ascii="宋体" w:hAnsi="宋体" w:cs="宋体"/>
                <w:color w:val="auto"/>
                <w:szCs w:val="21"/>
                <w:highlight w:val="none"/>
              </w:rPr>
            </w:pPr>
          </w:p>
        </w:tc>
        <w:tc>
          <w:tcPr>
            <w:tcW w:w="1059" w:type="dxa"/>
            <w:vAlign w:val="center"/>
          </w:tcPr>
          <w:p w14:paraId="4E0D2E25">
            <w:pPr>
              <w:jc w:val="center"/>
              <w:rPr>
                <w:rFonts w:hint="eastAsia" w:ascii="宋体" w:hAnsi="宋体" w:cs="宋体"/>
                <w:color w:val="auto"/>
                <w:szCs w:val="21"/>
                <w:highlight w:val="none"/>
              </w:rPr>
            </w:pPr>
          </w:p>
        </w:tc>
        <w:tc>
          <w:tcPr>
            <w:tcW w:w="1034" w:type="dxa"/>
            <w:vAlign w:val="center"/>
          </w:tcPr>
          <w:p w14:paraId="22848D39">
            <w:pPr>
              <w:jc w:val="center"/>
              <w:rPr>
                <w:rFonts w:hint="eastAsia" w:ascii="宋体" w:hAnsi="宋体" w:cs="宋体"/>
                <w:color w:val="auto"/>
                <w:szCs w:val="21"/>
                <w:highlight w:val="none"/>
              </w:rPr>
            </w:pPr>
          </w:p>
        </w:tc>
        <w:tc>
          <w:tcPr>
            <w:tcW w:w="869" w:type="dxa"/>
            <w:vAlign w:val="center"/>
          </w:tcPr>
          <w:p w14:paraId="24F6BEED">
            <w:pPr>
              <w:jc w:val="center"/>
              <w:rPr>
                <w:rFonts w:hint="eastAsia" w:ascii="宋体" w:hAnsi="宋体" w:cs="宋体"/>
                <w:color w:val="auto"/>
                <w:szCs w:val="21"/>
                <w:highlight w:val="none"/>
              </w:rPr>
            </w:pPr>
          </w:p>
        </w:tc>
        <w:tc>
          <w:tcPr>
            <w:tcW w:w="1764" w:type="dxa"/>
            <w:vAlign w:val="center"/>
          </w:tcPr>
          <w:p w14:paraId="7D75B0D4">
            <w:pPr>
              <w:jc w:val="center"/>
              <w:rPr>
                <w:rFonts w:hint="eastAsia" w:ascii="宋体" w:hAnsi="宋体" w:cs="宋体"/>
                <w:color w:val="auto"/>
                <w:szCs w:val="21"/>
                <w:highlight w:val="none"/>
              </w:rPr>
            </w:pPr>
          </w:p>
        </w:tc>
        <w:tc>
          <w:tcPr>
            <w:tcW w:w="1116" w:type="dxa"/>
            <w:vAlign w:val="center"/>
          </w:tcPr>
          <w:p w14:paraId="57DB8628">
            <w:pPr>
              <w:jc w:val="center"/>
              <w:rPr>
                <w:rFonts w:hint="eastAsia" w:ascii="宋体" w:hAnsi="宋体" w:cs="宋体"/>
                <w:color w:val="auto"/>
                <w:szCs w:val="21"/>
                <w:highlight w:val="none"/>
              </w:rPr>
            </w:pPr>
          </w:p>
        </w:tc>
        <w:tc>
          <w:tcPr>
            <w:tcW w:w="1458" w:type="dxa"/>
            <w:vAlign w:val="center"/>
          </w:tcPr>
          <w:p w14:paraId="3CC60864">
            <w:pPr>
              <w:jc w:val="center"/>
              <w:rPr>
                <w:rFonts w:hint="eastAsia" w:ascii="宋体" w:hAnsi="宋体" w:cs="宋体"/>
                <w:color w:val="auto"/>
                <w:szCs w:val="21"/>
                <w:highlight w:val="none"/>
              </w:rPr>
            </w:pPr>
          </w:p>
        </w:tc>
      </w:tr>
      <w:tr w14:paraId="71B3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636FDADF">
            <w:pPr>
              <w:jc w:val="center"/>
              <w:rPr>
                <w:rFonts w:hint="eastAsia" w:ascii="宋体" w:hAnsi="宋体" w:cs="宋体"/>
                <w:color w:val="auto"/>
                <w:szCs w:val="21"/>
                <w:highlight w:val="none"/>
              </w:rPr>
            </w:pPr>
          </w:p>
        </w:tc>
        <w:tc>
          <w:tcPr>
            <w:tcW w:w="1652" w:type="dxa"/>
            <w:vAlign w:val="center"/>
          </w:tcPr>
          <w:p w14:paraId="03EBF423">
            <w:pPr>
              <w:jc w:val="center"/>
              <w:rPr>
                <w:rFonts w:hint="eastAsia" w:ascii="宋体" w:hAnsi="宋体" w:cs="宋体"/>
                <w:color w:val="auto"/>
                <w:szCs w:val="21"/>
                <w:highlight w:val="none"/>
              </w:rPr>
            </w:pPr>
          </w:p>
        </w:tc>
        <w:tc>
          <w:tcPr>
            <w:tcW w:w="1059" w:type="dxa"/>
            <w:vAlign w:val="center"/>
          </w:tcPr>
          <w:p w14:paraId="41D78C5F">
            <w:pPr>
              <w:jc w:val="center"/>
              <w:rPr>
                <w:rFonts w:hint="eastAsia" w:ascii="宋体" w:hAnsi="宋体" w:cs="宋体"/>
                <w:color w:val="auto"/>
                <w:szCs w:val="21"/>
                <w:highlight w:val="none"/>
              </w:rPr>
            </w:pPr>
          </w:p>
        </w:tc>
        <w:tc>
          <w:tcPr>
            <w:tcW w:w="1034" w:type="dxa"/>
            <w:vAlign w:val="center"/>
          </w:tcPr>
          <w:p w14:paraId="613628C1">
            <w:pPr>
              <w:jc w:val="center"/>
              <w:rPr>
                <w:rFonts w:hint="eastAsia" w:ascii="宋体" w:hAnsi="宋体" w:cs="宋体"/>
                <w:color w:val="auto"/>
                <w:szCs w:val="21"/>
                <w:highlight w:val="none"/>
              </w:rPr>
            </w:pPr>
          </w:p>
        </w:tc>
        <w:tc>
          <w:tcPr>
            <w:tcW w:w="869" w:type="dxa"/>
            <w:vAlign w:val="center"/>
          </w:tcPr>
          <w:p w14:paraId="2E43871E">
            <w:pPr>
              <w:jc w:val="center"/>
              <w:rPr>
                <w:rFonts w:hint="eastAsia" w:ascii="宋体" w:hAnsi="宋体" w:cs="宋体"/>
                <w:color w:val="auto"/>
                <w:szCs w:val="21"/>
                <w:highlight w:val="none"/>
              </w:rPr>
            </w:pPr>
          </w:p>
        </w:tc>
        <w:tc>
          <w:tcPr>
            <w:tcW w:w="1764" w:type="dxa"/>
            <w:vAlign w:val="center"/>
          </w:tcPr>
          <w:p w14:paraId="6D61C1B6">
            <w:pPr>
              <w:jc w:val="center"/>
              <w:rPr>
                <w:rFonts w:hint="eastAsia" w:ascii="宋体" w:hAnsi="宋体" w:cs="宋体"/>
                <w:color w:val="auto"/>
                <w:szCs w:val="21"/>
                <w:highlight w:val="none"/>
              </w:rPr>
            </w:pPr>
          </w:p>
        </w:tc>
        <w:tc>
          <w:tcPr>
            <w:tcW w:w="1116" w:type="dxa"/>
            <w:vAlign w:val="center"/>
          </w:tcPr>
          <w:p w14:paraId="740AFEDE">
            <w:pPr>
              <w:jc w:val="center"/>
              <w:rPr>
                <w:rFonts w:hint="eastAsia" w:ascii="宋体" w:hAnsi="宋体" w:cs="宋体"/>
                <w:color w:val="auto"/>
                <w:szCs w:val="21"/>
                <w:highlight w:val="none"/>
              </w:rPr>
            </w:pPr>
          </w:p>
        </w:tc>
        <w:tc>
          <w:tcPr>
            <w:tcW w:w="1458" w:type="dxa"/>
            <w:vAlign w:val="center"/>
          </w:tcPr>
          <w:p w14:paraId="22763B34">
            <w:pPr>
              <w:jc w:val="center"/>
              <w:rPr>
                <w:rFonts w:hint="eastAsia" w:ascii="宋体" w:hAnsi="宋体" w:cs="宋体"/>
                <w:color w:val="auto"/>
                <w:szCs w:val="21"/>
                <w:highlight w:val="none"/>
              </w:rPr>
            </w:pPr>
          </w:p>
        </w:tc>
      </w:tr>
      <w:tr w14:paraId="111C9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54CAB1CF">
            <w:pPr>
              <w:jc w:val="center"/>
              <w:rPr>
                <w:rFonts w:hint="eastAsia" w:ascii="宋体" w:hAnsi="宋体" w:cs="宋体"/>
                <w:color w:val="auto"/>
                <w:szCs w:val="21"/>
                <w:highlight w:val="none"/>
              </w:rPr>
            </w:pPr>
          </w:p>
        </w:tc>
        <w:tc>
          <w:tcPr>
            <w:tcW w:w="1652" w:type="dxa"/>
            <w:vAlign w:val="center"/>
          </w:tcPr>
          <w:p w14:paraId="2001E7D5">
            <w:pPr>
              <w:jc w:val="center"/>
              <w:rPr>
                <w:rFonts w:hint="eastAsia" w:ascii="宋体" w:hAnsi="宋体" w:cs="宋体"/>
                <w:color w:val="auto"/>
                <w:szCs w:val="21"/>
                <w:highlight w:val="none"/>
              </w:rPr>
            </w:pPr>
          </w:p>
        </w:tc>
        <w:tc>
          <w:tcPr>
            <w:tcW w:w="1059" w:type="dxa"/>
            <w:vAlign w:val="center"/>
          </w:tcPr>
          <w:p w14:paraId="7E837A00">
            <w:pPr>
              <w:jc w:val="center"/>
              <w:rPr>
                <w:rFonts w:hint="eastAsia" w:ascii="宋体" w:hAnsi="宋体" w:cs="宋体"/>
                <w:color w:val="auto"/>
                <w:szCs w:val="21"/>
                <w:highlight w:val="none"/>
              </w:rPr>
            </w:pPr>
          </w:p>
        </w:tc>
        <w:tc>
          <w:tcPr>
            <w:tcW w:w="1034" w:type="dxa"/>
            <w:vAlign w:val="center"/>
          </w:tcPr>
          <w:p w14:paraId="0CCF6021">
            <w:pPr>
              <w:jc w:val="center"/>
              <w:rPr>
                <w:rFonts w:hint="eastAsia" w:ascii="宋体" w:hAnsi="宋体" w:cs="宋体"/>
                <w:color w:val="auto"/>
                <w:szCs w:val="21"/>
                <w:highlight w:val="none"/>
              </w:rPr>
            </w:pPr>
          </w:p>
        </w:tc>
        <w:tc>
          <w:tcPr>
            <w:tcW w:w="869" w:type="dxa"/>
            <w:vAlign w:val="center"/>
          </w:tcPr>
          <w:p w14:paraId="23BACA6E">
            <w:pPr>
              <w:jc w:val="center"/>
              <w:rPr>
                <w:rFonts w:hint="eastAsia" w:ascii="宋体" w:hAnsi="宋体" w:cs="宋体"/>
                <w:color w:val="auto"/>
                <w:szCs w:val="21"/>
                <w:highlight w:val="none"/>
              </w:rPr>
            </w:pPr>
          </w:p>
        </w:tc>
        <w:tc>
          <w:tcPr>
            <w:tcW w:w="1764" w:type="dxa"/>
            <w:vAlign w:val="center"/>
          </w:tcPr>
          <w:p w14:paraId="6C08D8CE">
            <w:pPr>
              <w:jc w:val="center"/>
              <w:rPr>
                <w:rFonts w:hint="eastAsia" w:ascii="宋体" w:hAnsi="宋体" w:cs="宋体"/>
                <w:color w:val="auto"/>
                <w:szCs w:val="21"/>
                <w:highlight w:val="none"/>
              </w:rPr>
            </w:pPr>
          </w:p>
        </w:tc>
        <w:tc>
          <w:tcPr>
            <w:tcW w:w="1116" w:type="dxa"/>
            <w:vAlign w:val="center"/>
          </w:tcPr>
          <w:p w14:paraId="2B60C93B">
            <w:pPr>
              <w:jc w:val="center"/>
              <w:rPr>
                <w:rFonts w:hint="eastAsia" w:ascii="宋体" w:hAnsi="宋体" w:cs="宋体"/>
                <w:color w:val="auto"/>
                <w:szCs w:val="21"/>
                <w:highlight w:val="none"/>
              </w:rPr>
            </w:pPr>
          </w:p>
        </w:tc>
        <w:tc>
          <w:tcPr>
            <w:tcW w:w="1458" w:type="dxa"/>
            <w:vAlign w:val="center"/>
          </w:tcPr>
          <w:p w14:paraId="2D40B3CC">
            <w:pPr>
              <w:jc w:val="center"/>
              <w:rPr>
                <w:rFonts w:hint="eastAsia" w:ascii="宋体" w:hAnsi="宋体" w:cs="宋体"/>
                <w:color w:val="auto"/>
                <w:szCs w:val="21"/>
                <w:highlight w:val="none"/>
              </w:rPr>
            </w:pPr>
          </w:p>
        </w:tc>
      </w:tr>
      <w:tr w14:paraId="2AD5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1A878D9D">
            <w:pPr>
              <w:jc w:val="center"/>
              <w:rPr>
                <w:rFonts w:hint="eastAsia" w:ascii="宋体" w:hAnsi="宋体" w:cs="宋体"/>
                <w:color w:val="auto"/>
                <w:szCs w:val="21"/>
                <w:highlight w:val="none"/>
              </w:rPr>
            </w:pPr>
          </w:p>
        </w:tc>
        <w:tc>
          <w:tcPr>
            <w:tcW w:w="1652" w:type="dxa"/>
            <w:vAlign w:val="center"/>
          </w:tcPr>
          <w:p w14:paraId="7D97421A">
            <w:pPr>
              <w:jc w:val="center"/>
              <w:rPr>
                <w:rFonts w:hint="eastAsia" w:ascii="宋体" w:hAnsi="宋体" w:cs="宋体"/>
                <w:color w:val="auto"/>
                <w:szCs w:val="21"/>
                <w:highlight w:val="none"/>
              </w:rPr>
            </w:pPr>
          </w:p>
        </w:tc>
        <w:tc>
          <w:tcPr>
            <w:tcW w:w="1059" w:type="dxa"/>
            <w:vAlign w:val="center"/>
          </w:tcPr>
          <w:p w14:paraId="6D20C5A5">
            <w:pPr>
              <w:jc w:val="center"/>
              <w:rPr>
                <w:rFonts w:hint="eastAsia" w:ascii="宋体" w:hAnsi="宋体" w:cs="宋体"/>
                <w:color w:val="auto"/>
                <w:szCs w:val="21"/>
                <w:highlight w:val="none"/>
              </w:rPr>
            </w:pPr>
          </w:p>
        </w:tc>
        <w:tc>
          <w:tcPr>
            <w:tcW w:w="1034" w:type="dxa"/>
            <w:vAlign w:val="center"/>
          </w:tcPr>
          <w:p w14:paraId="3C07D12D">
            <w:pPr>
              <w:jc w:val="center"/>
              <w:rPr>
                <w:rFonts w:hint="eastAsia" w:ascii="宋体" w:hAnsi="宋体" w:cs="宋体"/>
                <w:color w:val="auto"/>
                <w:szCs w:val="21"/>
                <w:highlight w:val="none"/>
              </w:rPr>
            </w:pPr>
          </w:p>
        </w:tc>
        <w:tc>
          <w:tcPr>
            <w:tcW w:w="869" w:type="dxa"/>
            <w:vAlign w:val="center"/>
          </w:tcPr>
          <w:p w14:paraId="1075E82A">
            <w:pPr>
              <w:jc w:val="center"/>
              <w:rPr>
                <w:rFonts w:hint="eastAsia" w:ascii="宋体" w:hAnsi="宋体" w:cs="宋体"/>
                <w:color w:val="auto"/>
                <w:szCs w:val="21"/>
                <w:highlight w:val="none"/>
              </w:rPr>
            </w:pPr>
          </w:p>
        </w:tc>
        <w:tc>
          <w:tcPr>
            <w:tcW w:w="1764" w:type="dxa"/>
            <w:vAlign w:val="center"/>
          </w:tcPr>
          <w:p w14:paraId="06F04E60">
            <w:pPr>
              <w:jc w:val="center"/>
              <w:rPr>
                <w:rFonts w:hint="eastAsia" w:ascii="宋体" w:hAnsi="宋体" w:cs="宋体"/>
                <w:color w:val="auto"/>
                <w:szCs w:val="21"/>
                <w:highlight w:val="none"/>
              </w:rPr>
            </w:pPr>
          </w:p>
        </w:tc>
        <w:tc>
          <w:tcPr>
            <w:tcW w:w="1116" w:type="dxa"/>
            <w:vAlign w:val="center"/>
          </w:tcPr>
          <w:p w14:paraId="3E283B79">
            <w:pPr>
              <w:jc w:val="center"/>
              <w:rPr>
                <w:rFonts w:hint="eastAsia" w:ascii="宋体" w:hAnsi="宋体" w:cs="宋体"/>
                <w:color w:val="auto"/>
                <w:szCs w:val="21"/>
                <w:highlight w:val="none"/>
              </w:rPr>
            </w:pPr>
          </w:p>
        </w:tc>
        <w:tc>
          <w:tcPr>
            <w:tcW w:w="1458" w:type="dxa"/>
            <w:vAlign w:val="center"/>
          </w:tcPr>
          <w:p w14:paraId="31F421E6">
            <w:pPr>
              <w:jc w:val="center"/>
              <w:rPr>
                <w:rFonts w:hint="eastAsia" w:ascii="宋体" w:hAnsi="宋体" w:cs="宋体"/>
                <w:color w:val="auto"/>
                <w:szCs w:val="21"/>
                <w:highlight w:val="none"/>
              </w:rPr>
            </w:pPr>
          </w:p>
        </w:tc>
      </w:tr>
      <w:tr w14:paraId="456E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45901E02">
            <w:pPr>
              <w:jc w:val="center"/>
              <w:rPr>
                <w:rFonts w:hint="eastAsia" w:ascii="宋体" w:hAnsi="宋体" w:cs="宋体"/>
                <w:color w:val="auto"/>
                <w:szCs w:val="21"/>
                <w:highlight w:val="none"/>
              </w:rPr>
            </w:pPr>
          </w:p>
        </w:tc>
        <w:tc>
          <w:tcPr>
            <w:tcW w:w="1652" w:type="dxa"/>
            <w:vAlign w:val="center"/>
          </w:tcPr>
          <w:p w14:paraId="0EF0E31B">
            <w:pPr>
              <w:jc w:val="center"/>
              <w:rPr>
                <w:rFonts w:hint="eastAsia" w:ascii="宋体" w:hAnsi="宋体" w:cs="宋体"/>
                <w:color w:val="auto"/>
                <w:szCs w:val="21"/>
                <w:highlight w:val="none"/>
              </w:rPr>
            </w:pPr>
          </w:p>
        </w:tc>
        <w:tc>
          <w:tcPr>
            <w:tcW w:w="1059" w:type="dxa"/>
            <w:vAlign w:val="center"/>
          </w:tcPr>
          <w:p w14:paraId="5B6546AC">
            <w:pPr>
              <w:jc w:val="center"/>
              <w:rPr>
                <w:rFonts w:hint="eastAsia" w:ascii="宋体" w:hAnsi="宋体" w:cs="宋体"/>
                <w:color w:val="auto"/>
                <w:szCs w:val="21"/>
                <w:highlight w:val="none"/>
              </w:rPr>
            </w:pPr>
          </w:p>
        </w:tc>
        <w:tc>
          <w:tcPr>
            <w:tcW w:w="1034" w:type="dxa"/>
            <w:vAlign w:val="center"/>
          </w:tcPr>
          <w:p w14:paraId="13B7FF56">
            <w:pPr>
              <w:jc w:val="center"/>
              <w:rPr>
                <w:rFonts w:hint="eastAsia" w:ascii="宋体" w:hAnsi="宋体" w:cs="宋体"/>
                <w:color w:val="auto"/>
                <w:szCs w:val="21"/>
                <w:highlight w:val="none"/>
              </w:rPr>
            </w:pPr>
          </w:p>
        </w:tc>
        <w:tc>
          <w:tcPr>
            <w:tcW w:w="869" w:type="dxa"/>
            <w:vAlign w:val="center"/>
          </w:tcPr>
          <w:p w14:paraId="60B0F3E9">
            <w:pPr>
              <w:jc w:val="center"/>
              <w:rPr>
                <w:rFonts w:hint="eastAsia" w:ascii="宋体" w:hAnsi="宋体" w:cs="宋体"/>
                <w:color w:val="auto"/>
                <w:szCs w:val="21"/>
                <w:highlight w:val="none"/>
              </w:rPr>
            </w:pPr>
          </w:p>
        </w:tc>
        <w:tc>
          <w:tcPr>
            <w:tcW w:w="1764" w:type="dxa"/>
            <w:vAlign w:val="center"/>
          </w:tcPr>
          <w:p w14:paraId="24E1D9A6">
            <w:pPr>
              <w:jc w:val="center"/>
              <w:rPr>
                <w:rFonts w:hint="eastAsia" w:ascii="宋体" w:hAnsi="宋体" w:cs="宋体"/>
                <w:color w:val="auto"/>
                <w:szCs w:val="21"/>
                <w:highlight w:val="none"/>
              </w:rPr>
            </w:pPr>
          </w:p>
        </w:tc>
        <w:tc>
          <w:tcPr>
            <w:tcW w:w="1116" w:type="dxa"/>
            <w:vAlign w:val="center"/>
          </w:tcPr>
          <w:p w14:paraId="2C68124D">
            <w:pPr>
              <w:jc w:val="center"/>
              <w:rPr>
                <w:rFonts w:hint="eastAsia" w:ascii="宋体" w:hAnsi="宋体" w:cs="宋体"/>
                <w:color w:val="auto"/>
                <w:szCs w:val="21"/>
                <w:highlight w:val="none"/>
              </w:rPr>
            </w:pPr>
          </w:p>
        </w:tc>
        <w:tc>
          <w:tcPr>
            <w:tcW w:w="1458" w:type="dxa"/>
            <w:vAlign w:val="center"/>
          </w:tcPr>
          <w:p w14:paraId="6CAAA3AF">
            <w:pPr>
              <w:jc w:val="center"/>
              <w:rPr>
                <w:rFonts w:hint="eastAsia" w:ascii="宋体" w:hAnsi="宋体" w:cs="宋体"/>
                <w:color w:val="auto"/>
                <w:szCs w:val="21"/>
                <w:highlight w:val="none"/>
              </w:rPr>
            </w:pPr>
          </w:p>
        </w:tc>
      </w:tr>
      <w:tr w14:paraId="20D7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454007C1">
            <w:pPr>
              <w:jc w:val="center"/>
              <w:rPr>
                <w:rFonts w:hint="eastAsia" w:ascii="宋体" w:hAnsi="宋体" w:cs="宋体"/>
                <w:color w:val="auto"/>
                <w:szCs w:val="21"/>
                <w:highlight w:val="none"/>
              </w:rPr>
            </w:pPr>
          </w:p>
        </w:tc>
        <w:tc>
          <w:tcPr>
            <w:tcW w:w="1652" w:type="dxa"/>
            <w:vAlign w:val="center"/>
          </w:tcPr>
          <w:p w14:paraId="0E4C1062">
            <w:pPr>
              <w:jc w:val="center"/>
              <w:rPr>
                <w:rFonts w:hint="eastAsia" w:ascii="宋体" w:hAnsi="宋体" w:cs="宋体"/>
                <w:color w:val="auto"/>
                <w:szCs w:val="21"/>
                <w:highlight w:val="none"/>
              </w:rPr>
            </w:pPr>
          </w:p>
        </w:tc>
        <w:tc>
          <w:tcPr>
            <w:tcW w:w="1059" w:type="dxa"/>
            <w:vAlign w:val="center"/>
          </w:tcPr>
          <w:p w14:paraId="5A7B2530">
            <w:pPr>
              <w:jc w:val="center"/>
              <w:rPr>
                <w:rFonts w:hint="eastAsia" w:ascii="宋体" w:hAnsi="宋体" w:cs="宋体"/>
                <w:color w:val="auto"/>
                <w:szCs w:val="21"/>
                <w:highlight w:val="none"/>
              </w:rPr>
            </w:pPr>
          </w:p>
        </w:tc>
        <w:tc>
          <w:tcPr>
            <w:tcW w:w="1034" w:type="dxa"/>
            <w:vAlign w:val="center"/>
          </w:tcPr>
          <w:p w14:paraId="32ED73AA">
            <w:pPr>
              <w:jc w:val="center"/>
              <w:rPr>
                <w:rFonts w:hint="eastAsia" w:ascii="宋体" w:hAnsi="宋体" w:cs="宋体"/>
                <w:color w:val="auto"/>
                <w:szCs w:val="21"/>
                <w:highlight w:val="none"/>
              </w:rPr>
            </w:pPr>
          </w:p>
        </w:tc>
        <w:tc>
          <w:tcPr>
            <w:tcW w:w="869" w:type="dxa"/>
            <w:vAlign w:val="center"/>
          </w:tcPr>
          <w:p w14:paraId="3702B290">
            <w:pPr>
              <w:jc w:val="center"/>
              <w:rPr>
                <w:rFonts w:hint="eastAsia" w:ascii="宋体" w:hAnsi="宋体" w:cs="宋体"/>
                <w:color w:val="auto"/>
                <w:szCs w:val="21"/>
                <w:highlight w:val="none"/>
              </w:rPr>
            </w:pPr>
          </w:p>
        </w:tc>
        <w:tc>
          <w:tcPr>
            <w:tcW w:w="1764" w:type="dxa"/>
            <w:vAlign w:val="center"/>
          </w:tcPr>
          <w:p w14:paraId="0AAF0E06">
            <w:pPr>
              <w:jc w:val="center"/>
              <w:rPr>
                <w:rFonts w:hint="eastAsia" w:ascii="宋体" w:hAnsi="宋体" w:cs="宋体"/>
                <w:color w:val="auto"/>
                <w:szCs w:val="21"/>
                <w:highlight w:val="none"/>
              </w:rPr>
            </w:pPr>
          </w:p>
        </w:tc>
        <w:tc>
          <w:tcPr>
            <w:tcW w:w="1116" w:type="dxa"/>
            <w:vAlign w:val="center"/>
          </w:tcPr>
          <w:p w14:paraId="6CA58E47">
            <w:pPr>
              <w:jc w:val="center"/>
              <w:rPr>
                <w:rFonts w:hint="eastAsia" w:ascii="宋体" w:hAnsi="宋体" w:cs="宋体"/>
                <w:color w:val="auto"/>
                <w:szCs w:val="21"/>
                <w:highlight w:val="none"/>
              </w:rPr>
            </w:pPr>
          </w:p>
        </w:tc>
        <w:tc>
          <w:tcPr>
            <w:tcW w:w="1458" w:type="dxa"/>
            <w:vAlign w:val="center"/>
          </w:tcPr>
          <w:p w14:paraId="33FE9515">
            <w:pPr>
              <w:jc w:val="center"/>
              <w:rPr>
                <w:rFonts w:hint="eastAsia" w:ascii="宋体" w:hAnsi="宋体" w:cs="宋体"/>
                <w:color w:val="auto"/>
                <w:szCs w:val="21"/>
                <w:highlight w:val="none"/>
              </w:rPr>
            </w:pPr>
          </w:p>
        </w:tc>
      </w:tr>
    </w:tbl>
    <w:p w14:paraId="19BD1A0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磋商响应单位（盖章）：  </w:t>
      </w:r>
    </w:p>
    <w:p w14:paraId="3CCFF206">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法定代表人或委托代理人：（签字或盖章）</w:t>
      </w:r>
    </w:p>
    <w:p w14:paraId="38CFF02A">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日期：</w:t>
      </w:r>
    </w:p>
    <w:p w14:paraId="53987A9A">
      <w:pPr>
        <w:pageBreakBefore/>
        <w:spacing w:line="360" w:lineRule="auto"/>
        <w:rPr>
          <w:rFonts w:hint="eastAsia" w:ascii="宋体" w:hAnsi="宋体" w:cs="宋体"/>
          <w:b/>
          <w:color w:val="auto"/>
          <w:highlight w:val="none"/>
        </w:rPr>
      </w:pPr>
      <w:r>
        <w:rPr>
          <w:rFonts w:hint="eastAsia" w:ascii="宋体" w:hAnsi="宋体" w:cs="宋体"/>
          <w:b/>
          <w:color w:val="auto"/>
          <w:highlight w:val="none"/>
        </w:rPr>
        <w:t>附件11：类似项目</w:t>
      </w:r>
      <w:r>
        <w:rPr>
          <w:rFonts w:hint="eastAsia" w:ascii="宋体" w:hAnsi="宋体" w:cs="宋体"/>
          <w:b/>
          <w:color w:val="auto"/>
          <w:highlight w:val="none"/>
          <w:lang w:val="zh-CN"/>
        </w:rPr>
        <w:t>业绩一览表</w:t>
      </w:r>
    </w:p>
    <w:p w14:paraId="2D764BF8">
      <w:pPr>
        <w:spacing w:line="360" w:lineRule="auto"/>
        <w:jc w:val="center"/>
        <w:rPr>
          <w:rFonts w:hint="eastAsia" w:ascii="宋体" w:hAnsi="宋体" w:cs="宋体"/>
          <w:color w:val="auto"/>
          <w:highlight w:val="none"/>
        </w:rPr>
      </w:pPr>
      <w:r>
        <w:rPr>
          <w:rFonts w:hint="eastAsia" w:ascii="宋体" w:hAnsi="宋体" w:cs="宋体"/>
          <w:b/>
          <w:color w:val="auto"/>
          <w:highlight w:val="none"/>
        </w:rPr>
        <w:t>类似项目</w:t>
      </w:r>
      <w:r>
        <w:rPr>
          <w:rFonts w:hint="eastAsia" w:ascii="宋体" w:hAnsi="宋体" w:cs="宋体"/>
          <w:b/>
          <w:color w:val="auto"/>
          <w:highlight w:val="none"/>
          <w:lang w:val="zh-CN"/>
        </w:rPr>
        <w:t>业绩一览表</w:t>
      </w:r>
    </w:p>
    <w:p w14:paraId="2892443A">
      <w:pPr>
        <w:spacing w:line="360" w:lineRule="auto"/>
        <w:rPr>
          <w:rFonts w:hint="eastAsia" w:ascii="宋体" w:hAnsi="宋体" w:cs="宋体"/>
          <w:color w:val="auto"/>
          <w:highlight w:val="none"/>
        </w:rPr>
      </w:pPr>
    </w:p>
    <w:p w14:paraId="35373913">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采购编号：</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02"/>
        <w:gridCol w:w="1785"/>
        <w:gridCol w:w="1785"/>
        <w:gridCol w:w="2122"/>
        <w:gridCol w:w="1868"/>
        <w:gridCol w:w="1032"/>
      </w:tblGrid>
      <w:tr w14:paraId="2BC3F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1E492F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43" w:type="dxa"/>
            <w:vAlign w:val="center"/>
          </w:tcPr>
          <w:p w14:paraId="7A4CA39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1643" w:type="dxa"/>
            <w:vAlign w:val="center"/>
          </w:tcPr>
          <w:p w14:paraId="32DE465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合同签订日期</w:t>
            </w:r>
          </w:p>
        </w:tc>
        <w:tc>
          <w:tcPr>
            <w:tcW w:w="1954" w:type="dxa"/>
            <w:tcBorders>
              <w:right w:val="single" w:color="auto" w:sz="4" w:space="0"/>
            </w:tcBorders>
            <w:vAlign w:val="center"/>
          </w:tcPr>
          <w:p w14:paraId="0E4FEE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项目内容</w:t>
            </w:r>
          </w:p>
        </w:tc>
        <w:tc>
          <w:tcPr>
            <w:tcW w:w="1720" w:type="dxa"/>
            <w:tcBorders>
              <w:left w:val="single" w:color="auto" w:sz="4" w:space="0"/>
              <w:right w:val="single" w:color="auto" w:sz="4" w:space="0"/>
            </w:tcBorders>
            <w:vAlign w:val="center"/>
          </w:tcPr>
          <w:p w14:paraId="10589C5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合同金额（万元）</w:t>
            </w:r>
          </w:p>
        </w:tc>
        <w:tc>
          <w:tcPr>
            <w:tcW w:w="950" w:type="dxa"/>
            <w:vAlign w:val="center"/>
          </w:tcPr>
          <w:p w14:paraId="41F05FD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1F29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4EE2095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643" w:type="dxa"/>
            <w:vAlign w:val="center"/>
          </w:tcPr>
          <w:p w14:paraId="14A8C985">
            <w:pPr>
              <w:spacing w:line="360" w:lineRule="auto"/>
              <w:ind w:left="420"/>
              <w:rPr>
                <w:rFonts w:hint="eastAsia" w:ascii="宋体" w:hAnsi="宋体" w:cs="宋体"/>
                <w:color w:val="auto"/>
                <w:szCs w:val="21"/>
                <w:highlight w:val="none"/>
              </w:rPr>
            </w:pPr>
          </w:p>
        </w:tc>
        <w:tc>
          <w:tcPr>
            <w:tcW w:w="1643" w:type="dxa"/>
            <w:vAlign w:val="center"/>
          </w:tcPr>
          <w:p w14:paraId="2F07FE0D">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32C9F022">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42B5CC52">
            <w:pPr>
              <w:spacing w:line="360" w:lineRule="auto"/>
              <w:ind w:left="420"/>
              <w:rPr>
                <w:rFonts w:hint="eastAsia" w:ascii="宋体" w:hAnsi="宋体" w:cs="宋体"/>
                <w:color w:val="auto"/>
                <w:szCs w:val="21"/>
                <w:highlight w:val="none"/>
              </w:rPr>
            </w:pPr>
          </w:p>
        </w:tc>
        <w:tc>
          <w:tcPr>
            <w:tcW w:w="950" w:type="dxa"/>
            <w:vAlign w:val="center"/>
          </w:tcPr>
          <w:p w14:paraId="006233AE">
            <w:pPr>
              <w:spacing w:line="360" w:lineRule="auto"/>
              <w:ind w:left="420"/>
              <w:rPr>
                <w:rFonts w:hint="eastAsia" w:ascii="宋体" w:hAnsi="宋体" w:cs="宋体"/>
                <w:color w:val="auto"/>
                <w:szCs w:val="21"/>
                <w:highlight w:val="none"/>
              </w:rPr>
            </w:pPr>
          </w:p>
        </w:tc>
      </w:tr>
      <w:tr w14:paraId="5CBC8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73B26F0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643" w:type="dxa"/>
            <w:vAlign w:val="center"/>
          </w:tcPr>
          <w:p w14:paraId="60105B5E">
            <w:pPr>
              <w:spacing w:line="360" w:lineRule="auto"/>
              <w:ind w:left="420"/>
              <w:rPr>
                <w:rFonts w:hint="eastAsia" w:ascii="宋体" w:hAnsi="宋体" w:cs="宋体"/>
                <w:color w:val="auto"/>
                <w:szCs w:val="21"/>
                <w:highlight w:val="none"/>
              </w:rPr>
            </w:pPr>
          </w:p>
        </w:tc>
        <w:tc>
          <w:tcPr>
            <w:tcW w:w="1643" w:type="dxa"/>
            <w:vAlign w:val="center"/>
          </w:tcPr>
          <w:p w14:paraId="34A6F206">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2A3B7D38">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0A3589E4">
            <w:pPr>
              <w:spacing w:line="360" w:lineRule="auto"/>
              <w:ind w:left="420"/>
              <w:rPr>
                <w:rFonts w:hint="eastAsia" w:ascii="宋体" w:hAnsi="宋体" w:cs="宋体"/>
                <w:color w:val="auto"/>
                <w:szCs w:val="21"/>
                <w:highlight w:val="none"/>
              </w:rPr>
            </w:pPr>
          </w:p>
        </w:tc>
        <w:tc>
          <w:tcPr>
            <w:tcW w:w="950" w:type="dxa"/>
            <w:vAlign w:val="center"/>
          </w:tcPr>
          <w:p w14:paraId="0D28A976">
            <w:pPr>
              <w:spacing w:line="360" w:lineRule="auto"/>
              <w:ind w:left="420"/>
              <w:rPr>
                <w:rFonts w:hint="eastAsia" w:ascii="宋体" w:hAnsi="宋体" w:cs="宋体"/>
                <w:color w:val="auto"/>
                <w:szCs w:val="21"/>
                <w:highlight w:val="none"/>
              </w:rPr>
            </w:pPr>
          </w:p>
        </w:tc>
      </w:tr>
      <w:tr w14:paraId="76D42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3719511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643" w:type="dxa"/>
            <w:vAlign w:val="center"/>
          </w:tcPr>
          <w:p w14:paraId="6C6E8845">
            <w:pPr>
              <w:spacing w:line="360" w:lineRule="auto"/>
              <w:ind w:left="420"/>
              <w:rPr>
                <w:rFonts w:hint="eastAsia" w:ascii="宋体" w:hAnsi="宋体" w:cs="宋体"/>
                <w:color w:val="auto"/>
                <w:szCs w:val="21"/>
                <w:highlight w:val="none"/>
              </w:rPr>
            </w:pPr>
          </w:p>
        </w:tc>
        <w:tc>
          <w:tcPr>
            <w:tcW w:w="1643" w:type="dxa"/>
            <w:vAlign w:val="center"/>
          </w:tcPr>
          <w:p w14:paraId="33E0486A">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476D9C94">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2A2F0AF1">
            <w:pPr>
              <w:spacing w:line="360" w:lineRule="auto"/>
              <w:ind w:left="420"/>
              <w:rPr>
                <w:rFonts w:hint="eastAsia" w:ascii="宋体" w:hAnsi="宋体" w:cs="宋体"/>
                <w:color w:val="auto"/>
                <w:szCs w:val="21"/>
                <w:highlight w:val="none"/>
              </w:rPr>
            </w:pPr>
          </w:p>
        </w:tc>
        <w:tc>
          <w:tcPr>
            <w:tcW w:w="950" w:type="dxa"/>
            <w:vAlign w:val="center"/>
          </w:tcPr>
          <w:p w14:paraId="3447D9D7">
            <w:pPr>
              <w:spacing w:line="360" w:lineRule="auto"/>
              <w:ind w:left="420"/>
              <w:rPr>
                <w:rFonts w:hint="eastAsia" w:ascii="宋体" w:hAnsi="宋体" w:cs="宋体"/>
                <w:color w:val="auto"/>
                <w:szCs w:val="21"/>
                <w:highlight w:val="none"/>
              </w:rPr>
            </w:pPr>
          </w:p>
        </w:tc>
      </w:tr>
      <w:tr w14:paraId="2C73D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66F97D5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643" w:type="dxa"/>
            <w:vAlign w:val="center"/>
          </w:tcPr>
          <w:p w14:paraId="1C740E9A">
            <w:pPr>
              <w:spacing w:line="360" w:lineRule="auto"/>
              <w:ind w:left="420"/>
              <w:rPr>
                <w:rFonts w:hint="eastAsia" w:ascii="宋体" w:hAnsi="宋体" w:cs="宋体"/>
                <w:color w:val="auto"/>
                <w:szCs w:val="21"/>
                <w:highlight w:val="none"/>
              </w:rPr>
            </w:pPr>
          </w:p>
        </w:tc>
        <w:tc>
          <w:tcPr>
            <w:tcW w:w="1643" w:type="dxa"/>
            <w:vAlign w:val="center"/>
          </w:tcPr>
          <w:p w14:paraId="32F9B553">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3D4001A2">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320A06B6">
            <w:pPr>
              <w:spacing w:line="360" w:lineRule="auto"/>
              <w:ind w:left="420"/>
              <w:rPr>
                <w:rFonts w:hint="eastAsia" w:ascii="宋体" w:hAnsi="宋体" w:cs="宋体"/>
                <w:color w:val="auto"/>
                <w:szCs w:val="21"/>
                <w:highlight w:val="none"/>
              </w:rPr>
            </w:pPr>
          </w:p>
        </w:tc>
        <w:tc>
          <w:tcPr>
            <w:tcW w:w="950" w:type="dxa"/>
            <w:vAlign w:val="center"/>
          </w:tcPr>
          <w:p w14:paraId="102D3629">
            <w:pPr>
              <w:spacing w:line="360" w:lineRule="auto"/>
              <w:ind w:left="420"/>
              <w:rPr>
                <w:rFonts w:hint="eastAsia" w:ascii="宋体" w:hAnsi="宋体" w:cs="宋体"/>
                <w:color w:val="auto"/>
                <w:szCs w:val="21"/>
                <w:highlight w:val="none"/>
              </w:rPr>
            </w:pPr>
          </w:p>
        </w:tc>
      </w:tr>
      <w:tr w14:paraId="0D2AD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0AD192B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643" w:type="dxa"/>
            <w:vAlign w:val="center"/>
          </w:tcPr>
          <w:p w14:paraId="385F4F64">
            <w:pPr>
              <w:spacing w:line="360" w:lineRule="auto"/>
              <w:ind w:left="420"/>
              <w:rPr>
                <w:rFonts w:hint="eastAsia" w:ascii="宋体" w:hAnsi="宋体" w:cs="宋体"/>
                <w:color w:val="auto"/>
                <w:szCs w:val="21"/>
                <w:highlight w:val="none"/>
              </w:rPr>
            </w:pPr>
          </w:p>
        </w:tc>
        <w:tc>
          <w:tcPr>
            <w:tcW w:w="1643" w:type="dxa"/>
            <w:vAlign w:val="center"/>
          </w:tcPr>
          <w:p w14:paraId="1C3231BC">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3CC24619">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19DDEB01">
            <w:pPr>
              <w:spacing w:line="360" w:lineRule="auto"/>
              <w:ind w:left="420"/>
              <w:rPr>
                <w:rFonts w:hint="eastAsia" w:ascii="宋体" w:hAnsi="宋体" w:cs="宋体"/>
                <w:color w:val="auto"/>
                <w:szCs w:val="21"/>
                <w:highlight w:val="none"/>
              </w:rPr>
            </w:pPr>
          </w:p>
        </w:tc>
        <w:tc>
          <w:tcPr>
            <w:tcW w:w="950" w:type="dxa"/>
            <w:vAlign w:val="center"/>
          </w:tcPr>
          <w:p w14:paraId="096A3D31">
            <w:pPr>
              <w:spacing w:line="360" w:lineRule="auto"/>
              <w:ind w:left="420"/>
              <w:rPr>
                <w:rFonts w:hint="eastAsia" w:ascii="宋体" w:hAnsi="宋体" w:cs="宋体"/>
                <w:color w:val="auto"/>
                <w:szCs w:val="21"/>
                <w:highlight w:val="none"/>
              </w:rPr>
            </w:pPr>
          </w:p>
        </w:tc>
      </w:tr>
      <w:tr w14:paraId="0B7D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42065A0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643" w:type="dxa"/>
            <w:vAlign w:val="center"/>
          </w:tcPr>
          <w:p w14:paraId="1051A969">
            <w:pPr>
              <w:spacing w:line="360" w:lineRule="auto"/>
              <w:ind w:left="420"/>
              <w:rPr>
                <w:rFonts w:hint="eastAsia" w:ascii="宋体" w:hAnsi="宋体" w:cs="宋体"/>
                <w:color w:val="auto"/>
                <w:szCs w:val="21"/>
                <w:highlight w:val="none"/>
              </w:rPr>
            </w:pPr>
          </w:p>
        </w:tc>
        <w:tc>
          <w:tcPr>
            <w:tcW w:w="1643" w:type="dxa"/>
            <w:vAlign w:val="center"/>
          </w:tcPr>
          <w:p w14:paraId="4A4E494B">
            <w:pPr>
              <w:spacing w:line="360" w:lineRule="auto"/>
              <w:ind w:left="420"/>
              <w:rPr>
                <w:rFonts w:hint="eastAsia" w:ascii="宋体" w:hAnsi="宋体" w:cs="宋体"/>
                <w:color w:val="auto"/>
                <w:szCs w:val="21"/>
                <w:highlight w:val="none"/>
              </w:rPr>
            </w:pPr>
          </w:p>
        </w:tc>
        <w:tc>
          <w:tcPr>
            <w:tcW w:w="1954" w:type="dxa"/>
            <w:tcBorders>
              <w:right w:val="single" w:color="auto" w:sz="4" w:space="0"/>
            </w:tcBorders>
            <w:vAlign w:val="center"/>
          </w:tcPr>
          <w:p w14:paraId="23A2DA74">
            <w:pPr>
              <w:spacing w:line="360" w:lineRule="auto"/>
              <w:ind w:left="420"/>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58328BC9">
            <w:pPr>
              <w:spacing w:line="360" w:lineRule="auto"/>
              <w:ind w:left="420"/>
              <w:rPr>
                <w:rFonts w:hint="eastAsia" w:ascii="宋体" w:hAnsi="宋体" w:cs="宋体"/>
                <w:color w:val="auto"/>
                <w:szCs w:val="21"/>
                <w:highlight w:val="none"/>
              </w:rPr>
            </w:pPr>
          </w:p>
        </w:tc>
        <w:tc>
          <w:tcPr>
            <w:tcW w:w="950" w:type="dxa"/>
            <w:vAlign w:val="center"/>
          </w:tcPr>
          <w:p w14:paraId="30798416">
            <w:pPr>
              <w:spacing w:line="360" w:lineRule="auto"/>
              <w:ind w:left="420"/>
              <w:rPr>
                <w:rFonts w:hint="eastAsia" w:ascii="宋体" w:hAnsi="宋体" w:cs="宋体"/>
                <w:color w:val="auto"/>
                <w:szCs w:val="21"/>
                <w:highlight w:val="none"/>
              </w:rPr>
            </w:pPr>
          </w:p>
        </w:tc>
      </w:tr>
      <w:tr w14:paraId="14FCB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7EF36B0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643" w:type="dxa"/>
            <w:vAlign w:val="center"/>
          </w:tcPr>
          <w:p w14:paraId="7F9BCDEF">
            <w:pPr>
              <w:spacing w:line="360" w:lineRule="auto"/>
              <w:jc w:val="center"/>
              <w:rPr>
                <w:rFonts w:hint="eastAsia" w:ascii="宋体" w:hAnsi="宋体" w:cs="宋体"/>
                <w:color w:val="auto"/>
                <w:szCs w:val="21"/>
                <w:highlight w:val="none"/>
              </w:rPr>
            </w:pPr>
          </w:p>
        </w:tc>
        <w:tc>
          <w:tcPr>
            <w:tcW w:w="1643" w:type="dxa"/>
            <w:vAlign w:val="center"/>
          </w:tcPr>
          <w:p w14:paraId="1E38D84C">
            <w:pPr>
              <w:spacing w:line="360" w:lineRule="auto"/>
              <w:jc w:val="center"/>
              <w:rPr>
                <w:rFonts w:hint="eastAsia" w:ascii="宋体" w:hAnsi="宋体" w:cs="宋体"/>
                <w:color w:val="auto"/>
                <w:szCs w:val="21"/>
                <w:highlight w:val="none"/>
              </w:rPr>
            </w:pPr>
          </w:p>
        </w:tc>
        <w:tc>
          <w:tcPr>
            <w:tcW w:w="1954" w:type="dxa"/>
            <w:tcBorders>
              <w:right w:val="single" w:color="auto" w:sz="4" w:space="0"/>
            </w:tcBorders>
            <w:vAlign w:val="center"/>
          </w:tcPr>
          <w:p w14:paraId="224A2BE0">
            <w:pPr>
              <w:spacing w:line="360" w:lineRule="auto"/>
              <w:jc w:val="center"/>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74913F98">
            <w:pPr>
              <w:spacing w:line="360" w:lineRule="auto"/>
              <w:jc w:val="center"/>
              <w:rPr>
                <w:rFonts w:hint="eastAsia" w:ascii="宋体" w:hAnsi="宋体" w:cs="宋体"/>
                <w:color w:val="auto"/>
                <w:szCs w:val="21"/>
                <w:highlight w:val="none"/>
              </w:rPr>
            </w:pPr>
          </w:p>
        </w:tc>
        <w:tc>
          <w:tcPr>
            <w:tcW w:w="950" w:type="dxa"/>
            <w:vAlign w:val="center"/>
          </w:tcPr>
          <w:p w14:paraId="1521B4DF">
            <w:pPr>
              <w:spacing w:line="360" w:lineRule="auto"/>
              <w:jc w:val="center"/>
              <w:rPr>
                <w:rFonts w:hint="eastAsia" w:ascii="宋体" w:hAnsi="宋体" w:cs="宋体"/>
                <w:color w:val="auto"/>
                <w:szCs w:val="21"/>
                <w:highlight w:val="none"/>
              </w:rPr>
            </w:pPr>
          </w:p>
        </w:tc>
      </w:tr>
      <w:tr w14:paraId="66B18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7418096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643" w:type="dxa"/>
            <w:vAlign w:val="center"/>
          </w:tcPr>
          <w:p w14:paraId="44E87DA7">
            <w:pPr>
              <w:spacing w:line="360" w:lineRule="auto"/>
              <w:jc w:val="center"/>
              <w:rPr>
                <w:rFonts w:hint="eastAsia" w:ascii="宋体" w:hAnsi="宋体" w:cs="宋体"/>
                <w:color w:val="auto"/>
                <w:szCs w:val="21"/>
                <w:highlight w:val="none"/>
              </w:rPr>
            </w:pPr>
          </w:p>
        </w:tc>
        <w:tc>
          <w:tcPr>
            <w:tcW w:w="1643" w:type="dxa"/>
            <w:vAlign w:val="center"/>
          </w:tcPr>
          <w:p w14:paraId="66889FC8">
            <w:pPr>
              <w:spacing w:line="360" w:lineRule="auto"/>
              <w:jc w:val="center"/>
              <w:rPr>
                <w:rFonts w:hint="eastAsia" w:ascii="宋体" w:hAnsi="宋体" w:cs="宋体"/>
                <w:color w:val="auto"/>
                <w:szCs w:val="21"/>
                <w:highlight w:val="none"/>
              </w:rPr>
            </w:pPr>
          </w:p>
        </w:tc>
        <w:tc>
          <w:tcPr>
            <w:tcW w:w="1954" w:type="dxa"/>
            <w:tcBorders>
              <w:right w:val="single" w:color="auto" w:sz="4" w:space="0"/>
            </w:tcBorders>
            <w:vAlign w:val="center"/>
          </w:tcPr>
          <w:p w14:paraId="585107F8">
            <w:pPr>
              <w:spacing w:line="360" w:lineRule="auto"/>
              <w:jc w:val="center"/>
              <w:rPr>
                <w:rFonts w:hint="eastAsia" w:ascii="宋体" w:hAnsi="宋体" w:cs="宋体"/>
                <w:color w:val="auto"/>
                <w:szCs w:val="21"/>
                <w:highlight w:val="none"/>
              </w:rPr>
            </w:pPr>
          </w:p>
        </w:tc>
        <w:tc>
          <w:tcPr>
            <w:tcW w:w="1720" w:type="dxa"/>
            <w:tcBorders>
              <w:left w:val="single" w:color="auto" w:sz="4" w:space="0"/>
              <w:right w:val="single" w:color="auto" w:sz="4" w:space="0"/>
            </w:tcBorders>
            <w:vAlign w:val="center"/>
          </w:tcPr>
          <w:p w14:paraId="15A45971">
            <w:pPr>
              <w:spacing w:line="360" w:lineRule="auto"/>
              <w:jc w:val="center"/>
              <w:rPr>
                <w:rFonts w:hint="eastAsia" w:ascii="宋体" w:hAnsi="宋体" w:cs="宋体"/>
                <w:color w:val="auto"/>
                <w:szCs w:val="21"/>
                <w:highlight w:val="none"/>
              </w:rPr>
            </w:pPr>
          </w:p>
        </w:tc>
        <w:tc>
          <w:tcPr>
            <w:tcW w:w="950" w:type="dxa"/>
            <w:vAlign w:val="center"/>
          </w:tcPr>
          <w:p w14:paraId="750932F3">
            <w:pPr>
              <w:spacing w:line="360" w:lineRule="auto"/>
              <w:jc w:val="center"/>
              <w:rPr>
                <w:rFonts w:hint="eastAsia" w:ascii="宋体" w:hAnsi="宋体" w:cs="宋体"/>
                <w:color w:val="auto"/>
                <w:szCs w:val="21"/>
                <w:highlight w:val="none"/>
              </w:rPr>
            </w:pPr>
          </w:p>
        </w:tc>
      </w:tr>
    </w:tbl>
    <w:p w14:paraId="4865DC61">
      <w:pPr>
        <w:pStyle w:val="25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磋商响应单位（盖章）：</w:t>
      </w:r>
    </w:p>
    <w:p w14:paraId="09ACD22B">
      <w:pPr>
        <w:pStyle w:val="25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法定代表人或委托代理人：（签字或盖章）</w:t>
      </w:r>
    </w:p>
    <w:p w14:paraId="612590A0">
      <w:pPr>
        <w:pStyle w:val="25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日期：</w:t>
      </w:r>
    </w:p>
    <w:p w14:paraId="197E2965">
      <w:pPr>
        <w:rPr>
          <w:rFonts w:hint="eastAsia" w:ascii="宋体" w:hAnsi="宋体" w:cs="宋体"/>
          <w:color w:val="auto"/>
          <w:highlight w:val="none"/>
        </w:rPr>
      </w:pPr>
    </w:p>
    <w:p w14:paraId="0227EBD2">
      <w:pPr>
        <w:rPr>
          <w:rFonts w:hint="eastAsia" w:ascii="宋体" w:hAnsi="宋体" w:cs="宋体"/>
          <w:color w:val="auto"/>
          <w:highlight w:val="none"/>
        </w:rPr>
      </w:pPr>
    </w:p>
    <w:p w14:paraId="2D3522B0">
      <w:pPr>
        <w:rPr>
          <w:rFonts w:hint="eastAsia" w:ascii="宋体" w:hAnsi="宋体" w:cs="宋体"/>
          <w:color w:val="auto"/>
          <w:highlight w:val="none"/>
        </w:rPr>
      </w:pPr>
    </w:p>
    <w:p w14:paraId="2BEC1244">
      <w:pPr>
        <w:pageBreakBefore/>
        <w:spacing w:line="360" w:lineRule="auto"/>
        <w:outlineLvl w:val="1"/>
        <w:rPr>
          <w:rFonts w:hint="eastAsia" w:ascii="宋体" w:hAnsi="宋体" w:cs="宋体"/>
          <w:color w:val="auto"/>
          <w:szCs w:val="21"/>
          <w:highlight w:val="none"/>
        </w:rPr>
      </w:pPr>
      <w:r>
        <w:rPr>
          <w:rFonts w:hint="eastAsia" w:ascii="宋体" w:hAnsi="宋体" w:cs="宋体"/>
          <w:b/>
          <w:color w:val="auto"/>
          <w:szCs w:val="21"/>
          <w:highlight w:val="none"/>
        </w:rPr>
        <w:t>附件12：中小企业声明函（参考格式）</w:t>
      </w:r>
    </w:p>
    <w:p w14:paraId="4D03AC88">
      <w:pPr>
        <w:spacing w:line="400" w:lineRule="exact"/>
        <w:jc w:val="center"/>
        <w:rPr>
          <w:rFonts w:hint="eastAsia" w:ascii="宋体" w:hAnsi="宋体" w:cs="宋体"/>
          <w:color w:val="auto"/>
          <w:highlight w:val="none"/>
        </w:rPr>
      </w:pPr>
    </w:p>
    <w:p w14:paraId="28C31A9E">
      <w:pPr>
        <w:spacing w:line="360" w:lineRule="auto"/>
        <w:jc w:val="center"/>
        <w:rPr>
          <w:rFonts w:hint="eastAsia" w:ascii="宋体" w:hAnsi="宋体" w:cs="宋体"/>
          <w:color w:val="auto"/>
          <w:highlight w:val="none"/>
        </w:rPr>
      </w:pPr>
      <w:r>
        <w:rPr>
          <w:rFonts w:hint="eastAsia" w:ascii="宋体" w:hAnsi="宋体" w:cs="宋体"/>
          <w:color w:val="auto"/>
          <w:highlight w:val="none"/>
        </w:rPr>
        <w:t xml:space="preserve">中小企业声明函（服务） </w:t>
      </w:r>
    </w:p>
    <w:p w14:paraId="4FBFA33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本公司（或联合体）郑重声明，根据《政府采购促进中小企业发展管理办法》（财库﹝2020﹞46 号）的规定，本公司 （或联合体）参加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采购活动，服务全部由符合政策要求的中小企业承接。相关企业（含联合体中的中小企业、签订分包意向协议的中小企业）的具体情况如下： </w:t>
      </w:r>
    </w:p>
    <w:p w14:paraId="696DE66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（租赁和商务服务业）</w:t>
      </w:r>
      <w:r>
        <w:rPr>
          <w:rFonts w:hint="eastAsia" w:ascii="宋体" w:hAnsi="宋体" w:cs="宋体"/>
          <w:color w:val="auto"/>
          <w:highlight w:val="none"/>
        </w:rPr>
        <w:t>； 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，从业人员人，营业收入为万元，资产总额为万元</w:t>
      </w:r>
      <w:r>
        <w:rPr>
          <w:rFonts w:hint="eastAsia" w:ascii="宋体" w:hAnsi="宋体" w:cs="宋体"/>
          <w:color w:val="auto"/>
          <w:highlight w:val="none"/>
          <w:vertAlign w:val="superscript"/>
        </w:rPr>
        <w:t>1</w:t>
      </w:r>
      <w:r>
        <w:rPr>
          <w:rFonts w:hint="eastAsia" w:ascii="宋体" w:hAnsi="宋体" w:cs="宋体"/>
          <w:color w:val="auto"/>
          <w:highlight w:val="none"/>
        </w:rPr>
        <w:t>，属于</w:t>
      </w:r>
      <w:r>
        <w:rPr>
          <w:rFonts w:hint="eastAsia" w:ascii="宋体" w:hAnsi="宋体" w:cs="宋体"/>
          <w:color w:val="auto"/>
          <w:highlight w:val="none"/>
          <w:u w:val="single"/>
        </w:rPr>
        <w:t>（中型企业、 小型企业、微型企业）</w:t>
      </w:r>
      <w:r>
        <w:rPr>
          <w:rFonts w:hint="eastAsia" w:ascii="宋体" w:hAnsi="宋体" w:cs="宋体"/>
          <w:color w:val="auto"/>
          <w:highlight w:val="none"/>
        </w:rPr>
        <w:t xml:space="preserve">； </w:t>
      </w:r>
    </w:p>
    <w:p w14:paraId="5A06917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（租赁和商务服务业）</w:t>
      </w:r>
      <w:r>
        <w:rPr>
          <w:rFonts w:hint="eastAsia" w:ascii="宋体" w:hAnsi="宋体" w:cs="宋体"/>
          <w:color w:val="auto"/>
          <w:highlight w:val="none"/>
        </w:rPr>
        <w:t>； 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，从业人员人，营业收入为万元，资产总额为万元</w:t>
      </w:r>
      <w:r>
        <w:rPr>
          <w:rFonts w:hint="eastAsia" w:ascii="宋体" w:hAnsi="宋体" w:cs="宋体"/>
          <w:color w:val="auto"/>
          <w:highlight w:val="none"/>
          <w:vertAlign w:val="superscript"/>
        </w:rPr>
        <w:t>1</w:t>
      </w:r>
      <w:r>
        <w:rPr>
          <w:rFonts w:hint="eastAsia" w:ascii="宋体" w:hAnsi="宋体" w:cs="宋体"/>
          <w:color w:val="auto"/>
          <w:highlight w:val="none"/>
        </w:rPr>
        <w:t>，属于</w:t>
      </w:r>
      <w:r>
        <w:rPr>
          <w:rFonts w:hint="eastAsia" w:ascii="宋体" w:hAnsi="宋体" w:cs="宋体"/>
          <w:color w:val="auto"/>
          <w:highlight w:val="none"/>
          <w:u w:val="single"/>
        </w:rPr>
        <w:t>（中型企业、 小型企业、微型企业）</w:t>
      </w:r>
      <w:r>
        <w:rPr>
          <w:rFonts w:hint="eastAsia" w:ascii="宋体" w:hAnsi="宋体" w:cs="宋体"/>
          <w:color w:val="auto"/>
          <w:highlight w:val="none"/>
        </w:rPr>
        <w:t>；</w:t>
      </w:r>
    </w:p>
    <w:p w14:paraId="6A2220D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 xml:space="preserve"> …… </w:t>
      </w:r>
    </w:p>
    <w:p w14:paraId="43B6D3A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79567205">
      <w:pPr>
        <w:spacing w:line="360" w:lineRule="auto"/>
        <w:ind w:left="4200"/>
        <w:rPr>
          <w:rFonts w:hint="eastAsia" w:ascii="宋体" w:hAnsi="宋体" w:cs="宋体"/>
          <w:color w:val="auto"/>
          <w:highlight w:val="none"/>
        </w:rPr>
      </w:pPr>
    </w:p>
    <w:p w14:paraId="250AB588">
      <w:pPr>
        <w:spacing w:line="360" w:lineRule="auto"/>
        <w:ind w:left="4200"/>
        <w:rPr>
          <w:rFonts w:hint="eastAsia" w:ascii="宋体" w:hAnsi="宋体" w:cs="宋体"/>
          <w:color w:val="auto"/>
          <w:highlight w:val="none"/>
        </w:rPr>
      </w:pPr>
      <w:r>
        <w:rPr>
          <w:rFonts w:hint="eastAsia" w:ascii="宋体" w:hAnsi="宋体" w:cs="宋体"/>
          <w:color w:val="auto"/>
          <w:highlight w:val="none"/>
        </w:rPr>
        <w:t>企业名称（盖章）：</w:t>
      </w:r>
    </w:p>
    <w:p w14:paraId="6AC95E53">
      <w:pPr>
        <w:spacing w:line="360" w:lineRule="auto"/>
        <w:ind w:left="4200"/>
        <w:rPr>
          <w:rFonts w:hint="eastAsia" w:ascii="宋体" w:hAnsi="宋体" w:cs="宋体"/>
          <w:color w:val="auto"/>
          <w:sz w:val="32"/>
          <w:szCs w:val="32"/>
          <w:highlight w:val="none"/>
          <w:lang w:val="zh-CN"/>
        </w:rPr>
      </w:pPr>
      <w:r>
        <w:rPr>
          <w:rFonts w:hint="eastAsia" w:ascii="宋体" w:hAnsi="宋体" w:cs="宋体"/>
          <w:color w:val="auto"/>
          <w:highlight w:val="none"/>
        </w:rPr>
        <w:t>日 期：</w:t>
      </w:r>
    </w:p>
    <w:p w14:paraId="62C7364A">
      <w:pPr>
        <w:spacing w:line="360" w:lineRule="auto"/>
        <w:jc w:val="left"/>
        <w:rPr>
          <w:rFonts w:hint="eastAsia" w:ascii="宋体" w:hAnsi="宋体" w:cs="宋体"/>
          <w:color w:val="auto"/>
          <w:highlight w:val="none"/>
        </w:rPr>
      </w:pPr>
    </w:p>
    <w:p w14:paraId="4B131D4D">
      <w:pPr>
        <w:spacing w:line="360" w:lineRule="auto"/>
        <w:jc w:val="left"/>
        <w:rPr>
          <w:rFonts w:hint="eastAsia" w:ascii="宋体" w:hAnsi="宋体" w:cs="宋体"/>
          <w:color w:val="auto"/>
          <w:highlight w:val="none"/>
        </w:rPr>
      </w:pPr>
    </w:p>
    <w:p w14:paraId="30FA7162">
      <w:pPr>
        <w:pStyle w:val="36"/>
        <w:spacing w:line="240" w:lineRule="auto"/>
        <w:ind w:firstLine="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备注：1.从业人员、营业收入、资产总额填报上一年度数据，无上一年度数据的新成立企业可不填报。</w:t>
      </w:r>
    </w:p>
    <w:p w14:paraId="132BC285">
      <w:pPr>
        <w:pStyle w:val="36"/>
        <w:spacing w:line="240" w:lineRule="auto"/>
        <w:ind w:firstLine="63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服务类项目中供应商若使用退休人员，将不享受相应扶持政策。</w:t>
      </w:r>
    </w:p>
    <w:p w14:paraId="1F0CC6A9">
      <w:pPr>
        <w:pStyle w:val="36"/>
        <w:spacing w:line="240" w:lineRule="auto"/>
        <w:ind w:firstLine="630"/>
        <w:rPr>
          <w:rFonts w:hint="eastAsia" w:ascii="宋体" w:hAnsi="宋体" w:cs="宋体"/>
          <w:color w:val="auto"/>
          <w:sz w:val="21"/>
          <w:szCs w:val="24"/>
          <w:highlight w:val="none"/>
        </w:rPr>
      </w:pPr>
      <w:r>
        <w:rPr>
          <w:rFonts w:hint="eastAsia" w:ascii="宋体" w:hAnsi="宋体" w:cs="宋体"/>
          <w:b w:val="0"/>
          <w:bCs w:val="0"/>
          <w:color w:val="auto"/>
          <w:sz w:val="21"/>
          <w:szCs w:val="24"/>
          <w:highlight w:val="none"/>
        </w:rPr>
        <w:t>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本采购标的对应的中小企业划分标准所属行业，以采购文件中具体规定为准。</w:t>
      </w:r>
    </w:p>
    <w:p w14:paraId="65CFD44D">
      <w:pPr>
        <w:pStyle w:val="36"/>
        <w:spacing w:line="240" w:lineRule="auto"/>
        <w:ind w:firstLine="632"/>
        <w:rPr>
          <w:rFonts w:hint="eastAsia" w:ascii="宋体" w:hAnsi="宋体" w:cs="宋体"/>
          <w:color w:val="auto"/>
          <w:sz w:val="21"/>
          <w:szCs w:val="24"/>
          <w:highlight w:val="none"/>
        </w:rPr>
      </w:pPr>
      <w:r>
        <w:rPr>
          <w:rFonts w:hint="eastAsia" w:ascii="宋体" w:hAnsi="宋体" w:cs="宋体"/>
          <w:color w:val="auto"/>
          <w:sz w:val="21"/>
          <w:szCs w:val="24"/>
          <w:highlight w:val="none"/>
        </w:rPr>
        <w:t>4.如未对（中型企业、小型企业、微型企业）进行勾选，视同非中小微企业，不可享受相应扶持政策。</w:t>
      </w:r>
    </w:p>
    <w:p w14:paraId="3EE0B5A8">
      <w:pPr>
        <w:pStyle w:val="228"/>
        <w:spacing w:line="360" w:lineRule="auto"/>
        <w:ind w:left="840" w:hanging="210"/>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rPr>
        <w:t>5.成交单位为中小企业的，《中小企业声明函》将随成交结果同时公告</w:t>
      </w:r>
      <w:r>
        <w:rPr>
          <w:rFonts w:hint="eastAsia" w:hAnsi="宋体" w:eastAsia="宋体" w:cs="宋体"/>
          <w:color w:val="auto"/>
          <w:sz w:val="21"/>
          <w:szCs w:val="24"/>
          <w:highlight w:val="none"/>
          <w:lang w:val="zh-CN"/>
        </w:rPr>
        <w:t>。</w:t>
      </w:r>
    </w:p>
    <w:p w14:paraId="3B1C3A68">
      <w:pPr>
        <w:pStyle w:val="228"/>
        <w:spacing w:line="360" w:lineRule="auto"/>
        <w:ind w:left="840" w:hanging="210"/>
        <w:rPr>
          <w:rFonts w:hint="eastAsia" w:hAnsi="宋体" w:eastAsia="宋体" w:cs="宋体"/>
          <w:color w:val="auto"/>
          <w:sz w:val="21"/>
          <w:szCs w:val="24"/>
          <w:highlight w:val="none"/>
          <w:lang w:val="zh-CN"/>
        </w:rPr>
      </w:pPr>
    </w:p>
    <w:p w14:paraId="569B099B">
      <w:pPr>
        <w:rPr>
          <w:rFonts w:hint="eastAsia" w:ascii="宋体" w:hAnsi="宋体"/>
          <w:b/>
          <w:color w:val="auto"/>
          <w:highlight w:val="none"/>
        </w:rPr>
      </w:pPr>
      <w:r>
        <w:rPr>
          <w:rFonts w:hint="eastAsia" w:ascii="宋体" w:hAnsi="宋体"/>
          <w:b/>
          <w:color w:val="auto"/>
          <w:highlight w:val="none"/>
        </w:rPr>
        <w:t>附：中小企业划型标准规定</w:t>
      </w:r>
    </w:p>
    <w:p w14:paraId="0ED1F0FE">
      <w:pPr>
        <w:ind w:firstLine="422"/>
        <w:rPr>
          <w:rFonts w:hint="eastAsia" w:ascii="宋体" w:hAnsi="宋体"/>
          <w:color w:val="auto"/>
          <w:highlight w:val="none"/>
        </w:rPr>
      </w:pPr>
      <w:r>
        <w:rPr>
          <w:rFonts w:hint="eastAsia" w:ascii="宋体" w:hAnsi="宋体"/>
          <w:b/>
          <w:color w:val="auto"/>
          <w:highlight w:val="none"/>
        </w:rPr>
        <w:t>（一）农、林、牧、渔业。</w:t>
      </w:r>
      <w:r>
        <w:rPr>
          <w:rFonts w:hint="eastAsia" w:ascii="宋体" w:hAnsi="宋体"/>
          <w:color w:val="auto"/>
          <w:highlight w:val="none"/>
        </w:rPr>
        <w:t>营业收入20000万元以下的为中小微型企业。其中，营业收入500万元及以上的为中型企业，营业收入50万元及以上的为小型企业，营业收入50万元以下的为微型企业。</w:t>
      </w:r>
    </w:p>
    <w:p w14:paraId="52EA34D3">
      <w:pPr>
        <w:ind w:firstLine="422"/>
        <w:rPr>
          <w:rFonts w:hint="eastAsia" w:ascii="宋体" w:hAnsi="宋体"/>
          <w:color w:val="auto"/>
          <w:highlight w:val="none"/>
        </w:rPr>
      </w:pPr>
      <w:r>
        <w:rPr>
          <w:rFonts w:hint="eastAsia" w:ascii="宋体" w:hAnsi="宋体"/>
          <w:b/>
          <w:color w:val="auto"/>
          <w:highlight w:val="none"/>
        </w:rPr>
        <w:t>（二）工业。</w:t>
      </w:r>
      <w:r>
        <w:rPr>
          <w:rFonts w:hint="eastAsia" w:ascii="宋体" w:hAnsi="宋体"/>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9F3D034">
      <w:pPr>
        <w:ind w:firstLine="422"/>
        <w:rPr>
          <w:rFonts w:hint="eastAsia" w:ascii="宋体" w:hAnsi="宋体"/>
          <w:color w:val="auto"/>
          <w:highlight w:val="none"/>
        </w:rPr>
      </w:pPr>
      <w:r>
        <w:rPr>
          <w:rFonts w:hint="eastAsia" w:ascii="宋体" w:hAnsi="宋体"/>
          <w:b/>
          <w:color w:val="auto"/>
          <w:highlight w:val="none"/>
        </w:rPr>
        <w:t>（三）建筑业。</w:t>
      </w:r>
      <w:r>
        <w:rPr>
          <w:rFonts w:hint="eastAsia" w:ascii="宋体" w:hAnsi="宋体"/>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90D04C">
      <w:pPr>
        <w:ind w:firstLine="422"/>
        <w:rPr>
          <w:rFonts w:hint="eastAsia" w:ascii="宋体" w:hAnsi="宋体"/>
          <w:color w:val="auto"/>
          <w:highlight w:val="none"/>
        </w:rPr>
      </w:pPr>
      <w:r>
        <w:rPr>
          <w:rFonts w:hint="eastAsia" w:ascii="宋体" w:hAnsi="宋体"/>
          <w:b/>
          <w:color w:val="auto"/>
          <w:highlight w:val="none"/>
        </w:rPr>
        <w:t>（四）批发业。</w:t>
      </w:r>
      <w:r>
        <w:rPr>
          <w:rFonts w:hint="eastAsia" w:ascii="宋体" w:hAnsi="宋体"/>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2D8999C">
      <w:pPr>
        <w:ind w:firstLine="422"/>
        <w:rPr>
          <w:rFonts w:hint="eastAsia" w:ascii="宋体" w:hAnsi="宋体"/>
          <w:color w:val="auto"/>
          <w:highlight w:val="none"/>
        </w:rPr>
      </w:pPr>
      <w:r>
        <w:rPr>
          <w:rFonts w:hint="eastAsia" w:ascii="宋体" w:hAnsi="宋体"/>
          <w:b/>
          <w:color w:val="auto"/>
          <w:highlight w:val="none"/>
        </w:rPr>
        <w:t>（五）零售业。</w:t>
      </w:r>
      <w:r>
        <w:rPr>
          <w:rFonts w:hint="eastAsia" w:ascii="宋体" w:hAnsi="宋体"/>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FE7AC1">
      <w:pPr>
        <w:ind w:firstLine="422"/>
        <w:rPr>
          <w:rFonts w:hint="eastAsia" w:ascii="宋体" w:hAnsi="宋体"/>
          <w:color w:val="auto"/>
          <w:highlight w:val="none"/>
        </w:rPr>
      </w:pPr>
      <w:r>
        <w:rPr>
          <w:rFonts w:hint="eastAsia" w:ascii="宋体" w:hAnsi="宋体"/>
          <w:b/>
          <w:color w:val="auto"/>
          <w:highlight w:val="none"/>
        </w:rPr>
        <w:t>（六）交通运输业。</w:t>
      </w:r>
      <w:r>
        <w:rPr>
          <w:rFonts w:hint="eastAsia" w:ascii="宋体" w:hAnsi="宋体"/>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3DA754C">
      <w:pPr>
        <w:ind w:firstLine="422"/>
        <w:rPr>
          <w:rFonts w:hint="eastAsia" w:ascii="宋体" w:hAnsi="宋体"/>
          <w:color w:val="auto"/>
          <w:highlight w:val="none"/>
        </w:rPr>
      </w:pPr>
      <w:r>
        <w:rPr>
          <w:rFonts w:hint="eastAsia" w:ascii="宋体" w:hAnsi="宋体"/>
          <w:b/>
          <w:color w:val="auto"/>
          <w:highlight w:val="none"/>
        </w:rPr>
        <w:t>（七）仓储业。</w:t>
      </w:r>
      <w:r>
        <w:rPr>
          <w:rFonts w:hint="eastAsia" w:ascii="宋体" w:hAnsi="宋体"/>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9912A00">
      <w:pPr>
        <w:ind w:firstLine="422"/>
        <w:rPr>
          <w:rFonts w:hint="eastAsia" w:ascii="宋体" w:hAnsi="宋体"/>
          <w:color w:val="auto"/>
          <w:highlight w:val="none"/>
        </w:rPr>
      </w:pPr>
      <w:r>
        <w:rPr>
          <w:rFonts w:hint="eastAsia" w:ascii="宋体" w:hAnsi="宋体"/>
          <w:b/>
          <w:color w:val="auto"/>
          <w:highlight w:val="none"/>
        </w:rPr>
        <w:t>（八）邮政业。</w:t>
      </w:r>
      <w:r>
        <w:rPr>
          <w:rFonts w:hint="eastAsia" w:ascii="宋体" w:hAnsi="宋体"/>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6C4D8D8">
      <w:pPr>
        <w:ind w:firstLine="422"/>
        <w:rPr>
          <w:rFonts w:hint="eastAsia" w:ascii="宋体" w:hAnsi="宋体"/>
          <w:color w:val="auto"/>
          <w:highlight w:val="none"/>
        </w:rPr>
      </w:pPr>
      <w:r>
        <w:rPr>
          <w:rFonts w:hint="eastAsia" w:ascii="宋体" w:hAnsi="宋体"/>
          <w:b/>
          <w:color w:val="auto"/>
          <w:highlight w:val="none"/>
        </w:rPr>
        <w:t>（九）住宿业。</w:t>
      </w:r>
      <w:r>
        <w:rPr>
          <w:rFonts w:hint="eastAsia" w:ascii="宋体" w:hAnsi="宋体"/>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795FD5B">
      <w:pPr>
        <w:ind w:firstLine="422"/>
        <w:rPr>
          <w:rFonts w:hint="eastAsia" w:ascii="宋体" w:hAnsi="宋体"/>
          <w:color w:val="auto"/>
          <w:highlight w:val="none"/>
        </w:rPr>
      </w:pPr>
      <w:r>
        <w:rPr>
          <w:rFonts w:hint="eastAsia" w:ascii="宋体" w:hAnsi="宋体"/>
          <w:b/>
          <w:color w:val="auto"/>
          <w:highlight w:val="none"/>
        </w:rPr>
        <w:t>（十）餐饮业。</w:t>
      </w:r>
      <w:r>
        <w:rPr>
          <w:rFonts w:hint="eastAsia" w:ascii="宋体" w:hAnsi="宋体"/>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E3996BC">
      <w:pPr>
        <w:ind w:firstLine="422"/>
        <w:rPr>
          <w:rFonts w:hint="eastAsia" w:ascii="宋体" w:hAnsi="宋体"/>
          <w:color w:val="auto"/>
          <w:highlight w:val="none"/>
        </w:rPr>
      </w:pPr>
      <w:r>
        <w:rPr>
          <w:rFonts w:hint="eastAsia" w:ascii="宋体" w:hAnsi="宋体"/>
          <w:b/>
          <w:color w:val="auto"/>
          <w:highlight w:val="none"/>
        </w:rPr>
        <w:t>（十一）信息传输业。</w:t>
      </w:r>
      <w:r>
        <w:rPr>
          <w:rFonts w:hint="eastAsia" w:ascii="宋体" w:hAnsi="宋体"/>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9C4B2B3">
      <w:pPr>
        <w:ind w:firstLine="422"/>
        <w:rPr>
          <w:rFonts w:hint="eastAsia" w:ascii="宋体" w:hAnsi="宋体"/>
          <w:color w:val="auto"/>
          <w:highlight w:val="none"/>
        </w:rPr>
      </w:pPr>
      <w:r>
        <w:rPr>
          <w:rFonts w:hint="eastAsia" w:ascii="宋体" w:hAnsi="宋体"/>
          <w:b/>
          <w:color w:val="auto"/>
          <w:highlight w:val="none"/>
        </w:rPr>
        <w:t>（十二）软件和信息技术服务业。</w:t>
      </w:r>
      <w:r>
        <w:rPr>
          <w:rFonts w:hint="eastAsia" w:ascii="宋体" w:hAnsi="宋体"/>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1503CB9">
      <w:pPr>
        <w:ind w:firstLine="422"/>
        <w:rPr>
          <w:rFonts w:hint="eastAsia" w:ascii="宋体" w:hAnsi="宋体"/>
          <w:color w:val="auto"/>
          <w:highlight w:val="none"/>
        </w:rPr>
      </w:pPr>
      <w:r>
        <w:rPr>
          <w:rFonts w:hint="eastAsia" w:ascii="宋体" w:hAnsi="宋体"/>
          <w:b/>
          <w:color w:val="auto"/>
          <w:highlight w:val="none"/>
        </w:rPr>
        <w:t>（十三）房地产开发经营。</w:t>
      </w:r>
      <w:r>
        <w:rPr>
          <w:rFonts w:hint="eastAsia" w:ascii="宋体" w:hAnsi="宋体"/>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D1ED89E">
      <w:pPr>
        <w:ind w:firstLine="422"/>
        <w:rPr>
          <w:rFonts w:hint="eastAsia" w:ascii="宋体" w:hAnsi="宋体"/>
          <w:color w:val="auto"/>
          <w:highlight w:val="none"/>
        </w:rPr>
      </w:pPr>
      <w:r>
        <w:rPr>
          <w:rFonts w:hint="eastAsia" w:ascii="宋体" w:hAnsi="宋体"/>
          <w:b/>
          <w:color w:val="auto"/>
          <w:highlight w:val="none"/>
        </w:rPr>
        <w:t>（十四）物业管理。</w:t>
      </w:r>
      <w:r>
        <w:rPr>
          <w:rFonts w:hint="eastAsia" w:ascii="宋体" w:hAnsi="宋体"/>
          <w:color w:val="auto"/>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178117D">
      <w:pPr>
        <w:ind w:firstLine="422"/>
        <w:rPr>
          <w:rFonts w:hint="eastAsia" w:ascii="宋体" w:hAnsi="宋体"/>
          <w:color w:val="auto"/>
          <w:highlight w:val="none"/>
        </w:rPr>
      </w:pPr>
      <w:r>
        <w:rPr>
          <w:rFonts w:hint="eastAsia" w:ascii="宋体" w:hAnsi="宋体"/>
          <w:b/>
          <w:color w:val="auto"/>
          <w:highlight w:val="none"/>
        </w:rPr>
        <w:t>（十五）租赁和商务服务业。</w:t>
      </w:r>
      <w:r>
        <w:rPr>
          <w:rFonts w:hint="eastAsia" w:ascii="宋体" w:hAnsi="宋体"/>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AC43029">
      <w:pPr>
        <w:pStyle w:val="228"/>
        <w:ind w:firstLine="422"/>
        <w:rPr>
          <w:rFonts w:hint="eastAsia" w:hAnsi="宋体" w:eastAsia="宋体" w:cs="宋体"/>
          <w:color w:val="auto"/>
          <w:sz w:val="21"/>
          <w:szCs w:val="21"/>
          <w:highlight w:val="none"/>
          <w:lang w:val="zh-CN"/>
        </w:rPr>
      </w:pPr>
      <w:r>
        <w:rPr>
          <w:rFonts w:hint="eastAsia" w:hAnsi="宋体" w:eastAsia="宋体"/>
          <w:b/>
          <w:color w:val="auto"/>
          <w:sz w:val="21"/>
          <w:szCs w:val="24"/>
          <w:highlight w:val="none"/>
        </w:rPr>
        <w:t>（十六）其他未列明行业。</w:t>
      </w:r>
      <w:r>
        <w:rPr>
          <w:rFonts w:hint="eastAsia" w:hAnsi="宋体" w:eastAsia="宋体"/>
          <w:color w:val="auto"/>
          <w:sz w:val="21"/>
          <w:szCs w:val="24"/>
          <w:highlight w:val="none"/>
        </w:rPr>
        <w:t>从业人员300人以下的为中小微型企业。其中，从业人员100人及以上的为中型企业；从业人员10人及以上的为小型企业；从业人员10人以下的为微型企业。</w:t>
      </w:r>
    </w:p>
    <w:p w14:paraId="252BAB70">
      <w:pPr>
        <w:pStyle w:val="228"/>
        <w:spacing w:line="360" w:lineRule="auto"/>
        <w:ind w:left="840" w:hanging="210"/>
        <w:rPr>
          <w:rFonts w:hint="eastAsia" w:hAnsi="宋体" w:eastAsia="宋体" w:cs="宋体"/>
          <w:color w:val="auto"/>
          <w:sz w:val="21"/>
          <w:szCs w:val="21"/>
          <w:highlight w:val="none"/>
          <w:lang w:val="zh-CN"/>
        </w:rPr>
      </w:pPr>
    </w:p>
    <w:p w14:paraId="74E4F570">
      <w:pPr>
        <w:pStyle w:val="228"/>
        <w:spacing w:line="360" w:lineRule="auto"/>
        <w:ind w:left="840" w:hanging="210"/>
        <w:rPr>
          <w:rFonts w:hint="eastAsia" w:hAnsi="宋体" w:eastAsia="宋体" w:cs="宋体"/>
          <w:color w:val="auto"/>
          <w:sz w:val="21"/>
          <w:szCs w:val="21"/>
          <w:highlight w:val="none"/>
          <w:lang w:val="zh-CN"/>
        </w:rPr>
      </w:pPr>
    </w:p>
    <w:p w14:paraId="6DCCA1D7">
      <w:pPr>
        <w:spacing w:line="400" w:lineRule="exact"/>
        <w:jc w:val="center"/>
        <w:rPr>
          <w:rFonts w:hint="eastAsia" w:ascii="宋体" w:hAnsi="宋体" w:cs="宋体"/>
          <w:color w:val="auto"/>
          <w:sz w:val="32"/>
          <w:szCs w:val="32"/>
          <w:highlight w:val="none"/>
          <w:lang w:val="zh-CN"/>
        </w:rPr>
      </w:pPr>
    </w:p>
    <w:p w14:paraId="068697A8">
      <w:pPr>
        <w:spacing w:line="360" w:lineRule="auto"/>
        <w:jc w:val="right"/>
        <w:rPr>
          <w:rFonts w:hint="eastAsia" w:ascii="宋体" w:hAnsi="宋体" w:cs="宋体"/>
          <w:color w:val="auto"/>
          <w:szCs w:val="21"/>
          <w:highlight w:val="none"/>
        </w:rPr>
      </w:pPr>
    </w:p>
    <w:p w14:paraId="28C6D8F0">
      <w:pPr>
        <w:pageBreakBefore/>
        <w:spacing w:line="360" w:lineRule="auto"/>
        <w:outlineLvl w:val="1"/>
        <w:rPr>
          <w:rFonts w:hint="eastAsia" w:ascii="宋体" w:hAnsi="宋体" w:cs="宋体"/>
          <w:b/>
          <w:color w:val="auto"/>
          <w:szCs w:val="21"/>
          <w:highlight w:val="none"/>
        </w:rPr>
      </w:pPr>
      <w:r>
        <w:rPr>
          <w:rFonts w:hint="eastAsia" w:ascii="宋体" w:hAnsi="宋体" w:cs="宋体"/>
          <w:b/>
          <w:color w:val="auto"/>
          <w:highlight w:val="none"/>
        </w:rPr>
        <w:t>附件13：</w:t>
      </w:r>
      <w:r>
        <w:rPr>
          <w:rFonts w:hint="eastAsia" w:ascii="宋体" w:hAnsi="宋体" w:cs="宋体"/>
          <w:b/>
          <w:color w:val="auto"/>
          <w:szCs w:val="21"/>
          <w:highlight w:val="none"/>
        </w:rPr>
        <w:t>残疾人福利性单位声明函</w:t>
      </w:r>
    </w:p>
    <w:p w14:paraId="70E8C4FA">
      <w:pPr>
        <w:spacing w:line="360" w:lineRule="auto"/>
        <w:jc w:val="center"/>
        <w:rPr>
          <w:rFonts w:hint="eastAsia" w:ascii="宋体" w:hAnsi="宋体" w:cs="宋体"/>
          <w:b/>
          <w:color w:val="auto"/>
          <w:spacing w:val="6"/>
          <w:szCs w:val="21"/>
          <w:highlight w:val="none"/>
        </w:rPr>
      </w:pPr>
    </w:p>
    <w:p w14:paraId="6EA8B6E4">
      <w:pPr>
        <w:spacing w:line="360" w:lineRule="auto"/>
        <w:jc w:val="center"/>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t>残疾人福利性单位声明函</w:t>
      </w:r>
    </w:p>
    <w:p w14:paraId="7EC8090C">
      <w:pPr>
        <w:spacing w:line="360" w:lineRule="auto"/>
        <w:rPr>
          <w:rFonts w:hint="eastAsia" w:ascii="宋体" w:hAnsi="宋体" w:cs="宋体"/>
          <w:b/>
          <w:color w:val="auto"/>
          <w:spacing w:val="6"/>
          <w:szCs w:val="21"/>
          <w:highlight w:val="none"/>
        </w:rPr>
      </w:pPr>
    </w:p>
    <w:p w14:paraId="1AA4F018">
      <w:pPr>
        <w:spacing w:line="360" w:lineRule="auto"/>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E5F4B82">
      <w:pPr>
        <w:spacing w:line="360" w:lineRule="auto"/>
        <w:ind w:firstLine="444"/>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49F550D1">
      <w:pPr>
        <w:spacing w:line="360" w:lineRule="auto"/>
        <w:ind w:firstLine="444"/>
        <w:rPr>
          <w:rFonts w:hint="eastAsia" w:ascii="宋体" w:hAnsi="宋体" w:cs="宋体"/>
          <w:color w:val="auto"/>
          <w:spacing w:val="6"/>
          <w:szCs w:val="21"/>
          <w:highlight w:val="none"/>
        </w:rPr>
      </w:pPr>
    </w:p>
    <w:p w14:paraId="705B96B3">
      <w:pPr>
        <w:spacing w:line="360" w:lineRule="auto"/>
        <w:ind w:left="4200"/>
        <w:rPr>
          <w:rFonts w:hint="eastAsia" w:ascii="宋体" w:hAnsi="宋体" w:cs="宋体"/>
          <w:color w:val="auto"/>
          <w:highlight w:val="none"/>
        </w:rPr>
      </w:pPr>
      <w:r>
        <w:rPr>
          <w:rFonts w:hint="eastAsia" w:ascii="宋体" w:hAnsi="宋体" w:cs="宋体"/>
          <w:color w:val="auto"/>
          <w:highlight w:val="none"/>
        </w:rPr>
        <w:t>单位名称（盖章）：</w:t>
      </w:r>
    </w:p>
    <w:p w14:paraId="1A356690">
      <w:pPr>
        <w:spacing w:line="360" w:lineRule="auto"/>
        <w:ind w:left="4200"/>
        <w:rPr>
          <w:rFonts w:hint="eastAsia" w:ascii="宋体" w:hAnsi="宋体" w:cs="宋体"/>
          <w:color w:val="auto"/>
          <w:highlight w:val="none"/>
        </w:rPr>
      </w:pPr>
      <w:r>
        <w:rPr>
          <w:rFonts w:hint="eastAsia" w:ascii="宋体" w:hAnsi="宋体" w:cs="宋体"/>
          <w:color w:val="auto"/>
          <w:highlight w:val="none"/>
        </w:rPr>
        <w:t>日  期：</w:t>
      </w:r>
    </w:p>
    <w:p w14:paraId="5268D864">
      <w:pPr>
        <w:spacing w:line="360" w:lineRule="auto"/>
        <w:ind w:firstLine="333"/>
        <w:rPr>
          <w:rFonts w:hint="eastAsia" w:ascii="宋体" w:hAnsi="宋体" w:cs="宋体"/>
          <w:color w:val="auto"/>
          <w:spacing w:val="6"/>
          <w:szCs w:val="21"/>
          <w:highlight w:val="none"/>
        </w:rPr>
      </w:pPr>
    </w:p>
    <w:p w14:paraId="2EED6640">
      <w:pPr>
        <w:spacing w:line="360" w:lineRule="auto"/>
        <w:ind w:firstLine="333"/>
        <w:rPr>
          <w:rFonts w:hint="eastAsia" w:ascii="宋体" w:hAnsi="宋体" w:cs="宋体"/>
          <w:color w:val="auto"/>
          <w:spacing w:val="6"/>
          <w:szCs w:val="21"/>
          <w:highlight w:val="none"/>
        </w:rPr>
      </w:pPr>
    </w:p>
    <w:p w14:paraId="2412767B">
      <w:pPr>
        <w:spacing w:line="360" w:lineRule="auto"/>
        <w:ind w:left="666" w:hanging="666"/>
        <w:rPr>
          <w:rFonts w:hint="eastAsia" w:ascii="宋体" w:hAnsi="宋体" w:cs="宋体"/>
          <w:color w:val="auto"/>
          <w:spacing w:val="6"/>
          <w:szCs w:val="21"/>
          <w:highlight w:val="none"/>
        </w:rPr>
      </w:pPr>
      <w:r>
        <w:rPr>
          <w:rFonts w:hint="eastAsia" w:ascii="宋体" w:hAnsi="宋体" w:cs="宋体"/>
          <w:color w:val="auto"/>
          <w:spacing w:val="6"/>
          <w:szCs w:val="21"/>
          <w:highlight w:val="none"/>
        </w:rPr>
        <w:t>备注：1、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143445E4">
      <w:pPr>
        <w:pStyle w:val="24"/>
        <w:spacing w:line="360" w:lineRule="auto"/>
        <w:rPr>
          <w:rFonts w:hint="eastAsia" w:hAnsi="宋体" w:eastAsia="宋体" w:cs="宋体"/>
          <w:b/>
          <w:color w:val="auto"/>
          <w:sz w:val="21"/>
          <w:szCs w:val="21"/>
          <w:highlight w:val="none"/>
        </w:rPr>
        <w:sectPr>
          <w:pgSz w:w="11906" w:h="16838"/>
          <w:pgMar w:top="1134" w:right="1134" w:bottom="1134" w:left="1134" w:header="680" w:footer="680" w:gutter="0"/>
          <w:cols w:space="720" w:num="1"/>
          <w:docGrid w:linePitch="360" w:charSpace="0"/>
        </w:sectPr>
      </w:pPr>
    </w:p>
    <w:p w14:paraId="34054FDB">
      <w:pPr>
        <w:jc w:val="left"/>
        <w:outlineLvl w:val="0"/>
        <w:rPr>
          <w:rFonts w:hint="eastAsia" w:ascii="宋体" w:hAnsi="宋体"/>
          <w:b/>
          <w:color w:val="auto"/>
          <w:sz w:val="24"/>
          <w:highlight w:val="none"/>
        </w:rPr>
      </w:pPr>
      <w:r>
        <w:rPr>
          <w:rFonts w:hint="eastAsia" w:ascii="宋体" w:hAnsi="宋体" w:cs="宋体"/>
          <w:b/>
          <w:color w:val="auto"/>
          <w:highlight w:val="none"/>
        </w:rPr>
        <w:t>附件14：</w:t>
      </w:r>
      <w:r>
        <w:rPr>
          <w:rFonts w:ascii="宋体" w:hAnsi="宋体"/>
          <w:b/>
          <w:color w:val="auto"/>
          <w:sz w:val="24"/>
          <w:highlight w:val="none"/>
        </w:rPr>
        <w:t>关于</w:t>
      </w:r>
      <w:r>
        <w:rPr>
          <w:rFonts w:hint="eastAsia" w:ascii="宋体" w:hAnsi="宋体"/>
          <w:b/>
          <w:color w:val="auto"/>
          <w:sz w:val="24"/>
          <w:highlight w:val="none"/>
        </w:rPr>
        <w:t>投标报价合理性</w:t>
      </w:r>
      <w:r>
        <w:rPr>
          <w:rFonts w:ascii="宋体" w:hAnsi="宋体"/>
          <w:b/>
          <w:color w:val="auto"/>
          <w:sz w:val="24"/>
          <w:highlight w:val="none"/>
        </w:rPr>
        <w:t>的</w:t>
      </w:r>
      <w:r>
        <w:rPr>
          <w:rFonts w:hint="eastAsia" w:ascii="宋体" w:hAnsi="宋体"/>
          <w:b/>
          <w:color w:val="auto"/>
          <w:sz w:val="24"/>
          <w:highlight w:val="none"/>
        </w:rPr>
        <w:t>澄清说明（如有）</w:t>
      </w:r>
    </w:p>
    <w:p w14:paraId="1F6D7DA7">
      <w:pPr>
        <w:ind w:firstLine="420"/>
        <w:jc w:val="center"/>
        <w:rPr>
          <w:rFonts w:hint="eastAsia" w:ascii="宋体" w:hAnsi="宋体"/>
          <w:b/>
          <w:color w:val="auto"/>
          <w:sz w:val="24"/>
          <w:highlight w:val="none"/>
        </w:rPr>
      </w:pPr>
    </w:p>
    <w:p w14:paraId="73D343BF">
      <w:pPr>
        <w:jc w:val="center"/>
        <w:rPr>
          <w:rFonts w:hint="eastAsia" w:ascii="宋体" w:hAnsi="宋体"/>
          <w:b/>
          <w:color w:val="auto"/>
          <w:szCs w:val="21"/>
          <w:highlight w:val="none"/>
        </w:rPr>
      </w:pPr>
      <w:r>
        <w:rPr>
          <w:rFonts w:ascii="宋体" w:hAnsi="宋体"/>
          <w:b/>
          <w:color w:val="auto"/>
          <w:szCs w:val="21"/>
          <w:highlight w:val="none"/>
        </w:rPr>
        <w:t>关于</w:t>
      </w:r>
      <w:r>
        <w:rPr>
          <w:rFonts w:hint="eastAsia" w:ascii="宋体" w:hAnsi="宋体"/>
          <w:b/>
          <w:color w:val="auto"/>
          <w:szCs w:val="21"/>
          <w:highlight w:val="none"/>
        </w:rPr>
        <w:t>投标报价合理性</w:t>
      </w:r>
      <w:r>
        <w:rPr>
          <w:rFonts w:ascii="宋体" w:hAnsi="宋体"/>
          <w:b/>
          <w:color w:val="auto"/>
          <w:szCs w:val="21"/>
          <w:highlight w:val="none"/>
        </w:rPr>
        <w:t>的</w:t>
      </w:r>
      <w:r>
        <w:rPr>
          <w:rFonts w:hint="eastAsia" w:ascii="宋体" w:hAnsi="宋体"/>
          <w:b/>
          <w:color w:val="auto"/>
          <w:szCs w:val="21"/>
          <w:highlight w:val="none"/>
        </w:rPr>
        <w:t>澄清说明</w:t>
      </w:r>
    </w:p>
    <w:p w14:paraId="3D6518F4">
      <w:pPr>
        <w:spacing w:line="360" w:lineRule="auto"/>
        <w:jc w:val="left"/>
        <w:rPr>
          <w:rFonts w:hint="eastAsia" w:ascii="宋体" w:hAnsi="宋体"/>
          <w:color w:val="auto"/>
          <w:szCs w:val="21"/>
          <w:highlight w:val="none"/>
          <w:u w:val="single"/>
        </w:rPr>
      </w:pPr>
    </w:p>
    <w:p w14:paraId="025F9C3C">
      <w:pPr>
        <w:spacing w:line="360" w:lineRule="auto"/>
        <w:jc w:val="left"/>
        <w:rPr>
          <w:rFonts w:hint="eastAsia" w:ascii="宋体" w:hAnsi="宋体"/>
          <w:color w:val="auto"/>
          <w:szCs w:val="21"/>
          <w:highlight w:val="none"/>
        </w:rPr>
      </w:pPr>
      <w:r>
        <w:rPr>
          <w:rFonts w:hint="eastAsia" w:ascii="宋体" w:hAnsi="宋体"/>
          <w:color w:val="auto"/>
          <w:szCs w:val="21"/>
          <w:highlight w:val="none"/>
        </w:rPr>
        <w:t>苏州新天平工程咨询有限公司：</w:t>
      </w:r>
    </w:p>
    <w:p w14:paraId="2CEED134">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rPr>
        <w:t>号（项目编号）的招标活动进行投标，对于本公司的投标报价合理性作出说明如下：</w:t>
      </w:r>
    </w:p>
    <w:p w14:paraId="1C1AFE31">
      <w:pPr>
        <w:pStyle w:val="20"/>
        <w:rPr>
          <w:color w:val="auto"/>
          <w:szCs w:val="21"/>
          <w:highlight w:val="none"/>
        </w:rPr>
      </w:pPr>
    </w:p>
    <w:tbl>
      <w:tblPr>
        <w:tblStyle w:val="4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32C9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9918" w:type="dxa"/>
            <w:vAlign w:val="center"/>
          </w:tcPr>
          <w:p w14:paraId="27CC3A67">
            <w:pPr>
              <w:spacing w:line="600" w:lineRule="auto"/>
              <w:rPr>
                <w:rFonts w:hint="eastAsia" w:ascii="宋体" w:hAnsi="宋体"/>
                <w:b/>
                <w:color w:val="auto"/>
                <w:szCs w:val="21"/>
                <w:highlight w:val="none"/>
                <w:shd w:val="pct10" w:color="auto" w:fill="FFFFFF"/>
              </w:rPr>
            </w:pPr>
            <w:r>
              <w:rPr>
                <w:rFonts w:hint="eastAsia" w:ascii="宋体" w:hAnsi="宋体"/>
                <w:b/>
                <w:color w:val="auto"/>
                <w:szCs w:val="21"/>
                <w:highlight w:val="none"/>
              </w:rPr>
              <w:t>投标人应当根据实际情况自拟答复并根据评标委员会关于澄清的要求提供相关证明材料作为附件。</w:t>
            </w:r>
          </w:p>
        </w:tc>
      </w:tr>
    </w:tbl>
    <w:p w14:paraId="52A0D48B">
      <w:pPr>
        <w:spacing w:line="360" w:lineRule="auto"/>
        <w:ind w:firstLine="4830"/>
        <w:jc w:val="left"/>
        <w:rPr>
          <w:rFonts w:hint="eastAsia" w:ascii="宋体" w:hAnsi="宋体"/>
          <w:color w:val="auto"/>
          <w:szCs w:val="21"/>
          <w:highlight w:val="none"/>
        </w:rPr>
      </w:pPr>
    </w:p>
    <w:p w14:paraId="03C3B43D">
      <w:pPr>
        <w:pStyle w:val="20"/>
        <w:rPr>
          <w:color w:val="auto"/>
          <w:szCs w:val="21"/>
          <w:highlight w:val="none"/>
        </w:rPr>
      </w:pPr>
    </w:p>
    <w:p w14:paraId="2DFD78CF">
      <w:pPr>
        <w:spacing w:line="360" w:lineRule="auto"/>
        <w:ind w:firstLine="4830"/>
        <w:jc w:val="left"/>
        <w:rPr>
          <w:rFonts w:hint="eastAsia" w:ascii="宋体" w:hAnsi="宋体"/>
          <w:color w:val="auto"/>
          <w:szCs w:val="21"/>
          <w:highlight w:val="none"/>
        </w:rPr>
      </w:pPr>
    </w:p>
    <w:p w14:paraId="7B9620CF">
      <w:pPr>
        <w:spacing w:line="360" w:lineRule="auto"/>
        <w:ind w:firstLine="4830"/>
        <w:jc w:val="left"/>
        <w:rPr>
          <w:rFonts w:hint="eastAsia" w:ascii="宋体" w:hAnsi="宋体"/>
          <w:color w:val="auto"/>
          <w:szCs w:val="21"/>
          <w:highlight w:val="none"/>
        </w:rPr>
      </w:pPr>
      <w:r>
        <w:rPr>
          <w:rFonts w:ascii="宋体" w:hAnsi="宋体"/>
          <w:color w:val="auto"/>
          <w:szCs w:val="21"/>
          <w:highlight w:val="none"/>
        </w:rPr>
        <w:t xml:space="preserve">投标人（盖章）： </w:t>
      </w:r>
    </w:p>
    <w:p w14:paraId="238FF345">
      <w:pPr>
        <w:spacing w:line="360" w:lineRule="auto"/>
        <w:ind w:firstLine="4830"/>
        <w:jc w:val="left"/>
        <w:rPr>
          <w:rFonts w:hint="eastAsia" w:ascii="宋体" w:hAnsi="宋体"/>
          <w:color w:val="auto"/>
          <w:szCs w:val="21"/>
          <w:highlight w:val="none"/>
        </w:rPr>
      </w:pPr>
      <w:r>
        <w:rPr>
          <w:rFonts w:ascii="宋体" w:hAnsi="宋体"/>
          <w:color w:val="auto"/>
          <w:szCs w:val="21"/>
          <w:highlight w:val="none"/>
        </w:rPr>
        <w:t>法定代表人或代理人（签字或盖章）：</w:t>
      </w:r>
    </w:p>
    <w:p w14:paraId="07964500">
      <w:pPr>
        <w:pStyle w:val="24"/>
        <w:spacing w:line="360" w:lineRule="auto"/>
        <w:ind w:firstLine="4830" w:firstLineChars="2300"/>
        <w:jc w:val="both"/>
        <w:rPr>
          <w:rFonts w:hint="eastAsia" w:hAnsi="宋体" w:eastAsia="宋体"/>
          <w:color w:val="auto"/>
          <w:sz w:val="21"/>
          <w:szCs w:val="21"/>
          <w:highlight w:val="none"/>
        </w:rPr>
      </w:pPr>
      <w:r>
        <w:rPr>
          <w:rFonts w:hAnsi="宋体" w:eastAsia="宋体"/>
          <w:color w:val="auto"/>
          <w:sz w:val="21"/>
          <w:szCs w:val="21"/>
          <w:highlight w:val="none"/>
        </w:rPr>
        <w:t>日期</w:t>
      </w:r>
      <w:r>
        <w:rPr>
          <w:rFonts w:hint="eastAsia" w:hAnsi="宋体" w:eastAsia="宋体"/>
          <w:color w:val="auto"/>
          <w:sz w:val="21"/>
          <w:szCs w:val="21"/>
          <w:highlight w:val="none"/>
        </w:rPr>
        <w:t>：</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年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 </w:t>
      </w:r>
      <w:r>
        <w:rPr>
          <w:rFonts w:hAnsi="宋体" w:eastAsia="宋体"/>
          <w:color w:val="auto"/>
          <w:sz w:val="21"/>
          <w:szCs w:val="21"/>
          <w:highlight w:val="none"/>
        </w:rPr>
        <w:t xml:space="preserve">    </w:t>
      </w:r>
      <w:r>
        <w:rPr>
          <w:rFonts w:hint="eastAsia" w:hAnsi="宋体" w:eastAsia="宋体"/>
          <w:color w:val="auto"/>
          <w:sz w:val="21"/>
          <w:szCs w:val="21"/>
          <w:highlight w:val="none"/>
        </w:rPr>
        <w:t>日</w:t>
      </w:r>
    </w:p>
    <w:p w14:paraId="35FD3178">
      <w:pPr>
        <w:rPr>
          <w:color w:val="auto"/>
          <w:highlight w:val="none"/>
        </w:rPr>
      </w:pPr>
    </w:p>
    <w:p w14:paraId="6E273773">
      <w:pPr>
        <w:pStyle w:val="267"/>
        <w:rPr>
          <w:color w:val="auto"/>
          <w:highlight w:val="none"/>
        </w:rPr>
      </w:pPr>
    </w:p>
    <w:p w14:paraId="3F380ABA">
      <w:pPr>
        <w:rPr>
          <w:color w:val="auto"/>
          <w:highlight w:val="none"/>
        </w:rPr>
      </w:pPr>
    </w:p>
    <w:p w14:paraId="45D3BFAF">
      <w:pPr>
        <w:pStyle w:val="267"/>
        <w:rPr>
          <w:color w:val="auto"/>
          <w:highlight w:val="none"/>
        </w:rPr>
      </w:pPr>
    </w:p>
    <w:p w14:paraId="505CE22A">
      <w:pPr>
        <w:pStyle w:val="24"/>
        <w:spacing w:line="360" w:lineRule="auto"/>
        <w:rPr>
          <w:rFonts w:hint="eastAsia" w:hAnsi="宋体" w:eastAsia="宋体" w:cs="宋体"/>
          <w:b/>
          <w:color w:val="auto"/>
          <w:sz w:val="21"/>
          <w:szCs w:val="21"/>
          <w:highlight w:val="none"/>
        </w:rPr>
      </w:pPr>
    </w:p>
    <w:p w14:paraId="32F21383">
      <w:pPr>
        <w:pStyle w:val="24"/>
        <w:spacing w:line="360" w:lineRule="auto"/>
        <w:rPr>
          <w:rFonts w:hint="eastAsia" w:hAnsi="宋体" w:eastAsia="宋体" w:cs="宋体"/>
          <w:b/>
          <w:color w:val="auto"/>
          <w:sz w:val="21"/>
          <w:szCs w:val="21"/>
          <w:highlight w:val="none"/>
        </w:rPr>
      </w:pPr>
    </w:p>
    <w:p w14:paraId="1A859F94">
      <w:pPr>
        <w:pStyle w:val="24"/>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（全文完）</w:t>
      </w:r>
    </w:p>
    <w:p w14:paraId="2AF18E2E">
      <w:pPr>
        <w:pStyle w:val="24"/>
        <w:spacing w:line="360" w:lineRule="auto"/>
        <w:rPr>
          <w:rFonts w:hint="eastAsia" w:hAnsi="宋体" w:eastAsia="宋体" w:cs="宋体"/>
          <w:b/>
          <w:color w:val="auto"/>
          <w:sz w:val="21"/>
          <w:szCs w:val="21"/>
          <w:highlight w:val="none"/>
        </w:rPr>
      </w:pPr>
    </w:p>
    <w:p w14:paraId="56B9249F">
      <w:pPr>
        <w:pStyle w:val="24"/>
        <w:spacing w:line="360" w:lineRule="auto"/>
        <w:rPr>
          <w:rFonts w:hAnsi="宋体" w:eastAsia="宋体" w:cs="宋体"/>
          <w:b/>
          <w:color w:val="auto"/>
          <w:sz w:val="21"/>
          <w:szCs w:val="21"/>
          <w:highlight w:val="none"/>
        </w:rPr>
      </w:pPr>
    </w:p>
    <w:p w14:paraId="231FD202">
      <w:pPr>
        <w:pStyle w:val="24"/>
        <w:spacing w:line="360" w:lineRule="auto"/>
        <w:rPr>
          <w:rFonts w:hAnsi="宋体" w:eastAsia="宋体" w:cs="宋体"/>
          <w:b/>
          <w:color w:val="auto"/>
          <w:sz w:val="21"/>
          <w:szCs w:val="21"/>
          <w:highlight w:val="none"/>
        </w:rPr>
      </w:pPr>
    </w:p>
    <w:p w14:paraId="03A6BE42">
      <w:pPr>
        <w:pStyle w:val="24"/>
        <w:spacing w:line="360" w:lineRule="auto"/>
        <w:rPr>
          <w:rFonts w:hAnsi="宋体" w:eastAsia="宋体" w:cs="宋体"/>
          <w:b/>
          <w:color w:val="auto"/>
          <w:sz w:val="21"/>
          <w:szCs w:val="21"/>
          <w:highlight w:val="none"/>
        </w:rPr>
      </w:pPr>
    </w:p>
    <w:p w14:paraId="2FC5914A">
      <w:pPr>
        <w:pStyle w:val="24"/>
        <w:spacing w:line="360" w:lineRule="auto"/>
        <w:rPr>
          <w:rFonts w:hAnsi="宋体" w:eastAsia="宋体" w:cs="宋体"/>
          <w:b/>
          <w:color w:val="auto"/>
          <w:sz w:val="21"/>
          <w:szCs w:val="21"/>
          <w:highlight w:val="none"/>
        </w:rPr>
      </w:pPr>
    </w:p>
    <w:p w14:paraId="21925B2B">
      <w:pPr>
        <w:pStyle w:val="24"/>
        <w:spacing w:line="360" w:lineRule="auto"/>
        <w:rPr>
          <w:rFonts w:hAnsi="宋体" w:eastAsia="宋体" w:cs="宋体"/>
          <w:b/>
          <w:color w:val="auto"/>
          <w:sz w:val="21"/>
          <w:szCs w:val="21"/>
          <w:highlight w:val="none"/>
        </w:rPr>
      </w:pPr>
    </w:p>
    <w:p w14:paraId="7E297746">
      <w:pPr>
        <w:rPr>
          <w:color w:val="auto"/>
          <w:highlight w:val="none"/>
        </w:rPr>
      </w:pPr>
    </w:p>
    <w:p w14:paraId="09DFC8B9">
      <w:pPr>
        <w:pStyle w:val="33"/>
        <w:rPr>
          <w:color w:val="auto"/>
          <w:highlight w:val="none"/>
        </w:rPr>
      </w:pPr>
    </w:p>
    <w:p w14:paraId="551A68F6">
      <w:pPr>
        <w:pStyle w:val="24"/>
        <w:spacing w:line="360" w:lineRule="auto"/>
        <w:rPr>
          <w:rFonts w:hint="eastAsia" w:hAnsi="宋体" w:eastAsia="宋体" w:cs="宋体"/>
          <w:b/>
          <w:color w:val="auto"/>
          <w:sz w:val="21"/>
          <w:szCs w:val="21"/>
          <w:highlight w:val="none"/>
        </w:rPr>
      </w:pPr>
    </w:p>
    <w:sectPr>
      <w:pgSz w:w="11906" w:h="16838"/>
      <w:pgMar w:top="1134" w:right="1134" w:bottom="1134" w:left="1134" w:header="680"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Times New Roman"/>
    <w:panose1 w:val="02020603040505020304"/>
    <w:charset w:val="00"/>
    <w:family w:val="roman"/>
    <w:pitch w:val="default"/>
    <w:sig w:usb0="00000000" w:usb1="00000000" w:usb2="00000000" w:usb3="00000000" w:csb0="000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FB35E">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5570A92">
                          <w:pPr>
                            <w:pStyle w:val="30"/>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5570A92">
                    <w:pPr>
                      <w:pStyle w:val="30"/>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21C22">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3AC3B"/>
    <w:multiLevelType w:val="singleLevel"/>
    <w:tmpl w:val="9763AC3B"/>
    <w:lvl w:ilvl="0" w:tentative="0">
      <w:start w:val="3"/>
      <w:numFmt w:val="chineseCounting"/>
      <w:suff w:val="nothing"/>
      <w:lvlText w:val="（%1）"/>
      <w:lvlJc w:val="left"/>
      <w:rPr>
        <w:rFonts w:hint="eastAsia"/>
      </w:rPr>
    </w:lvl>
  </w:abstractNum>
  <w:abstractNum w:abstractNumId="1">
    <w:nsid w:val="CF092B84"/>
    <w:multiLevelType w:val="multilevel"/>
    <w:tmpl w:val="CF092B84"/>
    <w:lvl w:ilvl="0" w:tentative="0">
      <w:start w:val="1"/>
      <w:numFmt w:val="japaneseCounting"/>
      <w:pStyle w:val="230"/>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53208E"/>
    <w:multiLevelType w:val="multilevel"/>
    <w:tmpl w:val="0053208E"/>
    <w:lvl w:ilvl="0" w:tentative="0">
      <w:start w:val="2"/>
      <w:numFmt w:val="japaneseCounting"/>
      <w:pStyle w:val="3"/>
      <w:lvlText w:val="（%1）"/>
      <w:lvlJc w:val="left"/>
      <w:pPr>
        <w:tabs>
          <w:tab w:val="left" w:pos="1140"/>
        </w:tabs>
        <w:ind w:left="1140" w:hanging="720"/>
      </w:pPr>
      <w:rPr>
        <w:rFonts w:hint="eastAsia"/>
        <w:b w:val="0"/>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59ADCABA"/>
    <w:multiLevelType w:val="multilevel"/>
    <w:tmpl w:val="59ADCABA"/>
    <w:lvl w:ilvl="0" w:tentative="0">
      <w:start w:val="1"/>
      <w:numFmt w:val="decimal"/>
      <w:lvlText w:val="（%1）"/>
      <w:lvlJc w:val="left"/>
      <w:pPr>
        <w:ind w:left="945" w:hanging="525"/>
      </w:pPr>
      <w:rPr>
        <w:rFonts w:hint="default"/>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lZGQ4NGQyZDM4YjU0MGM4YjM1M2Y5YzUwMmUwMmYifQ=="/>
    <w:docVar w:name="KSO_WPS_MARK_KEY" w:val="089f1831-56f9-4f72-830c-35d165817c61"/>
  </w:docVars>
  <w:rsids>
    <w:rsidRoot w:val="00BB1F17"/>
    <w:rsid w:val="00005075"/>
    <w:rsid w:val="000370C4"/>
    <w:rsid w:val="000B5CCC"/>
    <w:rsid w:val="000C67DE"/>
    <w:rsid w:val="00181B95"/>
    <w:rsid w:val="00185E99"/>
    <w:rsid w:val="001E0B08"/>
    <w:rsid w:val="001E329A"/>
    <w:rsid w:val="001E72FC"/>
    <w:rsid w:val="001F34C1"/>
    <w:rsid w:val="00204E71"/>
    <w:rsid w:val="002117ED"/>
    <w:rsid w:val="00223C56"/>
    <w:rsid w:val="00233233"/>
    <w:rsid w:val="002B6536"/>
    <w:rsid w:val="003006CF"/>
    <w:rsid w:val="00303C3F"/>
    <w:rsid w:val="00403995"/>
    <w:rsid w:val="00434685"/>
    <w:rsid w:val="004821D4"/>
    <w:rsid w:val="004B2553"/>
    <w:rsid w:val="004F29C3"/>
    <w:rsid w:val="00602E81"/>
    <w:rsid w:val="00605B71"/>
    <w:rsid w:val="00615AC8"/>
    <w:rsid w:val="006571DB"/>
    <w:rsid w:val="006A2DA5"/>
    <w:rsid w:val="006D64D8"/>
    <w:rsid w:val="006F7D10"/>
    <w:rsid w:val="007166E3"/>
    <w:rsid w:val="00736CCA"/>
    <w:rsid w:val="007B3F46"/>
    <w:rsid w:val="0087415C"/>
    <w:rsid w:val="00884CB8"/>
    <w:rsid w:val="0089192C"/>
    <w:rsid w:val="008C5A60"/>
    <w:rsid w:val="00926105"/>
    <w:rsid w:val="009456AD"/>
    <w:rsid w:val="00960624"/>
    <w:rsid w:val="009654BA"/>
    <w:rsid w:val="00965F44"/>
    <w:rsid w:val="00983D27"/>
    <w:rsid w:val="009B102F"/>
    <w:rsid w:val="00A46488"/>
    <w:rsid w:val="00A83BCD"/>
    <w:rsid w:val="00AA1FFF"/>
    <w:rsid w:val="00AB1EFF"/>
    <w:rsid w:val="00AB4663"/>
    <w:rsid w:val="00B041C6"/>
    <w:rsid w:val="00B0447D"/>
    <w:rsid w:val="00B225D4"/>
    <w:rsid w:val="00B62914"/>
    <w:rsid w:val="00BA2C44"/>
    <w:rsid w:val="00BB1F17"/>
    <w:rsid w:val="00BF345A"/>
    <w:rsid w:val="00BF7762"/>
    <w:rsid w:val="00C01207"/>
    <w:rsid w:val="00C42C21"/>
    <w:rsid w:val="00C9711B"/>
    <w:rsid w:val="00CE15C4"/>
    <w:rsid w:val="00D00492"/>
    <w:rsid w:val="00D04B35"/>
    <w:rsid w:val="00D247FA"/>
    <w:rsid w:val="00D86623"/>
    <w:rsid w:val="00D90D6E"/>
    <w:rsid w:val="00DC6D62"/>
    <w:rsid w:val="00E02282"/>
    <w:rsid w:val="00E0286C"/>
    <w:rsid w:val="00E96515"/>
    <w:rsid w:val="00EE3796"/>
    <w:rsid w:val="00F05309"/>
    <w:rsid w:val="00F15FA1"/>
    <w:rsid w:val="00F24499"/>
    <w:rsid w:val="00F83725"/>
    <w:rsid w:val="00FB1967"/>
    <w:rsid w:val="00FC5A72"/>
    <w:rsid w:val="00FF1530"/>
    <w:rsid w:val="00FF6A56"/>
    <w:rsid w:val="019367FE"/>
    <w:rsid w:val="01C901A1"/>
    <w:rsid w:val="0227311A"/>
    <w:rsid w:val="02502671"/>
    <w:rsid w:val="0270061D"/>
    <w:rsid w:val="02B651E2"/>
    <w:rsid w:val="02D60AAB"/>
    <w:rsid w:val="04090B66"/>
    <w:rsid w:val="04163AFB"/>
    <w:rsid w:val="046C58BB"/>
    <w:rsid w:val="04FB40C3"/>
    <w:rsid w:val="05304A76"/>
    <w:rsid w:val="061E2D83"/>
    <w:rsid w:val="068A2602"/>
    <w:rsid w:val="07614865"/>
    <w:rsid w:val="07E7675A"/>
    <w:rsid w:val="08144141"/>
    <w:rsid w:val="08BF5665"/>
    <w:rsid w:val="08F15CFC"/>
    <w:rsid w:val="08F57ACE"/>
    <w:rsid w:val="09286E26"/>
    <w:rsid w:val="09776735"/>
    <w:rsid w:val="09D92F4C"/>
    <w:rsid w:val="09DE67B4"/>
    <w:rsid w:val="09EC23D5"/>
    <w:rsid w:val="0A5E297C"/>
    <w:rsid w:val="0AF20DEB"/>
    <w:rsid w:val="0B527DD0"/>
    <w:rsid w:val="0B897214"/>
    <w:rsid w:val="0B93537C"/>
    <w:rsid w:val="0CBE1CEA"/>
    <w:rsid w:val="0CCC323C"/>
    <w:rsid w:val="0CE237B1"/>
    <w:rsid w:val="0CFE3D68"/>
    <w:rsid w:val="0D731909"/>
    <w:rsid w:val="0D933D59"/>
    <w:rsid w:val="0DAD4B09"/>
    <w:rsid w:val="0E0814BD"/>
    <w:rsid w:val="0E955A02"/>
    <w:rsid w:val="0EC93372"/>
    <w:rsid w:val="0ECF6806"/>
    <w:rsid w:val="0F626A83"/>
    <w:rsid w:val="0F930041"/>
    <w:rsid w:val="0FA47B58"/>
    <w:rsid w:val="100C7856"/>
    <w:rsid w:val="10303AE2"/>
    <w:rsid w:val="117767C8"/>
    <w:rsid w:val="12611A7D"/>
    <w:rsid w:val="126E269F"/>
    <w:rsid w:val="12745F08"/>
    <w:rsid w:val="130A0534"/>
    <w:rsid w:val="149751A8"/>
    <w:rsid w:val="151F57A8"/>
    <w:rsid w:val="15363948"/>
    <w:rsid w:val="155757BF"/>
    <w:rsid w:val="164C6DC9"/>
    <w:rsid w:val="164D0F49"/>
    <w:rsid w:val="16775575"/>
    <w:rsid w:val="16B13649"/>
    <w:rsid w:val="16BA1787"/>
    <w:rsid w:val="16CF556F"/>
    <w:rsid w:val="176854FE"/>
    <w:rsid w:val="1797590F"/>
    <w:rsid w:val="17C04345"/>
    <w:rsid w:val="17F358CF"/>
    <w:rsid w:val="183C2E96"/>
    <w:rsid w:val="189B3AC2"/>
    <w:rsid w:val="18BF4A80"/>
    <w:rsid w:val="19360412"/>
    <w:rsid w:val="19526D18"/>
    <w:rsid w:val="1A0A3923"/>
    <w:rsid w:val="1A700853"/>
    <w:rsid w:val="1ADA7A9B"/>
    <w:rsid w:val="1BB83309"/>
    <w:rsid w:val="1BEB31AE"/>
    <w:rsid w:val="1C7B6BBC"/>
    <w:rsid w:val="1D6B43AB"/>
    <w:rsid w:val="1DD91315"/>
    <w:rsid w:val="1E21302E"/>
    <w:rsid w:val="1E46607F"/>
    <w:rsid w:val="1E85324A"/>
    <w:rsid w:val="1F8A2A58"/>
    <w:rsid w:val="2182570D"/>
    <w:rsid w:val="22E43132"/>
    <w:rsid w:val="23214289"/>
    <w:rsid w:val="23C21713"/>
    <w:rsid w:val="23EB6229"/>
    <w:rsid w:val="24276EB2"/>
    <w:rsid w:val="246A66F6"/>
    <w:rsid w:val="251A39FD"/>
    <w:rsid w:val="25790CB9"/>
    <w:rsid w:val="259E1939"/>
    <w:rsid w:val="25C7239A"/>
    <w:rsid w:val="26D60AE7"/>
    <w:rsid w:val="27736336"/>
    <w:rsid w:val="278C0632"/>
    <w:rsid w:val="27B83025"/>
    <w:rsid w:val="291458F7"/>
    <w:rsid w:val="293545E4"/>
    <w:rsid w:val="29AE6BBD"/>
    <w:rsid w:val="29B42DB3"/>
    <w:rsid w:val="2A065751"/>
    <w:rsid w:val="2A1F09F7"/>
    <w:rsid w:val="2A442D0D"/>
    <w:rsid w:val="2A726D79"/>
    <w:rsid w:val="2B013852"/>
    <w:rsid w:val="2B732DA8"/>
    <w:rsid w:val="2BCB3A08"/>
    <w:rsid w:val="2BDD7048"/>
    <w:rsid w:val="2BE666AE"/>
    <w:rsid w:val="2BF414FD"/>
    <w:rsid w:val="2C0559CB"/>
    <w:rsid w:val="2C59080D"/>
    <w:rsid w:val="2C9A5343"/>
    <w:rsid w:val="2C9D104A"/>
    <w:rsid w:val="2D05335A"/>
    <w:rsid w:val="2D102879"/>
    <w:rsid w:val="2DAF2092"/>
    <w:rsid w:val="2E3B56D4"/>
    <w:rsid w:val="2E740830"/>
    <w:rsid w:val="2E9074A0"/>
    <w:rsid w:val="2F1228D8"/>
    <w:rsid w:val="304E7940"/>
    <w:rsid w:val="305A3F44"/>
    <w:rsid w:val="30F57DBC"/>
    <w:rsid w:val="310837C0"/>
    <w:rsid w:val="3166291A"/>
    <w:rsid w:val="31B51D80"/>
    <w:rsid w:val="31F237B1"/>
    <w:rsid w:val="327A2C6E"/>
    <w:rsid w:val="334C5476"/>
    <w:rsid w:val="33B26438"/>
    <w:rsid w:val="34D523DE"/>
    <w:rsid w:val="357A2F85"/>
    <w:rsid w:val="35BA7826"/>
    <w:rsid w:val="35D34774"/>
    <w:rsid w:val="363D1100"/>
    <w:rsid w:val="367A5611"/>
    <w:rsid w:val="36835A2E"/>
    <w:rsid w:val="36B55F9E"/>
    <w:rsid w:val="36EC3A0F"/>
    <w:rsid w:val="371879EF"/>
    <w:rsid w:val="37CA4D7E"/>
    <w:rsid w:val="383547A5"/>
    <w:rsid w:val="38AA5930"/>
    <w:rsid w:val="38CD23B2"/>
    <w:rsid w:val="395B3394"/>
    <w:rsid w:val="3A2B484E"/>
    <w:rsid w:val="3A570DC5"/>
    <w:rsid w:val="3AA77720"/>
    <w:rsid w:val="3ABE1B66"/>
    <w:rsid w:val="3AD04447"/>
    <w:rsid w:val="3B322852"/>
    <w:rsid w:val="3BA30051"/>
    <w:rsid w:val="3BBF7944"/>
    <w:rsid w:val="3C123F18"/>
    <w:rsid w:val="3C161726"/>
    <w:rsid w:val="3C6F3118"/>
    <w:rsid w:val="3CD92F92"/>
    <w:rsid w:val="3D5B39CA"/>
    <w:rsid w:val="3D7536DF"/>
    <w:rsid w:val="3DF67A88"/>
    <w:rsid w:val="3E0D6442"/>
    <w:rsid w:val="3E30750E"/>
    <w:rsid w:val="3E735696"/>
    <w:rsid w:val="3E7523EF"/>
    <w:rsid w:val="3EBA15D9"/>
    <w:rsid w:val="3EDF6B4C"/>
    <w:rsid w:val="3EE85404"/>
    <w:rsid w:val="3F9E1B8F"/>
    <w:rsid w:val="41483F38"/>
    <w:rsid w:val="414C22DF"/>
    <w:rsid w:val="41BD72BD"/>
    <w:rsid w:val="41C54C9A"/>
    <w:rsid w:val="42927B60"/>
    <w:rsid w:val="42975177"/>
    <w:rsid w:val="433834D6"/>
    <w:rsid w:val="4346094B"/>
    <w:rsid w:val="43C23EDE"/>
    <w:rsid w:val="44504352"/>
    <w:rsid w:val="44B03037"/>
    <w:rsid w:val="452A22D2"/>
    <w:rsid w:val="45AA0BD0"/>
    <w:rsid w:val="46643DDE"/>
    <w:rsid w:val="46666418"/>
    <w:rsid w:val="46D85D5E"/>
    <w:rsid w:val="46E74883"/>
    <w:rsid w:val="47990235"/>
    <w:rsid w:val="47C72B0F"/>
    <w:rsid w:val="480908C5"/>
    <w:rsid w:val="485619F3"/>
    <w:rsid w:val="489673A7"/>
    <w:rsid w:val="49396766"/>
    <w:rsid w:val="4A2A2D74"/>
    <w:rsid w:val="4AD46022"/>
    <w:rsid w:val="4AF60C97"/>
    <w:rsid w:val="4B8D2865"/>
    <w:rsid w:val="4C305A8E"/>
    <w:rsid w:val="4C7F0C80"/>
    <w:rsid w:val="4CFC2CE3"/>
    <w:rsid w:val="4D7C50A2"/>
    <w:rsid w:val="4D901140"/>
    <w:rsid w:val="4E101B76"/>
    <w:rsid w:val="4E304F29"/>
    <w:rsid w:val="4E5856D3"/>
    <w:rsid w:val="4F27708F"/>
    <w:rsid w:val="4F35787C"/>
    <w:rsid w:val="4F3D0E54"/>
    <w:rsid w:val="4F5F701C"/>
    <w:rsid w:val="4FE20388"/>
    <w:rsid w:val="510721A3"/>
    <w:rsid w:val="510F6820"/>
    <w:rsid w:val="51365DDD"/>
    <w:rsid w:val="51385B65"/>
    <w:rsid w:val="51512A6B"/>
    <w:rsid w:val="51583D23"/>
    <w:rsid w:val="51737986"/>
    <w:rsid w:val="51874DAF"/>
    <w:rsid w:val="51962A9D"/>
    <w:rsid w:val="520C76DF"/>
    <w:rsid w:val="526A25D9"/>
    <w:rsid w:val="52DE64AA"/>
    <w:rsid w:val="53185E60"/>
    <w:rsid w:val="536966BB"/>
    <w:rsid w:val="539D1121"/>
    <w:rsid w:val="53D96DBF"/>
    <w:rsid w:val="53E6658F"/>
    <w:rsid w:val="54B06FA7"/>
    <w:rsid w:val="54C618EB"/>
    <w:rsid w:val="54E0667E"/>
    <w:rsid w:val="550A7A2A"/>
    <w:rsid w:val="56DC6ECE"/>
    <w:rsid w:val="57024DCC"/>
    <w:rsid w:val="57B31DB2"/>
    <w:rsid w:val="58405511"/>
    <w:rsid w:val="58C12958"/>
    <w:rsid w:val="59036349"/>
    <w:rsid w:val="595478D0"/>
    <w:rsid w:val="59AC5554"/>
    <w:rsid w:val="59E0369F"/>
    <w:rsid w:val="59EE2980"/>
    <w:rsid w:val="59F32A20"/>
    <w:rsid w:val="59FD1E59"/>
    <w:rsid w:val="5A082637"/>
    <w:rsid w:val="5A3410A5"/>
    <w:rsid w:val="5A6B2D19"/>
    <w:rsid w:val="5B85605C"/>
    <w:rsid w:val="5BB406F0"/>
    <w:rsid w:val="5C921D94"/>
    <w:rsid w:val="5D073F8D"/>
    <w:rsid w:val="5D1C157D"/>
    <w:rsid w:val="5E3A046D"/>
    <w:rsid w:val="5E954808"/>
    <w:rsid w:val="60B31EB9"/>
    <w:rsid w:val="610A3379"/>
    <w:rsid w:val="61784876"/>
    <w:rsid w:val="618207DA"/>
    <w:rsid w:val="61B825BC"/>
    <w:rsid w:val="620F6680"/>
    <w:rsid w:val="621C7A41"/>
    <w:rsid w:val="62205458"/>
    <w:rsid w:val="62607EDA"/>
    <w:rsid w:val="62CF1356"/>
    <w:rsid w:val="635B58F5"/>
    <w:rsid w:val="64B30BE7"/>
    <w:rsid w:val="64F93617"/>
    <w:rsid w:val="65037FF2"/>
    <w:rsid w:val="652825D6"/>
    <w:rsid w:val="65716B6F"/>
    <w:rsid w:val="65B9296B"/>
    <w:rsid w:val="65F052AC"/>
    <w:rsid w:val="6636462A"/>
    <w:rsid w:val="66B040E4"/>
    <w:rsid w:val="66FC0A5E"/>
    <w:rsid w:val="66FE0EBC"/>
    <w:rsid w:val="67386679"/>
    <w:rsid w:val="68B97345"/>
    <w:rsid w:val="690507DD"/>
    <w:rsid w:val="6A80406D"/>
    <w:rsid w:val="6A8A77D6"/>
    <w:rsid w:val="6B833C3B"/>
    <w:rsid w:val="6B9E2823"/>
    <w:rsid w:val="6BFB7C75"/>
    <w:rsid w:val="6C223E22"/>
    <w:rsid w:val="6C441BF4"/>
    <w:rsid w:val="6CBE317C"/>
    <w:rsid w:val="6D116B9E"/>
    <w:rsid w:val="6D6552DE"/>
    <w:rsid w:val="6D7221B9"/>
    <w:rsid w:val="6DD0752E"/>
    <w:rsid w:val="6E280E81"/>
    <w:rsid w:val="6E427DDD"/>
    <w:rsid w:val="6E5909B3"/>
    <w:rsid w:val="6F767241"/>
    <w:rsid w:val="703C74E0"/>
    <w:rsid w:val="70457711"/>
    <w:rsid w:val="70673B2B"/>
    <w:rsid w:val="70BB6427"/>
    <w:rsid w:val="70CB3E37"/>
    <w:rsid w:val="70D51275"/>
    <w:rsid w:val="70E1568B"/>
    <w:rsid w:val="71467BE4"/>
    <w:rsid w:val="719E357C"/>
    <w:rsid w:val="7298621E"/>
    <w:rsid w:val="7358775B"/>
    <w:rsid w:val="73724CC1"/>
    <w:rsid w:val="740F5FDA"/>
    <w:rsid w:val="74283389"/>
    <w:rsid w:val="7443665D"/>
    <w:rsid w:val="752B220D"/>
    <w:rsid w:val="75322959"/>
    <w:rsid w:val="75706FDE"/>
    <w:rsid w:val="75C5557C"/>
    <w:rsid w:val="75DB71DA"/>
    <w:rsid w:val="75F66534"/>
    <w:rsid w:val="7666148A"/>
    <w:rsid w:val="76773223"/>
    <w:rsid w:val="77204A34"/>
    <w:rsid w:val="777F52D6"/>
    <w:rsid w:val="778277D7"/>
    <w:rsid w:val="77A448ED"/>
    <w:rsid w:val="783C21A4"/>
    <w:rsid w:val="788C05D2"/>
    <w:rsid w:val="78E26071"/>
    <w:rsid w:val="798E037A"/>
    <w:rsid w:val="79CD0EA3"/>
    <w:rsid w:val="79D42807"/>
    <w:rsid w:val="7ADF7826"/>
    <w:rsid w:val="7AEA4F0D"/>
    <w:rsid w:val="7B426A5C"/>
    <w:rsid w:val="7D805001"/>
    <w:rsid w:val="7DA63EE4"/>
    <w:rsid w:val="7DCC1E33"/>
    <w:rsid w:val="7DD520D4"/>
    <w:rsid w:val="7E4A42E1"/>
    <w:rsid w:val="7E893C0D"/>
    <w:rsid w:val="7F0F5AB9"/>
    <w:rsid w:val="7FC93EBA"/>
    <w:rsid w:val="7FE707E4"/>
    <w:rsid w:val="7FED784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5">
    <w:name w:val="heading 1"/>
    <w:basedOn w:val="1"/>
    <w:next w:val="1"/>
    <w:link w:val="207"/>
    <w:qFormat/>
    <w:uiPriority w:val="0"/>
    <w:pPr>
      <w:keepNext/>
      <w:keepLines/>
      <w:spacing w:before="340" w:after="330" w:line="578" w:lineRule="auto"/>
      <w:outlineLvl w:val="0"/>
    </w:pPr>
    <w:rPr>
      <w:b/>
      <w:bCs/>
      <w:sz w:val="44"/>
      <w:szCs w:val="44"/>
    </w:rPr>
  </w:style>
  <w:style w:type="paragraph" w:styleId="6">
    <w:name w:val="heading 2"/>
    <w:basedOn w:val="1"/>
    <w:next w:val="1"/>
    <w:link w:val="208"/>
    <w:qFormat/>
    <w:uiPriority w:val="0"/>
    <w:pPr>
      <w:keepNext/>
      <w:keepLines/>
      <w:spacing w:before="260" w:after="260" w:line="416" w:lineRule="auto"/>
      <w:outlineLvl w:val="1"/>
    </w:pPr>
    <w:rPr>
      <w:rFonts w:ascii="Cambria" w:hAnsi="Cambria"/>
      <w:b/>
      <w:bCs/>
      <w:sz w:val="32"/>
      <w:szCs w:val="32"/>
    </w:rPr>
  </w:style>
  <w:style w:type="paragraph" w:styleId="7">
    <w:name w:val="heading 3"/>
    <w:basedOn w:val="1"/>
    <w:next w:val="1"/>
    <w:link w:val="209"/>
    <w:qFormat/>
    <w:uiPriority w:val="0"/>
    <w:pPr>
      <w:keepNext/>
      <w:keepLines/>
      <w:spacing w:before="260" w:after="260" w:line="416" w:lineRule="auto"/>
      <w:outlineLvl w:val="2"/>
    </w:pPr>
    <w:rPr>
      <w:b/>
      <w:bCs/>
      <w:sz w:val="32"/>
      <w:szCs w:val="32"/>
    </w:rPr>
  </w:style>
  <w:style w:type="paragraph" w:styleId="8">
    <w:name w:val="heading 4"/>
    <w:basedOn w:val="1"/>
    <w:next w:val="1"/>
    <w:link w:val="217"/>
    <w:qFormat/>
    <w:uiPriority w:val="0"/>
    <w:pPr>
      <w:keepNext/>
      <w:spacing w:before="240" w:after="60"/>
      <w:outlineLvl w:val="3"/>
    </w:pPr>
    <w:rPr>
      <w:b/>
      <w:bCs/>
      <w:sz w:val="28"/>
      <w:szCs w:val="28"/>
    </w:rPr>
  </w:style>
  <w:style w:type="paragraph" w:styleId="9">
    <w:name w:val="heading 5"/>
    <w:basedOn w:val="1"/>
    <w:next w:val="1"/>
    <w:link w:val="212"/>
    <w:qFormat/>
    <w:uiPriority w:val="0"/>
    <w:pPr>
      <w:spacing w:before="240" w:after="60"/>
      <w:outlineLvl w:val="4"/>
    </w:pPr>
    <w:rPr>
      <w:b/>
      <w:bCs/>
      <w:i/>
      <w:iCs/>
      <w:sz w:val="26"/>
      <w:szCs w:val="26"/>
    </w:rPr>
  </w:style>
  <w:style w:type="paragraph" w:styleId="10">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unhideWhenUsed/>
    <w:qFormat/>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customStyle="1" w:styleId="2">
    <w:name w:val="标题 51"/>
    <w:basedOn w:val="3"/>
    <w:next w:val="4"/>
    <w:qFormat/>
    <w:uiPriority w:val="0"/>
    <w:pPr>
      <w:keepNext/>
      <w:keepLines/>
      <w:tabs>
        <w:tab w:val="left" w:pos="780"/>
        <w:tab w:val="left" w:pos="1140"/>
      </w:tabs>
      <w:spacing w:before="280" w:after="290" w:line="376" w:lineRule="atLeast"/>
      <w:jc w:val="left"/>
      <w:outlineLvl w:val="4"/>
    </w:pPr>
    <w:rPr>
      <w:rFonts w:ascii="宋体" w:hAnsi="Tms Rmn"/>
      <w:b/>
      <w:sz w:val="28"/>
    </w:rPr>
  </w:style>
  <w:style w:type="paragraph" w:customStyle="1" w:styleId="3">
    <w:name w:val="列表编号 21"/>
    <w:basedOn w:val="1"/>
    <w:unhideWhenUsed/>
    <w:qFormat/>
    <w:uiPriority w:val="0"/>
    <w:pPr>
      <w:numPr>
        <w:ilvl w:val="0"/>
        <w:numId w:val="1"/>
      </w:numPr>
    </w:pPr>
  </w:style>
  <w:style w:type="paragraph" w:customStyle="1" w:styleId="4">
    <w:name w:val="普通(网站)11"/>
    <w:basedOn w:val="1"/>
    <w:qFormat/>
    <w:uiPriority w:val="0"/>
    <w:pPr>
      <w:widowControl/>
      <w:spacing w:before="100" w:beforeAutospacing="1" w:after="100" w:afterAutospacing="1"/>
      <w:jc w:val="left"/>
    </w:pPr>
    <w:rPr>
      <w:rFonts w:ascii="宋体" w:hAnsi="宋体" w:cs="宋体"/>
      <w:sz w:val="24"/>
    </w:rPr>
  </w:style>
  <w:style w:type="paragraph" w:styleId="14">
    <w:name w:val="toc 7"/>
    <w:basedOn w:val="1"/>
    <w:next w:val="1"/>
    <w:unhideWhenUsed/>
    <w:qFormat/>
    <w:uiPriority w:val="39"/>
    <w:pPr>
      <w:spacing w:after="57"/>
      <w:ind w:left="1701"/>
    </w:pPr>
  </w:style>
  <w:style w:type="paragraph" w:styleId="15">
    <w:name w:val="Normal Indent"/>
    <w:basedOn w:val="1"/>
    <w:link w:val="211"/>
    <w:qFormat/>
    <w:uiPriority w:val="0"/>
    <w:pPr>
      <w:widowControl/>
      <w:ind w:firstLine="420"/>
      <w:jc w:val="left"/>
    </w:pPr>
    <w:rPr>
      <w:rFonts w:eastAsia="楷体_GB2312"/>
      <w:sz w:val="24"/>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semiHidden/>
    <w:qFormat/>
    <w:uiPriority w:val="0"/>
    <w:pPr>
      <w:shd w:val="clear" w:color="auto" w:fill="000080"/>
    </w:pPr>
  </w:style>
  <w:style w:type="paragraph" w:styleId="18">
    <w:name w:val="annotation text"/>
    <w:basedOn w:val="1"/>
    <w:link w:val="225"/>
    <w:qFormat/>
    <w:uiPriority w:val="99"/>
    <w:pPr>
      <w:jc w:val="left"/>
    </w:pPr>
  </w:style>
  <w:style w:type="paragraph" w:styleId="19">
    <w:name w:val="Body Text"/>
    <w:basedOn w:val="1"/>
    <w:qFormat/>
    <w:uiPriority w:val="0"/>
    <w:pPr>
      <w:spacing w:after="120"/>
    </w:pPr>
  </w:style>
  <w:style w:type="paragraph" w:styleId="20">
    <w:name w:val="Body Text Indent"/>
    <w:basedOn w:val="1"/>
    <w:link w:val="254"/>
    <w:qFormat/>
    <w:uiPriority w:val="0"/>
    <w:pPr>
      <w:spacing w:after="120"/>
      <w:ind w:left="420"/>
    </w:pPr>
  </w:style>
  <w:style w:type="paragraph" w:styleId="21">
    <w:name w:val="Block Text"/>
    <w:basedOn w:val="5"/>
    <w:next w:val="1"/>
    <w:qFormat/>
    <w:uiPriority w:val="0"/>
    <w:pPr>
      <w:spacing w:line="360" w:lineRule="auto"/>
      <w:ind w:left="630" w:right="-609" w:firstLine="420"/>
    </w:pPr>
    <w:rPr>
      <w:rFonts w:hint="eastAsia" w:ascii="仿宋_GB2312" w:eastAsia="仿宋_GB2312"/>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10"/>
    <w:qFormat/>
    <w:uiPriority w:val="0"/>
    <w:pPr>
      <w:widowControl/>
      <w:jc w:val="left"/>
    </w:pPr>
    <w:rPr>
      <w:rFonts w:ascii="宋体" w:hAnsi="Courier New" w:eastAsia="楷体_GB2312"/>
      <w:sz w:val="26"/>
    </w:rPr>
  </w:style>
  <w:style w:type="paragraph" w:styleId="25">
    <w:name w:val="toc 8"/>
    <w:basedOn w:val="1"/>
    <w:next w:val="1"/>
    <w:unhideWhenUsed/>
    <w:qFormat/>
    <w:uiPriority w:val="39"/>
    <w:pPr>
      <w:spacing w:after="57"/>
      <w:ind w:left="1984"/>
    </w:pPr>
  </w:style>
  <w:style w:type="paragraph" w:styleId="26">
    <w:name w:val="Date"/>
    <w:basedOn w:val="1"/>
    <w:next w:val="1"/>
    <w:link w:val="226"/>
    <w:qFormat/>
    <w:uiPriority w:val="0"/>
    <w:pPr>
      <w:ind w:left="100"/>
    </w:pPr>
    <w:rPr>
      <w:sz w:val="36"/>
      <w:szCs w:val="20"/>
    </w:rPr>
  </w:style>
  <w:style w:type="paragraph" w:styleId="27">
    <w:name w:val="Body Text Indent 2"/>
    <w:basedOn w:val="1"/>
    <w:qFormat/>
    <w:uiPriority w:val="0"/>
    <w:pPr>
      <w:spacing w:after="120" w:line="480" w:lineRule="auto"/>
      <w:ind w:left="420"/>
    </w:pPr>
  </w:style>
  <w:style w:type="paragraph" w:styleId="28">
    <w:name w:val="endnote text"/>
    <w:basedOn w:val="1"/>
    <w:link w:val="203"/>
    <w:semiHidden/>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link w:val="215"/>
    <w:qFormat/>
    <w:uiPriority w:val="0"/>
    <w:pPr>
      <w:tabs>
        <w:tab w:val="center" w:pos="4153"/>
        <w:tab w:val="right" w:pos="8306"/>
      </w:tabs>
      <w:jc w:val="left"/>
    </w:pPr>
    <w:rPr>
      <w:sz w:val="18"/>
      <w:szCs w:val="18"/>
    </w:rPr>
  </w:style>
  <w:style w:type="paragraph" w:styleId="31">
    <w:name w:val="envelope return"/>
    <w:basedOn w:val="1"/>
    <w:qFormat/>
    <w:uiPriority w:val="0"/>
    <w:rPr>
      <w:rFonts w:ascii="Arial" w:hAnsi="Arial" w:eastAsia="楷体_GB2312"/>
      <w:sz w:val="26"/>
      <w:szCs w:val="20"/>
    </w:rPr>
  </w:style>
  <w:style w:type="paragraph" w:styleId="32">
    <w:name w:val="header"/>
    <w:basedOn w:val="1"/>
    <w:link w:val="221"/>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pPr>
      <w:jc w:val="left"/>
    </w:pPr>
    <w:rPr>
      <w:rFonts w:eastAsia="楷体_GB2312"/>
      <w:sz w:val="24"/>
      <w:szCs w:val="20"/>
    </w:rPr>
  </w:style>
  <w:style w:type="paragraph" w:styleId="34">
    <w:name w:val="toc 4"/>
    <w:basedOn w:val="1"/>
    <w:next w:val="1"/>
    <w:unhideWhenUsed/>
    <w:qFormat/>
    <w:uiPriority w:val="39"/>
    <w:pPr>
      <w:spacing w:after="57"/>
      <w:ind w:left="850"/>
    </w:pPr>
  </w:style>
  <w:style w:type="paragraph" w:styleId="35">
    <w:name w:val="Subtitle"/>
    <w:basedOn w:val="1"/>
    <w:next w:val="1"/>
    <w:qFormat/>
    <w:uiPriority w:val="0"/>
    <w:pPr>
      <w:spacing w:before="240" w:after="60" w:line="312" w:lineRule="auto"/>
      <w:jc w:val="center"/>
      <w:outlineLvl w:val="1"/>
    </w:pPr>
    <w:rPr>
      <w:rFonts w:ascii="宋体" w:hAnsi="Courier New" w:eastAsia="楷体_GB2312"/>
      <w:sz w:val="26"/>
      <w:szCs w:val="20"/>
    </w:rPr>
  </w:style>
  <w:style w:type="paragraph" w:styleId="36">
    <w:name w:val="footnote text"/>
    <w:basedOn w:val="5"/>
    <w:next w:val="21"/>
    <w:qFormat/>
    <w:uiPriority w:val="0"/>
    <w:pPr>
      <w:spacing w:before="0" w:after="0" w:line="360" w:lineRule="auto"/>
      <w:ind w:firstLine="3584"/>
    </w:pPr>
  </w:style>
  <w:style w:type="paragraph" w:styleId="37">
    <w:name w:val="toc 6"/>
    <w:basedOn w:val="1"/>
    <w:next w:val="1"/>
    <w:unhideWhenUsed/>
    <w:qFormat/>
    <w:uiPriority w:val="39"/>
    <w:pPr>
      <w:spacing w:after="57"/>
      <w:ind w:left="1417"/>
    </w:pPr>
  </w:style>
  <w:style w:type="paragraph" w:styleId="38">
    <w:name w:val="Body Text Indent 3"/>
    <w:basedOn w:val="1"/>
    <w:qFormat/>
    <w:uiPriority w:val="0"/>
    <w:pPr>
      <w:spacing w:line="440" w:lineRule="atLeast"/>
      <w:ind w:firstLine="480"/>
      <w:jc w:val="left"/>
    </w:pPr>
    <w:rPr>
      <w:sz w:val="24"/>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Normal (Web)"/>
    <w:basedOn w:val="1"/>
    <w:qFormat/>
    <w:uiPriority w:val="0"/>
    <w:pPr>
      <w:widowControl/>
      <w:spacing w:before="100" w:beforeAutospacing="1" w:after="100" w:afterAutospacing="1"/>
      <w:jc w:val="left"/>
    </w:pPr>
    <w:rPr>
      <w:rFonts w:ascii="宋体" w:hAnsi="宋体" w:cs="宋体"/>
      <w:sz w:val="24"/>
    </w:rPr>
  </w:style>
  <w:style w:type="paragraph" w:styleId="43">
    <w:name w:val="Title"/>
    <w:basedOn w:val="1"/>
    <w:link w:val="218"/>
    <w:qFormat/>
    <w:uiPriority w:val="0"/>
    <w:pPr>
      <w:tabs>
        <w:tab w:val="left" w:pos="432"/>
        <w:tab w:val="left" w:pos="1140"/>
      </w:tabs>
      <w:spacing w:before="240" w:after="60"/>
      <w:ind w:left="1140" w:hanging="720"/>
      <w:jc w:val="center"/>
      <w:outlineLvl w:val="0"/>
    </w:pPr>
    <w:rPr>
      <w:rFonts w:ascii="Arial" w:hAnsi="Arial"/>
      <w:b/>
      <w:bCs/>
      <w:sz w:val="32"/>
      <w:szCs w:val="32"/>
    </w:rPr>
  </w:style>
  <w:style w:type="paragraph" w:styleId="44">
    <w:name w:val="annotation subject"/>
    <w:basedOn w:val="18"/>
    <w:next w:val="18"/>
    <w:semiHidden/>
    <w:qFormat/>
    <w:uiPriority w:val="0"/>
    <w:rPr>
      <w:b/>
      <w:bCs/>
    </w:rPr>
  </w:style>
  <w:style w:type="paragraph" w:styleId="45">
    <w:name w:val="Body Text First Indent"/>
    <w:basedOn w:val="19"/>
    <w:qFormat/>
    <w:uiPriority w:val="0"/>
    <w:pPr>
      <w:spacing w:after="0" w:line="400" w:lineRule="exact"/>
      <w:ind w:firstLine="420"/>
    </w:pPr>
    <w:rPr>
      <w:sz w:val="28"/>
      <w:lang w:val="zh-CN"/>
    </w:rPr>
  </w:style>
  <w:style w:type="paragraph" w:styleId="46">
    <w:name w:val="Body Text First Indent 2"/>
    <w:basedOn w:val="20"/>
    <w:qFormat/>
    <w:uiPriority w:val="0"/>
    <w:pPr>
      <w:ind w:firstLine="420"/>
    </w:p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basedOn w:val="49"/>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basedOn w:val="49"/>
    <w:qFormat/>
    <w:uiPriority w:val="0"/>
  </w:style>
  <w:style w:type="character" w:styleId="53">
    <w:name w:val="FollowedHyperlink"/>
    <w:basedOn w:val="49"/>
    <w:semiHidden/>
    <w:unhideWhenUsed/>
    <w:qFormat/>
    <w:uiPriority w:val="0"/>
    <w:rPr>
      <w:color w:val="333333"/>
      <w:u w:val="none"/>
    </w:rPr>
  </w:style>
  <w:style w:type="character" w:styleId="54">
    <w:name w:val="Emphasis"/>
    <w:qFormat/>
    <w:uiPriority w:val="0"/>
    <w:rPr>
      <w:i/>
      <w:iCs/>
    </w:rPr>
  </w:style>
  <w:style w:type="character" w:styleId="55">
    <w:name w:val="Hyperlink"/>
    <w:qFormat/>
    <w:uiPriority w:val="0"/>
    <w:rPr>
      <w:color w:val="000000"/>
      <w:u w:val="none"/>
    </w:rPr>
  </w:style>
  <w:style w:type="character" w:styleId="56">
    <w:name w:val="annotation reference"/>
    <w:qFormat/>
    <w:uiPriority w:val="99"/>
    <w:rPr>
      <w:sz w:val="21"/>
      <w:szCs w:val="21"/>
    </w:rPr>
  </w:style>
  <w:style w:type="character" w:styleId="57">
    <w:name w:val="footnote reference"/>
    <w:basedOn w:val="49"/>
    <w:unhideWhenUsed/>
    <w:qFormat/>
    <w:uiPriority w:val="99"/>
    <w:rPr>
      <w:vertAlign w:val="superscript"/>
    </w:rPr>
  </w:style>
  <w:style w:type="paragraph" w:customStyle="1" w:styleId="58">
    <w:name w:val="正文1"/>
    <w:basedOn w:val="1"/>
    <w:next w:val="1"/>
    <w:qFormat/>
    <w:uiPriority w:val="0"/>
    <w:pPr>
      <w:spacing w:line="360" w:lineRule="exact"/>
      <w:ind w:left="538" w:hanging="538" w:hangingChars="192"/>
    </w:pPr>
    <w:rPr>
      <w:rFonts w:ascii="仿宋_GB2312" w:hAnsi="宋体" w:eastAsia="仿宋_GB2312"/>
      <w:color w:val="000000"/>
      <w:sz w:val="28"/>
    </w:rPr>
  </w:style>
  <w:style w:type="character" w:customStyle="1" w:styleId="59">
    <w:name w:val="Heading 1 Char"/>
    <w:basedOn w:val="49"/>
    <w:qFormat/>
    <w:uiPriority w:val="9"/>
    <w:rPr>
      <w:rFonts w:ascii="Arial" w:hAnsi="Arial" w:eastAsia="Arial" w:cs="Arial"/>
      <w:sz w:val="40"/>
      <w:szCs w:val="40"/>
    </w:rPr>
  </w:style>
  <w:style w:type="character" w:customStyle="1" w:styleId="60">
    <w:name w:val="Heading 2 Char"/>
    <w:basedOn w:val="49"/>
    <w:qFormat/>
    <w:uiPriority w:val="9"/>
    <w:rPr>
      <w:rFonts w:ascii="Arial" w:hAnsi="Arial" w:eastAsia="Arial" w:cs="Arial"/>
      <w:sz w:val="34"/>
    </w:rPr>
  </w:style>
  <w:style w:type="character" w:customStyle="1" w:styleId="61">
    <w:name w:val="Heading 3 Char"/>
    <w:basedOn w:val="49"/>
    <w:qFormat/>
    <w:uiPriority w:val="9"/>
    <w:rPr>
      <w:rFonts w:ascii="Arial" w:hAnsi="Arial" w:eastAsia="Arial" w:cs="Arial"/>
      <w:sz w:val="30"/>
      <w:szCs w:val="30"/>
    </w:rPr>
  </w:style>
  <w:style w:type="character" w:customStyle="1" w:styleId="62">
    <w:name w:val="Heading 4 Char"/>
    <w:basedOn w:val="49"/>
    <w:qFormat/>
    <w:uiPriority w:val="9"/>
    <w:rPr>
      <w:rFonts w:ascii="Arial" w:hAnsi="Arial" w:eastAsia="Arial" w:cs="Arial"/>
      <w:b/>
      <w:bCs/>
      <w:sz w:val="26"/>
      <w:szCs w:val="26"/>
    </w:rPr>
  </w:style>
  <w:style w:type="character" w:customStyle="1" w:styleId="63">
    <w:name w:val="Heading 5 Char"/>
    <w:basedOn w:val="49"/>
    <w:qFormat/>
    <w:uiPriority w:val="9"/>
    <w:rPr>
      <w:rFonts w:ascii="Arial" w:hAnsi="Arial" w:eastAsia="Arial" w:cs="Arial"/>
      <w:b/>
      <w:bCs/>
      <w:sz w:val="24"/>
      <w:szCs w:val="24"/>
    </w:rPr>
  </w:style>
  <w:style w:type="character" w:customStyle="1" w:styleId="64">
    <w:name w:val="标题 6 字符"/>
    <w:basedOn w:val="49"/>
    <w:link w:val="10"/>
    <w:qFormat/>
    <w:uiPriority w:val="9"/>
    <w:rPr>
      <w:rFonts w:ascii="Arial" w:hAnsi="Arial" w:eastAsia="Arial" w:cs="Arial"/>
      <w:b/>
      <w:bCs/>
      <w:sz w:val="22"/>
      <w:szCs w:val="22"/>
    </w:rPr>
  </w:style>
  <w:style w:type="character" w:customStyle="1" w:styleId="65">
    <w:name w:val="标题 7 字符"/>
    <w:basedOn w:val="49"/>
    <w:link w:val="11"/>
    <w:qFormat/>
    <w:uiPriority w:val="9"/>
    <w:rPr>
      <w:rFonts w:ascii="Arial" w:hAnsi="Arial" w:eastAsia="Arial" w:cs="Arial"/>
      <w:b/>
      <w:bCs/>
      <w:i/>
      <w:iCs/>
      <w:sz w:val="22"/>
      <w:szCs w:val="22"/>
    </w:rPr>
  </w:style>
  <w:style w:type="character" w:customStyle="1" w:styleId="66">
    <w:name w:val="标题 8 字符"/>
    <w:basedOn w:val="49"/>
    <w:link w:val="12"/>
    <w:qFormat/>
    <w:uiPriority w:val="9"/>
    <w:rPr>
      <w:rFonts w:ascii="Arial" w:hAnsi="Arial" w:eastAsia="Arial" w:cs="Arial"/>
      <w:i/>
      <w:iCs/>
      <w:sz w:val="22"/>
      <w:szCs w:val="22"/>
    </w:rPr>
  </w:style>
  <w:style w:type="character" w:customStyle="1" w:styleId="67">
    <w:name w:val="标题 9 字符"/>
    <w:basedOn w:val="49"/>
    <w:link w:val="13"/>
    <w:qFormat/>
    <w:uiPriority w:val="9"/>
    <w:rPr>
      <w:rFonts w:ascii="Arial" w:hAnsi="Arial" w:eastAsia="Arial" w:cs="Arial"/>
      <w:i/>
      <w:iCs/>
      <w:sz w:val="21"/>
      <w:szCs w:val="21"/>
    </w:rPr>
  </w:style>
  <w:style w:type="character" w:customStyle="1" w:styleId="68">
    <w:name w:val="Title Char"/>
    <w:basedOn w:val="49"/>
    <w:qFormat/>
    <w:uiPriority w:val="10"/>
    <w:rPr>
      <w:sz w:val="48"/>
      <w:szCs w:val="48"/>
    </w:rPr>
  </w:style>
  <w:style w:type="character" w:customStyle="1" w:styleId="69">
    <w:name w:val="Subtitle Char"/>
    <w:basedOn w:val="49"/>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字符"/>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字符"/>
    <w:link w:val="72"/>
    <w:qFormat/>
    <w:uiPriority w:val="30"/>
    <w:rPr>
      <w:i/>
    </w:rPr>
  </w:style>
  <w:style w:type="character" w:customStyle="1" w:styleId="74">
    <w:name w:val="Header Char"/>
    <w:basedOn w:val="49"/>
    <w:qFormat/>
    <w:uiPriority w:val="99"/>
  </w:style>
  <w:style w:type="character" w:customStyle="1" w:styleId="75">
    <w:name w:val="Footer Char"/>
    <w:basedOn w:val="49"/>
    <w:qFormat/>
    <w:uiPriority w:val="99"/>
  </w:style>
  <w:style w:type="character" w:customStyle="1" w:styleId="76">
    <w:name w:val="Caption Char"/>
    <w:qFormat/>
    <w:uiPriority w:val="99"/>
  </w:style>
  <w:style w:type="table" w:customStyle="1" w:styleId="77">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8">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qFormat/>
    <w:uiPriority w:val="99"/>
    <w:rPr>
      <w:sz w:val="18"/>
    </w:rPr>
  </w:style>
  <w:style w:type="character" w:customStyle="1" w:styleId="203">
    <w:name w:val="尾注文本 字符"/>
    <w:link w:val="28"/>
    <w:qFormat/>
    <w:uiPriority w:val="99"/>
    <w:rPr>
      <w:sz w:val="20"/>
    </w:rPr>
  </w:style>
  <w:style w:type="paragraph" w:customStyle="1" w:styleId="204">
    <w:name w:val="TOC 标题1"/>
    <w:unhideWhenUsed/>
    <w:qFormat/>
    <w:uiPriority w:val="39"/>
    <w:rPr>
      <w:rFonts w:ascii="Times New Roman" w:hAnsi="Times New Roman" w:eastAsia="宋体" w:cs="Times New Roman"/>
      <w:lang w:val="en-US" w:eastAsia="zh-CN" w:bidi="ar-SA"/>
    </w:rPr>
  </w:style>
  <w:style w:type="paragraph" w:customStyle="1" w:styleId="205">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06">
    <w:name w:val="首行缩进"/>
    <w:basedOn w:val="1"/>
    <w:qFormat/>
    <w:uiPriority w:val="0"/>
    <w:pPr>
      <w:spacing w:line="360" w:lineRule="auto"/>
      <w:ind w:firstLine="480"/>
      <w:jc w:val="left"/>
    </w:pPr>
    <w:rPr>
      <w:rFonts w:ascii="宋体" w:hAnsi="宋体"/>
      <w:sz w:val="24"/>
    </w:rPr>
  </w:style>
  <w:style w:type="character" w:customStyle="1" w:styleId="207">
    <w:name w:val="标题 1 字符"/>
    <w:link w:val="5"/>
    <w:qFormat/>
    <w:uiPriority w:val="0"/>
    <w:rPr>
      <w:b/>
      <w:bCs/>
      <w:sz w:val="44"/>
      <w:szCs w:val="44"/>
    </w:rPr>
  </w:style>
  <w:style w:type="character" w:customStyle="1" w:styleId="208">
    <w:name w:val="标题 2 字符"/>
    <w:link w:val="6"/>
    <w:qFormat/>
    <w:uiPriority w:val="0"/>
    <w:rPr>
      <w:rFonts w:ascii="Cambria" w:hAnsi="Cambria"/>
      <w:b/>
      <w:bCs/>
      <w:sz w:val="32"/>
      <w:szCs w:val="32"/>
    </w:rPr>
  </w:style>
  <w:style w:type="character" w:customStyle="1" w:styleId="209">
    <w:name w:val="标题 3 字符"/>
    <w:link w:val="7"/>
    <w:qFormat/>
    <w:uiPriority w:val="0"/>
    <w:rPr>
      <w:b/>
      <w:bCs/>
      <w:sz w:val="32"/>
      <w:szCs w:val="32"/>
    </w:rPr>
  </w:style>
  <w:style w:type="character" w:customStyle="1" w:styleId="210">
    <w:name w:val="纯文本 字符"/>
    <w:link w:val="24"/>
    <w:qFormat/>
    <w:uiPriority w:val="0"/>
    <w:rPr>
      <w:rFonts w:ascii="宋体" w:hAnsi="Courier New" w:eastAsia="楷体_GB2312"/>
      <w:sz w:val="26"/>
      <w:szCs w:val="24"/>
      <w:lang w:val="en-US" w:eastAsia="zh-CN" w:bidi="ar-SA"/>
    </w:rPr>
  </w:style>
  <w:style w:type="character" w:customStyle="1" w:styleId="211">
    <w:name w:val="正文缩进 字符"/>
    <w:link w:val="15"/>
    <w:qFormat/>
    <w:uiPriority w:val="0"/>
    <w:rPr>
      <w:rFonts w:eastAsia="楷体_GB2312"/>
      <w:sz w:val="24"/>
      <w:lang w:val="en-US" w:eastAsia="zh-CN" w:bidi="ar-SA"/>
    </w:rPr>
  </w:style>
  <w:style w:type="character" w:customStyle="1" w:styleId="212">
    <w:name w:val="标题 5 字符"/>
    <w:link w:val="9"/>
    <w:qFormat/>
    <w:uiPriority w:val="0"/>
    <w:rPr>
      <w:rFonts w:eastAsia="宋体"/>
      <w:b/>
      <w:bCs/>
      <w:i/>
      <w:iCs/>
      <w:sz w:val="26"/>
      <w:szCs w:val="26"/>
      <w:lang w:val="en-US" w:eastAsia="zh-CN" w:bidi="ar-SA"/>
    </w:rPr>
  </w:style>
  <w:style w:type="character" w:customStyle="1" w:styleId="213">
    <w:name w:val="+正文 Char3"/>
    <w:link w:val="214"/>
    <w:qFormat/>
    <w:uiPriority w:val="0"/>
    <w:rPr>
      <w:rFonts w:eastAsia="宋体"/>
      <w:sz w:val="24"/>
      <w:lang w:val="en-US" w:eastAsia="zh-CN" w:bidi="ar-SA"/>
    </w:rPr>
  </w:style>
  <w:style w:type="paragraph" w:customStyle="1" w:styleId="214">
    <w:name w:val="+正文"/>
    <w:basedOn w:val="1"/>
    <w:link w:val="213"/>
    <w:qFormat/>
    <w:uiPriority w:val="0"/>
    <w:pPr>
      <w:spacing w:line="360" w:lineRule="auto"/>
      <w:ind w:firstLine="200"/>
    </w:pPr>
    <w:rPr>
      <w:sz w:val="24"/>
      <w:szCs w:val="20"/>
    </w:rPr>
  </w:style>
  <w:style w:type="character" w:customStyle="1" w:styleId="215">
    <w:name w:val="页脚 字符"/>
    <w:link w:val="30"/>
    <w:semiHidden/>
    <w:qFormat/>
    <w:uiPriority w:val="0"/>
    <w:rPr>
      <w:rFonts w:eastAsia="宋体"/>
      <w:sz w:val="18"/>
      <w:szCs w:val="18"/>
      <w:lang w:val="en-US" w:eastAsia="zh-CN" w:bidi="ar-SA"/>
    </w:rPr>
  </w:style>
  <w:style w:type="character" w:customStyle="1" w:styleId="216">
    <w:name w:val="Char Char8"/>
    <w:qFormat/>
    <w:uiPriority w:val="0"/>
    <w:rPr>
      <w:sz w:val="18"/>
    </w:rPr>
  </w:style>
  <w:style w:type="character" w:customStyle="1" w:styleId="217">
    <w:name w:val="标题 4 字符"/>
    <w:link w:val="8"/>
    <w:qFormat/>
    <w:uiPriority w:val="0"/>
    <w:rPr>
      <w:rFonts w:eastAsia="宋体"/>
      <w:b/>
      <w:bCs/>
      <w:sz w:val="28"/>
      <w:szCs w:val="28"/>
      <w:lang w:val="en-US" w:eastAsia="zh-CN" w:bidi="ar-SA"/>
    </w:rPr>
  </w:style>
  <w:style w:type="character" w:customStyle="1" w:styleId="218">
    <w:name w:val="标题 字符"/>
    <w:link w:val="43"/>
    <w:qFormat/>
    <w:uiPriority w:val="0"/>
    <w:rPr>
      <w:rFonts w:ascii="Arial" w:hAnsi="Arial"/>
      <w:b/>
      <w:bCs/>
      <w:sz w:val="32"/>
      <w:szCs w:val="32"/>
    </w:rPr>
  </w:style>
  <w:style w:type="character" w:customStyle="1" w:styleId="219">
    <w:name w:val="文字正文主体 Char Char"/>
    <w:link w:val="220"/>
    <w:qFormat/>
    <w:uiPriority w:val="0"/>
    <w:rPr>
      <w:rFonts w:ascii="仿宋" w:hAnsi="仿宋" w:eastAsia="仿宋"/>
      <w:color w:val="3A3A3A"/>
      <w:sz w:val="28"/>
      <w:lang w:val="en-US" w:eastAsia="zh-CN" w:bidi="ar-SA"/>
    </w:rPr>
  </w:style>
  <w:style w:type="paragraph" w:customStyle="1" w:styleId="220">
    <w:name w:val="文字正文主体"/>
    <w:basedOn w:val="1"/>
    <w:link w:val="219"/>
    <w:qFormat/>
    <w:uiPriority w:val="0"/>
    <w:pPr>
      <w:tabs>
        <w:tab w:val="center" w:pos="2268"/>
        <w:tab w:val="right" w:pos="7938"/>
      </w:tabs>
      <w:spacing w:line="360" w:lineRule="auto"/>
      <w:ind w:firstLine="560"/>
    </w:pPr>
    <w:rPr>
      <w:rFonts w:ascii="仿宋" w:hAnsi="仿宋" w:eastAsia="仿宋"/>
      <w:color w:val="3A3A3A"/>
      <w:sz w:val="28"/>
      <w:szCs w:val="20"/>
    </w:rPr>
  </w:style>
  <w:style w:type="character" w:customStyle="1" w:styleId="221">
    <w:name w:val="页眉 字符"/>
    <w:link w:val="32"/>
    <w:qFormat/>
    <w:uiPriority w:val="99"/>
    <w:rPr>
      <w:rFonts w:eastAsia="宋体"/>
      <w:sz w:val="18"/>
      <w:szCs w:val="18"/>
      <w:lang w:val="en-US" w:eastAsia="zh-CN" w:bidi="ar-SA"/>
    </w:rPr>
  </w:style>
  <w:style w:type="character" w:customStyle="1" w:styleId="222">
    <w:name w:val="Char Char5"/>
    <w:qFormat/>
    <w:uiPriority w:val="0"/>
    <w:rPr>
      <w:sz w:val="24"/>
      <w:lang w:val="en-US" w:eastAsia="zh-CN"/>
    </w:rPr>
  </w:style>
  <w:style w:type="character" w:customStyle="1" w:styleId="223">
    <w:name w:val="Char Char11"/>
    <w:qFormat/>
    <w:uiPriority w:val="0"/>
    <w:rPr>
      <w:sz w:val="21"/>
    </w:rPr>
  </w:style>
  <w:style w:type="character" w:customStyle="1" w:styleId="224">
    <w:name w:val="c lh15"/>
    <w:basedOn w:val="49"/>
    <w:qFormat/>
    <w:uiPriority w:val="0"/>
  </w:style>
  <w:style w:type="character" w:customStyle="1" w:styleId="225">
    <w:name w:val="批注文字 字符"/>
    <w:link w:val="18"/>
    <w:qFormat/>
    <w:uiPriority w:val="0"/>
    <w:rPr>
      <w:rFonts w:eastAsia="宋体"/>
      <w:sz w:val="21"/>
      <w:szCs w:val="24"/>
      <w:lang w:val="en-US" w:eastAsia="zh-CN" w:bidi="ar-SA"/>
    </w:rPr>
  </w:style>
  <w:style w:type="character" w:customStyle="1" w:styleId="226">
    <w:name w:val="日期 字符"/>
    <w:link w:val="26"/>
    <w:qFormat/>
    <w:uiPriority w:val="0"/>
    <w:rPr>
      <w:sz w:val="36"/>
      <w:lang w:bidi="ar-SA"/>
    </w:rPr>
  </w:style>
  <w:style w:type="character" w:customStyle="1" w:styleId="227">
    <w:name w:val="Plain Text Char Char"/>
    <w:link w:val="228"/>
    <w:qFormat/>
    <w:uiPriority w:val="0"/>
    <w:rPr>
      <w:rFonts w:ascii="宋体" w:hAnsi="Courier New" w:eastAsia="楷体_GB2312"/>
      <w:sz w:val="28"/>
    </w:rPr>
  </w:style>
  <w:style w:type="paragraph" w:customStyle="1" w:styleId="228">
    <w:name w:val="纯文本1"/>
    <w:basedOn w:val="1"/>
    <w:link w:val="227"/>
    <w:qFormat/>
    <w:uiPriority w:val="0"/>
    <w:rPr>
      <w:rFonts w:ascii="宋体" w:hAnsi="Courier New" w:eastAsia="楷体_GB2312"/>
      <w:sz w:val="28"/>
      <w:szCs w:val="20"/>
    </w:rPr>
  </w:style>
  <w:style w:type="paragraph" w:customStyle="1" w:styleId="229">
    <w:name w:val="Char Char Char Char Char Char Char Char Char1 Char Char Char Char"/>
    <w:basedOn w:val="17"/>
    <w:qFormat/>
    <w:uiPriority w:val="0"/>
    <w:pPr>
      <w:spacing w:line="360" w:lineRule="auto"/>
    </w:pPr>
    <w:rPr>
      <w:rFonts w:eastAsia="楷体_GB2312"/>
      <w:sz w:val="26"/>
      <w:szCs w:val="20"/>
    </w:rPr>
  </w:style>
  <w:style w:type="paragraph" w:customStyle="1" w:styleId="230">
    <w:name w:val="Char Char Char Char Char Char Char Char Char Char"/>
    <w:basedOn w:val="1"/>
    <w:qFormat/>
    <w:uiPriority w:val="0"/>
    <w:pPr>
      <w:numPr>
        <w:ilvl w:val="0"/>
        <w:numId w:val="2"/>
      </w:numPr>
    </w:pPr>
    <w:rPr>
      <w:sz w:val="24"/>
    </w:rPr>
  </w:style>
  <w:style w:type="paragraph" w:customStyle="1" w:styleId="231">
    <w:name w:val="Char Char Char Char Char Char Char Char Char1 Char"/>
    <w:basedOn w:val="17"/>
    <w:qFormat/>
    <w:uiPriority w:val="0"/>
    <w:pPr>
      <w:spacing w:line="360" w:lineRule="auto"/>
    </w:pPr>
    <w:rPr>
      <w:rFonts w:ascii="Tahoma" w:hAnsi="Tahoma"/>
      <w:sz w:val="24"/>
    </w:rPr>
  </w:style>
  <w:style w:type="paragraph" w:customStyle="1" w:styleId="232">
    <w:name w:val="Char Char Char"/>
    <w:basedOn w:val="17"/>
    <w:qFormat/>
    <w:uiPriority w:val="0"/>
    <w:pPr>
      <w:spacing w:line="360" w:lineRule="auto"/>
    </w:pPr>
    <w:rPr>
      <w:rFonts w:ascii="Tahoma" w:hAnsi="Tahoma"/>
      <w:sz w:val="24"/>
    </w:rPr>
  </w:style>
  <w:style w:type="paragraph" w:customStyle="1" w:styleId="233">
    <w:name w:val="Char Char Char Char"/>
    <w:basedOn w:val="17"/>
    <w:qFormat/>
    <w:uiPriority w:val="0"/>
    <w:pPr>
      <w:spacing w:line="360" w:lineRule="auto"/>
    </w:pPr>
    <w:rPr>
      <w:sz w:val="24"/>
      <w:szCs w:val="20"/>
    </w:rPr>
  </w:style>
  <w:style w:type="paragraph" w:customStyle="1" w:styleId="234">
    <w:name w:val="Char1 Char Char Char"/>
    <w:basedOn w:val="1"/>
    <w:qFormat/>
    <w:uiPriority w:val="0"/>
    <w:rPr>
      <w:rFonts w:ascii="Tahoma" w:hAnsi="Tahoma"/>
      <w:sz w:val="24"/>
      <w:szCs w:val="20"/>
    </w:rPr>
  </w:style>
  <w:style w:type="paragraph" w:customStyle="1" w:styleId="235">
    <w:name w:val="Char"/>
    <w:basedOn w:val="1"/>
    <w:qFormat/>
    <w:uiPriority w:val="0"/>
    <w:pPr>
      <w:tabs>
        <w:tab w:val="left" w:pos="420"/>
      </w:tabs>
      <w:ind w:left="420" w:hanging="420"/>
    </w:pPr>
    <w:rPr>
      <w:sz w:val="24"/>
    </w:rPr>
  </w:style>
  <w:style w:type="paragraph" w:customStyle="1" w:styleId="23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237">
    <w:name w:val="Char Char Char1 Char Char Char Char"/>
    <w:basedOn w:val="1"/>
    <w:qFormat/>
    <w:uiPriority w:val="0"/>
    <w:pPr>
      <w:widowControl/>
      <w:spacing w:after="160" w:line="240" w:lineRule="exact"/>
      <w:jc w:val="left"/>
    </w:pPr>
    <w:rPr>
      <w:sz w:val="24"/>
    </w:rPr>
  </w:style>
  <w:style w:type="paragraph" w:styleId="238">
    <w:name w:val="No Spacing"/>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39">
    <w:name w:val="纯文本11"/>
    <w:basedOn w:val="1"/>
    <w:qFormat/>
    <w:uiPriority w:val="0"/>
    <w:rPr>
      <w:rFonts w:ascii="宋体" w:hAnsi="Courier New" w:eastAsia="楷体_GB2312"/>
      <w:sz w:val="28"/>
      <w:szCs w:val="20"/>
    </w:rPr>
  </w:style>
  <w:style w:type="character" w:customStyle="1" w:styleId="240">
    <w:name w:val="纯文本 Char1"/>
    <w:qFormat/>
    <w:uiPriority w:val="0"/>
    <w:rPr>
      <w:rFonts w:ascii="宋体" w:hAnsi="Courier New" w:eastAsia="楷体_GB2312"/>
      <w:sz w:val="24"/>
      <w:lang w:val="en-US" w:eastAsia="zh-CN" w:bidi="ar-SA"/>
    </w:rPr>
  </w:style>
  <w:style w:type="paragraph" w:customStyle="1" w:styleId="241">
    <w:name w:val="纯文本2"/>
    <w:basedOn w:val="1"/>
    <w:qFormat/>
    <w:uiPriority w:val="0"/>
    <w:rPr>
      <w:rFonts w:ascii="宋体" w:hAnsi="Courier New" w:eastAsia="楷体_GB2312"/>
      <w:sz w:val="26"/>
      <w:szCs w:val="20"/>
    </w:rPr>
  </w:style>
  <w:style w:type="character" w:customStyle="1" w:styleId="242">
    <w:name w:val="Plain Text Char"/>
    <w:qFormat/>
    <w:uiPriority w:val="0"/>
    <w:rPr>
      <w:rFonts w:ascii="宋体" w:hAnsi="Courier New" w:eastAsia="楷体_GB2312"/>
      <w:sz w:val="26"/>
      <w:lang w:val="en-US" w:eastAsia="zh-CN" w:bidi="ar-SA"/>
    </w:rPr>
  </w:style>
  <w:style w:type="paragraph" w:customStyle="1" w:styleId="243">
    <w:name w:val="修订1"/>
    <w:hidden/>
    <w:semiHidden/>
    <w:unhideWhenUsed/>
    <w:qFormat/>
    <w:uiPriority w:val="99"/>
    <w:rPr>
      <w:rFonts w:ascii="Times New Roman" w:hAnsi="Times New Roman" w:eastAsia="宋体" w:cs="Times New Roman"/>
      <w:sz w:val="21"/>
      <w:szCs w:val="24"/>
      <w:lang w:val="en-US" w:eastAsia="zh-CN" w:bidi="ar-SA"/>
    </w:rPr>
  </w:style>
  <w:style w:type="character" w:customStyle="1" w:styleId="244">
    <w:name w:val="apple-converted-space"/>
    <w:basedOn w:val="49"/>
    <w:qFormat/>
    <w:uiPriority w:val="0"/>
  </w:style>
  <w:style w:type="paragraph" w:customStyle="1" w:styleId="245">
    <w:name w:val="p1"/>
    <w:basedOn w:val="1"/>
    <w:qFormat/>
    <w:uiPriority w:val="0"/>
    <w:pPr>
      <w:widowControl/>
      <w:spacing w:before="100" w:beforeAutospacing="1" w:after="100" w:afterAutospacing="1"/>
      <w:jc w:val="left"/>
    </w:pPr>
    <w:rPr>
      <w:rFonts w:ascii="宋体" w:hAnsi="宋体" w:cs="宋体"/>
      <w:sz w:val="24"/>
    </w:rPr>
  </w:style>
  <w:style w:type="paragraph" w:customStyle="1" w:styleId="246">
    <w:name w:val="p3"/>
    <w:basedOn w:val="1"/>
    <w:qFormat/>
    <w:uiPriority w:val="0"/>
    <w:pPr>
      <w:widowControl/>
      <w:spacing w:before="100" w:beforeAutospacing="1" w:after="100" w:afterAutospacing="1"/>
      <w:jc w:val="left"/>
    </w:pPr>
    <w:rPr>
      <w:rFonts w:ascii="宋体" w:hAnsi="宋体" w:cs="宋体"/>
      <w:sz w:val="24"/>
    </w:rPr>
  </w:style>
  <w:style w:type="character" w:customStyle="1" w:styleId="247">
    <w:name w:val="s6"/>
    <w:basedOn w:val="49"/>
    <w:qFormat/>
    <w:uiPriority w:val="0"/>
  </w:style>
  <w:style w:type="character" w:customStyle="1" w:styleId="248">
    <w:name w:val="s1"/>
    <w:basedOn w:val="49"/>
    <w:qFormat/>
    <w:uiPriority w:val="0"/>
  </w:style>
  <w:style w:type="paragraph" w:customStyle="1" w:styleId="249">
    <w:name w:val="列出段落1"/>
    <w:basedOn w:val="1"/>
    <w:qFormat/>
    <w:uiPriority w:val="34"/>
    <w:pPr>
      <w:ind w:firstLine="420"/>
    </w:pPr>
    <w:rPr>
      <w:lang w:val="zh-CN"/>
    </w:rPr>
  </w:style>
  <w:style w:type="character" w:customStyle="1" w:styleId="250">
    <w:name w:val="批注文字 Char3"/>
    <w:qFormat/>
    <w:uiPriority w:val="0"/>
    <w:rPr>
      <w:rFonts w:eastAsia="宋体"/>
      <w:sz w:val="21"/>
      <w:szCs w:val="24"/>
      <w:lang w:val="en-US" w:eastAsia="zh-CN" w:bidi="ar-SA"/>
    </w:rPr>
  </w:style>
  <w:style w:type="paragraph" w:styleId="251">
    <w:name w:val="List Paragraph"/>
    <w:basedOn w:val="1"/>
    <w:qFormat/>
    <w:uiPriority w:val="99"/>
    <w:pPr>
      <w:ind w:firstLine="420"/>
    </w:pPr>
  </w:style>
  <w:style w:type="paragraph" w:customStyle="1" w:styleId="252">
    <w:name w:val="BodyText"/>
    <w:basedOn w:val="1"/>
    <w:qFormat/>
    <w:uiPriority w:val="99"/>
    <w:pPr>
      <w:spacing w:after="120"/>
    </w:pPr>
  </w:style>
  <w:style w:type="character" w:customStyle="1" w:styleId="253">
    <w:name w:val="NormalCharacter"/>
    <w:semiHidden/>
    <w:qFormat/>
    <w:uiPriority w:val="0"/>
  </w:style>
  <w:style w:type="character" w:customStyle="1" w:styleId="254">
    <w:name w:val="正文文本缩进 字符"/>
    <w:basedOn w:val="49"/>
    <w:link w:val="20"/>
    <w:qFormat/>
    <w:uiPriority w:val="0"/>
    <w:rPr>
      <w:rFonts w:ascii="Times New Roman" w:hAnsi="Times New Roman"/>
      <w:sz w:val="21"/>
      <w:szCs w:val="24"/>
    </w:rPr>
  </w:style>
  <w:style w:type="paragraph" w:customStyle="1" w:styleId="255">
    <w:name w:val="纯文本3"/>
    <w:basedOn w:val="1"/>
    <w:qFormat/>
    <w:uiPriority w:val="0"/>
    <w:rPr>
      <w:rFonts w:ascii="宋体" w:hAnsi="Courier New" w:eastAsia="楷体_GB2312"/>
      <w:sz w:val="28"/>
      <w:szCs w:val="20"/>
    </w:rPr>
  </w:style>
  <w:style w:type="paragraph" w:customStyle="1" w:styleId="256">
    <w:name w:val="修订2"/>
    <w:hidden/>
    <w:semiHidden/>
    <w:qFormat/>
    <w:uiPriority w:val="99"/>
    <w:rPr>
      <w:rFonts w:ascii="Times New Roman" w:hAnsi="Times New Roman" w:eastAsia="宋体" w:cs="Times New Roman"/>
      <w:sz w:val="21"/>
      <w:szCs w:val="24"/>
      <w:lang w:val="en-US" w:eastAsia="zh-CN" w:bidi="ar-SA"/>
    </w:rPr>
  </w:style>
  <w:style w:type="paragraph" w:customStyle="1" w:styleId="257">
    <w:name w:val="修订3"/>
    <w:hidden/>
    <w:semiHidden/>
    <w:qFormat/>
    <w:uiPriority w:val="99"/>
    <w:rPr>
      <w:rFonts w:ascii="Times New Roman" w:hAnsi="Times New Roman" w:eastAsia="宋体" w:cs="Times New Roman"/>
      <w:sz w:val="21"/>
      <w:szCs w:val="24"/>
      <w:lang w:val="en-US" w:eastAsia="zh-CN" w:bidi="ar-SA"/>
    </w:rPr>
  </w:style>
  <w:style w:type="paragraph" w:customStyle="1" w:styleId="258">
    <w:name w:val="修订4"/>
    <w:hidden/>
    <w:semiHidden/>
    <w:qFormat/>
    <w:uiPriority w:val="99"/>
    <w:rPr>
      <w:rFonts w:ascii="Times New Roman" w:hAnsi="Times New Roman" w:eastAsia="宋体" w:cs="Times New Roman"/>
      <w:sz w:val="21"/>
      <w:szCs w:val="24"/>
      <w:lang w:val="en-US" w:eastAsia="zh-CN" w:bidi="ar-SA"/>
    </w:rPr>
  </w:style>
  <w:style w:type="paragraph" w:customStyle="1" w:styleId="259">
    <w:name w:val="列出段落2"/>
    <w:basedOn w:val="1"/>
    <w:qFormat/>
    <w:uiPriority w:val="34"/>
    <w:pPr>
      <w:ind w:firstLine="420"/>
    </w:pPr>
  </w:style>
  <w:style w:type="paragraph" w:customStyle="1" w:styleId="260">
    <w:name w:val="纯文本21"/>
    <w:basedOn w:val="1"/>
    <w:qFormat/>
    <w:uiPriority w:val="0"/>
    <w:rPr>
      <w:rFonts w:ascii="宋体" w:hAnsi="Courier New"/>
    </w:rPr>
  </w:style>
  <w:style w:type="paragraph" w:customStyle="1" w:styleId="261">
    <w:name w:val="正文 A"/>
    <w:qFormat/>
    <w:uiPriority w:val="0"/>
    <w:pPr>
      <w:framePr w:wrap="around" w:vAnchor="margin" w:hAnchor="text" w:yAlign="top"/>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262">
    <w:name w:val="_Style 111"/>
    <w:basedOn w:val="1"/>
    <w:next w:val="251"/>
    <w:qFormat/>
    <w:uiPriority w:val="34"/>
    <w:pPr>
      <w:ind w:firstLine="420" w:firstLineChars="200"/>
    </w:pPr>
  </w:style>
  <w:style w:type="paragraph" w:customStyle="1" w:styleId="263">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264">
    <w:name w:val="正文文本1"/>
    <w:basedOn w:val="1"/>
    <w:next w:val="265"/>
    <w:qFormat/>
    <w:uiPriority w:val="0"/>
    <w:pPr>
      <w:spacing w:line="400" w:lineRule="exact"/>
    </w:pPr>
    <w:rPr>
      <w:rFonts w:ascii="楷体_GB2312"/>
      <w:sz w:val="28"/>
    </w:rPr>
  </w:style>
  <w:style w:type="paragraph" w:customStyle="1" w:styleId="265">
    <w:name w:val="正文缩进1"/>
    <w:basedOn w:val="1"/>
    <w:next w:val="1"/>
    <w:qFormat/>
    <w:uiPriority w:val="99"/>
    <w:pPr>
      <w:ind w:firstLine="420"/>
      <w:jc w:val="left"/>
    </w:pPr>
    <w:rPr>
      <w:sz w:val="24"/>
    </w:rPr>
  </w:style>
  <w:style w:type="paragraph" w:customStyle="1" w:styleId="266">
    <w:name w:val="报告正文"/>
    <w:basedOn w:val="1"/>
    <w:qFormat/>
    <w:uiPriority w:val="0"/>
    <w:pPr>
      <w:autoSpaceDE w:val="0"/>
      <w:autoSpaceDN w:val="0"/>
      <w:adjustRightInd w:val="0"/>
      <w:spacing w:line="520" w:lineRule="exact"/>
      <w:ind w:firstLine="480" w:firstLineChars="200"/>
      <w:jc w:val="left"/>
    </w:pPr>
    <w:rPr>
      <w:rFonts w:ascii="宋体" w:hAnsi="宋体"/>
      <w:color w:val="000000"/>
      <w:sz w:val="24"/>
    </w:rPr>
  </w:style>
  <w:style w:type="paragraph" w:customStyle="1" w:styleId="267">
    <w:name w:val="正文文本缩进1"/>
    <w:basedOn w:val="1"/>
    <w:next w:val="1"/>
    <w:qFormat/>
    <w:uiPriority w:val="0"/>
    <w:pPr>
      <w:spacing w:line="360" w:lineRule="exact"/>
      <w:ind w:left="420" w:firstLine="1188"/>
    </w:pPr>
  </w:style>
  <w:style w:type="character" w:customStyle="1" w:styleId="268">
    <w:name w:val="NormalCharacter1"/>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43</Pages>
  <Words>24941</Words>
  <Characters>26012</Characters>
  <Lines>1160</Lines>
  <Paragraphs>798</Paragraphs>
  <TotalTime>2</TotalTime>
  <ScaleCrop>false</ScaleCrop>
  <LinksUpToDate>false</LinksUpToDate>
  <CharactersWithSpaces>26544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2024-03-20T03:00:00Z</dcterms:created>
  <dc:creator>Lenovo User</dc:creator>
  <cp:lastModifiedBy>15717</cp:lastModifiedBy>
  <dcterms:modified xsi:type="dcterms:W3CDTF">2026-09-11T07:01:41Z</dcterms:modified>
  <dc:title>谈判邀请函</dc:title>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469DE431AF34421C8CADA62CFCB41D3D_13</vt:lpwstr>
  </property>
  <property fmtid="{D5CDD505-2E9C-101B-9397-08002B2CF9AE}" pid="4" name="ContentTypeId">
    <vt:lpwstr>0x01010081C51C0CE0027140830352BF468F90BF</vt:lpwstr>
  </property>
  <property fmtid="{D5CDD505-2E9C-101B-9397-08002B2CF9AE}" pid="5" name="KSOTemplateDocerSaveRecord">
    <vt:lpwstr>eyJoZGlkIjoiN2JmZWViYzM5MjUyMzgyMzQ0MGY2YTNkNDU0ZDZhYjQiLCJ1c2VySWQiOiIzOTgxNTUyODUifQ==</vt:lpwstr>
  </property>
</Properties>
</file>