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B8998">
      <w:pPr>
        <w:rPr>
          <w:rFonts w:ascii="宋体;SimSun" w:hAnsi="宋体;SimSun" w:eastAsia="宋体;SimSun" w:cs="宋体;SimSun"/>
          <w:color w:val="auto"/>
          <w:highlight w:val="none"/>
        </w:rPr>
      </w:pPr>
    </w:p>
    <w:p w14:paraId="21DCE21A">
      <w:pPr>
        <w:rPr>
          <w:rFonts w:ascii="宋体;SimSun" w:hAnsi="宋体;SimSun" w:eastAsia="宋体;SimSun" w:cs="宋体;SimSun"/>
          <w:color w:val="auto"/>
          <w:highlight w:val="none"/>
        </w:rPr>
      </w:pPr>
    </w:p>
    <w:p w14:paraId="3C0322C7">
      <w:pPr>
        <w:rPr>
          <w:rFonts w:ascii="宋体;SimSun" w:hAnsi="宋体;SimSun" w:eastAsia="宋体;SimSun" w:cs="宋体;SimSun"/>
          <w:color w:val="auto"/>
          <w:highlight w:val="none"/>
        </w:rPr>
      </w:pPr>
    </w:p>
    <w:p w14:paraId="7FFD5841">
      <w:pPr>
        <w:jc w:val="center"/>
        <w:rPr>
          <w:rFonts w:ascii="宋体;SimSun" w:hAnsi="宋体;SimSun" w:eastAsia="宋体;SimSun" w:cs="宋体;SimSun"/>
          <w:b/>
          <w:color w:val="auto"/>
          <w:sz w:val="84"/>
          <w:szCs w:val="84"/>
          <w:highlight w:val="none"/>
        </w:rPr>
      </w:pPr>
    </w:p>
    <w:p w14:paraId="5A2E7EC2">
      <w:pPr>
        <w:jc w:val="center"/>
        <w:rPr>
          <w:rFonts w:ascii="宋体;SimSun" w:hAnsi="宋体;SimSun" w:eastAsia="宋体;SimSun" w:cs="宋体;SimSun"/>
          <w:b/>
          <w:color w:val="auto"/>
          <w:sz w:val="84"/>
          <w:szCs w:val="84"/>
          <w:highlight w:val="none"/>
        </w:rPr>
      </w:pPr>
      <w:r>
        <w:rPr>
          <w:rFonts w:ascii="宋体;SimSun" w:hAnsi="宋体;SimSun" w:eastAsia="宋体;SimSun" w:cs="宋体;SimSun"/>
          <w:b/>
          <w:color w:val="auto"/>
          <w:sz w:val="84"/>
          <w:szCs w:val="84"/>
          <w:highlight w:val="none"/>
        </w:rPr>
        <w:t>招　标　文　件</w:t>
      </w:r>
    </w:p>
    <w:p w14:paraId="11F7809B">
      <w:pPr>
        <w:spacing w:line="480" w:lineRule="auto"/>
        <w:ind w:firstLine="2249"/>
        <w:jc w:val="left"/>
        <w:rPr>
          <w:rFonts w:ascii="宋体;SimSun" w:hAnsi="宋体;SimSun" w:eastAsia="宋体;SimSun" w:cs="宋体;SimSun"/>
          <w:b/>
          <w:bCs/>
          <w:color w:val="auto"/>
          <w:sz w:val="32"/>
          <w:szCs w:val="24"/>
          <w:highlight w:val="none"/>
        </w:rPr>
      </w:pPr>
    </w:p>
    <w:p w14:paraId="72C436A7">
      <w:pPr>
        <w:spacing w:line="480" w:lineRule="auto"/>
        <w:ind w:firstLine="2249"/>
        <w:jc w:val="left"/>
        <w:rPr>
          <w:rFonts w:ascii="宋体;SimSun" w:hAnsi="宋体;SimSun" w:eastAsia="宋体;SimSun" w:cs="宋体;SimSun"/>
          <w:b/>
          <w:bCs/>
          <w:color w:val="auto"/>
          <w:sz w:val="32"/>
          <w:szCs w:val="24"/>
          <w:highlight w:val="none"/>
        </w:rPr>
      </w:pPr>
      <w:bookmarkStart w:id="7" w:name="_GoBack"/>
      <w:bookmarkEnd w:id="7"/>
    </w:p>
    <w:p w14:paraId="1FB1DE62">
      <w:pPr>
        <w:spacing w:line="480" w:lineRule="auto"/>
        <w:jc w:val="left"/>
        <w:rPr>
          <w:rFonts w:ascii="宋体;SimSun" w:hAnsi="宋体;SimSun" w:eastAsia="宋体;SimSun" w:cs="宋体;SimSun"/>
          <w:b/>
          <w:bCs/>
          <w:color w:val="auto"/>
          <w:sz w:val="32"/>
          <w:szCs w:val="24"/>
          <w:highlight w:val="none"/>
        </w:rPr>
      </w:pPr>
    </w:p>
    <w:p w14:paraId="1D3FA300">
      <w:pPr>
        <w:spacing w:line="480" w:lineRule="auto"/>
        <w:ind w:firstLine="2249"/>
        <w:jc w:val="left"/>
        <w:rPr>
          <w:rFonts w:ascii="宋体;SimSun" w:hAnsi="宋体;SimSun" w:eastAsia="宋体;SimSun" w:cs="宋体;SimSun"/>
          <w:b/>
          <w:bCs/>
          <w:color w:val="auto"/>
          <w:sz w:val="32"/>
          <w:szCs w:val="24"/>
          <w:highlight w:val="none"/>
        </w:rPr>
      </w:pPr>
    </w:p>
    <w:p w14:paraId="5BDADBDC">
      <w:pPr>
        <w:spacing w:line="480" w:lineRule="auto"/>
        <w:ind w:firstLine="1285"/>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项目名称：连云港石化产业基地拓展区（板桥片区）智慧平台项目</w:t>
      </w:r>
    </w:p>
    <w:p w14:paraId="2774E364">
      <w:pPr>
        <w:spacing w:line="480" w:lineRule="auto"/>
        <w:ind w:firstLine="1285"/>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 xml:space="preserve">项目编号：JSZC-320703-JSWD-G2026-0033 </w:t>
      </w:r>
    </w:p>
    <w:p w14:paraId="22F993FD">
      <w:pPr>
        <w:spacing w:line="480" w:lineRule="auto"/>
        <w:jc w:val="center"/>
        <w:rPr>
          <w:rFonts w:ascii="宋体;SimSun" w:hAnsi="宋体;SimSun" w:eastAsia="宋体;SimSun" w:cs="宋体;SimSun"/>
          <w:b/>
          <w:color w:val="auto"/>
          <w:sz w:val="44"/>
          <w:szCs w:val="21"/>
          <w:highlight w:val="none"/>
        </w:rPr>
      </w:pPr>
    </w:p>
    <w:p w14:paraId="38D7CB0D">
      <w:pPr>
        <w:spacing w:line="480" w:lineRule="auto"/>
        <w:rPr>
          <w:rFonts w:ascii="宋体;SimSun" w:hAnsi="宋体;SimSun" w:eastAsia="宋体;SimSun" w:cs="宋体;SimSun"/>
          <w:b/>
          <w:color w:val="auto"/>
          <w:sz w:val="44"/>
          <w:szCs w:val="21"/>
          <w:highlight w:val="none"/>
        </w:rPr>
      </w:pPr>
    </w:p>
    <w:p w14:paraId="48F8E351">
      <w:pPr>
        <w:spacing w:before="240" w:after="240"/>
        <w:ind w:firstLine="1285"/>
        <w:rPr>
          <w:rFonts w:ascii="宋体;SimSun" w:hAnsi="宋体;SimSun" w:eastAsia="宋体;SimSun" w:cs="宋体;SimSun"/>
          <w:b/>
          <w:color w:val="auto"/>
          <w:sz w:val="32"/>
          <w:highlight w:val="none"/>
        </w:rPr>
      </w:pPr>
      <w:r>
        <w:rPr>
          <w:rFonts w:ascii="宋体;SimSun" w:hAnsi="宋体;SimSun" w:eastAsia="宋体;SimSun" w:cs="宋体;SimSun"/>
          <w:b/>
          <w:color w:val="auto"/>
          <w:sz w:val="32"/>
          <w:highlight w:val="none"/>
        </w:rPr>
        <w:t>采购人：江苏连云经济开发区管理委员会</w:t>
      </w:r>
    </w:p>
    <w:p w14:paraId="3D786C66">
      <w:pPr>
        <w:spacing w:before="240" w:after="240"/>
        <w:ind w:firstLine="1285"/>
        <w:rPr>
          <w:rFonts w:ascii="宋体;SimSun" w:hAnsi="宋体;SimSun" w:eastAsia="宋体;SimSun" w:cs="宋体;SimSun"/>
          <w:b/>
          <w:color w:val="auto"/>
          <w:sz w:val="32"/>
          <w:highlight w:val="none"/>
        </w:rPr>
      </w:pPr>
      <w:r>
        <w:rPr>
          <w:rFonts w:ascii="宋体;SimSun" w:hAnsi="宋体;SimSun" w:eastAsia="宋体;SimSun" w:cs="宋体;SimSun"/>
          <w:b/>
          <w:color w:val="auto"/>
          <w:sz w:val="32"/>
          <w:highlight w:val="none"/>
        </w:rPr>
        <w:t>采购代理机构：江苏万达工程造价事务所有限公司</w:t>
      </w:r>
    </w:p>
    <w:p w14:paraId="795947AF">
      <w:pPr>
        <w:spacing w:before="120" w:after="120" w:line="360" w:lineRule="auto"/>
        <w:jc w:val="center"/>
        <w:rPr>
          <w:rFonts w:ascii="宋体;SimSun" w:hAnsi="宋体;SimSun" w:eastAsia="宋体;SimSun" w:cs="宋体;SimSun"/>
          <w:b/>
          <w:bCs/>
          <w:color w:val="auto"/>
          <w:sz w:val="32"/>
          <w:szCs w:val="24"/>
          <w:highlight w:val="none"/>
        </w:rPr>
      </w:pPr>
      <w:r>
        <w:rPr>
          <w:rFonts w:ascii="宋体;SimSun" w:hAnsi="宋体;SimSun" w:eastAsia="宋体;SimSun" w:cs="宋体;SimSun"/>
          <w:b/>
          <w:bCs/>
          <w:color w:val="auto"/>
          <w:sz w:val="32"/>
          <w:szCs w:val="24"/>
          <w:highlight w:val="none"/>
        </w:rPr>
        <w:t>2026年</w:t>
      </w:r>
      <w:r>
        <w:rPr>
          <w:rFonts w:hint="eastAsia" w:ascii="宋体;SimSun" w:hAnsi="宋体;SimSun" w:eastAsia="宋体;SimSun" w:cs="宋体;SimSun"/>
          <w:b/>
          <w:bCs/>
          <w:color w:val="auto"/>
          <w:sz w:val="32"/>
          <w:szCs w:val="24"/>
          <w:highlight w:val="none"/>
          <w:lang w:val="en-US" w:eastAsia="zh-CN"/>
        </w:rPr>
        <w:t>8</w:t>
      </w:r>
      <w:r>
        <w:rPr>
          <w:rFonts w:ascii="宋体;SimSun" w:hAnsi="宋体;SimSun" w:eastAsia="宋体;SimSun" w:cs="宋体;SimSun"/>
          <w:b/>
          <w:bCs/>
          <w:color w:val="auto"/>
          <w:sz w:val="32"/>
          <w:szCs w:val="24"/>
          <w:highlight w:val="none"/>
        </w:rPr>
        <w:t>月</w:t>
      </w:r>
    </w:p>
    <w:sdt>
      <w:sdtPr>
        <w:rPr>
          <w:color w:val="auto"/>
          <w:sz w:val="32"/>
          <w:highlight w:val="none"/>
        </w:rPr>
        <w:id w:val="233056331"/>
        <w:docPartObj>
          <w:docPartGallery w:val="Table of Contents"/>
          <w:docPartUnique/>
        </w:docPartObj>
      </w:sdtPr>
      <w:sdtEndPr>
        <w:rPr>
          <w:color w:val="auto"/>
          <w:sz w:val="32"/>
          <w:highlight w:val="none"/>
        </w:rPr>
      </w:sdtEndPr>
      <w:sdtContent>
        <w:p w14:paraId="3185FEDB">
          <w:pPr>
            <w:spacing w:before="120" w:after="120" w:line="360" w:lineRule="auto"/>
            <w:jc w:val="center"/>
            <w:rPr>
              <w:rFonts w:ascii="宋体;SimSun" w:hAnsi="宋体;SimSun" w:eastAsia="宋体;SimSun" w:cs="宋体;SimSun"/>
              <w:color w:val="auto"/>
              <w:sz w:val="24"/>
              <w:highlight w:val="none"/>
            </w:rPr>
          </w:pPr>
          <w:r>
            <w:rPr>
              <w:color w:val="auto"/>
              <w:highlight w:val="none"/>
            </w:rPr>
            <w:fldChar w:fldCharType="begin"/>
          </w:r>
          <w:r>
            <w:rPr>
              <w:rFonts w:ascii="宋体;SimSun" w:hAnsi="宋体;SimSun" w:eastAsia="宋体;SimSun" w:cs="宋体;SimSun"/>
              <w:color w:val="auto"/>
              <w:sz w:val="24"/>
              <w:highlight w:val="none"/>
            </w:rPr>
            <w:instrText xml:space="preserve"> TOC \o "1-1" \u </w:instrText>
          </w:r>
          <w:r>
            <w:rPr>
              <w:color w:val="auto"/>
              <w:sz w:val="24"/>
              <w:highlight w:val="none"/>
            </w:rPr>
            <w:fldChar w:fldCharType="separate"/>
          </w:r>
        </w:p>
        <w:p w14:paraId="1ADFBD04">
          <w:pPr>
            <w:keepNext/>
            <w:keepLines/>
            <w:spacing w:line="360" w:lineRule="auto"/>
            <w:jc w:val="center"/>
            <w:outlineLvl w:val="0"/>
            <w:rPr>
              <w:rFonts w:ascii="宋体;SimSun" w:hAnsi="宋体;SimSun" w:eastAsia="宋体;SimSun" w:cs="宋体;SimSun"/>
              <w:bCs/>
              <w:color w:val="auto"/>
              <w:sz w:val="44"/>
              <w:szCs w:val="44"/>
              <w:highlight w:val="none"/>
            </w:rPr>
          </w:pPr>
          <w:r>
            <w:rPr>
              <w:rFonts w:ascii="宋体;SimSun" w:hAnsi="宋体;SimSun" w:eastAsia="宋体;SimSun" w:cs="宋体;SimSun"/>
              <w:bCs/>
              <w:color w:val="auto"/>
              <w:sz w:val="44"/>
              <w:szCs w:val="44"/>
              <w:highlight w:val="none"/>
            </w:rPr>
            <w:t>目  录</w:t>
          </w:r>
        </w:p>
        <w:p w14:paraId="53041E82">
          <w:pPr>
            <w:pStyle w:val="24"/>
            <w:rPr>
              <w:rFonts w:ascii="宋体;SimSun" w:hAnsi="宋体;SimSun" w:eastAsia="宋体;SimSun" w:cs="宋体;SimSun"/>
              <w:bCs/>
              <w:color w:val="auto"/>
              <w:sz w:val="28"/>
              <w:szCs w:val="44"/>
              <w:highlight w:val="none"/>
            </w:rPr>
          </w:pPr>
        </w:p>
        <w:p w14:paraId="3B3ACF1C">
          <w:pPr>
            <w:pStyle w:val="24"/>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第一章  投标邀请</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"__RefHeading___Toc162361610" \h </w:instrText>
          </w:r>
          <w:r>
            <w:rPr>
              <w:color w:val="auto"/>
              <w:highlight w:val="none"/>
            </w:rPr>
            <w:fldChar w:fldCharType="separate"/>
          </w:r>
          <w:r>
            <w:rPr>
              <w:rStyle w:val="250"/>
              <w:rFonts w:ascii="宋体;SimSun" w:hAnsi="宋体;SimSun" w:eastAsia="宋体;SimSun" w:cs="宋体;SimSun"/>
              <w:color w:val="auto"/>
              <w:sz w:val="28"/>
              <w:highlight w:val="none"/>
            </w:rPr>
            <w:t>1</w:t>
          </w:r>
          <w:r>
            <w:rPr>
              <w:rStyle w:val="250"/>
              <w:rFonts w:ascii="宋体;SimSun" w:hAnsi="宋体;SimSun" w:eastAsia="宋体;SimSun" w:cs="宋体;SimSun"/>
              <w:color w:val="auto"/>
              <w:sz w:val="28"/>
              <w:highlight w:val="none"/>
            </w:rPr>
            <w:fldChar w:fldCharType="end"/>
          </w:r>
        </w:p>
        <w:p w14:paraId="0F993D3C">
          <w:pPr>
            <w:pStyle w:val="24"/>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第二章  投标人须知</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"__RefHeading___Toc162361611" \h </w:instrText>
          </w:r>
          <w:r>
            <w:rPr>
              <w:color w:val="auto"/>
              <w:highlight w:val="none"/>
            </w:rPr>
            <w:fldChar w:fldCharType="separate"/>
          </w:r>
          <w:r>
            <w:rPr>
              <w:rStyle w:val="250"/>
              <w:rFonts w:ascii="宋体;SimSun" w:hAnsi="宋体;SimSun" w:eastAsia="宋体;SimSun" w:cs="宋体;SimSun"/>
              <w:color w:val="auto"/>
              <w:sz w:val="28"/>
              <w:highlight w:val="none"/>
            </w:rPr>
            <w:t>5</w:t>
          </w:r>
          <w:r>
            <w:rPr>
              <w:rStyle w:val="250"/>
              <w:rFonts w:ascii="宋体;SimSun" w:hAnsi="宋体;SimSun" w:eastAsia="宋体;SimSun" w:cs="宋体;SimSun"/>
              <w:color w:val="auto"/>
              <w:sz w:val="28"/>
              <w:highlight w:val="none"/>
            </w:rPr>
            <w:fldChar w:fldCharType="end"/>
          </w:r>
        </w:p>
        <w:p w14:paraId="2F6F5415">
          <w:pPr>
            <w:pStyle w:val="24"/>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第三章  合同文本</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"__RefHeading___Toc162361612" \h </w:instrText>
          </w:r>
          <w:r>
            <w:rPr>
              <w:color w:val="auto"/>
              <w:highlight w:val="none"/>
            </w:rPr>
            <w:fldChar w:fldCharType="separate"/>
          </w:r>
          <w:r>
            <w:rPr>
              <w:rStyle w:val="250"/>
              <w:rFonts w:ascii="宋体;SimSun" w:hAnsi="宋体;SimSun" w:eastAsia="宋体;SimSun" w:cs="宋体;SimSun"/>
              <w:color w:val="auto"/>
              <w:sz w:val="28"/>
              <w:highlight w:val="none"/>
            </w:rPr>
            <w:t>21</w:t>
          </w:r>
          <w:r>
            <w:rPr>
              <w:rStyle w:val="250"/>
              <w:rFonts w:ascii="宋体;SimSun" w:hAnsi="宋体;SimSun" w:eastAsia="宋体;SimSun" w:cs="宋体;SimSun"/>
              <w:color w:val="auto"/>
              <w:sz w:val="28"/>
              <w:highlight w:val="none"/>
            </w:rPr>
            <w:fldChar w:fldCharType="end"/>
          </w:r>
        </w:p>
        <w:p w14:paraId="312E10D3">
          <w:pPr>
            <w:pStyle w:val="24"/>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第四章  采购需求</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"__RefHeading___Toc162361613" \h </w:instrText>
          </w:r>
          <w:r>
            <w:rPr>
              <w:color w:val="auto"/>
              <w:highlight w:val="none"/>
            </w:rPr>
            <w:fldChar w:fldCharType="separate"/>
          </w:r>
          <w:r>
            <w:rPr>
              <w:rStyle w:val="250"/>
              <w:rFonts w:ascii="宋体;SimSun" w:hAnsi="宋体;SimSun" w:eastAsia="宋体;SimSun" w:cs="宋体;SimSun"/>
              <w:color w:val="auto"/>
              <w:sz w:val="28"/>
              <w:highlight w:val="none"/>
            </w:rPr>
            <w:t>22</w:t>
          </w:r>
          <w:r>
            <w:rPr>
              <w:rStyle w:val="250"/>
              <w:rFonts w:ascii="宋体;SimSun" w:hAnsi="宋体;SimSun" w:eastAsia="宋体;SimSun" w:cs="宋体;SimSun"/>
              <w:color w:val="auto"/>
              <w:sz w:val="28"/>
              <w:highlight w:val="none"/>
            </w:rPr>
            <w:fldChar w:fldCharType="end"/>
          </w:r>
        </w:p>
        <w:p w14:paraId="54FE351B">
          <w:pPr>
            <w:pStyle w:val="24"/>
            <w:rPr>
              <w:rFonts w:ascii="宋体;SimSun" w:hAnsi="宋体;SimSun" w:eastAsia="宋体;SimSun" w:cs="宋体;SimSun"/>
              <w:color w:val="auto"/>
              <w:sz w:val="28"/>
              <w:highlight w:val="none"/>
            </w:rPr>
          </w:pPr>
          <w:r>
            <w:rPr>
              <w:rFonts w:ascii="宋体;SimSun" w:hAnsi="宋体;SimSun" w:eastAsia="宋体;SimSun" w:cs="宋体;SimSun"/>
              <w:color w:val="auto"/>
              <w:sz w:val="28"/>
              <w:highlight w:val="none"/>
            </w:rPr>
            <w:t>第五章  评标方法与评标标准</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"__RefHeading___Toc162361614" \h </w:instrText>
          </w:r>
          <w:r>
            <w:rPr>
              <w:color w:val="auto"/>
              <w:highlight w:val="none"/>
            </w:rPr>
            <w:fldChar w:fldCharType="separate"/>
          </w:r>
          <w:r>
            <w:rPr>
              <w:rStyle w:val="250"/>
              <w:rFonts w:ascii="宋体;SimSun" w:hAnsi="宋体;SimSun" w:eastAsia="宋体;SimSun" w:cs="宋体;SimSun"/>
              <w:color w:val="auto"/>
              <w:sz w:val="28"/>
              <w:highlight w:val="none"/>
            </w:rPr>
            <w:t>25</w:t>
          </w:r>
          <w:r>
            <w:rPr>
              <w:rStyle w:val="250"/>
              <w:rFonts w:ascii="宋体;SimSun" w:hAnsi="宋体;SimSun" w:eastAsia="宋体;SimSun" w:cs="宋体;SimSun"/>
              <w:color w:val="auto"/>
              <w:sz w:val="28"/>
              <w:highlight w:val="none"/>
            </w:rPr>
            <w:fldChar w:fldCharType="end"/>
          </w:r>
        </w:p>
        <w:p w14:paraId="7008C68D">
          <w:pPr>
            <w:pStyle w:val="24"/>
            <w:rPr>
              <w:color w:val="auto"/>
              <w:highlight w:val="none"/>
            </w:rPr>
          </w:pPr>
          <w:r>
            <w:rPr>
              <w:rFonts w:ascii="宋体;SimSun" w:hAnsi="宋体;SimSun" w:eastAsia="宋体;SimSun" w:cs="宋体;SimSun"/>
              <w:color w:val="auto"/>
              <w:sz w:val="28"/>
              <w:highlight w:val="none"/>
            </w:rPr>
            <w:t>第六章  投标文件格式</w:t>
          </w:r>
          <w:r>
            <w:rPr>
              <w:rFonts w:ascii="宋体;SimSun" w:hAnsi="宋体;SimSun" w:eastAsia="宋体;SimSun" w:cs="宋体;SimSun"/>
              <w:color w:val="auto"/>
              <w:sz w:val="28"/>
              <w:highlight w:val="none"/>
            </w:rPr>
            <w:tab/>
          </w:r>
          <w:r>
            <w:rPr>
              <w:color w:val="auto"/>
              <w:highlight w:val="none"/>
            </w:rPr>
            <w:fldChar w:fldCharType="begin"/>
          </w:r>
          <w:r>
            <w:rPr>
              <w:color w:val="auto"/>
              <w:highlight w:val="none"/>
            </w:rPr>
            <w:instrText xml:space="preserve"> HYPERLINK \l "__RefHeading___Toc162361615" \h </w:instrText>
          </w:r>
          <w:r>
            <w:rPr>
              <w:color w:val="auto"/>
              <w:highlight w:val="none"/>
            </w:rPr>
            <w:fldChar w:fldCharType="separate"/>
          </w:r>
          <w:r>
            <w:rPr>
              <w:rStyle w:val="250"/>
              <w:rFonts w:ascii="宋体;SimSun" w:hAnsi="宋体;SimSun" w:eastAsia="宋体;SimSun" w:cs="宋体;SimSun"/>
              <w:color w:val="auto"/>
              <w:sz w:val="28"/>
              <w:highlight w:val="none"/>
            </w:rPr>
            <w:t>41</w:t>
          </w:r>
          <w:r>
            <w:rPr>
              <w:rStyle w:val="250"/>
              <w:rFonts w:ascii="宋体;SimSun" w:hAnsi="宋体;SimSun" w:eastAsia="宋体;SimSun" w:cs="宋体;SimSun"/>
              <w:color w:val="auto"/>
              <w:sz w:val="28"/>
              <w:highlight w:val="none"/>
            </w:rPr>
            <w:fldChar w:fldCharType="end"/>
          </w:r>
          <w:r>
            <w:rPr>
              <w:rStyle w:val="250"/>
              <w:rFonts w:ascii="宋体;SimSun" w:hAnsi="宋体;SimSun" w:eastAsia="宋体;SimSun" w:cs="宋体;SimSun"/>
              <w:color w:val="auto"/>
              <w:sz w:val="28"/>
              <w:highlight w:val="none"/>
            </w:rPr>
            <w:fldChar w:fldCharType="end"/>
          </w:r>
        </w:p>
      </w:sdtContent>
    </w:sdt>
    <w:p w14:paraId="31890E84">
      <w:pPr>
        <w:widowControl/>
        <w:spacing w:line="360" w:lineRule="auto"/>
        <w:jc w:val="left"/>
        <w:rPr>
          <w:rFonts w:ascii="宋体;SimSun" w:hAnsi="宋体;SimSun" w:eastAsia="宋体;SimSun" w:cs="宋体;SimSun"/>
          <w:color w:val="auto"/>
          <w:sz w:val="28"/>
          <w:highlight w:val="none"/>
        </w:rPr>
        <w:sectPr>
          <w:headerReference r:id="rId3" w:type="default"/>
          <w:footerReference r:id="rId4" w:type="default"/>
          <w:pgSz w:w="11906" w:h="16838"/>
          <w:pgMar w:top="1134" w:right="1134" w:bottom="1134" w:left="1134" w:header="0" w:footer="992" w:gutter="0"/>
          <w:cols w:space="720" w:num="1"/>
          <w:docGrid w:linePitch="360" w:charSpace="0"/>
        </w:sectPr>
      </w:pPr>
    </w:p>
    <w:p w14:paraId="2313EFCC">
      <w:pPr>
        <w:pStyle w:val="2"/>
        <w:spacing w:line="360" w:lineRule="auto"/>
        <w:jc w:val="center"/>
        <w:rPr>
          <w:color w:val="auto"/>
          <w:highlight w:val="none"/>
        </w:rPr>
      </w:pPr>
      <w:bookmarkStart w:id="0" w:name="__RefHeading___Toc162361610"/>
      <w:bookmarkEnd w:id="0"/>
      <w:r>
        <w:rPr>
          <w:color w:val="auto"/>
          <w:highlight w:val="none"/>
        </w:rPr>
        <w:t>第一章 投标邀请</w:t>
      </w:r>
    </w:p>
    <w:tbl>
      <w:tblPr>
        <w:tblStyle w:val="39"/>
        <w:tblW w:w="9242" w:type="dxa"/>
        <w:tblInd w:w="-113" w:type="dxa"/>
        <w:tblLayout w:type="fixed"/>
        <w:tblCellMar>
          <w:top w:w="0" w:type="dxa"/>
          <w:left w:w="108" w:type="dxa"/>
          <w:bottom w:w="0" w:type="dxa"/>
          <w:right w:w="108" w:type="dxa"/>
        </w:tblCellMar>
      </w:tblPr>
      <w:tblGrid>
        <w:gridCol w:w="9242"/>
      </w:tblGrid>
      <w:tr w14:paraId="64DB6EF4">
        <w:tblPrEx>
          <w:tblCellMar>
            <w:top w:w="0" w:type="dxa"/>
            <w:left w:w="108" w:type="dxa"/>
            <w:bottom w:w="0" w:type="dxa"/>
            <w:right w:w="108" w:type="dxa"/>
          </w:tblCellMar>
        </w:tblPrEx>
        <w:tc>
          <w:tcPr>
            <w:tcW w:w="9242" w:type="dxa"/>
            <w:tcBorders>
              <w:top w:val="single" w:color="000000" w:sz="4" w:space="0"/>
              <w:left w:val="single" w:color="000000" w:sz="4" w:space="0"/>
              <w:bottom w:val="single" w:color="000000" w:sz="4" w:space="0"/>
              <w:right w:val="single" w:color="000000" w:sz="4" w:space="0"/>
            </w:tcBorders>
            <w:noWrap w:val="0"/>
          </w:tcPr>
          <w:p w14:paraId="1D0169DC">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项目概况</w:t>
            </w:r>
          </w:p>
          <w:p w14:paraId="72DB47D4">
            <w:pPr>
              <w:spacing w:line="500" w:lineRule="exact"/>
              <w:rPr>
                <w:color w:val="auto"/>
                <w:highlight w:val="none"/>
              </w:rPr>
            </w:pPr>
            <w:r>
              <w:rPr>
                <w:rFonts w:ascii="宋体;SimSun" w:hAnsi="宋体;SimSun" w:eastAsia="宋体;SimSun" w:cs="宋体;SimSun"/>
                <w:b/>
                <w:color w:val="auto"/>
                <w:sz w:val="24"/>
                <w:szCs w:val="24"/>
                <w:highlight w:val="none"/>
                <w:u w:val="single"/>
              </w:rPr>
              <w:t>连云港石化产业基地拓展区（板桥片区）智慧平台项目</w:t>
            </w:r>
            <w:r>
              <w:rPr>
                <w:rFonts w:ascii="宋体;SimSun" w:hAnsi="宋体;SimSun" w:eastAsia="宋体;SimSun" w:cs="宋体;SimSun"/>
                <w:color w:val="auto"/>
                <w:sz w:val="24"/>
                <w:szCs w:val="24"/>
                <w:highlight w:val="none"/>
              </w:rPr>
              <w:t>招标项目的潜在投标人应在</w:t>
            </w:r>
            <w:r>
              <w:rPr>
                <w:rFonts w:ascii="宋体;SimSun" w:hAnsi="宋体;SimSun" w:eastAsia="宋体;SimSun" w:cs="宋体;SimSun"/>
                <w:b/>
                <w:color w:val="auto"/>
                <w:sz w:val="24"/>
                <w:szCs w:val="24"/>
                <w:highlight w:val="none"/>
                <w:u w:val="single"/>
              </w:rPr>
              <w:t>江苏政府采购网</w:t>
            </w:r>
            <w:r>
              <w:rPr>
                <w:rFonts w:ascii="宋体;SimSun" w:hAnsi="宋体;SimSun" w:eastAsia="宋体;SimSun" w:cs="宋体;SimSun"/>
                <w:color w:val="auto"/>
                <w:sz w:val="24"/>
                <w:szCs w:val="24"/>
                <w:highlight w:val="none"/>
              </w:rPr>
              <w:t>自行免费下载招标文件，并于</w:t>
            </w:r>
            <w:r>
              <w:rPr>
                <w:rFonts w:ascii="宋体;SimSun" w:hAnsi="宋体;SimSun" w:eastAsia="宋体;SimSun" w:cs="宋体;SimSun"/>
                <w:b/>
                <w:color w:val="auto"/>
                <w:sz w:val="24"/>
                <w:szCs w:val="24"/>
                <w:highlight w:val="none"/>
                <w:u w:val="single"/>
              </w:rPr>
              <w:t>2026年</w:t>
            </w:r>
            <w:r>
              <w:rPr>
                <w:rFonts w:hint="eastAsia" w:ascii="宋体;SimSun" w:hAnsi="宋体;SimSun" w:eastAsia="宋体;SimSun" w:cs="宋体;SimSun"/>
                <w:b/>
                <w:color w:val="auto"/>
                <w:sz w:val="24"/>
                <w:szCs w:val="24"/>
                <w:highlight w:val="none"/>
                <w:u w:val="single"/>
                <w:lang w:val="en-US" w:eastAsia="zh-CN"/>
              </w:rPr>
              <w:t>9</w:t>
            </w:r>
            <w:r>
              <w:rPr>
                <w:rFonts w:ascii="宋体;SimSun" w:hAnsi="宋体;SimSun" w:eastAsia="宋体;SimSun" w:cs="宋体;SimSun"/>
                <w:b/>
                <w:color w:val="auto"/>
                <w:sz w:val="24"/>
                <w:szCs w:val="24"/>
                <w:highlight w:val="none"/>
                <w:u w:val="single"/>
              </w:rPr>
              <w:t>月</w:t>
            </w:r>
            <w:r>
              <w:rPr>
                <w:rFonts w:hint="eastAsia" w:ascii="宋体;SimSun" w:hAnsi="宋体;SimSun" w:eastAsia="宋体;SimSun" w:cs="宋体;SimSun"/>
                <w:b/>
                <w:color w:val="auto"/>
                <w:sz w:val="24"/>
                <w:szCs w:val="24"/>
                <w:highlight w:val="none"/>
                <w:u w:val="single"/>
                <w:lang w:val="en-US" w:eastAsia="zh-CN"/>
              </w:rPr>
              <w:t>8</w:t>
            </w:r>
            <w:r>
              <w:rPr>
                <w:rFonts w:ascii="宋体;SimSun" w:hAnsi="宋体;SimSun" w:eastAsia="宋体;SimSun" w:cs="宋体;SimSun"/>
                <w:b/>
                <w:color w:val="auto"/>
                <w:sz w:val="24"/>
                <w:szCs w:val="24"/>
                <w:highlight w:val="none"/>
                <w:u w:val="single"/>
              </w:rPr>
              <w:t>日9:00:00</w:t>
            </w:r>
            <w:r>
              <w:rPr>
                <w:rFonts w:ascii="宋体;SimSun" w:hAnsi="宋体;SimSun" w:eastAsia="宋体;SimSun" w:cs="宋体;SimSun"/>
                <w:color w:val="auto"/>
                <w:sz w:val="24"/>
                <w:szCs w:val="24"/>
                <w:highlight w:val="none"/>
              </w:rPr>
              <w:t>（北京时间）前递交（上传）投标文件。</w:t>
            </w:r>
          </w:p>
        </w:tc>
      </w:tr>
    </w:tbl>
    <w:p w14:paraId="549D1E49">
      <w:pPr>
        <w:pStyle w:val="3"/>
        <w:spacing w:before="0" w:after="0" w:line="360" w:lineRule="auto"/>
        <w:rPr>
          <w:rFonts w:ascii="宋体;SimSun" w:hAnsi="宋体;SimSun" w:eastAsia="宋体;SimSun" w:cs="宋体;SimSun"/>
          <w:color w:val="auto"/>
          <w:highlight w:val="none"/>
        </w:rPr>
      </w:pPr>
      <w:r>
        <w:rPr>
          <w:rFonts w:ascii="宋体;SimSun" w:hAnsi="宋体;SimSun" w:eastAsia="宋体;SimSun" w:cs="宋体;SimSun"/>
          <w:color w:val="auto"/>
          <w:highlight w:val="none"/>
        </w:rPr>
        <w:t>一、项目基本情况</w:t>
      </w:r>
    </w:p>
    <w:p w14:paraId="2E247B66">
      <w:pPr>
        <w:spacing w:line="360" w:lineRule="auto"/>
        <w:ind w:firstLine="480"/>
        <w:rPr>
          <w:color w:val="auto"/>
          <w:highlight w:val="none"/>
        </w:rPr>
      </w:pPr>
      <w:r>
        <w:rPr>
          <w:rFonts w:ascii="宋体;SimSun" w:hAnsi="宋体;SimSun" w:eastAsia="宋体;SimSun" w:cs="宋体;SimSun"/>
          <w:color w:val="auto"/>
          <w:sz w:val="24"/>
          <w:szCs w:val="24"/>
          <w:highlight w:val="none"/>
        </w:rPr>
        <w:t>项目编号：JSZC-320703-JSWD-G2026-0033</w:t>
      </w:r>
    </w:p>
    <w:p w14:paraId="629F59B7">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项目名称：连云港石化产业基地拓展区（板桥片区）智慧平台项目</w:t>
      </w:r>
    </w:p>
    <w:p w14:paraId="03CA07DA">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采购方式：公开招标</w:t>
      </w:r>
    </w:p>
    <w:p w14:paraId="2C5C91FB">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最高限价：3676.2843万元，投标报价超过最高限价的投标无效。</w:t>
      </w:r>
    </w:p>
    <w:p w14:paraId="1C9377CA">
      <w:pPr>
        <w:spacing w:line="360" w:lineRule="auto"/>
        <w:ind w:firstLine="480"/>
        <w:rPr>
          <w:color w:val="auto"/>
          <w:highlight w:val="none"/>
        </w:rPr>
      </w:pPr>
      <w:r>
        <w:rPr>
          <w:rFonts w:ascii="宋体;SimSun" w:hAnsi="宋体;SimSun" w:eastAsia="宋体;SimSun" w:cs="宋体;SimSun"/>
          <w:color w:val="auto"/>
          <w:sz w:val="24"/>
          <w:szCs w:val="24"/>
          <w:highlight w:val="none"/>
        </w:rPr>
        <w:t>采购需求：连云港石化产业基地拓展区（板桥片区）智慧平台项目建设，主要由软件平台建设、配套硬件设备设施、运营服务等部分组成。具体要求详见第四章“采购需求”。</w:t>
      </w:r>
    </w:p>
    <w:p w14:paraId="05BBAE34">
      <w:pPr>
        <w:widowControl/>
        <w:spacing w:line="360" w:lineRule="auto"/>
        <w:ind w:firstLine="480"/>
        <w:jc w:val="left"/>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对项目需求部分的询问、质疑请与采购人联系，由采购人负责答复。</w:t>
      </w:r>
    </w:p>
    <w:p w14:paraId="509C0C54">
      <w:pPr>
        <w:spacing w:line="360" w:lineRule="auto"/>
        <w:ind w:firstLine="480"/>
        <w:rPr>
          <w:color w:val="auto"/>
          <w:highlight w:val="none"/>
        </w:rPr>
      </w:pPr>
      <w:r>
        <w:rPr>
          <w:rFonts w:ascii="宋体;SimSun" w:hAnsi="宋体;SimSun" w:eastAsia="宋体;SimSun" w:cs="宋体;SimSun"/>
          <w:color w:val="auto"/>
          <w:sz w:val="24"/>
          <w:szCs w:val="24"/>
          <w:highlight w:val="none"/>
        </w:rPr>
        <w:t>合同履行期限（服务期限）：180日历天</w:t>
      </w:r>
      <w:r>
        <w:rPr>
          <w:rFonts w:hint="eastAsia" w:ascii="宋体;SimSun" w:hAnsi="宋体;SimSun" w:eastAsia="宋体;SimSun" w:cs="宋体;SimSun"/>
          <w:color w:val="auto"/>
          <w:sz w:val="24"/>
          <w:szCs w:val="24"/>
          <w:highlight w:val="none"/>
          <w:lang w:eastAsia="zh-CN"/>
        </w:rPr>
        <w:t>，</w:t>
      </w:r>
      <w:r>
        <w:rPr>
          <w:rFonts w:hint="eastAsia" w:ascii="宋体;SimSun" w:hAnsi="宋体;SimSun" w:eastAsia="宋体;SimSun" w:cs="宋体;SimSun"/>
          <w:color w:val="auto"/>
          <w:sz w:val="24"/>
          <w:szCs w:val="24"/>
          <w:highlight w:val="none"/>
          <w:lang w:val="en-US" w:eastAsia="zh-CN"/>
        </w:rPr>
        <w:t>同时</w:t>
      </w:r>
      <w:r>
        <w:rPr>
          <w:rFonts w:ascii="宋体;SimSun" w:hAnsi="宋体;SimSun" w:eastAsia="宋体;SimSun" w:cs="宋体;SimSun"/>
          <w:color w:val="auto"/>
          <w:sz w:val="24"/>
          <w:szCs w:val="24"/>
          <w:highlight w:val="none"/>
        </w:rPr>
        <w:t>提供为期3年的平台运营服务</w:t>
      </w:r>
      <w:r>
        <w:rPr>
          <w:rFonts w:ascii="宋体;SimSun" w:hAnsi="宋体;SimSun" w:eastAsia="宋体;SimSun" w:cs="宋体;SimSun"/>
          <w:bCs/>
          <w:color w:val="auto"/>
          <w:sz w:val="24"/>
          <w:szCs w:val="24"/>
          <w:highlight w:val="none"/>
        </w:rPr>
        <w:t>；</w:t>
      </w:r>
    </w:p>
    <w:p w14:paraId="413FB66A">
      <w:pPr>
        <w:spacing w:line="360" w:lineRule="auto"/>
        <w:ind w:firstLine="480"/>
        <w:rPr>
          <w:color w:val="auto"/>
          <w:highlight w:val="none"/>
        </w:rPr>
      </w:pPr>
      <w:r>
        <w:rPr>
          <w:rFonts w:ascii="宋体;SimSun" w:hAnsi="宋体;SimSun" w:eastAsia="宋体;SimSun" w:cs="宋体;SimSun"/>
          <w:color w:val="auto"/>
          <w:sz w:val="24"/>
          <w:szCs w:val="24"/>
          <w:highlight w:val="none"/>
        </w:rPr>
        <w:t>本项目</w:t>
      </w:r>
      <w:r>
        <w:rPr>
          <w:rFonts w:ascii="宋体;SimSun" w:hAnsi="宋体;SimSun" w:eastAsia="宋体;SimSun" w:cs="宋体;SimSun"/>
          <w:b/>
          <w:bCs/>
          <w:color w:val="auto"/>
          <w:sz w:val="24"/>
          <w:szCs w:val="24"/>
          <w:highlight w:val="none"/>
          <w:u w:val="single"/>
        </w:rPr>
        <w:t>不接受</w:t>
      </w:r>
      <w:r>
        <w:rPr>
          <w:rFonts w:ascii="宋体;SimSun" w:hAnsi="宋体;SimSun" w:eastAsia="宋体;SimSun" w:cs="宋体;SimSun"/>
          <w:color w:val="auto"/>
          <w:sz w:val="24"/>
          <w:szCs w:val="24"/>
          <w:highlight w:val="none"/>
        </w:rPr>
        <w:t>联合体投标。</w:t>
      </w:r>
    </w:p>
    <w:p w14:paraId="554FA626">
      <w:pPr>
        <w:pStyle w:val="3"/>
        <w:spacing w:before="0" w:after="0" w:line="360" w:lineRule="auto"/>
        <w:rPr>
          <w:rFonts w:ascii="宋体;SimSun" w:hAnsi="宋体;SimSun" w:eastAsia="宋体;SimSun" w:cs="宋体;SimSun"/>
          <w:color w:val="auto"/>
          <w:highlight w:val="none"/>
        </w:rPr>
      </w:pPr>
      <w:r>
        <w:rPr>
          <w:rFonts w:ascii="宋体;SimSun" w:hAnsi="宋体;SimSun" w:eastAsia="宋体;SimSun" w:cs="宋体;SimSun"/>
          <w:color w:val="auto"/>
          <w:highlight w:val="none"/>
        </w:rPr>
        <w:t>二、申请人的资格要求</w:t>
      </w:r>
    </w:p>
    <w:p w14:paraId="46737D8C">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（一）满足《中华人民共和国政府采购法》第二十二条规定，并提供下列材料：</w:t>
      </w:r>
    </w:p>
    <w:p w14:paraId="4A39B184">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1.法人或者其他组织的营业执照等证明文件，自然人的身份证明；</w:t>
      </w:r>
    </w:p>
    <w:p w14:paraId="024455C3">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2.上一年度的财务状况报告（成立不满一年无需提供）；</w:t>
      </w:r>
    </w:p>
    <w:p w14:paraId="71D9C63B">
      <w:pPr>
        <w:spacing w:line="360" w:lineRule="auto"/>
        <w:ind w:firstLine="480"/>
        <w:rPr>
          <w:color w:val="auto"/>
          <w:highlight w:val="none"/>
        </w:rPr>
      </w:pPr>
      <w:r>
        <w:rPr>
          <w:rFonts w:ascii="宋体;SimSun" w:hAnsi="宋体;SimSun" w:eastAsia="宋体;SimSun" w:cs="宋体;SimSun"/>
          <w:color w:val="auto"/>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D174F08">
      <w:pPr>
        <w:spacing w:line="360" w:lineRule="auto"/>
        <w:ind w:firstLine="482"/>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根据连财购〔2023〕4号文件精神，2、3项可以提供《财务状况报告及税收、社会保障资金缴纳情况承诺函》，详见投标文件格式。</w:t>
      </w:r>
    </w:p>
    <w:p w14:paraId="41E21FC9">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4.具备履行合同所必需的设备和专业技术能力的声明及证明材料；</w:t>
      </w:r>
    </w:p>
    <w:p w14:paraId="103E7041">
      <w:pPr>
        <w:spacing w:line="360" w:lineRule="auto"/>
        <w:ind w:firstLine="480"/>
        <w:rPr>
          <w:color w:val="auto"/>
          <w:highlight w:val="none"/>
        </w:rPr>
      </w:pPr>
      <w:r>
        <w:rPr>
          <w:rFonts w:ascii="宋体;SimSun" w:hAnsi="宋体;SimSun" w:eastAsia="宋体;SimSun" w:cs="宋体;SimSun"/>
          <w:color w:val="auto"/>
          <w:sz w:val="24"/>
          <w:szCs w:val="24"/>
          <w:highlight w:val="none"/>
        </w:rPr>
        <w:t>5.参加政府采购活动前3年内在经营活动中没有重大违法记录的书面声明。</w:t>
      </w:r>
    </w:p>
    <w:p w14:paraId="48462A14">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6.法律、行政法规规定的其他条件。</w:t>
      </w:r>
    </w:p>
    <w:p w14:paraId="0AB746E3">
      <w:pPr>
        <w:spacing w:line="360" w:lineRule="auto"/>
        <w:ind w:firstLine="480"/>
        <w:rPr>
          <w:color w:val="auto"/>
          <w:highlight w:val="none"/>
        </w:rPr>
      </w:pPr>
      <w:r>
        <w:rPr>
          <w:rFonts w:ascii="宋体;SimSun" w:hAnsi="宋体;SimSun" w:eastAsia="宋体;SimSun" w:cs="宋体;SimSun"/>
          <w:color w:val="auto"/>
          <w:sz w:val="24"/>
          <w:szCs w:val="24"/>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6BBE099C">
      <w:pPr>
        <w:spacing w:line="360" w:lineRule="auto"/>
        <w:ind w:firstLine="482"/>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（二）落实政府采购政策需满足的资格要求：无。</w:t>
      </w:r>
    </w:p>
    <w:p w14:paraId="25CFD342">
      <w:pPr>
        <w:spacing w:line="360" w:lineRule="auto"/>
        <w:ind w:firstLine="480"/>
        <w:rPr>
          <w:color w:val="auto"/>
          <w:highlight w:val="none"/>
        </w:rPr>
      </w:pPr>
      <w:r>
        <w:rPr>
          <w:rFonts w:ascii="宋体;SimSun" w:hAnsi="宋体;SimSun" w:eastAsia="宋体;SimSun" w:cs="宋体;SimSun"/>
          <w:b/>
          <w:color w:val="auto"/>
          <w:sz w:val="24"/>
          <w:szCs w:val="24"/>
          <w:highlight w:val="none"/>
        </w:rPr>
        <w:t>（三）本项目的特定资格要求：无</w:t>
      </w:r>
      <w:r>
        <w:rPr>
          <w:rFonts w:ascii="宋体;SimSun" w:hAnsi="宋体;SimSun" w:eastAsia="宋体;SimSun" w:cs="宋体;SimSun"/>
          <w:color w:val="auto"/>
          <w:sz w:val="24"/>
          <w:szCs w:val="24"/>
          <w:highlight w:val="none"/>
        </w:rPr>
        <w:t>。</w:t>
      </w:r>
    </w:p>
    <w:p w14:paraId="2648AD68">
      <w:pPr>
        <w:pStyle w:val="3"/>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三、获取招标文件</w:t>
      </w:r>
    </w:p>
    <w:p w14:paraId="41759E31">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1.时间：2026年7月</w:t>
      </w:r>
      <w:r>
        <w:rPr>
          <w:rFonts w:hint="eastAsia" w:ascii="宋体;SimSun" w:hAnsi="宋体;SimSun" w:eastAsia="宋体;SimSun" w:cs="宋体;SimSun"/>
          <w:color w:val="auto"/>
          <w:sz w:val="24"/>
          <w:szCs w:val="24"/>
          <w:highlight w:val="none"/>
          <w:lang w:val="en-US" w:eastAsia="zh-CN"/>
        </w:rPr>
        <w:t>31</w:t>
      </w:r>
      <w:r>
        <w:rPr>
          <w:rFonts w:ascii="宋体;SimSun" w:hAnsi="宋体;SimSun" w:eastAsia="宋体;SimSun" w:cs="宋体;SimSun"/>
          <w:color w:val="auto"/>
          <w:sz w:val="24"/>
          <w:szCs w:val="24"/>
          <w:highlight w:val="none"/>
        </w:rPr>
        <w:t>日至2026年</w:t>
      </w:r>
      <w:r>
        <w:rPr>
          <w:rFonts w:hint="eastAsia" w:ascii="宋体;SimSun" w:hAnsi="宋体;SimSun" w:eastAsia="宋体;SimSun" w:cs="宋体;SimSun"/>
          <w:color w:val="auto"/>
          <w:sz w:val="24"/>
          <w:szCs w:val="24"/>
          <w:highlight w:val="none"/>
          <w:lang w:val="en-US" w:eastAsia="zh-CN"/>
        </w:rPr>
        <w:t>8</w:t>
      </w:r>
      <w:r>
        <w:rPr>
          <w:rFonts w:ascii="宋体;SimSun" w:hAnsi="宋体;SimSun" w:eastAsia="宋体;SimSun" w:cs="宋体;SimSun"/>
          <w:color w:val="auto"/>
          <w:sz w:val="24"/>
          <w:szCs w:val="24"/>
          <w:highlight w:val="none"/>
        </w:rPr>
        <w:t>月</w:t>
      </w:r>
      <w:r>
        <w:rPr>
          <w:rFonts w:hint="eastAsia" w:ascii="宋体;SimSun" w:hAnsi="宋体;SimSun" w:eastAsia="宋体;SimSun" w:cs="宋体;SimSun"/>
          <w:color w:val="auto"/>
          <w:sz w:val="24"/>
          <w:szCs w:val="24"/>
          <w:highlight w:val="none"/>
          <w:lang w:val="en-US" w:eastAsia="zh-CN"/>
        </w:rPr>
        <w:t>7</w:t>
      </w:r>
      <w:r>
        <w:rPr>
          <w:rFonts w:ascii="宋体;SimSun" w:hAnsi="宋体;SimSun" w:eastAsia="宋体;SimSun" w:cs="宋体;SimSun"/>
          <w:color w:val="auto"/>
          <w:sz w:val="24"/>
          <w:szCs w:val="24"/>
          <w:highlight w:val="none"/>
        </w:rPr>
        <w:t>日23:59止（北京时间）。</w:t>
      </w:r>
    </w:p>
    <w:p w14:paraId="591C214C">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2.方式：在“江苏政府采购网”自行免费下载招标文件。</w:t>
      </w:r>
    </w:p>
    <w:p w14:paraId="6A7E15EF">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（1）潜在供应商访问电子招标投标交易平台的网络地址和方法：</w:t>
      </w:r>
    </w:p>
    <w:p w14:paraId="2C5C517F">
      <w:pPr>
        <w:spacing w:line="360" w:lineRule="auto"/>
        <w:ind w:firstLine="480"/>
        <w:rPr>
          <w:color w:val="auto"/>
          <w:highlight w:val="none"/>
        </w:rPr>
      </w:pPr>
      <w:r>
        <w:rPr>
          <w:rFonts w:ascii="宋体;SimSun" w:hAnsi="宋体;SimSun" w:eastAsia="宋体;SimSun" w:cs="宋体;SimSun"/>
          <w:color w:val="auto"/>
          <w:sz w:val="24"/>
          <w:szCs w:val="24"/>
          <w:highlight w:val="none"/>
        </w:rPr>
        <w:t>①登录http://jszfcg.jsczt.cn/ ，或进入江苏政府采购网，点击“苏采云”进入系统。</w:t>
      </w:r>
    </w:p>
    <w:p w14:paraId="6E6F8F97">
      <w:pPr>
        <w:spacing w:line="360" w:lineRule="auto"/>
        <w:ind w:firstLine="480"/>
        <w:rPr>
          <w:color w:val="auto"/>
          <w:highlight w:val="none"/>
        </w:rPr>
      </w:pPr>
      <w:r>
        <w:rPr>
          <w:color w:val="auto"/>
          <w:highlight w:val="none"/>
        </w:rPr>
        <w:t>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58338DD1">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1C670663">
      <w:pPr>
        <w:spacing w:line="360" w:lineRule="auto"/>
        <w:ind w:firstLine="480"/>
        <w:rPr>
          <w:color w:val="auto"/>
          <w:highlight w:val="none"/>
        </w:rPr>
      </w:pPr>
      <w:r>
        <w:rPr>
          <w:color w:val="auto"/>
          <w:highlight w:val="none"/>
        </w:rPr>
        <w:t>④招标文件（后缀名为“.kedt”)、供应商操作手册及政府采购客户端工具可通过“苏采云”系统——已报名项目——报名详情页面内相应链接进行下载。</w:t>
      </w:r>
    </w:p>
    <w:p w14:paraId="64804219">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⑤招标代理机构（采购代理机构）将数据电文形式的招标文件加载至“苏采云”系统，供潜在供应商下载或者查阅。</w:t>
      </w:r>
    </w:p>
    <w:p w14:paraId="46C0C208">
      <w:pPr>
        <w:pStyle w:val="3"/>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四、提交投标文件截止时间、开标时间和地点</w:t>
      </w:r>
    </w:p>
    <w:p w14:paraId="16C17947">
      <w:pPr>
        <w:spacing w:line="360" w:lineRule="auto"/>
        <w:ind w:firstLine="480"/>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1.投标文件接收截止时间：2026年</w:t>
      </w:r>
      <w:r>
        <w:rPr>
          <w:rFonts w:hint="eastAsia" w:ascii="宋体;SimSun" w:hAnsi="宋体;SimSun" w:eastAsia="宋体;SimSun" w:cs="宋体;SimSun"/>
          <w:bCs/>
          <w:color w:val="auto"/>
          <w:sz w:val="24"/>
          <w:szCs w:val="24"/>
          <w:highlight w:val="none"/>
          <w:lang w:val="en-US" w:eastAsia="zh-CN"/>
        </w:rPr>
        <w:t>9</w:t>
      </w:r>
      <w:r>
        <w:rPr>
          <w:rFonts w:ascii="宋体;SimSun" w:hAnsi="宋体;SimSun" w:eastAsia="宋体;SimSun" w:cs="宋体;SimSun"/>
          <w:bCs/>
          <w:color w:val="auto"/>
          <w:sz w:val="24"/>
          <w:szCs w:val="24"/>
          <w:highlight w:val="none"/>
        </w:rPr>
        <w:t>月</w:t>
      </w:r>
      <w:r>
        <w:rPr>
          <w:rFonts w:hint="eastAsia" w:ascii="宋体;SimSun" w:hAnsi="宋体;SimSun" w:eastAsia="宋体;SimSun" w:cs="宋体;SimSun"/>
          <w:bCs/>
          <w:color w:val="auto"/>
          <w:sz w:val="24"/>
          <w:szCs w:val="24"/>
          <w:highlight w:val="none"/>
          <w:lang w:val="en-US" w:eastAsia="zh-CN"/>
        </w:rPr>
        <w:t>8</w:t>
      </w:r>
      <w:r>
        <w:rPr>
          <w:rFonts w:ascii="宋体;SimSun" w:hAnsi="宋体;SimSun" w:eastAsia="宋体;SimSun" w:cs="宋体;SimSun"/>
          <w:bCs/>
          <w:color w:val="auto"/>
          <w:sz w:val="24"/>
          <w:szCs w:val="24"/>
          <w:highlight w:val="none"/>
        </w:rPr>
        <w:t>日9点00分（北京时间）。</w:t>
      </w:r>
    </w:p>
    <w:p w14:paraId="0929C0C6">
      <w:pPr>
        <w:spacing w:line="360" w:lineRule="auto"/>
        <w:ind w:firstLine="480"/>
        <w:rPr>
          <w:color w:val="auto"/>
          <w:highlight w:val="none"/>
        </w:rPr>
      </w:pPr>
      <w:r>
        <w:rPr>
          <w:rFonts w:ascii="宋体;SimSun" w:hAnsi="宋体;SimSun" w:eastAsia="宋体;SimSun" w:cs="宋体;SimSun"/>
          <w:bCs/>
          <w:color w:val="auto"/>
          <w:sz w:val="24"/>
          <w:szCs w:val="24"/>
          <w:highlight w:val="none"/>
        </w:rPr>
        <w:t>2.地点：“苏采云”政府采购交易系统网上开标大厅。请潜在投标单位提前安装相应的控件（详见《江苏省政府采购管理交易系统（苏采云）供应商操作手册》)并使用谷歌浏览器登录“苏采云”系统参与不见面开评标。</w:t>
      </w:r>
    </w:p>
    <w:p w14:paraId="379AB6F3">
      <w:pPr>
        <w:pStyle w:val="3"/>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五、公告期限</w:t>
      </w:r>
    </w:p>
    <w:p w14:paraId="4AA0F992">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自本公告发布之日起5个工作日。</w:t>
      </w:r>
    </w:p>
    <w:p w14:paraId="616393F2">
      <w:pPr>
        <w:pStyle w:val="3"/>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六、其他补充事宜</w:t>
      </w:r>
    </w:p>
    <w:p w14:paraId="28656F58">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1.本次招标不收取投标保证金。</w:t>
      </w:r>
    </w:p>
    <w:p w14:paraId="4F9979FE">
      <w:pPr>
        <w:spacing w:line="360" w:lineRule="auto"/>
        <w:ind w:firstLine="480"/>
        <w:rPr>
          <w:color w:val="auto"/>
          <w:highlight w:val="none"/>
        </w:rPr>
      </w:pPr>
      <w:r>
        <w:rPr>
          <w:rFonts w:ascii="宋体;SimSun" w:hAnsi="宋体;SimSun" w:eastAsia="宋体;SimSun" w:cs="宋体;SimSun"/>
          <w:color w:val="auto"/>
          <w:sz w:val="24"/>
          <w:szCs w:val="24"/>
          <w:highlight w:val="none"/>
        </w:rPr>
        <w:t>2.本招标文件中标注★的款项为实质性要求和条件，投标人须逐条做出满足实质性要求和条件的响应，否则将按无效响应处理。</w:t>
      </w:r>
    </w:p>
    <w:p w14:paraId="1B137152">
      <w:pPr>
        <w:spacing w:line="360" w:lineRule="auto"/>
        <w:ind w:firstLine="480"/>
        <w:rPr>
          <w:color w:val="auto"/>
          <w:highlight w:val="none"/>
        </w:rPr>
      </w:pPr>
      <w:r>
        <w:rPr>
          <w:rFonts w:ascii="宋体;SimSun" w:hAnsi="宋体;SimSun" w:eastAsia="宋体;SimSun" w:cs="宋体;SimSun"/>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5BE7996">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7A64BCA6">
      <w:pPr>
        <w:spacing w:line="360" w:lineRule="auto"/>
        <w:ind w:firstLine="480"/>
        <w:rPr>
          <w:color w:val="auto"/>
          <w:highlight w:val="none"/>
        </w:rPr>
      </w:pPr>
      <w:r>
        <w:rPr>
          <w:rFonts w:ascii="宋体;SimSun" w:hAnsi="宋体;SimSun" w:eastAsia="宋体;SimSun" w:cs="宋体;SimSun"/>
          <w:color w:val="auto"/>
          <w:sz w:val="24"/>
          <w:szCs w:val="24"/>
          <w:highlight w:val="none"/>
        </w:rPr>
        <w:t>http://www.ccgp-jiangsu.gov.cn/jiangsu/zlxz/ee/ee3a4bc5a3454aa2b0d9312230633ce9.html</w:t>
      </w:r>
    </w:p>
    <w:p w14:paraId="2672FE5E">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250077E5">
      <w:pPr>
        <w:pStyle w:val="3"/>
        <w:spacing w:before="0" w:after="0" w:line="360" w:lineRule="auto"/>
        <w:rPr>
          <w:rFonts w:ascii="宋体;SimSun" w:hAnsi="宋体;SimSun" w:eastAsia="宋体;SimSun" w:cs="宋体;SimSun"/>
          <w:bCs w:val="0"/>
          <w:color w:val="auto"/>
          <w:szCs w:val="22"/>
          <w:highlight w:val="none"/>
        </w:rPr>
      </w:pPr>
      <w:r>
        <w:rPr>
          <w:rFonts w:ascii="宋体;SimSun" w:hAnsi="宋体;SimSun" w:eastAsia="宋体;SimSun" w:cs="宋体;SimSun"/>
          <w:bCs w:val="0"/>
          <w:color w:val="auto"/>
          <w:szCs w:val="22"/>
          <w:highlight w:val="none"/>
        </w:rPr>
        <w:t>七、对本次招标提出询问，请按以下方式联系</w:t>
      </w:r>
    </w:p>
    <w:p w14:paraId="385AABA7">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1.采购人信息</w:t>
      </w:r>
    </w:p>
    <w:p w14:paraId="18D64C19">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名 称：江苏连云经济开发区管理委员会</w:t>
      </w:r>
    </w:p>
    <w:p w14:paraId="164958FB">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联系人：徐先生</w:t>
      </w:r>
    </w:p>
    <w:p w14:paraId="462037C9">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联系方式：13912179291</w:t>
      </w:r>
    </w:p>
    <w:p w14:paraId="60B08E6C">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2.采购代理机构信息</w:t>
      </w:r>
    </w:p>
    <w:p w14:paraId="762E8167">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名 称：江苏万达工程造价事务所有限公司</w:t>
      </w:r>
    </w:p>
    <w:p w14:paraId="4713A4E5">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地 址：连云港市海州区朝阳东路凤凰国际大厦19楼</w:t>
      </w:r>
    </w:p>
    <w:p w14:paraId="7978A6DA">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联系方式： 刘工 15061306882</w:t>
      </w:r>
    </w:p>
    <w:p w14:paraId="52A600BC">
      <w:pPr>
        <w:pStyle w:val="3"/>
        <w:rPr>
          <w:rFonts w:ascii="宋体;SimSun" w:hAnsi="宋体;SimSun" w:eastAsia="宋体;SimSun" w:cs="宋体;SimSun"/>
          <w:color w:val="auto"/>
          <w:highlight w:val="none"/>
        </w:rPr>
      </w:pPr>
      <w:r>
        <w:rPr>
          <w:rFonts w:ascii="宋体;SimSun" w:hAnsi="宋体;SimSun" w:eastAsia="宋体;SimSun" w:cs="宋体;SimSun"/>
          <w:color w:val="auto"/>
          <w:highlight w:val="none"/>
        </w:rPr>
        <w:t>八、电子招投标说明</w:t>
      </w:r>
    </w:p>
    <w:p w14:paraId="0EEE5299">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1.本项目采用电子招标投标，请投标人严格按照招标文件的规定编制、提交投标文件，否则所造成的一切不利后果由投标人自行承担。</w:t>
      </w:r>
    </w:p>
    <w:p w14:paraId="44DF934E">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2.投标人应当通过“苏采云”系统提交数据电文形式的投标文件（即电子投标）。</w:t>
      </w:r>
    </w:p>
    <w:p w14:paraId="1ECD043B">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特别说明：本项目采用线上投标，即投标人投标文件需通过“苏采云”系统提交，未提供线上投标文件的，投标无效。</w:t>
      </w:r>
    </w:p>
    <w:p w14:paraId="7EA3FDA6">
      <w:pPr>
        <w:spacing w:line="360" w:lineRule="auto"/>
        <w:ind w:firstLine="480"/>
        <w:jc w:val="left"/>
        <w:rPr>
          <w:color w:val="auto"/>
          <w:highlight w:val="none"/>
        </w:rPr>
      </w:pPr>
      <w:r>
        <w:rPr>
          <w:color w:val="auto"/>
          <w:highlight w:val="none"/>
        </w:rPr>
        <w:t>3.电子投标文件应由其法定代表人或法定代表人授权代表在规定的网上投标时间内，凭CA证书登录“苏采云”系统在线编制投标文件（电子数据），并在投标文件递交截止时间之前上传投标文件。</w:t>
      </w:r>
    </w:p>
    <w:p w14:paraId="633DB2AA">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投标人应在达到开标时间后，使用CA数字证书解密各自投标文件。</w:t>
      </w:r>
    </w:p>
    <w:p w14:paraId="2995BC5C">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230A943D">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所有投标人解密（或解密时间）结束后，“苏采云”系统生成开标记录并向社会公众公布，但依法应当保密的除外。</w:t>
      </w:r>
      <w:r>
        <w:rPr>
          <w:color w:val="auto"/>
          <w:highlight w:val="none"/>
        </w:rPr>
        <w:br w:type="page" w:clear="all"/>
      </w:r>
    </w:p>
    <w:p w14:paraId="2B83B55D">
      <w:pPr>
        <w:pStyle w:val="2"/>
        <w:keepNext w:val="0"/>
        <w:keepLines w:val="0"/>
        <w:spacing w:after="0" w:line="360" w:lineRule="auto"/>
        <w:jc w:val="center"/>
        <w:rPr>
          <w:rFonts w:ascii="宋体;SimSun" w:hAnsi="宋体;SimSun" w:eastAsia="宋体;SimSun" w:cs="宋体;SimSun"/>
          <w:b w:val="0"/>
          <w:color w:val="auto"/>
          <w:highlight w:val="none"/>
        </w:rPr>
      </w:pPr>
      <w:bookmarkStart w:id="1" w:name="__RefHeading___Toc162361611"/>
      <w:bookmarkEnd w:id="1"/>
      <w:r>
        <w:rPr>
          <w:rFonts w:ascii="宋体;SimSun" w:hAnsi="宋体;SimSun" w:eastAsia="宋体;SimSun" w:cs="宋体;SimSun"/>
          <w:b w:val="0"/>
          <w:color w:val="auto"/>
          <w:highlight w:val="none"/>
        </w:rPr>
        <w:t>第二章 投标人须知</w:t>
      </w:r>
    </w:p>
    <w:p w14:paraId="28199A27">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一、总则</w:t>
      </w:r>
    </w:p>
    <w:p w14:paraId="60DC00CE">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1、招标方式</w:t>
      </w:r>
    </w:p>
    <w:p w14:paraId="383F73D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1.1 本次招标采取公开招标方式，本招标文件仅适用于招标公告中所述项目。</w:t>
      </w:r>
    </w:p>
    <w:p w14:paraId="7B6D5FBB">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2、合格的投标人</w:t>
      </w:r>
    </w:p>
    <w:p w14:paraId="7542E3D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 满足招标公告中供应商的资格要求的规定。</w:t>
      </w:r>
    </w:p>
    <w:p w14:paraId="57CDD16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FA3F1F7">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2.3 满足本招标文件全部实质性要求和条件的规定。</w:t>
      </w:r>
    </w:p>
    <w:p w14:paraId="5403972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2.4 符合上述条件的投标人应承担投标及履约过程应承担的全部责任与义务。</w:t>
      </w:r>
    </w:p>
    <w:p w14:paraId="406951E2">
      <w:pPr>
        <w:spacing w:line="500" w:lineRule="exact"/>
        <w:ind w:firstLine="480"/>
        <w:rPr>
          <w:color w:val="auto"/>
          <w:highlight w:val="none"/>
        </w:rPr>
      </w:pPr>
      <w:r>
        <w:rPr>
          <w:rFonts w:ascii="宋体;SimSun" w:hAnsi="宋体;SimSun" w:eastAsia="宋体;SimSun" w:cs="宋体;SimSun"/>
          <w:color w:val="auto"/>
          <w:sz w:val="24"/>
          <w:szCs w:val="24"/>
          <w:highlight w:val="none"/>
        </w:rPr>
        <w:t>2.5单位负责人为同一人或者存在直接控股、管理关系的不同供应商，不得参加同一合同项下的政府采购活动。</w:t>
      </w:r>
    </w:p>
    <w:p w14:paraId="703C9A47">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2.6除单一来源采购项目外，为采购项目提供整体设计、规范编制或者项目管理、监理、检测等服务的供应商，不得再参加该采购项目的其他采购活动。</w:t>
      </w:r>
    </w:p>
    <w:p w14:paraId="50CC1B47">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3、适用法律</w:t>
      </w:r>
    </w:p>
    <w:p w14:paraId="5FA5A55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3.1 本次招标及由此产生的合同受中华人民共和国有关的法律法规制约和保护。</w:t>
      </w:r>
    </w:p>
    <w:p w14:paraId="27DC7B93">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4、投标费用</w:t>
      </w:r>
    </w:p>
    <w:p w14:paraId="2A15427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4.1 投标人应自行承担所有与参加投标有关的费用，无论投标过程中的做法和结果如何，江苏万达工程造价事务所有限公司（以下简称代理机构）在任何情况下均无义务和责任承担这些费用。</w:t>
      </w:r>
    </w:p>
    <w:p w14:paraId="5DE18DC2">
      <w:pPr>
        <w:spacing w:line="500" w:lineRule="exact"/>
        <w:ind w:firstLine="480"/>
        <w:rPr>
          <w:color w:val="auto"/>
          <w:highlight w:val="none"/>
        </w:rPr>
      </w:pPr>
      <w:r>
        <w:rPr>
          <w:color w:val="auto"/>
          <w:highlight w:val="none"/>
        </w:rPr>
        <w:t>4.2 招标代理费按11万元计取。由中标人支付，投标人在报价时应综合考虑以上相关费用，但不得单列。相关费用必须在中标公示后中标通知书发出前由中标人一次性付清。</w:t>
      </w:r>
    </w:p>
    <w:p w14:paraId="4FE6ED2A">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5、招标文件的约束力</w:t>
      </w:r>
    </w:p>
    <w:p w14:paraId="447E16E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5.1 投标人一旦参加本项目采购活动，即被认为接受了本招标文件的规定和约束。</w:t>
      </w:r>
    </w:p>
    <w:p w14:paraId="0F775607">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二、招标文件</w:t>
      </w:r>
    </w:p>
    <w:p w14:paraId="4AA04493">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6、招标文件构成</w:t>
      </w:r>
    </w:p>
    <w:p w14:paraId="166534E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6.1 招标文件由以下部分组成：</w:t>
      </w:r>
    </w:p>
    <w:p w14:paraId="6479204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（1）投标邀请</w:t>
      </w:r>
    </w:p>
    <w:p w14:paraId="4A73BB9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（2）投标人须知</w:t>
      </w:r>
    </w:p>
    <w:p w14:paraId="757C8C3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（3）合同文本</w:t>
      </w:r>
    </w:p>
    <w:p w14:paraId="212CB0A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（4）采购需求</w:t>
      </w:r>
    </w:p>
    <w:p w14:paraId="775A8A9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（5）评标方法与评标标准</w:t>
      </w:r>
    </w:p>
    <w:p w14:paraId="5E8E513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（6）投标文件格式</w:t>
      </w:r>
    </w:p>
    <w:p w14:paraId="07A0DE1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请仔细检查招标文件是否齐全，如有缺漏请立即与代理机构联系解决。</w:t>
      </w:r>
    </w:p>
    <w:p w14:paraId="5BB64B57">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D3D9D1">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7、招标文件的澄清</w:t>
      </w:r>
    </w:p>
    <w:p w14:paraId="48E48CB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7.1 任何要求对招标文件进行澄清的投标人，应在投标截止期十日前按招标公告中的通讯地址，以书面形式通知采购人或者代理机构。</w:t>
      </w:r>
    </w:p>
    <w:p w14:paraId="377D1FCD">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8、招标文件的修改</w:t>
      </w:r>
    </w:p>
    <w:p w14:paraId="1AB0765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8.1 在投标截止时间前，代理机构可以对招标文件进行修改。</w:t>
      </w:r>
    </w:p>
    <w:p w14:paraId="6E7F917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8.2 代理机构有权按照法定的要求推迟投标截止日期和开标日期。</w:t>
      </w:r>
    </w:p>
    <w:p w14:paraId="2F9AFE0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8.3 招标文件的修改将在江苏政府采购网公布，补充文件将作为招标文件的组成部分，并对投标人具有约束力。</w:t>
      </w:r>
    </w:p>
    <w:p w14:paraId="223E08F9">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三、投标文件的编制</w:t>
      </w:r>
    </w:p>
    <w:p w14:paraId="368505AB">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9、投标文件编写注意事项</w:t>
      </w:r>
    </w:p>
    <w:p w14:paraId="7906C39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C58BF1D">
      <w:pPr>
        <w:spacing w:line="500" w:lineRule="exact"/>
        <w:ind w:firstLine="480"/>
        <w:rPr>
          <w:color w:val="auto"/>
          <w:highlight w:val="none"/>
        </w:rPr>
      </w:pPr>
      <w:r>
        <w:rPr>
          <w:rFonts w:ascii="宋体;SimSun" w:hAnsi="宋体;SimSun" w:eastAsia="宋体;SimSun" w:cs="宋体;SimSun"/>
          <w:color w:val="auto"/>
          <w:sz w:val="24"/>
          <w:szCs w:val="24"/>
          <w:highlight w:val="none"/>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6163BCCE">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10、投标文件的语言及度量衡单位</w:t>
      </w:r>
    </w:p>
    <w:p w14:paraId="74C7D8E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075FB60">
      <w:pPr>
        <w:spacing w:line="500" w:lineRule="exact"/>
        <w:ind w:firstLine="480"/>
        <w:rPr>
          <w:color w:val="auto"/>
          <w:highlight w:val="none"/>
        </w:rPr>
      </w:pPr>
      <w:r>
        <w:rPr>
          <w:rFonts w:ascii="宋体;SimSun" w:hAnsi="宋体;SimSun" w:eastAsia="宋体;SimSun" w:cs="宋体;SimSun"/>
          <w:color w:val="auto"/>
          <w:sz w:val="24"/>
          <w:szCs w:val="24"/>
          <w:highlight w:val="none"/>
        </w:rPr>
        <w:t>10.2 除技术性能另有规定外，投标文件所使用的度量衡单位，均须采用国家法定计量单位。</w:t>
      </w:r>
    </w:p>
    <w:p w14:paraId="22135E42">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11、投标文件构成</w:t>
      </w:r>
    </w:p>
    <w:p w14:paraId="2ECB9E38">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11.1 投标人编写的投标文件应包括资格证明文件、符合性证明文件、投标分项报价表、技术要求响应及偏离表（如有请提供）、商务要求响应及偏离表、其他证明文件、投标函、开标一览表等部分。</w:t>
      </w:r>
    </w:p>
    <w:p w14:paraId="54583A2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11.2如投标文件制作工具中格式和内容与江苏政府采购网发布的招标文件不一致，请以江苏政府采购网发布的招标文件为准。</w:t>
      </w:r>
    </w:p>
    <w:p w14:paraId="70DC0E0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11.3特别提醒投标人，混乱的编排导致投标文件被误读或评标委员会（以下简称评委会）查找不到有效文件是投标人的风险。</w:t>
      </w:r>
    </w:p>
    <w:p w14:paraId="2F7CEAEC">
      <w:pPr>
        <w:spacing w:line="500" w:lineRule="exact"/>
        <w:ind w:firstLine="482"/>
        <w:rPr>
          <w:color w:val="auto"/>
          <w:highlight w:val="none"/>
        </w:rPr>
      </w:pPr>
      <w:r>
        <w:rPr>
          <w:rFonts w:ascii="宋体;SimSun" w:hAnsi="宋体;SimSun" w:eastAsia="宋体;SimSun" w:cs="宋体;SimSun"/>
          <w:b/>
          <w:color w:val="auto"/>
          <w:sz w:val="24"/>
          <w:highlight w:val="none"/>
        </w:rPr>
        <w:t>12、证明投标人及投标标的符合招标文件规定的文件</w:t>
      </w:r>
    </w:p>
    <w:p w14:paraId="2E8E894B">
      <w:pPr>
        <w:spacing w:line="500" w:lineRule="exact"/>
        <w:ind w:firstLine="480"/>
        <w:rPr>
          <w:color w:val="auto"/>
          <w:highlight w:val="none"/>
        </w:rPr>
      </w:pPr>
      <w:r>
        <w:rPr>
          <w:rFonts w:ascii="宋体;SimSun" w:hAnsi="宋体;SimSun" w:eastAsia="宋体;SimSun" w:cs="宋体;SimSun"/>
          <w:color w:val="auto"/>
          <w:sz w:val="24"/>
          <w:szCs w:val="24"/>
          <w:highlight w:val="none"/>
        </w:rPr>
        <w:t>12.1投标人应按照招标文件要求提交证明文件，证明其及投标标的符合招标文件规定。</w:t>
      </w:r>
    </w:p>
    <w:p w14:paraId="64C5BEB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12.2招标文件对证明文件无明确形式要求的，证明文件可以以文字资料、图纸和数据等形式提交。</w:t>
      </w:r>
    </w:p>
    <w:p w14:paraId="0975A24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12.3投标人委托代理时应当提交授权委托书，请按招标文件第六章给定格式及要求填写并附法定代表人（单位负责人）与委托代理人身份证明。</w:t>
      </w:r>
    </w:p>
    <w:p w14:paraId="5C35796A">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13、投标分项报价表</w:t>
      </w:r>
    </w:p>
    <w:p w14:paraId="4530150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13.1投标人应根据投标报价要求在投标分项报价表中列明各项投标单价、总价等，未全部列示的作无效响应处理。</w:t>
      </w:r>
    </w:p>
    <w:p w14:paraId="4BCF27AA">
      <w:pPr>
        <w:spacing w:line="500" w:lineRule="exact"/>
        <w:ind w:firstLine="480"/>
        <w:rPr>
          <w:color w:val="auto"/>
          <w:highlight w:val="none"/>
        </w:rPr>
      </w:pPr>
      <w:r>
        <w:rPr>
          <w:rFonts w:ascii="宋体;SimSun" w:hAnsi="宋体;SimSun" w:eastAsia="宋体;SimSun" w:cs="宋体;SimSun"/>
          <w:color w:val="auto"/>
          <w:sz w:val="24"/>
          <w:szCs w:val="24"/>
          <w:highlight w:val="none"/>
        </w:rPr>
        <w:t>13.2投标货币。投标文件中的单价和总价无特殊规定的采用人民币报价，以元为单位标注。招标文件中另有规定的按规定执行。</w:t>
      </w:r>
    </w:p>
    <w:p w14:paraId="7C9D0C68">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14、技术要求响应及偏离表、商务要求响应及偏离表</w:t>
      </w:r>
    </w:p>
    <w:p w14:paraId="1469EB7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44C47C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14.2 投标人可在投标文件中提供认为需要的其他技术文件或说明。</w:t>
      </w:r>
    </w:p>
    <w:p w14:paraId="0D5E732B">
      <w:pPr>
        <w:spacing w:line="500" w:lineRule="exact"/>
        <w:ind w:firstLine="482"/>
        <w:rPr>
          <w:color w:val="auto"/>
          <w:highlight w:val="none"/>
        </w:rPr>
      </w:pPr>
      <w:r>
        <w:rPr>
          <w:rFonts w:ascii="宋体;SimSun" w:hAnsi="宋体;SimSun" w:eastAsia="宋体;SimSun" w:cs="宋体;SimSun"/>
          <w:b/>
          <w:color w:val="auto"/>
          <w:sz w:val="24"/>
          <w:highlight w:val="none"/>
        </w:rPr>
        <w:t>15、服务承诺、培训计划、人员安排及其他</w:t>
      </w:r>
    </w:p>
    <w:p w14:paraId="089B83E0">
      <w:pPr>
        <w:spacing w:line="500" w:lineRule="exact"/>
        <w:ind w:firstLine="480"/>
        <w:rPr>
          <w:color w:val="auto"/>
          <w:highlight w:val="none"/>
        </w:rPr>
      </w:pPr>
      <w:r>
        <w:rPr>
          <w:rFonts w:ascii="宋体;SimSun" w:hAnsi="宋体;SimSun" w:eastAsia="宋体;SimSun" w:cs="宋体;SimSun"/>
          <w:color w:val="auto"/>
          <w:sz w:val="24"/>
          <w:szCs w:val="24"/>
          <w:highlight w:val="none"/>
        </w:rPr>
        <w:t>15.1 投标人需根据招标文件要求提供有关售后服务的管理制度，售后服务机构的分布情况，售后服务人员的数量、素质、技术水平及售后服务的反应能力等。</w:t>
      </w:r>
    </w:p>
    <w:p w14:paraId="3A35A0B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15.2 投标人需根据招标文件要求提供培训计划、人员安排等。</w:t>
      </w:r>
    </w:p>
    <w:p w14:paraId="15F0D09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15.3 投标人需根据招标文件要求提供所投标的的主要组成部分、功能设计、实现思路及关键技术等。</w:t>
      </w:r>
    </w:p>
    <w:p w14:paraId="22E26BFD">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16、投标函和开标一览表</w:t>
      </w:r>
    </w:p>
    <w:p w14:paraId="47041CF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16.1 投标人应按照招标文件中提供的格式完整、正确填写投标函、开标一览表。</w:t>
      </w:r>
    </w:p>
    <w:p w14:paraId="7FFA3088">
      <w:pPr>
        <w:spacing w:line="500" w:lineRule="exact"/>
        <w:ind w:firstLine="480"/>
        <w:rPr>
          <w:color w:val="auto"/>
          <w:highlight w:val="none"/>
        </w:rPr>
      </w:pPr>
      <w:r>
        <w:rPr>
          <w:rFonts w:ascii="宋体;SimSun" w:hAnsi="宋体;SimSun" w:eastAsia="宋体;SimSun" w:cs="宋体;SimSun"/>
          <w:color w:val="auto"/>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075E2FDE">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17、投标有效期</w:t>
      </w:r>
    </w:p>
    <w:p w14:paraId="1950126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17.1 投标有效期为招标文件规定的开标之日后六十（60）天。投标有效期比规定短的将被视为未实质性响应招标文件而予以拒绝。</w:t>
      </w:r>
    </w:p>
    <w:p w14:paraId="7DBEA7BC">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7EB8E639">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四、投标文件的递交</w:t>
      </w:r>
    </w:p>
    <w:p w14:paraId="7FE558BA">
      <w:pPr>
        <w:spacing w:line="500" w:lineRule="exact"/>
        <w:ind w:firstLine="482"/>
        <w:rPr>
          <w:color w:val="auto"/>
          <w:highlight w:val="none"/>
        </w:rPr>
      </w:pPr>
      <w:r>
        <w:rPr>
          <w:rFonts w:ascii="宋体;SimSun" w:hAnsi="宋体;SimSun" w:eastAsia="宋体;SimSun" w:cs="宋体;SimSun"/>
          <w:b/>
          <w:color w:val="auto"/>
          <w:sz w:val="24"/>
          <w:highlight w:val="none"/>
        </w:rPr>
        <w:t>18、电子投标文件的递交</w:t>
      </w:r>
    </w:p>
    <w:p w14:paraId="5783982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18.1 投标人应当按照《操作手册》规定，在投标截止时间前制作并递交（上传）电子投标文件。</w:t>
      </w:r>
    </w:p>
    <w:p w14:paraId="25D7A7E4">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19、投标截止时间</w:t>
      </w:r>
    </w:p>
    <w:p w14:paraId="171CAFB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19.1 投标人递交（上传）电子投标文件的时间不得迟于招标公告中规定的投标截止时间。</w:t>
      </w:r>
    </w:p>
    <w:p w14:paraId="4DABB12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投标人应充分考虑到计算机硬件、软件及网络环境等风险因素，如因投标人自身原因造成电子投标文件递交（上传）不成功的按照本招标文件第二章第27.1条规定作无效投标处理。</w:t>
      </w:r>
    </w:p>
    <w:p w14:paraId="374F48A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19.2 采购代理机构可以按照规定，通过修改招标文件酌情延长投标截止日期，在此情况下，投标人的所有权利和义务以及投标人受制的截止日期均应以延长后新的截止日期为准。</w:t>
      </w:r>
    </w:p>
    <w:p w14:paraId="5244D8C3">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20、投标文件的拒收</w:t>
      </w:r>
    </w:p>
    <w:p w14:paraId="46132773">
      <w:pPr>
        <w:spacing w:line="500" w:lineRule="exact"/>
        <w:ind w:firstLine="480"/>
        <w:rPr>
          <w:color w:val="auto"/>
          <w:highlight w:val="none"/>
        </w:rPr>
      </w:pPr>
      <w:r>
        <w:rPr>
          <w:rFonts w:ascii="宋体;SimSun" w:hAnsi="宋体;SimSun" w:eastAsia="宋体;SimSun" w:cs="宋体;SimSun"/>
          <w:color w:val="auto"/>
          <w:sz w:val="24"/>
          <w:szCs w:val="24"/>
          <w:highlight w:val="none"/>
        </w:rPr>
        <w:t>20.1</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拒绝接收在其规定的投标截止时间后递交（上传）的任何投标文件。</w:t>
      </w:r>
    </w:p>
    <w:p w14:paraId="2C92F14C">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21、投标文件的撤回和修改</w:t>
      </w:r>
    </w:p>
    <w:p w14:paraId="60A4D9B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21.1 投标文件的撤回</w:t>
      </w:r>
    </w:p>
    <w:p w14:paraId="0186568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21.1.1 投标人可在投标截止时间前，撤回其电子投标文件，具体操作方法见《操作手册》。</w:t>
      </w:r>
    </w:p>
    <w:p w14:paraId="76032D5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21.1.2 投标人撤回电子投标文件的，则认为其不再参与本项目投标活动。</w:t>
      </w:r>
    </w:p>
    <w:p w14:paraId="1187327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21.2 投标文件的修改</w:t>
      </w:r>
    </w:p>
    <w:p w14:paraId="7726DD9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21.2.1 投标人可在投标截止时间前，对其电子投标文件进行修改，具体操作方法见《操作手册》。</w:t>
      </w:r>
    </w:p>
    <w:p w14:paraId="127C7A9C">
      <w:pPr>
        <w:spacing w:line="500" w:lineRule="exact"/>
        <w:ind w:firstLine="480"/>
        <w:rPr>
          <w:color w:val="auto"/>
          <w:highlight w:val="none"/>
        </w:rPr>
      </w:pPr>
      <w:r>
        <w:rPr>
          <w:rFonts w:ascii="宋体;SimSun" w:hAnsi="宋体;SimSun" w:eastAsia="宋体;SimSun" w:cs="宋体;SimSun"/>
          <w:color w:val="auto"/>
          <w:sz w:val="24"/>
          <w:szCs w:val="24"/>
          <w:highlight w:val="none"/>
        </w:rPr>
        <w:t>21.2.2 在投标截止时间之后，投标人不得对其电子投标文件做任何修改。</w:t>
      </w:r>
    </w:p>
    <w:p w14:paraId="1CD5CAC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21.3 在投标截止时间至招标文件中规定的投标有效期满之间的这段时间内，投标人不得撤回其投标。</w:t>
      </w:r>
    </w:p>
    <w:p w14:paraId="60839F0D">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五、开标与评标</w:t>
      </w:r>
    </w:p>
    <w:p w14:paraId="7254ED50">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22、开标</w:t>
      </w:r>
    </w:p>
    <w:p w14:paraId="4CDCCACA">
      <w:pPr>
        <w:spacing w:line="500" w:lineRule="exact"/>
        <w:ind w:firstLine="480"/>
        <w:rPr>
          <w:color w:val="auto"/>
          <w:highlight w:val="none"/>
        </w:rPr>
      </w:pPr>
      <w:r>
        <w:rPr>
          <w:rFonts w:ascii="宋体;SimSun" w:hAnsi="宋体;SimSun" w:eastAsia="宋体;SimSun" w:cs="宋体;SimSun"/>
          <w:color w:val="auto"/>
          <w:sz w:val="24"/>
          <w:szCs w:val="24"/>
          <w:highlight w:val="none"/>
        </w:rPr>
        <w:t>22.1</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将在招标公告中规定的时间和地点组织公开开标。投标人应当按时参加开标活动，并在“苏采云”系统规定的时间内对投标文件进行解密。</w:t>
      </w:r>
    </w:p>
    <w:p w14:paraId="25367EF4">
      <w:pPr>
        <w:spacing w:line="500" w:lineRule="exact"/>
        <w:ind w:firstLine="480"/>
        <w:rPr>
          <w:color w:val="auto"/>
          <w:highlight w:val="none"/>
        </w:rPr>
      </w:pPr>
      <w:r>
        <w:rPr>
          <w:rFonts w:ascii="宋体;SimSun" w:hAnsi="宋体;SimSun" w:eastAsia="宋体;SimSun" w:cs="宋体;SimSun"/>
          <w:color w:val="auto"/>
          <w:sz w:val="24"/>
          <w:szCs w:val="24"/>
          <w:highlight w:val="none"/>
        </w:rPr>
        <w:t>22.2 开标仪式由</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组织。“苏采云”系统将自动对项目进行开标，并宣布各投标人名称和投标价格。</w:t>
      </w:r>
    </w:p>
    <w:p w14:paraId="7F5E553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22.3 投标人在开标过程中涉及到的投标文件解密、开标结果确认等工作，应当按照《操作手册》规定执行。</w:t>
      </w:r>
    </w:p>
    <w:p w14:paraId="0B001F1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22.4 投标人如果对开标过程和开标记录有疑义，应当按照《操作手册》规定提出，未在“苏采云”系统《开标记录表》宣布后5分钟内提出的，视同认可开标结果。</w:t>
      </w:r>
    </w:p>
    <w:p w14:paraId="5B3B829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22.5 投标人未参加开标的，视同认可开标结果。</w:t>
      </w:r>
    </w:p>
    <w:p w14:paraId="1FB94122">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23、评标委员会</w:t>
      </w:r>
    </w:p>
    <w:p w14:paraId="33868DA1">
      <w:pPr>
        <w:spacing w:line="500" w:lineRule="exact"/>
        <w:ind w:firstLine="480"/>
        <w:rPr>
          <w:color w:val="auto"/>
          <w:highlight w:val="none"/>
        </w:rPr>
      </w:pPr>
      <w:r>
        <w:rPr>
          <w:rFonts w:ascii="宋体;SimSun" w:hAnsi="宋体;SimSun" w:eastAsia="宋体;SimSun" w:cs="宋体;SimSun"/>
          <w:color w:val="auto"/>
          <w:sz w:val="24"/>
          <w:szCs w:val="24"/>
          <w:highlight w:val="none"/>
        </w:rPr>
        <w:t>23.1 开标后，</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将立即组织评委会进行评标。</w:t>
      </w:r>
    </w:p>
    <w:p w14:paraId="58C42B9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23.2 评委会由采购人代表和有关技术、经济等方面的评审专家组成，且人员构成符合政府采购有关规定。</w:t>
      </w:r>
    </w:p>
    <w:p w14:paraId="29A8BC3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23.3 评委会按照采购文件规定的评审程序、评审方法和评审标准进行独立评审并确定中标候选人。</w:t>
      </w:r>
    </w:p>
    <w:p w14:paraId="7B570EAA">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24、评标过程的保密与公正</w:t>
      </w:r>
    </w:p>
    <w:p w14:paraId="38ABC34B">
      <w:pPr>
        <w:spacing w:line="500" w:lineRule="exact"/>
        <w:ind w:firstLine="480"/>
        <w:rPr>
          <w:color w:val="auto"/>
          <w:highlight w:val="none"/>
        </w:rPr>
      </w:pPr>
      <w:r>
        <w:rPr>
          <w:rFonts w:ascii="宋体;SimSun" w:hAnsi="宋体;SimSun" w:eastAsia="宋体;SimSun" w:cs="宋体;SimSun"/>
          <w:color w:val="auto"/>
          <w:sz w:val="24"/>
          <w:szCs w:val="24"/>
          <w:highlight w:val="none"/>
        </w:rPr>
        <w:t>24.1 凡是与审查、澄清、评价和比较投标的有关资料以及授标建议等，采购人、评审专家、</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均不得向投标人或与评标无关的其他人员透露。</w:t>
      </w:r>
    </w:p>
    <w:p w14:paraId="630FB41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24.2 在评标过程中，投标人不得以任何行为影响评标过程，否则其投标文件将被作为无效投标文件。</w:t>
      </w:r>
    </w:p>
    <w:p w14:paraId="20681865">
      <w:pPr>
        <w:spacing w:line="500" w:lineRule="exact"/>
        <w:ind w:firstLine="480"/>
        <w:rPr>
          <w:color w:val="auto"/>
          <w:highlight w:val="none"/>
        </w:rPr>
      </w:pPr>
      <w:r>
        <w:rPr>
          <w:rFonts w:ascii="宋体;SimSun" w:hAnsi="宋体;SimSun" w:eastAsia="宋体;SimSun" w:cs="宋体;SimSun"/>
          <w:color w:val="auto"/>
          <w:sz w:val="24"/>
          <w:szCs w:val="24"/>
          <w:highlight w:val="none"/>
        </w:rPr>
        <w:t>24.3</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和评委会不向未中标的投标人解释未中标原因，也不公布评标过程中的相关细节。</w:t>
      </w:r>
    </w:p>
    <w:p w14:paraId="7B77071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24.4 采用综合评分法的项目，未中标的投标人可于中标结果公告期限届满之日起通过“苏采云”系统查看自己的评审得分及排序情况。</w:t>
      </w:r>
    </w:p>
    <w:p w14:paraId="723D3E2F">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25、投标文件的澄清</w:t>
      </w:r>
    </w:p>
    <w:p w14:paraId="3AD194DD">
      <w:pPr>
        <w:spacing w:line="500" w:lineRule="exact"/>
        <w:ind w:firstLine="480"/>
        <w:rPr>
          <w:color w:val="auto"/>
          <w:highlight w:val="none"/>
        </w:rPr>
      </w:pPr>
      <w:r>
        <w:rPr>
          <w:color w:val="auto"/>
          <w:highlight w:val="none"/>
        </w:rPr>
        <w:t>25.1 评标期间，评委会对投标文件中含义不明确、同类问题表述不一致或者有明显文字和计算错误的内容，有权要求投标人作出必要的澄清、说明或者补正。</w:t>
      </w:r>
    </w:p>
    <w:p w14:paraId="60F00BA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79D3678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评委会并非对每个投标人都做澄清、说明或者补正要求。</w:t>
      </w:r>
    </w:p>
    <w:p w14:paraId="137C00E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6766AE8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25.3 接到评委会澄清、说明或者补正要求的投标人如未按规定响应，其风险由投标人自行承担。</w:t>
      </w:r>
    </w:p>
    <w:p w14:paraId="665575F8">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26、对投标文件的初审</w:t>
      </w:r>
    </w:p>
    <w:p w14:paraId="74AF4D47">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26.1 投标文件初审分为资格审查和符合性审查。</w:t>
      </w:r>
    </w:p>
    <w:p w14:paraId="66E5A0D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6D9E1372">
      <w:pPr>
        <w:spacing w:line="500" w:lineRule="exact"/>
        <w:ind w:firstLine="480"/>
        <w:rPr>
          <w:color w:val="auto"/>
          <w:highlight w:val="none"/>
        </w:rPr>
      </w:pPr>
      <w:r>
        <w:rPr>
          <w:rFonts w:ascii="宋体;SimSun" w:hAnsi="宋体;SimSun" w:eastAsia="宋体;SimSun" w:cs="宋体;SimSun"/>
          <w:color w:val="auto"/>
          <w:sz w:val="24"/>
          <w:szCs w:val="24"/>
          <w:highlight w:val="none"/>
        </w:rPr>
        <w:t>采购人在进行资格性审查的同时，将在信用中国网站（www.creditchina.gov.cn）、中国政府采购网（www.ccgp.gov.cn）查询投标人的信用记录，以确定投标人是否具备投标资格，查询结果留存并归档。</w:t>
      </w:r>
    </w:p>
    <w:p w14:paraId="73228D0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632E6CC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26.1.2 符合性审查：依据招标文件的规定，由评委会从投标文件的有效性、完整性和对招标文件的响应程度进行审查，以确定其是否对招标文件的实质性要求作出响应。</w:t>
      </w:r>
    </w:p>
    <w:p w14:paraId="3AE6DA43">
      <w:pPr>
        <w:spacing w:line="500" w:lineRule="exact"/>
        <w:ind w:firstLine="480"/>
        <w:rPr>
          <w:color w:val="auto"/>
          <w:highlight w:val="none"/>
        </w:rPr>
      </w:pPr>
      <w:r>
        <w:rPr>
          <w:rFonts w:ascii="宋体;SimSun" w:hAnsi="宋体;SimSun" w:eastAsia="宋体;SimSun" w:cs="宋体;SimSun"/>
          <w:color w:val="auto"/>
          <w:sz w:val="24"/>
          <w:szCs w:val="24"/>
          <w:highlight w:val="none"/>
        </w:rPr>
        <w:t>本招标文件中标注有★为实质性要求和条件，投标人必须逐条做出满足实质性要求和条件的响应，否则将按无效响应处理。</w:t>
      </w:r>
    </w:p>
    <w:p w14:paraId="0D6533C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26.1.3 未通过资格审查或符合性审查的投标人，将在“苏采云”系统中告知未通过资格审查或符合性审查的原因，评审结束后，将不再告知未通过资格审查或符合性审查的原因。</w:t>
      </w:r>
    </w:p>
    <w:p w14:paraId="1422B4E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7E212FF7">
      <w:pPr>
        <w:spacing w:line="500" w:lineRule="exact"/>
        <w:ind w:firstLine="480"/>
        <w:rPr>
          <w:color w:val="auto"/>
          <w:highlight w:val="none"/>
        </w:rPr>
      </w:pPr>
      <w:r>
        <w:rPr>
          <w:rFonts w:ascii="宋体;SimSun" w:hAnsi="宋体;SimSun" w:eastAsia="宋体;SimSun" w:cs="宋体;SimSun"/>
          <w:color w:val="auto"/>
          <w:sz w:val="24"/>
          <w:szCs w:val="24"/>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33B24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26.3 如果投标文件实质上没有响应招标文件的要求，评委会将予以拒绝，投标人不得通过修改或撤销不合要求的偏离或保留而使其投标成为实质性响应的投标。</w:t>
      </w:r>
    </w:p>
    <w:p w14:paraId="49F8590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26.4 评委会将对确定为实质性响应的投标进行进一步审核，看其是否有计算上或累加上的算术错误，修正错误的原则如下：</w:t>
      </w:r>
    </w:p>
    <w:p w14:paraId="394B490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（1）投标文件中开标一览表内容与投标文件中相应内容不一致的，以开标一览表为准。</w:t>
      </w:r>
    </w:p>
    <w:p w14:paraId="3E22C1C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（2）大写金额和小写金额不一致的，以大写金额为准。</w:t>
      </w:r>
    </w:p>
    <w:p w14:paraId="50CF05D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（3）单价金额小数点或者百分比有明显错位的，以开标一览表的总价为准，并修改单价。</w:t>
      </w:r>
    </w:p>
    <w:p w14:paraId="11787E1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（4）总价金额与按单价汇总金额不一致的，以单价金额计算结果为准。</w:t>
      </w:r>
    </w:p>
    <w:p w14:paraId="192B2F6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同时出现两种以上错误的，按照前款规定的顺序修正。</w:t>
      </w:r>
    </w:p>
    <w:p w14:paraId="1CBE6AB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14:paraId="06B196AD">
      <w:pPr>
        <w:spacing w:line="500" w:lineRule="exact"/>
        <w:ind w:firstLine="480"/>
        <w:rPr>
          <w:color w:val="auto"/>
          <w:highlight w:val="none"/>
        </w:rPr>
      </w:pPr>
      <w:r>
        <w:rPr>
          <w:color w:val="auto"/>
          <w:highlight w:val="none"/>
        </w:rPr>
        <w:t>26.6 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p>
    <w:p w14:paraId="37F1155A">
      <w:pPr>
        <w:spacing w:line="500" w:lineRule="exact"/>
        <w:ind w:firstLine="480"/>
        <w:rPr>
          <w:color w:val="auto"/>
          <w:highlight w:val="none"/>
        </w:rPr>
      </w:pPr>
      <w:r>
        <w:rPr>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p>
    <w:p w14:paraId="55F36E2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非单一产品采购项目，招标文件中将载明核心产品。多家投标人提供的核心产品品牌相同的，按前两款规定处理。</w:t>
      </w:r>
    </w:p>
    <w:p w14:paraId="38E0E94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26.7 投标人在开、评标全过程中应保持通讯畅通，及时登录“苏采云”系统查阅、答复相关信息，并安排专人与代理机构及评委会联系。</w:t>
      </w:r>
    </w:p>
    <w:p w14:paraId="59CE8448">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27、无效投标条款和废标条款</w:t>
      </w:r>
    </w:p>
    <w:p w14:paraId="61B3D107">
      <w:pPr>
        <w:spacing w:line="500" w:lineRule="exact"/>
        <w:ind w:firstLine="480"/>
        <w:rPr>
          <w:color w:val="auto"/>
          <w:highlight w:val="none"/>
        </w:rPr>
      </w:pPr>
      <w:r>
        <w:rPr>
          <w:rFonts w:ascii="宋体;SimSun" w:hAnsi="宋体;SimSun" w:eastAsia="宋体;SimSun" w:cs="宋体;SimSun"/>
          <w:color w:val="auto"/>
          <w:sz w:val="24"/>
          <w:szCs w:val="24"/>
          <w:highlight w:val="none"/>
        </w:rPr>
        <w:t xml:space="preserve">27.1 </w:t>
      </w:r>
      <w:r>
        <w:rPr>
          <w:rFonts w:ascii="宋体;SimSun" w:hAnsi="宋体;SimSun" w:eastAsia="宋体;SimSun" w:cs="宋体;SimSun"/>
          <w:b/>
          <w:bCs/>
          <w:color w:val="auto"/>
          <w:sz w:val="24"/>
          <w:szCs w:val="24"/>
          <w:highlight w:val="none"/>
        </w:rPr>
        <w:t>无效投标条款</w:t>
      </w:r>
    </w:p>
    <w:p w14:paraId="1BCCDEB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（1）投标人未按照招标文件要求递交（上传）电子投标文件的。</w:t>
      </w:r>
    </w:p>
    <w:p w14:paraId="6848A61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（2）投标人在“苏采云”系统规定的时间内未成功解密电子投标文件的。</w:t>
      </w:r>
    </w:p>
    <w:p w14:paraId="0DC47AAE">
      <w:pPr>
        <w:spacing w:line="500" w:lineRule="exact"/>
        <w:ind w:firstLine="480"/>
        <w:rPr>
          <w:color w:val="auto"/>
          <w:highlight w:val="none"/>
        </w:rPr>
      </w:pPr>
      <w:r>
        <w:rPr>
          <w:rFonts w:ascii="宋体;SimSun" w:hAnsi="宋体;SimSun" w:eastAsia="宋体;SimSun" w:cs="宋体;SimSun"/>
          <w:color w:val="auto"/>
          <w:sz w:val="24"/>
          <w:szCs w:val="24"/>
          <w:highlight w:val="none"/>
        </w:rPr>
        <w:t>（3）投标人不具备招标文件中规定的资格要求的。</w:t>
      </w:r>
    </w:p>
    <w:p w14:paraId="0A49BE04">
      <w:pPr>
        <w:spacing w:line="500" w:lineRule="exact"/>
        <w:ind w:firstLine="480"/>
        <w:rPr>
          <w:color w:val="auto"/>
          <w:highlight w:val="none"/>
        </w:rPr>
      </w:pPr>
      <w:r>
        <w:rPr>
          <w:rFonts w:ascii="宋体;SimSun" w:hAnsi="宋体;SimSun" w:eastAsia="宋体;SimSun" w:cs="宋体;SimSun"/>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269B9D8">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（5）投标人提交两个（含两个）以上不同的投标报价的。</w:t>
      </w:r>
    </w:p>
    <w:p w14:paraId="55E0E06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（6）投标人的报价超过了采购预算或者最高限价的。</w:t>
      </w:r>
    </w:p>
    <w:p w14:paraId="238F23DA">
      <w:pPr>
        <w:spacing w:line="500" w:lineRule="exact"/>
        <w:ind w:firstLine="480"/>
        <w:rPr>
          <w:color w:val="auto"/>
          <w:highlight w:val="none"/>
        </w:rPr>
      </w:pPr>
      <w:r>
        <w:rPr>
          <w:rFonts w:ascii="宋体;SimSun" w:hAnsi="宋体;SimSun" w:eastAsia="宋体;SimSun" w:cs="宋体;SimSun"/>
          <w:color w:val="auto"/>
          <w:sz w:val="24"/>
          <w:szCs w:val="24"/>
          <w:highlight w:val="none"/>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6ECE069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（8）不符合招标文件中规定的实质性要求和条件的（本招标文件中标注★的款项为实质性要求和条件，投标人须逐条做出满足实质性要求和条件的响应，否则将按无效响应处理）。</w:t>
      </w:r>
    </w:p>
    <w:p w14:paraId="3097547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0D73BD8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（10）投标人未通过符合性审查的。</w:t>
      </w:r>
    </w:p>
    <w:p w14:paraId="14E4B8B8">
      <w:pPr>
        <w:spacing w:line="500" w:lineRule="exact"/>
        <w:ind w:firstLine="480"/>
        <w:rPr>
          <w:color w:val="auto"/>
          <w:highlight w:val="none"/>
        </w:rPr>
      </w:pPr>
      <w:r>
        <w:rPr>
          <w:rFonts w:ascii="宋体;SimSun" w:hAnsi="宋体;SimSun" w:eastAsia="宋体;SimSun" w:cs="宋体;SimSun"/>
          <w:color w:val="auto"/>
          <w:sz w:val="24"/>
          <w:szCs w:val="24"/>
          <w:highlight w:val="none"/>
        </w:rPr>
        <w:t>（11）投标文件含有采购人不能接受的附加条件的。</w:t>
      </w:r>
    </w:p>
    <w:p w14:paraId="639BDE4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（12）投标文件未按照招标文件要求加盖公章（CA电子公章）的。</w:t>
      </w:r>
    </w:p>
    <w:p w14:paraId="7ADC02F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（13）启动异常低价投标（响应）审查的情形和具体要求，包括：</w:t>
      </w:r>
    </w:p>
    <w:p w14:paraId="44681A31">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（一）评审过程中出现下列情形之一的，评审委员会应当启动异常低价投标（响应）审查程序：</w:t>
      </w:r>
    </w:p>
    <w:p w14:paraId="189D739B">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1.投标（响应）报价低于全部通过符合性审查供应商投标（响应）报价平均值65%的，即投标（响应）报价&lt;全部通过符合性审查供应商投标（响应）报价平均值×65%；</w:t>
      </w:r>
    </w:p>
    <w:p w14:paraId="0140901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2.投标（响应）报价低于通过符合性审查的次低报价供应商投标（响应）报价65%的，即投标（响应）报价&lt;通过符合性审查的次低报价供应商投标（响应）报价×65%；</w:t>
      </w:r>
    </w:p>
    <w:p w14:paraId="1FD922E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3.投标（响应）报价低于采购项目最高限价65%的，即投标（响应）报价&lt;采购项目最高限价×65%；</w:t>
      </w:r>
    </w:p>
    <w:p w14:paraId="35FE989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4.评审委员会基于专业判断，认为供应商报价过低，有可能影响产品质量或者不能诚信履约的其他情形。</w:t>
      </w:r>
    </w:p>
    <w:p w14:paraId="563BB62E">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二）评审委员会启动异常低价投标（响应）审查后，属于前述第1项至第4项情形的，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AC12898">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C88580">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A2BC246">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（14）其他法律、法规及本招标文件规定的属于无效投标的情形。</w:t>
      </w:r>
    </w:p>
    <w:p w14:paraId="06138DF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27.2 有下列情形之一的，视为投标人串通投标，投标无效：</w:t>
      </w:r>
    </w:p>
    <w:p w14:paraId="45317FF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（1）不同投标人的投标文件由同一单位或者个人编制。</w:t>
      </w:r>
    </w:p>
    <w:p w14:paraId="1C9836B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（2）不同投标人委托同一单位或者个人办理投标事宜。</w:t>
      </w:r>
    </w:p>
    <w:p w14:paraId="5603DE6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（3）不同投标人的投标文件载明的项目管理成员或者联系人员为同一人。</w:t>
      </w:r>
    </w:p>
    <w:p w14:paraId="7D7CF90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（4）不同投标人的投标文件异常一致或者投标报价呈规律性差异。</w:t>
      </w:r>
    </w:p>
    <w:p w14:paraId="0B5B9B06">
      <w:pPr>
        <w:spacing w:line="500" w:lineRule="exact"/>
        <w:ind w:firstLine="480"/>
        <w:rPr>
          <w:color w:val="auto"/>
          <w:highlight w:val="none"/>
        </w:rPr>
      </w:pPr>
      <w:r>
        <w:rPr>
          <w:rFonts w:ascii="宋体;SimSun" w:hAnsi="宋体;SimSun" w:eastAsia="宋体;SimSun" w:cs="宋体;SimSun"/>
          <w:color w:val="auto"/>
          <w:sz w:val="24"/>
          <w:szCs w:val="24"/>
          <w:highlight w:val="none"/>
        </w:rPr>
        <w:t xml:space="preserve">27.3 </w:t>
      </w:r>
      <w:r>
        <w:rPr>
          <w:rFonts w:ascii="宋体;SimSun" w:hAnsi="宋体;SimSun" w:eastAsia="宋体;SimSun" w:cs="宋体;SimSun"/>
          <w:b/>
          <w:bCs/>
          <w:color w:val="auto"/>
          <w:sz w:val="24"/>
          <w:szCs w:val="24"/>
          <w:highlight w:val="none"/>
        </w:rPr>
        <w:t>废标条款</w:t>
      </w:r>
    </w:p>
    <w:p w14:paraId="6E3742D7">
      <w:pPr>
        <w:spacing w:line="500" w:lineRule="exact"/>
        <w:ind w:firstLine="480"/>
        <w:rPr>
          <w:color w:val="auto"/>
          <w:highlight w:val="none"/>
        </w:rPr>
      </w:pPr>
      <w:r>
        <w:rPr>
          <w:rFonts w:ascii="宋体;SimSun" w:hAnsi="宋体;SimSun" w:eastAsia="宋体;SimSun" w:cs="宋体;SimSun"/>
          <w:color w:val="auto"/>
          <w:sz w:val="24"/>
          <w:szCs w:val="24"/>
          <w:highlight w:val="none"/>
        </w:rPr>
        <w:t>（1）因“苏采云”系统故障原因造成开标不成功的。</w:t>
      </w:r>
    </w:p>
    <w:p w14:paraId="3AB16224">
      <w:pPr>
        <w:spacing w:line="500" w:lineRule="exact"/>
        <w:ind w:firstLine="480"/>
        <w:rPr>
          <w:color w:val="auto"/>
          <w:highlight w:val="none"/>
        </w:rPr>
      </w:pPr>
      <w:r>
        <w:rPr>
          <w:rFonts w:ascii="宋体;SimSun" w:hAnsi="宋体;SimSun" w:eastAsia="宋体;SimSun" w:cs="宋体;SimSun"/>
          <w:color w:val="auto"/>
          <w:sz w:val="24"/>
          <w:szCs w:val="24"/>
          <w:highlight w:val="none"/>
        </w:rPr>
        <w:t>（2）评委会认定招标文件存在歧义、重大缺陷导致评审工作无法进行的。</w:t>
      </w:r>
    </w:p>
    <w:p w14:paraId="5452271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（3）符合专业条件的供应商或者对招标文件作实质响应的供应商不足三家的。</w:t>
      </w:r>
    </w:p>
    <w:p w14:paraId="6EA35047">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（4）出现影响采购公正的违法、违规行为的。</w:t>
      </w:r>
    </w:p>
    <w:p w14:paraId="26CC809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（5）因重大变故，采购任务取消的。</w:t>
      </w:r>
    </w:p>
    <w:p w14:paraId="16628CD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27.4 出现投标截止时间结束后参加投标的供应商或者在评标期间对招标文件做出实质响应的供应商不足三家情况的，按照政府采购相关规定执行。</w:t>
      </w:r>
    </w:p>
    <w:p w14:paraId="2C9FCBEC">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六、定标</w:t>
      </w:r>
    </w:p>
    <w:p w14:paraId="014997BA">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28、确定中标单位</w:t>
      </w:r>
    </w:p>
    <w:p w14:paraId="7215E6F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28.1 中标候选人的选取原则和数量详见招标文件第五章规定。 </w:t>
      </w:r>
    </w:p>
    <w:p w14:paraId="63CCCEB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28.2 采购人应根据评委会推荐的中标候选人确定中标人。</w:t>
      </w:r>
    </w:p>
    <w:p w14:paraId="078C6EFE">
      <w:pPr>
        <w:spacing w:line="500" w:lineRule="exact"/>
        <w:ind w:firstLine="480"/>
        <w:rPr>
          <w:color w:val="auto"/>
          <w:highlight w:val="none"/>
        </w:rPr>
      </w:pPr>
      <w:r>
        <w:rPr>
          <w:rFonts w:ascii="宋体;SimSun" w:hAnsi="宋体;SimSun" w:eastAsia="宋体;SimSun" w:cs="宋体;SimSun"/>
          <w:color w:val="auto"/>
          <w:sz w:val="24"/>
          <w:szCs w:val="24"/>
          <w:highlight w:val="none"/>
        </w:rPr>
        <w:t xml:space="preserve">28.3 </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将在江苏政府采购网发布中标公告，公告期限为1个工作日。</w:t>
      </w:r>
    </w:p>
    <w:p w14:paraId="2038182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28.4 若有充分证据证明，中标人存在下列情况之一的，一经查实，将被取消中标资格：</w:t>
      </w:r>
    </w:p>
    <w:p w14:paraId="011FC1C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（1）提供虚假材料谋取中标、成交的。</w:t>
      </w:r>
    </w:p>
    <w:p w14:paraId="4C2DDF7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（2）采取不正当手段诋毁、排挤其他供应商的。</w:t>
      </w:r>
    </w:p>
    <w:p w14:paraId="616E67F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（3）与采购人、其他供应商或者采购代理机构恶意串通的。</w:t>
      </w:r>
    </w:p>
    <w:p w14:paraId="69510D1C">
      <w:pPr>
        <w:spacing w:line="500" w:lineRule="exact"/>
        <w:ind w:firstLine="480"/>
        <w:rPr>
          <w:color w:val="auto"/>
          <w:highlight w:val="none"/>
        </w:rPr>
      </w:pPr>
      <w:r>
        <w:rPr>
          <w:rFonts w:ascii="宋体;SimSun" w:hAnsi="宋体;SimSun" w:eastAsia="宋体;SimSun" w:cs="宋体;SimSun"/>
          <w:color w:val="auto"/>
          <w:sz w:val="24"/>
          <w:szCs w:val="24"/>
          <w:highlight w:val="none"/>
        </w:rPr>
        <w:t>（4）向采购人、</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行贿或者提供其他不正当利益的。</w:t>
      </w:r>
    </w:p>
    <w:p w14:paraId="46539FB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（5）在招标采购过程中与采购人进行协商谈判的。</w:t>
      </w:r>
    </w:p>
    <w:p w14:paraId="7B9E1AD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（6）属于本文件规定的无效条件，但在评标过程中又未被评委会发现的。</w:t>
      </w:r>
    </w:p>
    <w:p w14:paraId="454F3D4D">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29、中标通知书</w:t>
      </w:r>
    </w:p>
    <w:p w14:paraId="22723562">
      <w:pPr>
        <w:spacing w:line="500" w:lineRule="exact"/>
        <w:ind w:firstLine="480"/>
        <w:rPr>
          <w:color w:val="auto"/>
          <w:highlight w:val="none"/>
        </w:rPr>
      </w:pPr>
      <w:r>
        <w:rPr>
          <w:rFonts w:ascii="宋体;SimSun" w:hAnsi="宋体;SimSun" w:eastAsia="宋体;SimSun" w:cs="宋体;SimSun"/>
          <w:color w:val="auto"/>
          <w:sz w:val="24"/>
          <w:szCs w:val="24"/>
          <w:highlight w:val="none"/>
        </w:rPr>
        <w:t>29.1 中标结果确定后，</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03D420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29.2 中标通知书将是合同的一个组成部分。对采购人和中标人均具有法律效力。中标通知书发出后，采购人改变中标结果的，或者中标人放弃中标项目的，应当依法承担法律责任。</w:t>
      </w:r>
    </w:p>
    <w:p w14:paraId="208DB7E1">
      <w:pPr>
        <w:spacing w:line="500" w:lineRule="exact"/>
        <w:ind w:firstLine="480"/>
        <w:rPr>
          <w:color w:val="auto"/>
          <w:highlight w:val="none"/>
        </w:rPr>
      </w:pPr>
      <w:r>
        <w:rPr>
          <w:rFonts w:ascii="宋体;SimSun" w:hAnsi="宋体;SimSun" w:eastAsia="宋体;SimSun" w:cs="宋体;SimSun"/>
          <w:color w:val="auto"/>
          <w:sz w:val="24"/>
          <w:szCs w:val="24"/>
          <w:highlight w:val="none"/>
        </w:rPr>
        <w:t>29.3 中标人在中标后七个工作日内，需向采购人和</w:t>
      </w:r>
      <w:r>
        <w:rPr>
          <w:rFonts w:ascii="宋体;SimSun" w:hAnsi="宋体;SimSun" w:eastAsia="宋体;SimSun" w:cs="宋体;SimSun"/>
          <w:color w:val="auto"/>
          <w:sz w:val="24"/>
          <w:highlight w:val="none"/>
        </w:rPr>
        <w:t>采购代理机构</w:t>
      </w:r>
      <w:r>
        <w:rPr>
          <w:rFonts w:ascii="宋体;SimSun" w:hAnsi="宋体;SimSun" w:eastAsia="宋体;SimSun" w:cs="宋体;SimSun"/>
          <w:color w:val="auto"/>
          <w:sz w:val="24"/>
          <w:szCs w:val="24"/>
          <w:highlight w:val="none"/>
        </w:rPr>
        <w:t>各提供一份与电子投标文件一致的纸质打印胶装投标文件，封面、骑缝需加盖公章。</w:t>
      </w:r>
    </w:p>
    <w:p w14:paraId="64BD7BDD">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七、授予合同</w:t>
      </w:r>
    </w:p>
    <w:p w14:paraId="52DB588B">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30、履约保证金</w:t>
      </w:r>
    </w:p>
    <w:p w14:paraId="4BDE98B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30.1 履约保证金的数额为合同金额的5%。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7E697F7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30.2 中标人违约的，采购人将按照合同约定扣除其全部或部分履约保证金。如中标人违约给采购人造成的损失超过履约保证金的，应当依法赔偿超过部分的损失。</w:t>
      </w:r>
    </w:p>
    <w:p w14:paraId="2992696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30.3 履约保证金自合同生效之日起至合同约定的中标人主要义务履行完毕止，采购人应当按合同约定及时退还履约保证金。</w:t>
      </w:r>
    </w:p>
    <w:p w14:paraId="6421AE9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30.4 逾期退还履约保证金的采购人承担违约责任，按照中国人民银行同期贷款基准利率向中标人支付超期资金占用费。</w:t>
      </w:r>
    </w:p>
    <w:p w14:paraId="35135B51">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31、签订合同</w:t>
      </w:r>
    </w:p>
    <w:p w14:paraId="76BE2DE1">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31.1 中标人应当在中标通知书发出之日起三十日内，按照招标文件和中标人投标文件的规定，与采购人签订政府采购合同。</w:t>
      </w:r>
    </w:p>
    <w:p w14:paraId="1FBD439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31.2 招标文件、中标人的投标文件及招标过程中有关澄清、承诺等文件均应作为合同附件。</w:t>
      </w:r>
    </w:p>
    <w:p w14:paraId="4569E304">
      <w:pPr>
        <w:spacing w:line="500" w:lineRule="exact"/>
        <w:ind w:firstLine="480"/>
        <w:jc w:val="left"/>
        <w:rPr>
          <w:color w:val="auto"/>
          <w:highlight w:val="none"/>
        </w:rPr>
      </w:pPr>
      <w:r>
        <w:rPr>
          <w:rFonts w:ascii="宋体;SimSun" w:hAnsi="宋体;SimSun" w:eastAsia="宋体;SimSun" w:cs="宋体;SimSun"/>
          <w:b/>
          <w:bCs/>
          <w:color w:val="auto"/>
          <w:sz w:val="24"/>
          <w:szCs w:val="24"/>
          <w:highlight w:val="none"/>
        </w:rPr>
        <w:t>★</w:t>
      </w:r>
      <w:r>
        <w:rPr>
          <w:rFonts w:ascii="宋体;SimSun" w:hAnsi="宋体;SimSun" w:eastAsia="宋体;SimSun" w:cs="宋体;SimSun"/>
          <w:color w:val="auto"/>
          <w:sz w:val="24"/>
          <w:szCs w:val="24"/>
          <w:highlight w:val="none"/>
        </w:rPr>
        <w:t>31.3 签订合同后，</w:t>
      </w:r>
      <w:r>
        <w:rPr>
          <w:rFonts w:ascii="宋体;SimSun" w:hAnsi="宋体;SimSun" w:eastAsia="宋体;SimSun" w:cs="宋体;SimSun"/>
          <w:b/>
          <w:bCs/>
          <w:color w:val="auto"/>
          <w:sz w:val="24"/>
          <w:szCs w:val="24"/>
          <w:highlight w:val="none"/>
        </w:rPr>
        <w:t>中标人不得将合同标的转包</w:t>
      </w:r>
      <w:r>
        <w:rPr>
          <w:rFonts w:ascii="宋体;SimSun" w:hAnsi="宋体;SimSun" w:eastAsia="宋体;SimSun" w:cs="宋体;SimSun"/>
          <w:color w:val="auto"/>
          <w:sz w:val="24"/>
          <w:szCs w:val="24"/>
          <w:highlight w:val="none"/>
        </w:rPr>
        <w:t>。未经采购人同意，中标人也不得采用分包的形式履行合同，否则采购人有权终止合同。转包或分包造成采购人损失的，中标人应承担相应赔偿责任。</w:t>
      </w:r>
    </w:p>
    <w:p w14:paraId="2939B38C">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32、服务（包含与服务相关的货物）的追加</w:t>
      </w:r>
    </w:p>
    <w:p w14:paraId="76E86DF8">
      <w:pPr>
        <w:spacing w:line="500" w:lineRule="exact"/>
        <w:ind w:firstLine="480"/>
        <w:rPr>
          <w:color w:val="auto"/>
          <w:highlight w:val="none"/>
        </w:rPr>
      </w:pPr>
      <w:r>
        <w:rPr>
          <w:color w:val="auto"/>
          <w:highlight w:val="none"/>
        </w:rPr>
        <w:t>32.1 政府采购合同履行中，采购人需追加与合同标的相同的服务（包含与服务相关的货物）的，在不改变合同其他条款的前提下，可以与中标人协商签订补充合同，但所有补充合同的采购金额不超过原合同金额10%。</w:t>
      </w:r>
    </w:p>
    <w:p w14:paraId="167CF9D4">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33、政府采购履约资金扶持政策</w:t>
      </w:r>
    </w:p>
    <w:p w14:paraId="266BC82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33.1 中标人可凭政府采购合同办理融资贷款，详情请见江苏政府采购网“政采贷”专栏。</w:t>
      </w:r>
    </w:p>
    <w:p w14:paraId="068AD5A8">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八、询问与质疑</w:t>
      </w:r>
    </w:p>
    <w:p w14:paraId="054B0D93">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34、询问</w:t>
      </w:r>
    </w:p>
    <w:p w14:paraId="4C7B199F">
      <w:pPr>
        <w:spacing w:line="500" w:lineRule="exact"/>
        <w:ind w:firstLine="480"/>
        <w:rPr>
          <w:color w:val="auto"/>
          <w:highlight w:val="none"/>
        </w:rPr>
      </w:pPr>
      <w:r>
        <w:rPr>
          <w:color w:val="auto"/>
          <w:highlight w:val="none"/>
        </w:rPr>
        <w:t>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p>
    <w:p w14:paraId="3D85B526">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35、质疑提出</w:t>
      </w:r>
    </w:p>
    <w:p w14:paraId="756BEAA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 提出质疑的供应商应当是参与所质疑项目采购活动的供应商。</w:t>
      </w:r>
    </w:p>
    <w:p w14:paraId="514C2C4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 供应商认为采购文件、采购过程、采购结果使自己的权益受到损害的，可以在知道或者应知其权益受到损害之日（获取采购文件之日、采购公告发布之日）起七个工作日内以书面形式向采购人、代理机构提出质疑。</w:t>
      </w:r>
    </w:p>
    <w:p w14:paraId="26C0EE2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2811C89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未依照采购公告要求获取采购文件的供应商，视为未参与该项目的采购活动，不具备对该采购文件提出质疑的法定权利。</w:t>
      </w:r>
    </w:p>
    <w:p w14:paraId="15774F2C">
      <w:pPr>
        <w:spacing w:line="500" w:lineRule="exact"/>
        <w:ind w:firstLine="480"/>
        <w:rPr>
          <w:color w:val="auto"/>
          <w:highlight w:val="none"/>
        </w:rPr>
      </w:pPr>
      <w:r>
        <w:rPr>
          <w:rFonts w:ascii="宋体;SimSun" w:hAnsi="宋体;SimSun" w:eastAsia="宋体;SimSun" w:cs="宋体;SimSun"/>
          <w:color w:val="auto"/>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6ADDD99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 质疑函的接收方式为供应商书面原件提交。联系部门、联系电话和通讯地址详见招标文件第一章。质疑实行实名制，不得进行虚假、恶意质疑。</w:t>
      </w:r>
    </w:p>
    <w:p w14:paraId="151CA61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35.5 质疑函应当使用范本，详见招标文件第六章。供应商提出质疑应当提交质疑函和必要的证明材料，应当包括下列内容：</w:t>
      </w:r>
    </w:p>
    <w:p w14:paraId="6DCD121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（1）供应商的姓名或者名称、地址、邮编、联系人及联系电话；</w:t>
      </w:r>
    </w:p>
    <w:p w14:paraId="32B8D5B5">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（2）质疑项目的名称、编号；</w:t>
      </w:r>
    </w:p>
    <w:p w14:paraId="0F34C3E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（3）具体、明确的质疑事项和与质疑事项相关的请求；</w:t>
      </w:r>
    </w:p>
    <w:p w14:paraId="31E5129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（4）事实依据；</w:t>
      </w:r>
    </w:p>
    <w:p w14:paraId="69DCC03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（5）必要的法律依据；</w:t>
      </w:r>
    </w:p>
    <w:p w14:paraId="441BD6F1">
      <w:pPr>
        <w:spacing w:line="500" w:lineRule="exact"/>
        <w:ind w:firstLine="480"/>
        <w:rPr>
          <w:color w:val="auto"/>
          <w:highlight w:val="none"/>
        </w:rPr>
      </w:pPr>
      <w:r>
        <w:rPr>
          <w:rFonts w:ascii="宋体;SimSun" w:hAnsi="宋体;SimSun" w:eastAsia="宋体;SimSun" w:cs="宋体;SimSun"/>
          <w:color w:val="auto"/>
          <w:sz w:val="24"/>
          <w:szCs w:val="24"/>
          <w:highlight w:val="none"/>
        </w:rPr>
        <w:t>（6）提出质疑的日期；</w:t>
      </w:r>
    </w:p>
    <w:p w14:paraId="3261C848">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（7）必要的证明材料；</w:t>
      </w:r>
    </w:p>
    <w:p w14:paraId="2CA59DA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（8）营业执照复印件及授权委托书原件、法定代表人（单位负责人）身份证复印件、委托代理人身份证复印件。</w:t>
      </w:r>
    </w:p>
    <w:p w14:paraId="43F3C03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供应商为自然人的，应当由本人签字；供应商为法人或者其他组织的，应当由法定代表人、主要负责人，或者其委托代理人签字或者盖章，并加盖单位公章。</w:t>
      </w:r>
    </w:p>
    <w:p w14:paraId="76C21550">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36、质疑函的受理和答复</w:t>
      </w:r>
    </w:p>
    <w:p w14:paraId="3E37D7A6">
      <w:pPr>
        <w:spacing w:line="500" w:lineRule="exact"/>
        <w:ind w:firstLine="480"/>
        <w:rPr>
          <w:color w:val="auto"/>
          <w:highlight w:val="none"/>
        </w:rPr>
      </w:pPr>
      <w:r>
        <w:rPr>
          <w:rFonts w:ascii="宋体;SimSun" w:hAnsi="宋体;SimSun" w:eastAsia="宋体;SimSun" w:cs="宋体;SimSun"/>
          <w:color w:val="auto"/>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66204BB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51A0DC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36.3 对不符合质疑要求的，采购人、代理机构有权要求其补充必要的证明材料，质疑供应商未在法定的时间内提供补充必要的证明材料的，视同放弃质疑。</w:t>
      </w:r>
    </w:p>
    <w:p w14:paraId="39DDCBF1">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36.4 以下情形的质疑不予受理</w:t>
      </w:r>
    </w:p>
    <w:p w14:paraId="4144EA5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（1）内容不符合《政府采购质疑和投诉办法》第十二条规定的质疑。</w:t>
      </w:r>
    </w:p>
    <w:p w14:paraId="65C90BAC">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（2）超出政府采购法定期限的质疑。</w:t>
      </w:r>
    </w:p>
    <w:p w14:paraId="07E0641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（3）以传真、电子邮件等方式递交的非原件形式的质疑。</w:t>
      </w:r>
    </w:p>
    <w:p w14:paraId="44629F7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（4）未参加采购活动的供应商或在采购活动中自身权益未受到损害的供应商所提出的质疑。</w:t>
      </w:r>
    </w:p>
    <w:p w14:paraId="3B01F43A">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（5）供应商组成联合体，联合体中任何一方或多方未按要求签字（盖章）、加盖公章的质疑。</w:t>
      </w:r>
    </w:p>
    <w:p w14:paraId="6EBA940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36.5 采购人、代理机构依法受理的质疑，将按照政府采购有关规定，在法定期限内答复。</w:t>
      </w:r>
    </w:p>
    <w:p w14:paraId="6D08B644">
      <w:pPr>
        <w:spacing w:line="500" w:lineRule="exact"/>
        <w:ind w:firstLine="480"/>
        <w:rPr>
          <w:color w:val="auto"/>
          <w:highlight w:val="none"/>
        </w:rPr>
      </w:pPr>
      <w:r>
        <w:rPr>
          <w:rFonts w:ascii="宋体;SimSun" w:hAnsi="宋体;SimSun" w:eastAsia="宋体;SimSun" w:cs="宋体;SimSun"/>
          <w:color w:val="auto"/>
          <w:sz w:val="24"/>
          <w:highlight w:val="none"/>
        </w:rPr>
        <w:t>36.6 因质疑供应商所留联系方式无效，或者无故不接收，导致质疑答复结果无法送达的，视为质疑供应商主动放弃知晓质疑答复结果的权利。</w:t>
      </w:r>
    </w:p>
    <w:p w14:paraId="7C4AC564">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37、质疑处理</w:t>
      </w:r>
    </w:p>
    <w:p w14:paraId="0E86E6E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37.1 质疑供应商未按照法定程序进行质疑投诉的，视为一般失信行为。</w:t>
      </w:r>
    </w:p>
    <w:p w14:paraId="5BFEC46E">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37.2 质疑供应商不配合或者采用不正当手段干扰政府采购质疑、投诉处理工作的，视为一般失信行为。</w:t>
      </w:r>
    </w:p>
    <w:p w14:paraId="281C96F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37.3 质疑供应商投诉受理期间，就同一事项多头举报，干扰财政部门投诉处理的，视为一般失信行为。</w:t>
      </w:r>
    </w:p>
    <w:p w14:paraId="61413D6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37.4 质疑供应商在全国范围12个月内三次以上质疑查无实据的，视为一般失信行为。</w:t>
      </w:r>
    </w:p>
    <w:p w14:paraId="1AE2BD47">
      <w:pPr>
        <w:spacing w:line="500" w:lineRule="exact"/>
        <w:ind w:firstLine="480"/>
        <w:rPr>
          <w:color w:val="auto"/>
          <w:highlight w:val="none"/>
        </w:rPr>
      </w:pPr>
      <w:r>
        <w:rPr>
          <w:rFonts w:ascii="宋体;SimSun" w:hAnsi="宋体;SimSun" w:eastAsia="宋体;SimSun" w:cs="宋体;SimSun"/>
          <w:color w:val="auto"/>
          <w:sz w:val="24"/>
          <w:szCs w:val="24"/>
          <w:highlight w:val="none"/>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D729D0B">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37.6 质疑供应商在全国范围12个月内三次以上投诉查无实据的，视为严重失信行为。</w:t>
      </w:r>
    </w:p>
    <w:p w14:paraId="692811F6">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37.7 未尽事宜，依照有关法律、法规执行。</w:t>
      </w:r>
    </w:p>
    <w:p w14:paraId="1C61E258">
      <w:pPr>
        <w:pStyle w:val="3"/>
        <w:spacing w:before="0" w:after="0" w:line="500" w:lineRule="exact"/>
        <w:rPr>
          <w:rFonts w:ascii="宋体;SimSun" w:hAnsi="宋体;SimSun" w:eastAsia="宋体;SimSun" w:cs="宋体;SimSun"/>
          <w:color w:val="auto"/>
          <w:highlight w:val="none"/>
        </w:rPr>
      </w:pPr>
      <w:r>
        <w:rPr>
          <w:rFonts w:ascii="宋体;SimSun" w:hAnsi="宋体;SimSun" w:eastAsia="宋体;SimSun" w:cs="宋体;SimSun"/>
          <w:color w:val="auto"/>
          <w:highlight w:val="none"/>
        </w:rPr>
        <w:t>九、政府采购政策功能</w:t>
      </w:r>
    </w:p>
    <w:p w14:paraId="2502A428">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38、促进中小企业发展</w:t>
      </w:r>
    </w:p>
    <w:p w14:paraId="26CF7C66">
      <w:pPr>
        <w:spacing w:line="500" w:lineRule="exact"/>
        <w:ind w:firstLine="482"/>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38.1 对于小型企业、微型企业、监狱企业、残疾人福利性单位报价以扣除优惠比率后的价格参与评审，但不作为中标价和合同签约价。中标价和合同签约价仍以其最终报价为准。</w:t>
      </w:r>
    </w:p>
    <w:p w14:paraId="75069B2E">
      <w:pPr>
        <w:spacing w:line="500" w:lineRule="exact"/>
        <w:ind w:firstLine="482"/>
        <w:rPr>
          <w:color w:val="auto"/>
          <w:highlight w:val="none"/>
        </w:rPr>
      </w:pPr>
      <w:r>
        <w:rPr>
          <w:color w:val="auto"/>
          <w:highlight w:val="none"/>
        </w:rPr>
        <w:t>38.2 价格给予扣除标准：</w:t>
      </w:r>
    </w:p>
    <w:p w14:paraId="553DF145">
      <w:pPr>
        <w:spacing w:line="500" w:lineRule="exact"/>
        <w:ind w:firstLine="482"/>
        <w:rPr>
          <w:color w:val="auto"/>
          <w:highlight w:val="none"/>
        </w:rPr>
      </w:pPr>
      <w:r>
        <w:rPr>
          <w:rFonts w:ascii="宋体;SimSun" w:hAnsi="宋体;SimSun" w:eastAsia="宋体;SimSun" w:cs="宋体;SimSun"/>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0C8211F5">
      <w:pPr>
        <w:spacing w:line="500" w:lineRule="exact"/>
        <w:ind w:firstLine="482"/>
        <w:rPr>
          <w:color w:val="auto"/>
          <w:highlight w:val="none"/>
        </w:rPr>
      </w:pPr>
      <w:r>
        <w:rPr>
          <w:rFonts w:ascii="宋体;SimSun" w:hAnsi="宋体;SimSun" w:eastAsia="宋体;SimSun" w:cs="宋体;SimSun"/>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5B1CB5EE">
      <w:pPr>
        <w:spacing w:line="500" w:lineRule="exact"/>
        <w:ind w:firstLine="482"/>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本项目价格扣除计算方法如下：参与报价得分计算的价格＝投标人的投标报价-小型企业、微型企业、监狱企业、残疾人福利性单位的投标报价×10%。</w:t>
      </w:r>
    </w:p>
    <w:p w14:paraId="24818DAF">
      <w:pPr>
        <w:spacing w:line="500" w:lineRule="exact"/>
        <w:ind w:firstLine="482"/>
        <w:rPr>
          <w:color w:val="auto"/>
          <w:highlight w:val="none"/>
        </w:rPr>
      </w:pPr>
      <w:r>
        <w:rPr>
          <w:color w:val="auto"/>
          <w:highlight w:val="none"/>
        </w:rPr>
        <w:t>38.3 参加政府采购活动的供应商享受价格评审优惠的应当提供的材料：</w:t>
      </w:r>
      <w:r>
        <w:rPr>
          <w:rFonts w:eastAsia="Calibri" w:cs="Calibri"/>
          <w:color w:val="auto"/>
          <w:highlight w:val="none"/>
        </w:rPr>
        <w:t xml:space="preserve"> </w:t>
      </w:r>
    </w:p>
    <w:p w14:paraId="6362D5C7">
      <w:pPr>
        <w:spacing w:line="500" w:lineRule="exact"/>
        <w:ind w:firstLine="482"/>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38.4 供应商提供的货物全部由小型企业、微型企业制造的，提供《中小企业声明函》（第六章“投标文件格式”）。</w:t>
      </w:r>
    </w:p>
    <w:p w14:paraId="73B5E575">
      <w:pPr>
        <w:spacing w:line="500" w:lineRule="exact"/>
        <w:ind w:firstLine="482"/>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38.5供应商为残疾人福利性单位的，符合财库〔2017〕141号文件规定条件的残疾人福利性单位视同小型、微型企业，提供《残疾人福利性单位声明函》（第六章“投标文件格式”）。</w:t>
      </w:r>
    </w:p>
    <w:p w14:paraId="51D7CE57">
      <w:pPr>
        <w:spacing w:line="500" w:lineRule="exact"/>
        <w:ind w:firstLine="482"/>
        <w:rPr>
          <w:color w:val="auto"/>
          <w:highlight w:val="none"/>
        </w:rPr>
      </w:pPr>
      <w:r>
        <w:rPr>
          <w:color w:val="auto"/>
          <w:highlight w:val="none"/>
        </w:rPr>
        <w:t>38.6 供应商为监狱企业的，提供省级以上监狱管理局、戒毒管理局（含新疆生产建设兵团）出具的属于监狱企业的证明文件。</w:t>
      </w:r>
    </w:p>
    <w:p w14:paraId="48944437">
      <w:pPr>
        <w:spacing w:line="500" w:lineRule="exact"/>
        <w:ind w:firstLine="482"/>
        <w:rPr>
          <w:color w:val="auto"/>
          <w:highlight w:val="none"/>
        </w:rPr>
      </w:pPr>
      <w:r>
        <w:rPr>
          <w:rFonts w:ascii="宋体;SimSun" w:hAnsi="宋体;SimSun" w:eastAsia="宋体;SimSun" w:cs="宋体;SimSun"/>
          <w:color w:val="auto"/>
          <w:sz w:val="24"/>
          <w:szCs w:val="24"/>
          <w:highlight w:val="none"/>
        </w:rPr>
        <w:t>根据《财政部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34446A53">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39、支持绿色发展</w:t>
      </w:r>
    </w:p>
    <w:p w14:paraId="48723D1A">
      <w:pPr>
        <w:spacing w:line="500" w:lineRule="exact"/>
        <w:ind w:firstLine="480"/>
        <w:rPr>
          <w:color w:val="auto"/>
          <w:highlight w:val="none"/>
        </w:rPr>
      </w:pPr>
      <w:r>
        <w:rPr>
          <w:rFonts w:ascii="宋体;SimSun" w:hAnsi="宋体;SimSun" w:eastAsia="宋体;SimSun" w:cs="宋体;SimSun"/>
          <w:color w:val="auto"/>
          <w:sz w:val="24"/>
          <w:szCs w:val="24"/>
          <w:highlight w:val="none"/>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51C49E90">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CCFC0E2">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770D39E7">
      <w:pPr>
        <w:spacing w:line="500" w:lineRule="exact"/>
        <w:ind w:firstLine="482"/>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40、政府采购需求标准</w:t>
      </w:r>
    </w:p>
    <w:p w14:paraId="63A169ED">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F0404BB">
      <w:pPr>
        <w:spacing w:line="500" w:lineRule="exact"/>
        <w:ind w:firstLine="482"/>
        <w:rPr>
          <w:rFonts w:hint="default" w:ascii="宋体;SimSun" w:hAnsi="宋体;SimSun" w:eastAsia="宋体;SimSun" w:cs="宋体;SimSun"/>
          <w:b/>
          <w:color w:val="auto"/>
          <w:sz w:val="24"/>
          <w:highlight w:val="none"/>
          <w:lang w:val="en-US" w:eastAsia="zh-CN"/>
        </w:rPr>
      </w:pPr>
      <w:r>
        <w:rPr>
          <w:rFonts w:hint="eastAsia" w:ascii="宋体;SimSun" w:hAnsi="宋体;SimSun" w:eastAsia="宋体;SimSun" w:cs="宋体;SimSun"/>
          <w:b/>
          <w:color w:val="auto"/>
          <w:sz w:val="24"/>
          <w:highlight w:val="none"/>
          <w:lang w:val="en-US" w:eastAsia="zh-CN"/>
        </w:rPr>
        <w:t>41、政府采购中实施本国产品标准及相关政策</w:t>
      </w:r>
    </w:p>
    <w:p w14:paraId="0977125D">
      <w:pPr>
        <w:spacing w:line="560" w:lineRule="exact"/>
        <w:ind w:firstLine="480"/>
        <w:rPr>
          <w:rFonts w:hint="eastAsia" w:ascii="宋体" w:hAnsi="宋体" w:eastAsia="宋体" w:cs="方正魏碑_GBK"/>
          <w:bCs/>
          <w:color w:val="auto"/>
          <w:sz w:val="24"/>
          <w:szCs w:val="24"/>
          <w:highlight w:val="none"/>
          <w:lang w:eastAsia="zh-CN"/>
        </w:rPr>
      </w:pPr>
      <w:r>
        <w:rPr>
          <w:rFonts w:hint="eastAsia" w:ascii="宋体" w:hAnsi="宋体" w:eastAsia="宋体" w:cs="方正魏碑_GBK"/>
          <w:bCs/>
          <w:color w:val="auto"/>
          <w:sz w:val="24"/>
          <w:szCs w:val="24"/>
          <w:highlight w:val="none"/>
          <w:lang w:val="en-US" w:eastAsia="zh-CN"/>
        </w:rPr>
        <w:t>41.</w:t>
      </w:r>
      <w:r>
        <w:rPr>
          <w:rFonts w:hint="eastAsia" w:ascii="宋体" w:hAnsi="宋体" w:eastAsia="宋体" w:cs="方正魏碑_GBK"/>
          <w:bCs/>
          <w:color w:val="auto"/>
          <w:sz w:val="24"/>
          <w:szCs w:val="24"/>
          <w:highlight w:val="none"/>
        </w:rPr>
        <w:t>1根据《国务院办公厅关于在政府采购中实施本国产品标准及相关政策的通知》（国办发〔2025〕34号）规定，本项目对采购本国产品给予政策支持</w:t>
      </w:r>
      <w:r>
        <w:rPr>
          <w:rFonts w:hint="eastAsia" w:ascii="宋体" w:hAnsi="宋体" w:eastAsia="宋体" w:cs="方正魏碑_GBK"/>
          <w:bCs/>
          <w:color w:val="auto"/>
          <w:sz w:val="24"/>
          <w:szCs w:val="24"/>
          <w:highlight w:val="none"/>
          <w:lang w:eastAsia="zh-CN"/>
        </w:rPr>
        <w:t>。</w:t>
      </w:r>
    </w:p>
    <w:p w14:paraId="57E38312">
      <w:pPr>
        <w:spacing w:line="560" w:lineRule="exact"/>
        <w:ind w:firstLine="482"/>
        <w:rPr>
          <w:rFonts w:hint="default" w:ascii="宋体" w:hAnsi="宋体" w:eastAsia="宋体" w:cs="方正魏碑_GBK"/>
          <w:bCs/>
          <w:color w:val="auto"/>
          <w:sz w:val="24"/>
          <w:szCs w:val="24"/>
          <w:highlight w:val="none"/>
        </w:rPr>
      </w:pPr>
      <w:r>
        <w:rPr>
          <w:rFonts w:hint="eastAsia" w:ascii="宋体" w:hAnsi="宋体" w:eastAsia="宋体" w:cs="方正魏碑_GBK"/>
          <w:b/>
          <w:color w:val="auto"/>
          <w:sz w:val="24"/>
          <w:szCs w:val="24"/>
          <w:highlight w:val="none"/>
          <w:lang w:val="en-US" w:eastAsia="zh-CN"/>
        </w:rPr>
        <w:t>41.2</w:t>
      </w:r>
      <w:r>
        <w:rPr>
          <w:rFonts w:hint="eastAsia" w:ascii="宋体" w:hAnsi="宋体" w:eastAsia="宋体" w:cs="方正魏碑_GBK"/>
          <w:b/>
          <w:color w:val="auto"/>
          <w:sz w:val="24"/>
          <w:szCs w:val="24"/>
          <w:highlight w:val="none"/>
        </w:rPr>
        <w:t>本国产品标准适用于服务项目中涉及的货物。</w:t>
      </w:r>
      <w:r>
        <w:rPr>
          <w:rFonts w:hint="eastAsia" w:ascii="宋体" w:hAnsi="宋体" w:eastAsia="宋体" w:cs="方正魏碑_GBK"/>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620C3C">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bidi="ar-SA"/>
        </w:rPr>
        <w:t>3.</w:t>
      </w:r>
      <w:r>
        <w:rPr>
          <w:rFonts w:hint="eastAsia" w:ascii="宋体" w:hAnsi="宋体" w:eastAsia="宋体" w:cs="方正魏碑_GBK"/>
          <w:bCs/>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98E3BF0">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4</w:t>
      </w:r>
      <w:r>
        <w:rPr>
          <w:rFonts w:hint="eastAsia" w:ascii="宋体" w:hAnsi="宋体" w:eastAsia="宋体" w:cs="方正魏碑_GBK"/>
          <w:bCs/>
          <w:color w:val="auto"/>
          <w:sz w:val="24"/>
          <w:szCs w:val="24"/>
          <w:highlight w:val="none"/>
        </w:rPr>
        <w:t>1</w:t>
      </w:r>
      <w:r>
        <w:rPr>
          <w:rFonts w:hint="eastAsia" w:ascii="宋体" w:hAnsi="宋体" w:eastAsia="宋体" w:cs="方正魏碑_GBK"/>
          <w:bCs/>
          <w:color w:val="auto"/>
          <w:sz w:val="24"/>
          <w:szCs w:val="24"/>
          <w:highlight w:val="none"/>
          <w:lang w:val="en-US" w:eastAsia="zh-CN"/>
        </w:rPr>
        <w:t>.3</w:t>
      </w:r>
      <w:r>
        <w:rPr>
          <w:rFonts w:hint="eastAsia" w:ascii="宋体" w:hAnsi="宋体" w:eastAsia="宋体" w:cs="方正魏碑_GBK"/>
          <w:bCs/>
          <w:color w:val="auto"/>
          <w:sz w:val="24"/>
          <w:szCs w:val="24"/>
          <w:highlight w:val="none"/>
        </w:rPr>
        <w:t xml:space="preserve"> 供应商为</w:t>
      </w:r>
      <w:r>
        <w:rPr>
          <w:rFonts w:hint="eastAsia" w:ascii="宋体" w:hAnsi="宋体" w:eastAsia="宋体" w:cs="方正魏碑_GBK"/>
          <w:bCs/>
          <w:color w:val="auto"/>
          <w:sz w:val="24"/>
          <w:szCs w:val="24"/>
          <w:highlight w:val="none"/>
          <w:lang w:val="en-US" w:eastAsia="zh-CN"/>
        </w:rPr>
        <w:t>本</w:t>
      </w:r>
      <w:r>
        <w:rPr>
          <w:rFonts w:hint="eastAsia" w:ascii="宋体" w:hAnsi="宋体" w:eastAsia="宋体" w:cs="方正魏碑_GBK"/>
          <w:bCs/>
          <w:color w:val="auto"/>
          <w:sz w:val="24"/>
          <w:szCs w:val="24"/>
          <w:highlight w:val="none"/>
        </w:rPr>
        <w:t>采购包提供的符合本国产品标准的货物成本之和占供应商提供的整个采购包成本之和的比例达到80%以上时（供应商需在“第六章 投标文件格式”的“附件2 投标分项报价表”中填写比例数值），依法对供应商整个采购包给予价格评审优惠，即对供应商整个采购包的总报价给予20%的价格扣除，用扣除后的价格参与评审。供应商未填写比例数值，或比例数值不足80%的，将不享受本国产品价格评审优惠。</w:t>
      </w:r>
    </w:p>
    <w:p w14:paraId="6BD54FA7">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41.4</w:t>
      </w:r>
      <w:r>
        <w:rPr>
          <w:rFonts w:hint="eastAsia" w:ascii="宋体" w:hAnsi="宋体" w:eastAsia="宋体" w:cs="方正魏碑_GBK"/>
          <w:bCs/>
          <w:color w:val="auto"/>
          <w:sz w:val="24"/>
          <w:szCs w:val="24"/>
          <w:highlight w:val="none"/>
        </w:rPr>
        <w:t xml:space="preserve"> 供应商需按照招标文件的要求提供《关于符合本国产品标准的声明函》（以下简称《声明函》），如不提供将不享受本国产品价格评审优惠。</w:t>
      </w:r>
    </w:p>
    <w:p w14:paraId="56D85C3A">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41.5</w:t>
      </w:r>
      <w:r>
        <w:rPr>
          <w:rFonts w:hint="eastAsia" w:ascii="宋体" w:hAnsi="宋体" w:eastAsia="宋体" w:cs="方正魏碑_GBK"/>
          <w:bCs/>
          <w:color w:val="auto"/>
          <w:sz w:val="24"/>
          <w:szCs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003F15F9">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lang w:val="en-US" w:eastAsia="zh-CN"/>
        </w:rPr>
        <w:t>41.6</w:t>
      </w:r>
      <w:r>
        <w:rPr>
          <w:rFonts w:hint="eastAsia" w:ascii="宋体" w:hAnsi="宋体" w:eastAsia="宋体" w:cs="方正魏碑_GBK"/>
          <w:bCs/>
          <w:color w:val="auto"/>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84BB187">
      <w:pPr>
        <w:numPr>
          <w:ilvl w:val="0"/>
          <w:numId w:val="0"/>
        </w:numPr>
        <w:spacing w:line="560" w:lineRule="exact"/>
        <w:ind w:firstLine="480"/>
        <w:rPr>
          <w:rFonts w:hint="default" w:ascii="宋体" w:hAnsi="宋体" w:eastAsia="宋体" w:cs="方正魏碑_GBK"/>
          <w:bCs/>
          <w:color w:val="auto"/>
          <w:sz w:val="24"/>
          <w:szCs w:val="24"/>
          <w:highlight w:val="none"/>
        </w:rPr>
      </w:pPr>
    </w:p>
    <w:p w14:paraId="5933E440">
      <w:pPr>
        <w:numPr>
          <w:ilvl w:val="0"/>
          <w:numId w:val="0"/>
        </w:numPr>
        <w:spacing w:line="560" w:lineRule="exact"/>
        <w:ind w:firstLine="480"/>
        <w:rPr>
          <w:rFonts w:hint="eastAsia" w:ascii="宋体" w:hAnsi="宋体" w:eastAsia="宋体" w:cs="方正魏碑_GBK"/>
          <w:bCs/>
          <w:color w:val="auto"/>
          <w:sz w:val="24"/>
          <w:szCs w:val="24"/>
          <w:highlight w:val="none"/>
        </w:rPr>
      </w:pPr>
      <w:r>
        <w:rPr>
          <w:rFonts w:hint="eastAsia" w:ascii="宋体" w:hAnsi="宋体" w:eastAsia="宋体" w:cs="方正魏碑_GBK"/>
          <w:bCs/>
          <w:color w:val="auto"/>
          <w:sz w:val="24"/>
          <w:szCs w:val="24"/>
          <w:highlight w:val="none"/>
        </w:rPr>
        <w:br w:type="page" w:clear="all"/>
      </w:r>
    </w:p>
    <w:p w14:paraId="6EA76F88">
      <w:pPr>
        <w:widowControl/>
        <w:jc w:val="left"/>
        <w:rPr>
          <w:rFonts w:ascii="宋体;SimSun" w:hAnsi="宋体;SimSun" w:eastAsia="宋体;SimSun" w:cs="宋体;SimSun"/>
          <w:color w:val="auto"/>
          <w:sz w:val="24"/>
          <w:szCs w:val="24"/>
          <w:highlight w:val="none"/>
        </w:rPr>
      </w:pPr>
    </w:p>
    <w:p w14:paraId="6DF55281">
      <w:pPr>
        <w:pStyle w:val="2"/>
        <w:jc w:val="center"/>
        <w:rPr>
          <w:color w:val="auto"/>
          <w:highlight w:val="none"/>
        </w:rPr>
      </w:pPr>
      <w:bookmarkStart w:id="2" w:name="__RefHeading___Toc162361612"/>
      <w:bookmarkEnd w:id="2"/>
      <w:r>
        <w:rPr>
          <w:rFonts w:ascii="宋体;SimSun" w:hAnsi="宋体;SimSun" w:eastAsia="宋体;SimSun" w:cs="宋体;SimSun"/>
          <w:b w:val="0"/>
          <w:color w:val="auto"/>
          <w:highlight w:val="none"/>
        </w:rPr>
        <w:t>第三章 政府采购合同格式</w:t>
      </w:r>
    </w:p>
    <w:p w14:paraId="7DB401E1">
      <w:pPr>
        <w:ind w:firstLine="880"/>
        <w:rPr>
          <w:rFonts w:ascii="宋体;SimSun" w:hAnsi="宋体;SimSun" w:eastAsia="宋体;SimSun" w:cs="宋体;SimSun"/>
          <w:color w:val="auto"/>
          <w:sz w:val="44"/>
          <w:highlight w:val="none"/>
        </w:rPr>
      </w:pPr>
    </w:p>
    <w:p w14:paraId="44B788BD">
      <w:pPr>
        <w:ind w:firstLine="880"/>
        <w:rPr>
          <w:rFonts w:ascii="宋体;SimSun" w:hAnsi="宋体;SimSun" w:eastAsia="宋体;SimSun" w:cs="宋体;SimSun"/>
          <w:color w:val="auto"/>
          <w:sz w:val="44"/>
          <w:highlight w:val="none"/>
        </w:rPr>
      </w:pPr>
    </w:p>
    <w:p w14:paraId="687E3D67">
      <w:pPr>
        <w:ind w:firstLine="880"/>
        <w:rPr>
          <w:rFonts w:ascii="宋体;SimSun" w:hAnsi="宋体;SimSun" w:eastAsia="宋体;SimSun" w:cs="宋体;SimSun"/>
          <w:color w:val="auto"/>
          <w:sz w:val="44"/>
          <w:highlight w:val="none"/>
        </w:rPr>
      </w:pPr>
    </w:p>
    <w:p w14:paraId="345E5900">
      <w:pPr>
        <w:ind w:firstLine="880"/>
        <w:rPr>
          <w:rFonts w:ascii="宋体;SimSun" w:hAnsi="宋体;SimSun" w:eastAsia="宋体;SimSun" w:cs="宋体;SimSun"/>
          <w:color w:val="auto"/>
          <w:sz w:val="44"/>
          <w:highlight w:val="none"/>
        </w:rPr>
      </w:pPr>
    </w:p>
    <w:p w14:paraId="02EE370B">
      <w:pPr>
        <w:ind w:firstLine="2078"/>
        <w:rPr>
          <w:rFonts w:ascii="宋体;SimSun" w:hAnsi="宋体;SimSun" w:eastAsia="宋体;SimSun" w:cs="宋体;SimSun"/>
          <w:b/>
          <w:bCs/>
          <w:color w:val="auto"/>
          <w:sz w:val="52"/>
          <w:highlight w:val="none"/>
        </w:rPr>
      </w:pPr>
      <w:r>
        <w:rPr>
          <w:rFonts w:ascii="宋体;SimSun" w:hAnsi="宋体;SimSun" w:eastAsia="宋体;SimSun" w:cs="宋体;SimSun"/>
          <w:b/>
          <w:bCs/>
          <w:color w:val="auto"/>
          <w:sz w:val="52"/>
          <w:highlight w:val="none"/>
        </w:rPr>
        <w:t>连 云 港 市 政 府 采 购</w:t>
      </w:r>
    </w:p>
    <w:p w14:paraId="6597F053">
      <w:pPr>
        <w:ind w:firstLine="420"/>
        <w:rPr>
          <w:rFonts w:ascii="宋体;SimSun" w:hAnsi="宋体;SimSun" w:eastAsia="宋体;SimSun" w:cs="宋体;SimSun"/>
          <w:b/>
          <w:bCs/>
          <w:color w:val="auto"/>
          <w:sz w:val="52"/>
          <w:highlight w:val="none"/>
        </w:rPr>
      </w:pPr>
    </w:p>
    <w:p w14:paraId="58963912">
      <w:pPr>
        <w:ind w:firstLine="883"/>
        <w:jc w:val="center"/>
        <w:rPr>
          <w:color w:val="auto"/>
          <w:highlight w:val="none"/>
        </w:rPr>
      </w:pPr>
      <w:r>
        <w:rPr>
          <w:rFonts w:ascii="宋体;SimSun" w:hAnsi="宋体;SimSun" w:eastAsia="宋体;SimSun" w:cs="宋体;SimSun"/>
          <w:b/>
          <w:bCs/>
          <w:color w:val="auto"/>
          <w:sz w:val="44"/>
          <w:highlight w:val="none"/>
          <w:u w:val="single"/>
        </w:rPr>
        <w:t xml:space="preserve"> 合同</w:t>
      </w:r>
    </w:p>
    <w:p w14:paraId="2975DE90">
      <w:pPr>
        <w:ind w:firstLine="420"/>
        <w:rPr>
          <w:rFonts w:ascii="宋体;SimSun" w:hAnsi="宋体;SimSun" w:eastAsia="宋体;SimSun" w:cs="宋体;SimSun"/>
          <w:b/>
          <w:bCs/>
          <w:color w:val="auto"/>
          <w:sz w:val="44"/>
          <w:highlight w:val="none"/>
        </w:rPr>
      </w:pPr>
    </w:p>
    <w:p w14:paraId="2ED05CE8">
      <w:pPr>
        <w:ind w:firstLine="3507"/>
        <w:rPr>
          <w:rFonts w:ascii="宋体;SimSun" w:hAnsi="宋体;SimSun" w:eastAsia="宋体;SimSun" w:cs="宋体;SimSun"/>
          <w:b/>
          <w:bCs/>
          <w:color w:val="auto"/>
          <w:sz w:val="44"/>
          <w:highlight w:val="none"/>
        </w:rPr>
      </w:pPr>
    </w:p>
    <w:p w14:paraId="711A9290">
      <w:pPr>
        <w:ind w:firstLine="3507"/>
        <w:rPr>
          <w:rFonts w:ascii="宋体;SimSun" w:hAnsi="宋体;SimSun" w:eastAsia="宋体;SimSun" w:cs="宋体;SimSun"/>
          <w:b/>
          <w:bCs/>
          <w:color w:val="auto"/>
          <w:sz w:val="44"/>
          <w:highlight w:val="none"/>
        </w:rPr>
      </w:pPr>
    </w:p>
    <w:p w14:paraId="30654B80">
      <w:pPr>
        <w:ind w:firstLine="3507"/>
        <w:rPr>
          <w:rFonts w:ascii="宋体;SimSun" w:hAnsi="宋体;SimSun" w:eastAsia="宋体;SimSun" w:cs="宋体;SimSun"/>
          <w:b/>
          <w:bCs/>
          <w:color w:val="auto"/>
          <w:sz w:val="44"/>
          <w:highlight w:val="none"/>
        </w:rPr>
      </w:pPr>
    </w:p>
    <w:p w14:paraId="39E149F7">
      <w:pPr>
        <w:ind w:firstLine="1802"/>
        <w:rPr>
          <w:rFonts w:ascii="宋体;SimSun" w:hAnsi="宋体;SimSun" w:eastAsia="宋体;SimSun" w:cs="宋体;SimSun"/>
          <w:b/>
          <w:bCs/>
          <w:color w:val="auto"/>
          <w:sz w:val="44"/>
          <w:szCs w:val="44"/>
          <w:highlight w:val="none"/>
        </w:rPr>
      </w:pPr>
      <w:r>
        <w:rPr>
          <w:rFonts w:ascii="宋体;SimSun" w:hAnsi="宋体;SimSun" w:eastAsia="宋体;SimSun" w:cs="宋体;SimSun"/>
          <w:b/>
          <w:bCs/>
          <w:color w:val="auto"/>
          <w:sz w:val="44"/>
          <w:szCs w:val="44"/>
          <w:highlight w:val="none"/>
        </w:rPr>
        <w:t>合同编号：</w:t>
      </w:r>
    </w:p>
    <w:p w14:paraId="2EAFAE80">
      <w:pPr>
        <w:ind w:firstLine="880"/>
        <w:rPr>
          <w:rFonts w:ascii="宋体;SimSun" w:hAnsi="宋体;SimSun" w:eastAsia="宋体;SimSun" w:cs="宋体;SimSun"/>
          <w:b/>
          <w:bCs/>
          <w:color w:val="auto"/>
          <w:sz w:val="44"/>
          <w:szCs w:val="44"/>
          <w:highlight w:val="none"/>
        </w:rPr>
      </w:pPr>
    </w:p>
    <w:p w14:paraId="683F9F45">
      <w:pPr>
        <w:ind w:firstLine="880"/>
        <w:rPr>
          <w:rFonts w:ascii="宋体;SimSun" w:hAnsi="宋体;SimSun" w:eastAsia="宋体;SimSun" w:cs="宋体;SimSun"/>
          <w:b/>
          <w:bCs/>
          <w:color w:val="auto"/>
          <w:sz w:val="44"/>
          <w:szCs w:val="44"/>
          <w:highlight w:val="none"/>
        </w:rPr>
      </w:pPr>
    </w:p>
    <w:p w14:paraId="638B4951">
      <w:pPr>
        <w:ind w:firstLine="880"/>
        <w:rPr>
          <w:rFonts w:ascii="宋体;SimSun" w:hAnsi="宋体;SimSun" w:eastAsia="宋体;SimSun" w:cs="宋体;SimSun"/>
          <w:color w:val="auto"/>
          <w:sz w:val="44"/>
          <w:highlight w:val="none"/>
        </w:rPr>
      </w:pPr>
    </w:p>
    <w:p w14:paraId="48033207">
      <w:pPr>
        <w:ind w:firstLine="1758"/>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t>采购人：</w:t>
      </w:r>
    </w:p>
    <w:p w14:paraId="6D7A2EFF">
      <w:pPr>
        <w:ind w:firstLine="1758"/>
        <w:rPr>
          <w:rFonts w:ascii="宋体;SimSun" w:hAnsi="宋体;SimSun" w:eastAsia="宋体;SimSun" w:cs="宋体;SimSun"/>
          <w:b/>
          <w:bCs/>
          <w:color w:val="auto"/>
          <w:sz w:val="44"/>
          <w:highlight w:val="none"/>
        </w:rPr>
      </w:pPr>
      <w:r>
        <w:rPr>
          <w:rFonts w:ascii="宋体;SimSun" w:hAnsi="宋体;SimSun" w:eastAsia="宋体;SimSun" w:cs="宋体;SimSun"/>
          <w:b/>
          <w:bCs/>
          <w:color w:val="auto"/>
          <w:sz w:val="44"/>
          <w:highlight w:val="none"/>
        </w:rPr>
        <w:t>中标人：</w:t>
      </w:r>
      <w:r>
        <w:rPr>
          <w:color w:val="auto"/>
          <w:highlight w:val="none"/>
        </w:rPr>
        <w:br w:type="page" w:clear="all"/>
      </w:r>
    </w:p>
    <w:p w14:paraId="75F0AF25">
      <w:pPr>
        <w:rPr>
          <w:rFonts w:ascii="宋体;SimSun" w:hAnsi="宋体;SimSun" w:eastAsia="宋体;SimSun" w:cs="宋体;SimSun"/>
          <w:b/>
          <w:bCs/>
          <w:color w:val="auto"/>
          <w:sz w:val="44"/>
          <w:highlight w:val="none"/>
        </w:rPr>
      </w:pPr>
    </w:p>
    <w:p w14:paraId="562C8CBA">
      <w:pPr>
        <w:spacing w:line="560" w:lineRule="exact"/>
        <w:ind w:firstLine="480"/>
        <w:jc w:val="lef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以下为中标后签订本项目合同的通用条款，中标人不得提出实质性的修改，关于专用条款将由采购人与中标人结合本项目具体情况协商后签订。</w:t>
      </w:r>
    </w:p>
    <w:p w14:paraId="19FA3FFD">
      <w:pPr>
        <w:spacing w:line="360" w:lineRule="auto"/>
        <w:jc w:val="center"/>
        <w:rPr>
          <w:color w:val="auto"/>
          <w:highlight w:val="none"/>
        </w:rPr>
      </w:pPr>
      <w:r>
        <w:rPr>
          <w:rFonts w:ascii="宋体;SimSun" w:hAnsi="宋体;SimSun" w:eastAsia="宋体;SimSun" w:cs="宋体;SimSun"/>
          <w:b/>
          <w:color w:val="auto"/>
          <w:sz w:val="32"/>
          <w:szCs w:val="32"/>
          <w:highlight w:val="none"/>
        </w:rPr>
        <w:t>政府采购合同</w:t>
      </w:r>
      <w:r>
        <w:rPr>
          <w:rFonts w:ascii="宋体;SimSun" w:hAnsi="宋体;SimSun" w:eastAsia="宋体;SimSun" w:cs="宋体;SimSun"/>
          <w:color w:val="auto"/>
          <w:sz w:val="28"/>
          <w:szCs w:val="24"/>
          <w:highlight w:val="none"/>
        </w:rPr>
        <w:t>（合同编号：***）</w:t>
      </w:r>
    </w:p>
    <w:p w14:paraId="10640E87">
      <w:pPr>
        <w:spacing w:line="500" w:lineRule="exact"/>
        <w:jc w:val="center"/>
        <w:rPr>
          <w:rFonts w:ascii="宋体;SimSun" w:hAnsi="宋体;SimSun" w:eastAsia="宋体;SimSun" w:cs="宋体;SimSun"/>
          <w:color w:val="auto"/>
          <w:sz w:val="32"/>
          <w:szCs w:val="24"/>
          <w:highlight w:val="none"/>
        </w:rPr>
      </w:pPr>
      <w:r>
        <w:rPr>
          <w:rFonts w:ascii="宋体;SimSun" w:hAnsi="宋体;SimSun" w:eastAsia="宋体;SimSun" w:cs="宋体;SimSun"/>
          <w:color w:val="auto"/>
          <w:sz w:val="32"/>
          <w:szCs w:val="24"/>
          <w:highlight w:val="none"/>
        </w:rPr>
        <w:t>连云港市政府采购合同（服务）</w:t>
      </w:r>
    </w:p>
    <w:p w14:paraId="5204ADC6">
      <w:pPr>
        <w:spacing w:line="500" w:lineRule="exact"/>
        <w:jc w:val="center"/>
        <w:rPr>
          <w:rFonts w:ascii="宋体;SimSun" w:hAnsi="宋体;SimSun" w:eastAsia="宋体;SimSun" w:cs="宋体;SimSun"/>
          <w:color w:val="auto"/>
          <w:sz w:val="28"/>
          <w:szCs w:val="24"/>
          <w:highlight w:val="none"/>
        </w:rPr>
      </w:pPr>
      <w:r>
        <w:rPr>
          <w:rFonts w:ascii="宋体;SimSun" w:hAnsi="宋体;SimSun" w:eastAsia="宋体;SimSun" w:cs="宋体;SimSun"/>
          <w:color w:val="auto"/>
          <w:sz w:val="28"/>
          <w:szCs w:val="24"/>
          <w:highlight w:val="none"/>
        </w:rPr>
        <w:t>（合同编号：***）</w:t>
      </w:r>
    </w:p>
    <w:p w14:paraId="644E45CC">
      <w:pPr>
        <w:spacing w:line="500" w:lineRule="exact"/>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甲方：（买方）_________</w:t>
      </w:r>
    </w:p>
    <w:p w14:paraId="5C24B6BB">
      <w:pPr>
        <w:spacing w:line="500" w:lineRule="exact"/>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乙方：（卖方）_________</w:t>
      </w:r>
    </w:p>
    <w:p w14:paraId="29B26514">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甲、乙双方根据 年 月 日 项目（项目编号：）公开招标的结果，签订本合同。</w:t>
      </w:r>
    </w:p>
    <w:p w14:paraId="1AB8D72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一、合同内容</w:t>
      </w:r>
    </w:p>
    <w:p w14:paraId="6E34F380">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1.1 服务内容： 。</w:t>
      </w:r>
    </w:p>
    <w:p w14:paraId="35CCDE1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1.2 服务要求： 。</w:t>
      </w:r>
    </w:p>
    <w:p w14:paraId="5C7F507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1.3 服务标准： 。</w:t>
      </w:r>
    </w:p>
    <w:p w14:paraId="331E3244">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1.4 补充条款： 。</w:t>
      </w:r>
    </w:p>
    <w:p w14:paraId="77165ADF">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二、合同金额</w:t>
      </w:r>
    </w:p>
    <w:p w14:paraId="08DC9E0D">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2.1 本合同金额为人民币（大写）： 元（¥）。</w:t>
      </w:r>
    </w:p>
    <w:p w14:paraId="0DB11FE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18BFD3D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三、技术资料</w:t>
      </w:r>
    </w:p>
    <w:p w14:paraId="314B65B8">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3.1 乙方应按招标文件规定的时间向甲方提供有关技术资料。</w:t>
      </w:r>
    </w:p>
    <w:p w14:paraId="5460656E">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14541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四、知识产权</w:t>
      </w:r>
    </w:p>
    <w:p w14:paraId="3E8BE48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713E3846">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五、产权担保</w:t>
      </w:r>
    </w:p>
    <w:p w14:paraId="1BD77935">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5.1 乙方保证所交付标的的所有权完全属于乙方且无任何抵押、查封等产权瑕疵。</w:t>
      </w:r>
    </w:p>
    <w:p w14:paraId="0B2C52D6">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六、履约保证金</w:t>
      </w:r>
    </w:p>
    <w:p w14:paraId="7D9DD3F9">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6.1 乙方交纳 合同价的5% 作为本合同的履约保证金，乙方应当以支票、汇票、本票或者金融机构、担保机构出具的保函等非现金形式提交。</w:t>
      </w:r>
    </w:p>
    <w:p w14:paraId="287B8F16">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6.2 履约保证金在乙方主要合同义务履行完毕后五个工作日内由甲方以非现金形式一次性退还。</w:t>
      </w:r>
    </w:p>
    <w:p w14:paraId="302B1CCD">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6.3 乙方违约的，甲方将根据违约责任条款扣除其全部或部分履约保证金。如乙方违约给甲方造成的损失超过履约保证金的，应当依法赔偿超过部分的损失。</w:t>
      </w:r>
    </w:p>
    <w:p w14:paraId="0D7DAD7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6.4 逾期退还履约保证金的甲方承担违约责任，按照中国人民银行同期贷款基准利率支付超期资金占用费。</w:t>
      </w:r>
    </w:p>
    <w:p w14:paraId="6C8C4723">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七、合同转包或分包</w:t>
      </w:r>
    </w:p>
    <w:p w14:paraId="57B27B10">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7.1 本合同范围内产品或服务，应由乙方直接供应，不得转让他人供应或部分分包给他人供应。</w:t>
      </w:r>
    </w:p>
    <w:p w14:paraId="53EA4B2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7.2 如有转让和未经甲方同意的分包行为，甲方有权终止合同。</w:t>
      </w:r>
    </w:p>
    <w:p w14:paraId="6A387C8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八、服务时间</w:t>
      </w:r>
    </w:p>
    <w:p w14:paraId="322A99E9">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8.1 服务时间： 。</w:t>
      </w:r>
    </w:p>
    <w:p w14:paraId="0332E37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九、合同内容的交付</w:t>
      </w:r>
    </w:p>
    <w:p w14:paraId="198BD97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9.1 交 付 期：_________。</w:t>
      </w:r>
    </w:p>
    <w:p w14:paraId="08CBF89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9.2 交付方式：_________。</w:t>
      </w:r>
    </w:p>
    <w:p w14:paraId="3CD1F2BB">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9.3 交付地点：_________。</w:t>
      </w:r>
    </w:p>
    <w:p w14:paraId="01CAB635">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4CE69AA2">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9.5 乙方在合同标的交付甲方48小时前通知甲方准备接收。合同标的在规定的交付期限内由乙方送达甲方指定的地点视为交付，乙方同时需通知甲方已送达。</w:t>
      </w:r>
    </w:p>
    <w:p w14:paraId="2209642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十、合同款支付</w:t>
      </w:r>
    </w:p>
    <w:p w14:paraId="18B1B08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10.1 付款方式：_________。</w:t>
      </w:r>
    </w:p>
    <w:p w14:paraId="1998752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10.2 当采购数量与实际使用数量不一致时，乙方应根据实际使用量提供产品和服务，合同的最终结算金额按实际使用量乘以中标单价计算。</w:t>
      </w:r>
    </w:p>
    <w:p w14:paraId="6CE66863">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十一、税费</w:t>
      </w:r>
    </w:p>
    <w:p w14:paraId="581708F8">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11.1 本合同执行中相关的一切税费均由乙方负担。</w:t>
      </w:r>
    </w:p>
    <w:p w14:paraId="08D1EEE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十二、质量保证及售后服务</w:t>
      </w:r>
    </w:p>
    <w:p w14:paraId="0BB59F2D">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12.1 乙方应按招标文件规定和投标文件承诺的性能、技术要求、质量标准向甲方提供产品或服务。</w:t>
      </w:r>
    </w:p>
    <w:p w14:paraId="1C1AF3B8">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12.2 乙方提供的产品或服务在服务期内因其本身出现质量问题，根据实际情况，经双方协商，可按以下办法处理：</w:t>
      </w:r>
    </w:p>
    <w:p w14:paraId="4644072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（1）更换：由乙方承担所产生的全部费用。</w:t>
      </w:r>
    </w:p>
    <w:p w14:paraId="6258D169">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（2）合同终止处理：合同终止，乙方退还甲方支付的合同款，同时承担由此产生的全部费用，甲方不承担任何产生费用。</w:t>
      </w:r>
    </w:p>
    <w:p w14:paraId="438C5A9D">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12.3 如在使用过程中发生质量问题，乙方在接到甲方通知后 小时内到达甲方现场。</w:t>
      </w:r>
    </w:p>
    <w:p w14:paraId="3720F3C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12.4 在服务期内，乙方应对产品或服务出现的质量及安全问题负责处理解决并承担一切费用。</w:t>
      </w:r>
    </w:p>
    <w:p w14:paraId="414762F9">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十三、项目验收</w:t>
      </w:r>
    </w:p>
    <w:p w14:paraId="716599FD">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13.1 甲方依法组织履约验收工作。</w:t>
      </w:r>
    </w:p>
    <w:p w14:paraId="2E3F8941">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C172465">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13.3 对于实际使用人和甲方分离的项目，甲方邀请实际使用人参与验收。</w:t>
      </w:r>
    </w:p>
    <w:p w14:paraId="69316EE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13.4 如有必要，甲方邀请参加本项目的其他供应商或第三方专业机构及专家参与验收，相关意见将作为验收书的参考资料。</w:t>
      </w:r>
    </w:p>
    <w:p w14:paraId="2BAA186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922C6F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ascii="宋体;SimSun" w:hAnsi="宋体;SimSun" w:eastAsia="宋体;SimSun" w:cs="宋体;SimSun"/>
          <w:color w:val="auto"/>
          <w:sz w:val="24"/>
          <w:highlight w:val="none"/>
        </w:rPr>
        <w:t>中华人民共和国民法典</w:t>
      </w:r>
      <w:r>
        <w:rPr>
          <w:rFonts w:ascii="宋体;SimSun" w:hAnsi="宋体;SimSun" w:eastAsia="宋体;SimSun" w:cs="宋体;SimSun"/>
          <w:color w:val="auto"/>
          <w:sz w:val="24"/>
          <w:szCs w:val="24"/>
          <w:highlight w:val="none"/>
        </w:rPr>
        <w:t>》。乙方在履约过程中有政府采购法律法规规定的违法违规情形的，甲方将及时报告本级财政部门。</w:t>
      </w:r>
    </w:p>
    <w:p w14:paraId="23DDCEF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十四、违约责任</w:t>
      </w:r>
    </w:p>
    <w:p w14:paraId="6F36B75C">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14.1 甲方无正当理由拒收的，甲方向乙方偿付拒收标的总额 的违约金。</w:t>
      </w:r>
    </w:p>
    <w:p w14:paraId="279FAE64">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14.2 甲方无故逾期验收和办理合同款支付手续的，甲方应按逾期付款总额每日 向乙方支付违约金，最高限额为本合同总额的 。</w:t>
      </w:r>
    </w:p>
    <w:p w14:paraId="528E62BB">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 xml:space="preserve">14.3 乙方逾期交付合同标的的，乙方应按逾期交付总额每日 向甲方支付违约金，由甲方从待付合同款中扣除，最高限额为本合同总额的 。逾期超过约定日期 不能交付的，甲方可解除本合同。乙方因逾期交付或因其他违约行为导致甲方解除合同的，乙方应向甲方支付合同总额 的违约金，如造成甲方损失超过违约金的，超出部分由乙方继续承担赔偿责任。 </w:t>
      </w:r>
    </w:p>
    <w:p w14:paraId="31B96151">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17BA2B95">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十五、不可抗力事件处理</w:t>
      </w:r>
    </w:p>
    <w:p w14:paraId="6AE71F0C">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15.1 在合同有效期内，任何一方因不可抗力事件导致不能履行合同的，则合同履行期可延长，其延长期与不可抗力影响期相同。</w:t>
      </w:r>
    </w:p>
    <w:p w14:paraId="7AD46B05">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15.2 不可抗力事件发生后，应立即通知对方，并寄送有关权威机构出具的证明。</w:t>
      </w:r>
    </w:p>
    <w:p w14:paraId="7786879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15.3 不可抗力事件延续120天以上，双方应通过友好协商，确定是否继续履行合同。</w:t>
      </w:r>
    </w:p>
    <w:p w14:paraId="411DD8A0">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十六、解决争议的方法</w:t>
      </w:r>
    </w:p>
    <w:p w14:paraId="23B3B598">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16.1 甲乙双方因合同签订、履行而发生的一切争议，应通过友好协商解决。如协商不成，按下列第</w:t>
      </w:r>
      <w:r>
        <w:rPr>
          <w:rFonts w:ascii="宋体;SimSun" w:hAnsi="宋体;SimSun" w:eastAsia="宋体;SimSun" w:cs="宋体;SimSun"/>
          <w:color w:val="auto"/>
          <w:sz w:val="24"/>
          <w:szCs w:val="24"/>
          <w:highlight w:val="none"/>
          <w:u w:val="single"/>
        </w:rPr>
        <w:t>（1）</w:t>
      </w:r>
      <w:r>
        <w:rPr>
          <w:rFonts w:ascii="宋体;SimSun" w:hAnsi="宋体;SimSun" w:eastAsia="宋体;SimSun" w:cs="宋体;SimSun"/>
          <w:color w:val="auto"/>
          <w:sz w:val="24"/>
          <w:szCs w:val="24"/>
          <w:highlight w:val="none"/>
        </w:rPr>
        <w:t>种方式解决：</w:t>
      </w:r>
    </w:p>
    <w:p w14:paraId="226B834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（1）向连云港仲裁委员会申请仲裁。</w:t>
      </w:r>
    </w:p>
    <w:p w14:paraId="652541A9">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（2）向合同签订地法院起诉，合同签订地在此约定为连云港市。</w:t>
      </w:r>
    </w:p>
    <w:p w14:paraId="62D0121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十七、合同生效及其他</w:t>
      </w:r>
    </w:p>
    <w:p w14:paraId="62EDEF8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17.1 合同经双方法定代表人或授权代表签字并加盖单位公章后生效。</w:t>
      </w:r>
    </w:p>
    <w:p w14:paraId="70E9C10A">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17.2 本合同未尽事宜，遵照</w:t>
      </w:r>
      <w:r>
        <w:rPr>
          <w:rFonts w:ascii="宋体;SimSun" w:hAnsi="宋体;SimSun" w:eastAsia="宋体;SimSun" w:cs="宋体;SimSun"/>
          <w:color w:val="auto"/>
          <w:sz w:val="24"/>
          <w:highlight w:val="none"/>
        </w:rPr>
        <w:t>《中华人民共和国民法典》</w:t>
      </w:r>
      <w:r>
        <w:rPr>
          <w:rFonts w:ascii="宋体;SimSun" w:hAnsi="宋体;SimSun" w:eastAsia="宋体;SimSun" w:cs="宋体;SimSun"/>
          <w:color w:val="auto"/>
          <w:sz w:val="24"/>
          <w:szCs w:val="24"/>
          <w:highlight w:val="none"/>
        </w:rPr>
        <w:t>、《</w:t>
      </w:r>
      <w:r>
        <w:rPr>
          <w:rFonts w:ascii="宋体;SimSun" w:hAnsi="宋体;SimSun" w:eastAsia="宋体;SimSun" w:cs="宋体;SimSun"/>
          <w:color w:val="auto"/>
          <w:sz w:val="24"/>
          <w:highlight w:val="none"/>
        </w:rPr>
        <w:t>中华人民共和国</w:t>
      </w:r>
      <w:r>
        <w:rPr>
          <w:rFonts w:ascii="宋体;SimSun" w:hAnsi="宋体;SimSun" w:eastAsia="宋体;SimSun" w:cs="宋体;SimSun"/>
          <w:color w:val="auto"/>
          <w:sz w:val="24"/>
          <w:szCs w:val="24"/>
          <w:highlight w:val="none"/>
        </w:rPr>
        <w:t>政府采购法》有关条文执行。</w:t>
      </w:r>
    </w:p>
    <w:p w14:paraId="5C57267B">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17.3 本合同正本一式四份，具有同等法律效力，甲方执两份、乙方执一份，甲方报一份至政府采购监督管理部门。</w:t>
      </w:r>
    </w:p>
    <w:p w14:paraId="5EB8F08C">
      <w:pPr>
        <w:spacing w:line="500" w:lineRule="exact"/>
        <w:ind w:firstLine="480"/>
        <w:jc w:val="left"/>
        <w:rPr>
          <w:rFonts w:ascii="宋体;SimSun" w:hAnsi="宋体;SimSun" w:eastAsia="宋体;SimSun" w:cs="宋体;SimSun"/>
          <w:color w:val="auto"/>
          <w:sz w:val="24"/>
          <w:szCs w:val="24"/>
          <w:highlight w:val="none"/>
        </w:rPr>
      </w:pPr>
    </w:p>
    <w:p w14:paraId="34E3402F">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甲方： 乙方： </w:t>
      </w:r>
    </w:p>
    <w:p w14:paraId="2950052C">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地址： 地址： </w:t>
      </w:r>
    </w:p>
    <w:p w14:paraId="4E0850C1">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法定代表人或授权代表： 法定代表人或授权代表：</w:t>
      </w:r>
    </w:p>
    <w:p w14:paraId="1207016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联系电话： 联系电话： </w:t>
      </w:r>
    </w:p>
    <w:p w14:paraId="0886A359">
      <w:pPr>
        <w:spacing w:line="500" w:lineRule="exact"/>
        <w:ind w:firstLine="480"/>
        <w:jc w:val="right"/>
        <w:rPr>
          <w:color w:val="auto"/>
          <w:highlight w:val="none"/>
        </w:rPr>
      </w:pPr>
      <w:r>
        <w:rPr>
          <w:rFonts w:ascii="宋体;SimSun" w:hAnsi="宋体;SimSun" w:eastAsia="宋体;SimSun" w:cs="宋体;SimSun"/>
          <w:color w:val="auto"/>
          <w:sz w:val="24"/>
          <w:szCs w:val="24"/>
          <w:highlight w:val="none"/>
        </w:rPr>
        <w:t>签订日期： 年 月 日</w:t>
      </w:r>
    </w:p>
    <w:p w14:paraId="701BA057">
      <w:pPr>
        <w:widowControl/>
        <w:jc w:val="left"/>
        <w:rPr>
          <w:rFonts w:ascii="宋体;SimSun" w:hAnsi="宋体;SimSun" w:eastAsia="宋体;SimSun" w:cs="宋体;SimSun"/>
          <w:color w:val="auto"/>
          <w:sz w:val="24"/>
          <w:szCs w:val="24"/>
          <w:highlight w:val="none"/>
        </w:rPr>
      </w:pPr>
    </w:p>
    <w:p w14:paraId="00F3A000">
      <w:pPr>
        <w:pStyle w:val="2"/>
        <w:spacing w:line="360" w:lineRule="auto"/>
        <w:jc w:val="center"/>
        <w:rPr>
          <w:rFonts w:ascii="宋体;SimSun" w:hAnsi="宋体;SimSun" w:eastAsia="宋体;SimSun" w:cs="宋体;SimSun"/>
          <w:b w:val="0"/>
          <w:color w:val="auto"/>
          <w:highlight w:val="none"/>
        </w:rPr>
      </w:pPr>
      <w:bookmarkStart w:id="3" w:name="__RefHeading___Toc162361613"/>
      <w:bookmarkEnd w:id="3"/>
      <w:r>
        <w:rPr>
          <w:rFonts w:ascii="宋体;SimSun" w:hAnsi="宋体;SimSun" w:eastAsia="宋体;SimSun" w:cs="宋体;SimSun"/>
          <w:b w:val="0"/>
          <w:color w:val="auto"/>
          <w:highlight w:val="none"/>
        </w:rPr>
        <w:t>第四章 采购需求</w:t>
      </w:r>
    </w:p>
    <w:p w14:paraId="54D55570">
      <w:pPr>
        <w:spacing w:line="500" w:lineRule="exact"/>
        <w:ind w:firstLine="480"/>
        <w:jc w:val="left"/>
        <w:rPr>
          <w:color w:val="auto"/>
          <w:highlight w:val="none"/>
        </w:rPr>
      </w:pPr>
      <w:r>
        <w:rPr>
          <w:rFonts w:ascii="宋体;SimSun" w:hAnsi="宋体;SimSun" w:eastAsia="宋体;SimSun" w:cs="宋体;SimSun"/>
          <w:b/>
          <w:color w:val="auto"/>
          <w:sz w:val="24"/>
          <w:szCs w:val="24"/>
          <w:highlight w:val="none"/>
        </w:rPr>
        <w:t>说明：本项目采购方式为公开招标，项目属性为服务，采购标的对应的中小企业划分标准所属行业为　其他未列明行业 。</w:t>
      </w:r>
    </w:p>
    <w:p w14:paraId="2BE4A7B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1.根据《政府采购需求管理办法》等有关规定，采购人确定采购需求。</w:t>
      </w:r>
    </w:p>
    <w:p w14:paraId="4424C92A">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2.本招标文件中</w:t>
      </w:r>
      <w:r>
        <w:rPr>
          <w:rFonts w:ascii="宋体;SimSun" w:hAnsi="宋体;SimSun" w:eastAsia="宋体;SimSun" w:cs="宋体;SimSun"/>
          <w:b/>
          <w:color w:val="auto"/>
          <w:sz w:val="24"/>
          <w:szCs w:val="24"/>
          <w:highlight w:val="none"/>
        </w:rPr>
        <w:t>标注★的款项为</w:t>
      </w:r>
      <w:r>
        <w:rPr>
          <w:rFonts w:ascii="宋体;SimSun" w:hAnsi="宋体;SimSun" w:eastAsia="宋体;SimSun" w:cs="宋体;SimSun"/>
          <w:color w:val="auto"/>
          <w:sz w:val="24"/>
          <w:szCs w:val="24"/>
          <w:highlight w:val="none"/>
        </w:rPr>
        <w:t>实质性要求和条件，由采购人根据实际情况设置，投标人必须逐条明确作出满足实质性要求和条件的响应，否则将按无效投标处理。</w:t>
      </w:r>
    </w:p>
    <w:p w14:paraId="5A100001">
      <w:pPr>
        <w:spacing w:line="500" w:lineRule="exact"/>
        <w:ind w:firstLine="480"/>
        <w:jc w:val="left"/>
        <w:outlineLvl w:val="9"/>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一、项目背景</w:t>
      </w:r>
    </w:p>
    <w:p w14:paraId="29442070">
      <w:pPr>
        <w:spacing w:line="360" w:lineRule="auto"/>
        <w:ind w:firstLine="420"/>
        <w:rPr>
          <w:color w:val="auto"/>
          <w:highlight w:val="none"/>
        </w:rPr>
      </w:pPr>
      <w:r>
        <w:rPr>
          <w:rFonts w:ascii="宋体;SimSun" w:hAnsi="宋体;SimSun" w:eastAsia="宋体;SimSun" w:cs="宋体;SimSun"/>
          <w:color w:val="auto"/>
          <w:sz w:val="22"/>
          <w:szCs w:val="28"/>
          <w:highlight w:val="none"/>
        </w:rPr>
        <w:t>连云港石化产业基地拓展区（板桥片区）智慧平台项目严格依据国家及江苏省相关政策文件要求推进建设，核心政策依据包括《智慧化工园区建设规范》《化工园区安全风险智能化管控平台建设指南》《江苏省化工园区化工集中区封闭化建设指南》《工业园区生态环境管理信息系统建设指南》《化工园区智慧化评价导则》，以及2025年正式发布实施的《江苏省化工园区认定工作标准（2025版）》等。该项目建设契合江苏省化工园区信息化、智能化建设及扩区认定相关要求，是严格落实各项政策规定、满足园区合规认定及规范化管理需求的必然举措。</w:t>
      </w:r>
    </w:p>
    <w:p w14:paraId="26716426">
      <w:pPr>
        <w:spacing w:line="360" w:lineRule="auto"/>
        <w:ind w:firstLine="420"/>
        <w:rPr>
          <w:color w:val="auto"/>
          <w:highlight w:val="none"/>
        </w:rPr>
        <w:sectPr>
          <w:footerReference r:id="rId5" w:type="default"/>
          <w:pgSz w:w="11906" w:h="16838"/>
          <w:pgMar w:top="1440" w:right="1800" w:bottom="1440" w:left="1800" w:header="0" w:footer="992" w:gutter="0"/>
          <w:cols w:space="720" w:num="1"/>
          <w:docGrid w:linePitch="360" w:charSpace="0"/>
        </w:sectPr>
      </w:pPr>
      <w:r>
        <w:rPr>
          <w:color w:val="auto"/>
          <w:highlight w:val="none"/>
        </w:rPr>
        <w:t>连云港石化产业基地拓展区（板桥片区）智慧平台项目建设，将构建以板桥片区为核心监管区域、兼顾上合物流园（连云开发区）基础监管的一体化智慧管控体系，可实现园区安全风险智能化管控、封闭化管理、环境与能源实时监测、敏捷应急处置等核心功能。通过打通数据壁垒、实现跨区域、跨部门协同联动，既能满足化工园区认定标准，全面提升园区运营管理效能和安全治理水平，为区域一体化高质量发展提供坚实智慧支撑，也能确保园区监测监控数据按要求规范对接上级相关主管部门。</w:t>
      </w:r>
    </w:p>
    <w:p w14:paraId="438E65BD">
      <w:pPr>
        <w:spacing w:line="360" w:lineRule="auto"/>
        <w:ind w:firstLine="420"/>
        <w:outlineLvl w:val="0"/>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二、项目需求</w:t>
      </w:r>
    </w:p>
    <w:p w14:paraId="601F185D">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连云港石化产业基地拓展区（板桥片区）智慧平台项目建设，主要由软件平台建设、配套硬件设备设施、运营服务等部分组成，具体需求如下：</w:t>
      </w:r>
    </w:p>
    <w:p w14:paraId="42049164">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数据中台需求</w:t>
      </w:r>
    </w:p>
    <w:p w14:paraId="7F86ADC2">
      <w:pPr>
        <w:spacing w:line="360" w:lineRule="auto"/>
        <w:ind w:firstLine="420"/>
        <w:rPr>
          <w:color w:val="auto"/>
          <w:highlight w:val="none"/>
        </w:rPr>
      </w:pPr>
      <w:r>
        <w:rPr>
          <w:rFonts w:ascii="宋体;SimSun" w:hAnsi="宋体;SimSun" w:eastAsia="宋体;SimSun" w:cs="宋体;SimSun"/>
          <w:color w:val="auto"/>
          <w:sz w:val="24"/>
          <w:szCs w:val="24"/>
          <w:highlight w:val="none"/>
        </w:rPr>
        <w:t>本项目建设统一的数据中台，数据中台建设以数据全生命周期管理为核心，通过部署数据集成、可视化ETL、数据开发及数据治理四大核心模块，构建统一的数据汇集与质</w:t>
      </w:r>
      <w:r>
        <w:rPr>
          <w:color w:val="auto"/>
          <w:highlight w:val="none"/>
        </w:rPr>
        <w:t>量管控体系，确保数据的准确性与合规性；同时依托数据资产、数据集市及数据服务模块，实现资产的规范化运营与标准化输出，最终借助可视化图表、数据安全与日志管理，为上层业务分析、决策支撑及系统应用提供安全、稳定、高效的数据服务能力，全面赋能企业数字化转型。数据中台建设需求清单如下：</w:t>
      </w:r>
    </w:p>
    <w:tbl>
      <w:tblPr>
        <w:tblStyle w:val="39"/>
        <w:tblW w:w="4950" w:type="pct"/>
        <w:tblInd w:w="-113" w:type="dxa"/>
        <w:tblLayout w:type="fixed"/>
        <w:tblCellMar>
          <w:top w:w="0" w:type="dxa"/>
          <w:left w:w="108" w:type="dxa"/>
          <w:bottom w:w="0" w:type="dxa"/>
          <w:right w:w="108" w:type="dxa"/>
        </w:tblCellMar>
      </w:tblPr>
      <w:tblGrid>
        <w:gridCol w:w="909"/>
        <w:gridCol w:w="2632"/>
        <w:gridCol w:w="7941"/>
        <w:gridCol w:w="1172"/>
        <w:gridCol w:w="1164"/>
      </w:tblGrid>
      <w:tr w14:paraId="1A941212">
        <w:tblPrEx>
          <w:tblCellMar>
            <w:top w:w="0" w:type="dxa"/>
            <w:left w:w="108" w:type="dxa"/>
            <w:bottom w:w="0" w:type="dxa"/>
            <w:right w:w="108" w:type="dxa"/>
          </w:tblCellMar>
        </w:tblPrEx>
        <w:trPr>
          <w:trHeight w:val="285"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6F8DB9C1">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序号</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26CA7263">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模块</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2244264B">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说明</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5951C695">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数量</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4BD4109">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单位</w:t>
            </w:r>
          </w:p>
        </w:tc>
      </w:tr>
      <w:tr w14:paraId="6BB1C0F2">
        <w:tblPrEx>
          <w:tblCellMar>
            <w:top w:w="0" w:type="dxa"/>
            <w:left w:w="108" w:type="dxa"/>
            <w:bottom w:w="0" w:type="dxa"/>
            <w:right w:w="108" w:type="dxa"/>
          </w:tblCellMar>
        </w:tblPrEx>
        <w:trPr>
          <w:trHeight w:val="108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17E74F1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7D4A1B1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数据集成</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2DB80865">
            <w:pPr>
              <w:jc w:val="left"/>
              <w:rPr>
                <w:color w:val="auto"/>
                <w:highlight w:val="none"/>
              </w:rPr>
            </w:pPr>
            <w:r>
              <w:rPr>
                <w:rFonts w:ascii="宋体;SimSun" w:hAnsi="宋体;SimSun" w:eastAsia="宋体;SimSun" w:cs="宋体;SimSun"/>
                <w:color w:val="auto"/>
                <w:sz w:val="22"/>
                <w:highlight w:val="none"/>
              </w:rPr>
              <w:t>数据集成模块作为数据中台的“数据入口”，承担着多源异构数据跨网络、跨地域统一接入的核心职责，涵盖数据库、应用接口、各类文件、手工填报等多种数据源类型，将企业分散在不同来源、格式的数据进行归集与整合，打破数据孤岛，为后续治理和应用搭建基础的数据汇集通道。</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47FBBB5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F9C8AF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15B6FBF">
        <w:tblPrEx>
          <w:tblCellMar>
            <w:top w:w="0" w:type="dxa"/>
            <w:left w:w="108" w:type="dxa"/>
            <w:bottom w:w="0" w:type="dxa"/>
            <w:right w:w="108" w:type="dxa"/>
          </w:tblCellMar>
        </w:tblPrEx>
        <w:trPr>
          <w:trHeight w:val="108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9AA160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2DFB8A8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可视化抽取转化加载</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3FC9906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可视化抽取转化加载（ETL）模块以“低代码、高易用性”为核心设计理念，构建可视化、组件化的 ETL 工具集，降低数据处理的技术门槛，让业务人员无需编写复杂代码，通过拖拽操作即可完成数据清洗、转换、加载等处理流程，同时也为技术人员提供了灵活的扩展能力，适配不同用户群体的使用需求。</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753E8EB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D2D701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50F71B4">
        <w:tblPrEx>
          <w:tblCellMar>
            <w:top w:w="0" w:type="dxa"/>
            <w:left w:w="108" w:type="dxa"/>
            <w:bottom w:w="0" w:type="dxa"/>
            <w:right w:w="108" w:type="dxa"/>
          </w:tblCellMar>
        </w:tblPrEx>
        <w:trPr>
          <w:trHeight w:val="81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1E15164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5E4DB5D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统计图表</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64159897">
            <w:pPr>
              <w:jc w:val="left"/>
              <w:rPr>
                <w:color w:val="auto"/>
                <w:highlight w:val="none"/>
              </w:rPr>
            </w:pPr>
            <w:r>
              <w:rPr>
                <w:rFonts w:ascii="宋体;SimSun" w:hAnsi="宋体;SimSun" w:eastAsia="宋体;SimSun" w:cs="宋体;SimSun"/>
                <w:color w:val="auto"/>
                <w:sz w:val="22"/>
                <w:highlight w:val="none"/>
              </w:rPr>
              <w:t>可视化图表模块作为数据中台的数据价值展示窗口，以直观、易懂的方式将处理后的结构化数据转化为图表、大屏等可视化形式，让用户快速获取数据洞察，支撑业务决策，无需专业的可视化开发技能即可完成配置与使用。</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1F6F398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A1A22E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659E9151">
        <w:tblPrEx>
          <w:tblCellMar>
            <w:top w:w="0" w:type="dxa"/>
            <w:left w:w="108" w:type="dxa"/>
            <w:bottom w:w="0" w:type="dxa"/>
            <w:right w:w="108" w:type="dxa"/>
          </w:tblCellMar>
        </w:tblPrEx>
        <w:trPr>
          <w:trHeight w:val="81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16C0741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195BB62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数据开发</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18E3CDB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开发模块为技术人员提供了一套全流程的专业数据开发工具，支撑复杂数据处理任务的开发、调度、运维与监控，涵盖数据表管理、数据生产、调度中心、运维中心、资源中心、配置中心等核心功能，确保数据处理任务的高效开发与稳定运行。 </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636E89D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9100CD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589EEA54">
        <w:tblPrEx>
          <w:tblCellMar>
            <w:top w:w="0" w:type="dxa"/>
            <w:left w:w="108" w:type="dxa"/>
            <w:bottom w:w="0" w:type="dxa"/>
            <w:right w:w="108" w:type="dxa"/>
          </w:tblCellMar>
        </w:tblPrEx>
        <w:trPr>
          <w:trHeight w:val="189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552A571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6BD3D00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数据治理</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4D82DF9F">
            <w:pPr>
              <w:jc w:val="left"/>
              <w:rPr>
                <w:color w:val="auto"/>
                <w:highlight w:val="none"/>
              </w:rPr>
            </w:pPr>
            <w:r>
              <w:rPr>
                <w:rFonts w:ascii="宋体;SimSun" w:hAnsi="宋体;SimSun" w:eastAsia="宋体;SimSun" w:cs="宋体;SimSun"/>
                <w:color w:val="auto"/>
                <w:sz w:val="22"/>
                <w:highlight w:val="none"/>
              </w:rPr>
              <w:t>数据治理模块作为数据中台的“质量管控核心”，覆盖数据全生命周期的治理工作，包括元数据管理、数据血缘分析、数据标准制定、数据质量监控、数据标签管理、主数据管理、数据推送、数据预警等功能，解决数据错误、重复、不一致、不完整等问题，确保数据“干净、准确、可用、合规”，提升数据资产的价值。 通过系统调研全面摸清企业现有数据的分布、现状，再针对性制定数据标准（统一数据定义、格式）、数据质量规则（保障数据准确可靠）、数据安全规范（明确数据访问、存储的安全要求），为数据管理立好 “规矩”。</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1FA721B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C10298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521A39D">
        <w:tblPrEx>
          <w:tblCellMar>
            <w:top w:w="0" w:type="dxa"/>
            <w:left w:w="108" w:type="dxa"/>
            <w:bottom w:w="0" w:type="dxa"/>
            <w:right w:w="108" w:type="dxa"/>
          </w:tblCellMar>
        </w:tblPrEx>
        <w:trPr>
          <w:trHeight w:val="135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50144B9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6</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563B0F4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数据资产</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15C33533">
            <w:pPr>
              <w:jc w:val="left"/>
              <w:rPr>
                <w:color w:val="auto"/>
                <w:highlight w:val="none"/>
              </w:rPr>
            </w:pPr>
            <w:r>
              <w:rPr>
                <w:rFonts w:ascii="宋体;SimSun" w:hAnsi="宋体;SimSun" w:eastAsia="宋体;SimSun" w:cs="宋体;SimSun"/>
                <w:color w:val="auto"/>
                <w:sz w:val="22"/>
                <w:highlight w:val="none"/>
              </w:rPr>
              <w:t>数据资产模块致力于实现数据资产的规范化管理与价值挖掘，通过建立资产目录、展示资产总览，让数据管理者清晰掌握企业数据资产的总量、类型、来源、使用情况与价值分布，提升数据资产的管理效率与利用价值。 聚焦数据存储与管理载体的搭建，结合数据湖（支持海量、多格式原始数据存储）和数据仓库（面向业务主题的结构化数据整合）的特点，完成两者的设计与开发，实现数据的分层、高效存储与管理。</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1453326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660DC8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73E5F373">
        <w:tblPrEx>
          <w:tblCellMar>
            <w:top w:w="0" w:type="dxa"/>
            <w:left w:w="108" w:type="dxa"/>
            <w:bottom w:w="0" w:type="dxa"/>
            <w:right w:w="108" w:type="dxa"/>
          </w:tblCellMar>
        </w:tblPrEx>
        <w:trPr>
          <w:trHeight w:val="81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5FBBE68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7</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3B8C83E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数据集市</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049ECD9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xml:space="preserve">数据集市模块面向具体业务场景，提供数据资产的按需分配、共享与应用入口，将数据中台的标准化数据转化为业务可用的数据集，支撑业务分析、报表开发、应用系统建设等场景，实现数据资产的价值落地。 </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62533B0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69CF32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4CF50957">
        <w:tblPrEx>
          <w:tblCellMar>
            <w:top w:w="0" w:type="dxa"/>
            <w:left w:w="108" w:type="dxa"/>
            <w:bottom w:w="0" w:type="dxa"/>
            <w:right w:w="108" w:type="dxa"/>
          </w:tblCellMar>
        </w:tblPrEx>
        <w:trPr>
          <w:trHeight w:val="135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4858B53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8</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10BE2D4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数据服务</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319E9B2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服务模块将数据中台处理后的标准化数据，封装为标准化的API接口，对外提供安全、稳定、高效的数据服务，同时提供完善的接口管理、权限控制与监控功能，支撑外部应用系统的数据访问需求，实现数据资产的价值输出。 围绕数据的对外应用，开发对应的服务接口，让企业内部其他系统、业务人员可以通过标准化接口便捷地获取、调用治理后的优质数据，将数据价值转化为业务可用的服务能力。</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57A26E2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8333F9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43590B25">
        <w:tblPrEx>
          <w:tblCellMar>
            <w:top w:w="0" w:type="dxa"/>
            <w:left w:w="108" w:type="dxa"/>
            <w:bottom w:w="0" w:type="dxa"/>
            <w:right w:w="108" w:type="dxa"/>
          </w:tblCellMar>
        </w:tblPrEx>
        <w:trPr>
          <w:trHeight w:val="81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37EF070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9</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1B6FA2E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数据安全</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1F5B26DB">
            <w:pPr>
              <w:jc w:val="left"/>
              <w:rPr>
                <w:color w:val="auto"/>
                <w:highlight w:val="none"/>
              </w:rPr>
            </w:pPr>
            <w:r>
              <w:rPr>
                <w:rFonts w:ascii="宋体;SimSun" w:hAnsi="宋体;SimSun" w:eastAsia="宋体;SimSun" w:cs="宋体;SimSun"/>
                <w:color w:val="auto"/>
                <w:sz w:val="22"/>
                <w:highlight w:val="none"/>
              </w:rPr>
              <w:t>数据安全模块构建了全方位、全流程的数据安全防护体系，覆盖数据存储、传输、访问、使用等各个环节，通过安全等级划分、脱敏规则配置、数据权限控制等功能，保障数据资产不泄露、不篡改、合规使用。</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08E6FF3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FCA03B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20733537">
        <w:tblPrEx>
          <w:tblCellMar>
            <w:top w:w="0" w:type="dxa"/>
            <w:left w:w="108" w:type="dxa"/>
            <w:bottom w:w="0" w:type="dxa"/>
            <w:right w:w="108" w:type="dxa"/>
          </w:tblCellMar>
        </w:tblPrEx>
        <w:trPr>
          <w:trHeight w:val="810" w:hRule="atLeast"/>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6BF5EA5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10</w:t>
            </w:r>
          </w:p>
        </w:tc>
        <w:tc>
          <w:tcPr>
            <w:tcW w:w="2633" w:type="dxa"/>
            <w:tcBorders>
              <w:top w:val="single" w:color="000000" w:sz="4" w:space="0"/>
              <w:left w:val="single" w:color="000000" w:sz="4" w:space="0"/>
              <w:bottom w:val="single" w:color="000000" w:sz="4" w:space="0"/>
              <w:right w:val="single" w:color="000000" w:sz="4" w:space="0"/>
            </w:tcBorders>
            <w:noWrap w:val="0"/>
            <w:vAlign w:val="center"/>
          </w:tcPr>
          <w:p w14:paraId="1644B49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日志管理</w:t>
            </w:r>
          </w:p>
        </w:tc>
        <w:tc>
          <w:tcPr>
            <w:tcW w:w="7941" w:type="dxa"/>
            <w:tcBorders>
              <w:top w:val="single" w:color="000000" w:sz="4" w:space="0"/>
              <w:left w:val="single" w:color="000000" w:sz="4" w:space="0"/>
              <w:bottom w:val="single" w:color="000000" w:sz="4" w:space="0"/>
              <w:right w:val="single" w:color="000000" w:sz="4" w:space="0"/>
            </w:tcBorders>
            <w:noWrap w:val="0"/>
            <w:vAlign w:val="center"/>
          </w:tcPr>
          <w:p w14:paraId="1410F8B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日志管理模块全面记录数据中台的系统运行日志、用户操作日志、数据处理日志等各类日志信息，为系统运维、安全审计、问题排查提供完整的依据，保障系统的稳定运行与合规使用。</w:t>
            </w:r>
          </w:p>
        </w:tc>
        <w:tc>
          <w:tcPr>
            <w:tcW w:w="1172" w:type="dxa"/>
            <w:tcBorders>
              <w:top w:val="single" w:color="000000" w:sz="4" w:space="0"/>
              <w:left w:val="single" w:color="000000" w:sz="4" w:space="0"/>
              <w:bottom w:val="single" w:color="000000" w:sz="4" w:space="0"/>
              <w:right w:val="single" w:color="000000" w:sz="4" w:space="0"/>
            </w:tcBorders>
            <w:noWrap w:val="0"/>
            <w:vAlign w:val="center"/>
          </w:tcPr>
          <w:p w14:paraId="093E40E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E6DD89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bl>
    <w:p w14:paraId="62FFC73B">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智慧平台需求</w:t>
      </w:r>
    </w:p>
    <w:p w14:paraId="44647018">
      <w:pPr>
        <w:spacing w:line="360" w:lineRule="auto"/>
        <w:ind w:firstLine="480"/>
        <w:rPr>
          <w:color w:val="auto"/>
          <w:highlight w:val="none"/>
        </w:rPr>
      </w:pPr>
      <w:r>
        <w:rPr>
          <w:color w:val="auto"/>
          <w:highlight w:val="none"/>
        </w:rPr>
        <w:t>根据国家、江苏省地方标准要求进行建设，智慧平台建设内容包含应用支撑平台、安全生产管理系统、敏捷应急管理系统、封闭园区管理系统、环保管理系统等模块，以实现信息化综合监管的大一统，全面覆盖园区安全、应急、封闭化等业务管理。智慧平台建设需求清单如下：</w:t>
      </w:r>
    </w:p>
    <w:tbl>
      <w:tblPr>
        <w:tblStyle w:val="39"/>
        <w:tblW w:w="4950" w:type="pct"/>
        <w:tblInd w:w="-113" w:type="dxa"/>
        <w:tblLayout w:type="fixed"/>
        <w:tblCellMar>
          <w:top w:w="0" w:type="dxa"/>
          <w:left w:w="108" w:type="dxa"/>
          <w:bottom w:w="0" w:type="dxa"/>
          <w:right w:w="108" w:type="dxa"/>
        </w:tblCellMar>
      </w:tblPr>
      <w:tblGrid>
        <w:gridCol w:w="763"/>
        <w:gridCol w:w="1409"/>
        <w:gridCol w:w="1476"/>
        <w:gridCol w:w="1839"/>
        <w:gridCol w:w="6773"/>
        <w:gridCol w:w="799"/>
        <w:gridCol w:w="759"/>
      </w:tblGrid>
      <w:tr w14:paraId="51440F17">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1172F581">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245E29FF">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主要建设系统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11F121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子系统/核心功能模块</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68C34BF">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功能概述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9381AF0">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5E99257">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r>
      <w:tr w14:paraId="58F86613">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27469E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1、应用支撑平台</w:t>
            </w:r>
          </w:p>
        </w:tc>
      </w:tr>
      <w:tr w14:paraId="68E4DCB4">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2A419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817E43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一体化管理平台</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7B205A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统一用户管理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1A82B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对化工园区管理平台涉及的所有用户信息进行集中化管理。涵盖用户注册、审核、信息编辑、删除等操作，构建完整的用户信息库。</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B9ABB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7F1D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FAB272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64558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9D0381">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3D35D3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统一权限管理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A19848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根据用户的角色、职责以及业务需求，为不同用户分配相应的操作权限。可灵活设置菜单访问权限、数据查看权限、功能使用权限等，实现对用户操作的精细化控制。</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77F9F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44164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8FE1B0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D6441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94C16">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6A742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日志管理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761647B">
            <w:pPr>
              <w:jc w:val="left"/>
              <w:rPr>
                <w:color w:val="auto"/>
                <w:highlight w:val="none"/>
              </w:rPr>
            </w:pPr>
            <w:r>
              <w:rPr>
                <w:rFonts w:ascii="宋体;SimSun" w:hAnsi="宋体;SimSun" w:eastAsia="宋体;SimSun" w:cs="宋体;SimSun"/>
                <w:color w:val="auto"/>
                <w:sz w:val="20"/>
                <w:szCs w:val="20"/>
                <w:highlight w:val="none"/>
              </w:rPr>
              <w:t>自动记录平台上所有用户的操作行为，包括登录时间、操作内容、操作时间、操作结果等信息，并对这些日志进行分类存储、查询和统计分析。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00D26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80CBD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EB01DE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9D51D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7CB34">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A475C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个人中心</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923B72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为每个用户提供个性化的操作界面，用户可在个人中心查看自己的基本信息、修改个人密码、设置个性化偏好、查看个人操作记录等。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FB205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1510D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9A099D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2051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F00E78">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238F3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4423ED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负责对平台的整体运行环境进行配置和管理，包括服务器参数设置、系统参数配置、数据备份与恢复、系统升级等操作。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7B23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31018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C3DACE">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7FFDDC2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4723" w:type="dxa"/>
            <w:gridSpan w:val="3"/>
            <w:tcBorders>
              <w:top w:val="single" w:color="000000" w:sz="4" w:space="0"/>
              <w:left w:val="single" w:color="000000" w:sz="4" w:space="0"/>
              <w:bottom w:val="single" w:color="000000" w:sz="4" w:space="0"/>
              <w:right w:val="single" w:color="000000" w:sz="4" w:space="0"/>
            </w:tcBorders>
            <w:noWrap w:val="0"/>
            <w:vAlign w:val="center"/>
          </w:tcPr>
          <w:p w14:paraId="11CBB94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物联网汇聚平台建设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D9050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支持对园区内门禁系统、视频监控系统等智能子系统提供数据接入和管理功能；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C6414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2921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9CEA2A4">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E83A0BD">
            <w:pPr>
              <w:jc w:val="center"/>
              <w:rPr>
                <w:color w:val="auto"/>
                <w:highlight w:val="none"/>
              </w:rPr>
            </w:pPr>
            <w:r>
              <w:rPr>
                <w:rFonts w:ascii="宋体;SimSun" w:hAnsi="宋体;SimSun" w:eastAsia="宋体;SimSun" w:cs="宋体;SimSun"/>
                <w:color w:val="auto"/>
                <w:sz w:val="20"/>
                <w:szCs w:val="20"/>
                <w:highlight w:val="none"/>
              </w:rPr>
              <w:t>1.3</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257E4D2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数据共享交换平台</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CEEA68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对接应急、环保、交通、徐圩新区等。</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D100C4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通过开发API接口等常用方式实现数据对接与共享。对接应急、环保、交通、徐圩新区等。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D17FE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D78AB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3155FDB">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B482B6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02A462C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综合管理一张图</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38A87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地理信息系统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0BE7904">
            <w:pPr>
              <w:jc w:val="left"/>
              <w:rPr>
                <w:rFonts w:ascii="宋体;SimSun" w:hAnsi="宋体;SimSun" w:eastAsia="宋体;SimSun" w:cs="宋体;SimSun"/>
                <w:color w:val="auto"/>
                <w:sz w:val="20"/>
                <w:highlight w:val="none"/>
              </w:rPr>
            </w:pPr>
            <w:r>
              <w:rPr>
                <w:rFonts w:ascii="宋体;SimSun" w:hAnsi="宋体;SimSun" w:eastAsia="宋体;SimSun" w:cs="宋体;SimSun"/>
                <w:color w:val="auto"/>
                <w:sz w:val="20"/>
                <w:highlight w:val="none"/>
              </w:rPr>
              <w:t>地图可视化展示系统是将立体化防控数据、周边实际地形数据、各类环境监测方案，结合地理信息系统和可视化技术，最终将现场安全生产、环境态势数据等呈现到园区可视化展示系统中来，达到为各类生产活动的日常监管、事故指挥及宏观态势观察提供基础可视化数据和决策依据的目的。</w:t>
            </w:r>
          </w:p>
          <w:p w14:paraId="28EBB090">
            <w:pPr>
              <w:jc w:val="left"/>
              <w:rPr>
                <w:color w:val="auto"/>
                <w:highlight w:val="none"/>
              </w:rPr>
            </w:pPr>
            <w:r>
              <w:rPr>
                <w:rFonts w:ascii="宋体;SimSun" w:hAnsi="宋体;SimSun" w:eastAsia="宋体;SimSun" w:cs="宋体;SimSun"/>
                <w:color w:val="auto"/>
                <w:sz w:val="20"/>
                <w:szCs w:val="20"/>
                <w:highlight w:val="none"/>
              </w:rPr>
              <w:t>通过初始化基础配置对地图模块初始加载属性进行管理配置，主要管理地图加载窗口相机的预设中心点、偏转角、相机高度、地图缩放层级、关联的瓦片集、模型、图像图层整体渲染加载配置等属性；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通过初始化业务配置管理不同主题下业务数据关联关系，如图例图示实例、地图主题下功能工具的功能性组件工具、主题对应业务的图表组件等。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FC114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63B17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8D8950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82F26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1D447A">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137271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园区倾斜摄影</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9EF6E2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对园区进行倾斜摄影建模，预估9.8平方公里。</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F916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4CE17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08F545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159BA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2A82BD">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654028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地形地貌建模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CDA66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构建园区地形、道路、绿化、河流等基础环境模型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87E3F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A6132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535C4E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6FDC7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029F64">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D32C6F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统计分析图层</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0C6E1A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用于对各类数据进行图层可视化展示与分析，支持数据统计、图层渲染，核心是直观呈现数据规律，辅助决策。</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F9678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8A9BE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370E6E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38222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2C6F61">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33F182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综合概况主题图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DBDAD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对园区基本信息、企业信息进行统计分析，直观展示园区、企业的运行状态。</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EF74C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9E8E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337D96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F4108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8485C3">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8977F5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智慧安监主题图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07B5FA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以感知数据为支撑，将园区安全生产相关主要数据的统计结果以图表分析的形式在园区数据大脑中进行展示，统计的内容包括企业、人员、隐患排查、特殊作业、监测监控等业务数据内容，按照时间，结合饼图、柱状图的形式对结果数据进行分析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7CEBCA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680B2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3184D9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C581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5FC8EF">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220E61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环境管理主题图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0EBBC12">
            <w:pPr>
              <w:jc w:val="left"/>
              <w:rPr>
                <w:color w:val="auto"/>
                <w:highlight w:val="none"/>
              </w:rPr>
            </w:pPr>
            <w:r>
              <w:rPr>
                <w:rFonts w:ascii="宋体;SimSun" w:hAnsi="宋体;SimSun" w:eastAsia="宋体;SimSun" w:cs="宋体;SimSun"/>
                <w:color w:val="auto"/>
                <w:sz w:val="20"/>
                <w:szCs w:val="20"/>
                <w:highlight w:val="none"/>
              </w:rPr>
              <w:t>主要功能涵盖大气环境监测、水环境监测、废水排口运行监测与智能预警、废气排口运行监测与智能预警、达标率统计与智能评估等方面的内容，并应用地理信息技术对分析结果进行多维度展示。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ABEF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034C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63A269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A1BE0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FCD623">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6123F0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敏捷应急主题图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AEDDF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应急管理主题通过园区的应急力量、避难场所、应急预案、医疗队伍、视频监控、报警事件、企业值班和应急物资等信息的统计分析，让管委会领导直观了解各类应急信息的管理情况，同时辅助应急处置过程中对重要信息的获取。</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5276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A358A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D2794D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D426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733A6">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4B8733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封闭管理主题图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32C9E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园区管理主题对危化品车辆和人员进出的精准化监测管理数据统计与分析。帮助园区管理者实时掌握园区人流和车辆的总体情况。对于敏感目标的实时监控，对于园区的基础数据的综合处理，实现封闭管理静动态数据的实时掌握和全面覆盖，杜绝“信息孤岛”现象的发生。</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23BDA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8BBDF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53F5D1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601F5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77EE3B">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862603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产业服务主题图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90F22D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用于展示产业相关主题信息，支持主题分类、信息呈现，核心是清晰呈现产业服务相关内容，便捷查询使用。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9E27B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F826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C75F638">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66CADBF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2、安全生产管理系统</w:t>
            </w:r>
          </w:p>
        </w:tc>
      </w:tr>
      <w:tr w14:paraId="2E452F74">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C0FAF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829BD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安全基础管理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86F13D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安全基础概况</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EF3604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快速查看园区安全基础概况，包含园区内企业概况信息、园区企业类型统计、园区安全监管人员/制度统计、园区重大危险源统计、重点监管高危工艺统计、重点监管危险化学品统计、园区禁限控统计、装置开停车及大检修趋势分析、园区第三方单位类型统计以及第三方单位数量统计，支持部分信息的筛选和快速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16CE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B17B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1E37EF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F88B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BCD02E">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4549FD3">
            <w:pPr>
              <w:jc w:val="left"/>
              <w:rPr>
                <w:color w:val="auto"/>
                <w:highlight w:val="none"/>
              </w:rPr>
            </w:pPr>
            <w:r>
              <w:rPr>
                <w:rFonts w:ascii="宋体;SimSun" w:hAnsi="宋体;SimSun" w:eastAsia="宋体;SimSun" w:cs="宋体;SimSun"/>
                <w:color w:val="auto"/>
                <w:sz w:val="20"/>
                <w:szCs w:val="20"/>
                <w:highlight w:val="none"/>
              </w:rPr>
              <w:t>园区基础信息管理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E827C5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园区基本信息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582DAC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园区基本信息管理，包含园区基础设施信息及扩展信息、园区发展历程、片区信息、主导产业信息、产业布局和园区规划信息，支持对该信息的新增、编辑、删除、查询以及发布。</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70317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A0FFA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5307A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08089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227E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10D31">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3C98F6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企业基本情况</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9D548E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企业基本信息管理，包含企业基础信息、企业分布信息和企业分布图信息，支持对该信息的新增、编辑、查询。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7F7BE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DBC40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4E619C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3FECB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20DF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43DBE4">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F0731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企业信息列表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962054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园区内企业信息以列表的形式进行展示，可以根据企业状态、企业类型、企业规模以及企业分类监管类型快速筛选查询。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FBCC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B6F2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6E440D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CF69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72DA3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18F73B">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13BE01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园区/企业从业人员</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5DFE67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园区/企业从业人员信息管理，支持对该信息的新增、删除、编辑、查看，可以通过企业名称、人员姓名、人员状态快速筛选查询。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9C546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DB8C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611851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F4C2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DB40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0A6DD8">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DF4BE1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企业事故事件及统计信息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D0CFA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企业事故事件信息管理，支持对该信息的新增、删除、编辑、查看，可以通过企业名称、事故名称、事故等级和处置状态快速筛选查询。以及事故事件按事故等级、事故来源、事故数量进行统计分析。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3093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63059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CDC0FD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436A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30344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87A05C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一企一档管理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6F21B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主要包含企业基本信息、标准化信息、安全证书以及许可管理信息、安全生产档案信息、环境保护档案信息、封闭档案和应急档案等信息的管理，以及在线的地图上信息关联。</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77C5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D1254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1B01B8C">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E3CFB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D47931">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688C9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装置开停车和大检修</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3D42E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装置开停车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04F93D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园区内企业装置设施（含重大危险源）开停车线上备案，备案内容包含但不限于装置开停车方案、时间、应急预案等。支持备案信息新增、编辑、删除、查询、执行完成等操作功能，以及按企业名称、关联设备和负责人进行筛查。支持开停车数据从企业开停车数量、开停车执行状态、企业开停车次数等维度进行统计分析和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55D9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1758F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BC989F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E8D7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C38C8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34748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77677B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装置大检修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80F5DB6">
            <w:pPr>
              <w:jc w:val="left"/>
              <w:rPr>
                <w:color w:val="auto"/>
                <w:highlight w:val="none"/>
              </w:rPr>
            </w:pPr>
            <w:r>
              <w:rPr>
                <w:rFonts w:ascii="宋体;SimSun" w:hAnsi="宋体;SimSun" w:eastAsia="宋体;SimSun" w:cs="宋体;SimSun"/>
                <w:color w:val="auto"/>
                <w:sz w:val="20"/>
                <w:szCs w:val="20"/>
                <w:highlight w:val="none"/>
              </w:rPr>
              <w:t>实现园区内企业装置设施（含重大危险源）大检修线上备案，备案内容包含但不限于装置大检修方案、时间等。支持备案信息新增、编辑、删除、查询、检修完成、检修延期、延期记录查看等操作功能，以及按企业名称、关联设备和大检修负责人进行筛查。支持大检修数据从企业装置大检修数量、大检修完成情况、企业大检修次数等维度进行统计分析和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97578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F13F2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53022F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87C06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6E80D0">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B3A3E4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安全生产行政许可管理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D99005D">
            <w:pPr>
              <w:jc w:val="left"/>
              <w:rPr>
                <w:color w:val="auto"/>
                <w:highlight w:val="none"/>
              </w:rPr>
            </w:pPr>
            <w:r>
              <w:rPr>
                <w:rFonts w:ascii="宋体;SimSun" w:hAnsi="宋体;SimSun" w:eastAsia="宋体;SimSun" w:cs="宋体;SimSun"/>
                <w:color w:val="auto"/>
                <w:sz w:val="20"/>
                <w:szCs w:val="20"/>
                <w:highlight w:val="none"/>
              </w:rPr>
              <w:t>危化品建设项目三同时（安全设施</w:t>
            </w:r>
            <w:r>
              <w:rPr>
                <w:rFonts w:ascii="宋体;SimSun" w:hAnsi="宋体;SimSun" w:eastAsia="宋体;SimSun" w:cs="宋体;SimSun"/>
                <w:color w:val="auto"/>
                <w:sz w:val="20"/>
                <w:szCs w:val="20"/>
                <w:highlight w:val="none"/>
                <w:shd w:val="clear" w:color="auto" w:fill="FFFFFF"/>
              </w:rPr>
              <w:t>同时设计、同时施工、同时投入生产和使用）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F19D352">
            <w:pPr>
              <w:jc w:val="left"/>
              <w:rPr>
                <w:color w:val="auto"/>
                <w:highlight w:val="none"/>
              </w:rPr>
            </w:pPr>
            <w:r>
              <w:rPr>
                <w:rFonts w:ascii="宋体;SimSun" w:hAnsi="宋体;SimSun" w:eastAsia="宋体;SimSun" w:cs="宋体;SimSun"/>
                <w:color w:val="auto"/>
                <w:sz w:val="20"/>
                <w:szCs w:val="20"/>
                <w:highlight w:val="none"/>
              </w:rPr>
              <w:t>实现危险化学品建设项目“三同时”线上全流程监管功能，支持危险化学品建设项目“三同时”管理流程灵活配置，可以按照设计、施工、试生产等不同阶段进行“三同时”项目新增、编辑、删除、查询管理，以及建设项目按类别、“三同时”阶段等维度统计分析和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AD96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2F0C43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B8F26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6D2DF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C971C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47D9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F84FB2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危化品安全生产许可证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48FF3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实现安全生产许可相关证照材料线上管理，支持新增、删除、编辑、查询危化品安全生产行政许可证，以及按企业名称、证书类型、证书名称进行筛选。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FDB7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A2E38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C4B8ED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2E371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E0E19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93922A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第三方单位管理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2F1508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建立入园/驻园第三方单位信息库，包括但不限于第三方单位基本信息、资质、安全教育培训记录、服务记录、违规记录等，实现第三方单位诚信管理。支持信息维护、核验，诚信评价规则的在线配置，以及园区企业对有关信息的自主填报。</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64C29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3AEA0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383DCC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16D7B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C974F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B0C947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执法管理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1DB3914">
            <w:pPr>
              <w:jc w:val="left"/>
              <w:rPr>
                <w:color w:val="auto"/>
                <w:highlight w:val="none"/>
              </w:rPr>
            </w:pPr>
            <w:r>
              <w:rPr>
                <w:rFonts w:ascii="宋体;SimSun" w:hAnsi="宋体;SimSun" w:eastAsia="宋体;SimSun" w:cs="宋体;SimSun"/>
                <w:color w:val="auto"/>
                <w:sz w:val="20"/>
                <w:szCs w:val="20"/>
                <w:highlight w:val="none"/>
              </w:rPr>
              <w:t>实现生成执法计划、记录执法内容、执法检查隐患管理、执法案例管理等；支持新增、删除、编辑、查看、下发执法计划，可以按照执法单位、执法检查计划类型和执法状态进行执法计划筛选查看；支持执法记录新增、删除、编辑、查看，可以按照被执法单位和是否执法进行筛选查看；支持执法检查隐患新增、删除、编辑、查看，可以下载整改通知书模板并下发整改通知书，并按照所属企业、隐患级别和隐患状态进行筛选查看；支持执法案件新增、删除、编辑、查看，可以按照执法检查编号、被执法单位和执法部门进行筛选查看；支持执法信息从企业被执法次数、执法计划完成情况、执法隐患数量等多维度统计分析和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F529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9AC36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BD1315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29763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9E95B">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CF7149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公用工程信息管理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B5A12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支持对园区公用工程基本信息的维护与查询，支持新增、删除、编辑、查看公用工程基本信息，包含工程阶段、工程名称、工程类别和设备描述等，可以按工程类别、工程阶段及工程名称进行搜索查看。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27134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4B389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F4F6B1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8F45E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B668D">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A5CD41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设备停用停产备案管理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89424B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实现对园区内备案停产的企业进行集中管理，纳入企业管理档案。建设停车备案管理系统模块，主要对企业停产申请、申请材料的申报、审核同意，同时统一后企业可实现备案回执的打印。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5AB8B6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7365C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5FD0CCB">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43AAA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E5395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重大危险源在线监测</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CA08F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危险源概况</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93978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支持快速查看危险源概况，包含企业监管登记、危化品企业风险预警信息、安全承诺公告、重大危险源统计信息、安全包保履职、企业风险趋势分析和预警事件分析等统计信息。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F2E01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56CC2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8D68C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5D76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A52142">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E01D0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重大危险源管理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392170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工艺信息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C56BB3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实现重点监管高危工艺的管理，支持新增、删除、编辑、查看高危工艺信息以及关联装置，并且可以实时查看监测信息及视频监控，同时，可以按企业名称、工艺名和是否是重点监管化工工艺进行筛选查看。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CB4E8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CAD10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1B138C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ACE1D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48F4B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9CAB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52C575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监管化学品信息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806E622">
            <w:pPr>
              <w:jc w:val="left"/>
              <w:rPr>
                <w:color w:val="auto"/>
                <w:highlight w:val="none"/>
              </w:rPr>
            </w:pPr>
            <w:r>
              <w:rPr>
                <w:rFonts w:ascii="宋体;SimSun" w:hAnsi="宋体;SimSun" w:eastAsia="宋体;SimSun" w:cs="宋体;SimSun"/>
                <w:color w:val="auto"/>
                <w:sz w:val="20"/>
                <w:szCs w:val="20"/>
                <w:highlight w:val="none"/>
              </w:rPr>
              <w:t>实现重点监管危险化学品的管理，支持新增、删除、编辑、查看危险化学品信息，可以按企业名称、化学品名称、化学品类型和是否是重点监管危险化学品进行筛选查看。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6D715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07C5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A74EC9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61680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0C3D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D3D80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F4D5F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危化品辨识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AB748B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实现危险化学品的辨识管理，可以通过按化学品名称和化学品类别两种方式进行辨识管理，支持新增、删除、编辑、查看危险化学品信息，可以按化学品名称、别名进行筛选查看。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E8B3A9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4AB0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9293A6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E8D78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B5CF3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8CCD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1B576B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危险源信息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17888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危险源的管理，支持新增、删除、编辑、查看危险化学品信息；支持编辑危险源辨识信息，支持查看实时监测信息、风险管控信息、安全包保责任信息以及关联信息；可以按企业名称、危险源名称、和危险源级别进行筛选查看；可以在地图上进行危险源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43A22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86E47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4C49E63">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E2E10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65A7F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9D245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E6EF0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储罐罐区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BEA344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实现储罐信息管理，支持新增、删除、编辑、查看储罐信息，支持绑定关联监测设备及查看实时监测信息，可以按企业名称、储罐名称和储罐类别进行筛选查看；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实现罐区信息管理，支持新增、删除、编辑、查看罐区信息，支持查看储罐信息和实时监测信息，可以按企业名称、储罐区名称和储罐区编号进行筛选查看；可以在地图上进行库区点位标记。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DC59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195F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4F2F23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C1BCE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1193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97CAA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E527A5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库房库区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694BC2C">
            <w:pPr>
              <w:jc w:val="left"/>
              <w:rPr>
                <w:color w:val="auto"/>
                <w:highlight w:val="none"/>
              </w:rPr>
            </w:pPr>
            <w:r>
              <w:rPr>
                <w:rFonts w:ascii="宋体;SimSun" w:hAnsi="宋体;SimSun" w:eastAsia="宋体;SimSun" w:cs="宋体;SimSun"/>
                <w:color w:val="auto"/>
                <w:sz w:val="20"/>
                <w:szCs w:val="20"/>
                <w:highlight w:val="none"/>
              </w:rPr>
              <w:t>实现仓库信息管理，支持新增、删除、编辑、查看仓库信息及查看关联区域信息，支持绑定关联监测设备及查看实时监测信息，可以按企业名称、仓库名称和仓库类别进行筛选查看；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实现库区信息管理，支持新增、删除、编辑、查看库区信息，支持查看仓库信息和实时监测信息，可以按企业名称、仓库区名称和仓库区编号进行筛选查看；可以在地图上进行库区点位标记。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89AC9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9F37E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2FADC1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3991A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CE1A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8EC46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437ADE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装置单元</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64D3A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实现生产装置信息管理，支持新增、删除、编辑、查看生产装置信息及查看关联区域信息，支持绑定关联监测设备及查看实时监测信息，可以按企业名称、生产装置名称进行筛选查看；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现生产区域信息管理，支持新增、删除、编辑、查看生产区域信息，支持查看生产装置信息和实时监测信息，可以按企业名称、生产区域名称和生产区域编号进行筛选查看；可以在地图上进行生产区域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DD18C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87E10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6278A8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92CEF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2945F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CEB20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5CC801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装卸区信息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58AD51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实现装卸区信息管理，支持新增、删除、编辑、查看装卸区信息，支持绑定、停用关联监测设备及查看实时监测信息，可以按企业名称、装卸台名称和站台类型进行筛选查看；可以在地图上进行装卸区点位标记。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CAA3F1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19672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EA9AC4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E4D3A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3A106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DB14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D2FF6F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气体泄漏点</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53232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实现气体泄漏点信息管理，支持新增、删除、编辑、查看气体泄漏点信息，支持绑定关联监测设备及查看实时监测信息，可以按泄漏点名称、泄漏类型进行筛选查看；可以在地图上进行泄漏点点位标记。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CCB06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35F09A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A6B968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98C0A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93076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D5A35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A09AD1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2892FF2">
            <w:pPr>
              <w:jc w:val="left"/>
              <w:rPr>
                <w:color w:val="auto"/>
                <w:highlight w:val="none"/>
              </w:rPr>
            </w:pPr>
            <w:r>
              <w:rPr>
                <w:rFonts w:ascii="宋体;SimSun" w:hAnsi="宋体;SimSun" w:eastAsia="宋体;SimSun" w:cs="宋体;SimSun"/>
                <w:color w:val="auto"/>
                <w:sz w:val="20"/>
                <w:szCs w:val="20"/>
                <w:highlight w:val="none"/>
              </w:rPr>
              <w:t>实现危废品信息管理，支持新增、删除、编辑、查看危废品信息，可以按所属企业、危废品名称、存储方式和危废品类别进行筛选查看。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386FC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D3B7F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B4B7BD">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CF485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55233A">
            <w:pPr>
              <w:jc w:val="center"/>
              <w:rPr>
                <w:rFonts w:ascii="宋体;SimSun" w:hAnsi="宋体;SimSun" w:eastAsia="宋体;SimSun" w:cs="宋体;SimSun"/>
                <w:color w:val="auto"/>
                <w:sz w:val="20"/>
                <w:szCs w:val="20"/>
                <w:highlight w:val="none"/>
              </w:rPr>
            </w:pPr>
          </w:p>
        </w:tc>
        <w:tc>
          <w:tcPr>
            <w:tcW w:w="1476" w:type="dxa"/>
            <w:tcBorders>
              <w:top w:val="single" w:color="000000" w:sz="4" w:space="0"/>
              <w:left w:val="single" w:color="000000" w:sz="4" w:space="0"/>
              <w:bottom w:val="single" w:color="000000" w:sz="4" w:space="0"/>
              <w:right w:val="single" w:color="000000" w:sz="4" w:space="0"/>
            </w:tcBorders>
            <w:noWrap w:val="0"/>
            <w:vAlign w:val="center"/>
          </w:tcPr>
          <w:p w14:paraId="7E2D2CE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危险源包保责任落实监督</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7805D6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包保责任履职清单记录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8079F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重大危险源安全包保履职记录电子化、条目化，管理企业每一处重大危险源包保责任落实情况，支持重大危险源主要负责人、技术负责人和操作负责人信息维护，三级包保责任人安全包保履职情况记录检查，以及信息查询、多维度统计分析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6931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1422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206ADC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3460B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D8AD9">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A1D80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在线监测预警</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AC45FB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重大危险源在线看板</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803A917">
            <w:pPr>
              <w:jc w:val="left"/>
              <w:rPr>
                <w:color w:val="auto"/>
                <w:highlight w:val="none"/>
              </w:rPr>
            </w:pPr>
            <w:r>
              <w:rPr>
                <w:rFonts w:ascii="宋体;SimSun" w:hAnsi="宋体;SimSun" w:eastAsia="宋体;SimSun" w:cs="宋体;SimSun"/>
                <w:color w:val="auto"/>
                <w:sz w:val="20"/>
                <w:szCs w:val="20"/>
                <w:highlight w:val="none"/>
              </w:rPr>
              <w:t>系统通过标准工业通讯协议（如OPC UA、Modbus TCP）对接企业现有DCS/PLC系统，并遵循应急管理部数据接入规范（TCP Socket+JSON格式），实现重大危险源监测监控数据的自动采集与标准化汇聚，支持现有重大危险源监测监控数据，查看储罐、装置、危险化学品库等处的液位、温度、压力和可燃有毒气体浓度的实时监测数据、报警数据，查询历史数据、视频监控数据和对比分析；可以按所属企业、重大危险源名称和危险源类型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45F69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0AC1E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BEF7DD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89FEF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AAF2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86ADF8">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A35EE1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中控室在线监控</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A616ED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汇聚园区/企业中控室的监控画面信息，支持监控预览和按相机编码、相机名称进行筛选查看。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491BF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CF17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18BAB0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433C9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D6660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91A0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956E3C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危险源报警事件</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9F080E6">
            <w:pPr>
              <w:jc w:val="left"/>
              <w:rPr>
                <w:color w:val="auto"/>
                <w:highlight w:val="none"/>
              </w:rPr>
            </w:pPr>
            <w:r>
              <w:rPr>
                <w:rFonts w:ascii="宋体;SimSun" w:hAnsi="宋体;SimSun" w:eastAsia="宋体;SimSun" w:cs="宋体;SimSun"/>
                <w:color w:val="auto"/>
                <w:sz w:val="20"/>
                <w:szCs w:val="20"/>
                <w:highlight w:val="none"/>
              </w:rPr>
              <w:t>汇聚危险源报警事件，查看报警事件流程名称、事件类型、流程标签、开始时间、结束时间和事件进展等信息，可以按照流程名称、事件类型、流程标签、开始时间、结束时间进行搜索查看。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6E78B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765C6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F2BE39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83446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E803A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F9FB1">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57A0F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重大危险源在线监测抽查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357CD9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实现对重大危险源安全在线抽查，包含抽查人员配置、抽查配置、配置项展示、配置完成等流程，可根据抽查需求自由配置；可以按照抽查时间进行筛选。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抽检人员还可将抽检结果下发至企业进行确认，可以通过检查下发记录对下发的历史检查进行查看。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53D93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B5E9A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193444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3ACCF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06FC27">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D65D8A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重大风险管控</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4A6E3D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风险评估模型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10B938B">
            <w:pPr>
              <w:jc w:val="left"/>
              <w:rPr>
                <w:color w:val="auto"/>
                <w:highlight w:val="none"/>
              </w:rPr>
            </w:pPr>
            <w:r>
              <w:rPr>
                <w:rFonts w:ascii="宋体;SimSun" w:hAnsi="宋体;SimSun" w:eastAsia="宋体;SimSun" w:cs="宋体;SimSun"/>
                <w:color w:val="auto"/>
                <w:sz w:val="20"/>
                <w:szCs w:val="20"/>
                <w:highlight w:val="none"/>
              </w:rPr>
              <w:t>基于风险预警模型，通过多维度的综合分析，模型能够自动生成风险预警结果，并划分为重大风险（红色预警）、较大风险（橙色预警）、一般风险（黄色预警）及低风险（蓝色预警）四个级别。</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5C08C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D1511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BD2AF4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225FD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B2D54">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0EF7F0">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85D3E1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风险实时评估</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22ABE6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基于风险评估模型，实现重大危险源安全风险的实时评估分析和展示，分析内容包含企业当前风险、重大危险源列表信息和风险构成信息。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384E26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6D6B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57F86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6586E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4BCBA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06217">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6D3165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预警记录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18E9ECB">
            <w:pPr>
              <w:jc w:val="left"/>
              <w:rPr>
                <w:color w:val="auto"/>
                <w:highlight w:val="none"/>
              </w:rPr>
            </w:pPr>
            <w:r>
              <w:rPr>
                <w:rFonts w:ascii="宋体;SimSun" w:hAnsi="宋体;SimSun" w:eastAsia="宋体;SimSun" w:cs="宋体;SimSun"/>
                <w:color w:val="auto"/>
                <w:sz w:val="20"/>
                <w:szCs w:val="20"/>
                <w:highlight w:val="none"/>
              </w:rPr>
              <w:t>当企业达到一般风险、较大风险、重大风险时则会相应触发黄色预警、橙色预警、红色预警，系统向相关人员进行消息推送，自动生成并记录风险预警事件，包括责任企业、预警开始时间以及详细的业务报警流程。支持查看风险预警的触发、升级、降级以及最终消除的全过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系统可以在企业规定时间内未采取有效措施消警，自动向企业及园区相关人员发送警示通报，提醒其关注并介入处理；支持预警消除后，企业上传原因反馈。</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B4B04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45109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B73A2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2C23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98686">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2CE3E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评估报告及隐患管理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3273F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评价/评估报告</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E410AA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汇聚重大危险源的安全评价报告、SIL 等级评估报告和重大危险源专项督导检查问题隐患相关数据，实现重大危险源的安全评价报告电子化备案、查阅，可以按照企业名称和报告类别进行筛选查看；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支持按企业数量和按危险源数量等维度对相关评价/评估报告进行统计分析，可以按照企业名称进行筛选查看。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200DA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6979D3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B6733F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850CB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670D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6B726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5C6CF0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三录入-检查任务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6E4D08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检查任务、检查项、评分细则信息和企业状态的展示。部级系统会按照工作安排定期下发专项检查相关数据，包括检查任务表、检查任务企业表、检查项表、检查项评分细则表数据，再由园区平台下发到园区内危险化学品企业安全风险智能化管控平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3F152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A143A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89D3F7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94C5B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45C91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CFA6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1E5933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隐患信息三录入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E5DC6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构建企业自查、市级交叉检查以及部省抽查三层次的隐患录入体系，实现隐患信息三录入管理，支持新增、删除、编辑查看专项检查隐患信息，可以按照所属企业、任务名称、隐患名称、检查类型和检查时间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12C80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8A23E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88658C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FBC0B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DACE74">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57B9B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重大危险源分类监管</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8A9C2C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企业分类监管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C1EDD3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过贯通安全承诺公告、实时监测数据、安全包保责任人履职、“三录入”、评价/评估报告，构建危险化学品重大危险源企业安全管理现状综合评价体系，分为特别管控、重点关注和一般监管三类，实现对危险化学品重大危险源企业分类精准监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C55B9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F43D00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4E17BD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E347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4346E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6AA64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8F9E92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安全承诺公告</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450E7B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实现对今日/全部安全承诺公告的管理，支持新增、删除、编辑以及按企业名称和风险等级进行筛选查看，可以查看当日不同风险等级企业数量情况以及当日是否做出安全承诺企业数量情况。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082E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CE796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BFAC4F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51963E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07FE633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双重预防机制管理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F5B79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双重预防概况</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AF8BFC0">
            <w:pPr>
              <w:jc w:val="left"/>
              <w:rPr>
                <w:color w:val="auto"/>
                <w:highlight w:val="none"/>
              </w:rPr>
            </w:pPr>
            <w:r>
              <w:rPr>
                <w:rFonts w:ascii="宋体;SimSun" w:hAnsi="宋体;SimSun" w:eastAsia="宋体;SimSun" w:cs="宋体;SimSun"/>
                <w:color w:val="auto"/>
                <w:sz w:val="20"/>
                <w:szCs w:val="20"/>
                <w:highlight w:val="none"/>
              </w:rPr>
              <w:t>支持快速查看双重预防概况，包含双重预防运行机制效果、风险管控分级、隐患排查数量统计、隐患排查治理统计、区域风险统计和装置停用/检维修统计等。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77919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FF477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BCE231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2F537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E516E">
            <w:pPr>
              <w:jc w:val="left"/>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279DB3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企业双重预防机制信息系统对接</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26E773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风险分析对象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F7110A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实现风险分析对象（如装置、管线、罐区等）管理，支持新增、删除、编辑、查看风险分析对象信息，并且能够进行区域关联；可以按照所属企业、风险分析对象名称和风险等级进行筛选查看。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9567D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8301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66404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7C14C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34A279">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4B96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46E3B2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风险分析单元</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3F24539">
            <w:pPr>
              <w:jc w:val="left"/>
              <w:rPr>
                <w:color w:val="auto"/>
                <w:highlight w:val="none"/>
              </w:rPr>
            </w:pPr>
            <w:r>
              <w:rPr>
                <w:rFonts w:ascii="宋体;SimSun" w:hAnsi="宋体;SimSun" w:eastAsia="宋体;SimSun" w:cs="宋体;SimSun"/>
                <w:color w:val="auto"/>
                <w:sz w:val="20"/>
                <w:szCs w:val="20"/>
                <w:highlight w:val="none"/>
              </w:rPr>
              <w:t>实现风险分析单元（如裂解炉区、压缩机组等）管理，支持新增、删除、编辑、查看风险单元信息，支持一键启停风险单元，可以直接查看所属风险分析对象；可以按照所属企业、所属风险分析对象、风险单元名称和状态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1C6E7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1319A6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3C8009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ADBC7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8C84B">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2F0779">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5AD59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安全风险事件</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497BD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实现安全风险事件管理，支持新增、删除、编辑、查看安全风险事件信息，可以直接查看所属风险分析对象和所属风险分析单元；可以按照所属企业、所属风险分析单元、风险事件名称进行筛选查看。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98B77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E12B66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8F88DE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7656F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B72D23">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1B4C5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DFA030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风险管控措施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D5849E8">
            <w:pPr>
              <w:jc w:val="left"/>
              <w:rPr>
                <w:color w:val="auto"/>
                <w:highlight w:val="none"/>
              </w:rPr>
            </w:pPr>
            <w:r>
              <w:rPr>
                <w:rFonts w:ascii="宋体;SimSun" w:hAnsi="宋体;SimSun" w:eastAsia="宋体;SimSun" w:cs="宋体;SimSun"/>
                <w:color w:val="auto"/>
                <w:sz w:val="20"/>
                <w:szCs w:val="20"/>
                <w:highlight w:val="none"/>
              </w:rPr>
              <w:t>实现风险管控措施管理，支持新增、删除、编辑、查看风险管控措施信息，可以直接查看所属风险分析对象、所属风险分析单元和所属安全风险事件；可以按照所属企业、所属风险分析对象、所属风险分析单元、风险事件名称和管控措施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F6B42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674B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FDA7B6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6FAC4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8EADA1">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EA2E3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7658FE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隐患排查任务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B8391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根据发现的隐患实现隐患排查任务生成管理，支持新增、删除、编辑、查看隐患排查任务，可以按照所属企业、风险管控措施、隐患排查内容和任务类型进行筛选查看。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1F00D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B302A2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0FDEF1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24CB0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3B3F30">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25C698">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A2719F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隐患排查记录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F33C78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实现隐患排查记录电子化记录，根据生成的隐患排查任务进行闭环排查治理，将隐患排查治理记录进行登记，可以新增、删除、编辑、查看隐患排查记录。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43F8E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56A0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E1CC79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5D198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35A83A">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57558">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BB4A0C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隐患治理信息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181F48B">
            <w:pPr>
              <w:jc w:val="left"/>
              <w:rPr>
                <w:color w:val="auto"/>
                <w:highlight w:val="none"/>
              </w:rPr>
            </w:pPr>
            <w:r>
              <w:rPr>
                <w:rFonts w:ascii="宋体;SimSun" w:hAnsi="宋体;SimSun" w:eastAsia="宋体;SimSun" w:cs="宋体;SimSun"/>
                <w:color w:val="auto"/>
                <w:sz w:val="20"/>
                <w:szCs w:val="20"/>
                <w:highlight w:val="none"/>
              </w:rPr>
              <w:t>实现对于隐患治理信息的管理，可以分重大隐患和所有隐患进行查看，支持新增、删除、编辑、查看隐患治理信息，支持下载整改通知书模板并下发隐患整改通知书，可以按所属企业、隐患名称、隐患类别和隐患类型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园区对于企业重大危险源隐患，可以通过下发安全督导进行隐患治理，支持新增、删除、编辑、查看安全督导信息，可以按所属企业、重大危险源名称、督导结果、督导日期进行筛选查看；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对于超期未完成隐患治理的企业进行超期报警并记录，可以按所属企业、隐患名称和时间进行筛选查看。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1496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E582F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F7277D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BBD9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17114E">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706831">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D18F71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包保责任履职清单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C1B6CB3">
            <w:pPr>
              <w:jc w:val="left"/>
              <w:rPr>
                <w:color w:val="auto"/>
                <w:highlight w:val="none"/>
              </w:rPr>
            </w:pPr>
            <w:r>
              <w:rPr>
                <w:rFonts w:ascii="宋体;SimSun" w:hAnsi="宋体;SimSun" w:eastAsia="宋体;SimSun" w:cs="宋体;SimSun"/>
                <w:color w:val="auto"/>
                <w:sz w:val="20"/>
                <w:szCs w:val="20"/>
                <w:highlight w:val="none"/>
              </w:rPr>
              <w:t>隐患排查任务类型为包保责任人任务的隐患治理记录，将相关包保责任人的履职情况进行记录，可以根据所属企业、任务类型和排查时间进行筛选查看。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0BA7F6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2AFA7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822752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7EBE8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5981C">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68037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A99012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装置停用/检维修记录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AA8F3E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对于风险分析对象进行的停用/检维修做历史记录，可以查看、删除相关记录，支持按照所属企业进行筛选查看。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48937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D6EE6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89CFAF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297B2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D9C9E">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FBFDF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5A8F7A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风险四色图管理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58FF1E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实现风险四色图管理，支持新增、删除、编辑、查看风险四色图，可以按照所属企业、风险图名称和风险图类型进行筛选查看。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5D754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D771C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DF20A8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A50D5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0C4B50">
            <w:pPr>
              <w:jc w:val="left"/>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12F5A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隐患整改情况督办提醒</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A08E6C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隐患治理统计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778DB5">
            <w:pPr>
              <w:jc w:val="left"/>
              <w:rPr>
                <w:color w:val="auto"/>
                <w:highlight w:val="none"/>
              </w:rPr>
            </w:pPr>
            <w:r>
              <w:rPr>
                <w:rFonts w:ascii="宋体;SimSun" w:hAnsi="宋体;SimSun" w:eastAsia="宋体;SimSun" w:cs="宋体;SimSun"/>
                <w:color w:val="auto"/>
                <w:sz w:val="20"/>
                <w:szCs w:val="20"/>
                <w:highlight w:val="none"/>
              </w:rPr>
              <w:t>支持按照不同企业、不同隐患等级等维度的隐患治理统计，可以直观了解确定时间范围内，隐患总数、重大隐患数、一般隐患数量、未整改隐患数量、已整改隐患数量、整改率等统计信息；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支持隐患治理统计分析的可视化展示，可以快速查看不同等级隐患、不同时间等维度的隐患数量的环同比分析展示。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CF6E3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7586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C0556E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5866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43050B">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C18A7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9D1357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隐患报警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DA663D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一般隐患超期警示管理，可以快速查看隐患报警的详细信息，包含流程名称、事件类型、流程标签、开始时间、结束时间、事件进展，以及对报警做跟踪处置，支持按照流程名称、事件类型、流程标签和报警时间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62C67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7B653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DBE440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D5B39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47ABCF">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F9A66D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企业双重预防机制建设及运行效果抽查检查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53365CC">
            <w:pPr>
              <w:jc w:val="left"/>
              <w:rPr>
                <w:color w:val="auto"/>
                <w:highlight w:val="none"/>
              </w:rPr>
            </w:pPr>
            <w:r>
              <w:rPr>
                <w:rFonts w:ascii="宋体;SimSun" w:hAnsi="宋体;SimSun" w:eastAsia="宋体;SimSun" w:cs="宋体;SimSun"/>
                <w:color w:val="auto"/>
                <w:sz w:val="20"/>
                <w:szCs w:val="20"/>
                <w:highlight w:val="none"/>
              </w:rPr>
              <w:t>实现对企业双重预防机制建设及运行效果在线抽查，包含抽查人员配置、抽查配置、配置项展示、配置完成等流程，可根据抽查需求自由配置；可以按照抽查时间进行筛选。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抽检人员可以查看运行效果分析、风险分析情况、风险管控信息、隐患排查记录、隐患治理信息，并且对抽查结果进行评价，还可将抽检结果下发至企业进行确认，可以通过检查下发记录对下发的历史检查进行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B98B6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38BC6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84F7C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393A5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4C449F">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4B65E5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统计分析、趋势分析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EEC0B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园区内企业双重预防机制运行效果线上线下相融合的监督检查，支持对单个企业风险分析完成率、排查任务完成率及隐患整改完成率的信息查询，支持数据接入率的查询，对企业双重预防机制运行效果、隐患预警情况自动统计分析、原因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78770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C9C4E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DED72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F89B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06EC07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特殊作业监管</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678A9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企业特殊作业报备管理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537EF5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实现企业特殊作业报备，报备数据包括但不限于作业属地单位、作业类型、作业内容、作业时间等，支持报备信息的维护、查询，可以按照企业名称、作业名称等进行筛选查看。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4A0D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DCDB1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D2C595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B730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B12D74">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AB3020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特殊作业在线抽查检查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363EF8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实现在线抽查检查企业的特殊作业情况，支持新增、删除抽查检查，以及按照“优秀、良好、一般、不合格”对抽检特殊作业进行评价，可以按照企业名称和作业类型进行筛选查看。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6EF7C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86ECD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952F09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4BB6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4BDCD6">
            <w:pPr>
              <w:jc w:val="left"/>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469E2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作业票信息管理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DE0CDB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动火作业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CE6F929">
            <w:pPr>
              <w:jc w:val="left"/>
              <w:rPr>
                <w:color w:val="auto"/>
                <w:highlight w:val="none"/>
              </w:rPr>
            </w:pPr>
            <w:r>
              <w:rPr>
                <w:rFonts w:ascii="宋体;SimSun" w:hAnsi="宋体;SimSun" w:eastAsia="宋体;SimSun" w:cs="宋体;SimSun"/>
                <w:color w:val="auto"/>
                <w:sz w:val="20"/>
                <w:szCs w:val="20"/>
                <w:highlight w:val="none"/>
              </w:rPr>
              <w:t>实现对于动火作业前、作业中和作业后的作业票信息记录及查看，可以按照企业名称和动火级别进行筛选查看。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D467C0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20CF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2373E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7D1A2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AAA417">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00C1A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41C8F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吊装作业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184D33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实现对于吊装作业前、作业中和作业后的作业票信息记录及查看，可以按照企业名称和作业级别进行筛选查看。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F30B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5ED0D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31DBC0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A4BA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FC513A">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9C32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455CD5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盲板抽堵作业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3E8B21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实现对于盲板抽堵作业前、作业中和作业后的作业票信息记录及查看，可以按照企业名称和作业类别进行筛选查看。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652E1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D2634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441BBD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7BA35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BEFAEC">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6021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237AB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断路作业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FDFF13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实现对于断路作业前、作业中和作业后的作业票信息记录及查看，可以按照企业名称进行筛选查看。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5A838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4E25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080132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D427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5679C">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4D9CA9">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85EF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高处作业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B9A7FF">
            <w:pPr>
              <w:jc w:val="left"/>
              <w:rPr>
                <w:color w:val="auto"/>
                <w:highlight w:val="none"/>
              </w:rPr>
            </w:pPr>
            <w:r>
              <w:rPr>
                <w:rFonts w:ascii="宋体;SimSun" w:hAnsi="宋体;SimSun" w:eastAsia="宋体;SimSun" w:cs="宋体;SimSun"/>
                <w:color w:val="auto"/>
                <w:sz w:val="20"/>
                <w:szCs w:val="20"/>
                <w:highlight w:val="none"/>
              </w:rPr>
              <w:t>实现对于高处作业前、作业中和作业后的作业票信息记录及查看，可以按照企业名称和作业级别进行筛选查看。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5E08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96843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207BD4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BD4C2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C33E6">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766B9">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BDBD60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临时用电作业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63669F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实现对于临时用电作业前、作业中和作业后的作业票信息记录及查看，可以按照企业名称和作业级别进行筛选查看。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93E36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42DB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DF4D88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051E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D68B71">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F368D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DE25B8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动土作业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FF3DCF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实现对于动土作业前、作业中和作业后的作业票信息记录及查看，可以按照企业名称进行筛选查看。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529D9D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B42FC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B459E4F">
        <w:tblPrEx>
          <w:tblCellMar>
            <w:top w:w="0" w:type="dxa"/>
            <w:left w:w="108" w:type="dxa"/>
            <w:bottom w:w="0" w:type="dxa"/>
            <w:right w:w="108" w:type="dxa"/>
          </w:tblCellMar>
        </w:tblPrEx>
        <w:trPr>
          <w:trHeight w:val="9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0B6FD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220AED">
            <w:pPr>
              <w:jc w:val="left"/>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CAAA0F">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D3FDC0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受限空间作业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7A765E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实现对于受限空间作业前、作业中和作业后的作业票信息记录及查看，可以按照企业名称进行筛选查看。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3A724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166D2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6AD007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3DC81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9D97D8">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C7B383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特殊作业票证统计分析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BA2E30D">
            <w:pPr>
              <w:jc w:val="left"/>
              <w:rPr>
                <w:color w:val="auto"/>
                <w:highlight w:val="none"/>
              </w:rPr>
            </w:pPr>
            <w:r>
              <w:rPr>
                <w:rFonts w:ascii="宋体;SimSun" w:hAnsi="宋体;SimSun" w:eastAsia="宋体;SimSun" w:cs="宋体;SimSun"/>
                <w:color w:val="auto"/>
                <w:sz w:val="20"/>
                <w:szCs w:val="20"/>
                <w:highlight w:val="none"/>
              </w:rPr>
              <w:t>实现与园区内企业电子作业许可系统的结构化数据对接，支持园区内特殊作业按不同企业、不同时间、不同作业类型等多维度进行统计分析。数据对接要求：《江苏省化工（危化品）企业“五位一体”平台特殊作业数据对接标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2031F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BB785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CCFBF10">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5C56A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2.5</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607F65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企业平台对接</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87E142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双重预防机制数据对接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8735A6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实现企业风险分级管控、隐患排查治理数据与园区平台实时同步，支撑园区统一监管。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BA7E3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A1EAA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C2908A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6118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B8B42B">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959B5D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特殊作业系统数据对接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04C705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对接企业八大特殊作业全流程信息，实现作业票证、过程、状态实时上报与监管。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17277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06B57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D5E378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C3186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438E6D">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5F666C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人员定位系统及人员聚集风险数据对接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06892B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同步企业人员定位、轨迹及人员聚集预警数据，提升园区人员安全动态管控能力。</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55301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111C95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1D2A00A">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0BDB1BD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3、敏捷应急系统</w:t>
            </w:r>
          </w:p>
        </w:tc>
      </w:tr>
      <w:tr w14:paraId="6A513DBE">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8B83A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D02FE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应急值守管理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6C23C4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应急机构</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C8CFB1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所属企业、机构名称、负责人进行搜索，可查看所属企业、机构名称、负责人、联系电话、机构地址、机构职责以及应急机构详情等信息。可对应急机构信息进行新增、编辑、删除操作。可添加地图点位，实行应急机构的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4F1DC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610F8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E4E48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64F9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10A2A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489F4B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应急队伍</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9E27419">
            <w:pPr>
              <w:jc w:val="left"/>
              <w:rPr>
                <w:color w:val="auto"/>
                <w:highlight w:val="none"/>
              </w:rPr>
            </w:pPr>
            <w:r>
              <w:rPr>
                <w:rFonts w:ascii="宋体;SimSun" w:hAnsi="宋体;SimSun" w:eastAsia="宋体;SimSun" w:cs="宋体;SimSun"/>
                <w:color w:val="auto"/>
                <w:sz w:val="20"/>
                <w:szCs w:val="20"/>
                <w:highlight w:val="none"/>
              </w:rPr>
              <w:t>可通过机构列表、队伍名称、队伍分类搜索应急队伍，可查看队伍名称、队伍分类、队伍性质、负责人、联系电话、队伍人数、审核状态等信息。可对应急队伍进行新增、删除、审核、评估等操作。可查看队伍成员列表的姓名、性别、联系电话、职务、职责、备注等信息，可对应急队伍成员列表进行新增、删除操作。可通过机构列表、预案名称、预案类型、预案级别搜索应急预案，可查看预案名称、预案类型、预案级别、灾害种类、编制单位等信息。可对应急队伍进行新增、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04BB8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8A125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5A463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20863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E487F">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358A59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应急通讯录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66D90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可通过应急机构列表进行筛选，可查看企业应急通讯录的基础信息、机构成员的姓名、联系方式、职务、职责等信息。可对机构成员进行新增、删除等操作。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0B52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57F52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1A4482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965A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BBEBA0">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A57B7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值班计划</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E96C26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可通过值班机构列表进行搜索，可查看机构白班、晚班的值守人员、电话信息，可新增时间段的排班，可新增、修改、删除值守人员信息。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A7515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943F3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863AD8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9D40D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F5153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1D0139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值守简报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D21B18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可通过简报人进行搜索，可查看机构名称、简报类型、简报人、联系电话、简报内容、创建时间等信息，可新增、修改、删除值守简报信息。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9BBE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93DF8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BBFDFC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0086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A4CCF">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526DE9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值班统计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B1D101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可通过机构名称进行搜索，可查看机构名称、负责人、联系电话、当天值班人员、统计时间等值守统计信息。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3AFDE6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05FB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058EED5">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A96DC3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94A692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应急资源管理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A48AED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应急专家</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28557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可通过应急专家类型、专家姓名、业务领域进行搜索，可查看专家姓名、专家性别、联系方式、专业、职称、业务领域、审核状态等信息，可对应急专家进行新增、删除、审核、动态评估等操作。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33ABF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762557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62B1C2D">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101BA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09FFB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069B42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仓库管理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D13491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仓库名称、仓库分类、负责人进行搜索，可查看所属单位、仓库名称、仓库分类、负责人、联系电话、仓库面积、仓库地址及应急仓库的详情信息，可对应急仓库进行新增、修改、删除操作，可添加相应地图点位，实现地图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58B837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D89E3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119D99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E87EC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AB5B0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7A9D4A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应急物资</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D6858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应急物资类别、所属仓库、物资名称进行搜索。可查看所属仓库、物资名称、物资数量、用途、存储和运输要求、存放位置、有效期、检查日期、下次检查日期、审核状态及应急物资详情等信息。可对应急物资进行新增、编辑、删除、审核、动态评估等操作，可查看物资的检查记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B411F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7F222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08BB1A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9C394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997279">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556060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应急装备</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EF9B7D3">
            <w:pPr>
              <w:jc w:val="left"/>
              <w:rPr>
                <w:color w:val="auto"/>
                <w:highlight w:val="none"/>
              </w:rPr>
            </w:pPr>
            <w:r>
              <w:rPr>
                <w:rFonts w:ascii="宋体;SimSun" w:hAnsi="宋体;SimSun" w:eastAsia="宋体;SimSun" w:cs="宋体;SimSun"/>
                <w:color w:val="auto"/>
                <w:sz w:val="20"/>
                <w:szCs w:val="20"/>
                <w:highlight w:val="none"/>
              </w:rPr>
              <w:t>可通过应急装备类别、所属仓库、装备名称进行搜索。可查看所属仓库、装备名称、装备数量、用途、存储和运输要求、存放位置、有效期、检查日期、下次检查日期、审核状态及应急装备详情等信息。可对应急装备进行新增、编辑、删除、审核、动态评估等操作，可查看装备的检查记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B6B1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ABDCB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E31D3A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C963F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7B29B">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CF3F1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避难场所</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54644D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避难场所名称、避难场所级别进行搜索。可查看避难场所名称、避难场所级别、有效避难面积、负责人、负责人电话、场所地址等信息，可对避难场所进行新增、编辑、删除等操作，可添加相应地图点位，实现地图可视化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CD497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C4DFA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C70BDF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591F4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85A4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8A815E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救援场所</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9266FB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可通过场所名称、负责人、联系电话进行搜索。可查看救援场所名称、负责人、负责人电话、值班电话、场所地址、急救车辆数、病床数及救援场所详情等信息，可对救援场所进行新增、编辑、删除等操作。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A5AF3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BE189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A2F6E2">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B6780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D2219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应急预案管理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40C951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预案录入管理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25934A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支持突发事件总体应急预案、专项应急预案、部门预案、上级部门应急预案的分类管理，包括对预案的添加、修改、删除、评审、公布等基础维护管理功能。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9AC1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B21B9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46DA8D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6831F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11EA6F">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F8B2B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预案归档管理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CE76A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收录各行业总体预案、部门预案、专项预案等，实现对应急预案的电子化管理。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17CB0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A2587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43421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DF3C1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8DA8F">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23760F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预案查询管理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C2EAA9F">
            <w:pPr>
              <w:jc w:val="left"/>
              <w:rPr>
                <w:color w:val="auto"/>
                <w:highlight w:val="none"/>
              </w:rPr>
            </w:pPr>
            <w:r>
              <w:rPr>
                <w:rFonts w:ascii="宋体;SimSun" w:hAnsi="宋体;SimSun" w:eastAsia="宋体;SimSun" w:cs="宋体;SimSun"/>
                <w:color w:val="auto"/>
                <w:sz w:val="20"/>
                <w:szCs w:val="20"/>
                <w:highlight w:val="none"/>
              </w:rPr>
              <w:t>系统支持按照涉及行业、预案类别、预案名称、编制单位、适用范围等综合查询条件对预案进行查询、浏览、统计，并能够将查询结果以饼图、柱状图、统计报表等方式进行展示。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594E3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CF89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47E3C0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3B15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D669A">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8132D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D00164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案统计分析功能旨在通过预案数据汇总、事件关联分析、预案效能评估、应急演练成效记录以及预案改进建议等手段，深入分析应急预案的实际应用情况。系统将帮助园区管理部门评估预案的实际效果，识别优势预案并提供改进建议，生成趋势分析报告以指导长期预案优化，从而提升园区应对紧急情况的整体能力和管理水平。</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85335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586D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7489B4C">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76A38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56F5D4">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6CC3E7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预案库</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42AF9E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可通过应急预案列表、预案名称、预案类型、预案等级进行搜索。可查看预案名称、预案类型、预案等级、灾害种类、评审状态等信息。可对应急预案进行新增、删除、发布、评审等操作。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6DBC2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73120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8B2BCC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723F6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387FE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B1D92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知识库</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5D8CC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可通过知识库名称进行搜索，可查看知识库名称、主题、备注、添加时间及知识库详情信息，可对知识库进行新增、删除等操作。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E6A23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500B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23E632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66E0CC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3.4</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A1576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应急演练管理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DA6D78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演练计划管理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41F56D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演练计划管理是模拟演练系统的关键功能，包括分组设定、人员配置、演练流程配置和模拟演练计划管理四个环节。</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C9069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E4E956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7D6F24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A84CF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E44EB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4ED33D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演练过程记录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37D8D3A">
            <w:pPr>
              <w:jc w:val="left"/>
              <w:rPr>
                <w:color w:val="auto"/>
                <w:highlight w:val="none"/>
              </w:rPr>
            </w:pPr>
            <w:r>
              <w:rPr>
                <w:rFonts w:ascii="宋体;SimSun" w:hAnsi="宋体;SimSun" w:eastAsia="宋体;SimSun" w:cs="宋体;SimSun"/>
                <w:color w:val="auto"/>
                <w:sz w:val="20"/>
                <w:szCs w:val="20"/>
                <w:highlight w:val="none"/>
              </w:rPr>
              <w:t>模拟突发事件的触发，记录演练过程中的相关信息。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37478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631AF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BB3DF0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70253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B0EC1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A1BD79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效果评估管理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CD72C1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模拟演练效果评估是通过演练过程，对演练效率、效果进行评估，形成评估报告。</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64000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92BAD3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A0AD6DD">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EB4C3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3.5</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81317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应急指挥调度</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35B0C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应急车辆出动管理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5D6109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实时管控应急车辆状态、位置，接收指令后匹配最优车辆及路线，下达出动指令并跟踪轨迹，保障快速调度。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1A04E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2E46B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7B0C32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A88FE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160FB2">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D683DA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接处警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71F0C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快速接收各类应急报警，精准记录警情信息，及时分派处置任务，跟踪处置进度，实现接警处置闭环。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67741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3A41D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7FBF40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2DEB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BDD01">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C1751C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上报续报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126F76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支持应急事件信息快速上报，后续可补充事件进展、处置情况，确保信息传递及时、完整。</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312D52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A0921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D5BA1C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C9800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58A79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B64DB4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启动响应</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996408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根据警情等级，一键启动对应等级应急响应，同步推送响应指令及相关信息至各处置岗位。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8CF2A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2FC00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B53363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25E4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EF01B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AAF2A7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一键调度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61D748A">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发生紧急突发事件时，系统启动全流程自动化调度，严格遵循「就近优先、专业匹配、全员联动」原则，自动完成应急人员智能筛选、极速通知、现场编组分工；同步联动应急车辆资源，智能匹配适配车型、规划最优通行路线并实施全程轨迹追踪监管；同时对应急物资实行自动化闭环管控，通过智能匹配物资品类与用量、自动出库登记、精准配送投送、实时库存核销，全方位保障应急物资快速到位、精准适配现场处置需求。</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51E6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F4989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439057E">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6F8BA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3.6</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0097F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应急辅助决策</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9FDA7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5C66D39">
            <w:pPr>
              <w:jc w:val="left"/>
              <w:rPr>
                <w:color w:val="auto"/>
                <w:highlight w:val="none"/>
              </w:rPr>
            </w:pPr>
            <w:r>
              <w:rPr>
                <w:rFonts w:ascii="宋体;SimSun" w:hAnsi="宋体;SimSun" w:eastAsia="宋体;SimSun" w:cs="宋体;SimSun"/>
                <w:color w:val="auto"/>
                <w:sz w:val="20"/>
                <w:szCs w:val="20"/>
                <w:highlight w:val="none"/>
              </w:rPr>
              <w:t>1、二道门统计：可通过关联事件进行搜索，可查看统计名称、统计时间、人数、关联事件等信息，可对二道门统计进行新增、编辑、删除等操作。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2、人员定位统计：可通过关联事件进行搜索，可查看统计名称、统计时间、人数、关联事件等信息，可对人员定位统计进行新增、编辑、删除等操作。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A8803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7BB4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47C099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A07AB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E0B27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604BCB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车辆统计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BE6373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可通过关联事件进行搜索，可查看统计名称、统计时间、关联事件等信息，可对车辆统计进行新增、编辑、删除等操作。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07EA5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DA08F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9B6F14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DC6C6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A05F4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882E2C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研判分析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DFB518F">
            <w:pPr>
              <w:jc w:val="left"/>
              <w:rPr>
                <w:color w:val="auto"/>
                <w:highlight w:val="none"/>
              </w:rPr>
            </w:pPr>
            <w:r>
              <w:rPr>
                <w:rFonts w:ascii="宋体;SimSun" w:hAnsi="宋体;SimSun" w:eastAsia="宋体;SimSun" w:cs="宋体;SimSun"/>
                <w:color w:val="auto"/>
                <w:sz w:val="20"/>
                <w:szCs w:val="20"/>
                <w:highlight w:val="none"/>
              </w:rPr>
              <w:t>围绕事故灾难发展态势，应实现对事故灾难的后果模拟分析，支持调用现场视频、实时气象信息、气体浓度、人员定位系统数据和后果模拟分析（含火灾、爆炸和泄漏扩散模型，多米诺效应及次生衍生灾害分析模型等），生成应急处置方案，并提出风险防护、应急处置等决策建议，为高效化、专业化救援提供决策支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应实现线上会商研判和资源优化调配，能够推荐救援方案，实现救援队伍、应急物资、应急救援专家的精准调度。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39861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7A05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7ABBF4E">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1063923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4、封闭园区系统</w:t>
            </w:r>
          </w:p>
        </w:tc>
      </w:tr>
      <w:tr w14:paraId="015CD567">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23329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44D0B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封闭化基础信息管理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A34A87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封闭配置项</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01CBEE3">
            <w:pPr>
              <w:jc w:val="left"/>
              <w:rPr>
                <w:color w:val="auto"/>
                <w:highlight w:val="none"/>
              </w:rPr>
            </w:pPr>
            <w:r>
              <w:rPr>
                <w:rFonts w:ascii="宋体;SimSun" w:hAnsi="宋体;SimSun" w:eastAsia="宋体;SimSun" w:cs="宋体;SimSun"/>
                <w:color w:val="auto"/>
                <w:sz w:val="20"/>
                <w:szCs w:val="20"/>
                <w:highlight w:val="none"/>
              </w:rPr>
              <w:t>在该页面，可对封闭化不同配置项进行勾选。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1、运单显示种类：用户可以选择在运单中显示的车辆类型，包括社会车辆、外来人员、危化品车辆、危废车辆、普货车辆、工程车辆、园区车辆、园区员工车辆、企业车辆、企业员工车辆和其他类型。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2、运单定位：用户可以设置运单是否绑定定位设备。同时，可以指定运单是否需要绑定特定类型的车辆，如危化品车辆或危废车辆。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流程配置：用户可以为不同类型的车辆配置审批流程，包括企业审核和园区审批。具体配置如下：社会车辆、外来人员、普货车辆、工程车辆、园区车辆、企业车辆、企业员工车辆和其他类型的车辆可以选择是否需要企业审核或园区审批。危化品车辆和危废车辆默认需要企业审核和园区审批。</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4、停车场：可勾选是否配置车辆安全检查表。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这个界面允许用户根据实际的物流管理需求，灵活地配置运单的显示内容、定位要求以及审批流程，以确保运输过程的安全性和合规性。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92E6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CF03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A9FA1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AB29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5A05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47F58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企业基础信息管理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F70C7B1">
            <w:pPr>
              <w:jc w:val="left"/>
              <w:rPr>
                <w:color w:val="auto"/>
                <w:highlight w:val="none"/>
              </w:rPr>
            </w:pPr>
            <w:r>
              <w:rPr>
                <w:color w:val="auto"/>
                <w:highlight w:val="none"/>
              </w:rPr>
              <w:t>1、生产危化品名录：可通过化学品名称、企业目录查看生产危化品名录。对生产危化品可进行新增、修改、删除操作。</w:t>
            </w:r>
            <w:r>
              <w:rPr>
                <w:color w:val="auto"/>
                <w:highlight w:val="none"/>
              </w:rPr>
              <w:br w:type="textWrapping"/>
            </w:r>
            <w:r>
              <w:rPr>
                <w:color w:val="auto"/>
                <w:highlight w:val="none"/>
              </w:rPr>
              <w:t>2、使用危化品名录：可通过化学品名称、企业目录查看使用危化品名录。对使用危化品可进行新增、修改、删除操作。</w:t>
            </w:r>
            <w:r>
              <w:rPr>
                <w:color w:val="auto"/>
                <w:highlight w:val="none"/>
              </w:rPr>
              <w:br w:type="textWrapping"/>
            </w:r>
            <w:r>
              <w:rPr>
                <w:color w:val="auto"/>
                <w:highlight w:val="none"/>
              </w:rPr>
              <w:t>3、产生危废名录：可通过危废名称、企业目录查看产生危废名录。对产生危废可进行新增、修改、删除操作。</w:t>
            </w:r>
            <w:r>
              <w:rPr>
                <w:color w:val="auto"/>
                <w:highlight w:val="none"/>
              </w:rPr>
              <w:br w:type="textWrapping"/>
            </w:r>
            <w:r>
              <w:rPr>
                <w:color w:val="auto"/>
                <w:highlight w:val="none"/>
              </w:rPr>
              <w:t>4、处置危废名录：可通过危废名称、企业目录查看处置危废名录。对处置危废可进行新增、修改、删除操作。</w:t>
            </w:r>
            <w:r>
              <w:rPr>
                <w:color w:val="auto"/>
                <w:highlight w:val="none"/>
              </w:rPr>
              <w:br w:type="textWrapping"/>
            </w:r>
            <w:r>
              <w:rPr>
                <w:color w:val="auto"/>
                <w:highlight w:val="none"/>
              </w:rPr>
              <w:t>5、企业生产区：可通过企业目录查看企业生产区信息。对企业生产区可进行新增、修改、删除操作。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7B4CA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B413E6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97D37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E1005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8A424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BF80DF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第三方运输企业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C10ED8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在该页面，可通过企业目录、运输企业名称、联系人进行搜索查看操作。可查看第三方运输企业名称、企业编码、联系人、联系人电话、状态，可对第三方运输企业信息进行新增、修改、删除操作。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FEFEC9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3E349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7E7A99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A3D2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A1917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3CDC54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封闭分级管控</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D5F4549">
            <w:pPr>
              <w:jc w:val="left"/>
              <w:rPr>
                <w:color w:val="auto"/>
                <w:highlight w:val="none"/>
              </w:rPr>
            </w:pPr>
            <w:r>
              <w:rPr>
                <w:rFonts w:ascii="宋体;SimSun" w:hAnsi="宋体;SimSun" w:eastAsia="宋体;SimSun" w:cs="宋体;SimSun"/>
                <w:color w:val="auto"/>
                <w:sz w:val="20"/>
                <w:szCs w:val="20"/>
                <w:highlight w:val="none"/>
              </w:rPr>
              <w:t>1、道路管理：可通过路段名称、路段状态进行搜索。可查看路段名称、路段长度、点位高度、路段状态，可对道路信息进行新增、修改、删除操作。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2、路线规划：可通过路线名称、路线状态进行搜索。可查看路线名称、通行车辆类型、路线状态，可对路线规划进行新增、修改、删除操作。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3、风险因素管理：可通过风险分类、风险标题进行搜索。可查看风险分类、风险标题、风险内容，可对风险因素管理进行新增、修改、删除操作。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4、电子围栏：可通过围栏名称进行搜索。可查看围栏名称、围栏面积(m²)、风险因素、管控措施，可对电子围栏进行新增、修改、删除操作。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5、控制区管理：可通过区域名称进行搜索。可查看区域名称、负责人、负责人部门、负责人电话、控制区等级、管控措施，可对控制区管理进行新增、修改、删除操作，可添加控制区地图点位。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6F8BF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142DD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32B142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DC9A4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2BE80">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0E05EE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移动风险管理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9AC132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对出入园区的人员和车辆实现总量控制功能，结合技术手段，实现对园区内通行的路线、路段、时限进行管控，确保安全通行。对于超出总量阈值能自行实现卡口临时关闭功能。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CA3B7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A8B98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9CBD8D3">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3658D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4696A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门禁/卡口管理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BC760E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门禁/卡口管理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124D18D">
            <w:pPr>
              <w:jc w:val="left"/>
              <w:rPr>
                <w:color w:val="auto"/>
                <w:highlight w:val="none"/>
              </w:rPr>
            </w:pPr>
            <w:r>
              <w:rPr>
                <w:rFonts w:ascii="宋体;SimSun" w:hAnsi="宋体;SimSun" w:eastAsia="宋体;SimSun" w:cs="宋体;SimSun"/>
                <w:color w:val="auto"/>
                <w:sz w:val="20"/>
                <w:szCs w:val="20"/>
                <w:highlight w:val="none"/>
              </w:rPr>
              <w:t>1、卡口管理：可切换动作类卡口、检测类卡口进行搜索，并添加地图点位。可切换车辆卡口、人行卡口，通过卡口名称进行搜索，可查看卡口名称、卡口分类信息，对卡口列表进行新增、修改、删除操作。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2、车辆通行记录：可通过卡口目录、车牌号进行搜索。可查看设备编码、车牌号码、出入口、通行类型、车辆类型、通行时间、通行抓拍等信息。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3、人员通行记录：可通过人脸识别设备、姓名进行搜索。可查看设备编码、人员编码、姓名、人员类型、组织、卡号、通行类型、事件类型、通行时间、通行抓拍等信息。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E20AD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4846E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77FB1F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4C8E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B8F0B">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A8E724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定位设备管理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36A7CC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可通过设备编号、设备IMEI进行搜索。可查看设备编号、设备IMEI、所属卡口、设备状态、设备电量、是否使用，可对GPS设备进行新增、修改、删除操作。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A94D5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E1CF6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3814241">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182BE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3AF52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出入园管理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3A23BC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出入园申请、审核、授权管理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85B54C2">
            <w:pPr>
              <w:jc w:val="left"/>
              <w:rPr>
                <w:color w:val="auto"/>
                <w:highlight w:val="none"/>
              </w:rPr>
            </w:pPr>
            <w:r>
              <w:rPr>
                <w:rFonts w:ascii="宋体;SimSun" w:hAnsi="宋体;SimSun" w:eastAsia="宋体;SimSun" w:cs="宋体;SimSun"/>
                <w:color w:val="auto"/>
                <w:sz w:val="20"/>
                <w:szCs w:val="20"/>
                <w:highlight w:val="none"/>
              </w:rPr>
              <w:t>支持车辆、人员出入园申请、审核、长期/临时授权，支持危险化学品运输车辆预约、审核、授权，支持分区授权、异常行为报警和黑名单管理，支持车流统计等。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A54C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FED96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59D429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FBFEC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FF9A3B">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760E14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异常行为报警</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46C590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区域入侵报警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4F9E6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可通过设备名称、状态进行搜索，可查看区域入侵报警的设备名称、设备区域、报警类型、事件状态、报警时间、图片查看、处理状态等信息。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6E6CD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C383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D1E476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52B54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1F3FF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C93227">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AC951D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滞留报警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E94998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可通过申请企业、承运企业、承运车辆进行搜索，可查看滞留报警的运单编号、实际入园时间、申请企业、承运企业、承运车辆、运输物资、执法仪号码等信息。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0E932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7655C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A61FD41">
        <w:tblPrEx>
          <w:tblCellMar>
            <w:top w:w="0" w:type="dxa"/>
            <w:left w:w="108" w:type="dxa"/>
            <w:bottom w:w="0" w:type="dxa"/>
            <w:right w:w="108" w:type="dxa"/>
          </w:tblCellMar>
        </w:tblPrEx>
        <w:trPr>
          <w:trHeight w:val="9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02B60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4735E6">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FAE994">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0D80BD8">
            <w:pPr>
              <w:jc w:val="left"/>
              <w:rPr>
                <w:color w:val="auto"/>
                <w:highlight w:val="none"/>
              </w:rPr>
            </w:pPr>
            <w:r>
              <w:rPr>
                <w:rFonts w:ascii="宋体;SimSun" w:hAnsi="宋体;SimSun" w:eastAsia="宋体;SimSun" w:cs="宋体;SimSun"/>
                <w:color w:val="auto"/>
                <w:sz w:val="20"/>
                <w:szCs w:val="20"/>
                <w:highlight w:val="none"/>
              </w:rPr>
              <w:t>超速报警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6EB373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可通过车牌号、卡口名称、状态进行搜索，可查看超速报警的卡口名称、车牌号、违法类型、速度、超速阈值、报警时间、图片查看、处理状态等信息。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7FD2D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23B1B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B5355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CA6F3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650B22">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2E5DAD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黑白名单管理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18363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记录所有被列入黑名单的人员、车辆及其进出园区的记录，包括车辆进入时间、离开时间、出入口、离开口岸等信息。通过该功能可以方便管理人员对黑名单车辆进行监控和管理。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4D462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48A44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96A7FB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51EF5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A924F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4502B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7A187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旨在通过记录和分析出入园的数据，为园区管理部门提供实时的人员和车辆流动情况。该功能允许用户查看进出园人员和车辆的数量、时间分布、频次等统计信息，同时生成报表和图表展示数据趋势。</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F4DE5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A20EA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3EC566">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1D3AC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4.4</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15DAE36">
            <w:pPr>
              <w:jc w:val="center"/>
              <w:rPr>
                <w:color w:val="auto"/>
                <w:highlight w:val="none"/>
              </w:rPr>
            </w:pPr>
            <w:r>
              <w:rPr>
                <w:rFonts w:ascii="宋体;SimSun" w:hAnsi="宋体;SimSun" w:eastAsia="宋体;SimSun" w:cs="宋体;SimSun"/>
                <w:color w:val="auto"/>
                <w:sz w:val="20"/>
                <w:szCs w:val="20"/>
                <w:highlight w:val="none"/>
              </w:rPr>
              <w:t>危险化学品运输路径规划、定位和追踪</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D6017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危化品运输车辆道路规划</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9B066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基于园区企业布局、道路及卡口分布、人流轨迹、运输物料、专用停车场等信息，在线规划危险化学品车辆园区内行驶路径、专用车道、通行时段等，并结合危险化学品车辆行驶分布信息，不断优化相关行驶路径规划。</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C2A3B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639EF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D39B27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9533C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03A3F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DA49A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危化品运输车辆定位、轨迹跟踪</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06AD0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支持实时位置查询、轨迹回放、车辆运行数据统计等功能。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05064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7F7A6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2B31761">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0571D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4.5</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5F354D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人员分布管理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73881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人员分布动态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DDEA7C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接入企业人员定位系统，在平台地图上动态呈现园区内人员整体分布情况，支持按区域筛选查看。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9874A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D7AD2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68538A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15BFF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846FF1">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1A0ADB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实时位置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6F0723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对接定位系统，实时获取单个或多个人员具体位置，同步显示人员基础信息，支持快速定位查询。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010FE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26368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910FF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D180B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5F324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023F83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历史轨迹</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F922A6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依托定位系统，留存人员移动历史轨迹，支持按人员、时间段查询，实现轨迹可追溯。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76AF7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B2144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C3D42E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9E8E4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C6F859">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985CB2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异常报警提示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2565D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对接定位系统，监测人员异常状态，包含人员越界闯入报警、越界离岗 / 脱岗报警、高危区域滞留超时报警、区域超员报警、终端离线报警，触发异常时平台弹出报警提示，通知管理人员及时处置。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9531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9DC7A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7ADB46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553B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09D3B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E51B44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AE957F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汇总定位系统数据，对人员分布、流动情况进行简单统计分析，生成基础统计结果，支持数据导出。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42887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9AB5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70DE735">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690E32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4.6</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6FE58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应急处置</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1BF021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应急卡口一键开启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D6F63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支持突发事件发生，一键开启应急卡口。</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00F85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A7C0D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36DF03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3F20F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47998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525751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信息发布管理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9937B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可通过发布人进行搜索。可查看信息标题、发布人、发布内容、发布时间，可对信息发布进行新增、修改、删除操作，可进行模板编辑，对信息发布模板进行新增、修改、删除操作。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077F21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57167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ADD2C7">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06B24C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4.7</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500FB5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物流基础信息及运单管理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17E9E1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人员资质管理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1415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危险化学品运输车辆资质核验、人员信息线上录入；</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B450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81387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8BC054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47BE9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B2792B">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018C2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超期预警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AD03F8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人员资格证明超期、超限预警报警。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797DF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CADFF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A8908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488B7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30C82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137AB3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运单管理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5DB397">
            <w:pPr>
              <w:jc w:val="left"/>
              <w:rPr>
                <w:color w:val="auto"/>
                <w:highlight w:val="none"/>
              </w:rPr>
            </w:pPr>
            <w:r>
              <w:rPr>
                <w:rFonts w:ascii="宋体;SimSun" w:hAnsi="宋体;SimSun" w:eastAsia="宋体;SimSun" w:cs="宋体;SimSun"/>
                <w:color w:val="auto"/>
                <w:sz w:val="20"/>
                <w:szCs w:val="20"/>
                <w:highlight w:val="none"/>
              </w:rPr>
              <w:t>运单在线申请、审核、批准，接入企业物流信息数据。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62E7B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58F4D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E5072E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A246B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4F9DD">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63CD9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权限管理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58F11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运单申请审批通过后权限自动下发；</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E2804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30F7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CB01AF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B6686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D3069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393E61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运单统计分析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8C399D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汇总所有运单相关数据，实现运单全流程数据统计与简单分析。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2B84D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8DE73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334CC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31D15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4E8EE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B460DB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运输合法性识别</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4C1774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识别危险化学品和危险废物运输合法合规性，不合规自动报警。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BF9F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D168D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581AD1A">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460C1D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5、危化品停车场管理系统</w:t>
            </w:r>
          </w:p>
        </w:tc>
      </w:tr>
      <w:tr w14:paraId="7AD6AFC5">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70C7B6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D234B9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危化品停车场管理系统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CF4062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预约申请功能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A931E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为进入园区危化品停车场的车辆提供线上预约通道，支持车辆信息（车牌号、车型、危化品类别/品名、载重量）、预约时段、停放时长等信息提交，系统自动校验预约信息合规性，审核通过后生成预约凭证。</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F86F5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1F991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7D2EA3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62089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3A5C4">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E08A59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称重检测功能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53B98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自动称重比对合规标准，识别超载异常并预警，防范安全隐患。</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A16FF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A012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DC7248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9AEE3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AE83A">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6EE6A4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安全检查功能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23B5DC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检查车辆、危化品及相关人员，排查隐患，保障停放安全。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63853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5FA6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9700B6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576FD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1AC16">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01008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调度引导功能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89937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智能调度车位，引导车辆有序停放、高效离场，避免拥堵。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E78A5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655E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115576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CEFEB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E9C56A">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AD04ED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报警及预警监控功能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7D2EA0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实时监控停车场状态，异常情况自动报警、提前预警，及时处置。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C9848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C9D752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A03D0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0A13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FAF7E8">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78B423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统计分析功能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3113D2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统计车流、停放时长等数据，分析规律，为管理决策提供支撑。</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1A96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4FFD8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1197D1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F296A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54580">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213B75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信息发布功能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FA5FBE7">
            <w:pPr>
              <w:jc w:val="left"/>
              <w:rPr>
                <w:color w:val="auto"/>
                <w:highlight w:val="none"/>
              </w:rPr>
            </w:pPr>
            <w:r>
              <w:rPr>
                <w:rFonts w:ascii="宋体;SimSun" w:hAnsi="宋体;SimSun" w:eastAsia="宋体;SimSun" w:cs="宋体;SimSun"/>
                <w:color w:val="auto"/>
                <w:sz w:val="20"/>
                <w:szCs w:val="20"/>
                <w:highlight w:val="none"/>
              </w:rPr>
              <w:t>发布停车场空位、预警、通知等信息，方便车主及管理人员查看。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D3A34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AA8E4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FFBF4E6">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4109E216">
            <w:pPr>
              <w:jc w:val="left"/>
              <w:rPr>
                <w:color w:val="auto"/>
                <w:highlight w:val="none"/>
              </w:rPr>
            </w:pPr>
            <w:r>
              <w:rPr>
                <w:rFonts w:ascii="宋体;SimSun" w:hAnsi="宋体;SimSun" w:eastAsia="宋体;SimSun" w:cs="宋体;SimSun"/>
                <w:color w:val="auto"/>
                <w:sz w:val="20"/>
                <w:szCs w:val="20"/>
                <w:highlight w:val="none"/>
              </w:rPr>
              <w:t>6、能碳管理系统</w:t>
            </w:r>
          </w:p>
        </w:tc>
      </w:tr>
      <w:tr w14:paraId="03DF6758">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20D98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8E081F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能源管理系统</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A63785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企业能耗定额配置</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34BE1F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企业能耗定额制定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404EB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对园区企业的电力、蒸汽、水、天然气等能耗进行定性定额配置。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1539C0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7C2B5B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854AC6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89603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E086F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FAAC17">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94E0A8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企业能耗定额的更新</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2348F2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定期迭代更新企业的电力、蒸汽、水、天然气等能耗的定额配置。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82A773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F8344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D72D32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854E1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9F6C5B">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3F5DE0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能耗监测管理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968D9F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蒸汽数据管理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6B396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提供实时监测和定期手动填报两种形式，实现园区月度蒸汽环比分析数据及园区每天消耗数据等展示。对蒸汽消耗的详细数据进行展示，并进行使用量排行分析。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4934A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38C4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C6885E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416CE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FD74D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0D927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D75FD7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电力数据管理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9290596">
            <w:pPr>
              <w:jc w:val="left"/>
              <w:rPr>
                <w:color w:val="auto"/>
                <w:highlight w:val="none"/>
              </w:rPr>
            </w:pPr>
            <w:r>
              <w:rPr>
                <w:rFonts w:ascii="宋体;SimSun" w:hAnsi="宋体;SimSun" w:eastAsia="宋体;SimSun" w:cs="宋体;SimSun"/>
                <w:color w:val="auto"/>
                <w:sz w:val="20"/>
                <w:szCs w:val="20"/>
                <w:highlight w:val="none"/>
              </w:rPr>
              <w:t>提供实时监测和定期手动填报两种形式，实现园区电力月度消耗数据、企业电力消耗数据、电力环比增幅等数据展示。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60CF1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7649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C4127A9">
        <w:tblPrEx>
          <w:tblCellMar>
            <w:top w:w="0" w:type="dxa"/>
            <w:left w:w="108" w:type="dxa"/>
            <w:bottom w:w="0" w:type="dxa"/>
            <w:right w:w="108" w:type="dxa"/>
          </w:tblCellMar>
        </w:tblPrEx>
        <w:trPr>
          <w:trHeight w:val="9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903C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D976B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2B82A0">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9FE00F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天然气数据管理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1A048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提供实时监测和定期手动填报两种形式，实现园区天然气月度消耗数据、企业天然气消耗数据、企业天然气环比增幅等数据展示。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C5F8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47225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C3395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6274C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B4E1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AD1E53">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334DB5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用水数据管理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268313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提供实时监测和定期手动填报两种形式，实现园区用水月度消耗数据、企业用水消耗数据、企业用水环比增幅等数据展示。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4C1D3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02DC7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4445D06">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A74D4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2962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AB7CF">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D554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其他能源数据管理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1F4DEAA">
            <w:pPr>
              <w:jc w:val="left"/>
              <w:rPr>
                <w:color w:val="auto"/>
                <w:highlight w:val="none"/>
              </w:rPr>
            </w:pPr>
            <w:r>
              <w:rPr>
                <w:rFonts w:ascii="宋体;SimSun" w:hAnsi="宋体;SimSun" w:eastAsia="宋体;SimSun" w:cs="宋体;SimSun"/>
                <w:color w:val="auto"/>
                <w:sz w:val="20"/>
                <w:szCs w:val="20"/>
                <w:highlight w:val="none"/>
              </w:rPr>
              <w:t>提供实时监测和定期手动填报两种形式，实现企业其他能源（原煤（烟煤）、焦炭、氢气、汽油、柴油、生物质能（生物颗粒）、其他燃料（甲醇）等）月度消耗数据、企业其他能源使用环比增幅等数据展示。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7ED9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294CD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404C75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23AC9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1A6D8A">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9D65F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能耗预报警管理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949375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企业节能计划预报警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721847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根据能耗监测系统的监测数据，对能耗单位预先设定的能效对标及节能降耗等工作的进展进行监测和评估，对于即将超节点的工作进行预警，对于超节点或者指标未达标的工作进行报警。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EF250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72CA02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942C7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E9E35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875B5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EA9F6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FAB04E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企业用能超标预警报警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1EA368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根据能耗监测系统的监测数据，对企业能耗即将超过能耗配额的情况进行预警，对已超过定额，或者能耗剧烈变化的情况进行报警。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B81C0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5271E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173337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FCC22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E7FA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F6110">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5866EF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预警监测管理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13E5F2">
            <w:pPr>
              <w:jc w:val="left"/>
              <w:rPr>
                <w:color w:val="auto"/>
                <w:highlight w:val="none"/>
              </w:rPr>
            </w:pPr>
            <w:r>
              <w:rPr>
                <w:rFonts w:ascii="宋体;SimSun" w:hAnsi="宋体;SimSun" w:eastAsia="宋体;SimSun" w:cs="宋体;SimSun"/>
                <w:color w:val="auto"/>
                <w:sz w:val="20"/>
                <w:szCs w:val="20"/>
                <w:highlight w:val="none"/>
              </w:rPr>
              <w:t>系统提供预警报警监测管理功能，系统以列表的形式集中展示当前发生的预警报警事件，包括节能进展预警报警、企业用能超标预警报警和监测设备掉线报警。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82A60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53DB26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306C3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DBECC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6007F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982E05">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05E135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历史数据管理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BAA292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系统对已发生的预警报警进行历史数据归档管理功能，对预警报警事件发生的时间、来源、原因、报警级别等信息进行记录。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2D08C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0B7D8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E4800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DBF6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5BA5D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D9B99E">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ACF1BE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预报警信息推送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141F65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当预警或报警事件被触发时，系统向园区相关管理人员或者用能单位管理人员发送系统内消息。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5CB96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3C23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66AE9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379F5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1C399">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C8069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能源系数管理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41DC21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工业产值指数管理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CDEBFD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对园区企业的工业产值指数进行统一管理，企业以每月的形式录入产值。</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F0847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E3305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859D28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8BFF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0314B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14B693">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8A25EFB">
            <w:pPr>
              <w:jc w:val="left"/>
              <w:rPr>
                <w:color w:val="auto"/>
                <w:highlight w:val="none"/>
              </w:rPr>
            </w:pPr>
            <w:r>
              <w:rPr>
                <w:rFonts w:ascii="宋体;SimSun" w:hAnsi="宋体;SimSun" w:eastAsia="宋体;SimSun" w:cs="宋体;SimSun"/>
                <w:color w:val="auto"/>
                <w:sz w:val="20"/>
                <w:szCs w:val="20"/>
                <w:highlight w:val="none"/>
              </w:rPr>
              <w:t>工业产品能耗指数管理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DC8EFF4">
            <w:pPr>
              <w:jc w:val="left"/>
              <w:rPr>
                <w:color w:val="auto"/>
                <w:highlight w:val="none"/>
              </w:rPr>
            </w:pPr>
            <w:r>
              <w:rPr>
                <w:rFonts w:ascii="宋体;SimSun" w:hAnsi="宋体;SimSun" w:eastAsia="宋体;SimSun" w:cs="宋体;SimSun"/>
                <w:color w:val="auto"/>
                <w:sz w:val="20"/>
                <w:szCs w:val="20"/>
                <w:highlight w:val="none"/>
              </w:rPr>
              <w:t>对园区企业的产品单位能耗情况进行统一管理，企业每年更新一次，提交审核备案。</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4BB19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2EEE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4D4ED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B5062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3E588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CB35A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7B626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标煤折算系数管理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670B8C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对标煤折算系数进行统一管理，实现将所有企业的能耗数据折换成标煤进行统一对比。</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3B3FB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6B56F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EAF0FD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921C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1F75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3FB760">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451DB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企业月度产品申报管理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4E2C1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企业月度产品能耗相关信息的申报流程，实现产品产量、能耗数据的及时上报、审核与归档。</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212D0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CFE1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7803FE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21A45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3835B9">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7D5553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节能分析管理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E0E9AD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行业类别能耗统计分析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E0FF11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系统支持对园区企业所属不同的行业，统计分析各行业用电、用水、蒸汽、天然气的能耗总量汇总分析。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2E4F8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5EED0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C4CE07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33871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24C5E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20D94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A9CE0F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综合能耗统计分析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7B025F2">
            <w:pPr>
              <w:jc w:val="left"/>
              <w:rPr>
                <w:color w:val="auto"/>
                <w:highlight w:val="none"/>
              </w:rPr>
            </w:pPr>
            <w:r>
              <w:rPr>
                <w:rFonts w:ascii="宋体;SimSun" w:hAnsi="宋体;SimSun" w:eastAsia="宋体;SimSun" w:cs="宋体;SimSun"/>
                <w:color w:val="auto"/>
                <w:sz w:val="20"/>
                <w:szCs w:val="20"/>
                <w:highlight w:val="none"/>
              </w:rPr>
              <w:t>通过设定园区/企业的标准，实现各个企业能源统计数据与标杆企业之间的对比分析，方便管理者迅速分析判断能耗变化趋势及原因，挖掘节能潜力，找到能源管理的关键所在。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2171FC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5A8A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A60C34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D0513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072B0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C1C7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96FB1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各能耗消耗排行统计分析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298603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系统实现汇总分析，实现按日、月对各企业的各类能耗情况进行统计，并按照消耗进行排名。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3B8D6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5C4E75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F39AFC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0D1BA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47CB2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2888D6">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8E8E2E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各企业标煤数据统计分析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76054B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系统实现对企业按日、月、季度对各企业的标煤实施量统计分析，并按照标煤消耗量进行排名。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DDC12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FB18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0BEF48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0987C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18981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F0E5C9">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6E2E8A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单位生产总值统计分析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5E8D3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系统实现对企业按月、季度、年度对企业以标煤的形式，形成单位工业产值统计分析。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0B310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D6E74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E9F056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C8D1A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126AE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027F63">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632647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单位产品能耗统计分析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0A51EA">
            <w:pPr>
              <w:jc w:val="left"/>
              <w:rPr>
                <w:color w:val="auto"/>
                <w:highlight w:val="none"/>
              </w:rPr>
            </w:pPr>
            <w:r>
              <w:rPr>
                <w:rFonts w:ascii="宋体;SimSun" w:hAnsi="宋体;SimSun" w:eastAsia="宋体;SimSun" w:cs="宋体;SimSun"/>
                <w:color w:val="auto"/>
                <w:sz w:val="20"/>
                <w:szCs w:val="20"/>
                <w:highlight w:val="none"/>
              </w:rPr>
              <w:t>系统对企业按月、季度、年度对企业以标煤的形式，形成企业单位产品能耗统计分析。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EE948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2C30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D7A355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14222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DFE8C5">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D5E3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节能项目管理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7BE700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国家重点节能低碳技术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ED9D01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系统通过人工手动填报/上传或通过系统采集方式收录《国家重点节能低碳技术目录》，识别适合园区企业类型的节能典型项目。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DEA82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05604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3B1A8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49E0D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54F67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270174">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AF020E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节水节能专用设备</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75988E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聚焦节水节能专用设备的全生命周期管理，涵盖设备选型、采购、安装、运行、维护及报废等环节，跟踪设备节能效果。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95DD92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6EC5F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9A99F6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7E9F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4664B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6C4B23">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AD559F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节能措施与计划管理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62533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负责企业节能措施的制定、实施及节能计划的编制、推进与复盘。</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3271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877F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264F05D">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AABE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6863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FE8488">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6026E8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重点能耗设备管理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7F1D95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企业的重点能耗设备进行统一管理，企业能耗设备统一分类，建立园区各企业重点能耗设备管理整体框架，实现重点能耗设备台账管理（包括所属单位名称、设备名称、设备类别、用能分类、安装位置、规格型号等信息）、检修管理、缺陷管理、变更管理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B0E9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4B21E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DDAD1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ECBF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9B46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46FC1">
            <w:pP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FF03E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计量器具数据管理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75E3E3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主要对企业能源、水资源计量器具进行统一管理，包括计量器具的台账建立、校准、检定、使用及数据采集。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2FC9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43C4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E882E7">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20326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0E934E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碳排放管理</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50FDB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碳计划</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3EA191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填报计划</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BBA0CA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制定和管理碳排放数据填报计划，支持新增、修改、删除、查看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A3708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7939A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FD180F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5D35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43B28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BA62C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7CB2A9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填报任务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5693E05">
            <w:pPr>
              <w:jc w:val="left"/>
              <w:rPr>
                <w:color w:val="auto"/>
                <w:highlight w:val="none"/>
              </w:rPr>
            </w:pPr>
            <w:r>
              <w:rPr>
                <w:rFonts w:ascii="宋体;SimSun" w:hAnsi="宋体;SimSun" w:eastAsia="宋体;SimSun" w:cs="宋体;SimSun"/>
                <w:color w:val="auto"/>
                <w:sz w:val="20"/>
                <w:szCs w:val="20"/>
                <w:highlight w:val="none"/>
              </w:rPr>
              <w:t>分配和执行具体填报任务，支持新增、修改、删除、查看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674DB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1FA99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212562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1421C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576DF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E246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E747F9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碳排因子配置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6BBB49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配置碳排放计算因子参数，支持新增、修改、删除、查看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FE9AB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E2615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666B83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73B70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0E1F08">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A73E5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723F82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排放源管理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BE8BB3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管理企业碳排放来源信息，支持新增、修改、删除、查看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58D6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1C21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A219D0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DDB5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D794A">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766B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175B86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碳排放排查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ACAFF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开展碳排放数据排查工作，支持新增、修改、删除、查看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F249A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F65E64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532D52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95284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7E4C6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3D1AE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E6B26E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智慧能碳可信存证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705A02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能源碳排放数据区块链存证</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1ED65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8029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3DE72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1DC52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47CF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CFB10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5689A1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企业范围一、三碳排放管理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3D2F8F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管理直接排放和其他排放数据，支持查看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4F6F0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DC4EB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04D45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51F54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07952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E2E05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DA1DDE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企业范围二碳排放管理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EFF2DA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管理外购电力和热力碳排放数据，支持新增、修改、删除、查看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7DB99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9F313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59EB8F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AF67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DE7B3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920288">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ED0FD6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自动监测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F92DC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实时监测站点碳排放数据，包含实时数据、历史数据、站点配置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F9644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8D2FB1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6B820B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C40CC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CE05C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1FA5AF">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43DFA2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碳排放计算模型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86F142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建立并配置适用于本项目的碳排放计算模型，明确核算边界、排放因子及活动数据来源。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98B99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FBF66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2F911F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F630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9AB4A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055D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BE972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能耗分析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B0978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分析能源消耗情况，包含能源数据和能源分析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CD5AE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12D8A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04495F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08991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AF6945">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B70AE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碳减排</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637166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企业绿能填报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D45433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填报企业绿色能源使用情况，支持新增、修改、删除、查看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0740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248D1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216E6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3A479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F088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8C83FF">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A06A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减排项目管理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6DE212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管理碳减排项目信息，支持新增、修改、删除、查看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DF569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D43C1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5BAAC6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6B97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B543D">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C2907CA">
            <w:pPr>
              <w:jc w:val="center"/>
              <w:rPr>
                <w:color w:val="auto"/>
                <w:highlight w:val="none"/>
              </w:rPr>
            </w:pPr>
            <w:r>
              <w:rPr>
                <w:rFonts w:ascii="宋体;SimSun" w:hAnsi="宋体;SimSun" w:eastAsia="宋体;SimSun" w:cs="宋体;SimSun"/>
                <w:color w:val="auto"/>
                <w:sz w:val="20"/>
                <w:szCs w:val="20"/>
                <w:highlight w:val="none"/>
              </w:rPr>
              <w:t>碳资产管理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E95BA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碳配额管理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504D167">
            <w:pPr>
              <w:jc w:val="left"/>
              <w:rPr>
                <w:color w:val="auto"/>
                <w:highlight w:val="none"/>
              </w:rPr>
            </w:pPr>
            <w:r>
              <w:rPr>
                <w:rFonts w:ascii="宋体;SimSun" w:hAnsi="宋体;SimSun" w:eastAsia="宋体;SimSun" w:cs="宋体;SimSun"/>
                <w:color w:val="auto"/>
                <w:sz w:val="20"/>
                <w:szCs w:val="20"/>
                <w:highlight w:val="none"/>
              </w:rPr>
              <w:t>管理企业碳排放配额，支持新增、修改、删除、查看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726E8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7473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B72DF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1A2AD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59BBD6">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48E6B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04C5D2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CCER资产管理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C39266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管理国家核证自愿减排量，支持新增、修改、删除、查看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E3EA26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F505C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7A5691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BA33F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43D25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C365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16577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绿证管理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69F344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管理绿色电力证书，支持新增、修改、删除、查看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51F1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F5EDA1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359459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4527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8B769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B26237">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219126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绿电管理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4FBFAF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管理绿色电力消费，支持新增、修改、删除、查看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550B0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4BE73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6D8D6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F8EF5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229D86">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E605F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碳足迹</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265D1B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碳足迹配置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A688E3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配置碳足迹计算规则，支持新增、修改、删除、查看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2B3936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372C2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FEE6D6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42FC4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9587E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9EAB99">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66E47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碳排放足迹</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AD2C5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追踪和管理产品碳足迹，支持新增、修改、删除、查看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387B0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D5EA2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0E3802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89349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0AFEE">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70240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碳排放统计</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995D2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碳排放趋势</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D7D7ED9">
            <w:pPr>
              <w:jc w:val="left"/>
              <w:rPr>
                <w:color w:val="auto"/>
                <w:highlight w:val="none"/>
              </w:rPr>
            </w:pPr>
            <w:r>
              <w:rPr>
                <w:rFonts w:ascii="宋体;SimSun" w:hAnsi="宋体;SimSun" w:eastAsia="宋体;SimSun" w:cs="宋体;SimSun"/>
                <w:color w:val="auto"/>
                <w:sz w:val="20"/>
                <w:szCs w:val="20"/>
                <w:highlight w:val="none"/>
              </w:rPr>
              <w:t>统计和分析碳排放变化趋势，支持查看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A365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52BAD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B063F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D7305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38366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92AA0">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664F77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03BA1F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多维度分析碳排放数据，支持查看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763E90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CE07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342429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418B1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C8FB90">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BE812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企业碳排驾驶舱</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69E380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企业碳排放数据概览</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15100B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核心功能为一站式呈现企业年度核心能碳基础数据，支持选定年份快速查询。具体展示维度包括能耗总量、能耗强度、碳排放总量、碳排放强度、单位能耗碳排放等关键指标，同时通过可视化图表（如环形图）拆解电、热、天然气等能源类型的能耗占比及对应碳排放量，清晰呈现企业能碳消耗整体概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582131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F2FF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BFCA08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B1A16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1254D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4718B">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D20C2A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企业具体减排措施及成效</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C6B4AA5">
            <w:pPr>
              <w:jc w:val="left"/>
              <w:rPr>
                <w:color w:val="auto"/>
                <w:highlight w:val="none"/>
              </w:rPr>
            </w:pPr>
            <w:r>
              <w:rPr>
                <w:rFonts w:ascii="宋体;SimSun" w:hAnsi="宋体;SimSun" w:eastAsia="宋体;SimSun" w:cs="宋体;SimSun"/>
                <w:color w:val="auto"/>
                <w:sz w:val="20"/>
                <w:szCs w:val="20"/>
                <w:highlight w:val="none"/>
              </w:rPr>
              <w:t>聚焦企业减排实践落地成果，以列表形式清晰展示重点减排项目名称，并同步标注各项目对应的碳减排效果（量化为具体 CO₂e 数值）。通过 “措施 - 成效” 的直接关联，直观体现企业在分布式光伏、余热回收、电机改造、能源综合管理等减排行动中的实际价值。</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65C2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77F9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985818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23AF1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B70CE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7D1BC0">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35D3F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企业核心指标动态跟踪</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2EBF0C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企业关键能碳指标的全周期趋势监测，支持跨年度对比分析。核心监测指标包括单位能耗碳排放、碳排放总量、碳排放强度、白卡纸碳足迹，通过柱状图可视化呈现各指标的年度变化趋势，为企业能碳管理策略调整提供数据支撑。</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DCA61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E54DB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FE1E4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15E3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73F25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D7CCD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FB537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产品碳足迹</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76B08B7">
            <w:pPr>
              <w:jc w:val="left"/>
              <w:rPr>
                <w:color w:val="auto"/>
                <w:highlight w:val="none"/>
              </w:rPr>
            </w:pPr>
            <w:r>
              <w:rPr>
                <w:rFonts w:ascii="宋体;SimSun" w:hAnsi="宋体;SimSun" w:eastAsia="宋体;SimSun" w:cs="宋体;SimSun"/>
                <w:color w:val="auto"/>
                <w:sz w:val="20"/>
                <w:szCs w:val="20"/>
                <w:highlight w:val="none"/>
              </w:rPr>
              <w:t>针对企业核心产品，提供碳足迹全流程管理与认证展示功能。核心呈现产品碳足迹核定数值（CO₂e/t），并关联产品碳足迹公共服务平台认证链路，同步展示认证机构、证书等关键信息，实现产品碳足迹的透明化、可追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78804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88166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AC67D8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777E7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A3EF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4D68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E0265D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碳排放报告与认证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E2A27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核心承载企业碳排放报告管理与合规认证展示功能。支持查询指定年份碳排放报告，清晰呈现报告提交时间、碳排放核算总量等核心信息；同时展示报告的认证机构、核查声明等合规文件，保障碳排放数据的权威性与合规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85C45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6785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44486C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AC89B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34D37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73DBF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C09D4D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碳中和承诺声明</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9FA92E1">
            <w:pPr>
              <w:jc w:val="left"/>
              <w:rPr>
                <w:color w:val="auto"/>
                <w:highlight w:val="none"/>
              </w:rPr>
            </w:pPr>
            <w:r>
              <w:rPr>
                <w:rFonts w:ascii="宋体;SimSun" w:hAnsi="宋体;SimSun" w:eastAsia="宋体;SimSun" w:cs="宋体;SimSun"/>
                <w:color w:val="auto"/>
                <w:sz w:val="20"/>
                <w:szCs w:val="20"/>
                <w:highlight w:val="none"/>
              </w:rPr>
              <w:t>聚焦企业碳中和目标与行动承诺，明确展示承诺期限、阶段性减排总量目标、绿电消费计划、温室气体全年减排目标比例等核心内容，同时提供 “认购 / 注销”“声明报告” 等功能入口，实现企业碳中和承诺的公开公示与执行跟踪。</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C49495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4907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83D832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C804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B26AEB">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BDFF1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园区碳排驾驶舱</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1590DC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碳排放数据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83E99F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核心实现园区级核心能碳数据的实时汇总与查询，支持选定年份呈现园区能耗总量、园区能耗强度、园区碳排放总量、园区碳强度、单位能耗碳排放等关键指标，同时联动 “碳排放实时监测” 模块，补充日总排放量、直接 / 间接排放量（分能源类型拆解）、日外购电力碳排放量等动态数据，构建园区能碳数据全景视图。</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ED840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6BBA3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82C916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952D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0238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4EBFC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DEB9AD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能耗强度趋势分析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5B8EB3C">
            <w:pPr>
              <w:jc w:val="left"/>
              <w:rPr>
                <w:color w:val="auto"/>
                <w:highlight w:val="none"/>
              </w:rPr>
            </w:pPr>
            <w:r>
              <w:rPr>
                <w:rFonts w:ascii="宋体;SimSun" w:hAnsi="宋体;SimSun" w:eastAsia="宋体;SimSun" w:cs="宋体;SimSun"/>
                <w:color w:val="auto"/>
                <w:sz w:val="20"/>
                <w:szCs w:val="20"/>
                <w:highlight w:val="none"/>
              </w:rPr>
              <w:t>通过多维度图表可视化，实现园区能耗强度相关指标的跨年度趋势分析。可灵活切换园区能耗总量、园区碳强度、园区碳排放量、园区碳排放强度、单位能耗碳排放等监测维度，直观呈现园区能碳强度的变化规律，为园区节能降碳规划提供依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12D6D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180834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CCBE4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54884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36539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C0C95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6D2A9A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减碳要素</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ECE762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聚焦园区减碳核心资源与技术的量化统计，通过柱状图展示不同年份绿电（万千瓦时）、绿色氢气（万吨）、CCUS（千吨）、CCER（万吨）等减碳要素的储备 / 应用量，清晰呈现园区减碳能力的建设与发展趋势。</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423ED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A37C35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C118AD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698AE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D559C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C039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8D3C5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零碳园区核心指标动态跟踪</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064E788">
            <w:pPr>
              <w:jc w:val="left"/>
              <w:rPr>
                <w:color w:val="auto"/>
                <w:highlight w:val="none"/>
              </w:rPr>
            </w:pPr>
            <w:r>
              <w:rPr>
                <w:rFonts w:ascii="宋体;SimSun" w:hAnsi="宋体;SimSun" w:eastAsia="宋体;SimSun" w:cs="宋体;SimSun"/>
                <w:color w:val="auto"/>
                <w:sz w:val="20"/>
                <w:szCs w:val="20"/>
                <w:highlight w:val="none"/>
              </w:rPr>
              <w:t>针对零碳园区建设，实现核心绩效指标的跨周期动态监测，覆盖先导区、拓展区、转型区等园区功能分区。重点跟踪单位能耗碳排放、碳排放总量、碳强度三大核心指标在数年的数值变化，量化评估零碳园区建设进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AD2BA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C74F5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1B0C57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E7278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DDDC7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C7BA7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6BC4C8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重点企业碳排放</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AB717B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核心实现园区重点监管企业的能碳数据分级管理，以列表形式批量展示企业名称、能耗量、碳排放量（CO₂e）等核心数据，快速定位园区高能耗、高排放企业，为园区能碳管控、企业精准帮扶提供靶向数据支撑。</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F4982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6550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FC5FD5">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F67D4C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7、环保管理系统</w:t>
            </w:r>
          </w:p>
        </w:tc>
      </w:tr>
      <w:tr w14:paraId="2BA98C31">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68E5C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063ADC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信息档案管理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8613BF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园区基本信息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FB75C25">
            <w:pPr>
              <w:jc w:val="left"/>
              <w:rPr>
                <w:color w:val="auto"/>
                <w:highlight w:val="none"/>
              </w:rPr>
            </w:pPr>
            <w:r>
              <w:rPr>
                <w:rFonts w:ascii="宋体;SimSun" w:hAnsi="宋体;SimSun" w:eastAsia="宋体;SimSun" w:cs="宋体;SimSun"/>
                <w:color w:val="auto"/>
                <w:sz w:val="20"/>
                <w:szCs w:val="20"/>
                <w:highlight w:val="none"/>
              </w:rPr>
              <w:t>园区基本情况管理模块涵盖园区发展历程、规划执行情况、基础设施建设等，实现历年批复文件和规划文本的上传、查询和显示，同时以地图和图表形式展示产业定位、用地规划等；企业环境档案管理"包括企业注册、环保审批信息，支持电子文件上传、查询，并定期上报环境信息；周边环境信息管理则以地图和图表展示园区周边地理、敏感点、生态保护红线等信息。这些功能共同提供了全面的基本信息档案，支持管理人员更好地了解和维护园区环境。</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F33958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377E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ADA254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DA7BA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FE340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DC344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企业信息列表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4698EF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支持列表查看园区内所有企业信息，可以查看、编辑企业基础档案和企业环保档案，并且可以索引企业相关数据；可以按照企业标签、企业类型、企业名称、企业规模、企业状态、行业监管类型进行搜索查看。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DB6C8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E9FCB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9DE963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4F0EA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B75F33">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B3FBD8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企业基础信息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AFAC72E">
            <w:pPr>
              <w:jc w:val="left"/>
              <w:rPr>
                <w:color w:val="auto"/>
                <w:highlight w:val="none"/>
              </w:rPr>
            </w:pPr>
            <w:r>
              <w:rPr>
                <w:rFonts w:ascii="宋体;SimSun" w:hAnsi="宋体;SimSun" w:eastAsia="宋体;SimSun" w:cs="宋体;SimSun"/>
                <w:color w:val="auto"/>
                <w:sz w:val="20"/>
                <w:szCs w:val="20"/>
                <w:highlight w:val="none"/>
              </w:rPr>
              <w:t>支持新增企业信息，可以上传相关附件和LOGO等。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0E3E2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8D47D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FC2013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5E424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2F78C">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A238F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周边环境</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917EB4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周边环境信息涵盖工业园区周围敏感点、生态保护红线、自然环境、水系图信息、路网信息等，并应能实现动态更新。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68C77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B24E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BECA81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980AD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1E1C7C">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9DA11E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监测因子管理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D99B7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支持新增、编辑、删除及查看环境监测因子，包含监测因子类型、监测因子名称、监测因子编号、执行标准、标准编号等信息，可以按照监测因子类型和监测因子名称进行搜索查看。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6F655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F0C3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CCE46F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94AE1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88440">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11614B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化学品信息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202806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对园区化学品信息进行管理，并进行动态更新维护，确保园区企业生产使用的所有化学物料信息完整全面。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EF54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D8D49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BE1F7C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E0347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49CE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845874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生态环境分区管控</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8C200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支持新增、删除、查看生态保护红线、环境质量底线、资源利用上线和生态环境准入清单等信息。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EC21A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D3B24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16BCD07">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7EFD3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C3C3C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环境质量管理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D4612C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大气环境监测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8E6BBC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支持大气监测站实时监测查询、监测记录查询、手动监测信息查询和监测站点管理。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2F04B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9A6D6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E1D2B5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CCD81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236F3B">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B33691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地表水环境监测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BA0352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支持地表水监测站实时监测查询、监测记录查询、手动监测信息查询和监测站点管理。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DD548C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56A4D7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2ABC92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CE970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E7779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0458DA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地下水、土壤环境监测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86837F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支持地下水、土壤监测站实时监测查询、监测记录查询、手动监测信息查询和监测站点管理。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CCE0D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EEEFB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D72DD0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F80A6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DF9AB1">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92DC7C2">
            <w:pPr>
              <w:jc w:val="left"/>
              <w:rPr>
                <w:color w:val="auto"/>
                <w:highlight w:val="none"/>
              </w:rPr>
            </w:pPr>
            <w:r>
              <w:rPr>
                <w:rFonts w:ascii="宋体;SimSun" w:hAnsi="宋体;SimSun" w:eastAsia="宋体;SimSun" w:cs="宋体;SimSun"/>
                <w:color w:val="auto"/>
                <w:sz w:val="20"/>
                <w:szCs w:val="20"/>
                <w:highlight w:val="none"/>
              </w:rPr>
              <w:t>噪声环境监测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927EB75">
            <w:pPr>
              <w:jc w:val="left"/>
              <w:rPr>
                <w:color w:val="auto"/>
                <w:highlight w:val="none"/>
              </w:rPr>
            </w:pPr>
            <w:r>
              <w:rPr>
                <w:rFonts w:ascii="宋体;SimSun" w:hAnsi="宋体;SimSun" w:eastAsia="宋体;SimSun" w:cs="宋体;SimSun"/>
                <w:color w:val="auto"/>
                <w:sz w:val="20"/>
                <w:szCs w:val="20"/>
                <w:highlight w:val="none"/>
              </w:rPr>
              <w:t>支持噪声监测站实时监测查询、监测记录查询、手动监测信息查询和监测站点管理。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0FB2B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29D3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09E5BEF">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8EC2F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35467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污染源监督管理</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80963F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特征污染物</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02E820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特征污染物列表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69D257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支持对特征污染物列表化管理，可以新增、编辑、查看、删除特征污染物，信息包含污染物类型、特征物名称</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CAS号、是否优控、国家及地方管控物质、环境污染标准物、具备监测方法物质、高毒性物质、难降解物质、挥发性物质、异味物质等，可以按照污染物类型和特征物名称进行搜索查看。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0505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49266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22CAF7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3BDE2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26860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3897B0">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484B39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特征污染物企业</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C4F5D7B">
            <w:pPr>
              <w:jc w:val="left"/>
              <w:rPr>
                <w:color w:val="auto"/>
                <w:highlight w:val="none"/>
              </w:rPr>
            </w:pPr>
            <w:r>
              <w:rPr>
                <w:rFonts w:ascii="宋体;SimSun" w:hAnsi="宋体;SimSun" w:eastAsia="宋体;SimSun" w:cs="宋体;SimSun"/>
                <w:color w:val="auto"/>
                <w:sz w:val="20"/>
                <w:szCs w:val="20"/>
                <w:highlight w:val="none"/>
              </w:rPr>
              <w:t>支持导入、导出特征污染物企业排放信息，信息包含年份、特征物名称、CAS号、是否优控、企业名称、年排放许可、年排放量、单位等，可以进行新增、删除及按照企业名称、特征物名称和统计年份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269412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129C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5E826C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EAF58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DCD985">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88E20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污染物监测</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5A1B7F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废水排口监测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5086B5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支持废水排口监测记录查看、废水排口实时监测、废水排口手动监测及废水排口管理；废水排口管理支持新增、删除、编辑、查看、关联设备、关联区域。</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DCCD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AB85D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CFF91CA">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5A5B8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AFC74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7AAF3">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CDB46B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雨水排口监测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C84EC7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支持雨水排口监测记录查看、雨水排口实时监测、雨水排口手动监测及雨水排口管理；雨水排口管理支持新增、删除、编辑、查看、关联设备、关联区域。</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64EB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4197B3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22D156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9A20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18EDF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F8BBD3">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41AC5B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废气排口监测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617948D">
            <w:pPr>
              <w:jc w:val="left"/>
              <w:rPr>
                <w:color w:val="auto"/>
                <w:highlight w:val="none"/>
              </w:rPr>
            </w:pPr>
            <w:r>
              <w:rPr>
                <w:rFonts w:ascii="宋体;SimSun" w:hAnsi="宋体;SimSun" w:eastAsia="宋体;SimSun" w:cs="宋体;SimSun"/>
                <w:color w:val="auto"/>
                <w:sz w:val="20"/>
                <w:szCs w:val="20"/>
                <w:highlight w:val="none"/>
              </w:rPr>
              <w:t>支持废气排口监测记录查看、废气排口实时监测、废气排口手动监测及废气排口管理；废气排口管理支持新增、删除、编辑、查看、关联设备、关联区域。</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F3C12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A894F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EB0A1D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A890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FEFEF7">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F820EC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园区总量管理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5908E8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可以进行模板设置，支持新增、删除、编辑、查看园区总量管理模板，模板信息包含考核目标、关联因子、指标值、指标单位和指标描述；支持新增、删除、查看、编辑园区总量信息，可以按照年份进行筛查。</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C097A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BE4F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5B5256F">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6556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D59E22">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0508C7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工况管理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61EB91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工况设施管理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59FEA6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工况设施信息的新增、删除、编辑、查看，并且关联区域及绑定设备，设施信息包含设施状态、所属企业、工况设施类型、工况设施名称、工况设施编号、设施位置等，可以按照企业名称、工况设施类型及工况设施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17D1A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81B6C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37C987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6B2B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9C823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9E5B9">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1E20B8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工况线管理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AC39BA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工况线信息的新增、删除、编辑、查看，工况线信息包含工况线状态、所属企业、工况类型、工况线名称、工况线编号、负责人、联系电话等，可以按照企业名称、工况类型及工况线名称进行搜索查看，并且可以添加地图点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03EB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261DD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D762C3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A6E6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349A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EB1D9A">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8A6D5B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工况监测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507736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分类监管工况设施，监测信息包含工况线状态、所属企业、工况类型、工况线名称</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生产设施、治理设施、排放口等，可以按照企业名称、工况类型及工况线名称进行搜索查看。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271B90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F75CBC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05BC16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C5479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4AD6B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043770">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3EEAF9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工况报警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62C60F7">
            <w:pPr>
              <w:jc w:val="left"/>
              <w:rPr>
                <w:color w:val="auto"/>
                <w:highlight w:val="none"/>
              </w:rPr>
            </w:pPr>
            <w:r>
              <w:rPr>
                <w:rFonts w:ascii="宋体;SimSun" w:hAnsi="宋体;SimSun" w:eastAsia="宋体;SimSun" w:cs="宋体;SimSun"/>
                <w:color w:val="auto"/>
                <w:sz w:val="20"/>
                <w:szCs w:val="20"/>
                <w:highlight w:val="none"/>
              </w:rPr>
              <w:t>汇总工况报警信息，包含企业名称、流程名称、事件类型、流程标签、开始时间、结束时间、事件进展等，可以对报警事件进行处置闭环，可以按照企业名称、流程名称及报警时间进行搜索查看。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DA34D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C1CF8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02D2B3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0834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B063D8">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DDE98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漏点检测与修复</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C99AB8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首页</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8FF5E4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可视化展示LDAR漏点检测与修复关键信息，包含企业数量、总监测点数、在产排口总数、第三方检测企业数、园区挥发性污染物种类、园区当年漏点情况统计、园区VOCs总量趋势图和LDAR数据报表等。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FC943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CCC933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60330B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42B4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3AFD4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83DE1F">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3F962C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污染物类型管理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9180F7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支持对污染物类型信息的新增、删除、编辑、查看，信息包含污染物类型及污染物描述，可以按照污染物类型进行搜索查看。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19319D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C31CF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71E490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EE16D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1462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AABA01">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2C032A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流体介质管理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1D8701F">
            <w:pPr>
              <w:jc w:val="left"/>
              <w:rPr>
                <w:color w:val="auto"/>
                <w:highlight w:val="none"/>
              </w:rPr>
            </w:pPr>
            <w:r>
              <w:rPr>
                <w:color w:val="auto"/>
                <w:highlight w:val="none"/>
              </w:rPr>
              <w:t>支持对流体介质信息的新增、删除、编辑、查看，信息包含化学品名称、英文名称</w:t>
            </w:r>
            <w:r>
              <w:rPr>
                <w:color w:val="auto"/>
                <w:highlight w:val="none"/>
              </w:rPr>
              <w:br w:type="textWrapping"/>
            </w:r>
            <w:r>
              <w:rPr>
                <w:color w:val="auto"/>
                <w:highlight w:val="none"/>
              </w:rPr>
              <w:t>CAS号、沸点(°C)、蒸气压(20°C下，Pa)、VOCs、HAPs等，可以按照化学品名称和CAS号进行搜索查看。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D288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68E62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9F34B2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BF3C0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DC81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F1CE6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A5657F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企业档案管理（企业档案）</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40ADC9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支持查看及维护企业档案信息，包含企业信息、生产区信息、装置信息、设备信息、排放点信息及检测档案等。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4F88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8CAD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E08F4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55396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AAC67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9DBB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30812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漏点检测（检测数据列表）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179F466">
            <w:pPr>
              <w:jc w:val="left"/>
              <w:rPr>
                <w:color w:val="auto"/>
                <w:highlight w:val="none"/>
              </w:rPr>
            </w:pPr>
            <w:r>
              <w:rPr>
                <w:rFonts w:ascii="宋体;SimSun" w:hAnsi="宋体;SimSun" w:eastAsia="宋体;SimSun" w:cs="宋体;SimSun"/>
                <w:color w:val="auto"/>
                <w:sz w:val="20"/>
                <w:szCs w:val="20"/>
                <w:highlight w:val="none"/>
              </w:rPr>
              <w:t>支持列表化管理漏点检测数据，可以新增、编辑、删除、查看检测数据，并且能够更新检测数值，检测信息包含所属企业、所属生产区、所属装置、所属设备、排放点名称、排放点类型、流体介质、流体种类、检测值等，可以按照所属企业、设备名称、所在生产区、排放点名称、装置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087F9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009C3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E8069A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F5179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40C38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448D6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084268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漏点检测（检测数据列表）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FB92FE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支持导入、导出数据监测信息，可以对信息进行新增、删除、编辑、查看并在地图上添加点位，可以按照区域、密封点编号和类型进行搜索查看。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4A17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650E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C82C8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28DF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87533A">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F1BB5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节能减排管理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75BBE6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国家重点节能低碳技术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7A57D31">
            <w:pPr>
              <w:jc w:val="left"/>
              <w:rPr>
                <w:color w:val="auto"/>
                <w:highlight w:val="none"/>
              </w:rPr>
            </w:pPr>
            <w:r>
              <w:rPr>
                <w:color w:val="auto"/>
                <w:highlight w:val="none"/>
              </w:rPr>
              <w:t>支持导入、导出、新增、删除、修改、查看国家重点低碳节能技术相关信息。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C0C45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03CD5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09D12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D5FB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954AC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4BBEA">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19E7B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设备及节能计划管理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D42FD58">
            <w:pPr>
              <w:jc w:val="left"/>
              <w:rPr>
                <w:color w:val="auto"/>
                <w:highlight w:val="none"/>
              </w:rPr>
            </w:pPr>
            <w:r>
              <w:rPr>
                <w:color w:val="auto"/>
                <w:highlight w:val="none"/>
              </w:rPr>
              <w:t>支持对计量器具、重点能耗设备、节水节能专用设备和节能计划与措施管理。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0913D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AD630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8CED80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B2881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3EA0D7">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21BE5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202C1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危废档案管理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9DBFEF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支持对园区危废类别和危废八位码信息管理，可以新增、删除、编辑及查看等。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D15AF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C46C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B63501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2A71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9A2CB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50CB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088A6C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危废转移联单追溯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180AD6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实现对危废转移的追踪溯源，可以查看企业转移联单备案记录和转移联单台账。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9660F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5D4EA3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8EDA17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ADDB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4995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8C3BF7">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A4FE92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企业月度备案</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6CCAA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实现对企业月度危废处置情况的信息查看，支持查看企业备案记录及企业台账，台账信息包含产品生产、危废产生、危废自行利用处置、危废委托利用、危废贮存及相关汇总信息查看。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921B8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1737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9EA8E6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983C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81F1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7DC45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A973CA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危废产生过程监管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0381180">
            <w:pPr>
              <w:jc w:val="left"/>
              <w:rPr>
                <w:color w:val="auto"/>
                <w:highlight w:val="none"/>
              </w:rPr>
            </w:pPr>
            <w:r>
              <w:rPr>
                <w:rFonts w:ascii="宋体;SimSun" w:hAnsi="宋体;SimSun" w:eastAsia="宋体;SimSun" w:cs="宋体;SimSun"/>
                <w:color w:val="auto"/>
                <w:sz w:val="20"/>
                <w:szCs w:val="20"/>
                <w:highlight w:val="none"/>
              </w:rPr>
              <w:t>实现对危废产生过程的监管，可以查看年度产废企业数量、许可产废规模等信息。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F9ECBD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3E023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CD7A0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960E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7A99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E72DF4">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FB9AB0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危废分类统计分析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D4D80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实现对危废产生量、危废贮存量、危废自行处置量及危废委托处置量的统计分析。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A95424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E2532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A0AD08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735C1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644CD4">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BA63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F6E996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危废贮存过程监督</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1F7ED1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实现对贮存企业数量、许可存储能力等信息的统计查询。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8187A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FA831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86835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8EE2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09B13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3F75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D4792F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危废利用处置监管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F7AE0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主要是对危废利用处置台账和危废利用处置单位信息管理。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ED187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C6952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7C77A5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61659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90AA1D">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67FBCE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企业用车管理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08EB81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对进出园区车辆信息进行管理和记录的功能，包括但不限于车辆进出时间、车牌号、排放阶段、运输的货物种类和运量等信息。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08185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F615D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737A765">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AB7E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049141">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3EFAF8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新污染物治理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7B4D6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化学物质申报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23EF185">
            <w:pPr>
              <w:jc w:val="left"/>
              <w:rPr>
                <w:color w:val="auto"/>
                <w:highlight w:val="none"/>
              </w:rPr>
            </w:pPr>
            <w:r>
              <w:rPr>
                <w:color w:val="auto"/>
                <w:highlight w:val="none"/>
              </w:rPr>
              <w:t>提供一个平台，让园区内的企业可以在线提交他们使用的化学物质的详细信息，包括物质名称、用途、数量等。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3687C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5A0FE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0DD0E83">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E8C1D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6A921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8FD2AD">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559B3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监测信息管理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64194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用于记录和管理园区内所有化学物质的监测信息，包括监测时间、监测结果、监测方法等。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36CF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D261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80BF7E">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274AC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5A09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8507A3">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8D19DF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物质筛查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A8392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根据预设的筛查标准，自动对园区内的化学物质进行筛查，筛选出可能存在风险的物质。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0470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B23F4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830268">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9C37F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91C8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57F6A5">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9F80AE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0A964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提供一套完整的数据管理系统，包括数据导入、导出、查询、统计等功能，方便用户对数据进行管理和分析。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8DBB7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D6B21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06B3EF2">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3B3D9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6377F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2CCD89">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CF27ED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预警系统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47E52D4">
            <w:pPr>
              <w:jc w:val="left"/>
              <w:rPr>
                <w:color w:val="auto"/>
                <w:highlight w:val="none"/>
              </w:rPr>
            </w:pPr>
            <w:r>
              <w:rPr>
                <w:rFonts w:ascii="宋体;SimSun" w:hAnsi="宋体;SimSun" w:eastAsia="宋体;SimSun" w:cs="宋体;SimSun"/>
                <w:color w:val="auto"/>
                <w:sz w:val="20"/>
                <w:szCs w:val="20"/>
                <w:highlight w:val="none"/>
              </w:rPr>
              <w:t>根据监测信息和物质筛查的结果，自动生成预警信息，提醒用户关注可能存在风险的物质。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ACCEC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8996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02008F5">
        <w:tblPrEx>
          <w:tblCellMar>
            <w:top w:w="0" w:type="dxa"/>
            <w:left w:w="108" w:type="dxa"/>
            <w:bottom w:w="0" w:type="dxa"/>
            <w:right w:w="108" w:type="dxa"/>
          </w:tblCellMar>
        </w:tblPrEx>
        <w:trPr>
          <w:trHeight w:val="238"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8716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F75E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1B8E75">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95F9C7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报告生成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2EBF1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根据用户的需要，自动生成各种报告，包括化学物质申报报告、监测报告、筛查报告等。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08504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48E7C1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7AB1CA0">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9DC39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7.4</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BDDEC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预警与溯源管理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6096D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预警与溯源管理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626A5B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整合园区环境质量监测数据、污染源在线监测数据、特征污染物名录库、工况监控、气象条件等多维度的时空数据，通过数据关联分析和校验、模型反演等手段实现园区大气和水污染物溯源分析，具备对园区及周边环境投诉及质量超标等问题的溯源能力。</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C4A6B5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02948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00AF62E">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1B0BEB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7.5</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3EEB5B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园区限值限量管理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31CF9AB">
            <w:pPr>
              <w:jc w:val="left"/>
              <w:rPr>
                <w:color w:val="auto"/>
                <w:highlight w:val="none"/>
              </w:rPr>
            </w:pPr>
            <w:r>
              <w:rPr>
                <w:rFonts w:ascii="宋体;SimSun" w:hAnsi="宋体;SimSun" w:eastAsia="宋体;SimSun" w:cs="宋体;SimSun"/>
                <w:color w:val="auto"/>
                <w:sz w:val="20"/>
                <w:szCs w:val="20"/>
                <w:highlight w:val="none"/>
              </w:rPr>
              <w:t>园区限值限量管理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C2B499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包含模型计算管理、限值限量监控管理等模块，满足省级生态环境主管部门的限值限量管理工作需求。</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0674C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794B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B0525F0">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2F824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7.6</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7358127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重污染天气应急管理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0921C6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重污染天气应急管理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173682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根据上级下达的重污染天气应急管理要求一键通知关联企业和接收企业反馈或上传应对措施落实情况等功能。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6164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EE855D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D3C8B25">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56A33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7.7</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871AF98">
            <w:pPr>
              <w:jc w:val="center"/>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"http://10.25.20.12:5999/ecological-environment-protection/risk_emergency_management" \h </w:instrText>
            </w:r>
            <w:r>
              <w:rPr>
                <w:color w:val="auto"/>
                <w:highlight w:val="none"/>
              </w:rPr>
              <w:fldChar w:fldCharType="separate"/>
            </w:r>
            <w:r>
              <w:rPr>
                <w:rFonts w:hint="eastAsia" w:ascii="宋体" w:hAnsi="宋体" w:eastAsia="宋体" w:cs="宋体"/>
                <w:color w:val="auto"/>
                <w:highlight w:val="none"/>
              </w:rPr>
              <w:t>园区风险与应急管理</w:t>
            </w:r>
            <w:r>
              <w:rPr>
                <w:rFonts w:hint="eastAsia" w:ascii="宋体" w:hAnsi="宋体" w:eastAsia="宋体" w:cs="宋体"/>
                <w:color w:val="auto"/>
                <w:highlight w:val="none"/>
              </w:rPr>
              <w:fldChar w:fldCharType="end"/>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09216A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环境风险源信息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28C44B6">
            <w:pPr>
              <w:jc w:val="left"/>
              <w:rPr>
                <w:color w:val="auto"/>
                <w:highlight w:val="none"/>
              </w:rPr>
            </w:pPr>
            <w:r>
              <w:rPr>
                <w:rFonts w:ascii="宋体;SimSun" w:hAnsi="宋体;SimSun" w:eastAsia="宋体;SimSun" w:cs="宋体;SimSun"/>
                <w:color w:val="auto"/>
                <w:sz w:val="20"/>
                <w:szCs w:val="20"/>
                <w:highlight w:val="none"/>
              </w:rPr>
              <w:t>支持新增编辑、删除、查看环境风险源信息，信息包含所属企业、环境风险源名称、涉及风险工艺或设备、典型事件情景、事件类型、涉及对象、事件级别等，可以按照企业名称、典型事件情景和典型事件类型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41D7A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E8DA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959A88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CA8D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DD542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30CE3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危险化学品管理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99B4C7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支持对企业使用或涉及的化学品关键信息的统计和分析功能，包括但不限于化学品名称、数量、贮存形式、环境危害性特征、是否构成重大危险源等信息。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B6973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699F2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B3842F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EEA6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32D85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BCF16F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园区环境应急管理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A9C0F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支持对环境风险应急预案、环境风险评估、突发环境事件隐患排查治理、应急物资储备及应急处置救援体系建设等信息的管理。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11676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6A5EF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B2BD10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1C161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7.8</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7FB3E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综合决策</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6B37F4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问题线索督办</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C6CC4F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编辑、删除、查看问题线索督办信息，信息包含整改状态、所属企业、问题标题、问题内容描述、问题类型、隐患级别、完成整改日期、督办状态、提出时间等，可以按照企业名称、整改状态、问题类型、问题标题、隐患级别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D9DE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FDC4B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E14B6D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DD34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879DE0">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C3C298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园区绩效评价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55501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汇总园区绩效评价信息，支持对园区经济填报信息、环境风险评估信息、环境绩效评估信息、绿色发展评估信息的查询与维护。</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28940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811A3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E20D7F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EC963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AFD231">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404E63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信息公开</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094B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园区综合信息公开管理，包含园区新闻、政府办事流程、上级文件管理、环境时间及违法管理、信访投诉管理等。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07B4F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20BE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49AEC0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8E7B3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D47FB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76ECE5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报表管理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7FE864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园区环境信息进行统计分析，具备定时自动生成各类规范报表，包括日报、周报、月报、季报、年报、超标报表、断线报表等，支持各类数据的横向和纵向自定义统计和分析功能，具备报表打印、导出、查询、编辑等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9727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8A88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ED1C138">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D4A9E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7.9</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1EBCE6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园区三级防控体系管理系统</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768F76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环境应急信息档案</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681BA9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环境应急空间与设施</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20A3C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雨水排口闸阀、污水排口闸阀、事故应急池，园区公共雨水管网、污水管网、雨水排口闸阀、污水排口闸阀、园区事故应急池、固定转输设施、废水处理设施，以及园区内河道、沟渠、闸坝、临时筑坝点等基本信息（含名称、类型、经纬度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C9F66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12CA7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A09CFE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19C6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41370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2D5F2">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9BDBF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环境风险三清单管控</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D891FE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建立并更新“风险企业分级分类管理、风险物质基础信息、环境敏感保护目标”三个清单；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58C3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E9DB7F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70CB94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0813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E48BE4">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3E7A12">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F0579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突发水污染事件统计分析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519A22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化工园区内突发水污染防控事件综合查询和统计分析并形成电子档案。</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F3380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C942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0C8E4F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871FB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E7AC5D">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A09A61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园区突发水污染事件应急全景指挥图</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861ADF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园区周边水系展示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F0683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园区周边水系展示，基于三维地图标注园区周边水系，包括重点环境敏感目标、河流水文水系等。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308DE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A602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85DF0C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A693E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D72B36">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046764">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F5B1DD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集成数据展示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D33E815">
            <w:pPr>
              <w:jc w:val="left"/>
              <w:rPr>
                <w:color w:val="auto"/>
                <w:highlight w:val="none"/>
              </w:rPr>
            </w:pPr>
            <w:r>
              <w:rPr>
                <w:rFonts w:ascii="宋体;SimSun" w:hAnsi="宋体;SimSun" w:eastAsia="宋体;SimSun" w:cs="宋体;SimSun"/>
                <w:color w:val="auto"/>
                <w:sz w:val="20"/>
                <w:szCs w:val="20"/>
                <w:highlight w:val="none"/>
              </w:rPr>
              <w:t>接入企业、园区、河道等在线数据，合理构建园区突发事故预警体系；接入企业、园区、河道等监控视频实景化展示企业、园区、河道实时情况。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8D933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E2895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FA742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570A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4B493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2AA690">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FB77FD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一级防控调度展示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061E9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关闭所有可能外溢事故污水的外排口，利用企业自身的围堰、应急池等环境应急防控设施，将污水控制在企业厂区内部。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1276C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ACAF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45143C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B97F5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1C9C2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3EE40">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7350DB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二级防控调度展示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FAB7D1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通过专用管道或临时转输措施，与相邻企业应急池、园区公共应急池等互联互通，拦截处置事故污水。</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6C1FB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7A887F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18077C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57262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94A41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0B0CDB">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5737D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三级防控调度展示</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AC022C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利用园区内的坑塘、河道、沟渠以及周边水系等过闸筑坝，构建环境应急防控空间，对进出园区的水体实施封闭或分段管控。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8167E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AF0BA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CDFE3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B5E07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BED2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FA630B">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1955C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水污染事件园企联动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70D7F75">
            <w:pPr>
              <w:jc w:val="left"/>
              <w:rPr>
                <w:color w:val="auto"/>
                <w:highlight w:val="none"/>
              </w:rPr>
            </w:pPr>
            <w:r>
              <w:rPr>
                <w:rFonts w:ascii="宋体;SimSun" w:hAnsi="宋体;SimSun" w:eastAsia="宋体;SimSun" w:cs="宋体;SimSun"/>
                <w:color w:val="auto"/>
                <w:sz w:val="20"/>
                <w:szCs w:val="20"/>
                <w:highlight w:val="none"/>
              </w:rPr>
              <w:t>园区智慧平台收到突发水环境事件接警通知，接警消息同步至三级防控应急调度一张图，系统根据事故级别辅助决策是否开启企业一级防控。一级防控：集成企业雨水排口数据、视频实时监控、雨水外排阀、一级防控联系人、可用物资清单、应急池容等。在一张图上自动打开企业视频与周边应急物资、人员根据事故情况辅助园区管理人员远程控制企业雨水外排阀。</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89159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0B96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D679D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E3A0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4D2F6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0FB4DF">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7D469D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园区二级防控调度系统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EF22FB4">
            <w:pPr>
              <w:jc w:val="left"/>
              <w:rPr>
                <w:color w:val="auto"/>
                <w:highlight w:val="none"/>
              </w:rPr>
            </w:pPr>
            <w:r>
              <w:rPr>
                <w:rFonts w:ascii="宋体;SimSun" w:hAnsi="宋体;SimSun" w:eastAsia="宋体;SimSun" w:cs="宋体;SimSun"/>
                <w:color w:val="auto"/>
                <w:sz w:val="20"/>
                <w:szCs w:val="20"/>
                <w:highlight w:val="none"/>
              </w:rPr>
              <w:t>当一级防控无法兜底需要启动园区二级防控体系，二级防控：统一纳管园区公共应急转输管网、转输泵及各池体有效池容信息、接入园区管网节点操作及维护人员信息、关联大企业及园区应急物资、专家、队伍信息。启动二级防控体系时明确突发事件类型根据以上装备物资及事故类型影响分析可能波及的路线与范围，辅助园区进行管网节点操作与园区雨水闸门远程启闭管理，实时显示周边应急池容积同时接入污水处理厂联系人及危废紧急处置联系人信息，建立与园区水污染物特征因子库匹配能力，推荐相关方向专家。</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C19B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E587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5AA998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7B147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CAB344">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A9D827">
            <w:pPr>
              <w:jc w:val="left"/>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B8107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区内水系三级防控调度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CA363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三级防控：接入三级拦截闸坝、拦截坝相关闸阀状态实现分区管控与应急联动；实时监测河道等缓冲设施剩余容量，有效在线调度各类设施设备实现废水走向控制确保事故废水不出园区。</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18623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D26C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54FBF63">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4C8ED3F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8、公共服务</w:t>
            </w:r>
          </w:p>
        </w:tc>
      </w:tr>
      <w:tr w14:paraId="1A0E4065">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3E2D7F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BCBEFBA">
            <w:pPr>
              <w:jc w:val="center"/>
              <w:rPr>
                <w:color w:val="auto"/>
                <w:highlight w:val="none"/>
              </w:rPr>
            </w:pPr>
            <w:r>
              <w:rPr>
                <w:rFonts w:ascii="宋体;SimSun" w:hAnsi="宋体;SimSun" w:eastAsia="宋体;SimSun" w:cs="宋体;SimSun"/>
                <w:color w:val="auto"/>
                <w:sz w:val="20"/>
                <w:szCs w:val="20"/>
                <w:highlight w:val="none"/>
              </w:rPr>
              <w:t>培训考核管理系统</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06C9E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日常培训</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834E8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培训计划</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73D75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支持新增、删除、查看培训计划信息，信息包含计划名称、课程名称、培训类别、培训学时(分钟)、开始时间、结束时间、状态等，可以按照计划名称、课程名称、培训类别进行搜索查看。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38AED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6FC7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3F8AC0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5DF92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122E5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531AC2">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FC948C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在线考试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8FD1E0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提供园区内企业人员在线进行考试的功能。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16031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B1801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430785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8D9E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47EBA9">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4DA66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FE6DF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培训记录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7B2FD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包含企业人员考试记录信息及课程进度信息，考试记录信息包含人员姓名、试卷名称、培训计划名称、考试时间、考试成绩、考试结果、用时(分钟)等，课程进度信息包含人员姓名、课程名称、学习时长(分钟)、课程学时(分钟)、学习进度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DA663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689FA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DF518B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8A00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63B9EA">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3B0257">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2CC50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培训统计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4E5D7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可以查看培训概览，信息包含视频课程数量、文档课程数量、企业证书数量、到期证书数量、人员奖励次数和人员处罚次数；可以查看培训统计信息，支持以图表的形式进行培训统计数据的展现。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A755E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4FDDC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415A1A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4E36B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B5030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ADF8EF">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CACFB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在线学习</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279FCD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支持园区内人员在线学习培训课程。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5E6FE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1B0583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D1AF4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D0397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775DBB">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E2C11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7CEDF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线下培训记录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5994F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支持新增、删除、查看、编辑线下培训记录信息，信息包含人员姓名和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培训日期、培训内容、培训讲师、考试成绩、培训结果、培训方式等，可以按照人员姓名和培训结果进行搜索查看。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9A2A6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AF5B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BCB42D8">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BFDB1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4ABFA2">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5A40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培训设置</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27DAD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课程分类管理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DE284ED">
            <w:pPr>
              <w:jc w:val="left"/>
              <w:rPr>
                <w:color w:val="auto"/>
                <w:highlight w:val="none"/>
              </w:rPr>
            </w:pPr>
            <w:r>
              <w:rPr>
                <w:rFonts w:ascii="宋体;SimSun" w:hAnsi="宋体;SimSun" w:eastAsia="宋体;SimSun" w:cs="宋体;SimSun"/>
                <w:color w:val="auto"/>
                <w:sz w:val="20"/>
                <w:szCs w:val="20"/>
                <w:highlight w:val="none"/>
              </w:rPr>
              <w:t>支持新增、删除、编辑分类课程信息。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EDE8B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7248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D28629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53B49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449BA">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555DC1">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E69D5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课程管理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89D2C7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支持新增、删除、查看、编辑、下架培训课程信息，可以上传课程文件和课程封面，可以按照课程分类、课程名称、课程状态和是否优选进行搜索查看。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711632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6929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A86157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226B8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B0EE0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63F5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C942D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组卷规则</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EBF0E9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支持新增、删除、查看、编辑组卷规则信息，信息包含单选、多选、判断、填空等，可以按照规则名称进行搜索查看。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2F593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36657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91DDA8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A57C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FF0B1">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4287C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F71EF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试题管理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E55174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支持新增、删除、查看、编辑试题信息，信息包含试题编号、课程分类、课程名称、试题题干、试题答案、试题类型等，可以按照课程分类、课程名称及试题类型进行搜索查看。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1C79F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5B5A85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CFE85D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D107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03D29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0B090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BE671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试卷管理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660EE2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支持组卷、自动组卷、删除、查看、编辑试卷，试卷信息包含试卷名称、涉及课程名称、试卷总分数、合格分数等，可以按照试卷名称、课程名称进行搜索查看。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72C67C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26634C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DF6B77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F361F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9D78E">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6F7F6F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奖惩记录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BBDE6E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支持新增、删除、查看、编辑奖惩记录信息，信息包含奖惩类型、被奖惩者、奖惩金额(元)、奖惩日期、奖惩依据等，可以按照奖惩类型、被惩罚者进行搜索查看。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60328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989090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AF23B62">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2085AA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844A0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公共服务管理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94E76B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政策在线</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139B54D">
            <w:pPr>
              <w:rPr>
                <w:color w:val="auto"/>
                <w:highlight w:val="none"/>
              </w:rPr>
            </w:pPr>
            <w:r>
              <w:rPr>
                <w:rFonts w:ascii="宋体;SimSun" w:hAnsi="宋体;SimSun" w:eastAsia="宋体;SimSun" w:cs="宋体;SimSun"/>
                <w:color w:val="auto"/>
                <w:sz w:val="20"/>
                <w:szCs w:val="20"/>
                <w:highlight w:val="none"/>
              </w:rPr>
              <w:t>建立国家至区县层级补贴、税收优惠等政策专项数据库，按月更新，标注适用工业领域、技改环节（设备更新/智能化改造）等元数据，提供政策原文下载；做场景化政策解读，搭配同类企业申报案例；升级检索功能，新增“技改类型、扶持方式、企业规模”筛选维度；依托企业工业画像构建“政策-需求-现状”模型，精准匹配政策（如为高能耗企业匹配节能技改政策）；结合技改投入、生产效率提升数据评估政策成效，反哺政策优化</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4E197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4056C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F71F1E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3C50F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B6208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17FE9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行业资讯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D2BB0DB">
            <w:pPr>
              <w:rPr>
                <w:color w:val="auto"/>
                <w:highlight w:val="none"/>
              </w:rPr>
            </w:pPr>
            <w:r>
              <w:rPr>
                <w:rFonts w:ascii="宋体;SimSun" w:hAnsi="宋体;SimSun" w:eastAsia="宋体;SimSun" w:cs="宋体;SimSun"/>
                <w:color w:val="auto"/>
                <w:sz w:val="20"/>
                <w:szCs w:val="20"/>
                <w:highlight w:val="none"/>
              </w:rPr>
              <w:t>依托产业信息管理系统，整合绿色产业链全链路信息，覆盖行业动态资讯、产品研发进展、资本动态三大核心维度；数据来源聚焦产业链龙头企业官方平台（技术白皮书、新品公告、产能报告）与各级政府及行业监管部门官网（政策文件、产业规划、资质审批公示），确保信息真实、时效与产业链适配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069F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DD2B5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0E153F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0F07D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579AA8">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DDD384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公共服务评价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1540A4C">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可以进行较为全面的公共服务评价。</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6685C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B613F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B5AA5FC">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156F2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F58C8A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办公管理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F2603D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公告通知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CFACAC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公告通知功能用于发布、管理各类官方重要信息，支持编辑、发布、查看等操作。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B9128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C5146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31503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EEE31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3BA7A5">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CDDCE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资源收集管理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686C2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资源收集管理功能用于统筹各类资源的收集、整理、存储和查阅，支持资源上传、分类、权限管控等。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EBF0A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87FD3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EFA073E">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6A45C1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9、消防管理系统</w:t>
            </w:r>
          </w:p>
        </w:tc>
      </w:tr>
      <w:tr w14:paraId="55E653BF">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B916BC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87F5C5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消防管理系统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40844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消防档案管理系统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E1CEF09">
            <w:pPr>
              <w:jc w:val="left"/>
              <w:rPr>
                <w:color w:val="auto"/>
                <w:highlight w:val="none"/>
              </w:rPr>
            </w:pPr>
            <w:r>
              <w:rPr>
                <w:rFonts w:ascii="宋体;SimSun" w:hAnsi="宋体;SimSun" w:eastAsia="宋体;SimSun" w:cs="宋体;SimSun"/>
                <w:color w:val="auto"/>
                <w:sz w:val="20"/>
                <w:szCs w:val="20"/>
                <w:highlight w:val="none"/>
              </w:rPr>
              <w:t>实现园区消防队站、气防站人员、装备器材、应急物资、供水设施、消防车道等信息的可视化管理。实现对园区企业消防责任人、消防安全管理人、消防安全员，以及企业消防队、微型消防站人员、装备器材、应急物资、消防设施设备、消防安全交底箱等信息的可视化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9FD2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B6B0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DA0AE2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38BF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C611E1">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3FDA1F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消防智能报警系统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825896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平台通过标准HTTP/HTTPS协议及WebSocket全双工通信协议，对接园区内企业火灾报警控制系统的实时监测，及时掌握消防系统的运行状态和工作情况，监测的数据汇总存储在数据库中，为事前火灾预防、事中救援指挥、事后火灾调查提供全流程的数据支撑和服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01CE63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4280B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356A0D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1A260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0269BA">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E9E1E6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消防队伍管理系统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B5DFC63">
            <w:pPr>
              <w:jc w:val="left"/>
              <w:rPr>
                <w:color w:val="auto"/>
                <w:highlight w:val="none"/>
              </w:rPr>
            </w:pPr>
            <w:r>
              <w:rPr>
                <w:rFonts w:ascii="宋体;SimSun" w:hAnsi="宋体;SimSun" w:eastAsia="宋体;SimSun" w:cs="宋体;SimSun"/>
                <w:color w:val="auto"/>
                <w:sz w:val="20"/>
                <w:szCs w:val="20"/>
                <w:highlight w:val="none"/>
              </w:rPr>
              <w:t>实现消防队伍(灭火救援队、工艺处置队等)相关信息的可视化管理。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A4450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28DF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CBCA88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CC6F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6A4FD5">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562784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消防水系统监控系统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6C4FFE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平台针对园区企业单位的消防水箱、水池的液位、消防泵的管网压力及市政消防管网、消火栓、消防站的管网压力等数据进行实时采集数据对接和监测，根据数据的不同变化，提示、通知相关部门及领导安排隐患排查和整改，保证消防用水的正常使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435DF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51EFA0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8304AD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B7E5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7DA6BE">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582850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消防巡检管理系统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5F9EF9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巡检管理包括巡检任务生成、巡检反馈、巡检统计等，根据不同防火等级的单位，巡检任务有自动、手动两种方式生成。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巡检人员在现场可通过扫描消防设备设施上的二维码查找设备信息，通过照片、视频及文字描述等方式上报巡检结果，形成巡检记录和人员台账。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363D7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BA77E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C970C6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E33A8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B8052">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6C7F76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消防资产管理系统</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07F34E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平台客户端数据列表的方式将联网单位的消防资产进行信息化展示，点击资产可查看对应资产信息及相关维保信息，同时支持消防资产的查询和统计。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8F489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50D81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310068A">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0015FA3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10、产业信息管理系统</w:t>
            </w:r>
          </w:p>
        </w:tc>
      </w:tr>
      <w:tr w14:paraId="7DB11D02">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AC76E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ED99C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产业链招商与分析系统</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690D3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产业驾驶舱</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C900D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产业链节点分析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1BF3A11">
            <w:pPr>
              <w:jc w:val="left"/>
              <w:rPr>
                <w:color w:val="auto"/>
                <w:highlight w:val="none"/>
              </w:rPr>
            </w:pPr>
            <w:r>
              <w:rPr>
                <w:rFonts w:ascii="宋体;SimSun" w:hAnsi="宋体;SimSun" w:eastAsia="宋体;SimSun" w:cs="宋体;SimSun"/>
                <w:color w:val="auto"/>
                <w:sz w:val="20"/>
                <w:szCs w:val="20"/>
                <w:highlight w:val="none"/>
              </w:rPr>
              <w:t>实现产业链“上游-中游-下游”全链路层级化图谱可视化，支持按企业名称、企业类型等关键词检索定位企业节点，点击可查看企业全息画像；以红（缺链）、橙（弱链）、蓝（强链）、绿（延链）、橙（补链）颜色标签标识环节状态，支持筛选缺链/弱链节点为招商与产业培育提供明确方向。</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2A8C6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34E6B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5BFBF4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42CFF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40ABCC">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5C8FF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A42ED2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产业主体分析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BDB260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监测园区企业创新能力（如发明专利），支持按产业链环节、企业类型筛选，提供专利排名。管理企业技术资质（高新技术企业、专精特新企业等资质数量分布）；分析企业经营活力（营收、融资事件动态变化，按企业规模、产业链环节呈现相关指标，支持查看单企业明细与同比/环比分析）；以柱状图、环形图可视化呈现各环节企业数量、占比及核心企业，点击可查看企业名录、产能规模等信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73DDD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21E12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8FCE0E8">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2BEEC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E9DA2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3AD6F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837F8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产业稳定性分析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DBC5A78">
            <w:pPr>
              <w:jc w:val="left"/>
              <w:rPr>
                <w:color w:val="auto"/>
                <w:highlight w:val="none"/>
              </w:rPr>
            </w:pPr>
            <w:r>
              <w:rPr>
                <w:rFonts w:ascii="宋体;SimSun" w:hAnsi="宋体;SimSun" w:eastAsia="宋体;SimSun" w:cs="宋体;SimSun"/>
                <w:color w:val="auto"/>
                <w:sz w:val="20"/>
                <w:szCs w:val="20"/>
                <w:highlight w:val="none"/>
              </w:rPr>
              <w:t>基于GIS技术构建产业要素与空间分布动态关联体系，实时统计全产业链企业总数，按注册类型、成立年限、规模等级分类展示，支持年度/季度/月度筛选及增长率计算；监测企业所属环节、注册资本、核心产品等信息，按月度/季度统计增长情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877F9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F952E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88BF9D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BBE4D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D0971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F106A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500B05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产业链节点完备性分析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444BAD2">
            <w:pPr>
              <w:jc w:val="left"/>
              <w:rPr>
                <w:color w:val="auto"/>
                <w:highlight w:val="none"/>
              </w:rPr>
            </w:pPr>
            <w:r>
              <w:rPr>
                <w:rFonts w:ascii="宋体;SimSun" w:hAnsi="宋体;SimSun" w:eastAsia="宋体;SimSun" w:cs="宋体;SimSun"/>
                <w:color w:val="auto"/>
                <w:sz w:val="20"/>
                <w:szCs w:val="20"/>
                <w:highlight w:val="none"/>
              </w:rPr>
              <w:t>缺链节点分析：通过对缺链环节企业类型分析，系统自动提供目标招商企业类型、技术引进方向等补链建议；弱链节点分析：量化评估企业数量、产能规模等指标，明确薄弱环节，对比行业先进水平分析，并针对该节点进行推荐优质企业清单；延链节点分析：识别产业链延伸潜力节点，分析上下游拓展可行性与市场前景，列出潜在合作企业，帮助园区产业链企业延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BEB95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DBBF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39DF47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059ED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8BA40">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F1FAD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27217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产业发展态势分析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307311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规模分析：统计总产值、营业收入、企业数量等指标，按年度/季度绘制趋势图，拆分上下游环节占比，对比区域同类产业竞争优势；产业创新性分析：整合专利申请、研发投入、成果转化数据，统计三类专利数量及增长趋势，展示研发投入占营收比例、重点企业研发排行，评估专利转化成功率；产业风险性分析：监测经营/司法/监管等风险事件，统计风险企业数量与分布，分析供应链/技术/市场风险，生成高风险节点与企业预警报告；产业活跃性分析：统计招标/投标/融资/合作签约次数，按环节/企业类型呈现活跃性排名。</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7264C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C1027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CB6DFE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B7167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BAAD9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EC1B1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C3A6AD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产业能耗分析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FB62E2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实时采集经开区总能耗、分行业及分企业能耗数据，展示电、水、气能源消耗占比，动态呈现单位产值能耗变化趋势；支持能耗突增、低效消耗等异常预警。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279AF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D415D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3AD810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6B28DE6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5D2C9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产业大脑研判系统</w:t>
            </w:r>
          </w:p>
        </w:tc>
        <w:tc>
          <w:tcPr>
            <w:tcW w:w="1476" w:type="dxa"/>
            <w:tcBorders>
              <w:top w:val="single" w:color="000000" w:sz="4" w:space="0"/>
              <w:left w:val="single" w:color="000000" w:sz="4" w:space="0"/>
              <w:bottom w:val="single" w:color="000000" w:sz="4" w:space="0"/>
              <w:right w:val="single" w:color="000000" w:sz="4" w:space="0"/>
            </w:tcBorders>
            <w:noWrap w:val="0"/>
            <w:vAlign w:val="center"/>
          </w:tcPr>
          <w:p w14:paraId="64E387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企业基础管理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C52E1C9">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企业基本档案</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4A2DA62">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整合企业工商信息、资质认证、股权结构、组织架构、联系方式等基础数据，形成标准化信息档案，展示成立年限、注册资本、实缴资本、经营范围、核心团队等关键信息；支持查看工商变更、资质变更等历史变更记录，全面掌握企业基础状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12A57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5DA9D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B7AEE5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B607B4">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4E6685">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F267C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企业综合分析</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5B991E3">
            <w:pPr>
              <w:rPr>
                <w:color w:val="auto"/>
                <w:highlight w:val="none"/>
              </w:rPr>
            </w:pPr>
            <w:r>
              <w:rPr>
                <w:rFonts w:ascii="宋体;SimSun" w:hAnsi="宋体;SimSun" w:eastAsia="宋体;SimSun" w:cs="宋体;SimSun"/>
                <w:color w:val="auto"/>
                <w:sz w:val="20"/>
                <w:szCs w:val="20"/>
                <w:highlight w:val="none"/>
              </w:rPr>
              <w:t>企业综合分析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F5DF299">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经营能力：涵盖营收、利润等相关指标，对比行业平均水平与标杆企业；创新能力：包括专利数量、研发投入、技术成果转化等指标；成长潜力：基于营收增速、市场份额扩张、融资情况等数据；风险状况：涵盖经营风险（营收下滑、社保人数锐减）、司法风险（被执行人、破产重整）、监管风险（行政处罚、欠税）、信用风险等各类风险事件，自动识别高风险并预警</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878D5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08728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F3750C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60D61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863E85">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CDCAAC">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3E8633E">
            <w:pP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企业产值趋势分析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35A3A2D">
            <w:pPr>
              <w:rPr>
                <w:color w:val="auto"/>
                <w:highlight w:val="none"/>
              </w:rPr>
            </w:pPr>
            <w:r>
              <w:rPr>
                <w:rFonts w:ascii="宋体;SimSun" w:hAnsi="宋体;SimSun" w:eastAsia="宋体;SimSun" w:cs="宋体;SimSun"/>
                <w:color w:val="auto"/>
                <w:sz w:val="20"/>
                <w:szCs w:val="20"/>
                <w:highlight w:val="none"/>
              </w:rPr>
              <w:t>整合企业历年产值数据，按年度/季度绘制产值增长/下降趋势曲线，自动计算产值增长率；分析产值变化的驱动因素（产能扩张、产品升级、市场拓展）与制约因素（原材料价格上涨、市场需求不足），支持按产业链环节、企业规模分类统计对比</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DA09B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224E2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7CC4A99">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647BA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11、易燃易爆有毒有害气体泄漏探测系统</w:t>
            </w:r>
          </w:p>
        </w:tc>
      </w:tr>
      <w:tr w14:paraId="76F1E059">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26AA17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BBCD7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易燃易爆有毒有害气体泄漏监测系统</w:t>
            </w:r>
          </w:p>
        </w:tc>
        <w:tc>
          <w:tcPr>
            <w:tcW w:w="1476" w:type="dxa"/>
            <w:tcBorders>
              <w:top w:val="single" w:color="000000" w:sz="4" w:space="0"/>
              <w:left w:val="single" w:color="000000" w:sz="4" w:space="0"/>
              <w:bottom w:val="single" w:color="000000" w:sz="4" w:space="0"/>
              <w:right w:val="single" w:color="000000" w:sz="4" w:space="0"/>
            </w:tcBorders>
            <w:noWrap w:val="0"/>
            <w:vAlign w:val="center"/>
          </w:tcPr>
          <w:p w14:paraId="7610701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监测装置信息</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4ED24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气体传感器管理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FEBD1F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通过设备名称、设备类型进行搜索。可查看气体传感器的状态、设备名称、设备编码、设备类型、监测气体、覆盖半径（米）及气体传感器详情等信息。可对传感器进行新增、编辑、删除等操作。可查看设备的实时监测数值，可查看设备视频监控的监控预览、实时预览。</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9ACAB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B2AC8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4625D53">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1CA6C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11.2</w:t>
            </w: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F7719">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4A1FC2A">
            <w:pPr>
              <w:jc w:val="left"/>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"http://10.25.20.12:5999/gas-lesakage-monitor/poisonous-harmful/poisonous-harmful-monitor-alarm" \h </w:instrText>
            </w:r>
            <w:r>
              <w:rPr>
                <w:color w:val="auto"/>
                <w:highlight w:val="none"/>
              </w:rPr>
              <w:fldChar w:fldCharType="separate"/>
            </w:r>
            <w:r>
              <w:rPr>
                <w:rFonts w:hint="eastAsia" w:ascii="宋体" w:hAnsi="宋体" w:eastAsia="宋体" w:cs="宋体"/>
                <w:color w:val="auto"/>
                <w:highlight w:val="none"/>
              </w:rPr>
              <w:t>气体监测报警</w:t>
            </w:r>
            <w:r>
              <w:rPr>
                <w:rFonts w:hint="eastAsia" w:ascii="宋体" w:hAnsi="宋体" w:eastAsia="宋体" w:cs="宋体"/>
                <w:color w:val="auto"/>
                <w:highlight w:val="none"/>
              </w:rPr>
              <w:fldChar w:fldCharType="end"/>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0BE49E8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监测实时数据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D77FBF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监测系统实时采集各监测点易燃易爆、有毒有害气体的浓度数据，同步显示气体类型、浓度值、监测位置及实时状态，异常时快速反馈，保障监测及时性与准确性。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1722D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32344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092C3E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AE1FD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E3C884">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F7B68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CBC7BF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气体泄漏报警事件</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3683615">
            <w:pPr>
              <w:jc w:val="left"/>
              <w:rPr>
                <w:color w:val="auto"/>
                <w:highlight w:val="none"/>
              </w:rPr>
            </w:pPr>
            <w:r>
              <w:rPr>
                <w:rFonts w:ascii="宋体;SimSun" w:hAnsi="宋体;SimSun" w:eastAsia="宋体;SimSun" w:cs="宋体;SimSun"/>
                <w:color w:val="auto"/>
                <w:sz w:val="20"/>
                <w:szCs w:val="20"/>
                <w:highlight w:val="none"/>
              </w:rPr>
              <w:t>支持查看气体泄漏报警事件列表，包含企业名称、流程名称、事件类型、流程标签、开始时间、结束时间、事件进展等信息；可以通过企业名称、流程名称及报警时间进行筛选查看。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974E0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7A1D27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446B98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6E24E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D02223">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06AD90">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263E1C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视频分析报警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93CB7E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对接入的视频支持分析报警，支持按照视频点位名称和报警类型进行搜索查看，可以查看报警类型、报警时间、告警图片等信息，并且可以快速对视频报警事件进行处置。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92745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5259D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2004601">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8384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11.3</w:t>
            </w: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A930BC">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62EFC6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数据统计分析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66F53A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支持对气体监测历史数据进行多维度统计分析，可从时间、监测指标、监测因子、设备报警等多个角度，对历史数据变动趋势进行可视化呈现，直观反映监测数据规律与异常情况。</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39349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A97CF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6956E13">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DC7063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12、公共管廊管理系统</w:t>
            </w:r>
          </w:p>
        </w:tc>
      </w:tr>
      <w:tr w14:paraId="51EC870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63CFE8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568DE867">
            <w:pPr>
              <w:jc w:val="left"/>
              <w:rPr>
                <w:color w:val="auto"/>
                <w:highlight w:val="none"/>
              </w:rPr>
            </w:pPr>
            <w:r>
              <w:rPr>
                <w:rFonts w:ascii="宋体;SimSun" w:hAnsi="宋体;SimSun" w:eastAsia="宋体;SimSun" w:cs="宋体;SimSun"/>
                <w:color w:val="auto"/>
                <w:sz w:val="20"/>
                <w:szCs w:val="20"/>
                <w:highlight w:val="none"/>
              </w:rPr>
              <w:t>管廊信息管理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C9A108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管廊基础信息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54F4E92">
            <w:pPr>
              <w:rPr>
                <w:color w:val="auto"/>
                <w:highlight w:val="none"/>
              </w:rPr>
            </w:pPr>
            <w:r>
              <w:rPr>
                <w:rFonts w:ascii="宋体;SimSun" w:hAnsi="宋体;SimSun" w:eastAsia="宋体;SimSun" w:cs="宋体;SimSun"/>
                <w:color w:val="auto"/>
                <w:sz w:val="20"/>
                <w:szCs w:val="20"/>
                <w:highlight w:val="none"/>
              </w:rPr>
              <w:t>提供园区公共管廊信息模块，用于维护园区管廊的基础信息，建立管廊统一管理台账，包含管理单位、管理单位编码、管廊编号、管廊名称、管廊分类、管廊层数、管廊宽度等。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994C0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08FFDC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79CF87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E2554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A846B7">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0C3351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管架基础信息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425D51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提供园区公共管架信息模块，用于维护园区管架的基础信息，建立管架统一管理台账，包含所在管廊、管架编号、管架名称、管架类型、投用日期等。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33A434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D4EEE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9EE025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BD5D8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23DECC">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B21B8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管线基础信息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2BF02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提供园区公共管架管线模块，用于维护园区管线的基础信息，建立管线统一管理台账，包含所在管廊、管线编号、管线名称、所在层数、管位、危化品编号、介质名称、地理位置信息等。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1D0F7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7F8E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7C72C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5195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6539A">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207BC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管线使用单位信息</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64EE3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提供园区公共管架管线使用单位模块，用于维护园区管线使用单位的基础信息，建立管线使用单位统一管理台账，包含管线编号（关联管线编号）、管线使用单位编号、所属单位编号、所属单位、使用类型。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72AB2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AF7B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EEAFE27">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45C0E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70EA990">
            <w:pPr>
              <w:jc w:val="left"/>
              <w:rPr>
                <w:rFonts w:ascii="宋体;SimSun" w:hAnsi="宋体;SimSun" w:eastAsia="宋体;SimSun" w:cs="宋体;SimSun"/>
                <w:color w:val="auto"/>
                <w:sz w:val="20"/>
                <w:szCs w:val="20"/>
                <w:highlight w:val="none"/>
              </w:rPr>
            </w:pPr>
            <w:r>
              <w:rPr>
                <w:color w:val="auto"/>
                <w:highlight w:val="none"/>
              </w:rPr>
              <w:fldChar w:fldCharType="begin"/>
            </w:r>
            <w:r>
              <w:rPr>
                <w:color w:val="auto"/>
                <w:highlight w:val="none"/>
              </w:rPr>
              <w:instrText xml:space="preserve"> HYPERLINK "http://10.25.20.12:5999/gas-lesakage-monitor/pipe-rack/pipe-rack-monitor-alarm" \h </w:instrText>
            </w:r>
            <w:r>
              <w:rPr>
                <w:color w:val="auto"/>
                <w:highlight w:val="none"/>
              </w:rPr>
              <w:fldChar w:fldCharType="separate"/>
            </w:r>
            <w:r>
              <w:rPr>
                <w:rFonts w:hint="eastAsia" w:ascii="宋体" w:hAnsi="宋体" w:eastAsia="宋体" w:cs="宋体"/>
                <w:color w:val="auto"/>
                <w:highlight w:val="none"/>
              </w:rPr>
              <w:t>管廊监测报警</w:t>
            </w:r>
            <w:r>
              <w:rPr>
                <w:rFonts w:hint="eastAsia" w:ascii="宋体" w:hAnsi="宋体" w:eastAsia="宋体" w:cs="宋体"/>
                <w:color w:val="auto"/>
                <w:highlight w:val="none"/>
              </w:rPr>
              <w:fldChar w:fldCharType="end"/>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DF09A8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26DB6A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支持接入公共管廊及周边安装的摄像头，实现视频的在线监测查看功能。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BCAF1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91E8C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002053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BC1F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236F72">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C0CF5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设备在线监测</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36CFDC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支持接入公共管廊及周边安装的有毒可燃气体、压力、沉降等安全风险感知设备数据，实现管理安全风险监测数据的在线查看功能。支持有毒可燃气体、压力、沉降等设备的增加。</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69C7A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A4D16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8B9D10D">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E271B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765519">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F82019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监测实时数据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4C01B6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对管廊和管线监测数据的实时查看，支持查看实时监测数据，包含浓度、温度、压力等数据。支持查看管廊、管线监测设备实时状态，包含正常、超标、异常、中断、停产和未开启等。可以按照管理单位、管廊名称和管廊分类进行筛选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7816D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52ED6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706A61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DC3F3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CCA559">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6C10B0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历史数据分析</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AED0467">
            <w:pPr>
              <w:jc w:val="left"/>
              <w:rPr>
                <w:color w:val="auto"/>
                <w:highlight w:val="none"/>
              </w:rPr>
            </w:pPr>
            <w:r>
              <w:rPr>
                <w:rFonts w:ascii="宋体;SimSun" w:hAnsi="宋体;SimSun" w:eastAsia="宋体;SimSun" w:cs="宋体;SimSun"/>
                <w:color w:val="auto"/>
                <w:sz w:val="20"/>
                <w:szCs w:val="20"/>
                <w:highlight w:val="none"/>
              </w:rPr>
              <w:t>可以通过数据列表和数据趋势图等形式，对管廊及管线的历史数据进行分析，分析数据类型包含温度、浓度和压力等。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4E563F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1C395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8C3D53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4F348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1D762D">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CB0951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管廊监测报警事件</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92C27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汇聚公共管廊安全风险感知设备报警数据，形成公共管廊安全风险感知预警台账，并在线进行闭环管理。可通过企业名称、流程名称、事件类型、流程标签、报警时间进行查询。</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87AB3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7C12F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90F3F03">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290879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12.4</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D88A28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商务管理</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4E25E9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合同管理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F1DA7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管理管廊使用相关的合同信息。</w:t>
            </w:r>
          </w:p>
        </w:tc>
        <w:tc>
          <w:tcPr>
            <w:tcW w:w="798" w:type="dxa"/>
            <w:vMerge w:val="restart"/>
            <w:tcBorders>
              <w:top w:val="single" w:color="000000" w:sz="4" w:space="0"/>
              <w:left w:val="single" w:color="000000" w:sz="4" w:space="0"/>
              <w:bottom w:val="single" w:color="000000" w:sz="4" w:space="0"/>
              <w:right w:val="single" w:color="000000" w:sz="4" w:space="0"/>
            </w:tcBorders>
            <w:noWrap w:val="0"/>
            <w:vAlign w:val="center"/>
          </w:tcPr>
          <w:p w14:paraId="692141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7841AA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72F9C5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18BEB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7627E">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AC077A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入廊管道申请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159BCD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处理企业入廊管道的申请流程。</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64DC7A">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A2EEC0">
            <w:pPr>
              <w:jc w:val="center"/>
              <w:rPr>
                <w:rFonts w:ascii="宋体;SimSun" w:hAnsi="宋体;SimSun" w:eastAsia="宋体;SimSun" w:cs="宋体;SimSun"/>
                <w:color w:val="auto"/>
                <w:sz w:val="20"/>
                <w:szCs w:val="20"/>
                <w:highlight w:val="none"/>
              </w:rPr>
            </w:pPr>
          </w:p>
        </w:tc>
      </w:tr>
      <w:tr w14:paraId="615A7B5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18B06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E3F565">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569C55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验收结果管理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F902CA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管理管道入廊后的验收记录与结果。</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46F61D">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A263EB">
            <w:pPr>
              <w:jc w:val="center"/>
              <w:rPr>
                <w:rFonts w:ascii="宋体;SimSun" w:hAnsi="宋体;SimSun" w:eastAsia="宋体;SimSun" w:cs="宋体;SimSun"/>
                <w:color w:val="auto"/>
                <w:sz w:val="20"/>
                <w:szCs w:val="20"/>
                <w:highlight w:val="none"/>
              </w:rPr>
            </w:pPr>
          </w:p>
        </w:tc>
      </w:tr>
      <w:tr w14:paraId="0CF8C294">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9A57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D65B1C">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4DB64D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费用结算</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9C505B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管理管廊使用费用的计算与结算流程。</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F4240E">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E1D00F">
            <w:pPr>
              <w:jc w:val="center"/>
              <w:rPr>
                <w:rFonts w:ascii="宋体;SimSun" w:hAnsi="宋体;SimSun" w:eastAsia="宋体;SimSun" w:cs="宋体;SimSun"/>
                <w:color w:val="auto"/>
                <w:sz w:val="20"/>
                <w:szCs w:val="20"/>
                <w:highlight w:val="none"/>
              </w:rPr>
            </w:pPr>
          </w:p>
        </w:tc>
      </w:tr>
      <w:tr w14:paraId="6D1B0D2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47AD6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12.5</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BC08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入廊管理系统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73E9C69">
            <w:pPr>
              <w:jc w:val="left"/>
              <w:rPr>
                <w:color w:val="auto"/>
                <w:highlight w:val="none"/>
              </w:rPr>
            </w:pPr>
            <w:r>
              <w:rPr>
                <w:rFonts w:ascii="宋体;SimSun" w:hAnsi="宋体;SimSun" w:eastAsia="宋体;SimSun" w:cs="宋体;SimSun"/>
                <w:color w:val="auto"/>
                <w:sz w:val="20"/>
                <w:szCs w:val="20"/>
                <w:highlight w:val="none"/>
              </w:rPr>
              <w:t>施工申请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51440C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处理企业在管廊内的施工申请与审批流程。</w:t>
            </w:r>
          </w:p>
        </w:tc>
        <w:tc>
          <w:tcPr>
            <w:tcW w:w="798" w:type="dxa"/>
            <w:vMerge w:val="restart"/>
            <w:tcBorders>
              <w:top w:val="single" w:color="000000" w:sz="4" w:space="0"/>
              <w:left w:val="single" w:color="000000" w:sz="4" w:space="0"/>
              <w:bottom w:val="single" w:color="000000" w:sz="4" w:space="0"/>
              <w:right w:val="single" w:color="000000" w:sz="4" w:space="0"/>
            </w:tcBorders>
            <w:noWrap w:val="0"/>
            <w:vAlign w:val="center"/>
          </w:tcPr>
          <w:p w14:paraId="42F367D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B828B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3250230">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B6E139">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AE1B9">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D3998E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作业票申请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779A26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管理施工作业票的申请、审批与签发。</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8BE29">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74A4A7">
            <w:pPr>
              <w:jc w:val="center"/>
              <w:rPr>
                <w:rFonts w:ascii="宋体;SimSun" w:hAnsi="宋体;SimSun" w:eastAsia="宋体;SimSun" w:cs="宋体;SimSun"/>
                <w:color w:val="auto"/>
                <w:sz w:val="20"/>
                <w:szCs w:val="20"/>
                <w:highlight w:val="none"/>
              </w:rPr>
            </w:pPr>
          </w:p>
        </w:tc>
      </w:tr>
      <w:tr w14:paraId="524DABC7">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54ABE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C92EE9">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CEF6C9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管道投用申请</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64D5CF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处理管道投用前的申请与审批流程。</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7441B9">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10F02">
            <w:pPr>
              <w:jc w:val="center"/>
              <w:rPr>
                <w:rFonts w:ascii="宋体;SimSun" w:hAnsi="宋体;SimSun" w:eastAsia="宋体;SimSun" w:cs="宋体;SimSun"/>
                <w:color w:val="auto"/>
                <w:sz w:val="20"/>
                <w:szCs w:val="20"/>
                <w:highlight w:val="none"/>
              </w:rPr>
            </w:pPr>
          </w:p>
        </w:tc>
      </w:tr>
      <w:tr w14:paraId="3F69D35C">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A9760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12.6</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58CBA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巡检管理系统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8C2222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现场巡检</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430303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管理现场巡检任务的派发、执行与反馈。</w:t>
            </w:r>
          </w:p>
        </w:tc>
        <w:tc>
          <w:tcPr>
            <w:tcW w:w="798" w:type="dxa"/>
            <w:vMerge w:val="restart"/>
            <w:tcBorders>
              <w:top w:val="single" w:color="000000" w:sz="4" w:space="0"/>
              <w:left w:val="single" w:color="000000" w:sz="4" w:space="0"/>
              <w:bottom w:val="single" w:color="000000" w:sz="4" w:space="0"/>
              <w:right w:val="single" w:color="000000" w:sz="4" w:space="0"/>
            </w:tcBorders>
            <w:noWrap w:val="0"/>
            <w:vAlign w:val="center"/>
          </w:tcPr>
          <w:p w14:paraId="3A878E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20C4455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DB41BF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28C06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729552">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4671CA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视频巡检</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56EA23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通过视频监控进行远程巡检，辅助现场巡检。</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53BD5C">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63505">
            <w:pPr>
              <w:jc w:val="center"/>
              <w:rPr>
                <w:rFonts w:ascii="宋体;SimSun" w:hAnsi="宋体;SimSun" w:eastAsia="宋体;SimSun" w:cs="宋体;SimSun"/>
                <w:color w:val="auto"/>
                <w:sz w:val="20"/>
                <w:szCs w:val="20"/>
                <w:highlight w:val="none"/>
              </w:rPr>
            </w:pPr>
          </w:p>
        </w:tc>
      </w:tr>
      <w:tr w14:paraId="5FD4E1E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6BC48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F4D0A2">
            <w:pPr>
              <w:jc w:val="left"/>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FDF188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巡检统计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86554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统计巡检任务完成情况，生成巡检报表。</w:t>
            </w:r>
          </w:p>
        </w:tc>
        <w:tc>
          <w:tcPr>
            <w:tcW w:w="7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8B077">
            <w:pPr>
              <w:jc w:val="center"/>
              <w:rPr>
                <w:rFonts w:ascii="宋体;SimSun" w:hAnsi="宋体;SimSun" w:eastAsia="宋体;SimSun" w:cs="宋体;SimSun"/>
                <w:color w:val="auto"/>
                <w:sz w:val="20"/>
                <w:szCs w:val="20"/>
                <w:highlight w:val="none"/>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1C37B3">
            <w:pPr>
              <w:jc w:val="center"/>
              <w:rPr>
                <w:rFonts w:ascii="宋体;SimSun" w:hAnsi="宋体;SimSun" w:eastAsia="宋体;SimSun" w:cs="宋体;SimSun"/>
                <w:color w:val="auto"/>
                <w:sz w:val="20"/>
                <w:szCs w:val="20"/>
                <w:highlight w:val="none"/>
              </w:rPr>
            </w:pPr>
          </w:p>
        </w:tc>
      </w:tr>
      <w:tr w14:paraId="712C4142">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65571D6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13、防灾减灾预警系统</w:t>
            </w:r>
          </w:p>
        </w:tc>
      </w:tr>
      <w:tr w14:paraId="1908B430">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47D757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13.1</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50DBBDB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数据对接</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0924E8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对接气象数据。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4948AA6">
            <w:pPr>
              <w:jc w:val="left"/>
              <w:rPr>
                <w:color w:val="auto"/>
                <w:highlight w:val="none"/>
              </w:rPr>
            </w:pPr>
            <w:r>
              <w:rPr>
                <w:rFonts w:ascii="宋体;SimSun" w:hAnsi="宋体;SimSun" w:eastAsia="宋体;SimSun" w:cs="宋体;SimSun"/>
                <w:color w:val="auto"/>
                <w:sz w:val="20"/>
                <w:szCs w:val="20"/>
                <w:highlight w:val="none"/>
              </w:rPr>
              <w:t>对接第三方气象数据资源，实时同步气温、降水、风力等气象参数，为园区防灾减灾工作开展提供精准、及时的数据支撑，保障防范决策科学合理。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C7FBD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8334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年</w:t>
            </w:r>
          </w:p>
        </w:tc>
      </w:tr>
      <w:tr w14:paraId="4028C40A">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5F4AA8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13.1</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9CFFA9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智能预报警</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E9A90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极端天气预报警。</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0DBCE8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实时监测暴雨、台风、暴雪等极端天气情况，当气象指标达到预警阈值时，自动发出预警警报，提醒工作人员及时启动防范措施。</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C61CF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6352B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8FA68E">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7A0649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13.1</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463D545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信息发布</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56722B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极端天气信息发布。</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D1BDC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通过平台向园区各部门、企业及相关人员，发布极端天气预警信息、防范指引和应对要求，确保相关人员及时掌握天气动态，做好防范准备。</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DB804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70F94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B1EE866">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656CE0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14、视频管理平台</w:t>
            </w:r>
          </w:p>
        </w:tc>
      </w:tr>
      <w:tr w14:paraId="08BD48B1">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1C50CB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A8AA9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视频管理平台</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27B8F49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安监视频监控集成对接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490ECDE">
            <w:pPr>
              <w:jc w:val="left"/>
              <w:rPr>
                <w:color w:val="auto"/>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支持多种协议(RTSP/RTMP/HLS/HTTP-FLV/WebSocket-FLV/GB28181/HTTP-TS/WebSocket-TS/HTTP-fMP4/WebSocket-fMP4/MP4/WebRTC)拉流对接主流品牌安监视频设备，统一汇聚园区多路监控画面，实现全点位视频集中预览、远程调阅与分级管控。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57D1F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A0EBD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E9AC08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2603E0">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ECF2B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E6C2D0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环保视频监控集成对接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39A2B78">
            <w:pPr>
              <w:jc w:val="left"/>
              <w:rPr>
                <w:color w:val="auto"/>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支持多种协议(RTSP/RTMP/HLS/HTTP-FLV/WebSocket-FLV/GB28181/HTTP-TS/WebSocket-TS/HTTP-fMP4/WebSocket-fMP4/MP4/WebRTC)拉流对接主流品牌环保视频设备，统一汇聚园区多路监控画面，实现全点位视频集中预览、远程调阅与分级管控。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6284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3B22A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3C876E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EAE45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E504A">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9DCE27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封闭视频监控集成对接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68895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支持多种协议(RTSP/RTMP/HLS/HTTP-FLV/WebSocket-FLV/GB28181/HTTP-TS/WebSocket-TS/HTTP-fMP4/WebSocket-fMP4/MP4/WebRTC)拉流对接主流品牌封闭管控视频设备，统一汇聚园区多路监控画面，实现全点位视频集中预览、远程调阅与分级管控。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EF9B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C49FC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4652CA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6C1C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FB6B3D">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DF2F8E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危化品停车场视频监控集成对接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F8DABC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危化品停车场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8F0BE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FDF3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74E486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DC48C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5F7C66">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538829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消防视频监控集成对接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131C868">
            <w:pPr>
              <w:jc w:val="left"/>
              <w:rPr>
                <w:color w:val="auto"/>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支持多种协议(RTSP/RTMP/HLS/HTTP-FLV/WebSocket-FLV/GB28181/HTTP-TS/WebSocket-TS/HTTP-fMP4/WebSocket-fMP4/MP4/WebRTC)拉流对接主流品牌消防视频设备，统一汇聚园区多路监控画面，实现全点位视频集中预览、远程调阅与分级管控。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130EF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341D7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FD9A3F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C624F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E2FA35">
            <w:pPr>
              <w:jc w:val="cente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47CDA2B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上合物流园（连云开发区）视频对接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90EDC6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多种协议(RTSP/RTMP/HLS/HTTP-FLV/WebSocket-FLV/GB28181/HTTP-TS/WebSocket-TS/HTTP-fMP4/WebSocket-fMP4/MP4/WebRTC)拉流对接主流品牌上合物流园（连云开发区）视频设备，统一汇聚园区多路监控画面，实现全点位视频集中预览、远程调阅与分级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ED976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88B1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1101917">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22D1332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15、移动应用</w:t>
            </w:r>
          </w:p>
        </w:tc>
      </w:tr>
      <w:tr w14:paraId="5F11D13A">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4A9B37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CD0C6B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园区移动应用</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EFD14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智慧安监移动应用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FA7014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智慧安监移动应用（</w:t>
            </w:r>
            <w:r>
              <w:rPr>
                <w:rFonts w:hint="eastAsia" w:ascii="宋体;SimSun" w:hAnsi="宋体;SimSun" w:eastAsia="宋体;SimSun" w:cs="宋体;SimSun"/>
                <w:color w:val="auto"/>
                <w:sz w:val="20"/>
                <w:szCs w:val="20"/>
                <w:highlight w:val="none"/>
                <w:lang w:eastAsia="zh-CN"/>
              </w:rPr>
              <w:t>支持安卓、鸿蒙等系统</w:t>
            </w:r>
            <w:r>
              <w:rPr>
                <w:rFonts w:hint="eastAsia" w:ascii="宋体;SimSun" w:hAnsi="宋体;SimSun" w:eastAsia="宋体;SimSun" w:cs="宋体;SimSun"/>
                <w:color w:val="auto"/>
                <w:sz w:val="20"/>
                <w:szCs w:val="20"/>
                <w:highlight w:val="none"/>
                <w:lang w:val="en-US" w:eastAsia="zh-CN"/>
              </w:rPr>
              <w:t>和</w:t>
            </w:r>
            <w:r>
              <w:rPr>
                <w:rFonts w:hint="eastAsia" w:ascii="宋体;SimSun" w:hAnsi="宋体;SimSun" w:eastAsia="宋体;SimSun" w:cs="宋体;SimSun"/>
                <w:color w:val="auto"/>
                <w:sz w:val="20"/>
                <w:szCs w:val="20"/>
                <w:highlight w:val="none"/>
                <w:lang w:eastAsia="zh-CN"/>
              </w:rPr>
              <w:t>微信小程序</w:t>
            </w:r>
            <w:r>
              <w:rPr>
                <w:rFonts w:ascii="宋体;SimSun" w:hAnsi="宋体;SimSun" w:eastAsia="宋体;SimSun" w:cs="宋体;SimSun"/>
                <w:color w:val="auto"/>
                <w:sz w:val="20"/>
                <w:szCs w:val="20"/>
                <w:highlight w:val="none"/>
              </w:rPr>
              <w:t>），管控园区安全，支持安全检查、隐患上报，便捷落实安监工作</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6357D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966EB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B3EBC69">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24C0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3A4132">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55A9407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环境管理移动应用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96B1A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环境管理移动应用（</w:t>
            </w:r>
            <w:r>
              <w:rPr>
                <w:rFonts w:hint="eastAsia" w:ascii="宋体;SimSun" w:hAnsi="宋体;SimSun" w:eastAsia="宋体;SimSun" w:cs="宋体;SimSun"/>
                <w:color w:val="auto"/>
                <w:sz w:val="20"/>
                <w:szCs w:val="20"/>
                <w:highlight w:val="none"/>
                <w:lang w:eastAsia="zh-CN"/>
              </w:rPr>
              <w:t>支持安卓、鸿蒙等系统</w:t>
            </w:r>
            <w:r>
              <w:rPr>
                <w:rFonts w:hint="eastAsia" w:ascii="宋体;SimSun" w:hAnsi="宋体;SimSun" w:eastAsia="宋体;SimSun" w:cs="宋体;SimSun"/>
                <w:color w:val="auto"/>
                <w:sz w:val="20"/>
                <w:szCs w:val="20"/>
                <w:highlight w:val="none"/>
                <w:lang w:val="en-US" w:eastAsia="zh-CN"/>
              </w:rPr>
              <w:t>和</w:t>
            </w:r>
            <w:r>
              <w:rPr>
                <w:rFonts w:hint="eastAsia" w:ascii="宋体;SimSun" w:hAnsi="宋体;SimSun" w:eastAsia="宋体;SimSun" w:cs="宋体;SimSun"/>
                <w:color w:val="auto"/>
                <w:sz w:val="20"/>
                <w:szCs w:val="20"/>
                <w:highlight w:val="none"/>
                <w:lang w:eastAsia="zh-CN"/>
              </w:rPr>
              <w:t>微信小程序</w:t>
            </w:r>
            <w:r>
              <w:rPr>
                <w:rFonts w:ascii="宋体;SimSun" w:hAnsi="宋体;SimSun" w:eastAsia="宋体;SimSun" w:cs="宋体;SimSun"/>
                <w:color w:val="auto"/>
                <w:sz w:val="20"/>
                <w:szCs w:val="20"/>
                <w:highlight w:val="none"/>
              </w:rPr>
              <w:t>），监测园区环境，支持数据查看、异常上报，保障环境合规</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227F2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4F80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79B23E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FD3C8E">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B0743E">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7477DA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应急指挥移动应用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6054B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应急指挥移动应用（</w:t>
            </w:r>
            <w:r>
              <w:rPr>
                <w:rFonts w:hint="eastAsia" w:ascii="宋体;SimSun" w:hAnsi="宋体;SimSun" w:eastAsia="宋体;SimSun" w:cs="宋体;SimSun"/>
                <w:color w:val="auto"/>
                <w:sz w:val="20"/>
                <w:szCs w:val="20"/>
                <w:highlight w:val="none"/>
                <w:lang w:eastAsia="zh-CN"/>
              </w:rPr>
              <w:t>支持安卓、鸿蒙等系统</w:t>
            </w:r>
            <w:r>
              <w:rPr>
                <w:rFonts w:hint="eastAsia" w:ascii="宋体;SimSun" w:hAnsi="宋体;SimSun" w:eastAsia="宋体;SimSun" w:cs="宋体;SimSun"/>
                <w:color w:val="auto"/>
                <w:sz w:val="20"/>
                <w:szCs w:val="20"/>
                <w:highlight w:val="none"/>
                <w:lang w:val="en-US" w:eastAsia="zh-CN"/>
              </w:rPr>
              <w:t>和</w:t>
            </w:r>
            <w:r>
              <w:rPr>
                <w:rFonts w:hint="eastAsia" w:ascii="宋体;SimSun" w:hAnsi="宋体;SimSun" w:eastAsia="宋体;SimSun" w:cs="宋体;SimSun"/>
                <w:color w:val="auto"/>
                <w:sz w:val="20"/>
                <w:szCs w:val="20"/>
                <w:highlight w:val="none"/>
                <w:lang w:eastAsia="zh-CN"/>
              </w:rPr>
              <w:t>微信小程序</w:t>
            </w:r>
            <w:r>
              <w:rPr>
                <w:rFonts w:ascii="宋体;SimSun" w:hAnsi="宋体;SimSun" w:eastAsia="宋体;SimSun" w:cs="宋体;SimSun"/>
                <w:color w:val="auto"/>
                <w:sz w:val="20"/>
                <w:szCs w:val="20"/>
                <w:highlight w:val="none"/>
              </w:rPr>
              <w:t>），应对突发情况，支持应急调度、指令传达，提升处置效率</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D733D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57AC6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2F7DA4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E41FD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47CF41">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37F499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封闭管理移动应用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2D0F28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封闭管理移动应用（</w:t>
            </w:r>
            <w:r>
              <w:rPr>
                <w:rFonts w:hint="eastAsia" w:ascii="宋体;SimSun" w:hAnsi="宋体;SimSun" w:eastAsia="宋体;SimSun" w:cs="宋体;SimSun"/>
                <w:color w:val="auto"/>
                <w:sz w:val="20"/>
                <w:szCs w:val="20"/>
                <w:highlight w:val="none"/>
                <w:lang w:eastAsia="zh-CN"/>
              </w:rPr>
              <w:t>支持安卓、鸿蒙等系统</w:t>
            </w:r>
            <w:r>
              <w:rPr>
                <w:rFonts w:hint="eastAsia" w:ascii="宋体;SimSun" w:hAnsi="宋体;SimSun" w:eastAsia="宋体;SimSun" w:cs="宋体;SimSun"/>
                <w:color w:val="auto"/>
                <w:sz w:val="20"/>
                <w:szCs w:val="20"/>
                <w:highlight w:val="none"/>
                <w:lang w:val="en-US" w:eastAsia="zh-CN"/>
              </w:rPr>
              <w:t>和</w:t>
            </w:r>
            <w:r>
              <w:rPr>
                <w:rFonts w:hint="eastAsia" w:ascii="宋体;SimSun" w:hAnsi="宋体;SimSun" w:eastAsia="宋体;SimSun" w:cs="宋体;SimSun"/>
                <w:color w:val="auto"/>
                <w:sz w:val="20"/>
                <w:szCs w:val="20"/>
                <w:highlight w:val="none"/>
                <w:lang w:eastAsia="zh-CN"/>
              </w:rPr>
              <w:t>微信小程序</w:t>
            </w:r>
            <w:r>
              <w:rPr>
                <w:rFonts w:ascii="宋体;SimSun" w:hAnsi="宋体;SimSun" w:eastAsia="宋体;SimSun" w:cs="宋体;SimSun"/>
                <w:color w:val="auto"/>
                <w:sz w:val="20"/>
                <w:szCs w:val="20"/>
                <w:highlight w:val="none"/>
              </w:rPr>
              <w:t>），管控园区出入，支持人员、车辆登记，保障园区封闭安全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5DD5E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6B651A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E683D7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5EF9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2B54E6">
            <w:pPr>
              <w:rPr>
                <w:rFonts w:ascii="宋体;SimSun" w:hAnsi="宋体;SimSun" w:eastAsia="宋体;SimSun" w:cs="宋体;SimSun"/>
                <w:color w:val="auto"/>
                <w:sz w:val="20"/>
                <w:szCs w:val="20"/>
                <w:highlight w:val="none"/>
              </w:rPr>
            </w:pP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1F8FA84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能源管理移动应用</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A9ED77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能源管理移动应用（</w:t>
            </w:r>
            <w:r>
              <w:rPr>
                <w:rFonts w:hint="eastAsia" w:ascii="宋体;SimSun" w:hAnsi="宋体;SimSun" w:eastAsia="宋体;SimSun" w:cs="宋体;SimSun"/>
                <w:color w:val="auto"/>
                <w:sz w:val="20"/>
                <w:szCs w:val="20"/>
                <w:highlight w:val="none"/>
                <w:lang w:eastAsia="zh-CN"/>
              </w:rPr>
              <w:t>支持安卓、鸿蒙等系统</w:t>
            </w:r>
            <w:r>
              <w:rPr>
                <w:rFonts w:hint="eastAsia" w:ascii="宋体;SimSun" w:hAnsi="宋体;SimSun" w:eastAsia="宋体;SimSun" w:cs="宋体;SimSun"/>
                <w:color w:val="auto"/>
                <w:sz w:val="20"/>
                <w:szCs w:val="20"/>
                <w:highlight w:val="none"/>
                <w:lang w:val="en-US" w:eastAsia="zh-CN"/>
              </w:rPr>
              <w:t>和</w:t>
            </w:r>
            <w:r>
              <w:rPr>
                <w:rFonts w:hint="eastAsia" w:ascii="宋体;SimSun" w:hAnsi="宋体;SimSun" w:eastAsia="宋体;SimSun" w:cs="宋体;SimSun"/>
                <w:color w:val="auto"/>
                <w:sz w:val="20"/>
                <w:szCs w:val="20"/>
                <w:highlight w:val="none"/>
                <w:lang w:eastAsia="zh-CN"/>
              </w:rPr>
              <w:t>微信小程序</w:t>
            </w:r>
            <w:r>
              <w:rPr>
                <w:rFonts w:ascii="宋体;SimSun" w:hAnsi="宋体;SimSun" w:eastAsia="宋体;SimSun" w:cs="宋体;SimSun"/>
                <w:color w:val="auto"/>
                <w:sz w:val="20"/>
                <w:szCs w:val="20"/>
                <w:highlight w:val="none"/>
              </w:rPr>
              <w:t>），监测能源消耗，支持数据查看、能耗分析，实现节能管控</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A7FD6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890A3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3BBB9B">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71AA166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16、智能视频分析平台</w:t>
            </w:r>
          </w:p>
        </w:tc>
      </w:tr>
      <w:tr w14:paraId="67E078D6">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4DC506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16.1</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4970F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视频流平台</w:t>
            </w: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89080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智能监控</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FD501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智能监控</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839E82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查看多个设备的实时智能视频分析画面，用户可根据需要灵活调整视频界面布局，提升多画面监控效率，实时展示智能分析结果，包括目标检测框、识别标签和置信度，在视频画面上叠加显示智能分析报警信息，如区域入侵报警、人员聚集报警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2010F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4D03D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1A9902E">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4B39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88305E">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59CDFE">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76DE0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实时视频</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DE99D0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支持RTSP、RTMP、HTTP-FLV、HLS等多种视频流协议，根据网络状况自动切换视频码流，保证流畅观看体验，实时展示各设备的视频画面，支持多种画面布局模式切换，便于用户快速查看多个监控点位的实时动态。</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AD39D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8AE17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80625D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05AD2">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1D0926">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5171E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历史记录</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1952A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抓拍记录</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1CE257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集中展示由视频智能分析所产生的所有抓拍记录与事件快照，系统会详细记录每条结果的关联通道、抓拍图片、事件类型以及精确的时间戳，支持根据类型、通道进行检索，便于用户进行历史事件的追溯与审计。</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E2487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68D60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F8F250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570EC">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0D786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E39DA1">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5160F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流量统计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49FD9E7">
            <w:pPr>
              <w:jc w:val="left"/>
              <w:rPr>
                <w:color w:val="auto"/>
                <w:highlight w:val="none"/>
              </w:rPr>
            </w:pPr>
            <w:r>
              <w:rPr>
                <w:color w:val="auto"/>
                <w:highlight w:val="none"/>
              </w:rPr>
              <w:t>对指定时间段内各通道的视频内容进行深度数据分析，生成包括人流统计、车流统计、非机动车流量以及区域人数统计在内的多维度数据报表，为用户评估区域活跃度、优化资源配置提供量化的数据依据。</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A2980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27A6C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F09098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CD486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F6122">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A6EAC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基础数据</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869B17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模板管理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364A1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管理视频智能分析模板，包括模板ID、名称、类型及示例图片，用于定义算法识别目标特征（如安全帽、工服、口罩等），提升识别准确率。</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7348C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2D1CC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EA0A11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901357">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8F130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6E4209">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1BBB03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视频上传</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B69840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支持用户上传本地视频文件至系统，用于后续分析、回放、作为智能分析的数据源。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1F14E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33823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C2BA3DC">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B4805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57B88">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E882FD">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CEF2A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音频上传</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95BD25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支持上传音频文件，可用于告警提示、语音播报或与视频分析任务联动使用。</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1277C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4109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AE18C31">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0676DD">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67A678">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8AEB5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609B04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系统版本</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D109BB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展示系统版本相关信息，包括设备序列号、硬件配置、接口版本、服务器时间、软件版本等，便于系统维护与版本管理。</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8AAF9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23408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641430C3">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3777A8">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FF21DF">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C106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A7C65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有线网络</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5363A51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负责管理与系统数据存储和网络通信相关的所有配置，包括存储设备的状态与策略、网络连接状态、DHCP设置、IP地址、子网掩码、网关及DNS服务器地址等，是保障系统数据落地与网络连通性的基础设置中心。</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6E676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8BFE7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9660BF4">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AD89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99BDD7">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30A23">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4C776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时间配置</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3D5E898">
            <w:pPr>
              <w:jc w:val="left"/>
              <w:rPr>
                <w:color w:val="auto"/>
                <w:highlight w:val="none"/>
              </w:rPr>
            </w:pPr>
            <w:r>
              <w:rPr>
                <w:rFonts w:ascii="宋体;SimSun" w:hAnsi="宋体;SimSun" w:eastAsia="宋体;SimSun" w:cs="宋体;SimSun"/>
                <w:color w:val="auto"/>
                <w:sz w:val="20"/>
                <w:szCs w:val="20"/>
                <w:highlight w:val="none"/>
              </w:rPr>
              <w:t>支持对系统及各设备的时间进行统一配置与管理，包括NTP使能、域名或IP，校时时间间隔、设置时区等。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4752E0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D1975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A805C92">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85E5D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6DBCD">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4C1505">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75F264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平台对接</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ECB9F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支持与外部第三方平台的数据集成与业务联动，通过标准化的接口与协议，实现报警信息、视频流、结构化数据等的跨平台传输与共享。维护SIP服务编码、SIP服务域、服务IP等内容。</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CCBF7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A6F9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355D37B">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90C51">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269256">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C89AC6">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4B39F5F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报警推送</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102A98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智能分析模块检测到预设的告警事件（如入侵、烟火等），系统将告警信息通过配置好的通道（如短信、平台接口等）实时推送给指定责任人，形成从事件感知到信息送达的快速闭环。</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04E2D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D52F4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00373FB">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313FF4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16.2</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D88AE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视频推理平台</w:t>
            </w:r>
          </w:p>
        </w:tc>
        <w:tc>
          <w:tcPr>
            <w:tcW w:w="1476" w:type="dxa"/>
            <w:tcBorders>
              <w:top w:val="single" w:color="000000" w:sz="4" w:space="0"/>
              <w:left w:val="single" w:color="000000" w:sz="4" w:space="0"/>
              <w:bottom w:val="single" w:color="000000" w:sz="4" w:space="0"/>
              <w:right w:val="single" w:color="000000" w:sz="4" w:space="0"/>
            </w:tcBorders>
            <w:noWrap w:val="0"/>
            <w:vAlign w:val="center"/>
          </w:tcPr>
          <w:p w14:paraId="373DC7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通道管理</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57D166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通道管理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075099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管理视频通道，支持批量启用/停用、修改通道参数，包括通道名称、是否启用、接入类型、视频快照、传输协议、状态等</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AB91A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4071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DFE4E85">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9850B5">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D10CA">
            <w:pPr>
              <w:jc w:val="center"/>
              <w:rPr>
                <w:rFonts w:ascii="宋体;SimSun" w:hAnsi="宋体;SimSun" w:eastAsia="宋体;SimSun" w:cs="宋体;SimSun"/>
                <w:color w:val="auto"/>
                <w:sz w:val="20"/>
                <w:szCs w:val="20"/>
                <w:highlight w:val="none"/>
              </w:rPr>
            </w:pPr>
          </w:p>
        </w:tc>
        <w:tc>
          <w:tcPr>
            <w:tcW w:w="14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1EE3E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智能任务</w:t>
            </w: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DE0A2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任务管理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18A8D27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支持根据复杂业务场景需求创建智能分析任务，可在任务中精细定义检测区域、设置屏蔽区域（即不检测区域），并为该任务设定生效时间范围，从而实现对特定区域在特定时段内的定向智能分析。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7BC2A7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1583D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17E6A8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24D1A">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CABA92">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681540">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3CDF62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轮训任务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C02CCE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支持用户为不同通道的分析任务设定差异化的执行时长与周期，实现对视频智能分析行为的定时启停与持续时间管理，满足诸如定时布防、周期检测等灵活的场景化需求。</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3D84CB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EFC5C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8B52C7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76B0B">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0963DA">
            <w:pPr>
              <w:jc w:val="center"/>
              <w:rPr>
                <w:rFonts w:ascii="宋体;SimSun" w:hAnsi="宋体;SimSun" w:eastAsia="宋体;SimSun" w:cs="宋体;SimSun"/>
                <w:color w:val="auto"/>
                <w:sz w:val="20"/>
                <w:szCs w:val="20"/>
                <w:highlight w:val="none"/>
              </w:rPr>
            </w:pPr>
          </w:p>
        </w:tc>
        <w:tc>
          <w:tcPr>
            <w:tcW w:w="14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C007A7">
            <w:pPr>
              <w:jc w:val="center"/>
              <w:rPr>
                <w:rFonts w:ascii="宋体;SimSun" w:hAnsi="宋体;SimSun" w:eastAsia="宋体;SimSun" w:cs="宋体;SimSun"/>
                <w:color w:val="auto"/>
                <w:sz w:val="20"/>
                <w:szCs w:val="20"/>
                <w:highlight w:val="none"/>
              </w:rPr>
            </w:pPr>
          </w:p>
        </w:tc>
        <w:tc>
          <w:tcPr>
            <w:tcW w:w="1838" w:type="dxa"/>
            <w:tcBorders>
              <w:top w:val="single" w:color="000000" w:sz="4" w:space="0"/>
              <w:left w:val="single" w:color="000000" w:sz="4" w:space="0"/>
              <w:bottom w:val="single" w:color="000000" w:sz="4" w:space="0"/>
              <w:right w:val="single" w:color="000000" w:sz="4" w:space="0"/>
            </w:tcBorders>
            <w:noWrap w:val="0"/>
            <w:vAlign w:val="center"/>
          </w:tcPr>
          <w:p w14:paraId="2D57C2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时间计划</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D49330D">
            <w:pPr>
              <w:jc w:val="left"/>
              <w:rPr>
                <w:color w:val="auto"/>
                <w:highlight w:val="none"/>
              </w:rPr>
            </w:pPr>
            <w:r>
              <w:rPr>
                <w:rFonts w:ascii="宋体;SimSun" w:hAnsi="宋体;SimSun" w:eastAsia="宋体;SimSun" w:cs="宋体;SimSun"/>
                <w:color w:val="auto"/>
                <w:sz w:val="20"/>
                <w:szCs w:val="20"/>
                <w:highlight w:val="none"/>
              </w:rPr>
              <w:t>提供灵活的分析时段配置功能，支持按周循环（周一至周日）分别设置不同的视频分析时间段，满足周期性任务需求。</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4EE62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1FF5E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069FFCF">
        <w:tblPrEx>
          <w:tblCellMar>
            <w:top w:w="0" w:type="dxa"/>
            <w:left w:w="108" w:type="dxa"/>
            <w:bottom w:w="0" w:type="dxa"/>
            <w:right w:w="108" w:type="dxa"/>
          </w:tblCellMar>
        </w:tblPrEx>
        <w:trPr>
          <w:trHeight w:val="270" w:hRule="atLeast"/>
        </w:trPr>
        <w:tc>
          <w:tcPr>
            <w:tcW w:w="7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FBB84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16.3</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2BDDD7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视频分析算法</w:t>
            </w:r>
          </w:p>
        </w:tc>
        <w:tc>
          <w:tcPr>
            <w:tcW w:w="3314"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5F5CB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算法管理</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9AFEF6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高空瞭望摄像头视频分析：烟雾检测。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9A142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7CA01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83910AF">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5452F">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8E7452">
            <w:pPr>
              <w:jc w:val="center"/>
              <w:rPr>
                <w:rFonts w:ascii="宋体;SimSun" w:hAnsi="宋体;SimSun" w:eastAsia="宋体;SimSun" w:cs="宋体;SimSun"/>
                <w:color w:val="auto"/>
                <w:sz w:val="20"/>
                <w:szCs w:val="20"/>
                <w:highlight w:val="none"/>
              </w:rPr>
            </w:pPr>
          </w:p>
        </w:tc>
        <w:tc>
          <w:tcPr>
            <w:tcW w:w="331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1EA046">
            <w:pPr>
              <w:jc w:val="center"/>
              <w:rPr>
                <w:rFonts w:ascii="宋体;SimSun" w:hAnsi="宋体;SimSun" w:eastAsia="宋体;SimSun" w:cs="宋体;SimSun"/>
                <w:color w:val="auto"/>
                <w:sz w:val="20"/>
                <w:szCs w:val="20"/>
                <w:highlight w:val="none"/>
              </w:rPr>
            </w:pP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3E3879E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高空瞭望摄像头视频分析：火点检测。</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75F45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B4A548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E8A593A">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95156">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91794B">
            <w:pPr>
              <w:jc w:val="center"/>
              <w:rPr>
                <w:rFonts w:ascii="宋体;SimSun" w:hAnsi="宋体;SimSun" w:eastAsia="宋体;SimSun" w:cs="宋体;SimSun"/>
                <w:color w:val="auto"/>
                <w:sz w:val="20"/>
                <w:szCs w:val="20"/>
                <w:highlight w:val="none"/>
              </w:rPr>
            </w:pPr>
          </w:p>
        </w:tc>
        <w:tc>
          <w:tcPr>
            <w:tcW w:w="331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EA292E">
            <w:pPr>
              <w:jc w:val="center"/>
              <w:rPr>
                <w:rFonts w:ascii="宋体;SimSun" w:hAnsi="宋体;SimSun" w:eastAsia="宋体;SimSun" w:cs="宋体;SimSun"/>
                <w:color w:val="auto"/>
                <w:sz w:val="20"/>
                <w:szCs w:val="20"/>
                <w:highlight w:val="none"/>
              </w:rPr>
            </w:pP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092521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企业中控室摄像头视频分析：人员在岗离岗检测分析。</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563C3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35BD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3C71AF26">
        <w:tblPrEx>
          <w:tblCellMar>
            <w:top w:w="0" w:type="dxa"/>
            <w:left w:w="108" w:type="dxa"/>
            <w:bottom w:w="0" w:type="dxa"/>
            <w:right w:w="108" w:type="dxa"/>
          </w:tblCellMar>
        </w:tblPrEx>
        <w:trPr>
          <w:trHeight w:val="270" w:hRule="atLeast"/>
        </w:trPr>
        <w:tc>
          <w:tcPr>
            <w:tcW w:w="7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DBE763">
            <w:pPr>
              <w:jc w:val="center"/>
              <w:rPr>
                <w:rFonts w:ascii="宋体;SimSun" w:hAnsi="宋体;SimSun" w:eastAsia="宋体;SimSun" w:cs="宋体;SimSun"/>
                <w:color w:val="auto"/>
                <w:sz w:val="20"/>
                <w:szCs w:val="20"/>
                <w:highlight w:val="none"/>
              </w:rPr>
            </w:pPr>
          </w:p>
        </w:tc>
        <w:tc>
          <w:tcPr>
            <w:tcW w:w="14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7BC60D">
            <w:pPr>
              <w:jc w:val="center"/>
              <w:rPr>
                <w:rFonts w:ascii="宋体;SimSun" w:hAnsi="宋体;SimSun" w:eastAsia="宋体;SimSun" w:cs="宋体;SimSun"/>
                <w:color w:val="auto"/>
                <w:sz w:val="20"/>
                <w:szCs w:val="20"/>
                <w:highlight w:val="none"/>
              </w:rPr>
            </w:pPr>
          </w:p>
        </w:tc>
        <w:tc>
          <w:tcPr>
            <w:tcW w:w="331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AEECF64">
            <w:pPr>
              <w:jc w:val="center"/>
              <w:rPr>
                <w:rFonts w:ascii="宋体;SimSun" w:hAnsi="宋体;SimSun" w:eastAsia="宋体;SimSun" w:cs="宋体;SimSun"/>
                <w:color w:val="auto"/>
                <w:sz w:val="20"/>
                <w:szCs w:val="20"/>
                <w:highlight w:val="none"/>
              </w:rPr>
            </w:pP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63C247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周界电子围栏防入侵检测算法。</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8DB4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43E55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04983B6B">
        <w:tblPrEx>
          <w:tblCellMar>
            <w:top w:w="0" w:type="dxa"/>
            <w:left w:w="108" w:type="dxa"/>
            <w:bottom w:w="0" w:type="dxa"/>
            <w:right w:w="108" w:type="dxa"/>
          </w:tblCellMar>
        </w:tblPrEx>
        <w:trPr>
          <w:trHeight w:val="270" w:hRule="atLeast"/>
        </w:trPr>
        <w:tc>
          <w:tcPr>
            <w:tcW w:w="13818" w:type="dxa"/>
            <w:gridSpan w:val="7"/>
            <w:tcBorders>
              <w:top w:val="single" w:color="000000" w:sz="4" w:space="0"/>
              <w:left w:val="single" w:color="000000" w:sz="4" w:space="0"/>
              <w:bottom w:val="single" w:color="000000" w:sz="4" w:space="0"/>
              <w:right w:val="single" w:color="000000" w:sz="4" w:space="0"/>
            </w:tcBorders>
            <w:noWrap w:val="0"/>
            <w:vAlign w:val="center"/>
          </w:tcPr>
          <w:p w14:paraId="32328A0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17、企业数据服务</w:t>
            </w:r>
          </w:p>
        </w:tc>
      </w:tr>
      <w:tr w14:paraId="642B384E">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E9045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17.1</w:t>
            </w:r>
          </w:p>
        </w:tc>
        <w:tc>
          <w:tcPr>
            <w:tcW w:w="4723" w:type="dxa"/>
            <w:gridSpan w:val="3"/>
            <w:tcBorders>
              <w:top w:val="single" w:color="000000" w:sz="4" w:space="0"/>
              <w:left w:val="single" w:color="000000" w:sz="4" w:space="0"/>
              <w:bottom w:val="single" w:color="000000" w:sz="4" w:space="0"/>
              <w:right w:val="single" w:color="000000" w:sz="4" w:space="0"/>
            </w:tcBorders>
            <w:noWrap w:val="0"/>
            <w:vAlign w:val="center"/>
          </w:tcPr>
          <w:p w14:paraId="2F8253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企业视频汇聚服务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4B0D1091">
            <w:pPr>
              <w:jc w:val="left"/>
              <w:rPr>
                <w:color w:val="auto"/>
                <w:highlight w:val="none"/>
              </w:rPr>
            </w:pPr>
            <w:r>
              <w:rPr>
                <w:rFonts w:ascii="宋体;SimSun" w:hAnsi="宋体;SimSun" w:eastAsia="宋体;SimSun" w:cs="宋体;SimSun"/>
                <w:color w:val="auto"/>
                <w:sz w:val="20"/>
                <w:szCs w:val="20"/>
                <w:highlight w:val="none"/>
              </w:rPr>
              <w:t>按照《危险化学品安全生产风险监测预警系统数据接入规范》《重点化工产业聚集区重大安全风险防控项目技术验收评分表解读》等文件要求，对园区内7家化工企业视频重点区域视频（包含但不仅限于重大危险源库区、储罐区内视频；企业值班监控中心视频；重点监管工艺内部视频；企业二道门物流门等）采集、汇聚。自建系统企业特殊作业、人员定位等相关数据汇聚。</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4BE49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0832F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259C3D6E">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553844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17.2</w:t>
            </w:r>
          </w:p>
        </w:tc>
        <w:tc>
          <w:tcPr>
            <w:tcW w:w="4723" w:type="dxa"/>
            <w:gridSpan w:val="3"/>
            <w:tcBorders>
              <w:top w:val="single" w:color="000000" w:sz="4" w:space="0"/>
              <w:left w:val="single" w:color="000000" w:sz="4" w:space="0"/>
              <w:bottom w:val="single" w:color="000000" w:sz="4" w:space="0"/>
              <w:right w:val="single" w:color="000000" w:sz="4" w:space="0"/>
            </w:tcBorders>
            <w:noWrap w:val="0"/>
            <w:vAlign w:val="center"/>
          </w:tcPr>
          <w:p w14:paraId="171221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物联数据汇聚服务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2F757B26">
            <w:pPr>
              <w:jc w:val="left"/>
              <w:rPr>
                <w:color w:val="auto"/>
                <w:highlight w:val="none"/>
              </w:rPr>
            </w:pPr>
            <w:r>
              <w:rPr>
                <w:rFonts w:ascii="宋体;SimSun" w:hAnsi="宋体;SimSun" w:eastAsia="宋体;SimSun" w:cs="宋体;SimSun"/>
                <w:color w:val="auto"/>
                <w:sz w:val="20"/>
                <w:szCs w:val="20"/>
                <w:highlight w:val="none"/>
              </w:rPr>
              <w:t>按照《危险化学品安全生产风险监测预警系统建设指南》《危险化学品安全生产风险监测预警系统数据接入规范》《化工园区安全风险智能化管控平台建设指南（试行）》等文件要求，对园区内7家涉及重大危险源、硝化工艺企业实时监测数据（包含重大危险源的温度、压力、液位、有毒可燃气体）采集，通过数据采集网关对企业重大危险源监测数据进行汇聚。</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0F508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A5C4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59A14EA2">
        <w:tblPrEx>
          <w:tblCellMar>
            <w:top w:w="0" w:type="dxa"/>
            <w:left w:w="108" w:type="dxa"/>
            <w:bottom w:w="0" w:type="dxa"/>
            <w:right w:w="108" w:type="dxa"/>
          </w:tblCellMar>
        </w:tblPrEx>
        <w:trPr>
          <w:trHeight w:val="270"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708F3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17.3</w:t>
            </w:r>
          </w:p>
        </w:tc>
        <w:tc>
          <w:tcPr>
            <w:tcW w:w="4723" w:type="dxa"/>
            <w:gridSpan w:val="3"/>
            <w:tcBorders>
              <w:top w:val="single" w:color="000000" w:sz="4" w:space="0"/>
              <w:left w:val="single" w:color="000000" w:sz="4" w:space="0"/>
              <w:bottom w:val="single" w:color="000000" w:sz="4" w:space="0"/>
              <w:right w:val="single" w:color="000000" w:sz="4" w:space="0"/>
            </w:tcBorders>
            <w:noWrap w:val="0"/>
            <w:vAlign w:val="center"/>
          </w:tcPr>
          <w:p w14:paraId="25725EE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数据上传服务</w:t>
            </w:r>
          </w:p>
        </w:tc>
        <w:tc>
          <w:tcPr>
            <w:tcW w:w="6774" w:type="dxa"/>
            <w:tcBorders>
              <w:top w:val="single" w:color="000000" w:sz="4" w:space="0"/>
              <w:left w:val="single" w:color="000000" w:sz="4" w:space="0"/>
              <w:bottom w:val="single" w:color="000000" w:sz="4" w:space="0"/>
              <w:right w:val="single" w:color="000000" w:sz="4" w:space="0"/>
            </w:tcBorders>
            <w:noWrap w:val="0"/>
            <w:vAlign w:val="center"/>
          </w:tcPr>
          <w:p w14:paraId="7CD87E4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将汇聚的7家企业视频监控（包含但不仅限于重大危险源库区、储罐区内视频；企业值班监控中心视频；重点监管工艺内部视频；企业二道门物流门等）和7家涉及重大危险源、硝化工艺企业实时监测（包含重大危险源的温度、压力、液位、有毒可燃气体）上传至园区平台。</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602D7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6FA8C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bl>
    <w:p w14:paraId="08D8BDE8">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数字孪生平台需求</w:t>
      </w:r>
    </w:p>
    <w:p w14:paraId="7135B9EB">
      <w:pPr>
        <w:spacing w:after="120" w:line="360" w:lineRule="auto"/>
        <w:ind w:firstLine="420"/>
        <w:rPr>
          <w:color w:val="auto"/>
          <w:highlight w:val="none"/>
        </w:rPr>
      </w:pPr>
      <w:r>
        <w:rPr>
          <w:color w:val="auto"/>
          <w:highlight w:val="none"/>
        </w:rPr>
        <w:t>数字孪生平台包含三维建模与优化、数据采集绑定、大屏展示、场景交互、数据看板可视化等功能。三维建模为宏观园区级，不依赖点位图，以园区总面积、建筑栋数、设备品类、管廊延米等宏观指标为报价基准。数字孪生平台需求清单如下：</w:t>
      </w:r>
    </w:p>
    <w:tbl>
      <w:tblPr>
        <w:tblStyle w:val="39"/>
        <w:tblW w:w="4950" w:type="pct"/>
        <w:tblInd w:w="-113" w:type="dxa"/>
        <w:tblLayout w:type="fixed"/>
        <w:tblCellMar>
          <w:top w:w="0" w:type="dxa"/>
          <w:left w:w="108" w:type="dxa"/>
          <w:bottom w:w="0" w:type="dxa"/>
          <w:right w:w="108" w:type="dxa"/>
        </w:tblCellMar>
      </w:tblPr>
      <w:tblGrid>
        <w:gridCol w:w="1345"/>
        <w:gridCol w:w="2459"/>
        <w:gridCol w:w="1971"/>
        <w:gridCol w:w="5360"/>
        <w:gridCol w:w="1342"/>
        <w:gridCol w:w="1341"/>
      </w:tblGrid>
      <w:tr w14:paraId="05091F87">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12BB9B1A">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序号</w:t>
            </w:r>
          </w:p>
        </w:tc>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781752C">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一级功能模块</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43DDCD76">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二级功能模块</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73670D62">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具体功能</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346228CC">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数量</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4B12507">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单位</w:t>
            </w:r>
          </w:p>
        </w:tc>
      </w:tr>
      <w:tr w14:paraId="33BB1497">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51DE336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2459" w:type="dxa"/>
            <w:vMerge w:val="restart"/>
            <w:tcBorders>
              <w:top w:val="single" w:color="000000" w:sz="4" w:space="0"/>
              <w:left w:val="single" w:color="000000" w:sz="4" w:space="0"/>
              <w:bottom w:val="single" w:color="000000" w:sz="4" w:space="0"/>
              <w:right w:val="single" w:color="000000" w:sz="4" w:space="0"/>
            </w:tcBorders>
            <w:noWrap w:val="0"/>
            <w:vAlign w:val="center"/>
          </w:tcPr>
          <w:p w14:paraId="6BED9F5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三维建模与优化功能</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494D858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地形地貌建模</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3B4DBF4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构建园区地形、道路、绿化、河流等基础环境三维模型</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52BD5A2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C5B0F0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6BA594E5">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6F064E4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767D57">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4F26D9E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企业楼栋建模</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8363FA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对园区内各企业厂房、办公楼、仓库等建筑进行三维建模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28CA733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B465A9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247B166">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073E3F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BEEE6">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19D7B5F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装置建模</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721FDF4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对反应釜、塔器、储罐、管道等生产设备装置进行精细建模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01C5850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346074C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8A2CB4C">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95EC7D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AD9096">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582C110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设施建模</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7F54337D">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对泵、风机、换热器、锅炉等通用设备设施进行三维建模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24EC00C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34DD69A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EFC82B7">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1CB921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D939C1">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6B26240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管线管廊建模</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6100D41">
            <w:pPr>
              <w:jc w:val="left"/>
              <w:rPr>
                <w:color w:val="auto"/>
                <w:highlight w:val="none"/>
              </w:rPr>
            </w:pPr>
            <w:r>
              <w:rPr>
                <w:rFonts w:ascii="宋体;SimSun" w:hAnsi="宋体;SimSun" w:eastAsia="宋体;SimSun" w:cs="宋体;SimSun"/>
                <w:color w:val="auto"/>
                <w:sz w:val="22"/>
                <w:highlight w:val="none"/>
              </w:rPr>
              <w:t>对园区内蒸汽、燃气、物料输送等管线管廊进行三维建模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376F8BE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65B50B0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01013A90">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5ADB26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6</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01E03B">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3B66804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模型轻量化处理</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1F9EC98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对高精度模型进行压缩减面，提升Web端加载和渲染性能</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59F9890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4A2BCF1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080DF28F">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03F5A7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7</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A21040">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3A8EA31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模型LOD层级管理</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0B46EA2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根据视距自动切换模型精细度（高/中/低模），优化显示性能</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482FA8A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05FD1A1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729D083C">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B3135D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8</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41F84">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57ED701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空间层级树管理</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107BD34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按园区-企业-楼栋-楼层-设备构建层级树，支持逐级定位浏览</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12D09AE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7014E47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EBBC8E6">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B22722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9</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7F7A5D">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6DAC84C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实时数据绑定</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5AC07B2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将传感器实时数据与模型绑定，驱动设备状态动态展示</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3BCBE1B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767D4B9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66893E64">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2FEA25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10</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B8C963">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44196F7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模型版本管理</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65FCD3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管理模型迭代版本，支持历史版本对比和回退</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6BF450F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4049EED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736D34FC">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129CB7A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11</w:t>
            </w:r>
          </w:p>
        </w:tc>
        <w:tc>
          <w:tcPr>
            <w:tcW w:w="24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6A3059C">
            <w:pPr>
              <w:jc w:val="center"/>
              <w:rPr>
                <w:color w:val="auto"/>
                <w:highlight w:val="none"/>
              </w:rPr>
            </w:pPr>
            <w:r>
              <w:rPr>
                <w:rFonts w:ascii="宋体;SimSun" w:hAnsi="宋体;SimSun" w:eastAsia="宋体;SimSun" w:cs="宋体;SimSun"/>
                <w:color w:val="auto"/>
                <w:sz w:val="22"/>
                <w:highlight w:val="none"/>
              </w:rPr>
              <w:t>数据采集与绑定功能</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3688C7D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数据采集功能</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0B9545D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采集设备运行、环境、能耗等多维度实时数据</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02695BB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72D9295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40666C75">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D65982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12</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8DB49">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46B6F63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数据对接适配功能</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7F5BEBB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适配不同协议和数据源，实现系统间数据互通</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7382856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8A5F7E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6D31F73A">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6BD2F23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13</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5E1E6">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5C5E4D0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数据清洗与标准化功能</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6C798B7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清洗异常数据，统一数据格式和标准</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6D7B421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5FDA62B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254B8C70">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682303B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14</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805F39">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143151B7">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数据绑定配置管理</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AF1396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支持用户通过界面手动关联数据源与模型对象，管理绑定关系的增删改查，驱动模型动态展示。</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6BEDDD2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368A37E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C16CF3B">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B2BC43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15</w:t>
            </w:r>
          </w:p>
        </w:tc>
        <w:tc>
          <w:tcPr>
            <w:tcW w:w="24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A0F193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数字孪生态势感知</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04FD98C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封闭管理运行态势</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0DDF122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展示人员/车辆进出、卡口状态等封闭管理实时态势</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3F08421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032AD5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392D809">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21B58BB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16</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2DB7AD">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6DE1C5F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安全生产运行态势分析</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57ED5D1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展示安全风险、作业许可、隐患治理等安全生产态势</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75E9CF8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22DC270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1BA76D2">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FE0129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17</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EFD82B">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16FD1A40">
            <w:pPr>
              <w:jc w:val="left"/>
              <w:rPr>
                <w:color w:val="auto"/>
                <w:highlight w:val="none"/>
              </w:rPr>
            </w:pPr>
            <w:r>
              <w:rPr>
                <w:rFonts w:ascii="宋体;SimSun" w:hAnsi="宋体;SimSun" w:eastAsia="宋体;SimSun" w:cs="宋体;SimSun"/>
                <w:color w:val="auto"/>
                <w:sz w:val="22"/>
                <w:highlight w:val="none"/>
              </w:rPr>
              <w:t>环境管理运行态势分析</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67343B0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展示大气、水质、噪声等环境监测实时数据</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7313040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08106BD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244E462D">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27AD772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18</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4C7F9B">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38BEB48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消防运行态势分析</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69A80A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展示消防设施状态、报警信息、应急资源等消防态势</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193F211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4FB5226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4D142DA4">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6DED84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19</w:t>
            </w:r>
          </w:p>
        </w:tc>
        <w:tc>
          <w:tcPr>
            <w:tcW w:w="24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CF3344">
            <w:pPr>
              <w:jc w:val="center"/>
              <w:rPr>
                <w:rFonts w:ascii="宋体;SimSun" w:hAnsi="宋体;SimSun" w:eastAsia="宋体;SimSun" w:cs="宋体;SimSun"/>
                <w:color w:val="auto"/>
                <w:sz w:val="22"/>
                <w:highlight w:val="none"/>
              </w:rPr>
            </w:pP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00E307F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园区招商/资源态势分析</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65B75E8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展示园区企业分布、资源利用、招商进度等经营态势</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626A484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0F3DA12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199628BB">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CACC1D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20</w:t>
            </w:r>
          </w:p>
        </w:tc>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6201D8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三维场景交互浏览</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1CB1E6CD">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三维场景交互浏览</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5EA2284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支持场景漫游、缩放、旋转等交互操作，多视角查看</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35630DD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1FE5CAF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r w14:paraId="360DC17A">
        <w:tblPrEx>
          <w:tblCellMar>
            <w:top w:w="0" w:type="dxa"/>
            <w:left w:w="108" w:type="dxa"/>
            <w:bottom w:w="0" w:type="dxa"/>
            <w:right w:w="108" w:type="dxa"/>
          </w:tblCellMar>
        </w:tblPrEx>
        <w:trPr>
          <w:trHeight w:val="540" w:hRule="atLeast"/>
        </w:trPr>
        <w:tc>
          <w:tcPr>
            <w:tcW w:w="1344" w:type="dxa"/>
            <w:tcBorders>
              <w:top w:val="single" w:color="000000" w:sz="4" w:space="0"/>
              <w:left w:val="single" w:color="000000" w:sz="4" w:space="0"/>
              <w:bottom w:val="single" w:color="000000" w:sz="4" w:space="0"/>
              <w:right w:val="single" w:color="000000" w:sz="4" w:space="0"/>
            </w:tcBorders>
            <w:noWrap w:val="0"/>
            <w:vAlign w:val="center"/>
          </w:tcPr>
          <w:p w14:paraId="5D46923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21</w:t>
            </w:r>
          </w:p>
        </w:tc>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F2096F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数据看板</w:t>
            </w:r>
          </w:p>
        </w:tc>
        <w:tc>
          <w:tcPr>
            <w:tcW w:w="1971" w:type="dxa"/>
            <w:tcBorders>
              <w:top w:val="single" w:color="000000" w:sz="4" w:space="0"/>
              <w:left w:val="single" w:color="000000" w:sz="4" w:space="0"/>
              <w:bottom w:val="single" w:color="000000" w:sz="4" w:space="0"/>
              <w:right w:val="single" w:color="000000" w:sz="4" w:space="0"/>
            </w:tcBorders>
            <w:noWrap w:val="0"/>
            <w:vAlign w:val="center"/>
          </w:tcPr>
          <w:p w14:paraId="0E58E9C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数据看板</w:t>
            </w:r>
          </w:p>
        </w:tc>
        <w:tc>
          <w:tcPr>
            <w:tcW w:w="5361" w:type="dxa"/>
            <w:tcBorders>
              <w:top w:val="single" w:color="000000" w:sz="4" w:space="0"/>
              <w:left w:val="single" w:color="000000" w:sz="4" w:space="0"/>
              <w:bottom w:val="single" w:color="000000" w:sz="4" w:space="0"/>
              <w:right w:val="single" w:color="000000" w:sz="4" w:space="0"/>
            </w:tcBorders>
            <w:noWrap w:val="0"/>
            <w:vAlign w:val="center"/>
          </w:tcPr>
          <w:p w14:paraId="46B3DDC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以图表形式展示关键指标，支持自定义看板布局</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14:paraId="7040D4A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341" w:type="dxa"/>
            <w:tcBorders>
              <w:top w:val="single" w:color="000000" w:sz="4" w:space="0"/>
              <w:left w:val="single" w:color="000000" w:sz="4" w:space="0"/>
              <w:bottom w:val="single" w:color="000000" w:sz="4" w:space="0"/>
              <w:right w:val="single" w:color="000000" w:sz="4" w:space="0"/>
            </w:tcBorders>
            <w:noWrap w:val="0"/>
            <w:vAlign w:val="center"/>
          </w:tcPr>
          <w:p w14:paraId="5E0DF42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w:t>
            </w:r>
          </w:p>
        </w:tc>
      </w:tr>
    </w:tbl>
    <w:p w14:paraId="4A963E0B">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指挥中心配套设备需求</w:t>
      </w:r>
    </w:p>
    <w:p w14:paraId="1FC60449">
      <w:pPr>
        <w:spacing w:line="360" w:lineRule="auto"/>
        <w:ind w:firstLine="420"/>
        <w:rPr>
          <w:color w:val="auto"/>
          <w:highlight w:val="none"/>
        </w:rPr>
      </w:pPr>
      <w:r>
        <w:rPr>
          <w:color w:val="auto"/>
          <w:highlight w:val="none"/>
        </w:rPr>
        <w:t>指挥中心配套设备需求主要包含指挥中心大屏设备、音频会议扩声系统、融合通信系统、设备间设备、远程视频会议系统、网络设备、门禁控制系统等。指挥中心配套设备需求清单如下：</w:t>
      </w:r>
    </w:p>
    <w:tbl>
      <w:tblPr>
        <w:tblStyle w:val="39"/>
        <w:tblW w:w="5000" w:type="pct"/>
        <w:tblInd w:w="-113" w:type="dxa"/>
        <w:tblLayout w:type="fixed"/>
        <w:tblCellMar>
          <w:top w:w="0" w:type="dxa"/>
          <w:left w:w="108" w:type="dxa"/>
          <w:bottom w:w="0" w:type="dxa"/>
          <w:right w:w="108" w:type="dxa"/>
        </w:tblCellMar>
      </w:tblPr>
      <w:tblGrid>
        <w:gridCol w:w="871"/>
        <w:gridCol w:w="2857"/>
        <w:gridCol w:w="8406"/>
        <w:gridCol w:w="1002"/>
        <w:gridCol w:w="822"/>
      </w:tblGrid>
      <w:tr w14:paraId="39A2D84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73A558C">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序号</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61F3A7A">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主要设备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5E9DDD4">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主要参数</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621523A">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数量</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2F1A836">
            <w:pPr>
              <w:jc w:val="center"/>
              <w:rPr>
                <w:rFonts w:ascii="宋体" w:hAnsi="宋体" w:eastAsia="宋体" w:cs="宋体;SimSun"/>
                <w:b/>
                <w:bCs/>
                <w:color w:val="auto"/>
                <w:sz w:val="22"/>
                <w:highlight w:val="none"/>
              </w:rPr>
            </w:pPr>
            <w:r>
              <w:rPr>
                <w:rFonts w:ascii="宋体" w:hAnsi="宋体" w:eastAsia="宋体" w:cs="宋体;SimSun"/>
                <w:b/>
                <w:bCs/>
                <w:color w:val="auto"/>
                <w:sz w:val="22"/>
                <w:highlight w:val="none"/>
              </w:rPr>
              <w:t>单位</w:t>
            </w:r>
          </w:p>
        </w:tc>
      </w:tr>
      <w:tr w14:paraId="5679C600">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03ABDC80">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１、设备间配套设备</w:t>
            </w:r>
          </w:p>
        </w:tc>
      </w:tr>
      <w:tr w14:paraId="42AF658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76D468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0F2C3AC">
            <w:pPr>
              <w:jc w:val="left"/>
              <w:rPr>
                <w:rFonts w:ascii="宋体" w:hAnsi="宋体" w:eastAsia="宋体" w:cs="宋体;SimSun"/>
                <w:color w:val="auto"/>
                <w:sz w:val="22"/>
                <w:highlight w:val="none"/>
              </w:rPr>
            </w:pPr>
            <w:r>
              <w:rPr>
                <w:rFonts w:ascii="宋体" w:hAnsi="宋体" w:eastAsia="宋体" w:cs="宋体;SimSun"/>
                <w:color w:val="auto"/>
                <w:sz w:val="22"/>
                <w:highlight w:val="none"/>
              </w:rPr>
              <w:t>视频综合管控平台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0707937">
            <w:pPr>
              <w:jc w:val="left"/>
              <w:rPr>
                <w:rFonts w:ascii="宋体" w:hAnsi="宋体" w:eastAsia="宋体" w:cs="宋体;SimSun"/>
                <w:color w:val="auto"/>
                <w:sz w:val="22"/>
                <w:highlight w:val="none"/>
              </w:rPr>
            </w:pPr>
            <w:r>
              <w:rPr>
                <w:rFonts w:ascii="宋体" w:hAnsi="宋体" w:eastAsia="宋体" w:cs="宋体;SimSun"/>
                <w:color w:val="auto"/>
                <w:sz w:val="22"/>
                <w:highlight w:val="none"/>
              </w:rPr>
              <w:t>含1200个视频授权点位，化工园区700个视频点位及经开区500个视频点位。</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D7F87BF">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41265D7">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5B04F9F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2FD14F9">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51675BA">
            <w:pPr>
              <w:jc w:val="left"/>
              <w:rPr>
                <w:rFonts w:ascii="宋体" w:hAnsi="宋体" w:eastAsia="宋体" w:cs="宋体;SimSun"/>
                <w:color w:val="auto"/>
                <w:sz w:val="22"/>
                <w:highlight w:val="none"/>
              </w:rPr>
            </w:pPr>
            <w:r>
              <w:rPr>
                <w:rFonts w:ascii="宋体" w:hAnsi="宋体" w:eastAsia="宋体" w:cs="宋体;SimSun"/>
                <w:color w:val="auto"/>
                <w:sz w:val="22"/>
                <w:highlight w:val="none"/>
              </w:rPr>
              <w:t>视频平台级联分项授权</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CF5FAAA">
            <w:pPr>
              <w:jc w:val="left"/>
              <w:rPr>
                <w:rFonts w:ascii="宋体" w:hAnsi="宋体" w:eastAsia="宋体" w:cs="宋体;SimSun"/>
                <w:color w:val="auto"/>
                <w:sz w:val="22"/>
                <w:highlight w:val="none"/>
              </w:rPr>
            </w:pPr>
            <w:r>
              <w:rPr>
                <w:rFonts w:ascii="宋体" w:hAnsi="宋体" w:eastAsia="宋体" w:cs="宋体;SimSun"/>
                <w:color w:val="auto"/>
                <w:sz w:val="22"/>
                <w:highlight w:val="none"/>
              </w:rPr>
              <w:t>融合通信系统获取视频平台授权。</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322682E">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FF5A0CB">
            <w:pPr>
              <w:jc w:val="center"/>
              <w:rPr>
                <w:rFonts w:ascii="宋体" w:hAnsi="宋体" w:eastAsia="宋体" w:cs="宋体;SimSun"/>
                <w:color w:val="auto"/>
                <w:sz w:val="22"/>
                <w:highlight w:val="none"/>
              </w:rPr>
            </w:pPr>
            <w:r>
              <w:rPr>
                <w:rFonts w:ascii="宋体" w:hAnsi="宋体" w:eastAsia="宋体" w:cs="宋体;SimSun"/>
                <w:color w:val="auto"/>
                <w:sz w:val="22"/>
                <w:highlight w:val="none"/>
              </w:rPr>
              <w:t>项</w:t>
            </w:r>
          </w:p>
        </w:tc>
      </w:tr>
      <w:tr w14:paraId="78972469">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2F0ED2E">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822DE1F">
            <w:pPr>
              <w:jc w:val="left"/>
              <w:rPr>
                <w:rFonts w:ascii="宋体" w:hAnsi="宋体" w:eastAsia="宋体" w:cs="宋体;SimSun"/>
                <w:color w:val="auto"/>
                <w:sz w:val="22"/>
                <w:highlight w:val="none"/>
              </w:rPr>
            </w:pPr>
            <w:r>
              <w:rPr>
                <w:rFonts w:ascii="宋体" w:hAnsi="宋体" w:eastAsia="宋体" w:cs="宋体;SimSun"/>
                <w:color w:val="auto"/>
                <w:sz w:val="22"/>
                <w:highlight w:val="none"/>
              </w:rPr>
              <w:t>视频中心分析系统及视频分析授权点</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E9C42D6">
            <w:pPr>
              <w:jc w:val="left"/>
              <w:rPr>
                <w:rFonts w:ascii="宋体" w:hAnsi="宋体" w:eastAsia="宋体"/>
                <w:color w:val="auto"/>
                <w:highlight w:val="none"/>
              </w:rPr>
            </w:pPr>
            <w:r>
              <w:rPr>
                <w:rFonts w:ascii="宋体" w:hAnsi="宋体" w:eastAsia="宋体" w:cs="宋体;SimSun"/>
                <w:color w:val="auto"/>
                <w:sz w:val="22"/>
                <w:highlight w:val="none"/>
              </w:rPr>
              <w:t>支持检测、分类、检测+分类、语义分割、实例分割、图像比对、算法编排等AI模型加载运行</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平台功能简述 监控设备接入、算法配置管理、GB28181上级/下级级联、告警管理、数据推送服务、ROI区域数量无限制等；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化工园区700个视频点位及经开区500个视频点位。</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CDF328A">
            <w:pPr>
              <w:jc w:val="center"/>
              <w:rPr>
                <w:rFonts w:ascii="宋体" w:hAnsi="宋体" w:eastAsia="宋体" w:cs="宋体;SimSun"/>
                <w:color w:val="auto"/>
                <w:sz w:val="22"/>
                <w:highlight w:val="none"/>
              </w:rPr>
            </w:pPr>
            <w:r>
              <w:rPr>
                <w:rFonts w:ascii="宋体" w:hAnsi="宋体" w:eastAsia="宋体" w:cs="宋体;SimSun"/>
                <w:color w:val="auto"/>
                <w:sz w:val="22"/>
                <w:highlight w:val="none"/>
              </w:rPr>
              <w:t>1200</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F189D34">
            <w:pPr>
              <w:jc w:val="center"/>
              <w:rPr>
                <w:rFonts w:ascii="宋体" w:hAnsi="宋体" w:eastAsia="宋体" w:cs="宋体;SimSun"/>
                <w:color w:val="auto"/>
                <w:sz w:val="22"/>
                <w:highlight w:val="none"/>
              </w:rPr>
            </w:pPr>
            <w:r>
              <w:rPr>
                <w:rFonts w:ascii="宋体" w:hAnsi="宋体" w:eastAsia="宋体" w:cs="宋体;SimSun"/>
                <w:color w:val="auto"/>
                <w:sz w:val="22"/>
                <w:highlight w:val="none"/>
              </w:rPr>
              <w:t>点</w:t>
            </w:r>
          </w:p>
        </w:tc>
      </w:tr>
      <w:tr w14:paraId="2E35802C">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E0D1990">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F3CA8F1">
            <w:pPr>
              <w:jc w:val="left"/>
              <w:rPr>
                <w:rFonts w:ascii="宋体" w:hAnsi="宋体" w:eastAsia="宋体" w:cs="宋体;SimSun"/>
                <w:color w:val="auto"/>
                <w:sz w:val="22"/>
                <w:highlight w:val="none"/>
              </w:rPr>
            </w:pPr>
            <w:r>
              <w:rPr>
                <w:rFonts w:ascii="宋体" w:hAnsi="宋体" w:eastAsia="宋体" w:cs="宋体;SimSun"/>
                <w:color w:val="auto"/>
                <w:sz w:val="22"/>
                <w:highlight w:val="none"/>
              </w:rPr>
              <w:t>视频存储设备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864F15D">
            <w:pPr>
              <w:jc w:val="left"/>
              <w:rPr>
                <w:rFonts w:ascii="宋体" w:hAnsi="宋体" w:eastAsia="宋体" w:cs="宋体;SimSun"/>
                <w:color w:val="auto"/>
                <w:sz w:val="22"/>
                <w:highlight w:val="none"/>
              </w:rPr>
            </w:pPr>
            <w:r>
              <w:rPr>
                <w:rFonts w:ascii="宋体" w:hAnsi="宋体" w:eastAsia="宋体" w:cs="宋体;SimSun"/>
                <w:color w:val="auto"/>
                <w:sz w:val="22"/>
                <w:highlight w:val="none"/>
              </w:rPr>
              <w:t>48盘位，机架式网络存储设备</w:t>
            </w:r>
          </w:p>
          <w:p w14:paraId="44E7F5A2">
            <w:pPr>
              <w:jc w:val="left"/>
              <w:rPr>
                <w:rFonts w:ascii="宋体" w:hAnsi="宋体" w:eastAsia="宋体" w:cs="宋体;SimSun"/>
                <w:color w:val="auto"/>
                <w:sz w:val="22"/>
                <w:highlight w:val="none"/>
              </w:rPr>
            </w:pPr>
            <w:r>
              <w:rPr>
                <w:rFonts w:ascii="宋体" w:hAnsi="宋体" w:eastAsia="宋体" w:cs="宋体;SimSun"/>
                <w:color w:val="auto"/>
                <w:sz w:val="22"/>
                <w:highlight w:val="none"/>
              </w:rPr>
              <w:t>单设备配置≥64位多核处理器，标配8GB内存</w:t>
            </w:r>
          </w:p>
          <w:p w14:paraId="5DA11D79">
            <w:pPr>
              <w:jc w:val="left"/>
              <w:rPr>
                <w:rFonts w:ascii="宋体" w:hAnsi="宋体" w:eastAsia="宋体" w:cs="宋体;SimSun"/>
                <w:color w:val="auto"/>
                <w:sz w:val="22"/>
                <w:highlight w:val="none"/>
              </w:rPr>
            </w:pPr>
            <w:r>
              <w:rPr>
                <w:rFonts w:ascii="宋体" w:hAnsi="宋体" w:eastAsia="宋体" w:cs="宋体;SimSun"/>
                <w:color w:val="auto"/>
                <w:sz w:val="22"/>
                <w:highlight w:val="none"/>
              </w:rPr>
              <w:t>48个SATA接口，支持硬盘热插拔</w:t>
            </w:r>
          </w:p>
          <w:p w14:paraId="5266AF38">
            <w:pPr>
              <w:jc w:val="left"/>
              <w:rPr>
                <w:rFonts w:ascii="宋体" w:hAnsi="宋体" w:eastAsia="宋体" w:cs="宋体;SimSun"/>
                <w:color w:val="auto"/>
                <w:sz w:val="22"/>
                <w:highlight w:val="none"/>
              </w:rPr>
            </w:pPr>
            <w:r>
              <w:rPr>
                <w:rFonts w:ascii="宋体" w:hAnsi="宋体" w:eastAsia="宋体" w:cs="宋体;SimSun"/>
                <w:color w:val="auto"/>
                <w:sz w:val="22"/>
                <w:highlight w:val="none"/>
              </w:rPr>
              <w:t>具备3个2.5G数据网口，1个2.5G管理口</w:t>
            </w:r>
          </w:p>
          <w:p w14:paraId="568B49E3">
            <w:pPr>
              <w:jc w:val="left"/>
              <w:rPr>
                <w:rFonts w:ascii="宋体" w:hAnsi="宋体" w:eastAsia="宋体" w:cs="宋体;SimSun"/>
                <w:color w:val="auto"/>
                <w:sz w:val="22"/>
                <w:highlight w:val="none"/>
              </w:rPr>
            </w:pPr>
            <w:r>
              <w:rPr>
                <w:rFonts w:ascii="宋体" w:hAnsi="宋体" w:eastAsia="宋体" w:cs="宋体;SimSun"/>
                <w:color w:val="auto"/>
                <w:sz w:val="22"/>
                <w:highlight w:val="none"/>
              </w:rPr>
              <w:t>1+1冗余电源</w:t>
            </w:r>
          </w:p>
          <w:p w14:paraId="736A4181">
            <w:pPr>
              <w:jc w:val="left"/>
              <w:rPr>
                <w:rFonts w:ascii="宋体" w:hAnsi="宋体" w:eastAsia="宋体" w:cs="宋体;SimSun"/>
                <w:color w:val="auto"/>
                <w:sz w:val="22"/>
                <w:highlight w:val="none"/>
              </w:rPr>
            </w:pPr>
            <w:r>
              <w:rPr>
                <w:rFonts w:ascii="宋体" w:hAnsi="宋体" w:eastAsia="宋体" w:cs="宋体;SimSun"/>
                <w:color w:val="auto"/>
                <w:sz w:val="22"/>
                <w:highlight w:val="none"/>
              </w:rPr>
              <w:t>接入带宽≥900Mbps</w:t>
            </w:r>
          </w:p>
          <w:p w14:paraId="678FCB97">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支持ONVIF、GB/T 28181、RTSP等标准协议</w:t>
            </w:r>
          </w:p>
          <w:p w14:paraId="53CF59B3">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支持RAID0、1、5、6、10、50等多种RAID模式</w:t>
            </w:r>
          </w:p>
          <w:p w14:paraId="7BCD3A83">
            <w:pPr>
              <w:jc w:val="left"/>
              <w:rPr>
                <w:rFonts w:ascii="宋体" w:hAnsi="宋体" w:eastAsia="宋体"/>
                <w:color w:val="auto"/>
                <w:highlight w:val="none"/>
              </w:rPr>
            </w:pPr>
            <w:r>
              <w:rPr>
                <w:rFonts w:ascii="宋体" w:hAnsi="宋体" w:eastAsia="宋体" w:cs="宋体;SimSun"/>
                <w:color w:val="auto"/>
                <w:sz w:val="22"/>
                <w:highlight w:val="none"/>
              </w:rPr>
              <w:t>需配置48块12TB硬盘，总容量达576TB</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6654F2C">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69F0030">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5475AA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15C2F60">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63CDE56">
            <w:pPr>
              <w:jc w:val="left"/>
              <w:rPr>
                <w:rFonts w:ascii="宋体" w:hAnsi="宋体" w:eastAsia="宋体" w:cs="宋体;SimSun"/>
                <w:color w:val="auto"/>
                <w:sz w:val="22"/>
                <w:highlight w:val="none"/>
              </w:rPr>
            </w:pPr>
            <w:r>
              <w:rPr>
                <w:rFonts w:ascii="宋体" w:hAnsi="宋体" w:eastAsia="宋体" w:cs="宋体;SimSun"/>
                <w:color w:val="auto"/>
                <w:sz w:val="22"/>
                <w:highlight w:val="none"/>
              </w:rPr>
              <w:t>视频分析设备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3573352">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支持常见PyTorch、ONNX、TensorFlow算法框架，支持INT8/FP16/FP32混合运算</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分析模式：实时视频分析、轮询视频分析、定时抓图分析、中心视频分析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实时/中心模式：单设备最大64路实时任务，不低于256路轮询分析</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主芯片：8核64位国产处理器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算力：算力≥64TBOPS，可横向扩展算力，最大可扩展至256TOPS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视频解码：视频解码能力≥64路1920×1080@25fps/16*4K@25fps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内部存储：DDR4 16GB eMMC5.0 64G</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外部存储：可支持≥1路SATA硬盘</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网口：RJ45接口≥2，支持10/100/1000Mbps自适应</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视频接口：HDMI OUT</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音频：3.5mm音频接口</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Wi-Fi &amp; 5G：支持扩展Wi-Fi、4G/5G模组</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USB：USB3.0≥2，支持1路Debug Type-C调试口</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外壳材质：不锈钢版本</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电源：AC220V 50Hz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外观尺寸： 1U 机架式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工作温度：-20℃～60℃</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9BE4640">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B5A45DB">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5458D27">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876A2B4">
            <w:pPr>
              <w:jc w:val="center"/>
              <w:rPr>
                <w:rFonts w:ascii="宋体" w:hAnsi="宋体" w:eastAsia="宋体" w:cs="宋体;SimSun"/>
                <w:color w:val="auto"/>
                <w:sz w:val="22"/>
                <w:highlight w:val="none"/>
              </w:rPr>
            </w:pPr>
            <w:r>
              <w:rPr>
                <w:rFonts w:ascii="宋体" w:hAnsi="宋体" w:eastAsia="宋体" w:cs="宋体;SimSun"/>
                <w:color w:val="auto"/>
                <w:sz w:val="22"/>
                <w:highlight w:val="none"/>
              </w:rPr>
              <w:t>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81986AE">
            <w:pPr>
              <w:jc w:val="left"/>
              <w:rPr>
                <w:rFonts w:ascii="宋体" w:hAnsi="宋体" w:eastAsia="宋体" w:cs="宋体;SimSun"/>
                <w:color w:val="auto"/>
                <w:sz w:val="22"/>
                <w:highlight w:val="none"/>
              </w:rPr>
            </w:pPr>
            <w:r>
              <w:rPr>
                <w:rFonts w:ascii="宋体" w:hAnsi="宋体" w:eastAsia="宋体" w:cs="宋体;SimSun"/>
                <w:color w:val="auto"/>
                <w:sz w:val="22"/>
                <w:highlight w:val="none"/>
              </w:rPr>
              <w:t>NVR 网络硬盘录像机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57A2DC3">
            <w:pPr>
              <w:jc w:val="left"/>
              <w:rPr>
                <w:rFonts w:ascii="宋体" w:hAnsi="宋体" w:eastAsia="宋体" w:cs="宋体;SimSun"/>
                <w:color w:val="auto"/>
                <w:sz w:val="22"/>
                <w:highlight w:val="none"/>
              </w:rPr>
            </w:pPr>
            <w:r>
              <w:rPr>
                <w:rFonts w:ascii="宋体" w:hAnsi="宋体" w:eastAsia="宋体" w:cs="宋体;SimSun"/>
                <w:color w:val="auto"/>
                <w:sz w:val="22"/>
                <w:highlight w:val="none"/>
              </w:rPr>
              <w:t>32路硬盘录像机</w:t>
            </w:r>
          </w:p>
          <w:p w14:paraId="495C376B">
            <w:pPr>
              <w:jc w:val="left"/>
              <w:rPr>
                <w:rFonts w:ascii="宋体" w:hAnsi="宋体" w:eastAsia="宋体"/>
                <w:color w:val="auto"/>
                <w:highlight w:val="none"/>
              </w:rPr>
            </w:pPr>
            <w:r>
              <w:rPr>
                <w:rFonts w:ascii="宋体" w:hAnsi="宋体" w:eastAsia="宋体" w:cs="宋体;SimSun"/>
                <w:color w:val="auto"/>
                <w:sz w:val="22"/>
                <w:highlight w:val="none"/>
              </w:rPr>
              <w:t>接入：32 路 IPC，总接入带宽 256Mbps</w:t>
            </w:r>
          </w:p>
          <w:p w14:paraId="296F560C">
            <w:pPr>
              <w:jc w:val="left"/>
              <w:rPr>
                <w:rFonts w:ascii="宋体" w:hAnsi="宋体" w:eastAsia="宋体"/>
                <w:color w:val="auto"/>
                <w:highlight w:val="none"/>
              </w:rPr>
            </w:pPr>
            <w:r>
              <w:rPr>
                <w:rFonts w:ascii="宋体" w:hAnsi="宋体" w:eastAsia="宋体" w:cs="宋体;SimSun"/>
                <w:color w:val="auto"/>
                <w:sz w:val="22"/>
                <w:highlight w:val="none"/>
              </w:rPr>
              <w:t>解码：12 路 1080p 同时解码，SVC 模式最高 16 路；本地同步回放 16 路</w:t>
            </w:r>
          </w:p>
          <w:p w14:paraId="6845E14D">
            <w:pPr>
              <w:jc w:val="left"/>
              <w:rPr>
                <w:rFonts w:ascii="宋体" w:hAnsi="宋体" w:eastAsia="宋体" w:cs="宋体;SimSun"/>
                <w:color w:val="auto"/>
                <w:sz w:val="22"/>
                <w:highlight w:val="none"/>
              </w:rPr>
            </w:pPr>
            <w:r>
              <w:rPr>
                <w:rFonts w:ascii="宋体" w:hAnsi="宋体" w:eastAsia="宋体" w:cs="宋体;SimSun"/>
                <w:color w:val="auto"/>
                <w:sz w:val="22"/>
                <w:highlight w:val="none"/>
              </w:rPr>
              <w:t>输出：HDMI (4K)+VGA (1080p)，支持同源 / 异源输出</w:t>
            </w:r>
          </w:p>
          <w:p w14:paraId="66F4E371">
            <w:pPr>
              <w:jc w:val="left"/>
              <w:rPr>
                <w:rFonts w:ascii="宋体" w:hAnsi="宋体" w:eastAsia="宋体" w:cs="宋体;SimSun"/>
                <w:color w:val="auto"/>
                <w:sz w:val="22"/>
                <w:highlight w:val="none"/>
              </w:rPr>
            </w:pPr>
            <w:r>
              <w:rPr>
                <w:rFonts w:ascii="宋体" w:hAnsi="宋体" w:eastAsia="宋体" w:cs="宋体;SimSun"/>
                <w:color w:val="auto"/>
                <w:sz w:val="22"/>
                <w:highlight w:val="none"/>
              </w:rPr>
              <w:t>盘位：8 盘 SATA，单盘最大 10TB，整机最高 80TB</w:t>
            </w:r>
          </w:p>
          <w:p w14:paraId="712B9624">
            <w:pPr>
              <w:jc w:val="left"/>
              <w:rPr>
                <w:rFonts w:ascii="宋体" w:hAnsi="宋体" w:eastAsia="宋体" w:cs="宋体;SimSun"/>
                <w:color w:val="auto"/>
                <w:sz w:val="22"/>
                <w:highlight w:val="none"/>
              </w:rPr>
            </w:pPr>
            <w:r>
              <w:rPr>
                <w:rFonts w:ascii="宋体" w:hAnsi="宋体" w:eastAsia="宋体" w:cs="宋体;SimSun"/>
                <w:color w:val="auto"/>
                <w:sz w:val="22"/>
                <w:highlight w:val="none"/>
              </w:rPr>
              <w:t>接口：双千兆网口；前置 2×USB2.0、后置 1×USB3.0；</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41AF6E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EA827E8">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1247D7F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831422B">
            <w:pPr>
              <w:jc w:val="center"/>
              <w:rPr>
                <w:rFonts w:ascii="宋体" w:hAnsi="宋体" w:eastAsia="宋体" w:cs="宋体;SimSun"/>
                <w:color w:val="auto"/>
                <w:sz w:val="22"/>
                <w:highlight w:val="none"/>
              </w:rPr>
            </w:pPr>
            <w:r>
              <w:rPr>
                <w:rFonts w:ascii="宋体" w:hAnsi="宋体" w:eastAsia="宋体" w:cs="宋体;SimSun"/>
                <w:color w:val="auto"/>
                <w:sz w:val="22"/>
                <w:highlight w:val="none"/>
              </w:rPr>
              <w:t>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E543D7B">
            <w:pPr>
              <w:jc w:val="left"/>
              <w:rPr>
                <w:rFonts w:ascii="宋体" w:hAnsi="宋体" w:eastAsia="宋体" w:cs="宋体;SimSun"/>
                <w:color w:val="auto"/>
                <w:sz w:val="22"/>
                <w:highlight w:val="none"/>
              </w:rPr>
            </w:pPr>
            <w:r>
              <w:rPr>
                <w:rFonts w:ascii="宋体" w:hAnsi="宋体" w:eastAsia="宋体" w:cs="宋体;SimSun"/>
                <w:color w:val="auto"/>
                <w:sz w:val="22"/>
                <w:highlight w:val="none"/>
              </w:rPr>
              <w:t>UPS不间断电源</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0B1D442">
            <w:pPr>
              <w:jc w:val="left"/>
              <w:rPr>
                <w:rFonts w:ascii="宋体" w:hAnsi="宋体" w:eastAsia="宋体" w:cs="宋体;SimSun"/>
                <w:color w:val="auto"/>
                <w:sz w:val="22"/>
                <w:highlight w:val="none"/>
              </w:rPr>
            </w:pPr>
            <w:r>
              <w:rPr>
                <w:rFonts w:ascii="宋体" w:hAnsi="宋体" w:eastAsia="宋体" w:cs="宋体;SimSun"/>
                <w:color w:val="auto"/>
                <w:sz w:val="22"/>
                <w:highlight w:val="none"/>
              </w:rPr>
              <w:t>1.UPS容量：30KVA，主机的输入：输入相电压范围：190-520VAC；输入频率范围：40-70Hz；输入功率因数：≥0.99；直流电压：384-480V。</w:t>
            </w:r>
          </w:p>
          <w:p w14:paraId="5780B338">
            <w:pPr>
              <w:jc w:val="left"/>
              <w:rPr>
                <w:rFonts w:ascii="宋体" w:hAnsi="宋体" w:eastAsia="宋体" w:cs="宋体;SimSun"/>
                <w:color w:val="auto"/>
                <w:sz w:val="22"/>
                <w:highlight w:val="none"/>
              </w:rPr>
            </w:pPr>
            <w:r>
              <w:rPr>
                <w:rFonts w:ascii="宋体" w:hAnsi="宋体" w:eastAsia="宋体" w:cs="宋体;SimSun"/>
                <w:color w:val="auto"/>
                <w:sz w:val="22"/>
                <w:highlight w:val="none"/>
              </w:rPr>
              <w:t>2.UPS主机的输出：输出功率因数1.0；效率：50%阻性负载≥96%；</w:t>
            </w:r>
          </w:p>
          <w:p w14:paraId="1D9EDDE6">
            <w:pPr>
              <w:jc w:val="left"/>
              <w:rPr>
                <w:rFonts w:ascii="宋体" w:hAnsi="宋体" w:eastAsia="宋体" w:cs="宋体;SimSun"/>
                <w:color w:val="auto"/>
                <w:sz w:val="22"/>
                <w:highlight w:val="none"/>
              </w:rPr>
            </w:pPr>
            <w:r>
              <w:rPr>
                <w:rFonts w:ascii="宋体" w:hAnsi="宋体" w:eastAsia="宋体" w:cs="宋体;SimSun"/>
                <w:color w:val="auto"/>
                <w:sz w:val="22"/>
                <w:highlight w:val="none"/>
              </w:rPr>
              <w:t>3.在线式双变换拓扑结构，三进三出，采用先进的DSP数字控制技术，塔式安装。</w:t>
            </w:r>
          </w:p>
          <w:p w14:paraId="15FA5000">
            <w:pPr>
              <w:jc w:val="left"/>
              <w:rPr>
                <w:rFonts w:ascii="宋体" w:hAnsi="宋体" w:eastAsia="宋体" w:cs="宋体;SimSun"/>
                <w:color w:val="auto"/>
                <w:sz w:val="22"/>
                <w:highlight w:val="none"/>
              </w:rPr>
            </w:pPr>
            <w:r>
              <w:rPr>
                <w:rFonts w:ascii="宋体" w:hAnsi="宋体" w:eastAsia="宋体" w:cs="宋体;SimSun"/>
                <w:color w:val="auto"/>
                <w:sz w:val="22"/>
                <w:highlight w:val="none"/>
              </w:rPr>
              <w:t>4.应采用触摸屏设计，可实时显示UPS的工作参数和运行状态（故障信息，负载容量，电池容量，旁路模式，市电模式，电池模式，电池故障，过载等信息），主界面具有控制、量测、设定、资讯、记录5个主菜单，操作便捷人性化。</w:t>
            </w:r>
          </w:p>
          <w:p w14:paraId="42218BD2">
            <w:pPr>
              <w:jc w:val="left"/>
              <w:rPr>
                <w:rFonts w:ascii="宋体" w:hAnsi="宋体" w:eastAsia="宋体" w:cs="宋体;SimSun"/>
                <w:color w:val="auto"/>
                <w:sz w:val="22"/>
                <w:highlight w:val="none"/>
              </w:rPr>
            </w:pPr>
            <w:r>
              <w:rPr>
                <w:rFonts w:ascii="宋体" w:hAnsi="宋体" w:eastAsia="宋体" w:cs="宋体;SimSun"/>
                <w:color w:val="auto"/>
                <w:sz w:val="22"/>
                <w:highlight w:val="none"/>
              </w:rPr>
              <w:t>5.市电异常状况可以直接用电池启动UPS，满足应急需求；无电池状态可直接采用市电启动UPS，可作高精度稳压电源使用，兼容发电机接入。</w:t>
            </w:r>
          </w:p>
          <w:p w14:paraId="577B075F">
            <w:pPr>
              <w:jc w:val="left"/>
              <w:rPr>
                <w:rFonts w:ascii="宋体" w:hAnsi="宋体" w:eastAsia="宋体" w:cs="宋体;SimSun"/>
                <w:color w:val="auto"/>
                <w:sz w:val="22"/>
                <w:highlight w:val="none"/>
              </w:rPr>
            </w:pPr>
            <w:r>
              <w:rPr>
                <w:rFonts w:ascii="宋体" w:hAnsi="宋体" w:eastAsia="宋体" w:cs="宋体;SimSun"/>
                <w:color w:val="auto"/>
                <w:sz w:val="22"/>
                <w:highlight w:val="none"/>
              </w:rPr>
              <w:t>6.过载能力：输入电压为额定值，输出为阻性负载，调节输出电流，使输出功率为额定值的125%时，机器正常工作时间应≥10min。</w:t>
            </w:r>
          </w:p>
          <w:p w14:paraId="29DF295B">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7.输入过压、短路、过温等多重完善的保护功能。 </w:t>
            </w:r>
          </w:p>
          <w:p w14:paraId="18C12368">
            <w:pPr>
              <w:jc w:val="left"/>
              <w:rPr>
                <w:rFonts w:ascii="宋体" w:hAnsi="宋体" w:eastAsia="宋体" w:cs="宋体;SimSun"/>
                <w:color w:val="auto"/>
                <w:sz w:val="22"/>
                <w:highlight w:val="none"/>
              </w:rPr>
            </w:pPr>
            <w:r>
              <w:rPr>
                <w:rFonts w:ascii="宋体" w:hAnsi="宋体" w:eastAsia="宋体" w:cs="宋体;SimSun"/>
                <w:color w:val="auto"/>
                <w:sz w:val="22"/>
                <w:highlight w:val="none"/>
              </w:rPr>
              <w:t>8.提供浪涌保护功能，减少UPS对电网中其他敏感设备的影响。</w:t>
            </w:r>
          </w:p>
          <w:p w14:paraId="641D269D">
            <w:pPr>
              <w:jc w:val="left"/>
              <w:rPr>
                <w:rFonts w:ascii="宋体" w:hAnsi="宋体" w:eastAsia="宋体" w:cs="宋体;SimSun"/>
                <w:color w:val="auto"/>
                <w:sz w:val="22"/>
                <w:highlight w:val="none"/>
              </w:rPr>
            </w:pPr>
            <w:r>
              <w:rPr>
                <w:rFonts w:ascii="宋体" w:hAnsi="宋体" w:eastAsia="宋体" w:cs="宋体;SimSun"/>
                <w:color w:val="auto"/>
                <w:sz w:val="22"/>
                <w:highlight w:val="none"/>
              </w:rPr>
              <w:t>9.UPS需标配安全关机软件，可以在市电断电电池耗尽之前，将服务器的重要数据进行保存并安全关机，以避免发生意外断电事故时造成的数据丢失和系统崩溃。</w:t>
            </w:r>
          </w:p>
          <w:p w14:paraId="77BD1548">
            <w:pPr>
              <w:jc w:val="left"/>
              <w:rPr>
                <w:rFonts w:ascii="宋体" w:hAnsi="宋体" w:eastAsia="宋体" w:cs="宋体;SimSun"/>
                <w:color w:val="auto"/>
                <w:sz w:val="22"/>
                <w:highlight w:val="none"/>
              </w:rPr>
            </w:pPr>
            <w:r>
              <w:rPr>
                <w:rFonts w:ascii="宋体" w:hAnsi="宋体" w:eastAsia="宋体" w:cs="宋体;SimSun"/>
                <w:color w:val="auto"/>
                <w:sz w:val="22"/>
                <w:highlight w:val="none"/>
              </w:rPr>
              <w:t>10.UPS须具有ECO模式</w:t>
            </w:r>
          </w:p>
          <w:p w14:paraId="47595315">
            <w:pPr>
              <w:jc w:val="left"/>
              <w:rPr>
                <w:rFonts w:hint="eastAsia" w:ascii="宋体" w:hAnsi="宋体" w:eastAsia="宋体"/>
                <w:color w:val="auto"/>
                <w:highlight w:val="none"/>
              </w:rPr>
            </w:pPr>
            <w:r>
              <w:rPr>
                <w:rFonts w:ascii="宋体" w:hAnsi="宋体" w:eastAsia="宋体" w:cs="宋体;SimSun"/>
                <w:color w:val="auto"/>
                <w:sz w:val="22"/>
                <w:highlight w:val="none"/>
              </w:rPr>
              <w:t>11.支持双路市电输入</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13B04DD">
            <w:pPr>
              <w:jc w:val="center"/>
              <w:rPr>
                <w:rFonts w:ascii="宋体" w:hAnsi="宋体" w:eastAsia="宋体" w:cs="宋体;SimSun"/>
                <w:color w:val="auto"/>
                <w:sz w:val="24"/>
                <w:szCs w:val="24"/>
                <w:highlight w:val="none"/>
              </w:rPr>
            </w:pPr>
            <w:r>
              <w:rPr>
                <w:rFonts w:ascii="宋体" w:hAnsi="宋体" w:eastAsia="宋体" w:cs="宋体;SimSun"/>
                <w:color w:val="auto"/>
                <w:sz w:val="24"/>
                <w:szCs w:val="24"/>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2FB4796">
            <w:pPr>
              <w:jc w:val="center"/>
              <w:rPr>
                <w:rFonts w:ascii="宋体" w:hAnsi="宋体" w:eastAsia="宋体" w:cs="宋体;SimSun"/>
                <w:color w:val="auto"/>
                <w:sz w:val="24"/>
                <w:szCs w:val="24"/>
                <w:highlight w:val="none"/>
              </w:rPr>
            </w:pPr>
            <w:r>
              <w:rPr>
                <w:rFonts w:ascii="宋体" w:hAnsi="宋体" w:eastAsia="宋体" w:cs="宋体;SimSun"/>
                <w:color w:val="auto"/>
                <w:sz w:val="24"/>
                <w:szCs w:val="24"/>
                <w:highlight w:val="none"/>
              </w:rPr>
              <w:t>套</w:t>
            </w:r>
          </w:p>
        </w:tc>
      </w:tr>
      <w:tr w14:paraId="5A904D7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B1BE3B6">
            <w:pPr>
              <w:jc w:val="center"/>
              <w:rPr>
                <w:rFonts w:ascii="宋体" w:hAnsi="宋体" w:eastAsia="宋体" w:cs="宋体;SimSun"/>
                <w:color w:val="auto"/>
                <w:sz w:val="22"/>
                <w:highlight w:val="none"/>
              </w:rPr>
            </w:pPr>
            <w:r>
              <w:rPr>
                <w:rFonts w:ascii="宋体" w:hAnsi="宋体" w:eastAsia="宋体" w:cs="宋体;SimSun"/>
                <w:color w:val="auto"/>
                <w:sz w:val="22"/>
                <w:highlight w:val="none"/>
              </w:rPr>
              <w:t>8</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B23BD19">
            <w:pPr>
              <w:jc w:val="left"/>
              <w:rPr>
                <w:rFonts w:ascii="宋体" w:hAnsi="宋体" w:eastAsia="宋体" w:cs="宋体;SimSun"/>
                <w:color w:val="auto"/>
                <w:sz w:val="22"/>
                <w:highlight w:val="none"/>
              </w:rPr>
            </w:pPr>
            <w:r>
              <w:rPr>
                <w:rFonts w:ascii="宋体" w:hAnsi="宋体" w:eastAsia="宋体" w:cs="宋体;SimSun"/>
                <w:color w:val="auto"/>
                <w:sz w:val="22"/>
                <w:highlight w:val="none"/>
              </w:rPr>
              <w:t>精密空调</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3D986C0">
            <w:pPr>
              <w:jc w:val="left"/>
              <w:rPr>
                <w:rFonts w:ascii="宋体" w:hAnsi="宋体" w:eastAsia="宋体"/>
                <w:color w:val="auto"/>
                <w:highlight w:val="none"/>
              </w:rPr>
            </w:pPr>
            <w:r>
              <w:rPr>
                <w:rFonts w:ascii="宋体" w:hAnsi="宋体" w:eastAsia="宋体" w:cs="宋体;SimSun"/>
                <w:color w:val="auto"/>
                <w:sz w:val="22"/>
                <w:highlight w:val="none"/>
              </w:rPr>
              <w:t>1．技术参数：制冷量≥20.2 kW；显冷量≥18.3 kW；电加热≥6 kW；加湿量≥6 kg/h；风量≥5500m³/h；上送风机组；</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2．压缩机系统：高效柔性涡旋压缩机；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3．机房专用空调应能解决机房的高显热量负荷，在室内侧干球温度24℃，室外干球温度35℃工况下：显热比 ≥0.90；</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4．在室内侧干球温度24℃，室外干球温度35℃工况下：机组制冷能效比应≥3.0；</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5．室内风机系统：标配高效后倾离心风机；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6．加湿系统：应采用高效电极加湿器，所选用加湿器需可以在场地进行拆装清理，反复应用；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7．冷凝器部分：冷凝风机采用无级调速，高效节能；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8．除湿性能：机组应具备精确除湿功能，通过控制器精确调节风量来达到准确控制除湿量的效果，减少空气过冷及热补偿需求，降低机房专用空调除湿过程耗电量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9．节流器件：采用电子膨胀阀；</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10．控制显示系统：全中文真彩色4.3英寸超大触摸图文显示屏，直观显示空调运行状态与被检测机柜进出风温湿度；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11．控制存储系统：显示器中可调阅查看不少于300条历史告警，可扩展存储调阅历史记录，每60秒机组存储各项运行数据，可通过计算机直接读取数据；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12．群控功能：群控不少于32台机组，轻松组网，可共享并设定温湿度值，群控模式包括自动确认空调开启数量、避免竞争运行，定时轮巡与故障自动切换；</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13．控制系统应具有三遥功能，遥测项目：送、回风温度、回风湿度等；遥信项目：机组工作模式、风机正常/故障、告警与保护类型、压缩机故障告警；遥控项目：空调开/关机；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14．控制采集系统：结合群控系统，可外接温湿度传感器，检测机柜（机架）进出风温湿度，可根据机架的制冷需求，选择控制模式，包括最大值以及平均值等，作为制冷需求计算的依据，调节冷量、风量输出；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机组适用性：机房专用空调机组的送风余压应不小于50Pa，能适应机房实际的较宽送风距离要求。并可根据设计需要提供更高余压。提高机组送风余压应不减少机组的送风量；室内空调机组要求100%全正面维护，需可以靠装、并装；</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B06A3E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E823830">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C062C94">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0CF57250">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2、指挥中心大屏设备</w:t>
            </w:r>
          </w:p>
        </w:tc>
      </w:tr>
      <w:tr w14:paraId="15F0E354">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4DF358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5839B59">
            <w:pPr>
              <w:jc w:val="left"/>
              <w:rPr>
                <w:rFonts w:ascii="宋体" w:hAnsi="宋体" w:eastAsia="宋体" w:cs="宋体;SimSun"/>
                <w:color w:val="auto"/>
                <w:sz w:val="22"/>
                <w:highlight w:val="none"/>
              </w:rPr>
            </w:pPr>
            <w:r>
              <w:rPr>
                <w:rFonts w:ascii="宋体" w:hAnsi="宋体" w:eastAsia="宋体" w:cs="宋体;SimSun"/>
                <w:color w:val="auto"/>
                <w:sz w:val="22"/>
                <w:highlight w:val="none"/>
              </w:rPr>
              <w:t>LED屏</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240BCC9">
            <w:pPr>
              <w:jc w:val="left"/>
              <w:rPr>
                <w:rFonts w:ascii="宋体" w:hAnsi="宋体" w:eastAsia="宋体" w:cs="宋体;SimSun"/>
                <w:color w:val="auto"/>
                <w:sz w:val="22"/>
                <w:highlight w:val="none"/>
              </w:rPr>
            </w:pPr>
            <w:r>
              <w:rPr>
                <w:rFonts w:ascii="宋体" w:hAnsi="宋体" w:eastAsia="宋体" w:cs="宋体;SimSun"/>
                <w:color w:val="auto"/>
                <w:sz w:val="22"/>
                <w:highlight w:val="none"/>
              </w:rPr>
              <w:t>室内小间距全彩LED</w:t>
            </w:r>
          </w:p>
          <w:p w14:paraId="7AB8B174">
            <w:pPr>
              <w:jc w:val="left"/>
              <w:rPr>
                <w:rFonts w:ascii="宋体" w:hAnsi="宋体" w:eastAsia="宋体" w:cs="宋体;SimSun"/>
                <w:color w:val="auto"/>
                <w:sz w:val="22"/>
                <w:highlight w:val="none"/>
              </w:rPr>
            </w:pPr>
            <w:r>
              <w:rPr>
                <w:rFonts w:ascii="宋体" w:hAnsi="宋体" w:eastAsia="宋体" w:cs="宋体;SimSun"/>
                <w:color w:val="auto"/>
                <w:sz w:val="22"/>
                <w:highlight w:val="none"/>
              </w:rPr>
              <w:t>大屏的尺寸：长15.0m，高3.0375m</w:t>
            </w:r>
          </w:p>
          <w:p w14:paraId="287A6A2B">
            <w:pPr>
              <w:jc w:val="left"/>
              <w:rPr>
                <w:rFonts w:ascii="宋体" w:hAnsi="宋体" w:eastAsia="宋体" w:cs="宋体;SimSun"/>
                <w:color w:val="auto"/>
                <w:sz w:val="22"/>
                <w:highlight w:val="none"/>
              </w:rPr>
            </w:pPr>
            <w:r>
              <w:rPr>
                <w:rFonts w:ascii="宋体" w:hAnsi="宋体" w:eastAsia="宋体" w:cs="宋体;SimSun"/>
                <w:color w:val="auto"/>
                <w:sz w:val="22"/>
                <w:highlight w:val="none"/>
              </w:rPr>
              <w:t>封装方式：MIP</w:t>
            </w:r>
          </w:p>
          <w:p w14:paraId="1CB45F70">
            <w:pPr>
              <w:jc w:val="left"/>
              <w:rPr>
                <w:rFonts w:ascii="宋体" w:hAnsi="宋体" w:eastAsia="宋体" w:cs="宋体;SimSun"/>
                <w:color w:val="auto"/>
                <w:sz w:val="22"/>
                <w:highlight w:val="none"/>
              </w:rPr>
            </w:pPr>
            <w:r>
              <w:rPr>
                <w:rFonts w:ascii="宋体" w:hAnsi="宋体" w:eastAsia="宋体" w:cs="宋体;SimSun"/>
                <w:color w:val="auto"/>
                <w:sz w:val="22"/>
                <w:highlight w:val="none"/>
              </w:rPr>
              <w:t>像素间距≤1.25 mm</w:t>
            </w:r>
          </w:p>
          <w:p w14:paraId="515545BB">
            <w:pPr>
              <w:jc w:val="left"/>
              <w:rPr>
                <w:rFonts w:ascii="宋体" w:hAnsi="宋体" w:eastAsia="宋体" w:cs="宋体;SimSun"/>
                <w:color w:val="auto"/>
                <w:sz w:val="22"/>
                <w:highlight w:val="none"/>
              </w:rPr>
            </w:pPr>
            <w:r>
              <w:rPr>
                <w:rFonts w:ascii="宋体" w:hAnsi="宋体" w:eastAsia="宋体" w:cs="宋体;SimSun"/>
                <w:color w:val="auto"/>
                <w:sz w:val="22"/>
                <w:highlight w:val="none"/>
              </w:rPr>
              <w:t>像素密度≥640000 点/㎡</w:t>
            </w:r>
          </w:p>
          <w:p w14:paraId="7AFBE95F">
            <w:pPr>
              <w:jc w:val="left"/>
              <w:rPr>
                <w:rFonts w:ascii="宋体" w:hAnsi="宋体" w:eastAsia="宋体" w:cs="宋体;SimSun"/>
                <w:color w:val="auto"/>
                <w:sz w:val="22"/>
                <w:highlight w:val="none"/>
              </w:rPr>
            </w:pPr>
            <w:r>
              <w:rPr>
                <w:rFonts w:ascii="宋体" w:hAnsi="宋体" w:eastAsia="宋体" w:cs="宋体;SimSun"/>
                <w:color w:val="auto"/>
                <w:sz w:val="22"/>
                <w:highlight w:val="none"/>
              </w:rPr>
              <w:t>白平衡亮度≥600 cd/㎡</w:t>
            </w:r>
          </w:p>
          <w:p w14:paraId="7F79F3F3">
            <w:pPr>
              <w:jc w:val="left"/>
              <w:rPr>
                <w:rFonts w:ascii="宋体" w:hAnsi="宋体" w:eastAsia="宋体" w:cs="宋体;SimSun"/>
                <w:color w:val="auto"/>
                <w:sz w:val="22"/>
                <w:highlight w:val="none"/>
              </w:rPr>
            </w:pPr>
            <w:r>
              <w:rPr>
                <w:rFonts w:ascii="宋体" w:hAnsi="宋体" w:eastAsia="宋体" w:cs="宋体;SimSun"/>
                <w:color w:val="auto"/>
                <w:sz w:val="22"/>
                <w:highlight w:val="none"/>
              </w:rPr>
              <w:t>刷新率≥3840 Hz</w:t>
            </w:r>
          </w:p>
          <w:p w14:paraId="5CF24BD1">
            <w:pPr>
              <w:jc w:val="left"/>
              <w:rPr>
                <w:rFonts w:ascii="宋体" w:hAnsi="宋体" w:eastAsia="宋体" w:cs="宋体;SimSun"/>
                <w:color w:val="auto"/>
                <w:sz w:val="22"/>
                <w:highlight w:val="none"/>
              </w:rPr>
            </w:pPr>
            <w:r>
              <w:rPr>
                <w:rFonts w:ascii="宋体" w:hAnsi="宋体" w:eastAsia="宋体" w:cs="宋体;SimSun"/>
                <w:color w:val="auto"/>
                <w:sz w:val="22"/>
                <w:highlight w:val="none"/>
              </w:rPr>
              <w:t>对比度≥10000：1</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0B1F6B7">
            <w:pPr>
              <w:jc w:val="center"/>
              <w:rPr>
                <w:rFonts w:ascii="宋体" w:hAnsi="宋体" w:eastAsia="宋体" w:cs="宋体;SimSun"/>
                <w:color w:val="auto"/>
                <w:sz w:val="22"/>
                <w:highlight w:val="none"/>
              </w:rPr>
            </w:pPr>
            <w:r>
              <w:rPr>
                <w:rFonts w:ascii="宋体" w:hAnsi="宋体" w:eastAsia="宋体" w:cs="宋体;SimSun"/>
                <w:color w:val="auto"/>
                <w:sz w:val="22"/>
                <w:highlight w:val="none"/>
              </w:rPr>
              <w:t>45.56</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7C0607E">
            <w:pPr>
              <w:jc w:val="center"/>
              <w:rPr>
                <w:rFonts w:ascii="宋体" w:hAnsi="宋体" w:eastAsia="宋体" w:cs="宋体;SimSun"/>
                <w:color w:val="auto"/>
                <w:sz w:val="22"/>
                <w:highlight w:val="none"/>
              </w:rPr>
            </w:pPr>
            <w:r>
              <w:rPr>
                <w:rFonts w:ascii="宋体" w:hAnsi="宋体" w:eastAsia="宋体" w:cs="宋体;SimSun"/>
                <w:color w:val="auto"/>
                <w:sz w:val="22"/>
                <w:highlight w:val="none"/>
              </w:rPr>
              <w:t>㎡</w:t>
            </w:r>
          </w:p>
        </w:tc>
      </w:tr>
      <w:tr w14:paraId="780E172C">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5171721">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B600964">
            <w:pPr>
              <w:jc w:val="left"/>
              <w:rPr>
                <w:rFonts w:ascii="宋体" w:hAnsi="宋体" w:eastAsia="宋体" w:cs="宋体;SimSun"/>
                <w:color w:val="auto"/>
                <w:sz w:val="22"/>
                <w:highlight w:val="none"/>
              </w:rPr>
            </w:pPr>
            <w:r>
              <w:rPr>
                <w:rFonts w:ascii="宋体" w:hAnsi="宋体" w:eastAsia="宋体" w:cs="宋体;SimSun"/>
                <w:color w:val="auto"/>
                <w:sz w:val="22"/>
                <w:highlight w:val="none"/>
              </w:rPr>
              <w:t>安装调试等服务</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5CBDE82">
            <w:pPr>
              <w:jc w:val="left"/>
              <w:rPr>
                <w:rFonts w:ascii="宋体" w:hAnsi="宋体" w:eastAsia="宋体" w:cs="宋体;SimSun"/>
                <w:color w:val="auto"/>
                <w:sz w:val="22"/>
                <w:highlight w:val="none"/>
              </w:rPr>
            </w:pPr>
            <w:r>
              <w:rPr>
                <w:rFonts w:ascii="宋体" w:hAnsi="宋体" w:eastAsia="宋体" w:cs="宋体;SimSun"/>
                <w:color w:val="auto"/>
                <w:sz w:val="22"/>
                <w:highlight w:val="none"/>
              </w:rPr>
              <w:t>安装调试等服务</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2BA19D9">
            <w:pPr>
              <w:jc w:val="center"/>
              <w:rPr>
                <w:rFonts w:ascii="宋体" w:hAnsi="宋体" w:eastAsia="宋体" w:cs="宋体;SimSun"/>
                <w:color w:val="auto"/>
                <w:sz w:val="22"/>
                <w:highlight w:val="none"/>
              </w:rPr>
            </w:pPr>
            <w:r>
              <w:rPr>
                <w:rFonts w:ascii="宋体" w:hAnsi="宋体" w:eastAsia="宋体" w:cs="宋体;SimSun"/>
                <w:color w:val="auto"/>
                <w:sz w:val="22"/>
                <w:highlight w:val="none"/>
              </w:rPr>
              <w:t>45.56</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174B526">
            <w:pPr>
              <w:jc w:val="center"/>
              <w:rPr>
                <w:rFonts w:ascii="宋体" w:hAnsi="宋体" w:eastAsia="宋体" w:cs="宋体;SimSun"/>
                <w:color w:val="auto"/>
                <w:sz w:val="22"/>
                <w:highlight w:val="none"/>
              </w:rPr>
            </w:pPr>
            <w:r>
              <w:rPr>
                <w:rFonts w:ascii="宋体" w:hAnsi="宋体" w:eastAsia="宋体" w:cs="宋体;SimSun"/>
                <w:color w:val="auto"/>
                <w:sz w:val="22"/>
                <w:highlight w:val="none"/>
              </w:rPr>
              <w:t>㎡</w:t>
            </w:r>
          </w:p>
        </w:tc>
      </w:tr>
      <w:tr w14:paraId="2C17FB06">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15AC323">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44FFF0D">
            <w:pPr>
              <w:jc w:val="left"/>
              <w:rPr>
                <w:rFonts w:ascii="宋体" w:hAnsi="宋体" w:eastAsia="宋体" w:cs="宋体;SimSun"/>
                <w:color w:val="auto"/>
                <w:sz w:val="22"/>
                <w:highlight w:val="none"/>
              </w:rPr>
            </w:pPr>
            <w:r>
              <w:rPr>
                <w:rFonts w:ascii="宋体" w:hAnsi="宋体" w:eastAsia="宋体" w:cs="宋体;SimSun"/>
                <w:color w:val="auto"/>
                <w:sz w:val="22"/>
                <w:highlight w:val="none"/>
              </w:rPr>
              <w:t>大屏支架/LED室内</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5E041DE">
            <w:pPr>
              <w:jc w:val="left"/>
              <w:rPr>
                <w:rFonts w:ascii="宋体" w:hAnsi="宋体" w:eastAsia="宋体" w:cs="宋体;SimSun"/>
                <w:color w:val="auto"/>
                <w:sz w:val="22"/>
                <w:highlight w:val="none"/>
              </w:rPr>
            </w:pPr>
            <w:r>
              <w:rPr>
                <w:rFonts w:ascii="宋体" w:hAnsi="宋体" w:eastAsia="宋体" w:cs="宋体;SimSun"/>
                <w:color w:val="auto"/>
                <w:sz w:val="22"/>
                <w:highlight w:val="none"/>
              </w:rPr>
              <w:t>配套LED定制化落地支架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327267C">
            <w:pPr>
              <w:jc w:val="center"/>
              <w:rPr>
                <w:rFonts w:ascii="宋体" w:hAnsi="宋体" w:eastAsia="宋体" w:cs="宋体;SimSun"/>
                <w:color w:val="auto"/>
                <w:sz w:val="22"/>
                <w:highlight w:val="none"/>
              </w:rPr>
            </w:pPr>
            <w:r>
              <w:rPr>
                <w:rFonts w:ascii="宋体" w:hAnsi="宋体" w:eastAsia="宋体" w:cs="宋体;SimSun"/>
                <w:color w:val="auto"/>
                <w:sz w:val="22"/>
                <w:highlight w:val="none"/>
              </w:rPr>
              <w:t xml:space="preserve">58 </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7C21569">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B00591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E3F1813">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35B209B">
            <w:pPr>
              <w:jc w:val="left"/>
              <w:rPr>
                <w:rFonts w:ascii="宋体" w:hAnsi="宋体" w:eastAsia="宋体" w:cs="宋体;SimSun"/>
                <w:color w:val="auto"/>
                <w:sz w:val="22"/>
                <w:highlight w:val="none"/>
              </w:rPr>
            </w:pPr>
            <w:r>
              <w:rPr>
                <w:rFonts w:ascii="宋体" w:hAnsi="宋体" w:eastAsia="宋体" w:cs="宋体;SimSun"/>
                <w:color w:val="auto"/>
                <w:sz w:val="22"/>
                <w:highlight w:val="none"/>
              </w:rPr>
              <w:t>LED控制设备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46286C7">
            <w:pPr>
              <w:jc w:val="left"/>
              <w:rPr>
                <w:rFonts w:ascii="宋体" w:hAnsi="宋体" w:eastAsia="宋体"/>
                <w:color w:val="auto"/>
                <w:highlight w:val="none"/>
              </w:rPr>
            </w:pPr>
            <w:r>
              <w:rPr>
                <w:rFonts w:ascii="宋体" w:hAnsi="宋体" w:eastAsia="宋体" w:cs="宋体;SimSun"/>
                <w:color w:val="auto"/>
                <w:sz w:val="22"/>
                <w:highlight w:val="none"/>
              </w:rPr>
              <w:t>配套LED大屏</w:t>
            </w:r>
          </w:p>
          <w:p w14:paraId="438CB5E4">
            <w:pPr>
              <w:jc w:val="left"/>
              <w:rPr>
                <w:rFonts w:ascii="宋体" w:hAnsi="宋体" w:eastAsia="宋体" w:cs="宋体;SimSun"/>
                <w:color w:val="auto"/>
                <w:sz w:val="22"/>
                <w:highlight w:val="none"/>
              </w:rPr>
            </w:pPr>
            <w:r>
              <w:rPr>
                <w:rFonts w:ascii="宋体" w:hAnsi="宋体" w:eastAsia="宋体" w:cs="宋体;SimSun"/>
                <w:color w:val="auto"/>
                <w:sz w:val="22"/>
                <w:highlight w:val="none"/>
              </w:rPr>
              <w:t>HDMI输入口≥8路</w:t>
            </w:r>
          </w:p>
          <w:p w14:paraId="0ED212A9">
            <w:pPr>
              <w:jc w:val="left"/>
              <w:rPr>
                <w:rFonts w:ascii="宋体" w:hAnsi="宋体" w:eastAsia="宋体" w:cs="宋体;SimSun"/>
                <w:color w:val="auto"/>
                <w:sz w:val="22"/>
                <w:highlight w:val="none"/>
              </w:rPr>
            </w:pPr>
            <w:r>
              <w:rPr>
                <w:rFonts w:ascii="宋体" w:hAnsi="宋体" w:eastAsia="宋体" w:cs="宋体;SimSun"/>
                <w:color w:val="auto"/>
                <w:sz w:val="22"/>
                <w:highlight w:val="none"/>
              </w:rPr>
              <w:t>HDMI输出口≥16路</w:t>
            </w:r>
          </w:p>
          <w:p w14:paraId="0F37D23F">
            <w:pPr>
              <w:jc w:val="left"/>
              <w:rPr>
                <w:rFonts w:ascii="宋体" w:hAnsi="宋体" w:eastAsia="宋体" w:cs="宋体;SimSun"/>
                <w:color w:val="auto"/>
                <w:sz w:val="22"/>
                <w:highlight w:val="none"/>
              </w:rPr>
            </w:pPr>
            <w:r>
              <w:rPr>
                <w:rFonts w:ascii="宋体" w:hAnsi="宋体" w:eastAsia="宋体" w:cs="宋体;SimSun"/>
                <w:color w:val="auto"/>
                <w:sz w:val="22"/>
                <w:highlight w:val="none"/>
              </w:rPr>
              <w:t>整机解码能力≥288路720p@30Hz同时解码</w:t>
            </w:r>
          </w:p>
          <w:p w14:paraId="07799037">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支持双电源热备功能，支持电源热插拔</w:t>
            </w:r>
          </w:p>
          <w:p w14:paraId="3B734D6E">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支持画面分割显示、任意开窗</w:t>
            </w:r>
          </w:p>
          <w:p w14:paraId="7BF0B33D">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支持虚拟LED字幕功能;</w:t>
            </w:r>
          </w:p>
          <w:p w14:paraId="4A0DE19F">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支持自动检测输入源的信号类型。</w:t>
            </w:r>
          </w:p>
          <w:p w14:paraId="00755E11">
            <w:pPr>
              <w:jc w:val="left"/>
              <w:rPr>
                <w:rFonts w:ascii="宋体" w:hAnsi="宋体" w:eastAsia="宋体" w:cs="宋体;SimSun"/>
                <w:color w:val="auto"/>
                <w:sz w:val="22"/>
                <w:highlight w:val="none"/>
              </w:rPr>
            </w:pPr>
            <w:r>
              <w:rPr>
                <w:rFonts w:ascii="宋体" w:hAnsi="宋体" w:eastAsia="宋体" w:cs="宋体;SimSun"/>
                <w:color w:val="auto"/>
                <w:sz w:val="22"/>
                <w:highlight w:val="none"/>
              </w:rPr>
              <w:t>支持监控场景切换，可支持切换场景数≥4个，场景切换时间≤2s。</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0338D8F">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EFDC502">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175A0E77">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0945E61">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7371A12">
            <w:pPr>
              <w:jc w:val="left"/>
              <w:rPr>
                <w:rFonts w:ascii="宋体" w:hAnsi="宋体" w:eastAsia="宋体" w:cs="宋体;SimSun"/>
                <w:color w:val="auto"/>
                <w:sz w:val="22"/>
                <w:highlight w:val="none"/>
              </w:rPr>
            </w:pPr>
            <w:r>
              <w:rPr>
                <w:rFonts w:ascii="宋体" w:hAnsi="宋体" w:eastAsia="宋体" w:cs="宋体;SimSun"/>
                <w:color w:val="auto"/>
                <w:sz w:val="22"/>
                <w:highlight w:val="none"/>
              </w:rPr>
              <w:t>LED发送卡</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FD6676F">
            <w:pPr>
              <w:jc w:val="left"/>
              <w:rPr>
                <w:rFonts w:ascii="宋体" w:hAnsi="宋体" w:eastAsia="宋体" w:cs="宋体;SimSun"/>
                <w:color w:val="auto"/>
                <w:sz w:val="22"/>
                <w:highlight w:val="none"/>
              </w:rPr>
            </w:pPr>
            <w:r>
              <w:rPr>
                <w:rFonts w:ascii="宋体" w:hAnsi="宋体" w:eastAsia="宋体" w:cs="宋体;SimSun"/>
                <w:color w:val="auto"/>
                <w:sz w:val="22"/>
                <w:highlight w:val="none"/>
              </w:rPr>
              <w:t>配套LED大屏4网口 2K LED发送卡，支持带载≥260万像素支持HDMI音视频复合流输入，支持3.5mm音频输出设备支持对LED大屏进行亮度、色温及图像进行调节</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B412972">
            <w:pPr>
              <w:jc w:val="center"/>
              <w:rPr>
                <w:rFonts w:ascii="宋体" w:hAnsi="宋体" w:eastAsia="宋体" w:cs="宋体;SimSun"/>
                <w:color w:val="auto"/>
                <w:sz w:val="22"/>
                <w:highlight w:val="none"/>
              </w:rPr>
            </w:pPr>
            <w:r>
              <w:rPr>
                <w:rFonts w:ascii="宋体" w:hAnsi="宋体" w:eastAsia="宋体" w:cs="宋体;SimSun"/>
                <w:color w:val="auto"/>
                <w:sz w:val="22"/>
                <w:highlight w:val="none"/>
              </w:rPr>
              <w:t>14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81ACECE">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CDE426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50287A1">
            <w:pPr>
              <w:jc w:val="center"/>
              <w:rPr>
                <w:rFonts w:ascii="宋体" w:hAnsi="宋体" w:eastAsia="宋体" w:cs="宋体;SimSun"/>
                <w:color w:val="auto"/>
                <w:sz w:val="22"/>
                <w:highlight w:val="none"/>
              </w:rPr>
            </w:pPr>
            <w:r>
              <w:rPr>
                <w:rFonts w:ascii="宋体" w:hAnsi="宋体" w:eastAsia="宋体" w:cs="宋体;SimSun"/>
                <w:color w:val="auto"/>
                <w:sz w:val="22"/>
                <w:highlight w:val="none"/>
              </w:rPr>
              <w:t>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645C39B">
            <w:pPr>
              <w:jc w:val="left"/>
              <w:rPr>
                <w:rFonts w:ascii="宋体" w:hAnsi="宋体" w:eastAsia="宋体" w:cs="宋体;SimSun"/>
                <w:color w:val="auto"/>
                <w:sz w:val="22"/>
                <w:highlight w:val="none"/>
              </w:rPr>
            </w:pPr>
            <w:r>
              <w:rPr>
                <w:rFonts w:ascii="宋体" w:hAnsi="宋体" w:eastAsia="宋体" w:cs="宋体;SimSun"/>
                <w:color w:val="auto"/>
                <w:sz w:val="22"/>
                <w:highlight w:val="none"/>
              </w:rPr>
              <w:t>LED配电柜</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AF9612E">
            <w:pPr>
              <w:jc w:val="left"/>
              <w:rPr>
                <w:rFonts w:ascii="宋体" w:hAnsi="宋体" w:eastAsia="宋体" w:cs="宋体;SimSun"/>
                <w:color w:val="auto"/>
                <w:sz w:val="22"/>
                <w:highlight w:val="none"/>
              </w:rPr>
            </w:pPr>
            <w:r>
              <w:rPr>
                <w:rFonts w:ascii="宋体" w:hAnsi="宋体" w:eastAsia="宋体" w:cs="宋体;SimSun"/>
                <w:color w:val="auto"/>
                <w:sz w:val="22"/>
                <w:highlight w:val="none"/>
              </w:rPr>
              <w:t>配套LED大屏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输入电压：380V，三相五线</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输出电压：220V</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额定功率：20kW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输出回路：6个单相回路（AC220V）</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支持远程控制电源</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F1667B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8429E58">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01A878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B4700FB">
            <w:pPr>
              <w:jc w:val="center"/>
              <w:rPr>
                <w:rFonts w:ascii="宋体" w:hAnsi="宋体" w:eastAsia="宋体" w:cs="宋体;SimSun"/>
                <w:color w:val="auto"/>
                <w:sz w:val="22"/>
                <w:highlight w:val="none"/>
              </w:rPr>
            </w:pPr>
            <w:r>
              <w:rPr>
                <w:rFonts w:ascii="宋体" w:hAnsi="宋体" w:eastAsia="宋体" w:cs="宋体;SimSun"/>
                <w:color w:val="auto"/>
                <w:sz w:val="22"/>
                <w:highlight w:val="none"/>
              </w:rPr>
              <w:t>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9C0F28E">
            <w:pPr>
              <w:jc w:val="left"/>
              <w:rPr>
                <w:rFonts w:ascii="宋体" w:hAnsi="宋体" w:eastAsia="宋体" w:cs="宋体;SimSun"/>
                <w:color w:val="auto"/>
                <w:sz w:val="22"/>
                <w:highlight w:val="none"/>
              </w:rPr>
            </w:pPr>
            <w:r>
              <w:rPr>
                <w:rFonts w:ascii="宋体" w:hAnsi="宋体" w:eastAsia="宋体" w:cs="宋体;SimSun"/>
                <w:color w:val="auto"/>
                <w:sz w:val="22"/>
                <w:highlight w:val="none"/>
              </w:rPr>
              <w:t>配件辅材</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5110DC7">
            <w:pPr>
              <w:jc w:val="left"/>
              <w:rPr>
                <w:rFonts w:ascii="宋体" w:hAnsi="宋体" w:eastAsia="宋体" w:cs="宋体;SimSun"/>
                <w:color w:val="auto"/>
                <w:sz w:val="22"/>
                <w:highlight w:val="none"/>
              </w:rPr>
            </w:pPr>
            <w:r>
              <w:rPr>
                <w:rFonts w:ascii="宋体" w:hAnsi="宋体" w:eastAsia="宋体" w:cs="宋体;SimSun"/>
                <w:color w:val="auto"/>
                <w:sz w:val="22"/>
                <w:highlight w:val="none"/>
              </w:rPr>
              <w:t>网线、电源线、维护工具、备用LED单元等。</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E79D9C7">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9CEECD2">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7093C199">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17C30BB">
            <w:pPr>
              <w:jc w:val="center"/>
              <w:rPr>
                <w:rFonts w:ascii="宋体" w:hAnsi="宋体" w:eastAsia="宋体" w:cs="宋体;SimSun"/>
                <w:color w:val="auto"/>
                <w:sz w:val="22"/>
                <w:highlight w:val="none"/>
              </w:rPr>
            </w:pPr>
            <w:r>
              <w:rPr>
                <w:rFonts w:ascii="宋体" w:hAnsi="宋体" w:eastAsia="宋体" w:cs="宋体;SimSun"/>
                <w:color w:val="auto"/>
                <w:sz w:val="22"/>
                <w:highlight w:val="none"/>
              </w:rPr>
              <w:t>8</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5DBB801">
            <w:pPr>
              <w:jc w:val="left"/>
              <w:rPr>
                <w:rFonts w:ascii="宋体" w:hAnsi="宋体" w:eastAsia="宋体" w:cs="宋体;SimSun"/>
                <w:color w:val="auto"/>
                <w:sz w:val="22"/>
                <w:highlight w:val="none"/>
              </w:rPr>
            </w:pPr>
            <w:r>
              <w:rPr>
                <w:rFonts w:ascii="宋体" w:hAnsi="宋体" w:eastAsia="宋体" w:cs="宋体;SimSun"/>
                <w:color w:val="auto"/>
                <w:sz w:val="22"/>
                <w:highlight w:val="none"/>
              </w:rPr>
              <w:t>控制平板</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EE79B5B">
            <w:pPr>
              <w:jc w:val="left"/>
              <w:rPr>
                <w:rFonts w:ascii="宋体" w:hAnsi="宋体" w:eastAsia="宋体" w:cs="宋体;SimSun"/>
                <w:color w:val="auto"/>
                <w:sz w:val="22"/>
                <w:highlight w:val="none"/>
              </w:rPr>
            </w:pPr>
            <w:r>
              <w:rPr>
                <w:rFonts w:ascii="宋体" w:hAnsi="宋体" w:eastAsia="宋体" w:cs="宋体;SimSun"/>
                <w:color w:val="auto"/>
                <w:sz w:val="22"/>
                <w:highlight w:val="none"/>
              </w:rPr>
              <w:t>1.IPS材质≥10.8英寸</w:t>
            </w:r>
          </w:p>
          <w:p w14:paraId="638CAE08">
            <w:pPr>
              <w:jc w:val="left"/>
              <w:rPr>
                <w:rFonts w:ascii="宋体" w:hAnsi="宋体" w:eastAsia="宋体" w:cs="宋体;SimSun"/>
                <w:color w:val="auto"/>
                <w:sz w:val="22"/>
                <w:highlight w:val="none"/>
              </w:rPr>
            </w:pPr>
            <w:r>
              <w:rPr>
                <w:rFonts w:ascii="宋体" w:hAnsi="宋体" w:eastAsia="宋体" w:cs="宋体;SimSun"/>
                <w:color w:val="auto"/>
                <w:sz w:val="22"/>
                <w:highlight w:val="none"/>
              </w:rPr>
              <w:t>2.运行内存:≥8GB</w:t>
            </w:r>
          </w:p>
          <w:p w14:paraId="73FCD807">
            <w:pPr>
              <w:jc w:val="left"/>
              <w:rPr>
                <w:rFonts w:ascii="宋体" w:hAnsi="宋体" w:eastAsia="宋体" w:cs="宋体;SimSun"/>
                <w:color w:val="auto"/>
                <w:sz w:val="22"/>
                <w:highlight w:val="none"/>
              </w:rPr>
            </w:pPr>
            <w:r>
              <w:rPr>
                <w:rFonts w:ascii="宋体" w:hAnsi="宋体" w:eastAsia="宋体" w:cs="宋体;SimSun"/>
                <w:color w:val="auto"/>
                <w:sz w:val="22"/>
                <w:highlight w:val="none"/>
              </w:rPr>
              <w:t>3.存储容量:≥128GB</w:t>
            </w:r>
          </w:p>
          <w:p w14:paraId="7DF49C04">
            <w:pPr>
              <w:jc w:val="left"/>
              <w:rPr>
                <w:rFonts w:ascii="宋体" w:hAnsi="宋体" w:eastAsia="宋体" w:cs="宋体;SimSun"/>
                <w:color w:val="auto"/>
                <w:sz w:val="22"/>
                <w:highlight w:val="none"/>
              </w:rPr>
            </w:pPr>
            <w:r>
              <w:rPr>
                <w:rFonts w:ascii="宋体" w:hAnsi="宋体" w:eastAsia="宋体" w:cs="宋体;SimSun"/>
                <w:color w:val="auto"/>
                <w:sz w:val="22"/>
                <w:highlight w:val="none"/>
              </w:rPr>
              <w:t>4.CPU核心数:≥8核</w:t>
            </w:r>
          </w:p>
          <w:p w14:paraId="258AF180">
            <w:pPr>
              <w:jc w:val="left"/>
              <w:rPr>
                <w:rFonts w:ascii="宋体" w:hAnsi="宋体" w:eastAsia="宋体" w:cs="宋体;SimSun"/>
                <w:color w:val="auto"/>
                <w:sz w:val="22"/>
                <w:highlight w:val="none"/>
              </w:rPr>
            </w:pPr>
            <w:r>
              <w:rPr>
                <w:rFonts w:ascii="宋体" w:hAnsi="宋体" w:eastAsia="宋体" w:cs="宋体;SimSun"/>
                <w:color w:val="auto"/>
                <w:sz w:val="22"/>
                <w:highlight w:val="none"/>
              </w:rPr>
              <w:t xml:space="preserve">5.分辨率:≥2560×1600 </w:t>
            </w:r>
          </w:p>
          <w:p w14:paraId="5CBAA539">
            <w:pPr>
              <w:jc w:val="left"/>
              <w:rPr>
                <w:rFonts w:ascii="宋体" w:hAnsi="宋体" w:eastAsia="宋体" w:cs="宋体;SimSun"/>
                <w:color w:val="auto"/>
                <w:sz w:val="22"/>
                <w:highlight w:val="none"/>
              </w:rPr>
            </w:pPr>
            <w:r>
              <w:rPr>
                <w:rFonts w:ascii="宋体" w:hAnsi="宋体" w:eastAsia="宋体" w:cs="宋体;SimSun"/>
                <w:color w:val="auto"/>
                <w:sz w:val="22"/>
                <w:highlight w:val="none"/>
              </w:rPr>
              <w:t>6.Wi-Fi版</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690BB3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F0F535E">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B43ED1F">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0385FF56">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３、指挥中心配套设备</w:t>
            </w:r>
          </w:p>
        </w:tc>
      </w:tr>
      <w:tr w14:paraId="73749DC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2A3631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8656D1D">
            <w:pPr>
              <w:jc w:val="center"/>
              <w:rPr>
                <w:rFonts w:ascii="宋体" w:hAnsi="宋体" w:eastAsia="宋体" w:cs="宋体;SimSun"/>
                <w:color w:val="auto"/>
                <w:sz w:val="22"/>
                <w:highlight w:val="none"/>
              </w:rPr>
            </w:pPr>
            <w:r>
              <w:rPr>
                <w:rFonts w:ascii="宋体" w:hAnsi="宋体" w:eastAsia="宋体" w:cs="宋体;SimSun"/>
                <w:color w:val="auto"/>
                <w:sz w:val="22"/>
                <w:highlight w:val="none"/>
              </w:rPr>
              <w:t>操作工作站</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2CE1DE7">
            <w:pPr>
              <w:jc w:val="left"/>
              <w:rPr>
                <w:rFonts w:ascii="宋体" w:hAnsi="宋体" w:eastAsia="宋体" w:cs="宋体;SimSun"/>
                <w:color w:val="auto"/>
                <w:sz w:val="22"/>
                <w:highlight w:val="none"/>
              </w:rPr>
            </w:pPr>
            <w:r>
              <w:rPr>
                <w:rFonts w:ascii="宋体" w:hAnsi="宋体" w:eastAsia="宋体" w:cs="宋体;SimSun"/>
                <w:color w:val="auto"/>
                <w:sz w:val="22"/>
                <w:highlight w:val="none"/>
              </w:rPr>
              <w:t>一台操作主机，cpu核心/线程数：16核心/24线程</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电源850W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机械硬盘4TB，转速5400rpm，缓存256MB，接口 SATA 6Gb/s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固态存储容量 1TB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显卡显存容量 12GB 显存类型 GDDR6X 显存位宽 192bit 核心频率 1980-2475MHz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一块3840×2160显示器</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63F825D">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DC4801A">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4A03616C">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BB6C14E">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314CD92">
            <w:pPr>
              <w:jc w:val="center"/>
              <w:rPr>
                <w:rFonts w:ascii="宋体" w:hAnsi="宋体" w:eastAsia="宋体" w:cs="宋体;SimSun"/>
                <w:color w:val="auto"/>
                <w:sz w:val="22"/>
                <w:highlight w:val="none"/>
              </w:rPr>
            </w:pPr>
            <w:r>
              <w:rPr>
                <w:rFonts w:ascii="宋体" w:hAnsi="宋体" w:eastAsia="宋体" w:cs="宋体;SimSun"/>
                <w:color w:val="auto"/>
                <w:sz w:val="22"/>
                <w:highlight w:val="none"/>
              </w:rPr>
              <w:t>控制终端</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C3D400D">
            <w:pPr>
              <w:jc w:val="left"/>
              <w:rPr>
                <w:rFonts w:ascii="宋体" w:hAnsi="宋体" w:eastAsia="宋体" w:cs="宋体;SimSun"/>
                <w:color w:val="auto"/>
                <w:sz w:val="22"/>
                <w:highlight w:val="none"/>
              </w:rPr>
            </w:pPr>
            <w:r>
              <w:rPr>
                <w:rFonts w:ascii="宋体" w:hAnsi="宋体" w:eastAsia="宋体" w:cs="宋体;SimSun"/>
                <w:color w:val="auto"/>
                <w:sz w:val="22"/>
                <w:highlight w:val="none"/>
              </w:rPr>
              <w:t>1.处理器：6核6线程</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2.内存：8GB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3.硬盘：512GB SSD</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4.显卡：核显</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5.24英寸显示器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6.舒适实用性键鼠</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56CDF67">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BA8DD8D">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21527249">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5DBA5F67">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4、指挥中心音频会议扩声系统</w:t>
            </w:r>
          </w:p>
        </w:tc>
      </w:tr>
      <w:tr w14:paraId="7D28EA3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FFC6DE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E16FFF6">
            <w:pPr>
              <w:jc w:val="center"/>
              <w:rPr>
                <w:rFonts w:ascii="宋体" w:hAnsi="宋体" w:eastAsia="宋体" w:cs="宋体;SimSun"/>
                <w:color w:val="auto"/>
                <w:sz w:val="22"/>
                <w:highlight w:val="none"/>
              </w:rPr>
            </w:pPr>
            <w:r>
              <w:rPr>
                <w:rFonts w:ascii="宋体" w:hAnsi="宋体" w:eastAsia="宋体" w:cs="宋体;SimSun"/>
                <w:color w:val="auto"/>
                <w:sz w:val="22"/>
                <w:highlight w:val="none"/>
              </w:rPr>
              <w:t>音箱</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9EF9EB0">
            <w:pPr>
              <w:jc w:val="left"/>
              <w:rPr>
                <w:rFonts w:ascii="宋体" w:hAnsi="宋体" w:eastAsia="宋体"/>
                <w:color w:val="auto"/>
                <w:highlight w:val="none"/>
              </w:rPr>
            </w:pPr>
            <w:r>
              <w:rPr>
                <w:rFonts w:ascii="宋体" w:hAnsi="宋体" w:eastAsia="宋体" w:cs="宋体;SimSun"/>
                <w:color w:val="auto"/>
                <w:sz w:val="22"/>
                <w:highlight w:val="none"/>
              </w:rPr>
              <w:t>1.系统类型：12英寸，2分频低频反射式；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2.额定功率：≥300W；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3.标称阻抗：8Ω；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4.标称灵敏度（1W@1m）：≥96dB；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 最大声压级（Pmax@1m）：≥121dB；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6.频率范围(-10dB)：50Hz-20kHz；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7.频率响应(±3dB)：85Hz-20kHz；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8.标称指向性（-6dB）：70°H×100°V；</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9.换能器配置：低频驱动器12″×1，高频驱动器1.7″×1；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10.水性环保喷涂处理；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11.具备优良的低频阻尼特性，声染色低；</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D770740">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90B1B7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只</w:t>
            </w:r>
          </w:p>
        </w:tc>
      </w:tr>
      <w:tr w14:paraId="50216D49">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2DE9B3A">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9B369A8">
            <w:pPr>
              <w:jc w:val="center"/>
              <w:rPr>
                <w:rFonts w:ascii="宋体" w:hAnsi="宋体" w:eastAsia="宋体" w:cs="宋体;SimSun"/>
                <w:color w:val="auto"/>
                <w:sz w:val="22"/>
                <w:highlight w:val="none"/>
              </w:rPr>
            </w:pPr>
            <w:r>
              <w:rPr>
                <w:rFonts w:ascii="宋体" w:hAnsi="宋体" w:eastAsia="宋体" w:cs="宋体;SimSun"/>
                <w:color w:val="auto"/>
                <w:sz w:val="22"/>
                <w:highlight w:val="none"/>
              </w:rPr>
              <w:t>支架</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AA49138">
            <w:pPr>
              <w:jc w:val="left"/>
              <w:rPr>
                <w:rFonts w:ascii="宋体" w:hAnsi="宋体" w:eastAsia="宋体" w:cs="宋体;SimSun"/>
                <w:color w:val="auto"/>
                <w:sz w:val="22"/>
                <w:highlight w:val="none"/>
              </w:rPr>
            </w:pPr>
            <w:r>
              <w:rPr>
                <w:rFonts w:ascii="宋体" w:hAnsi="宋体" w:eastAsia="宋体" w:cs="宋体;SimSun"/>
                <w:color w:val="auto"/>
                <w:sz w:val="22"/>
                <w:highlight w:val="none"/>
              </w:rPr>
              <w:t>1.采用3.2mm加厚加硬钢板，用料扎实，承重力更强，单只可承重≥40KG；</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2.左右180度调节角度，向下60度调节角度，中间连接杆可伸缩调节；</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3.无级左右调节，始终保持音箱和视角垂直；</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54F6307">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9879DDC">
            <w:pPr>
              <w:jc w:val="center"/>
              <w:rPr>
                <w:rFonts w:ascii="宋体" w:hAnsi="宋体" w:eastAsia="宋体" w:cs="宋体;SimSun"/>
                <w:color w:val="auto"/>
                <w:sz w:val="22"/>
                <w:highlight w:val="none"/>
              </w:rPr>
            </w:pPr>
            <w:r>
              <w:rPr>
                <w:rFonts w:ascii="宋体" w:hAnsi="宋体" w:eastAsia="宋体" w:cs="宋体;SimSun"/>
                <w:color w:val="auto"/>
                <w:sz w:val="22"/>
                <w:highlight w:val="none"/>
              </w:rPr>
              <w:t>只</w:t>
            </w:r>
          </w:p>
        </w:tc>
      </w:tr>
      <w:tr w14:paraId="540426E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C37FA4B">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1FC5741">
            <w:pPr>
              <w:jc w:val="center"/>
              <w:rPr>
                <w:rFonts w:ascii="宋体" w:hAnsi="宋体" w:eastAsia="宋体" w:cs="宋体;SimSun"/>
                <w:color w:val="auto"/>
                <w:sz w:val="22"/>
                <w:highlight w:val="none"/>
              </w:rPr>
            </w:pPr>
            <w:r>
              <w:rPr>
                <w:rFonts w:ascii="宋体" w:hAnsi="宋体" w:eastAsia="宋体" w:cs="宋体;SimSun"/>
                <w:color w:val="auto"/>
                <w:sz w:val="22"/>
                <w:highlight w:val="none"/>
              </w:rPr>
              <w:t>专业功放</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880030E">
            <w:pPr>
              <w:jc w:val="left"/>
              <w:rPr>
                <w:rFonts w:ascii="宋体" w:hAnsi="宋体" w:eastAsia="宋体"/>
                <w:color w:val="auto"/>
                <w:highlight w:val="none"/>
              </w:rPr>
            </w:pPr>
            <w:r>
              <w:rPr>
                <w:rFonts w:ascii="宋体" w:hAnsi="宋体" w:eastAsia="宋体" w:cs="宋体;SimSun"/>
                <w:color w:val="auto"/>
                <w:sz w:val="22"/>
                <w:highlight w:val="none"/>
              </w:rPr>
              <w:t>1.采用AB类拓扑电路技术，拥有高效率的功率转换和精良的电路布局;</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2.铁芯生产超大功率环牛电源变压器设计，采用10000μF超大电解电容为功放提供稳定和足够的能量，保证连续的功率输出和高功率密度；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3.前面板精确的音量旋钮控制，并具有故障、削峰、信号和电源指示灯；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4.散热高效，机器内部拥有从前到后的导风系统，风机随机内的温度自动升高而加速排热；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5.立体声和并接的工作模式可选;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6.全面的保护功能：软启动、直流保护、过热和过载保护、防冲击、限幅；</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7.600W功放额定功率：8Ω立体声600W×2，4Ω立体声1050W×2，桥接8Ω 1950W×1；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8.总谐波失真：&lt;0.1%；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9.频率响应：20Hz-20kHz: +/-1dB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10.信噪比：≥100dB(A计权）；</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11.输入灵敏度：0.775V/1.0V/1.2V/1.4V 四档输入选择；</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12.输入阻抗：20kΩ平衡/ 10kΩ非平衡；</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13.阻尼系数：≥ 300(1kHz,8Ω)；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14.电压增益：≥30dB；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15.动态范围：&gt;90dB；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16.转换速率：≥35V/μs；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17.接地悬浮开关：输入座接地脚接地和悬浮控制；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7170BD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2E16ECC">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7F6A38F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ABAF877">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71D6691">
            <w:pPr>
              <w:jc w:val="center"/>
              <w:rPr>
                <w:rFonts w:ascii="宋体" w:hAnsi="宋体" w:eastAsia="宋体" w:cs="宋体;SimSun"/>
                <w:color w:val="auto"/>
                <w:sz w:val="22"/>
                <w:highlight w:val="none"/>
              </w:rPr>
            </w:pPr>
            <w:r>
              <w:rPr>
                <w:rFonts w:ascii="宋体" w:hAnsi="宋体" w:eastAsia="宋体" w:cs="宋体;SimSun"/>
                <w:color w:val="auto"/>
                <w:sz w:val="22"/>
                <w:highlight w:val="none"/>
              </w:rPr>
              <w:t>调音台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F8AFB38">
            <w:pPr>
              <w:jc w:val="left"/>
              <w:rPr>
                <w:rFonts w:ascii="宋体" w:hAnsi="宋体" w:eastAsia="宋体" w:cs="宋体;SimSun"/>
                <w:color w:val="auto"/>
                <w:sz w:val="22"/>
                <w:highlight w:val="none"/>
              </w:rPr>
            </w:pPr>
            <w:r>
              <w:rPr>
                <w:rFonts w:ascii="宋体" w:hAnsi="宋体" w:eastAsia="宋体" w:cs="宋体;SimSun"/>
                <w:color w:val="auto"/>
                <w:sz w:val="22"/>
                <w:highlight w:val="none"/>
              </w:rPr>
              <w:t>1.便携式不少于12路输入；</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2.2个编组设有独立输出端，使连接更灵活；</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3.内置不少于16种DSP效果；</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4.单独+48V幻象电源开关；</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5.MP3大屏播放器；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6.高品质USB音乐播放器；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7.支持无线蓝牙接收；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8.至少设1个辅助发送，方便扩展设备；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9.不少于1个效果发送，1个返回；</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10.60mm长寿命高分辨率推子；</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4C686AC">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E0DDDE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FC0D55B">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5F06042">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EB3FAD2">
            <w:pPr>
              <w:jc w:val="center"/>
              <w:rPr>
                <w:rFonts w:ascii="宋体" w:hAnsi="宋体" w:eastAsia="宋体" w:cs="宋体;SimSun"/>
                <w:color w:val="auto"/>
                <w:sz w:val="22"/>
                <w:highlight w:val="none"/>
              </w:rPr>
            </w:pPr>
            <w:r>
              <w:rPr>
                <w:rFonts w:ascii="宋体" w:hAnsi="宋体" w:eastAsia="宋体" w:cs="宋体;SimSun"/>
                <w:color w:val="auto"/>
                <w:sz w:val="22"/>
                <w:highlight w:val="none"/>
              </w:rPr>
              <w:t>音频处理器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812F5D9">
            <w:pPr>
              <w:jc w:val="left"/>
              <w:rPr>
                <w:rFonts w:ascii="宋体" w:hAnsi="宋体" w:eastAsia="宋体"/>
                <w:color w:val="auto"/>
                <w:highlight w:val="none"/>
              </w:rPr>
            </w:pPr>
            <w:r>
              <w:rPr>
                <w:rFonts w:ascii="宋体" w:hAnsi="宋体" w:eastAsia="宋体" w:cs="宋体;SimSun"/>
                <w:color w:val="auto"/>
                <w:sz w:val="22"/>
                <w:highlight w:val="none"/>
              </w:rPr>
              <w:t xml:space="preserve">1.可通过客户端软件显示前端设备输入音频产生的反馈啸叫；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2.内置中控代码生成器，无需自行套用公式编辑代码；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3.全功能矩阵混音功能，客户端软件中混音矩阵可将多个音频输入通道设置为同一通道输出，客户端软件中混音矩阵可单独调节每路音频输入通道声音的增益；</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4.内置强大的双DSP芯片工作，使系统更加稳定可靠；</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5.可通过平板或手机进行操作控制、切换多个不同场景；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6.Ethernet多用途数据传输及控制端口，可以支持实时管理单台及多台设备；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7.支持控制面板、触控面板分别通过RS485接口与设备连接，对设备进行操控，可将PC通过RJ45网络接口与设备连接，对设备进行控制；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8.≥8 路平衡式话筒\线路输入，采用凤凰插接口；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9.≥8 路平衡式输出，采用凤凰插接口；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10.面板上支持多种音频格式的立体声播放，可扩展USB多媒体存储录制功能；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11.支持自动混音（AM），可通过客户端软件设置混音参数，当前端设备输入的音频电平达到设定门限值时，可自动混音输出；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12.支持自动增益控制（AGC），可通过客户端软件设置音频输入通道自动增益参数，当前端音频设备输入的音频电平达到设定门限值时，可增强或衰减音频输入通道的声音；</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13.支持反馈消除（AFC），可通过客户端软件设置动态、固定、手动3种反馈消除模式;当前端输入设备产生啸叫时，通过客户端软件设置啸叫点的频率、增益和带宽的参数值，减小声反馈；</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14.支持回声消除（AEC），当前端输入设备存在回声时，可通过客户端软件对相应音频输入通道设置回声消除参数，减小前端输入设备中的回声；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15.噪声消除（ANC），当音箱扩声出现噪声时，可通过客户端软件对相应音频输入通道的噪声抑制等级.噪声动态参数进行设置，减小前端输入设备中的噪声；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16.输入每通道：前级放大、信号发生器、扩展器、压缩器、5段参量均衡；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17.输出每通道：31段图示均衡及8段全参量均衡切换选择、延时器、分频器、限幅器；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18.内置自动摄像跟踪功能，轻松实现视频会议，支持场景预设功能，断电自动保护记忆功能；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19.具有多种专业音频处理模块：5段全参量均衡器，31段图示均衡器，高精准的压缩及限幅器，高灵敏的扩展及自动增益，分频器，自动混音器，延时器，矩阵混音器，分量矩阵调节器，噪声门限，静音模块，信号发生器和信号指示电平表等；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20.RS-485双向串行控制接口，可控制外部其他设备如：视频矩阵、摄像机等RS-485设备，或接收第三方RS-485控制；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21.每个输入提供 + 48 VDC10 mA幻象电源；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22.可通过USB、Wi-Fi、TCP/IP接口和控制设备连接；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23.支持8路逻辑输入/输出，4路电压输入控制（可接继电器或模拟可调电位器）的GPIO控制接口；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24.48kHz采样频率，24-bit DSP处理器，24-bit A/D及D/A转换；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25.支持断电自动存储功能，支持通道编组、复制粘贴等功能 ；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26.输入阻抗：平衡20kΩ，非平衡10kΩ；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27.输出阻抗：平衡100Ω，非平衡50Ω；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28.输入共模抑制比：≥69dB(1kHz)；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29.输出动态范围：109dBu；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30.频率响应：20Hz-20kHz(±0.5dB)；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31.信噪比：&gt;108dB@1kHz 0dBu；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32.失真度：&lt;0.002% OUTPUT=0dBu/1kHz；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33.信道分离度：&gt;110dB（1kHz）；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34.功耗：≤45W；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35.电源:AC110V/220V 50/60Hz;</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96C6E30">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66AB20F">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641167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E0AAC73">
            <w:pPr>
              <w:jc w:val="center"/>
              <w:rPr>
                <w:rFonts w:ascii="宋体" w:hAnsi="宋体" w:eastAsia="宋体" w:cs="宋体;SimSun"/>
                <w:color w:val="auto"/>
                <w:sz w:val="22"/>
                <w:highlight w:val="none"/>
              </w:rPr>
            </w:pPr>
            <w:r>
              <w:rPr>
                <w:rFonts w:ascii="宋体" w:hAnsi="宋体" w:eastAsia="宋体" w:cs="宋体;SimSun"/>
                <w:color w:val="auto"/>
                <w:sz w:val="22"/>
                <w:highlight w:val="none"/>
              </w:rPr>
              <w:t>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0923C61">
            <w:pPr>
              <w:jc w:val="center"/>
              <w:rPr>
                <w:rFonts w:ascii="宋体" w:hAnsi="宋体" w:eastAsia="宋体" w:cs="宋体;SimSun"/>
                <w:color w:val="auto"/>
                <w:sz w:val="22"/>
                <w:highlight w:val="none"/>
              </w:rPr>
            </w:pPr>
            <w:r>
              <w:rPr>
                <w:rFonts w:ascii="宋体" w:hAnsi="宋体" w:eastAsia="宋体" w:cs="宋体;SimSun"/>
                <w:color w:val="auto"/>
                <w:sz w:val="22"/>
                <w:highlight w:val="none"/>
              </w:rPr>
              <w:t>专业音箱</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7ACA36F">
            <w:pPr>
              <w:jc w:val="left"/>
              <w:rPr>
                <w:rFonts w:ascii="宋体" w:hAnsi="宋体" w:eastAsia="宋体"/>
                <w:color w:val="auto"/>
                <w:highlight w:val="none"/>
              </w:rPr>
            </w:pPr>
            <w:r>
              <w:rPr>
                <w:rFonts w:ascii="宋体" w:hAnsi="宋体" w:eastAsia="宋体" w:cs="宋体;SimSun"/>
                <w:color w:val="auto"/>
                <w:sz w:val="22"/>
                <w:highlight w:val="none"/>
              </w:rPr>
              <w:t>1.系统类型：≥10英寸，2分频低频反射式；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2.额定功率：≥200W；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3.标称阻抗：8Ω；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4.标称灵敏度（1W@1m）：≥94dB；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 最大声压级（Pmax@1m）：≥117dB；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6.频率范围(-10dB)：50Hz-20kHz；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7.频率响应(±3dB)：85Hz-20kHz；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8.标称指向性（-6dB）：70°H×100°V；</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9.换能器配置：低频驱动器10″×1，高频驱动器1.4″×1；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10.水性环保喷涂处理；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11.具备优良的低频阻尼特性，声染色低；</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0C9D2E3">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89A8A1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只</w:t>
            </w:r>
          </w:p>
        </w:tc>
      </w:tr>
      <w:tr w14:paraId="20CB9AC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688ED08">
            <w:pPr>
              <w:jc w:val="center"/>
              <w:rPr>
                <w:rFonts w:ascii="宋体" w:hAnsi="宋体" w:eastAsia="宋体" w:cs="宋体;SimSun"/>
                <w:color w:val="auto"/>
                <w:sz w:val="22"/>
                <w:highlight w:val="none"/>
              </w:rPr>
            </w:pPr>
            <w:r>
              <w:rPr>
                <w:rFonts w:ascii="宋体" w:hAnsi="宋体" w:eastAsia="宋体" w:cs="宋体;SimSun"/>
                <w:color w:val="auto"/>
                <w:sz w:val="22"/>
                <w:highlight w:val="none"/>
              </w:rPr>
              <w:t>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DE0C65A">
            <w:pPr>
              <w:jc w:val="center"/>
              <w:rPr>
                <w:rFonts w:ascii="宋体" w:hAnsi="宋体" w:eastAsia="宋体" w:cs="宋体;SimSun"/>
                <w:color w:val="auto"/>
                <w:sz w:val="22"/>
                <w:highlight w:val="none"/>
              </w:rPr>
            </w:pPr>
            <w:r>
              <w:rPr>
                <w:rFonts w:ascii="宋体" w:hAnsi="宋体" w:eastAsia="宋体" w:cs="宋体;SimSun"/>
                <w:color w:val="auto"/>
                <w:sz w:val="22"/>
                <w:highlight w:val="none"/>
              </w:rPr>
              <w:t>支架</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488A6C4">
            <w:pPr>
              <w:jc w:val="left"/>
              <w:rPr>
                <w:rFonts w:ascii="宋体" w:hAnsi="宋体" w:eastAsia="宋体"/>
                <w:color w:val="auto"/>
                <w:highlight w:val="none"/>
              </w:rPr>
            </w:pPr>
            <w:r>
              <w:rPr>
                <w:rFonts w:ascii="宋体" w:hAnsi="宋体" w:eastAsia="宋体" w:cs="宋体;SimSun"/>
                <w:color w:val="auto"/>
                <w:sz w:val="22"/>
                <w:highlight w:val="none"/>
              </w:rPr>
              <w:t>1.采用3.2mm加厚加硬钢板，用料扎实，承重力更强，单只可承重≥40KG；</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2.左右180度调节角度，向下60度调节角度，中间连接杆可伸缩调节；</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3.无级左右调节，始终保持音箱和视角垂直；</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E89EB22">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3201224">
            <w:pPr>
              <w:jc w:val="center"/>
              <w:rPr>
                <w:rFonts w:ascii="宋体" w:hAnsi="宋体" w:eastAsia="宋体" w:cs="宋体;SimSun"/>
                <w:color w:val="auto"/>
                <w:sz w:val="22"/>
                <w:highlight w:val="none"/>
              </w:rPr>
            </w:pPr>
            <w:r>
              <w:rPr>
                <w:rFonts w:ascii="宋体" w:hAnsi="宋体" w:eastAsia="宋体" w:cs="宋体;SimSun"/>
                <w:color w:val="auto"/>
                <w:sz w:val="22"/>
                <w:highlight w:val="none"/>
              </w:rPr>
              <w:t>只</w:t>
            </w:r>
          </w:p>
        </w:tc>
      </w:tr>
      <w:tr w14:paraId="2D1FFD4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89E4679">
            <w:pPr>
              <w:jc w:val="center"/>
              <w:rPr>
                <w:rFonts w:ascii="宋体" w:hAnsi="宋体" w:eastAsia="宋体" w:cs="宋体;SimSun"/>
                <w:color w:val="auto"/>
                <w:sz w:val="22"/>
                <w:highlight w:val="none"/>
              </w:rPr>
            </w:pPr>
            <w:r>
              <w:rPr>
                <w:rFonts w:ascii="宋体" w:hAnsi="宋体" w:eastAsia="宋体" w:cs="宋体;SimSun"/>
                <w:color w:val="auto"/>
                <w:sz w:val="22"/>
                <w:highlight w:val="none"/>
              </w:rPr>
              <w:t>8</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B2B89DF">
            <w:pPr>
              <w:jc w:val="center"/>
              <w:rPr>
                <w:rFonts w:ascii="宋体" w:hAnsi="宋体" w:eastAsia="宋体" w:cs="宋体;SimSun"/>
                <w:color w:val="auto"/>
                <w:sz w:val="22"/>
                <w:highlight w:val="none"/>
              </w:rPr>
            </w:pPr>
            <w:r>
              <w:rPr>
                <w:rFonts w:ascii="宋体" w:hAnsi="宋体" w:eastAsia="宋体" w:cs="宋体;SimSun"/>
                <w:color w:val="auto"/>
                <w:sz w:val="22"/>
                <w:highlight w:val="none"/>
              </w:rPr>
              <w:t>专业功放</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39E831C">
            <w:pPr>
              <w:jc w:val="left"/>
              <w:rPr>
                <w:rFonts w:ascii="宋体" w:hAnsi="宋体" w:eastAsia="宋体"/>
                <w:color w:val="auto"/>
                <w:highlight w:val="none"/>
              </w:rPr>
            </w:pPr>
            <w:r>
              <w:rPr>
                <w:rFonts w:ascii="宋体" w:hAnsi="宋体" w:eastAsia="宋体" w:cs="宋体;SimSun"/>
                <w:color w:val="auto"/>
                <w:sz w:val="22"/>
                <w:highlight w:val="none"/>
              </w:rPr>
              <w:t>1.采用AB类拓扑电路技术，拥有高效率的功率转换和精良的电路布局;</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2.铁芯生产超大功率环牛电源变压器设计，采用10000μF超大电解电容为功放提供稳定和足够的能量，保证连续的功率输出和高功率密度；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3.前面板精确的音量旋钮控制，并具有故障、削峰、信号和电源指示灯；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4.散热高效，机器内部拥有从前到后的导风系统，风机随机内的温度自动升高而加速排热；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5.立体声和并接的工作模式可选;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6.全面的保护功能：软启动、直流保护、过热和过载保护、防冲击、限幅；</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7.400W功放额定功率：8Ω立体声400W×2，4Ω立体声650W×2；</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8.总谐波失真：&lt;0.1%；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9.频率响应：20Hz-20kHz: +/-1dB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10.信噪比：≥100dB；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11.输入灵敏度：0.775V/1.0V/1.2V/1.4V 四档输入选择；</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12.输入阻抗：20kΩ平衡/ 10kΩ非平衡；</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13.阻尼系数：≥ 300(1kHz,8Ω)；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14.电压增益：≥30dB；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15.动态范围：&gt;90dB；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16.转换速率：≥35V/μs；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17.接地悬浮开关：输入座接地脚接地和悬浮控制；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C319275">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BE74229">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45C4E6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E9615D3">
            <w:pPr>
              <w:jc w:val="center"/>
              <w:rPr>
                <w:rFonts w:ascii="宋体" w:hAnsi="宋体" w:eastAsia="宋体" w:cs="宋体;SimSun"/>
                <w:color w:val="auto"/>
                <w:sz w:val="22"/>
                <w:highlight w:val="none"/>
              </w:rPr>
            </w:pPr>
            <w:r>
              <w:rPr>
                <w:rFonts w:ascii="宋体" w:hAnsi="宋体" w:eastAsia="宋体" w:cs="宋体;SimSun"/>
                <w:color w:val="auto"/>
                <w:sz w:val="22"/>
                <w:highlight w:val="none"/>
              </w:rPr>
              <w:t>9</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23D9257">
            <w:pPr>
              <w:jc w:val="center"/>
              <w:rPr>
                <w:rFonts w:ascii="宋体" w:hAnsi="宋体" w:eastAsia="宋体" w:cs="宋体;SimSun"/>
                <w:color w:val="auto"/>
                <w:sz w:val="22"/>
                <w:highlight w:val="none"/>
              </w:rPr>
            </w:pPr>
            <w:r>
              <w:rPr>
                <w:rFonts w:ascii="宋体" w:hAnsi="宋体" w:eastAsia="宋体" w:cs="宋体;SimSun"/>
                <w:color w:val="auto"/>
                <w:sz w:val="22"/>
                <w:highlight w:val="none"/>
              </w:rPr>
              <w:t>抑制器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4BC8996">
            <w:pPr>
              <w:jc w:val="left"/>
              <w:rPr>
                <w:rFonts w:ascii="宋体" w:hAnsi="宋体" w:eastAsia="宋体"/>
                <w:color w:val="auto"/>
                <w:highlight w:val="none"/>
              </w:rPr>
            </w:pPr>
            <w:r>
              <w:rPr>
                <w:rFonts w:ascii="宋体" w:hAnsi="宋体" w:eastAsia="宋体" w:cs="宋体;SimSun"/>
                <w:color w:val="auto"/>
                <w:sz w:val="22"/>
                <w:highlight w:val="none"/>
              </w:rPr>
              <w:t>1.不小于2英寸液晶真彩显示，中英文可选；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2.24-bit高性能A/D及D/A转换；</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3.双通道不小于18点独立高速自动陷波，快速抑制啸叫点；</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4.自动并可手动扫描啸叫点，对于啸叫点频率精确到1Hz，提升系统声压的同时保持完美音质；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5.个性化PC调试软件，USB免驱通信方式，操作方便；</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6.噪声门功能可抑制系统微弱噪声干扰；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7.输入压缩功能，消除反馈同时更可扩展人声动态；</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8.每通道，增益-80dB到0dB；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9.设有移频工作模式，配合陷波器使用，避开复杂噪音波段；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10.独特的面板锁功能，开机后能对机器进行限制调节。</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8706F70">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35B9D0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15429F3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66ADDFC">
            <w:pPr>
              <w:jc w:val="center"/>
              <w:rPr>
                <w:rFonts w:ascii="宋体" w:hAnsi="宋体" w:eastAsia="宋体" w:cs="宋体;SimSun"/>
                <w:color w:val="auto"/>
                <w:sz w:val="22"/>
                <w:highlight w:val="none"/>
              </w:rPr>
            </w:pPr>
            <w:r>
              <w:rPr>
                <w:rFonts w:ascii="宋体" w:hAnsi="宋体" w:eastAsia="宋体" w:cs="宋体;SimSun"/>
                <w:color w:val="auto"/>
                <w:sz w:val="22"/>
                <w:highlight w:val="none"/>
              </w:rPr>
              <w:t>10</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3799A47">
            <w:pPr>
              <w:jc w:val="center"/>
              <w:rPr>
                <w:rFonts w:ascii="宋体" w:hAnsi="宋体" w:eastAsia="宋体" w:cs="宋体;SimSun"/>
                <w:color w:val="auto"/>
                <w:sz w:val="22"/>
                <w:highlight w:val="none"/>
              </w:rPr>
            </w:pPr>
            <w:r>
              <w:rPr>
                <w:rFonts w:ascii="宋体" w:hAnsi="宋体" w:eastAsia="宋体" w:cs="宋体;SimSun"/>
                <w:color w:val="auto"/>
                <w:sz w:val="22"/>
                <w:highlight w:val="none"/>
              </w:rPr>
              <w:t>电源管理器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9495E55">
            <w:pPr>
              <w:jc w:val="left"/>
              <w:rPr>
                <w:rFonts w:ascii="宋体" w:hAnsi="宋体" w:eastAsia="宋体"/>
                <w:color w:val="auto"/>
                <w:highlight w:val="none"/>
              </w:rPr>
            </w:pPr>
            <w:r>
              <w:rPr>
                <w:rFonts w:ascii="宋体" w:hAnsi="宋体" w:eastAsia="宋体" w:cs="宋体;SimSun"/>
                <w:color w:val="auto"/>
                <w:sz w:val="22"/>
                <w:highlight w:val="none"/>
              </w:rPr>
              <w:t>1.可设置密码功能，更好地保护系统用电安全管理;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2.设备内置定时开关机功能，最长可达12个月的定时时间设置;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3.设备内置中控代码生成器，方便第三方设备进行代码编辑;</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4.设备内置远程控制，让用户能随时随地地对设备进行开启关闭操作;</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5.本设备可通过红外学习功能及IO控制功能对第三方设备进行控制;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6.电源输出插座：8路国标10A安全滑盖插座，面板两个直通为国标10A安全滑盖插座;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7.电源输出：电源输出单相总极限负载的电流为40A ；在音频负载情况下，每路极限总电流都为20A；在纯电阻负载情况下，每路极限总电流都为10A;</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8.远程控制接口：RS485、RS232、TCP/IP、USB3.0/USB2.0、线控;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9.软件：可通过软件对设备进行编程控制的PC软件;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10.定时功能：内置万年历，可以对设备进行日、周设备定时，每天可设置定时开关机6次;</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35D9B5E">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1FA52CE">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78F1FBD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455C1C5">
            <w:pPr>
              <w:jc w:val="center"/>
              <w:rPr>
                <w:rFonts w:ascii="宋体" w:hAnsi="宋体" w:eastAsia="宋体" w:cs="宋体;SimSun"/>
                <w:color w:val="auto"/>
                <w:sz w:val="22"/>
                <w:highlight w:val="none"/>
              </w:rPr>
            </w:pPr>
            <w:r>
              <w:rPr>
                <w:rFonts w:ascii="宋体" w:hAnsi="宋体" w:eastAsia="宋体" w:cs="宋体;SimSun"/>
                <w:color w:val="auto"/>
                <w:sz w:val="22"/>
                <w:highlight w:val="none"/>
              </w:rPr>
              <w:t>11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BC692A4">
            <w:pPr>
              <w:jc w:val="center"/>
              <w:rPr>
                <w:rFonts w:ascii="宋体" w:hAnsi="宋体" w:eastAsia="宋体" w:cs="宋体;SimSun"/>
                <w:color w:val="auto"/>
                <w:sz w:val="22"/>
                <w:highlight w:val="none"/>
              </w:rPr>
            </w:pPr>
            <w:r>
              <w:rPr>
                <w:rFonts w:ascii="宋体" w:hAnsi="宋体" w:eastAsia="宋体" w:cs="宋体;SimSun"/>
                <w:color w:val="auto"/>
                <w:sz w:val="22"/>
                <w:highlight w:val="none"/>
              </w:rPr>
              <w:t>天线分配器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8EFF6E8">
            <w:pPr>
              <w:jc w:val="left"/>
              <w:rPr>
                <w:rFonts w:ascii="宋体" w:hAnsi="宋体" w:eastAsia="宋体"/>
                <w:color w:val="auto"/>
                <w:highlight w:val="none"/>
              </w:rPr>
            </w:pPr>
            <w:r>
              <w:rPr>
                <w:rFonts w:ascii="宋体" w:hAnsi="宋体" w:eastAsia="宋体" w:cs="宋体;SimSun"/>
                <w:color w:val="auto"/>
                <w:sz w:val="22"/>
                <w:highlight w:val="none"/>
              </w:rPr>
              <w:t>1.无线信号放大分配系统支持1台天线分配器、2个天线组成</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2.支持多台接收机使用，让接收信号获得较佳信噪比，增加接收距离及稳定性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3.频率：450-970MHz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4.输入/输出阻抗：50Ω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5.通道：不少于2*4（8路）输出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6.显示方式：LED</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7.接口：B型母座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8.增益：≥+6dB</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3EB075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21BD223">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16EE9FA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96A88CD">
            <w:pPr>
              <w:jc w:val="center"/>
              <w:rPr>
                <w:rFonts w:ascii="宋体" w:hAnsi="宋体" w:eastAsia="宋体" w:cs="宋体;SimSun"/>
                <w:color w:val="auto"/>
                <w:sz w:val="22"/>
                <w:highlight w:val="none"/>
              </w:rPr>
            </w:pPr>
            <w:r>
              <w:rPr>
                <w:rFonts w:ascii="宋体" w:hAnsi="宋体" w:eastAsia="宋体" w:cs="宋体;SimSun"/>
                <w:color w:val="auto"/>
                <w:sz w:val="22"/>
                <w:highlight w:val="none"/>
              </w:rPr>
              <w:t>12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3646704">
            <w:pPr>
              <w:jc w:val="center"/>
              <w:rPr>
                <w:rFonts w:ascii="宋体" w:hAnsi="宋体" w:eastAsia="宋体" w:cs="宋体;SimSun"/>
                <w:color w:val="auto"/>
                <w:sz w:val="22"/>
                <w:highlight w:val="none"/>
              </w:rPr>
            </w:pPr>
            <w:r>
              <w:rPr>
                <w:rFonts w:ascii="宋体" w:hAnsi="宋体" w:eastAsia="宋体" w:cs="宋体;SimSun"/>
                <w:color w:val="auto"/>
                <w:sz w:val="22"/>
                <w:highlight w:val="none"/>
              </w:rPr>
              <w:t>无线话筒</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8874414">
            <w:pPr>
              <w:jc w:val="left"/>
              <w:rPr>
                <w:rFonts w:ascii="宋体" w:hAnsi="宋体" w:eastAsia="宋体"/>
                <w:color w:val="auto"/>
                <w:highlight w:val="none"/>
              </w:rPr>
            </w:pPr>
            <w:r>
              <w:rPr>
                <w:rFonts w:ascii="宋体" w:hAnsi="宋体" w:eastAsia="宋体" w:cs="宋体;SimSun"/>
                <w:color w:val="auto"/>
                <w:sz w:val="22"/>
                <w:highlight w:val="none"/>
              </w:rPr>
              <w:t>1.使用UHF610MHz～669.7MHz频段，应用PLL频率合成锁相环技术，频率可调，发射功率可调，避免干扰频率;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2.集成中央处理器CPU的总线控制，配合数字液晶界面显示，操作自如，性能出众;</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3.采用多级窄带高频及中频选频滤波，充分消除干扰信号;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4.采用音频压缩扩展技术，噪音大大减少，动态范围加大;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5.设有回输啸叫抑制减弱功能，能有效减少回输啸叫;</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6.接收机采用多级高频放大，具有良好的灵敏度;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7.多重噪音监测电路，特设ID验证系统，使之具有抗干扰特性;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8.选用优质芯片及零部件，使音质出色;</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9.可任意选配手持话筒、头戴、领夹;</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10.工作频率：610-669.7MHz;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11.调制方式：宽带FM;</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12.信道数目：≥100 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13.信道间隔：300kHz;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14.频率稳定度：±0.005%;</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15.动态范围：不低于100dB;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16.最大偏移：±45kHz;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17.音频频率响应：50Hz~18kHz;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18.综合信噪比：&gt;105dB;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19.综合失真：＜0.5%;</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20.工作距离：≥80m</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21.工作环境温度：-10℃~+50℃</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B047F8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C9899F7">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2BD68BC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E757270">
            <w:pPr>
              <w:jc w:val="center"/>
              <w:rPr>
                <w:rFonts w:ascii="宋体" w:hAnsi="宋体" w:eastAsia="宋体" w:cs="宋体;SimSun"/>
                <w:color w:val="auto"/>
                <w:sz w:val="22"/>
                <w:highlight w:val="none"/>
              </w:rPr>
            </w:pPr>
            <w:r>
              <w:rPr>
                <w:rFonts w:ascii="宋体" w:hAnsi="宋体" w:eastAsia="宋体" w:cs="宋体;SimSun"/>
                <w:color w:val="auto"/>
                <w:sz w:val="22"/>
                <w:highlight w:val="none"/>
              </w:rPr>
              <w:t>13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13637FC">
            <w:pPr>
              <w:jc w:val="center"/>
              <w:rPr>
                <w:rFonts w:ascii="宋体" w:hAnsi="宋体" w:eastAsia="宋体" w:cs="宋体;SimSun"/>
                <w:color w:val="auto"/>
                <w:sz w:val="22"/>
                <w:highlight w:val="none"/>
              </w:rPr>
            </w:pPr>
            <w:r>
              <w:rPr>
                <w:rFonts w:ascii="宋体" w:hAnsi="宋体" w:eastAsia="宋体" w:cs="宋体;SimSun"/>
                <w:color w:val="auto"/>
                <w:sz w:val="22"/>
                <w:highlight w:val="none"/>
              </w:rPr>
              <w:t>U段无线话筒</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F856556">
            <w:pPr>
              <w:jc w:val="left"/>
              <w:rPr>
                <w:rFonts w:ascii="宋体" w:hAnsi="宋体" w:eastAsia="宋体"/>
                <w:color w:val="auto"/>
                <w:highlight w:val="none"/>
              </w:rPr>
            </w:pPr>
            <w:r>
              <w:rPr>
                <w:rFonts w:ascii="宋体" w:hAnsi="宋体" w:eastAsia="宋体" w:cs="宋体;SimSun"/>
                <w:color w:val="auto"/>
                <w:sz w:val="22"/>
                <w:highlight w:val="none"/>
              </w:rPr>
              <w:t>1.工作频率：610-669.7MHz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2.调制方式：宽带FM</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3.信道数目：≥100 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4.信道间隔：300kHz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5.频率稳定度：±0.005%</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6.动态范围：不低于100dB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7.最大偏移：±45kHz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8.音频频率响应：50Hz~18kHz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9.综合信噪比：&gt;105dB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10.综合失真：＜0.5%</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11.工作距离：≥80m</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12.包含1台主机，2只头戴单元</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14A8E5B">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6D9296B">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342B417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A3F3DB4">
            <w:pPr>
              <w:jc w:val="center"/>
              <w:rPr>
                <w:rFonts w:ascii="宋体" w:hAnsi="宋体" w:eastAsia="宋体" w:cs="宋体;SimSun"/>
                <w:color w:val="auto"/>
                <w:sz w:val="22"/>
                <w:highlight w:val="none"/>
              </w:rPr>
            </w:pPr>
            <w:r>
              <w:rPr>
                <w:rFonts w:ascii="宋体" w:hAnsi="宋体" w:eastAsia="宋体" w:cs="宋体;SimSun"/>
                <w:color w:val="auto"/>
                <w:sz w:val="22"/>
                <w:highlight w:val="none"/>
              </w:rPr>
              <w:t>14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DC8F4BA">
            <w:pPr>
              <w:jc w:val="center"/>
              <w:rPr>
                <w:rFonts w:ascii="宋体" w:hAnsi="宋体" w:eastAsia="宋体" w:cs="宋体;SimSun"/>
                <w:color w:val="auto"/>
                <w:sz w:val="22"/>
                <w:highlight w:val="none"/>
              </w:rPr>
            </w:pPr>
            <w:r>
              <w:rPr>
                <w:rFonts w:ascii="宋体" w:hAnsi="宋体" w:eastAsia="宋体" w:cs="宋体;SimSun"/>
                <w:color w:val="auto"/>
                <w:sz w:val="22"/>
                <w:highlight w:val="none"/>
              </w:rPr>
              <w:t>全数字会议系统主机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2D993E3">
            <w:pPr>
              <w:jc w:val="left"/>
              <w:rPr>
                <w:rFonts w:ascii="宋体" w:hAnsi="宋体" w:eastAsia="宋体"/>
                <w:color w:val="auto"/>
                <w:highlight w:val="none"/>
              </w:rPr>
            </w:pPr>
            <w:r>
              <w:rPr>
                <w:rFonts w:ascii="宋体" w:hAnsi="宋体" w:eastAsia="宋体" w:cs="宋体;SimSun"/>
                <w:color w:val="auto"/>
                <w:sz w:val="22"/>
                <w:highlight w:val="none"/>
              </w:rPr>
              <w:t>1.采用铝合金面板内嵌莫氏硬度6级触控玻璃面板，人机界面操作简便直观；</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2.系统装备≥3.8英寸LCD显示屏及操控按键，具备中、英文菜单显示，可按需订购任意语言；</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3.ISM频段，2.4G全数字跳频（FHSS）调制通讯技术，可与Wi-Fi完全共存，具备超强的抗干扰性；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4.采用128位AES Rijndael和</w:t>
            </w:r>
            <w:r>
              <w:rPr>
                <w:rFonts w:hint="eastAsia" w:ascii="宋体" w:hAnsi="宋体" w:eastAsia="宋体" w:cs="宋体;SimSun"/>
                <w:color w:val="auto"/>
                <w:sz w:val="22"/>
                <w:highlight w:val="none"/>
                <w:lang w:eastAsia="zh-CN"/>
              </w:rPr>
              <w:t>48</w:t>
            </w:r>
            <w:r>
              <w:rPr>
                <w:rFonts w:ascii="宋体" w:hAnsi="宋体" w:eastAsia="宋体" w:cs="宋体;SimSun"/>
                <w:color w:val="auto"/>
                <w:sz w:val="22"/>
                <w:highlight w:val="none"/>
              </w:rPr>
              <w:t>位PIN码加密保护，防止窃听和非授权访问，确保会议的私密性；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5.采用专业2.4G通讯电缆与无线收发器连接，主机可给无线收发器供电，不需另加电源；</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6.内置摄像跟踪主机板卡，可脱离视频跟踪软件及控制键盘可进行摄像跟踪设置、保存及调用；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7.系统支持VISCA、PELCO-D、PELCO-P常规控制协议，采用RS485/RS422控制方式；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8.内置4×2路视频矩阵切换功能，可轻松管理多路视频信号，采用RCA输入输出接口；</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9.单一话筒关闭时，自动跟踪到前一个单元，全部话筒关闭时自动返回到预设全景；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10.系统具备四种工作模式（先进先出工作模式、主席专用工作模式、限时发言工作模式、限制发言工作模式），发言数量可自定义设置（可设置数量为1/2/3/4台）；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11.系统具备开启单元的通道、ID地址码、电量实时动态显示，系统运行状态一目了然；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12.具有音量快捷设置键，可对系统输出信号进行人性化调节，防止调乱、可初始化设置；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13.可扩展表决主机功能板卡，具有签到、投票表决、选举、评分、响应等数据管理功能；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14.具有平衡与非平衡音频输出通道，可连接扩声设备、录音系统、远程会议、电视电话会议等；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15.内置双电源备份装置，可采用AC100V~240V国际通用电源或DC12V~17V电源适配器供电；</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425D1A6">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556B31A">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85F8004">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40E5A47">
            <w:pPr>
              <w:jc w:val="center"/>
              <w:rPr>
                <w:rFonts w:ascii="宋体" w:hAnsi="宋体" w:eastAsia="宋体" w:cs="宋体;SimSun"/>
                <w:color w:val="auto"/>
                <w:sz w:val="22"/>
                <w:highlight w:val="none"/>
              </w:rPr>
            </w:pPr>
            <w:r>
              <w:rPr>
                <w:rFonts w:ascii="宋体" w:hAnsi="宋体" w:eastAsia="宋体" w:cs="宋体;SimSun"/>
                <w:color w:val="auto"/>
                <w:sz w:val="22"/>
                <w:highlight w:val="none"/>
              </w:rPr>
              <w:t>15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D3D0CB9">
            <w:pPr>
              <w:jc w:val="center"/>
              <w:rPr>
                <w:rFonts w:ascii="宋体" w:hAnsi="宋体" w:eastAsia="宋体" w:cs="宋体;SimSun"/>
                <w:color w:val="auto"/>
                <w:sz w:val="22"/>
                <w:highlight w:val="none"/>
              </w:rPr>
            </w:pPr>
            <w:r>
              <w:rPr>
                <w:rFonts w:ascii="宋体" w:hAnsi="宋体" w:eastAsia="宋体" w:cs="宋体;SimSun"/>
                <w:color w:val="auto"/>
                <w:sz w:val="22"/>
                <w:highlight w:val="none"/>
              </w:rPr>
              <w:t>音频隔离器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F2D2AA6">
            <w:pPr>
              <w:jc w:val="left"/>
              <w:rPr>
                <w:rFonts w:ascii="宋体" w:hAnsi="宋体" w:eastAsia="宋体" w:cs="宋体;SimSun"/>
                <w:color w:val="auto"/>
                <w:sz w:val="22"/>
                <w:highlight w:val="none"/>
              </w:rPr>
            </w:pPr>
            <w:r>
              <w:rPr>
                <w:rFonts w:ascii="宋体" w:hAnsi="宋体" w:eastAsia="宋体" w:cs="宋体;SimSun"/>
                <w:color w:val="auto"/>
                <w:sz w:val="22"/>
                <w:highlight w:val="none"/>
              </w:rPr>
              <w:t>1.信号接口：设备需配置 6.35mm 音频接口、RCA 莲花音频接口，兼容平衡、非平衡音频信号接入与输出；</w:t>
            </w:r>
          </w:p>
          <w:p w14:paraId="70CA53A5">
            <w:pPr>
              <w:jc w:val="left"/>
              <w:rPr>
                <w:rFonts w:ascii="宋体" w:hAnsi="宋体" w:eastAsia="宋体" w:cs="宋体;SimSun"/>
                <w:color w:val="auto"/>
                <w:sz w:val="22"/>
                <w:highlight w:val="none"/>
              </w:rPr>
            </w:pPr>
            <w:r>
              <w:rPr>
                <w:rFonts w:ascii="宋体" w:hAnsi="宋体" w:eastAsia="宋体" w:cs="宋体;SimSun"/>
                <w:color w:val="auto"/>
                <w:sz w:val="22"/>
                <w:highlight w:val="none"/>
              </w:rPr>
              <w:t>2.输入交流阻抗：额定交流输入阻抗 600Ω；</w:t>
            </w:r>
          </w:p>
          <w:p w14:paraId="54BD075E">
            <w:pPr>
              <w:jc w:val="left"/>
              <w:rPr>
                <w:rFonts w:ascii="宋体" w:hAnsi="宋体" w:eastAsia="宋体" w:cs="宋体;SimSun"/>
                <w:color w:val="auto"/>
                <w:sz w:val="22"/>
                <w:highlight w:val="none"/>
              </w:rPr>
            </w:pPr>
            <w:r>
              <w:rPr>
                <w:rFonts w:ascii="宋体" w:hAnsi="宋体" w:eastAsia="宋体" w:cs="宋体;SimSun"/>
                <w:color w:val="auto"/>
                <w:sz w:val="22"/>
                <w:highlight w:val="none"/>
              </w:rPr>
              <w:t>3.输出交流阻抗：额定交流输出阻抗 600Ω；</w:t>
            </w:r>
          </w:p>
          <w:p w14:paraId="56C8641B">
            <w:pPr>
              <w:jc w:val="left"/>
              <w:rPr>
                <w:rFonts w:ascii="宋体" w:hAnsi="宋体" w:eastAsia="宋体" w:cs="宋体;SimSun"/>
                <w:color w:val="auto"/>
                <w:sz w:val="22"/>
                <w:highlight w:val="none"/>
              </w:rPr>
            </w:pPr>
            <w:r>
              <w:rPr>
                <w:rFonts w:ascii="宋体" w:hAnsi="宋体" w:eastAsia="宋体" w:cs="宋体;SimSun"/>
                <w:color w:val="auto"/>
                <w:sz w:val="22"/>
                <w:highlight w:val="none"/>
              </w:rPr>
              <w:t>4.频率响应：频率响应范围覆盖 20Hz～20kHz，全频段信号传输无明显衰减、失真；</w:t>
            </w:r>
          </w:p>
          <w:p w14:paraId="00AD62FF">
            <w:pPr>
              <w:jc w:val="left"/>
              <w:rPr>
                <w:rFonts w:ascii="宋体" w:hAnsi="宋体" w:eastAsia="宋体" w:cs="宋体;SimSun"/>
                <w:color w:val="auto"/>
                <w:sz w:val="22"/>
                <w:highlight w:val="none"/>
              </w:rPr>
            </w:pPr>
            <w:r>
              <w:rPr>
                <w:rFonts w:ascii="宋体" w:hAnsi="宋体" w:eastAsia="宋体" w:cs="宋体;SimSun"/>
                <w:color w:val="auto"/>
                <w:sz w:val="22"/>
                <w:highlight w:val="none"/>
              </w:rPr>
              <w:t>5.电气隔离耐压：工频 50/60Hz 交流耐压最高不低于 1500V；</w:t>
            </w:r>
          </w:p>
          <w:p w14:paraId="53E8EA7C">
            <w:pPr>
              <w:jc w:val="left"/>
              <w:rPr>
                <w:rFonts w:ascii="宋体" w:hAnsi="宋体" w:eastAsia="宋体" w:cs="宋体;SimSun"/>
                <w:color w:val="auto"/>
                <w:sz w:val="22"/>
                <w:highlight w:val="none"/>
              </w:rPr>
            </w:pPr>
            <w:r>
              <w:rPr>
                <w:rFonts w:ascii="宋体" w:hAnsi="宋体" w:eastAsia="宋体" w:cs="宋体;SimSun"/>
                <w:color w:val="auto"/>
                <w:sz w:val="22"/>
                <w:highlight w:val="none"/>
              </w:rPr>
              <w:t>6.绝缘电阻：直流 1000V 测试条件下，绝缘电阻≥100MΩ</w:t>
            </w:r>
          </w:p>
          <w:p w14:paraId="042C324B">
            <w:pPr>
              <w:jc w:val="left"/>
              <w:rPr>
                <w:rFonts w:ascii="宋体" w:hAnsi="宋体" w:eastAsia="宋体"/>
                <w:color w:val="auto"/>
                <w:highlight w:val="none"/>
              </w:rPr>
            </w:pPr>
            <w:r>
              <w:rPr>
                <w:rFonts w:ascii="宋体" w:hAnsi="宋体" w:eastAsia="宋体" w:cs="宋体;SimSun"/>
                <w:color w:val="auto"/>
                <w:sz w:val="22"/>
                <w:highlight w:val="none"/>
              </w:rPr>
              <w:t>7.信号变比：输入输出信号变比为 1:1，无增益、无衰减；</w:t>
            </w:r>
          </w:p>
          <w:p w14:paraId="7049B75B">
            <w:pPr>
              <w:jc w:val="left"/>
              <w:rPr>
                <w:rFonts w:ascii="宋体" w:hAnsi="宋体" w:eastAsia="宋体" w:cs="宋体;SimSun"/>
                <w:color w:val="auto"/>
                <w:sz w:val="22"/>
                <w:highlight w:val="none"/>
              </w:rPr>
            </w:pPr>
            <w:r>
              <w:rPr>
                <w:rFonts w:ascii="宋体" w:hAnsi="宋体" w:eastAsia="宋体" w:cs="宋体;SimSun"/>
                <w:color w:val="auto"/>
                <w:sz w:val="22"/>
                <w:highlight w:val="none"/>
              </w:rPr>
              <w:t>8.外壳材质：整机外壳采用拉丝铝合金材质，具备良好电磁屏蔽、抗干扰、散热及耐用性能。</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3702AE9">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77F6742">
            <w:pPr>
              <w:jc w:val="center"/>
              <w:rPr>
                <w:rFonts w:ascii="宋体" w:hAnsi="宋体" w:eastAsia="宋体" w:cs="宋体;SimSun"/>
                <w:color w:val="auto"/>
                <w:sz w:val="22"/>
                <w:highlight w:val="none"/>
              </w:rPr>
            </w:pPr>
            <w:r>
              <w:rPr>
                <w:rFonts w:ascii="宋体" w:hAnsi="宋体" w:eastAsia="宋体" w:cs="宋体;SimSun"/>
                <w:color w:val="auto"/>
                <w:sz w:val="22"/>
                <w:highlight w:val="none"/>
              </w:rPr>
              <w:t>个</w:t>
            </w:r>
          </w:p>
        </w:tc>
      </w:tr>
      <w:tr w14:paraId="1A293E0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05F0695">
            <w:pPr>
              <w:jc w:val="center"/>
              <w:rPr>
                <w:rFonts w:ascii="宋体" w:hAnsi="宋体" w:eastAsia="宋体" w:cs="宋体;SimSun"/>
                <w:color w:val="auto"/>
                <w:sz w:val="22"/>
                <w:highlight w:val="none"/>
              </w:rPr>
            </w:pPr>
            <w:r>
              <w:rPr>
                <w:rFonts w:ascii="宋体" w:hAnsi="宋体" w:eastAsia="宋体" w:cs="宋体;SimSun"/>
                <w:color w:val="auto"/>
                <w:sz w:val="22"/>
                <w:highlight w:val="none"/>
              </w:rPr>
              <w:t>16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1740390">
            <w:pPr>
              <w:jc w:val="center"/>
              <w:rPr>
                <w:rFonts w:ascii="宋体" w:hAnsi="宋体" w:eastAsia="宋体" w:cs="宋体;SimSun"/>
                <w:color w:val="auto"/>
                <w:sz w:val="22"/>
                <w:highlight w:val="none"/>
              </w:rPr>
            </w:pPr>
            <w:r>
              <w:rPr>
                <w:rFonts w:ascii="宋体" w:hAnsi="宋体" w:eastAsia="宋体" w:cs="宋体;SimSun"/>
                <w:color w:val="auto"/>
                <w:sz w:val="22"/>
                <w:highlight w:val="none"/>
              </w:rPr>
              <w:t>主席会议话筒</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99AD95A">
            <w:pPr>
              <w:jc w:val="left"/>
              <w:rPr>
                <w:rFonts w:ascii="宋体" w:hAnsi="宋体" w:eastAsia="宋体"/>
                <w:color w:val="auto"/>
                <w:highlight w:val="none"/>
              </w:rPr>
            </w:pPr>
            <w:r>
              <w:rPr>
                <w:rFonts w:ascii="宋体" w:hAnsi="宋体" w:eastAsia="宋体" w:cs="宋体;SimSun"/>
                <w:color w:val="auto"/>
                <w:sz w:val="22"/>
                <w:highlight w:val="none"/>
              </w:rPr>
              <w:t>1.采用先进、稳定的芯片，DSP/DDOV数字会议技术，实现数字化信号传输与处理；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2.采用锌铝合金话筒杆，内置≥2×14毫米高保真镀金电容式拾音头，支持双拾音头横向阵列技术；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3.咪杆采用≥32500个直径0.4mm高密度声干涉孔，精准计算孔径与间距，结合干涉校正技术精准控制拾音细节，有效提高人声频响范围拾音灵敏度；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4.采用FTC334C专业电容式触摸感应按键处理芯片，虚拟触摸按键，开关时无机械按键声，使用寿命长；</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5.铝合金面板内嵌莫氏硬度6级触控玻璃面板，具备防水防尘功能，防止开会过程中茶水泼溅影响设备正常使用；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6.装备≥3.5"LCD高亮度显示屏，支持电量、信号、ID地址、发言计时等显示功能；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7.具备发言计时功能，支持发言时间动态显示，支持48kHz音频采样频率，频率响应可达20Hz-20kHz；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8.采用2.4G全数字跳频（FHSS）调制通讯技术，ISM频段，通过无线收发器进行语音数据交互，确保音频延时少于5.5ms；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9.采用128位AES Rijndael和</w:t>
            </w:r>
            <w:r>
              <w:rPr>
                <w:rFonts w:hint="eastAsia" w:ascii="宋体" w:hAnsi="宋体" w:eastAsia="宋体" w:cs="宋体;SimSun"/>
                <w:color w:val="auto"/>
                <w:sz w:val="22"/>
                <w:highlight w:val="none"/>
                <w:lang w:eastAsia="zh-CN"/>
              </w:rPr>
              <w:t>48</w:t>
            </w:r>
            <w:r>
              <w:rPr>
                <w:rFonts w:ascii="宋体" w:hAnsi="宋体" w:eastAsia="宋体" w:cs="宋体;SimSun"/>
                <w:color w:val="auto"/>
                <w:sz w:val="22"/>
                <w:highlight w:val="none"/>
              </w:rPr>
              <w:t>位PIN码加密保护，防止窃听和非授权访问，确保会议的私密性；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10.配合高清摄像机，可进行发言者自动跟踪并实现自动画面切换，支持画面冻结功能，支持多摄像机跟踪同一会议单元；</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11.系统具备四种工作模式，发言数量可自定义设置（可设置数量为1/2/3/4台）：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先进先出模式：达到数量限制后，再开启单元将覆盖最先开启的单元；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主席专属模式：只有主席单元才可以开启发言，代表单元将无法开启；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限时发言模式：根据实际需求设置发言时间，倒计时结束后自动关闭单元；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限制发言工作模式：达到数量限制后，其他代表单元将无法开启；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12.采用先进静电隔离技术设计，即使在干燥环境和地区也可以避免产生静电；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13.采用性能稳定的电容式感应触摸按键，并支持手套模式；</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A87B84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4136649">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02BF377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FF510A0">
            <w:pPr>
              <w:jc w:val="center"/>
              <w:rPr>
                <w:rFonts w:ascii="宋体" w:hAnsi="宋体" w:eastAsia="宋体" w:cs="宋体;SimSun"/>
                <w:color w:val="auto"/>
                <w:sz w:val="22"/>
                <w:highlight w:val="none"/>
              </w:rPr>
            </w:pPr>
            <w:r>
              <w:rPr>
                <w:rFonts w:ascii="宋体" w:hAnsi="宋体" w:eastAsia="宋体" w:cs="宋体;SimSun"/>
                <w:color w:val="auto"/>
                <w:sz w:val="22"/>
                <w:highlight w:val="none"/>
              </w:rPr>
              <w:t>17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EF2147C">
            <w:pPr>
              <w:jc w:val="center"/>
              <w:rPr>
                <w:rFonts w:ascii="宋体" w:hAnsi="宋体" w:eastAsia="宋体" w:cs="宋体;SimSun"/>
                <w:color w:val="auto"/>
                <w:sz w:val="22"/>
                <w:highlight w:val="none"/>
              </w:rPr>
            </w:pPr>
            <w:r>
              <w:rPr>
                <w:rFonts w:ascii="宋体" w:hAnsi="宋体" w:eastAsia="宋体" w:cs="宋体;SimSun"/>
                <w:color w:val="auto"/>
                <w:sz w:val="22"/>
                <w:highlight w:val="none"/>
              </w:rPr>
              <w:t>单元会议话筒</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0D786EA">
            <w:pPr>
              <w:jc w:val="left"/>
              <w:rPr>
                <w:rFonts w:ascii="宋体" w:hAnsi="宋体" w:eastAsia="宋体"/>
                <w:color w:val="auto"/>
                <w:highlight w:val="none"/>
              </w:rPr>
            </w:pPr>
            <w:r>
              <w:rPr>
                <w:rFonts w:ascii="宋体" w:hAnsi="宋体" w:eastAsia="宋体" w:cs="宋体;SimSun"/>
                <w:color w:val="auto"/>
                <w:sz w:val="22"/>
                <w:highlight w:val="none"/>
              </w:rPr>
              <w:t>1.采用先进、稳定的芯片，DSP/DDOV数字会议技术，实现数字化信号传输与处理；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2.采用锌铝合金话筒杆，内置≥2×14毫米高保真镀金电容式拾音头，支持双拾音头横向阵列技术；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3.咪杆采用≥32500个直径0.4mm高密度声干涉孔，精准计算孔径与间距，结合干涉校正技术精准控制拾音细节，有效提高人声频响范围拾音灵敏度；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4.采用FTC334C专业电容式触摸感应按键处理芯片，虚拟触摸按键，开关时无机械按键声，使用寿命长；</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5.铝合金面板内嵌莫氏硬度6级触控玻璃面板，具备防水防尘功能，防止开会过程中茶水泼溅影响设备正常使用；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6.装备≥3.5"LCD高亮度显示屏，支持电量、信号、ID地址、发言计时等显示功能；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7.具备发言计时功能，支持发言时间动态显示，支持48kHz音频采样频率，频率响应可达20Hz-20kHz；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8.采用2.4G全数字跳频（FHSS）调制通讯技术，ISM频段，通过无线收发器进行语音数据交互，确保音频延时少于5.5ms；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9.采用128位AES Rijndael和</w:t>
            </w:r>
            <w:r>
              <w:rPr>
                <w:rFonts w:hint="eastAsia" w:ascii="宋体" w:hAnsi="宋体" w:eastAsia="宋体" w:cs="宋体;SimSun"/>
                <w:color w:val="auto"/>
                <w:sz w:val="22"/>
                <w:highlight w:val="none"/>
                <w:lang w:eastAsia="zh-CN"/>
              </w:rPr>
              <w:t>48</w:t>
            </w:r>
            <w:r>
              <w:rPr>
                <w:rFonts w:ascii="宋体" w:hAnsi="宋体" w:eastAsia="宋体" w:cs="宋体;SimSun"/>
                <w:color w:val="auto"/>
                <w:sz w:val="22"/>
                <w:highlight w:val="none"/>
              </w:rPr>
              <w:t>位PIN码加密保护，防止窃听和非授权访问，确保会议的私密性；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10.配合高清摄像机，可进行发言者自动跟踪并实现自动画面切换，支持画面冻结功能，支持多摄像机跟踪同一会议单元；</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11.系统具备四种工作模式，发言数量可自定义设置（可设置数量为1/2/3/4台）：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先进先出模式：达到数量限制后，再开启单元将覆盖最先开启的单元；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主席专属模式：只有主席单元才可以开启发言，代表单元将无法开启；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限时发言模式：根据实际需求设置发言时间，倒计时结束后自动关闭单元；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限制发言工作模式：达到数量限制后，其他代表单元将无法开启；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12.采用先进静电隔离技术设计，即使在干燥环境和地区也可以避免产生静电；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13.采用性能稳定的电容式感应触摸按键，并支持手套模式；</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E57A68A">
            <w:pPr>
              <w:jc w:val="center"/>
              <w:rPr>
                <w:rFonts w:ascii="宋体" w:hAnsi="宋体" w:eastAsia="宋体" w:cs="宋体;SimSun"/>
                <w:color w:val="auto"/>
                <w:sz w:val="22"/>
                <w:highlight w:val="none"/>
              </w:rPr>
            </w:pPr>
            <w:r>
              <w:rPr>
                <w:rFonts w:ascii="宋体" w:hAnsi="宋体" w:eastAsia="宋体" w:cs="宋体;SimSun"/>
                <w:color w:val="auto"/>
                <w:sz w:val="22"/>
                <w:highlight w:val="none"/>
              </w:rPr>
              <w:t>15</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747AEA5">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9E1649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709386D">
            <w:pPr>
              <w:jc w:val="center"/>
              <w:rPr>
                <w:rFonts w:ascii="宋体" w:hAnsi="宋体" w:eastAsia="宋体" w:cs="宋体;SimSun"/>
                <w:color w:val="auto"/>
                <w:sz w:val="22"/>
                <w:highlight w:val="none"/>
              </w:rPr>
            </w:pPr>
            <w:r>
              <w:rPr>
                <w:rFonts w:ascii="宋体" w:hAnsi="宋体" w:eastAsia="宋体" w:cs="宋体;SimSun"/>
                <w:color w:val="auto"/>
                <w:sz w:val="22"/>
                <w:highlight w:val="none"/>
              </w:rPr>
              <w:t>18</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D24F62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发射器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F899523">
            <w:pPr>
              <w:jc w:val="left"/>
              <w:rPr>
                <w:rFonts w:ascii="宋体" w:hAnsi="宋体" w:eastAsia="宋体"/>
                <w:color w:val="auto"/>
                <w:highlight w:val="none"/>
              </w:rPr>
            </w:pPr>
            <w:r>
              <w:rPr>
                <w:rFonts w:ascii="宋体" w:hAnsi="宋体" w:eastAsia="宋体" w:cs="宋体;SimSun"/>
                <w:color w:val="auto"/>
                <w:sz w:val="22"/>
                <w:highlight w:val="none"/>
              </w:rPr>
              <w:t>1.采用2.4-2.5G频段14dBi定向高增益平面天线，输入阻抗为50Ω；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2.内置2.4G超低功耗无线模块，具备64k数字音频采样速率，16-bit采样量化，从源头保证音质；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3.采用2.4G全数字跳频（FHSS）调制通讯技术，使用非授权限制ISM频段，全球适用不受地域限制；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4.采用128位AES Rijndael和</w:t>
            </w:r>
            <w:r>
              <w:rPr>
                <w:rFonts w:hint="eastAsia" w:ascii="宋体" w:hAnsi="宋体" w:eastAsia="宋体" w:cs="宋体;SimSun"/>
                <w:color w:val="auto"/>
                <w:sz w:val="22"/>
                <w:highlight w:val="none"/>
                <w:lang w:eastAsia="zh-CN"/>
              </w:rPr>
              <w:t>48</w:t>
            </w:r>
            <w:r>
              <w:rPr>
                <w:rFonts w:ascii="宋体" w:hAnsi="宋体" w:eastAsia="宋体" w:cs="宋体;SimSun"/>
                <w:color w:val="auto"/>
                <w:sz w:val="22"/>
                <w:highlight w:val="none"/>
              </w:rPr>
              <w:t>位PIN码加密保护，防止窃听和非授权访问，确保会议的私密性；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5.包含强大的内置无线音频传输协议，利用大量共存机制避免无线会议单元遭受外界干扰；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6.内置数字电路，可大幅度地把2.4G无线信号进行放大，从而使会议单元通讯时更加稳定；</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7.360度全方位通讯，自适应跳频，前向误差校正与重传机制，确保数据永不丢失；</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BA77F8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31CC9F3">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D6D9DA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A03DD8E">
            <w:pPr>
              <w:jc w:val="center"/>
              <w:rPr>
                <w:rFonts w:ascii="宋体" w:hAnsi="宋体" w:eastAsia="宋体" w:cs="宋体;SimSun"/>
                <w:color w:val="auto"/>
                <w:sz w:val="22"/>
                <w:highlight w:val="none"/>
              </w:rPr>
            </w:pPr>
            <w:r>
              <w:rPr>
                <w:rFonts w:ascii="宋体" w:hAnsi="宋体" w:eastAsia="宋体" w:cs="宋体;SimSun"/>
                <w:color w:val="auto"/>
                <w:sz w:val="22"/>
                <w:highlight w:val="none"/>
              </w:rPr>
              <w:t>19</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4DA3BB3">
            <w:pPr>
              <w:jc w:val="center"/>
              <w:rPr>
                <w:rFonts w:ascii="宋体" w:hAnsi="宋体" w:eastAsia="宋体" w:cs="宋体;SimSun"/>
                <w:color w:val="auto"/>
                <w:sz w:val="22"/>
                <w:highlight w:val="none"/>
              </w:rPr>
            </w:pPr>
            <w:r>
              <w:rPr>
                <w:rFonts w:ascii="宋体" w:hAnsi="宋体" w:eastAsia="宋体" w:cs="宋体;SimSun"/>
                <w:color w:val="auto"/>
                <w:sz w:val="22"/>
                <w:highlight w:val="none"/>
              </w:rPr>
              <w:t>充电箱</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F8AA9F9">
            <w:pPr>
              <w:jc w:val="left"/>
              <w:rPr>
                <w:rFonts w:ascii="宋体" w:hAnsi="宋体" w:eastAsia="宋体"/>
                <w:color w:val="auto"/>
                <w:highlight w:val="none"/>
              </w:rPr>
            </w:pPr>
            <w:r>
              <w:rPr>
                <w:rFonts w:ascii="宋体" w:hAnsi="宋体" w:eastAsia="宋体" w:cs="宋体;SimSun"/>
                <w:color w:val="auto"/>
                <w:sz w:val="22"/>
                <w:highlight w:val="none"/>
              </w:rPr>
              <w:t>12位USB3.0快速充电接口，可同时对12台无线会议单元进行充电；正常充电状态:LED 红色指示灯亮、绿色指示灯灭;正常充电结束:LED红色指示灯灭、绿色指示灯亮;没有连接单元时:LED红色指示灯和绿色指示灯都灭;充满电后先关闭电源开关，拔掉充电线缆即可安装使用;</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96A01AE">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908F912">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16CAFD5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6A30AFB">
            <w:pPr>
              <w:jc w:val="center"/>
              <w:rPr>
                <w:rFonts w:ascii="宋体" w:hAnsi="宋体" w:eastAsia="宋体" w:cs="宋体;SimSun"/>
                <w:color w:val="auto"/>
                <w:sz w:val="22"/>
                <w:highlight w:val="none"/>
              </w:rPr>
            </w:pPr>
            <w:r>
              <w:rPr>
                <w:rFonts w:ascii="宋体" w:hAnsi="宋体" w:eastAsia="宋体" w:cs="宋体;SimSun"/>
                <w:color w:val="auto"/>
                <w:sz w:val="22"/>
                <w:highlight w:val="none"/>
              </w:rPr>
              <w:t>20</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7E47D4C">
            <w:pPr>
              <w:jc w:val="center"/>
              <w:rPr>
                <w:rFonts w:ascii="宋体" w:hAnsi="宋体" w:eastAsia="宋体" w:cs="宋体;SimSun"/>
                <w:color w:val="auto"/>
                <w:sz w:val="22"/>
                <w:highlight w:val="none"/>
              </w:rPr>
            </w:pPr>
            <w:r>
              <w:rPr>
                <w:rFonts w:ascii="宋体" w:hAnsi="宋体" w:eastAsia="宋体" w:cs="宋体;SimSun"/>
                <w:color w:val="auto"/>
                <w:sz w:val="22"/>
                <w:highlight w:val="none"/>
              </w:rPr>
              <w:t>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846B188">
            <w:pPr>
              <w:jc w:val="left"/>
              <w:rPr>
                <w:rFonts w:ascii="宋体" w:hAnsi="宋体" w:eastAsia="宋体" w:cs="宋体;SimSun"/>
                <w:color w:val="auto"/>
                <w:sz w:val="22"/>
                <w:highlight w:val="none"/>
              </w:rPr>
            </w:pPr>
            <w:r>
              <w:rPr>
                <w:rFonts w:ascii="宋体" w:hAnsi="宋体" w:eastAsia="宋体" w:cs="宋体;SimSun"/>
                <w:color w:val="auto"/>
                <w:sz w:val="22"/>
                <w:highlight w:val="none"/>
              </w:rPr>
              <w:t>1.端口描述：≥9个10/100Mbps RJ45端口，其中≥8端口支持PoE功能。</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2.传输模式：全双工/半双工自适应</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3.网络标准：IEEE 802.3、IEEE 802.3u、IEEE 802.3x、IEEE 802.3af、IEEE 802.3at</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4.单端口PoE功率可达30W，整机最大PoE输出功率为125W。</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E713467">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4DFAFA6">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1C1F0856">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5433BBBA">
            <w:pPr>
              <w:jc w:val="left"/>
              <w:rPr>
                <w:rFonts w:ascii="宋体" w:hAnsi="宋体" w:eastAsia="宋体"/>
                <w:color w:val="auto"/>
                <w:highlight w:val="none"/>
              </w:rPr>
            </w:pPr>
            <w:r>
              <w:rPr>
                <w:rFonts w:ascii="宋体" w:hAnsi="宋体" w:eastAsia="宋体" w:cs="宋体;SimSun"/>
                <w:b/>
                <w:bCs/>
                <w:color w:val="auto"/>
                <w:sz w:val="22"/>
                <w:highlight w:val="none"/>
              </w:rPr>
              <w:t>5、指挥中心远程视频会议系统</w:t>
            </w:r>
          </w:p>
        </w:tc>
      </w:tr>
      <w:tr w14:paraId="402C769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30CB8C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DB6121C">
            <w:pPr>
              <w:jc w:val="center"/>
              <w:rPr>
                <w:rFonts w:ascii="宋体" w:hAnsi="宋体" w:eastAsia="宋体" w:cs="宋体;SimSun"/>
                <w:color w:val="auto"/>
                <w:sz w:val="22"/>
                <w:highlight w:val="none"/>
              </w:rPr>
            </w:pPr>
            <w:r>
              <w:rPr>
                <w:rFonts w:ascii="宋体" w:hAnsi="宋体" w:eastAsia="宋体" w:cs="宋体;SimSun"/>
                <w:color w:val="auto"/>
                <w:sz w:val="22"/>
                <w:highlight w:val="none"/>
              </w:rPr>
              <w:t>高清视频终端</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F405F24">
            <w:pPr>
              <w:jc w:val="left"/>
              <w:rPr>
                <w:rFonts w:ascii="宋体" w:hAnsi="宋体" w:eastAsia="宋体"/>
                <w:color w:val="auto"/>
                <w:highlight w:val="none"/>
              </w:rPr>
            </w:pPr>
            <w:r>
              <w:rPr>
                <w:rFonts w:ascii="宋体" w:hAnsi="宋体" w:eastAsia="宋体" w:cs="宋体;SimSun"/>
                <w:color w:val="auto"/>
                <w:sz w:val="22"/>
                <w:highlight w:val="none"/>
              </w:rPr>
              <w:t>1.采用国产嵌入式操作系统</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2.主要元器件均采用国产化，包含：音视频编解码单元、CPU 处理单元、视频输入芯片、视频输出芯片、电源模块、状态显示屏模块、时钟芯片、可编程逻辑芯片、PCB 主板等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3.支持通过无线投屏器，PC将桌面内容作为辅流发送给远端会场，视频清晰度达到4K，支持音频共享</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4.终端连接麦克风，可自动识别，即插即用，无需配置。同时支持终端与麦克风状态同步</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5.终端支持会控PAD，可通过PoE接口给会控PAD供电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6.支持标准的 HDBase-T 视频输入接口，支持摄像机一线连接终端，支持视频、供电、控制、网络信号一线传输，支持4K30fps 超高清视频传输</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7.视频输入接口：≥3×HDMI ≥2×HDBaseT ≥1×VGA</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8.视频输出接口：≥3×HDMI ≥1×DVI</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9.音频输入接口：≥1×卡侬头（XLR接口） ≥1×3.5mm mic in/line in ≥1× 6.35mm mic in/line in ≥1×PoE MIC输入 ≥1×DH-AIAO2×RCA ≥1× HDMI（演示流音频输入）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10.音频输出接口：≥1×卡侬头（XLR接口） ≥2×RCA接口 ≥1×6.35mm line out ≥1×3.5mm line out ≥1×HDMI（支持主屏音频输出）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11.支持64kbps~10Mbps呼叫带宽，会议速率可调</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12.支持ITU-T H.323通信协议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13.支持IETF SIP通信协议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14.支持AVC会议和SVC会议，终端可以分别以AVC/SVC加入MCU的多方会议中。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15.支持视频模式与语音模式，在网络状态不佳的情况下，可以手动关闭视频源，从视频模式切换成语音模式，进行语音会议。切换过程中会议不会中断。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16.支持4K60/30/25fps、1080p60/50/30/25fps、720p60/50/30/25fps、4CIF、CIF等图像分辨率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17.支持多种分辨率、速率和帧率的视频码流（同时发送不少于4路视频码流，接收并观看不少于35路视频码流），以适应不同线路带宽、不同设备能力、不同网络环境下的组网要求</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B40EA96">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D6B3B15">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DC7F80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D2D962D">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6FF3A09">
            <w:pPr>
              <w:jc w:val="center"/>
              <w:rPr>
                <w:rFonts w:ascii="宋体" w:hAnsi="宋体" w:eastAsia="宋体" w:cs="宋体;SimSun"/>
                <w:color w:val="auto"/>
                <w:sz w:val="22"/>
                <w:highlight w:val="none"/>
              </w:rPr>
            </w:pPr>
            <w:r>
              <w:rPr>
                <w:rFonts w:ascii="宋体" w:hAnsi="宋体" w:eastAsia="宋体" w:cs="宋体;SimSun"/>
                <w:color w:val="auto"/>
                <w:sz w:val="22"/>
                <w:highlight w:val="none"/>
              </w:rPr>
              <w:t>摄像机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C8E5344">
            <w:pPr>
              <w:jc w:val="left"/>
              <w:rPr>
                <w:rFonts w:ascii="宋体" w:hAnsi="宋体" w:eastAsia="宋体"/>
                <w:color w:val="auto"/>
                <w:highlight w:val="none"/>
              </w:rPr>
            </w:pPr>
            <w:r>
              <w:rPr>
                <w:rFonts w:ascii="宋体" w:hAnsi="宋体" w:eastAsia="宋体" w:cs="宋体;SimSun"/>
                <w:color w:val="auto"/>
                <w:sz w:val="22"/>
                <w:highlight w:val="none"/>
              </w:rPr>
              <w:t>配套分体式硬件会议终端使用，1/2.5英寸HD CMOS传感器，12倍光学变焦镜头，支持4K60fps超高清视频输出，支持PTZ控制，支持RTSP 4K网络拉流，视频接口1×HDMI、1×3G-SDI、1×HDBaseT，音频接口1×3.5mm：支持麦克输入、线路输入两种模式</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806EF1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F9B9F9D">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7CF15AED">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38968AEB">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6、指挥中心互联网网络设备</w:t>
            </w:r>
          </w:p>
        </w:tc>
      </w:tr>
      <w:tr w14:paraId="7E52CDE4">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8F2BBCC">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925E8AC">
            <w:pPr>
              <w:jc w:val="center"/>
              <w:rPr>
                <w:rFonts w:ascii="宋体" w:hAnsi="宋体" w:eastAsia="宋体" w:cs="宋体;SimSun"/>
                <w:color w:val="auto"/>
                <w:sz w:val="22"/>
                <w:highlight w:val="none"/>
              </w:rPr>
            </w:pPr>
            <w:r>
              <w:rPr>
                <w:rFonts w:ascii="宋体" w:hAnsi="宋体" w:eastAsia="宋体" w:cs="宋体;SimSun"/>
                <w:color w:val="auto"/>
                <w:sz w:val="22"/>
                <w:highlight w:val="none"/>
              </w:rPr>
              <w:t>三层核心交换机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BD6E25C">
            <w:pPr>
              <w:jc w:val="left"/>
              <w:rPr>
                <w:rFonts w:ascii="宋体" w:hAnsi="宋体" w:eastAsia="宋体" w:cs="宋体;SimSun"/>
                <w:color w:val="auto"/>
                <w:sz w:val="22"/>
                <w:highlight w:val="none"/>
              </w:rPr>
            </w:pPr>
            <w:r>
              <w:rPr>
                <w:rFonts w:ascii="宋体" w:hAnsi="宋体" w:eastAsia="宋体" w:cs="宋体;SimSun"/>
                <w:color w:val="auto"/>
                <w:sz w:val="22"/>
                <w:highlight w:val="none"/>
              </w:rPr>
              <w:t>1.交换容量≥2.4Tbps，包转发率≥660Mpps，以官网最小值为准；</w:t>
            </w:r>
          </w:p>
          <w:p w14:paraId="5F79BFF3">
            <w:pPr>
              <w:jc w:val="left"/>
              <w:rPr>
                <w:rFonts w:ascii="宋体" w:hAnsi="宋体" w:eastAsia="宋体" w:cs="宋体;SimSun"/>
                <w:color w:val="auto"/>
                <w:sz w:val="22"/>
                <w:highlight w:val="none"/>
              </w:rPr>
            </w:pPr>
            <w:r>
              <w:rPr>
                <w:rFonts w:ascii="宋体" w:hAnsi="宋体" w:eastAsia="宋体" w:cs="宋体;SimSun"/>
                <w:color w:val="auto"/>
                <w:sz w:val="22"/>
                <w:highlight w:val="none"/>
              </w:rPr>
              <w:t>2.固化10/100/1000M自适应电口≥24个，1G/10G SFP+光口≥8个；支持在64/128/256/512/1024/1280/1518Bytes下线速转发</w:t>
            </w:r>
          </w:p>
          <w:p w14:paraId="21B8EA3E">
            <w:pPr>
              <w:jc w:val="left"/>
              <w:rPr>
                <w:rFonts w:ascii="宋体" w:hAnsi="宋体" w:eastAsia="宋体" w:cs="宋体;SimSun"/>
                <w:color w:val="auto"/>
                <w:sz w:val="22"/>
                <w:highlight w:val="none"/>
              </w:rPr>
            </w:pPr>
            <w:r>
              <w:rPr>
                <w:rFonts w:ascii="宋体" w:hAnsi="宋体" w:eastAsia="宋体" w:cs="宋体;SimSun"/>
                <w:color w:val="auto"/>
                <w:sz w:val="22"/>
                <w:highlight w:val="none"/>
              </w:rPr>
              <w:t>3.为保证设备在受到外界机械碰撞时能够正常运行，要求所投交换机IK防护测试级别至少达到IK05；</w:t>
            </w:r>
          </w:p>
          <w:p w14:paraId="7A3096B6">
            <w:pPr>
              <w:jc w:val="left"/>
              <w:rPr>
                <w:rFonts w:ascii="宋体" w:hAnsi="宋体" w:eastAsia="宋体" w:cs="宋体;SimSun"/>
                <w:color w:val="auto"/>
                <w:sz w:val="22"/>
                <w:highlight w:val="none"/>
              </w:rPr>
            </w:pPr>
            <w:r>
              <w:rPr>
                <w:rFonts w:ascii="宋体" w:hAnsi="宋体" w:eastAsia="宋体" w:cs="宋体;SimSun"/>
                <w:color w:val="auto"/>
                <w:sz w:val="22"/>
                <w:highlight w:val="none"/>
              </w:rPr>
              <w:t>4.支持RIP/RIPng，OSPFv2/v3，BGP4/4+，IS-ISv4/v6；</w:t>
            </w:r>
          </w:p>
          <w:p w14:paraId="1AE82451">
            <w:pPr>
              <w:jc w:val="left"/>
              <w:rPr>
                <w:rFonts w:ascii="宋体" w:hAnsi="宋体" w:eastAsia="宋体" w:cs="宋体;SimSun"/>
                <w:color w:val="auto"/>
                <w:sz w:val="22"/>
                <w:highlight w:val="none"/>
              </w:rPr>
            </w:pPr>
            <w:r>
              <w:rPr>
                <w:rFonts w:ascii="宋体" w:hAnsi="宋体" w:eastAsia="宋体" w:cs="宋体;SimSun"/>
                <w:color w:val="auto"/>
                <w:sz w:val="22"/>
                <w:highlight w:val="none"/>
              </w:rPr>
              <w:t>5.支持VXLAN二层网桥、VXLAN三层网关，支持EVPN VXLAN；</w:t>
            </w:r>
          </w:p>
          <w:p w14:paraId="34CFF983">
            <w:pPr>
              <w:jc w:val="left"/>
              <w:rPr>
                <w:rFonts w:hint="eastAsia" w:ascii="宋体" w:hAnsi="宋体" w:eastAsia="宋体"/>
                <w:color w:val="auto"/>
                <w:highlight w:val="none"/>
              </w:rPr>
            </w:pPr>
            <w:r>
              <w:rPr>
                <w:rFonts w:ascii="宋体" w:hAnsi="宋体" w:eastAsia="宋体" w:cs="宋体;SimSun"/>
                <w:color w:val="auto"/>
                <w:sz w:val="22"/>
                <w:highlight w:val="none"/>
              </w:rPr>
              <w:t>6.配置冗余电源；</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BE88FF1">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D58A02E">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F1EA259">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4CBBA17">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D8A93B4">
            <w:pPr>
              <w:jc w:val="center"/>
              <w:rPr>
                <w:rFonts w:ascii="宋体" w:hAnsi="宋体" w:eastAsia="宋体" w:cs="宋体;SimSun"/>
                <w:color w:val="auto"/>
                <w:sz w:val="22"/>
                <w:highlight w:val="none"/>
              </w:rPr>
            </w:pPr>
            <w:r>
              <w:rPr>
                <w:rFonts w:ascii="宋体" w:hAnsi="宋体" w:eastAsia="宋体" w:cs="宋体;SimSun"/>
                <w:color w:val="auto"/>
                <w:sz w:val="22"/>
                <w:highlight w:val="none"/>
              </w:rPr>
              <w:t>48口接入交换机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A1AAD0E">
            <w:pPr>
              <w:jc w:val="left"/>
              <w:rPr>
                <w:rFonts w:ascii="宋体" w:hAnsi="宋体" w:eastAsia="宋体" w:cs="宋体;SimSun"/>
                <w:color w:val="auto"/>
                <w:sz w:val="22"/>
                <w:highlight w:val="none"/>
              </w:rPr>
            </w:pPr>
            <w:r>
              <w:rPr>
                <w:rFonts w:ascii="宋体" w:hAnsi="宋体" w:eastAsia="宋体" w:cs="宋体;SimSun"/>
                <w:color w:val="auto"/>
                <w:sz w:val="22"/>
                <w:highlight w:val="none"/>
              </w:rPr>
              <w:t>1.交换容量≥672Gbps，包转发率≥200Mpps，以官网最小值为准；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2.固化10/100/1000M以太网端口≥48个，固化1G/10G SFP/SFP+接口≥4个；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3.支持24×GbE+4×10GbE 100%线速转发；</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4.支持专门针对CPU保护机制功能，可将送CPU的报文，如ARP报文的速率进行限制，使CPU的使用率降低到10%左右，保障CPU安全；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5.支持IPv4和IPv6的静态路由、RIP/RIPng、OSPFv2/OSPFv3等三层路由协议；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6.支持sFlow网络监测技术；</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EFA9210">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E81904B">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507CF3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E2B7B8F">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2D45C1E">
            <w:pPr>
              <w:jc w:val="center"/>
              <w:rPr>
                <w:rFonts w:ascii="宋体" w:hAnsi="宋体" w:eastAsia="宋体" w:cs="宋体;SimSun"/>
                <w:color w:val="auto"/>
                <w:sz w:val="22"/>
                <w:highlight w:val="none"/>
              </w:rPr>
            </w:pPr>
            <w:r>
              <w:rPr>
                <w:rFonts w:ascii="宋体" w:hAnsi="宋体" w:eastAsia="宋体" w:cs="宋体;SimSun"/>
                <w:color w:val="auto"/>
                <w:sz w:val="22"/>
                <w:highlight w:val="none"/>
              </w:rPr>
              <w:t>企业级路由器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158FF4C">
            <w:pPr>
              <w:jc w:val="left"/>
              <w:rPr>
                <w:rFonts w:ascii="宋体" w:hAnsi="宋体" w:eastAsia="宋体"/>
                <w:color w:val="auto"/>
                <w:highlight w:val="none"/>
              </w:rPr>
            </w:pPr>
            <w:r>
              <w:rPr>
                <w:rFonts w:ascii="宋体" w:hAnsi="宋体" w:eastAsia="宋体" w:cs="宋体;SimSun"/>
                <w:color w:val="auto"/>
                <w:sz w:val="22"/>
                <w:highlight w:val="none"/>
              </w:rPr>
              <w:t>1.要求固化千兆电口数量≥4个；固化2.5Gbps电口数量≥4个；固化万兆光口数量≥2个；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2.最大整机网络吞吐≥3Gbps ，开启应用识别、流量审计、流控、负载均衡、NAT、IPsec等功能后应用吞吐≥2Gbps；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为了实时监控关键业务状态及时发现问题并报警，优化网络资源分配，提升网络体验质量和降低管理成本，要求支持关键应用监控，包括对预置应用和自定义应用的网络体验质量监控；支持关键角色监控，包括对单IP、IP网段的网络体验质量监控;支持呈现基础服务运行质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4.为了提高网络的可靠性、稳定性和用户体验，要求支持基于关键应用体验质量的链路自动化切换；</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5.所投产品URL数据库、应用分类库、地址库、内容审计特征库、支持产品十年内免费升级；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6.为增强出口安全的防护能力，要求设备支持集成IPS入侵防御功能，拥有≥17000条IPS规则；</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7.为了及时故障排查和响应安全事件，满足合规性要求，要求支持安全日志（入侵防御、病毒防护、DoS/DDoS、本地防攻击、威胁情报、DNS安全）查询和导出；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8.配置SSL VPN用户数≥200，配置无线AP管理授权≥96</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36B7BD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603925B">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2093BB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C17B612">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B6DC6D2">
            <w:pPr>
              <w:jc w:val="center"/>
              <w:rPr>
                <w:rFonts w:ascii="宋体" w:hAnsi="宋体" w:eastAsia="宋体" w:cs="宋体;SimSun"/>
                <w:color w:val="auto"/>
                <w:sz w:val="22"/>
                <w:highlight w:val="none"/>
              </w:rPr>
            </w:pPr>
            <w:r>
              <w:rPr>
                <w:rFonts w:ascii="宋体" w:hAnsi="宋体" w:eastAsia="宋体" w:cs="宋体;SimSun"/>
                <w:color w:val="auto"/>
                <w:sz w:val="22"/>
                <w:highlight w:val="none"/>
              </w:rPr>
              <w:t>8口PoE交换机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21C7669">
            <w:pPr>
              <w:jc w:val="left"/>
              <w:rPr>
                <w:rFonts w:ascii="宋体" w:hAnsi="宋体" w:eastAsia="宋体"/>
                <w:color w:val="auto"/>
                <w:highlight w:val="none"/>
              </w:rPr>
            </w:pPr>
            <w:r>
              <w:rPr>
                <w:rFonts w:ascii="宋体" w:hAnsi="宋体" w:eastAsia="宋体" w:cs="宋体;SimSun"/>
                <w:color w:val="auto"/>
                <w:sz w:val="22"/>
                <w:highlight w:val="none"/>
              </w:rPr>
              <w:t>1.固化10/100/1000M以太网电口≥8个，1G/2.5G/10G SFP+光接口≥1个；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2.交换容量≥432Gbps，包转发率≥80Mpps；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3.要求所投产品支持PoE和PoE+远程供电，PoE供电功率为125W；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4.为保证设备在受到外界机械碰撞时能够正常运行，要求所投交换机IK防护测试级别至少达到IK05</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7C9C6F6">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56487F8">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EF1BB3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B5EFC46">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B77B195">
            <w:pPr>
              <w:jc w:val="center"/>
              <w:rPr>
                <w:rFonts w:ascii="宋体" w:hAnsi="宋体" w:eastAsia="宋体" w:cs="宋体;SimSun"/>
                <w:color w:val="auto"/>
                <w:sz w:val="22"/>
                <w:highlight w:val="none"/>
              </w:rPr>
            </w:pPr>
            <w:r>
              <w:rPr>
                <w:rFonts w:ascii="宋体" w:hAnsi="宋体" w:eastAsia="宋体" w:cs="宋体;SimSun"/>
                <w:color w:val="auto"/>
                <w:sz w:val="22"/>
                <w:highlight w:val="none"/>
              </w:rPr>
              <w:t>无线AP</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B51DECD">
            <w:pPr>
              <w:jc w:val="left"/>
              <w:rPr>
                <w:rFonts w:ascii="宋体" w:hAnsi="宋体" w:eastAsia="宋体"/>
                <w:color w:val="auto"/>
                <w:highlight w:val="none"/>
              </w:rPr>
            </w:pPr>
            <w:r>
              <w:rPr>
                <w:rFonts w:ascii="宋体" w:hAnsi="宋体" w:eastAsia="宋体" w:cs="宋体;SimSun"/>
                <w:color w:val="auto"/>
                <w:sz w:val="22"/>
                <w:highlight w:val="none"/>
              </w:rPr>
              <w:t>1.支持802.11be标准，采用双射频设计，整机空间流≥4条；</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2.整机最大接入速率≥3.57Gbps；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3.支持2.5G以太网接口≥1个，支持2.5G SFP光口≥1个；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4.内置蓝牙5.3；</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79D714C">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96E48F6">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CA06CBA">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0C0CC928">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7、指挥中心专网网络设备</w:t>
            </w:r>
          </w:p>
        </w:tc>
      </w:tr>
      <w:tr w14:paraId="6E84885C">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137290E">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8E325CD">
            <w:pPr>
              <w:jc w:val="center"/>
              <w:rPr>
                <w:rFonts w:ascii="宋体" w:hAnsi="宋体" w:eastAsia="宋体" w:cs="宋体;SimSun"/>
                <w:color w:val="auto"/>
                <w:sz w:val="22"/>
                <w:highlight w:val="none"/>
              </w:rPr>
            </w:pPr>
            <w:r>
              <w:rPr>
                <w:rFonts w:ascii="宋体" w:hAnsi="宋体" w:eastAsia="宋体" w:cs="宋体;SimSun"/>
                <w:color w:val="auto"/>
                <w:sz w:val="22"/>
                <w:highlight w:val="none"/>
              </w:rPr>
              <w:t>三层核心交换机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BD3A117">
            <w:pPr>
              <w:jc w:val="left"/>
              <w:rPr>
                <w:rFonts w:ascii="宋体" w:hAnsi="宋体" w:eastAsia="宋体" w:cs="宋体;SimSun"/>
                <w:color w:val="auto"/>
                <w:sz w:val="22"/>
                <w:highlight w:val="none"/>
              </w:rPr>
            </w:pPr>
            <w:r>
              <w:rPr>
                <w:rFonts w:ascii="宋体" w:hAnsi="宋体" w:eastAsia="宋体" w:cs="宋体;SimSun"/>
                <w:color w:val="auto"/>
                <w:sz w:val="22"/>
                <w:highlight w:val="none"/>
              </w:rPr>
              <w:t>1.交换容量≥2.4Tbps，包转发率≥660Mpps，以官网最小值为准；</w:t>
            </w:r>
          </w:p>
          <w:p w14:paraId="1D1DD62E">
            <w:pPr>
              <w:jc w:val="left"/>
              <w:rPr>
                <w:rFonts w:ascii="宋体" w:hAnsi="宋体" w:eastAsia="宋体" w:cs="宋体;SimSun"/>
                <w:color w:val="auto"/>
                <w:sz w:val="22"/>
                <w:highlight w:val="none"/>
              </w:rPr>
            </w:pPr>
            <w:r>
              <w:rPr>
                <w:rFonts w:ascii="宋体" w:hAnsi="宋体" w:eastAsia="宋体" w:cs="宋体;SimSun"/>
                <w:color w:val="auto"/>
                <w:sz w:val="22"/>
                <w:highlight w:val="none"/>
              </w:rPr>
              <w:t>2.固化10/100/1000M自适应电口≥24个，1G/10G SFP+光口≥8个；支持在64/128/256/512/1024/1280/1518Bytes下线速转发；</w:t>
            </w:r>
          </w:p>
          <w:p w14:paraId="040C0F37">
            <w:pPr>
              <w:jc w:val="left"/>
              <w:rPr>
                <w:rFonts w:ascii="宋体" w:hAnsi="宋体" w:eastAsia="宋体" w:cs="宋体;SimSun"/>
                <w:color w:val="auto"/>
                <w:sz w:val="22"/>
                <w:highlight w:val="none"/>
              </w:rPr>
            </w:pPr>
            <w:r>
              <w:rPr>
                <w:rFonts w:ascii="宋体" w:hAnsi="宋体" w:eastAsia="宋体" w:cs="宋体;SimSun"/>
                <w:color w:val="auto"/>
                <w:sz w:val="22"/>
                <w:highlight w:val="none"/>
              </w:rPr>
              <w:t>3.为保证设备在受到外界机械碰撞时能够正常运行，要求所投交换机IK防护测试级别至少达到IK05；</w:t>
            </w:r>
          </w:p>
          <w:p w14:paraId="6A4F97BF">
            <w:pPr>
              <w:jc w:val="left"/>
              <w:rPr>
                <w:rFonts w:ascii="宋体" w:hAnsi="宋体" w:eastAsia="宋体" w:cs="宋体;SimSun"/>
                <w:color w:val="auto"/>
                <w:sz w:val="22"/>
                <w:highlight w:val="none"/>
              </w:rPr>
            </w:pPr>
            <w:r>
              <w:rPr>
                <w:rFonts w:ascii="宋体" w:hAnsi="宋体" w:eastAsia="宋体" w:cs="宋体;SimSun"/>
                <w:color w:val="auto"/>
                <w:sz w:val="22"/>
                <w:highlight w:val="none"/>
              </w:rPr>
              <w:t>4.支持RIP/RIPng，OSPFv2/v3，BGP4/4+，IS-ISv4/v6；</w:t>
            </w:r>
          </w:p>
          <w:p w14:paraId="1BBE6351">
            <w:pPr>
              <w:jc w:val="left"/>
              <w:rPr>
                <w:rFonts w:ascii="宋体" w:hAnsi="宋体" w:eastAsia="宋体" w:cs="宋体;SimSun"/>
                <w:color w:val="auto"/>
                <w:sz w:val="22"/>
                <w:highlight w:val="none"/>
              </w:rPr>
            </w:pPr>
            <w:r>
              <w:rPr>
                <w:rFonts w:ascii="宋体" w:hAnsi="宋体" w:eastAsia="宋体" w:cs="宋体;SimSun"/>
                <w:color w:val="auto"/>
                <w:sz w:val="22"/>
                <w:highlight w:val="none"/>
              </w:rPr>
              <w:t>5.支持VXLAN二层网桥、VXLAN三层网关，支持EVPN VXLAN；</w:t>
            </w:r>
          </w:p>
          <w:p w14:paraId="62B30A50">
            <w:pPr>
              <w:jc w:val="left"/>
              <w:rPr>
                <w:rFonts w:hint="eastAsia" w:ascii="宋体" w:hAnsi="宋体" w:eastAsia="宋体"/>
                <w:color w:val="auto"/>
                <w:highlight w:val="none"/>
              </w:rPr>
            </w:pPr>
            <w:r>
              <w:rPr>
                <w:rFonts w:ascii="宋体" w:hAnsi="宋体" w:eastAsia="宋体" w:cs="宋体;SimSun"/>
                <w:color w:val="auto"/>
                <w:sz w:val="22"/>
                <w:highlight w:val="none"/>
              </w:rPr>
              <w:t>6.配置冗余电源；</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3BDFD6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F4B04A1">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7301C15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8FB2CB7">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F6C1520">
            <w:pPr>
              <w:jc w:val="center"/>
              <w:rPr>
                <w:rFonts w:ascii="宋体" w:hAnsi="宋体" w:eastAsia="宋体" w:cs="宋体;SimSun"/>
                <w:color w:val="auto"/>
                <w:sz w:val="22"/>
                <w:highlight w:val="none"/>
              </w:rPr>
            </w:pPr>
            <w:r>
              <w:rPr>
                <w:rFonts w:ascii="宋体" w:hAnsi="宋体" w:eastAsia="宋体" w:cs="宋体;SimSun"/>
                <w:color w:val="auto"/>
                <w:sz w:val="22"/>
                <w:highlight w:val="none"/>
              </w:rPr>
              <w:t>48口接入交换机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1422390">
            <w:pPr>
              <w:jc w:val="left"/>
              <w:rPr>
                <w:rFonts w:ascii="宋体" w:hAnsi="宋体" w:eastAsia="宋体" w:cs="宋体;SimSun"/>
                <w:color w:val="auto"/>
                <w:sz w:val="22"/>
                <w:highlight w:val="none"/>
              </w:rPr>
            </w:pPr>
            <w:r>
              <w:rPr>
                <w:rFonts w:ascii="宋体" w:hAnsi="宋体" w:eastAsia="宋体" w:cs="宋体;SimSun"/>
                <w:color w:val="auto"/>
                <w:sz w:val="22"/>
                <w:highlight w:val="none"/>
              </w:rPr>
              <w:t>1.交换容量≥672Gbps，包转发率≥200Mpps，以官网最小值为准；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2.固化10/100/1000M以太网端口≥48个，固化1G/10G SFP/SFP+接口≥4个；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3.支持24×GbE+4×10GbE 100%线速转发；</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4.支持专门针对CPU保护机制功能，可将送CPU的报文，如ARP报文的速率进行限制，使CPU的使用率降低到10%左右，保障CPU安全；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5.支持IPv4和IPv6的静态路由、OSPFv2/OSPFv3等三层路由协议；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6.支持sFlow网络监测技术；</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9108015">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561FBE1">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7987507">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3672C65">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BA95730">
            <w:pPr>
              <w:jc w:val="center"/>
              <w:rPr>
                <w:rFonts w:ascii="宋体" w:hAnsi="宋体" w:eastAsia="宋体" w:cs="宋体;SimSun"/>
                <w:color w:val="auto"/>
                <w:sz w:val="22"/>
                <w:highlight w:val="none"/>
              </w:rPr>
            </w:pPr>
            <w:r>
              <w:rPr>
                <w:rFonts w:ascii="宋体" w:hAnsi="宋体" w:eastAsia="宋体" w:cs="宋体;SimSun"/>
                <w:color w:val="auto"/>
                <w:sz w:val="22"/>
                <w:highlight w:val="none"/>
              </w:rPr>
              <w:t>企业级路由器</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A0C2E4E">
            <w:pPr>
              <w:jc w:val="left"/>
              <w:rPr>
                <w:rFonts w:ascii="宋体" w:hAnsi="宋体" w:eastAsia="宋体"/>
                <w:color w:val="auto"/>
                <w:highlight w:val="none"/>
              </w:rPr>
            </w:pPr>
            <w:r>
              <w:rPr>
                <w:rFonts w:ascii="宋体" w:hAnsi="宋体" w:eastAsia="宋体" w:cs="宋体;SimSun"/>
                <w:color w:val="auto"/>
                <w:sz w:val="22"/>
                <w:highlight w:val="none"/>
              </w:rPr>
              <w:t>1.要求固化千兆电口数量≥4个；固化2.5Gbps电口数量≥4个；固化万兆光口数量≥2个；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2.最大整机网络吞吐≥3Gbps ，开启应用识别、流量审计、流控、负载均衡、NAT、IPsec等功能后应用吞吐≥2Gbps；</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为了实时监控关键业务状态及时发现问题并报警，优化网络资源分配，提升网络体验质量和降低管理成本，要求支持关键应用监控，包括对预置应用和自定义应用的网络体验质量监控；支持关键角色监控，包括对单IP、IP网段的网络体验质量监控;支持呈现基础服务运行质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4.为了提高网络的可靠性、稳定性和用户体验，要求支持基于关键应用体验质量的链路自动化切换；</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5.所投产品URL数据库、应用分类库、地址库、内容审计特征库、支持产品十年内免费升级；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6.为增强出口安全的防护能力，要求设备支持集成IPS入侵防御功能，拥有≥17000条IPS规则；</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7.为了及时故障排查和响应安全事件，满足合规性要求，要求支持安全日志（入侵防御、病毒防护、DoS/DDoS、本地防攻击、威胁情报、DNS安全）查询和导出；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8.配置SSL VPN用户数≥200，配置无线AP管理授权≥96</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65D7149">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7AE4D44">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10C66314">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39B0608E">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8、指挥中心视频监控及门禁控制系统</w:t>
            </w:r>
          </w:p>
        </w:tc>
      </w:tr>
      <w:tr w14:paraId="43D860BB">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51AF290">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5088CFB">
            <w:pPr>
              <w:jc w:val="center"/>
              <w:rPr>
                <w:rFonts w:ascii="宋体" w:hAnsi="宋体" w:eastAsia="宋体" w:cs="宋体;SimSun"/>
                <w:color w:val="auto"/>
                <w:sz w:val="22"/>
                <w:highlight w:val="none"/>
              </w:rPr>
            </w:pPr>
            <w:r>
              <w:rPr>
                <w:rFonts w:ascii="宋体" w:hAnsi="宋体" w:eastAsia="宋体" w:cs="宋体;SimSun"/>
                <w:color w:val="auto"/>
                <w:sz w:val="22"/>
                <w:highlight w:val="none"/>
              </w:rPr>
              <w:t>400万半球型摄像机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31E7136">
            <w:pPr>
              <w:jc w:val="left"/>
              <w:rPr>
                <w:rFonts w:ascii="宋体" w:hAnsi="宋体" w:eastAsia="宋体"/>
                <w:color w:val="auto"/>
                <w:highlight w:val="none"/>
              </w:rPr>
            </w:pPr>
            <w:r>
              <w:rPr>
                <w:rFonts w:ascii="宋体" w:hAnsi="宋体" w:eastAsia="宋体" w:cs="宋体;SimSun"/>
                <w:color w:val="auto"/>
                <w:sz w:val="22"/>
                <w:highlight w:val="none"/>
              </w:rPr>
              <w:t>1.采用CMOS传感器；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2.像素≥400万；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3.最大分辨率≥2560×1440；</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4.最低照度≤0.01 lx（彩色模式）；0.001lux（黑白模式）；0lux（补光灯开启）；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5.最大补光距离≥50m（红外）；</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6.补光灯≥2颗（红外灯）；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7.镜头类型：定焦；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8.周界防范：绊线入侵；区域入侵；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支持对人、机动车、全部(人或机动车)进行检测，当小狗、树叶等非人或车辆目标经过检测区域时，不会触发报警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9.内置≥1个麦克风；</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10.报警事件：网络断开；IP冲突；非法访问；动态检测；视频遮挡；音频异常侦测；智能动检（人）；安全异常；</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11.接入标准：ONVIF（Profile S &amp; Profile T）；CGI；GB/T28181；</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12.可同时采用DC12V电源与PoE供电，当一路电源停止供电后，可正常工作；</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13.防护等级：IP67；</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C6A3007">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A93EE92">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AAE23A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0680D97">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95B5EA3">
            <w:pPr>
              <w:jc w:val="center"/>
              <w:rPr>
                <w:rFonts w:ascii="宋体" w:hAnsi="宋体" w:eastAsia="宋体" w:cs="宋体;SimSun"/>
                <w:color w:val="auto"/>
                <w:sz w:val="22"/>
                <w:highlight w:val="none"/>
              </w:rPr>
            </w:pPr>
            <w:r>
              <w:rPr>
                <w:rFonts w:ascii="宋体" w:hAnsi="宋体" w:eastAsia="宋体" w:cs="宋体;SimSun"/>
                <w:color w:val="auto"/>
                <w:sz w:val="22"/>
                <w:highlight w:val="none"/>
              </w:rPr>
              <w:t>开门按钮</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7A32158">
            <w:pPr>
              <w:jc w:val="left"/>
              <w:rPr>
                <w:rFonts w:ascii="宋体" w:hAnsi="宋体" w:eastAsia="宋体"/>
                <w:color w:val="auto"/>
                <w:highlight w:val="none"/>
              </w:rPr>
            </w:pPr>
            <w:r>
              <w:rPr>
                <w:rFonts w:ascii="宋体" w:hAnsi="宋体" w:eastAsia="宋体"/>
                <w:color w:val="auto"/>
                <w:highlight w:val="none"/>
              </w:rPr>
              <w:t>1.可采用防火阻燃材料</w:t>
            </w:r>
            <w:r>
              <w:rPr>
                <w:rFonts w:ascii="宋体" w:hAnsi="宋体" w:eastAsia="宋体"/>
                <w:color w:val="auto"/>
                <w:highlight w:val="none"/>
              </w:rPr>
              <w:br w:type="textWrapping"/>
            </w:r>
            <w:r>
              <w:rPr>
                <w:rFonts w:ascii="宋体" w:hAnsi="宋体" w:eastAsia="宋体"/>
                <w:color w:val="auto"/>
                <w:highlight w:val="none"/>
              </w:rPr>
              <w:t>2.支持多种触发方式</w:t>
            </w:r>
            <w:r>
              <w:rPr>
                <w:rFonts w:ascii="宋体" w:hAnsi="宋体" w:eastAsia="宋体"/>
                <w:color w:val="auto"/>
                <w:highlight w:val="none"/>
              </w:rPr>
              <w:br w:type="textWrapping"/>
            </w:r>
            <w:r>
              <w:rPr>
                <w:rFonts w:ascii="宋体" w:hAnsi="宋体" w:eastAsia="宋体"/>
                <w:color w:val="auto"/>
                <w:highlight w:val="none"/>
              </w:rPr>
              <w:t>3.支持常开/常闭功能</w:t>
            </w:r>
            <w:r>
              <w:rPr>
                <w:rFonts w:ascii="宋体" w:hAnsi="宋体" w:eastAsia="宋体"/>
                <w:color w:val="auto"/>
                <w:highlight w:val="none"/>
              </w:rPr>
              <w:br w:type="textWrapping"/>
            </w:r>
            <w:r>
              <w:rPr>
                <w:rFonts w:ascii="宋体" w:hAnsi="宋体" w:eastAsia="宋体"/>
                <w:color w:val="auto"/>
                <w:highlight w:val="none"/>
              </w:rPr>
              <w:t>4.支持五十万次抗疲劳测试</w:t>
            </w:r>
            <w:r>
              <w:rPr>
                <w:rFonts w:ascii="宋体" w:hAnsi="宋体" w:eastAsia="宋体"/>
                <w:color w:val="auto"/>
                <w:highlight w:val="none"/>
              </w:rPr>
              <w:br w:type="textWrapping"/>
            </w:r>
            <w:r>
              <w:rPr>
                <w:rFonts w:ascii="宋体" w:hAnsi="宋体" w:eastAsia="宋体"/>
                <w:color w:val="auto"/>
                <w:highlight w:val="none"/>
              </w:rPr>
              <w:t>5.工作温度：-30℃~+60℃，</w:t>
            </w:r>
            <w:r>
              <w:rPr>
                <w:rFonts w:ascii="宋体" w:hAnsi="宋体" w:eastAsia="宋体" w:cs="Calibri"/>
                <w:color w:val="auto"/>
                <w:highlight w:val="none"/>
              </w:rPr>
              <w:t xml:space="preserve"> </w:t>
            </w:r>
            <w:r>
              <w:rPr>
                <w:rFonts w:ascii="宋体" w:hAnsi="宋体" w:eastAsia="宋体"/>
                <w:color w:val="auto"/>
                <w:highlight w:val="none"/>
              </w:rPr>
              <w:t>工作湿度：≤95%；</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B54BD70">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43BF47E">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BA50086">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E76C50F">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B3CB2F7">
            <w:pPr>
              <w:jc w:val="center"/>
              <w:rPr>
                <w:rFonts w:ascii="宋体" w:hAnsi="宋体" w:eastAsia="宋体" w:cs="宋体;SimSun"/>
                <w:color w:val="auto"/>
                <w:sz w:val="22"/>
                <w:highlight w:val="none"/>
              </w:rPr>
            </w:pPr>
            <w:r>
              <w:rPr>
                <w:rFonts w:ascii="宋体" w:hAnsi="宋体" w:eastAsia="宋体" w:cs="宋体;SimSun"/>
                <w:color w:val="auto"/>
                <w:sz w:val="22"/>
                <w:highlight w:val="none"/>
              </w:rPr>
              <w:t>人脸门禁一体机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99E3741">
            <w:pPr>
              <w:jc w:val="left"/>
              <w:rPr>
                <w:rFonts w:hint="eastAsia" w:ascii="宋体" w:hAnsi="宋体" w:eastAsia="宋体"/>
                <w:color w:val="auto"/>
                <w:highlight w:val="none"/>
              </w:rPr>
            </w:pPr>
            <w:r>
              <w:rPr>
                <w:rFonts w:ascii="宋体" w:hAnsi="宋体" w:eastAsia="宋体"/>
                <w:color w:val="auto"/>
                <w:highlight w:val="none"/>
              </w:rPr>
              <w:t>1.设备关键器件均为国产品牌，包括主控芯片、内存、eMMC。系统采用国产化操作系统。</w:t>
            </w:r>
            <w:r>
              <w:rPr>
                <w:rFonts w:ascii="宋体" w:hAnsi="宋体" w:eastAsia="宋体"/>
                <w:color w:val="auto"/>
                <w:highlight w:val="none"/>
              </w:rPr>
              <w:br w:type="textWrapping"/>
            </w:r>
            <w:r>
              <w:rPr>
                <w:rFonts w:ascii="宋体" w:hAnsi="宋体" w:eastAsia="宋体"/>
                <w:color w:val="auto"/>
                <w:highlight w:val="none"/>
              </w:rPr>
              <w:t>2.采用≥7英寸液晶屏，屏幕显示分辨率达到≥1024×600</w:t>
            </w:r>
            <w:r>
              <w:rPr>
                <w:rFonts w:ascii="宋体" w:hAnsi="宋体" w:eastAsia="宋体"/>
                <w:color w:val="auto"/>
                <w:highlight w:val="none"/>
              </w:rPr>
              <w:br w:type="textWrapping"/>
            </w:r>
            <w:r>
              <w:rPr>
                <w:rFonts w:ascii="宋体" w:hAnsi="宋体" w:eastAsia="宋体"/>
                <w:color w:val="auto"/>
                <w:highlight w:val="none"/>
              </w:rPr>
              <w:t>3.采用≥ 200万双目摄像头</w:t>
            </w:r>
            <w:r>
              <w:rPr>
                <w:rFonts w:ascii="宋体" w:hAnsi="宋体" w:eastAsia="宋体"/>
                <w:color w:val="auto"/>
                <w:highlight w:val="none"/>
              </w:rPr>
              <w:br w:type="textWrapping"/>
            </w:r>
            <w:r>
              <w:rPr>
                <w:rFonts w:ascii="宋体" w:hAnsi="宋体" w:eastAsia="宋体"/>
                <w:color w:val="auto"/>
                <w:highlight w:val="none"/>
              </w:rPr>
              <w:t>4.支持自动补光，可有效降低环境光污染</w:t>
            </w:r>
            <w:r>
              <w:rPr>
                <w:rFonts w:ascii="宋体" w:hAnsi="宋体" w:eastAsia="宋体"/>
                <w:color w:val="auto"/>
                <w:highlight w:val="none"/>
              </w:rPr>
              <w:br w:type="textWrapping"/>
            </w:r>
            <w:r>
              <w:rPr>
                <w:rFonts w:ascii="宋体" w:hAnsi="宋体" w:eastAsia="宋体"/>
                <w:color w:val="auto"/>
                <w:highlight w:val="none"/>
              </w:rPr>
              <w:t>5.支持≥5万个用户(最大支持50个管理员)、5万张人脸、5万个密码、10万张卡片、30万条记录</w:t>
            </w:r>
            <w:r>
              <w:rPr>
                <w:rFonts w:ascii="宋体" w:hAnsi="宋体" w:eastAsia="宋体"/>
                <w:color w:val="auto"/>
                <w:highlight w:val="none"/>
              </w:rPr>
              <w:br w:type="textWrapping"/>
            </w:r>
            <w:r>
              <w:rPr>
                <w:rFonts w:ascii="宋体" w:hAnsi="宋体" w:eastAsia="宋体"/>
                <w:color w:val="auto"/>
                <w:highlight w:val="none"/>
              </w:rPr>
              <w:t>6.支持人脸、IC卡、CPU卡、CPU卡序列号、身份证序列号、密码、二维码（支持2.2cm*2.2cm~5cm*5cm大小且内容小于128字节的二维码）等多种识别方式，并支持多种组合识别鉴权方式</w:t>
            </w:r>
            <w:r>
              <w:rPr>
                <w:rFonts w:ascii="宋体" w:hAnsi="宋体" w:eastAsia="宋体"/>
                <w:color w:val="auto"/>
                <w:highlight w:val="none"/>
              </w:rPr>
              <w:br w:type="textWrapping"/>
            </w:r>
            <w:r>
              <w:rPr>
                <w:rFonts w:ascii="宋体" w:hAnsi="宋体" w:eastAsia="宋体"/>
                <w:color w:val="auto"/>
                <w:highlight w:val="none"/>
              </w:rPr>
              <w:t xml:space="preserve">7.人脸识别(人脸特征比对)速度应＜50ms </w:t>
            </w:r>
            <w:r>
              <w:rPr>
                <w:rFonts w:ascii="宋体" w:hAnsi="宋体" w:eastAsia="宋体"/>
                <w:color w:val="auto"/>
                <w:highlight w:val="none"/>
              </w:rPr>
              <w:br w:type="textWrapping"/>
            </w:r>
            <w:r>
              <w:rPr>
                <w:rFonts w:ascii="宋体" w:hAnsi="宋体" w:eastAsia="宋体"/>
                <w:color w:val="auto"/>
                <w:highlight w:val="none"/>
              </w:rPr>
              <w:t>8.支持活体检测功能，支持防止手机照片、打印照片和视频攻击</w:t>
            </w:r>
            <w:r>
              <w:rPr>
                <w:rFonts w:ascii="宋体" w:hAnsi="宋体" w:eastAsia="宋体"/>
                <w:color w:val="auto"/>
                <w:highlight w:val="none"/>
              </w:rPr>
              <w:br w:type="textWrapping"/>
            </w:r>
            <w:r>
              <w:rPr>
                <w:rFonts w:ascii="宋体" w:hAnsi="宋体" w:eastAsia="宋体"/>
                <w:color w:val="auto"/>
                <w:highlight w:val="none"/>
              </w:rPr>
              <w:t>9.支持逆光、顺光等强光场景的稳定识别，场景适应性更广</w:t>
            </w:r>
            <w:r>
              <w:rPr>
                <w:rFonts w:ascii="宋体" w:hAnsi="宋体" w:eastAsia="宋体"/>
                <w:color w:val="auto"/>
                <w:highlight w:val="none"/>
              </w:rPr>
              <w:br w:type="textWrapping"/>
            </w:r>
            <w:r>
              <w:rPr>
                <w:rFonts w:ascii="宋体" w:hAnsi="宋体" w:eastAsia="宋体"/>
                <w:color w:val="auto"/>
                <w:highlight w:val="none"/>
              </w:rPr>
              <w:t>10.支持胁迫报警、 防拆报警、 闯入报警、 门超时报警、非法卡超次报警、非法密码超次报警</w:t>
            </w:r>
            <w:r>
              <w:rPr>
                <w:rFonts w:ascii="宋体" w:hAnsi="宋体" w:eastAsia="宋体"/>
                <w:color w:val="auto"/>
                <w:highlight w:val="none"/>
              </w:rPr>
              <w:br w:type="textWrapping"/>
            </w:r>
            <w:r>
              <w:rPr>
                <w:rFonts w:ascii="宋体" w:hAnsi="宋体" w:eastAsia="宋体"/>
                <w:color w:val="auto"/>
                <w:highlight w:val="none"/>
              </w:rPr>
              <w:t>11.支持快捷呼叫功能，在快捷呼叫模式下，可点击对应的快捷键一键呼叫至对应的室内机，无需手动拨号;可自定义的快捷键数量不少于12个：快捷键的名称可自定义，可配置是否展示对应名称;</w:t>
            </w:r>
            <w:r>
              <w:rPr>
                <w:rFonts w:ascii="宋体" w:hAnsi="宋体" w:eastAsia="宋体"/>
                <w:color w:val="auto"/>
                <w:highlight w:val="none"/>
              </w:rPr>
              <w:br w:type="textWrapping"/>
            </w:r>
            <w:r>
              <w:rPr>
                <w:rFonts w:ascii="宋体" w:hAnsi="宋体" w:eastAsia="宋体"/>
                <w:color w:val="auto"/>
                <w:highlight w:val="none"/>
              </w:rPr>
              <w:t xml:space="preserve">12.快捷键的位置布局可通过拖曳的方式进行快捷调整 </w:t>
            </w:r>
            <w:r>
              <w:rPr>
                <w:rFonts w:ascii="宋体" w:hAnsi="宋体" w:eastAsia="宋体"/>
                <w:color w:val="auto"/>
                <w:highlight w:val="none"/>
              </w:rPr>
              <w:br w:type="textWrapping"/>
            </w:r>
            <w:r>
              <w:rPr>
                <w:rFonts w:ascii="宋体" w:hAnsi="宋体" w:eastAsia="宋体"/>
                <w:color w:val="auto"/>
                <w:highlight w:val="none"/>
              </w:rPr>
              <w:t>13.支持模块扩展功能（指纹、二维码、人证、人证+二维码、指纹+二维码）</w:t>
            </w:r>
            <w:r>
              <w:rPr>
                <w:rFonts w:ascii="宋体" w:hAnsi="宋体" w:eastAsia="宋体"/>
                <w:color w:val="auto"/>
                <w:highlight w:val="none"/>
              </w:rPr>
              <w:br w:type="textWrapping"/>
            </w:r>
            <w:r>
              <w:rPr>
                <w:rFonts w:ascii="宋体" w:hAnsi="宋体" w:eastAsia="宋体"/>
                <w:color w:val="auto"/>
                <w:highlight w:val="none"/>
              </w:rPr>
              <w:t>14.支持门铃功能</w:t>
            </w:r>
            <w:r>
              <w:rPr>
                <w:rFonts w:ascii="宋体" w:hAnsi="宋体" w:eastAsia="宋体"/>
                <w:color w:val="auto"/>
                <w:highlight w:val="none"/>
              </w:rPr>
              <w:br w:type="textWrapping"/>
            </w:r>
            <w:r>
              <w:rPr>
                <w:rFonts w:ascii="宋体" w:hAnsi="宋体" w:eastAsia="宋体"/>
                <w:color w:val="auto"/>
                <w:highlight w:val="none"/>
              </w:rPr>
              <w:t>15.支持语音识别，开启后可唤醒并语音控制设备</w:t>
            </w:r>
            <w:r>
              <w:rPr>
                <w:rFonts w:ascii="宋体" w:hAnsi="宋体" w:eastAsia="宋体"/>
                <w:color w:val="auto"/>
                <w:highlight w:val="none"/>
              </w:rPr>
              <w:br w:type="textWrapping"/>
            </w:r>
            <w:r>
              <w:rPr>
                <w:rFonts w:ascii="宋体" w:hAnsi="宋体" w:eastAsia="宋体"/>
                <w:color w:val="auto"/>
                <w:highlight w:val="none"/>
              </w:rPr>
              <w:t>16.支持视频和图片广告播放（支持5段主流MP4、AVI、DAV格式视频（单位视频大小不超出20MB）和10张主流JPG、PNG、BMP格式图片（单位图片大小不超出2MB）播放</w:t>
            </w:r>
            <w:r>
              <w:rPr>
                <w:rFonts w:ascii="宋体" w:hAnsi="宋体" w:eastAsia="宋体"/>
                <w:color w:val="auto"/>
                <w:highlight w:val="none"/>
              </w:rPr>
              <w:br w:type="textWrapping"/>
            </w:r>
            <w:r>
              <w:rPr>
                <w:rFonts w:ascii="宋体" w:hAnsi="宋体" w:eastAsia="宋体"/>
                <w:color w:val="auto"/>
                <w:highlight w:val="none"/>
              </w:rPr>
              <w:t>17.支持消防报警联动（需接入报警输入接口，并配置对应联动）</w:t>
            </w:r>
            <w:r>
              <w:rPr>
                <w:rFonts w:ascii="宋体" w:hAnsi="宋体" w:eastAsia="宋体"/>
                <w:color w:val="auto"/>
                <w:highlight w:val="none"/>
              </w:rPr>
              <w:br w:type="textWrapping"/>
            </w:r>
            <w:r>
              <w:rPr>
                <w:rFonts w:ascii="宋体" w:hAnsi="宋体" w:eastAsia="宋体"/>
                <w:color w:val="auto"/>
                <w:highlight w:val="none"/>
              </w:rPr>
              <w:t>18.支持手机NFC刷卡，且可配置使能开关</w:t>
            </w:r>
            <w:r>
              <w:rPr>
                <w:rFonts w:ascii="宋体" w:hAnsi="宋体" w:eastAsia="宋体"/>
                <w:color w:val="auto"/>
                <w:highlight w:val="none"/>
              </w:rPr>
              <w:br w:type="textWrapping"/>
            </w:r>
            <w:r>
              <w:rPr>
                <w:rFonts w:ascii="宋体" w:hAnsi="宋体" w:eastAsia="宋体"/>
                <w:color w:val="auto"/>
                <w:highlight w:val="none"/>
              </w:rPr>
              <w:t>19.支持电源输出，给锁供电（输出DC12V/1A）</w:t>
            </w:r>
            <w:r>
              <w:rPr>
                <w:rFonts w:ascii="宋体" w:hAnsi="宋体" w:eastAsia="宋体"/>
                <w:color w:val="auto"/>
                <w:highlight w:val="none"/>
              </w:rPr>
              <w:br w:type="textWrapping"/>
            </w:r>
            <w:r>
              <w:rPr>
                <w:rFonts w:ascii="宋体" w:hAnsi="宋体" w:eastAsia="宋体"/>
                <w:color w:val="auto"/>
                <w:highlight w:val="none"/>
              </w:rPr>
              <w:t>20.支持呼吸灯及三色状态提示</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55AEB3F">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B1A00BC">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8E626B7">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C63E4C7">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D854A03">
            <w:pPr>
              <w:jc w:val="center"/>
              <w:rPr>
                <w:rFonts w:ascii="宋体" w:hAnsi="宋体" w:eastAsia="宋体" w:cs="宋体;SimSun"/>
                <w:color w:val="auto"/>
                <w:sz w:val="22"/>
                <w:highlight w:val="none"/>
              </w:rPr>
            </w:pPr>
            <w:r>
              <w:rPr>
                <w:rFonts w:ascii="宋体" w:hAnsi="宋体" w:eastAsia="宋体" w:cs="宋体;SimSun"/>
                <w:color w:val="auto"/>
                <w:sz w:val="22"/>
                <w:highlight w:val="none"/>
              </w:rPr>
              <w:t>成套磁力锁</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408E46F">
            <w:pPr>
              <w:jc w:val="left"/>
              <w:rPr>
                <w:rFonts w:ascii="宋体" w:hAnsi="宋体" w:eastAsia="宋体"/>
                <w:color w:val="auto"/>
                <w:highlight w:val="none"/>
              </w:rPr>
            </w:pPr>
            <w:r>
              <w:rPr>
                <w:rFonts w:ascii="宋体" w:hAnsi="宋体" w:eastAsia="宋体"/>
                <w:color w:val="auto"/>
                <w:highlight w:val="none"/>
              </w:rPr>
              <w:t>1.产品款式：磁力锁；</w:t>
            </w:r>
            <w:r>
              <w:rPr>
                <w:rFonts w:ascii="宋体" w:hAnsi="宋体" w:eastAsia="宋体"/>
                <w:color w:val="auto"/>
                <w:highlight w:val="none"/>
              </w:rPr>
              <w:br w:type="textWrapping"/>
            </w:r>
            <w:r>
              <w:rPr>
                <w:rFonts w:ascii="宋体" w:hAnsi="宋体" w:eastAsia="宋体"/>
                <w:color w:val="auto"/>
                <w:highlight w:val="none"/>
              </w:rPr>
              <w:t>2.外壳材料：铝合金；</w:t>
            </w:r>
            <w:r>
              <w:rPr>
                <w:rFonts w:ascii="宋体" w:hAnsi="宋体" w:eastAsia="宋体"/>
                <w:color w:val="auto"/>
                <w:highlight w:val="none"/>
              </w:rPr>
              <w:br w:type="textWrapping"/>
            </w:r>
            <w:r>
              <w:rPr>
                <w:rFonts w:ascii="宋体" w:hAnsi="宋体" w:eastAsia="宋体"/>
                <w:color w:val="auto"/>
                <w:highlight w:val="none"/>
              </w:rPr>
              <w:t>3.表面工艺：阳极氧化；</w:t>
            </w:r>
            <w:r>
              <w:rPr>
                <w:rFonts w:ascii="宋体" w:hAnsi="宋体" w:eastAsia="宋体"/>
                <w:color w:val="auto"/>
                <w:highlight w:val="none"/>
              </w:rPr>
              <w:br w:type="textWrapping"/>
            </w:r>
            <w:r>
              <w:rPr>
                <w:rFonts w:ascii="宋体" w:hAnsi="宋体" w:eastAsia="宋体"/>
                <w:color w:val="auto"/>
                <w:highlight w:val="none"/>
              </w:rPr>
              <w:t>4.适用门型：木门；玻璃门；金属门；防火门；AB门；</w:t>
            </w:r>
            <w:r>
              <w:rPr>
                <w:rFonts w:ascii="宋体" w:hAnsi="宋体" w:eastAsia="宋体"/>
                <w:color w:val="auto"/>
                <w:highlight w:val="none"/>
              </w:rPr>
              <w:br w:type="textWrapping"/>
            </w:r>
            <w:r>
              <w:rPr>
                <w:rFonts w:ascii="宋体" w:hAnsi="宋体" w:eastAsia="宋体"/>
                <w:color w:val="auto"/>
                <w:highlight w:val="none"/>
              </w:rPr>
              <w:t>5.信号输出：COM/NO/NC；</w:t>
            </w:r>
            <w:r>
              <w:rPr>
                <w:rFonts w:ascii="宋体" w:hAnsi="宋体" w:eastAsia="宋体"/>
                <w:color w:val="auto"/>
                <w:highlight w:val="none"/>
              </w:rPr>
              <w:br w:type="textWrapping"/>
            </w:r>
            <w:r>
              <w:rPr>
                <w:rFonts w:ascii="宋体" w:hAnsi="宋体" w:eastAsia="宋体"/>
                <w:color w:val="auto"/>
                <w:highlight w:val="none"/>
              </w:rPr>
              <w:t>6.门状态检测：1路，继电器；</w:t>
            </w:r>
            <w:r>
              <w:rPr>
                <w:rFonts w:ascii="宋体" w:hAnsi="宋体" w:eastAsia="宋体"/>
                <w:color w:val="auto"/>
                <w:highlight w:val="none"/>
              </w:rPr>
              <w:br w:type="textWrapping"/>
            </w:r>
            <w:r>
              <w:rPr>
                <w:rFonts w:ascii="宋体" w:hAnsi="宋体" w:eastAsia="宋体"/>
                <w:color w:val="auto"/>
                <w:highlight w:val="none"/>
              </w:rPr>
              <w:t>7.安全类型：断电开门；</w:t>
            </w:r>
            <w:r>
              <w:rPr>
                <w:rFonts w:ascii="宋体" w:hAnsi="宋体" w:eastAsia="宋体"/>
                <w:color w:val="auto"/>
                <w:highlight w:val="none"/>
              </w:rPr>
              <w:br w:type="textWrapping"/>
            </w:r>
            <w:r>
              <w:rPr>
                <w:rFonts w:ascii="宋体" w:hAnsi="宋体" w:eastAsia="宋体"/>
                <w:color w:val="auto"/>
                <w:highlight w:val="none"/>
              </w:rPr>
              <w:t>8.最大拉力：220kg±10%；</w:t>
            </w:r>
            <w:r>
              <w:rPr>
                <w:rFonts w:ascii="宋体" w:hAnsi="宋体" w:eastAsia="宋体"/>
                <w:color w:val="auto"/>
                <w:highlight w:val="none"/>
              </w:rPr>
              <w:br w:type="textWrapping"/>
            </w:r>
            <w:r>
              <w:rPr>
                <w:rFonts w:ascii="宋体" w:hAnsi="宋体" w:eastAsia="宋体"/>
                <w:color w:val="auto"/>
                <w:highlight w:val="none"/>
              </w:rPr>
              <w:t>9.安装方式：明装</w:t>
            </w:r>
            <w:r>
              <w:rPr>
                <w:rFonts w:ascii="宋体" w:hAnsi="宋体" w:eastAsia="宋体"/>
                <w:color w:val="auto"/>
                <w:highlight w:val="none"/>
              </w:rPr>
              <w:br w:type="textWrapping"/>
            </w:r>
            <w:r>
              <w:rPr>
                <w:rFonts w:ascii="宋体" w:hAnsi="宋体" w:eastAsia="宋体"/>
                <w:color w:val="auto"/>
                <w:highlight w:val="none"/>
              </w:rPr>
              <w:t>10.包含支架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CCBD4D7">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8F36D58">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18221AD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72A56A8">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A1FEA2A">
            <w:pPr>
              <w:jc w:val="center"/>
              <w:rPr>
                <w:rFonts w:ascii="宋体" w:hAnsi="宋体" w:eastAsia="宋体" w:cs="宋体;SimSun"/>
                <w:color w:val="auto"/>
                <w:sz w:val="22"/>
                <w:highlight w:val="none"/>
              </w:rPr>
            </w:pPr>
            <w:r>
              <w:rPr>
                <w:rFonts w:ascii="宋体" w:hAnsi="宋体" w:eastAsia="宋体" w:cs="宋体;SimSun"/>
                <w:color w:val="auto"/>
                <w:sz w:val="22"/>
                <w:highlight w:val="none"/>
              </w:rPr>
              <w:t>硬盘录像机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242FD59">
            <w:pPr>
              <w:jc w:val="left"/>
              <w:rPr>
                <w:rFonts w:ascii="宋体" w:hAnsi="宋体" w:eastAsia="宋体"/>
                <w:color w:val="auto"/>
                <w:highlight w:val="none"/>
              </w:rPr>
            </w:pPr>
            <w:r>
              <w:rPr>
                <w:rFonts w:ascii="宋体" w:hAnsi="宋体" w:eastAsia="宋体" w:cs="宋体;SimSun"/>
                <w:color w:val="auto"/>
                <w:sz w:val="22"/>
                <w:highlight w:val="none"/>
              </w:rPr>
              <w:t>1.采用工业级微控制器；嵌入式Linux操作系统；</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2.接入路数≥32路；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3.支持摄像头属性调节页面直接展示视频效果，调节效果随参数调整实时展现；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4.后智能分析：支持后智能人脸检测、人脸识别、周界防范、智能动检；</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5.前智能分析：支持前智能人脸检测、人脸识别、视频结构化、周界防范、智能动检、立体行为分析、人像检测、人群分布、人数统计、热度图、车牌识别、车辆密度、物品监控、高空抛物检测、电瓶车入梯；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6.支持单独对算法模型文件进行升级；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7.报警≥16进6出；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8.支持断网续传功能，能对前端摄像机断网这段时间内SD卡中的录像回传到NVR；</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9.硬盘接口≥5个SATA，单盘最大20TB；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10.RS-485接口≥1个，1个半双工串行AB接口；</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11.网络接口≥2个（10M/100M/1000M以太网口，RJ-45）；</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12.支持自动记录与设备信息安全相关的日志信息，作为独立的安全日志，内容包括用户登录/登出、重要和敏感操作、安全事件等，并划分独立的记录空间存储安全日志；</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A0FBF6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C353EDA">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5F4102CF">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11AAEC2">
            <w:pPr>
              <w:jc w:val="center"/>
              <w:rPr>
                <w:rFonts w:ascii="宋体" w:hAnsi="宋体" w:eastAsia="宋体" w:cs="宋体;SimSun"/>
                <w:color w:val="auto"/>
                <w:sz w:val="22"/>
                <w:highlight w:val="none"/>
              </w:rPr>
            </w:pPr>
            <w:r>
              <w:rPr>
                <w:rFonts w:ascii="宋体" w:hAnsi="宋体" w:eastAsia="宋体" w:cs="宋体;SimSun"/>
                <w:color w:val="auto"/>
                <w:sz w:val="22"/>
                <w:highlight w:val="none"/>
              </w:rPr>
              <w:t>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792DC95">
            <w:pPr>
              <w:jc w:val="center"/>
              <w:rPr>
                <w:rFonts w:ascii="宋体" w:hAnsi="宋体" w:eastAsia="宋体" w:cs="宋体;SimSun"/>
                <w:color w:val="auto"/>
                <w:sz w:val="22"/>
                <w:highlight w:val="none"/>
              </w:rPr>
            </w:pPr>
            <w:r>
              <w:rPr>
                <w:rFonts w:ascii="宋体" w:hAnsi="宋体" w:eastAsia="宋体" w:cs="宋体;SimSun"/>
                <w:color w:val="auto"/>
                <w:sz w:val="22"/>
                <w:highlight w:val="none"/>
              </w:rPr>
              <w:t>6TB硬盘</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FAE46C5">
            <w:pPr>
              <w:jc w:val="left"/>
              <w:rPr>
                <w:rFonts w:ascii="宋体" w:hAnsi="宋体" w:eastAsia="宋体" w:cs="宋体;SimSun"/>
                <w:color w:val="auto"/>
                <w:sz w:val="22"/>
                <w:highlight w:val="none"/>
              </w:rPr>
            </w:pPr>
            <w:r>
              <w:rPr>
                <w:rFonts w:ascii="宋体" w:hAnsi="宋体" w:eastAsia="宋体" w:cs="宋体;SimSun"/>
                <w:color w:val="auto"/>
                <w:sz w:val="22"/>
                <w:highlight w:val="none"/>
              </w:rPr>
              <w:t>1.单硬盘容量：6TB；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2.硬盘接口：SATA；</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3.硬盘转速：5400RPM；</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4.硬盘缓存：256MB</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C061BC0">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30B00B7">
            <w:pPr>
              <w:jc w:val="center"/>
              <w:rPr>
                <w:rFonts w:ascii="宋体" w:hAnsi="宋体" w:eastAsia="宋体" w:cs="宋体;SimSun"/>
                <w:color w:val="auto"/>
                <w:sz w:val="22"/>
                <w:highlight w:val="none"/>
              </w:rPr>
            </w:pPr>
            <w:r>
              <w:rPr>
                <w:rFonts w:ascii="宋体" w:hAnsi="宋体" w:eastAsia="宋体" w:cs="宋体;SimSun"/>
                <w:color w:val="auto"/>
                <w:sz w:val="22"/>
                <w:highlight w:val="none"/>
              </w:rPr>
              <w:t>块</w:t>
            </w:r>
          </w:p>
        </w:tc>
      </w:tr>
      <w:tr w14:paraId="7B947BD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F80FC5D">
            <w:pPr>
              <w:jc w:val="center"/>
              <w:rPr>
                <w:rFonts w:ascii="宋体" w:hAnsi="宋体" w:eastAsia="宋体" w:cs="宋体;SimSun"/>
                <w:color w:val="auto"/>
                <w:sz w:val="22"/>
                <w:highlight w:val="none"/>
              </w:rPr>
            </w:pPr>
            <w:r>
              <w:rPr>
                <w:rFonts w:ascii="宋体" w:hAnsi="宋体" w:eastAsia="宋体" w:cs="宋体;SimSun"/>
                <w:color w:val="auto"/>
                <w:sz w:val="22"/>
                <w:highlight w:val="none"/>
              </w:rPr>
              <w:t>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018CCCD">
            <w:pPr>
              <w:jc w:val="center"/>
              <w:rPr>
                <w:rFonts w:ascii="宋体" w:hAnsi="宋体" w:eastAsia="宋体" w:cs="宋体;SimSun"/>
                <w:color w:val="auto"/>
                <w:sz w:val="22"/>
                <w:highlight w:val="none"/>
              </w:rPr>
            </w:pPr>
            <w:r>
              <w:rPr>
                <w:rFonts w:ascii="宋体" w:hAnsi="宋体" w:eastAsia="宋体" w:cs="宋体;SimSun"/>
                <w:color w:val="auto"/>
                <w:sz w:val="22"/>
                <w:highlight w:val="none"/>
              </w:rPr>
              <w:t>16口PoE型交换机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F31E495">
            <w:pPr>
              <w:jc w:val="left"/>
              <w:rPr>
                <w:rFonts w:ascii="宋体" w:hAnsi="宋体" w:eastAsia="宋体"/>
                <w:color w:val="auto"/>
                <w:highlight w:val="none"/>
              </w:rPr>
            </w:pPr>
            <w:r>
              <w:rPr>
                <w:rFonts w:ascii="宋体" w:hAnsi="宋体" w:eastAsia="宋体"/>
                <w:color w:val="auto"/>
                <w:highlight w:val="none"/>
              </w:rPr>
              <w:t>1.交换容量：≥128Gbps；</w:t>
            </w:r>
            <w:r>
              <w:rPr>
                <w:rFonts w:ascii="宋体" w:hAnsi="宋体" w:eastAsia="宋体"/>
                <w:color w:val="auto"/>
                <w:highlight w:val="none"/>
              </w:rPr>
              <w:br w:type="textWrapping"/>
            </w:r>
            <w:r>
              <w:rPr>
                <w:rFonts w:ascii="宋体" w:hAnsi="宋体" w:eastAsia="宋体"/>
                <w:color w:val="auto"/>
                <w:highlight w:val="none"/>
              </w:rPr>
              <w:t>2.包转发率：≥30Mpps；</w:t>
            </w:r>
            <w:r>
              <w:rPr>
                <w:rFonts w:ascii="宋体" w:hAnsi="宋体" w:eastAsia="宋体"/>
                <w:color w:val="auto"/>
                <w:highlight w:val="none"/>
              </w:rPr>
              <w:br w:type="textWrapping"/>
            </w:r>
            <w:r>
              <w:rPr>
                <w:rFonts w:ascii="宋体" w:hAnsi="宋体" w:eastAsia="宋体"/>
                <w:color w:val="auto"/>
                <w:highlight w:val="none"/>
              </w:rPr>
              <w:t>3.业务端口：具备≥16个10/100BASE-T电口(PoE)、2个10/100/1000BASE-T电口(Combo)、2个1000BASE-X SFP端口；</w:t>
            </w:r>
            <w:r>
              <w:rPr>
                <w:rFonts w:ascii="宋体" w:hAnsi="宋体" w:eastAsia="宋体"/>
                <w:color w:val="auto"/>
                <w:highlight w:val="none"/>
              </w:rPr>
              <w:br w:type="textWrapping"/>
            </w:r>
            <w:r>
              <w:rPr>
                <w:rFonts w:ascii="宋体" w:hAnsi="宋体" w:eastAsia="宋体"/>
                <w:color w:val="auto"/>
                <w:highlight w:val="none"/>
              </w:rPr>
              <w:t>4.VLAN功能：支持；</w:t>
            </w:r>
            <w:r>
              <w:rPr>
                <w:rFonts w:ascii="宋体" w:hAnsi="宋体" w:eastAsia="宋体"/>
                <w:color w:val="auto"/>
                <w:highlight w:val="none"/>
              </w:rPr>
              <w:br w:type="textWrapping"/>
            </w:r>
            <w:r>
              <w:rPr>
                <w:rFonts w:ascii="宋体" w:hAnsi="宋体" w:eastAsia="宋体"/>
                <w:color w:val="auto"/>
                <w:highlight w:val="none"/>
              </w:rPr>
              <w:t>5.设备管理：WEB管理、APP管理；</w:t>
            </w:r>
            <w:r>
              <w:rPr>
                <w:rFonts w:ascii="宋体" w:hAnsi="宋体" w:eastAsia="宋体"/>
                <w:color w:val="auto"/>
                <w:highlight w:val="none"/>
              </w:rPr>
              <w:br w:type="textWrapping"/>
            </w:r>
            <w:r>
              <w:rPr>
                <w:rFonts w:ascii="宋体" w:hAnsi="宋体" w:eastAsia="宋体"/>
                <w:color w:val="auto"/>
                <w:highlight w:val="none"/>
              </w:rPr>
              <w:t>6.PoE：Port 1-2≤90W，Port 3-16≤30W，总功率≤135W；</w:t>
            </w:r>
            <w:r>
              <w:rPr>
                <w:rFonts w:ascii="宋体" w:hAnsi="宋体" w:eastAsia="宋体"/>
                <w:color w:val="auto"/>
                <w:highlight w:val="none"/>
              </w:rPr>
              <w:br w:type="textWrapping"/>
            </w:r>
            <w:r>
              <w:rPr>
                <w:rFonts w:ascii="宋体" w:hAnsi="宋体" w:eastAsia="宋体"/>
                <w:color w:val="auto"/>
                <w:highlight w:val="none"/>
              </w:rPr>
              <w:t>7.散热方式：内置风扇散热；</w:t>
            </w:r>
            <w:r>
              <w:rPr>
                <w:rFonts w:ascii="宋体" w:hAnsi="宋体" w:eastAsia="宋体"/>
                <w:color w:val="auto"/>
                <w:highlight w:val="none"/>
              </w:rPr>
              <w:br w:type="textWrapping"/>
            </w:r>
            <w:r>
              <w:rPr>
                <w:rFonts w:ascii="宋体" w:hAnsi="宋体" w:eastAsia="宋体"/>
                <w:color w:val="auto"/>
                <w:highlight w:val="none"/>
              </w:rPr>
              <w:t>8.安装方式：桌面式、机架式安装；</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BC4D2C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2D0A0EF">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832F386">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283D74A7">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9、融合通信系统</w:t>
            </w:r>
          </w:p>
        </w:tc>
      </w:tr>
      <w:tr w14:paraId="616C70FD">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2E534667">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53517DF">
            <w:pPr>
              <w:jc w:val="center"/>
              <w:rPr>
                <w:rFonts w:ascii="宋体" w:hAnsi="宋体" w:eastAsia="宋体" w:cs="宋体;SimSun"/>
                <w:color w:val="auto"/>
                <w:sz w:val="22"/>
                <w:highlight w:val="none"/>
              </w:rPr>
            </w:pPr>
            <w:r>
              <w:rPr>
                <w:rFonts w:ascii="宋体" w:hAnsi="宋体" w:eastAsia="宋体" w:cs="宋体;SimSun"/>
                <w:color w:val="auto"/>
                <w:sz w:val="22"/>
                <w:highlight w:val="none"/>
              </w:rPr>
              <w:t>融合通信系统平台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B390A96">
            <w:pPr>
              <w:jc w:val="left"/>
              <w:rPr>
                <w:rFonts w:ascii="宋体" w:hAnsi="宋体" w:eastAsia="宋体" w:cs="宋体;SimSun"/>
                <w:color w:val="auto"/>
                <w:sz w:val="22"/>
                <w:highlight w:val="none"/>
              </w:rPr>
            </w:pPr>
            <w:r>
              <w:rPr>
                <w:rFonts w:ascii="宋体" w:hAnsi="宋体" w:eastAsia="宋体" w:cs="宋体;SimSun"/>
                <w:color w:val="auto"/>
                <w:sz w:val="22"/>
                <w:highlight w:val="none"/>
              </w:rPr>
              <w:t>1、采用NGN架构，以IP网络作为承载网络，使用国际标准的SIP协议，具有极好的兼容性和功能可扩展性。</w:t>
            </w:r>
          </w:p>
          <w:p w14:paraId="0B96076F">
            <w:pPr>
              <w:jc w:val="left"/>
              <w:rPr>
                <w:rFonts w:ascii="宋体" w:hAnsi="宋体" w:eastAsia="宋体" w:cs="宋体;SimSun"/>
                <w:color w:val="auto"/>
                <w:sz w:val="22"/>
                <w:highlight w:val="none"/>
              </w:rPr>
            </w:pPr>
            <w:r>
              <w:rPr>
                <w:rFonts w:ascii="宋体" w:hAnsi="宋体" w:eastAsia="宋体" w:cs="宋体;SimSun"/>
                <w:color w:val="auto"/>
                <w:sz w:val="22"/>
                <w:highlight w:val="none"/>
              </w:rPr>
              <w:t>2、支持高清语音编码SILK与G.729、G.711转码。</w:t>
            </w:r>
          </w:p>
          <w:p w14:paraId="06D04BB5">
            <w:pPr>
              <w:jc w:val="left"/>
              <w:rPr>
                <w:rFonts w:ascii="宋体" w:hAnsi="宋体" w:eastAsia="宋体" w:cs="宋体;SimSun"/>
                <w:color w:val="auto"/>
                <w:sz w:val="22"/>
                <w:highlight w:val="none"/>
              </w:rPr>
            </w:pPr>
            <w:r>
              <w:rPr>
                <w:rFonts w:ascii="宋体" w:hAnsi="宋体" w:eastAsia="宋体" w:cs="宋体;SimSun"/>
                <w:color w:val="auto"/>
                <w:sz w:val="22"/>
                <w:highlight w:val="none"/>
              </w:rPr>
              <w:t>3、支持分布式部署集群化部署，系统包括但不限于下述功能：强拆、强插、强接、禁话、广播通知、定时广播、无人值守、代接、转移坐席、桥接坐席、组呼、会议。</w:t>
            </w:r>
          </w:p>
          <w:p w14:paraId="68FAFE21">
            <w:pPr>
              <w:jc w:val="left"/>
              <w:rPr>
                <w:rFonts w:ascii="宋体" w:hAnsi="宋体" w:eastAsia="宋体" w:cs="宋体;SimSun"/>
                <w:color w:val="auto"/>
                <w:sz w:val="22"/>
                <w:highlight w:val="none"/>
              </w:rPr>
            </w:pPr>
            <w:r>
              <w:rPr>
                <w:rFonts w:ascii="宋体" w:hAnsi="宋体" w:eastAsia="宋体" w:cs="宋体;SimSun"/>
                <w:color w:val="auto"/>
                <w:sz w:val="22"/>
                <w:highlight w:val="none"/>
              </w:rPr>
              <w:t>4、系统支持但不限于下述视频编解码：H.261、H.263、H.264、VP8、H.265、MPEG4。</w:t>
            </w:r>
          </w:p>
          <w:p w14:paraId="14C30D12">
            <w:pPr>
              <w:jc w:val="left"/>
              <w:rPr>
                <w:rFonts w:ascii="宋体" w:hAnsi="宋体" w:eastAsia="宋体" w:cs="宋体;SimSun"/>
                <w:color w:val="auto"/>
                <w:sz w:val="22"/>
                <w:highlight w:val="none"/>
              </w:rPr>
            </w:pPr>
            <w:r>
              <w:rPr>
                <w:rFonts w:ascii="宋体" w:hAnsi="宋体" w:eastAsia="宋体" w:cs="宋体;SimSun"/>
                <w:color w:val="auto"/>
                <w:sz w:val="22"/>
                <w:highlight w:val="none"/>
              </w:rPr>
              <w:t>5、参照通信调度的分级调度设计思路，支持分级调度管理，等级越高权限越大，既可以是同一调度系统多调度员，也可以多调度分机多调度员的综合管理，支持≥3级以上。</w:t>
            </w:r>
          </w:p>
          <w:p w14:paraId="16709BD1">
            <w:pPr>
              <w:jc w:val="left"/>
              <w:rPr>
                <w:rFonts w:ascii="宋体" w:hAnsi="宋体" w:eastAsia="宋体" w:cs="宋体;SimSun"/>
                <w:color w:val="auto"/>
                <w:sz w:val="22"/>
                <w:highlight w:val="none"/>
              </w:rPr>
            </w:pPr>
            <w:r>
              <w:rPr>
                <w:rFonts w:ascii="宋体" w:hAnsi="宋体" w:eastAsia="宋体" w:cs="宋体;SimSun"/>
                <w:color w:val="auto"/>
                <w:sz w:val="22"/>
                <w:highlight w:val="none"/>
              </w:rPr>
              <w:t>6、支持B/S调度客户端，基于浏览器的新一代调度系统，基于WEB浏览器调度客户端，无需安装专用的客户端，打开浏览器就可以方便灵活进行指挥调度满足指挥调度需要。</w:t>
            </w:r>
          </w:p>
          <w:p w14:paraId="31CECEF9">
            <w:pPr>
              <w:jc w:val="left"/>
              <w:rPr>
                <w:rFonts w:ascii="宋体" w:hAnsi="宋体" w:eastAsia="宋体" w:cs="宋体;SimSun"/>
                <w:color w:val="auto"/>
                <w:sz w:val="22"/>
                <w:highlight w:val="none"/>
              </w:rPr>
            </w:pPr>
            <w:r>
              <w:rPr>
                <w:rFonts w:ascii="宋体" w:hAnsi="宋体" w:eastAsia="宋体" w:cs="宋体;SimSun"/>
                <w:color w:val="auto"/>
                <w:sz w:val="22"/>
                <w:highlight w:val="none"/>
              </w:rPr>
              <w:t>7、系统支持但不限于非关系型数据库，支持分布式部署，无缝扩容。</w:t>
            </w:r>
          </w:p>
          <w:p w14:paraId="6F009C55">
            <w:pPr>
              <w:jc w:val="left"/>
              <w:rPr>
                <w:rFonts w:ascii="宋体" w:hAnsi="宋体" w:eastAsia="宋体"/>
                <w:color w:val="auto"/>
                <w:highlight w:val="none"/>
              </w:rPr>
            </w:pPr>
            <w:r>
              <w:rPr>
                <w:rFonts w:ascii="宋体" w:hAnsi="宋体" w:eastAsia="宋体" w:cs="宋体;SimSun"/>
                <w:color w:val="auto"/>
                <w:sz w:val="22"/>
                <w:highlight w:val="none"/>
              </w:rPr>
              <w:t>8、具有丰富的接入设备保障和现有系统的无缝结合，以满足各种不同的应用场景。</w:t>
            </w:r>
          </w:p>
          <w:p w14:paraId="77A793CE">
            <w:pPr>
              <w:jc w:val="left"/>
              <w:rPr>
                <w:rFonts w:ascii="宋体" w:hAnsi="宋体" w:eastAsia="宋体" w:cs="宋体;SimSun"/>
                <w:color w:val="auto"/>
                <w:sz w:val="22"/>
                <w:highlight w:val="none"/>
              </w:rPr>
            </w:pPr>
            <w:r>
              <w:rPr>
                <w:rFonts w:ascii="宋体" w:hAnsi="宋体" w:eastAsia="宋体" w:cs="宋体;SimSun"/>
                <w:color w:val="auto"/>
                <w:sz w:val="22"/>
                <w:highlight w:val="none"/>
              </w:rPr>
              <w:t>9、支持多用户管理，可以灵活设置用户的管理权限。</w:t>
            </w:r>
          </w:p>
          <w:p w14:paraId="19F6A68D">
            <w:pPr>
              <w:jc w:val="left"/>
              <w:rPr>
                <w:rFonts w:ascii="宋体" w:hAnsi="宋体" w:eastAsia="宋体" w:cs="宋体;SimSun"/>
                <w:color w:val="auto"/>
                <w:sz w:val="22"/>
                <w:highlight w:val="none"/>
              </w:rPr>
            </w:pPr>
            <w:r>
              <w:rPr>
                <w:rFonts w:ascii="宋体" w:hAnsi="宋体" w:eastAsia="宋体" w:cs="宋体;SimSun"/>
                <w:color w:val="auto"/>
                <w:sz w:val="22"/>
                <w:highlight w:val="none"/>
              </w:rPr>
              <w:t>10、会议调度功能：触发会议、公共会议室等。</w:t>
            </w:r>
          </w:p>
          <w:p w14:paraId="61F6833B">
            <w:pPr>
              <w:jc w:val="left"/>
              <w:rPr>
                <w:rFonts w:ascii="宋体" w:hAnsi="宋体" w:eastAsia="宋体" w:cs="宋体;SimSun"/>
                <w:color w:val="auto"/>
                <w:sz w:val="22"/>
                <w:highlight w:val="none"/>
              </w:rPr>
            </w:pPr>
            <w:r>
              <w:rPr>
                <w:rFonts w:ascii="宋体" w:hAnsi="宋体" w:eastAsia="宋体" w:cs="宋体;SimSun"/>
                <w:color w:val="auto"/>
                <w:sz w:val="22"/>
                <w:highlight w:val="none"/>
              </w:rPr>
              <w:t>11、系统支持但不限于下述功能：可以对APP或者各种SIP终端、市话、手机进行发起群呼。呼叫后可以通过调度电话进行喊话通知。语音库管理：支持上传广播文件。录制语音：设置语音文件名称，输入录制号码，点击开始录音后输入的分机振铃，摘机后可以进行录制语音，录制完的语音可以试听，在广播时候可以选择该语音文件。</w:t>
            </w:r>
          </w:p>
          <w:p w14:paraId="58D92016">
            <w:pPr>
              <w:jc w:val="left"/>
              <w:rPr>
                <w:rFonts w:ascii="宋体" w:hAnsi="宋体" w:eastAsia="宋体" w:cs="宋体;SimSun"/>
                <w:color w:val="auto"/>
                <w:sz w:val="22"/>
                <w:highlight w:val="none"/>
              </w:rPr>
            </w:pPr>
            <w:r>
              <w:rPr>
                <w:rFonts w:ascii="宋体" w:hAnsi="宋体" w:eastAsia="宋体" w:cs="宋体;SimSun"/>
                <w:color w:val="auto"/>
                <w:sz w:val="22"/>
                <w:highlight w:val="none"/>
              </w:rPr>
              <w:t>12、系统支持但不限于下述功能：定时广播，选择播放的分机，选择播放的语音文件，设定播放次数，设定播放时间，可以一次播放也可以设置为周期性播放。广播管理：可以查询广播计划，试听广播语音文件，删除广播计划。</w:t>
            </w:r>
          </w:p>
          <w:p w14:paraId="7B9CD90A">
            <w:pPr>
              <w:jc w:val="left"/>
              <w:rPr>
                <w:rFonts w:ascii="宋体" w:hAnsi="宋体" w:eastAsia="宋体" w:cs="宋体;SimSun"/>
                <w:color w:val="auto"/>
                <w:sz w:val="22"/>
                <w:highlight w:val="none"/>
              </w:rPr>
            </w:pPr>
            <w:r>
              <w:rPr>
                <w:rFonts w:ascii="宋体" w:hAnsi="宋体" w:eastAsia="宋体" w:cs="宋体;SimSun"/>
                <w:color w:val="auto"/>
                <w:sz w:val="22"/>
                <w:highlight w:val="none"/>
              </w:rPr>
              <w:t>13、系统支持但不限于下述功能：召开电话会议：选择会议室后，选择需要入会成员，召开会议。电话会议管理：实时显示会议室成员，可以加入成员和踢出成员。</w:t>
            </w:r>
          </w:p>
          <w:p w14:paraId="41ABA5A0">
            <w:pPr>
              <w:jc w:val="left"/>
              <w:rPr>
                <w:rFonts w:ascii="宋体" w:hAnsi="宋体" w:eastAsia="宋体" w:cs="宋体;SimSun"/>
                <w:color w:val="auto"/>
                <w:sz w:val="22"/>
                <w:highlight w:val="none"/>
              </w:rPr>
            </w:pPr>
            <w:r>
              <w:rPr>
                <w:rFonts w:ascii="宋体" w:hAnsi="宋体" w:eastAsia="宋体" w:cs="宋体;SimSun"/>
                <w:color w:val="auto"/>
                <w:sz w:val="22"/>
                <w:highlight w:val="none"/>
              </w:rPr>
              <w:t>14、系统支持但不限于下述功能：菜单权限设定，级别选择、显示模式、分机ip、电话会议、呼叫记录、广播计划、无人值守、上传语音、语音库；</w:t>
            </w:r>
          </w:p>
          <w:p w14:paraId="19D9605B">
            <w:pPr>
              <w:jc w:val="left"/>
              <w:rPr>
                <w:rFonts w:ascii="宋体" w:hAnsi="宋体" w:eastAsia="宋体"/>
                <w:color w:val="auto"/>
                <w:highlight w:val="none"/>
              </w:rPr>
            </w:pPr>
            <w:r>
              <w:rPr>
                <w:rFonts w:ascii="宋体" w:hAnsi="宋体" w:eastAsia="宋体"/>
                <w:color w:val="auto"/>
                <w:highlight w:val="none"/>
              </w:rPr>
              <w:t>15、系统支持但不限于下述功能：功能权限设定，监听通话、强插通话、强抢通话、强拆通话、禁止或启用、代接来电、扩音广播、广播通知、定时广播、结束广播、加入会议、踢出成员、成员静音、结束会议。</w:t>
            </w:r>
            <w:r>
              <w:rPr>
                <w:rFonts w:ascii="宋体" w:hAnsi="宋体" w:eastAsia="宋体"/>
                <w:color w:val="auto"/>
                <w:highlight w:val="none"/>
              </w:rPr>
              <w:br w:type="textWrapping"/>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75CAA6D">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FF4DA76">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6C3CD866">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42FFA7F">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87E7A40">
            <w:pPr>
              <w:jc w:val="center"/>
              <w:rPr>
                <w:rFonts w:ascii="宋体" w:hAnsi="宋体" w:eastAsia="宋体" w:cs="宋体;SimSun"/>
                <w:color w:val="auto"/>
                <w:sz w:val="22"/>
                <w:highlight w:val="none"/>
              </w:rPr>
            </w:pPr>
            <w:r>
              <w:rPr>
                <w:rFonts w:ascii="宋体" w:hAnsi="宋体" w:eastAsia="宋体" w:cs="宋体;SimSun"/>
                <w:color w:val="auto"/>
                <w:sz w:val="22"/>
                <w:highlight w:val="none"/>
              </w:rPr>
              <w:t>视频会商调度平台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7B6FBE9">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1、系统支持但不限于如下协议：ITU-T H.323、H.320、SIP。</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2、支持VP8与H.264不同视频编解码之间转换。</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3、基于WebRTC技术，可以在浏览器上进行视频调度操作。基于WEB视频控制功能选择成员，分屏控制等。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4、系统支持但不限于如下视频MCU相关业务功能：加入会议、踢出成员、设置分屏模式，锁定会议室等操作。</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5、支持与第三方视频会议系统的接入，可以在视频会商调度中加入现有视频会议。</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6、支持视频监控平台的视频源接入，可以在视频会商调度时调取监控画面，将监控视频加入到视频会商中。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7、支持SIP协议IP视频话机参与应急视频会商。</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8、支持安卓移动视频终端接入视频会商中。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9、支持无人机视频加入视频会商调度中。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10、支持媒体转码，可以将其他格式的视频码流转换成经重新封包的H.264编码，图像更加平滑。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11、系统支持但不限于下述功能：支持在视频会商中加入手机、座机、集群和卫星等多种终端。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 xml:space="preserve">12、支持对视频调度过程进行录制，可以查询和回放。 </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13、提供API二次开发接口，可以被应急平台软件集成应用。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14、系统支持但不限于下述功能：视频转码功能，支持不同码率不同分辨率视频源接入，进行视频处理后进行视频融屏。支持与第三方视频会议系统的接入；支持视频监控平台的视频源接入、支持SIP协议IP视频话机参与应急视频会商、支持安卓移动视频终端接入综合接入调度。</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15、系统支持但不限于下述功能：桌面共享和视频播放，支持多媒体信号（音、视频和计算机桌面）接入视频会商调度系统中，支持在视频调度会商调度中播放视频媒体文件。</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16、 堆叠方式扩容（采用并联的方式）， 级联方式扩容（采用串联的方式） 采用全中文图形化管理界面，简单便捷，具备管理员权限。</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17、将视频流媒体资源可以接入到视频会商调度系统中。</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8F379AD">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B90D198">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7FC9E27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A7CCA20">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F104052">
            <w:pPr>
              <w:jc w:val="center"/>
              <w:rPr>
                <w:rFonts w:ascii="宋体" w:hAnsi="宋体" w:eastAsia="宋体" w:cs="宋体;SimSun"/>
                <w:color w:val="auto"/>
                <w:sz w:val="22"/>
                <w:highlight w:val="none"/>
              </w:rPr>
            </w:pPr>
            <w:r>
              <w:rPr>
                <w:rFonts w:ascii="宋体" w:hAnsi="宋体" w:eastAsia="宋体" w:cs="宋体;SimSun"/>
                <w:color w:val="auto"/>
                <w:sz w:val="22"/>
                <w:highlight w:val="none"/>
              </w:rPr>
              <w:t>智能终端接入管理服务软件</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F620B4D">
            <w:pPr>
              <w:jc w:val="left"/>
              <w:rPr>
                <w:rFonts w:ascii="宋体" w:hAnsi="宋体" w:eastAsia="宋体" w:cs="宋体;SimSun"/>
                <w:color w:val="auto"/>
                <w:sz w:val="22"/>
                <w:highlight w:val="none"/>
              </w:rPr>
            </w:pPr>
            <w:r>
              <w:rPr>
                <w:rFonts w:ascii="宋体" w:hAnsi="宋体" w:eastAsia="宋体" w:cs="宋体;SimSun"/>
                <w:color w:val="auto"/>
                <w:sz w:val="22"/>
                <w:highlight w:val="none"/>
              </w:rPr>
              <w:t>1、需支持手机、智能单兵、穿戴式单兵等智能终端接入管理，最大支持终端用户注册数≥512门；</w:t>
            </w:r>
          </w:p>
          <w:p w14:paraId="47734774">
            <w:pPr>
              <w:jc w:val="left"/>
              <w:rPr>
                <w:rFonts w:ascii="宋体" w:hAnsi="宋体" w:eastAsia="宋体" w:cs="宋体;SimSun"/>
                <w:color w:val="auto"/>
                <w:sz w:val="22"/>
                <w:highlight w:val="none"/>
              </w:rPr>
            </w:pPr>
            <w:r>
              <w:rPr>
                <w:rFonts w:ascii="宋体" w:hAnsi="宋体" w:eastAsia="宋体" w:cs="宋体;SimSun"/>
                <w:color w:val="auto"/>
                <w:sz w:val="22"/>
                <w:highlight w:val="none"/>
              </w:rPr>
              <w:t>2、系统最大支持≥128路并发语音通话，最大支持≥64路D1并发视频通话；</w:t>
            </w:r>
          </w:p>
          <w:p w14:paraId="60A12601">
            <w:pPr>
              <w:jc w:val="left"/>
              <w:rPr>
                <w:rFonts w:ascii="宋体" w:hAnsi="宋体" w:eastAsia="宋体" w:cs="宋体;SimSun"/>
                <w:color w:val="auto"/>
                <w:sz w:val="22"/>
                <w:highlight w:val="none"/>
              </w:rPr>
            </w:pPr>
            <w:r>
              <w:rPr>
                <w:rFonts w:ascii="宋体" w:hAnsi="宋体" w:eastAsia="宋体" w:cs="宋体;SimSun"/>
                <w:color w:val="auto"/>
                <w:sz w:val="22"/>
                <w:highlight w:val="none"/>
              </w:rPr>
              <w:t>3、内置SBC，须具备NAT穿越、拓扑隐藏功能，支持终端在NAT或3G/4G等网络下使用；</w:t>
            </w:r>
          </w:p>
          <w:p w14:paraId="1C2674E2">
            <w:pPr>
              <w:jc w:val="left"/>
              <w:rPr>
                <w:rFonts w:ascii="宋体" w:hAnsi="宋体" w:eastAsia="宋体" w:cs="宋体;SimSun"/>
                <w:color w:val="auto"/>
                <w:sz w:val="22"/>
                <w:highlight w:val="none"/>
              </w:rPr>
            </w:pPr>
            <w:r>
              <w:rPr>
                <w:rFonts w:ascii="宋体" w:hAnsi="宋体" w:eastAsia="宋体" w:cs="宋体;SimSun"/>
                <w:color w:val="auto"/>
                <w:sz w:val="22"/>
                <w:highlight w:val="none"/>
              </w:rPr>
              <w:t>4、内置媒体服务包，支持但不限于媒体流丢包、抖动处理算法、支持码率自适应。</w:t>
            </w:r>
          </w:p>
          <w:p w14:paraId="4EE8BD7F">
            <w:pPr>
              <w:jc w:val="left"/>
              <w:rPr>
                <w:rFonts w:ascii="宋体" w:hAnsi="宋体" w:eastAsia="宋体"/>
                <w:color w:val="auto"/>
                <w:highlight w:val="none"/>
              </w:rPr>
            </w:pPr>
            <w:r>
              <w:rPr>
                <w:rFonts w:ascii="宋体" w:hAnsi="宋体" w:eastAsia="宋体" w:cs="宋体;SimSun"/>
                <w:color w:val="auto"/>
                <w:sz w:val="22"/>
                <w:highlight w:val="none"/>
              </w:rPr>
              <w:t>5、系统支持但不限于下述功能：配合智能手机、智能单兵终端，内置APP，可提供音视频通话、即时消息、音视频会议、终端位置上报等功能。配合穿戴式单兵终端，需可提供音视频通话、过程记录等功能。</w:t>
            </w:r>
          </w:p>
          <w:p w14:paraId="0C2B0847">
            <w:pPr>
              <w:jc w:val="left"/>
              <w:rPr>
                <w:rFonts w:ascii="宋体" w:hAnsi="宋体" w:eastAsia="宋体" w:cs="宋体;SimSun"/>
                <w:color w:val="auto"/>
                <w:sz w:val="22"/>
                <w:highlight w:val="none"/>
              </w:rPr>
            </w:pPr>
            <w:r>
              <w:rPr>
                <w:rFonts w:ascii="宋体" w:hAnsi="宋体" w:eastAsia="宋体" w:cs="宋体;SimSun"/>
                <w:color w:val="auto"/>
                <w:sz w:val="22"/>
                <w:highlight w:val="none"/>
              </w:rPr>
              <w:t>6、系统支持但不限于下述即时通讯相关功能服务：对接入的客户端提供即时通讯服务能力，支持客户端之间文字聊天、发送表情、发送文件、支持群聊功能，在即时通信中可以发起呼叫和群组会议，不同调度客户端之间可以即时聊天也可以通过调度客户端与移动APP之间进行即时聊天。</w:t>
            </w:r>
          </w:p>
          <w:p w14:paraId="0A6A1A56">
            <w:pPr>
              <w:jc w:val="left"/>
              <w:rPr>
                <w:rFonts w:ascii="宋体" w:hAnsi="宋体" w:eastAsia="宋体" w:cs="宋体;SimSun"/>
                <w:color w:val="auto"/>
                <w:sz w:val="22"/>
                <w:highlight w:val="none"/>
              </w:rPr>
            </w:pPr>
            <w:r>
              <w:rPr>
                <w:rFonts w:ascii="宋体" w:hAnsi="宋体" w:eastAsia="宋体" w:cs="宋体;SimSun"/>
                <w:color w:val="auto"/>
                <w:sz w:val="22"/>
                <w:highlight w:val="none"/>
              </w:rPr>
              <w:t>7、系统支持但不限于下述即时通讯相关功能服务：图片压缩服务，对即时聊天中发送的图片和视频自动压缩，转换。</w:t>
            </w:r>
          </w:p>
          <w:p w14:paraId="31E86A21">
            <w:pPr>
              <w:jc w:val="left"/>
              <w:rPr>
                <w:rFonts w:ascii="宋体" w:hAnsi="宋体" w:eastAsia="宋体" w:cs="宋体;SimSun"/>
                <w:color w:val="auto"/>
                <w:sz w:val="22"/>
                <w:highlight w:val="none"/>
              </w:rPr>
            </w:pPr>
            <w:r>
              <w:rPr>
                <w:rFonts w:ascii="宋体" w:hAnsi="宋体" w:eastAsia="宋体" w:cs="宋体;SimSun"/>
                <w:color w:val="auto"/>
                <w:sz w:val="22"/>
                <w:highlight w:val="none"/>
              </w:rPr>
              <w:t>表情服务，在即时聊天中可以发送表情。</w:t>
            </w:r>
          </w:p>
          <w:p w14:paraId="2189E8F9">
            <w:pPr>
              <w:jc w:val="left"/>
              <w:rPr>
                <w:rFonts w:ascii="宋体" w:hAnsi="宋体" w:eastAsia="宋体" w:cs="宋体;SimSun"/>
                <w:color w:val="auto"/>
                <w:sz w:val="22"/>
                <w:highlight w:val="none"/>
              </w:rPr>
            </w:pPr>
            <w:r>
              <w:rPr>
                <w:rFonts w:ascii="宋体" w:hAnsi="宋体" w:eastAsia="宋体" w:cs="宋体;SimSun"/>
                <w:color w:val="auto"/>
                <w:sz w:val="22"/>
                <w:highlight w:val="none"/>
              </w:rPr>
              <w:t>8、系统支持但不限于下述即时通讯相关功能服务：文件传输服务，提供不同即时通讯客户端之间的文件传输服务支撑。</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DC72A0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7584494">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62C8F7D9">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C955BD1">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4F781B3">
            <w:pPr>
              <w:jc w:val="center"/>
              <w:rPr>
                <w:rFonts w:ascii="宋体" w:hAnsi="宋体" w:eastAsia="宋体" w:cs="宋体;SimSun"/>
                <w:color w:val="auto"/>
                <w:sz w:val="22"/>
                <w:highlight w:val="none"/>
              </w:rPr>
            </w:pPr>
            <w:r>
              <w:rPr>
                <w:rFonts w:ascii="宋体" w:hAnsi="宋体" w:eastAsia="宋体" w:cs="宋体;SimSun"/>
                <w:color w:val="auto"/>
                <w:sz w:val="22"/>
                <w:highlight w:val="none"/>
              </w:rPr>
              <w:t>中继网关</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2A37E93">
            <w:pPr>
              <w:jc w:val="left"/>
              <w:rPr>
                <w:rFonts w:ascii="宋体" w:hAnsi="宋体" w:eastAsia="宋体" w:cs="宋体;SimSun"/>
                <w:color w:val="auto"/>
                <w:sz w:val="22"/>
                <w:highlight w:val="none"/>
              </w:rPr>
            </w:pPr>
            <w:r>
              <w:rPr>
                <w:rFonts w:ascii="宋体" w:hAnsi="宋体" w:eastAsia="宋体" w:cs="宋体;SimSun"/>
                <w:color w:val="auto"/>
                <w:sz w:val="22"/>
                <w:highlight w:val="none"/>
              </w:rPr>
              <w:t>1、采用嵌入式操作系统，≥8FXS+≥8FXO。</w:t>
            </w:r>
          </w:p>
          <w:p w14:paraId="0ABB3713">
            <w:pPr>
              <w:jc w:val="left"/>
              <w:rPr>
                <w:rFonts w:ascii="宋体" w:hAnsi="宋体" w:eastAsia="宋体" w:cs="宋体;SimSun"/>
                <w:color w:val="auto"/>
                <w:sz w:val="22"/>
                <w:highlight w:val="none"/>
              </w:rPr>
            </w:pPr>
            <w:r>
              <w:rPr>
                <w:rFonts w:ascii="宋体" w:hAnsi="宋体" w:eastAsia="宋体" w:cs="宋体;SimSun"/>
                <w:color w:val="auto"/>
                <w:sz w:val="22"/>
                <w:highlight w:val="none"/>
              </w:rPr>
              <w:t>2、系统支持但不限于下述编解码功能：支持G.711、G.729、G.723，G.726，iLBC， AMR等编码，回声消除。</w:t>
            </w:r>
          </w:p>
          <w:p w14:paraId="154B57B6">
            <w:pPr>
              <w:jc w:val="left"/>
              <w:rPr>
                <w:rFonts w:ascii="宋体" w:hAnsi="宋体" w:eastAsia="宋体" w:cs="宋体;SimSun"/>
                <w:color w:val="auto"/>
                <w:sz w:val="22"/>
                <w:highlight w:val="none"/>
              </w:rPr>
            </w:pPr>
            <w:r>
              <w:rPr>
                <w:rFonts w:ascii="宋体" w:hAnsi="宋体" w:eastAsia="宋体" w:cs="宋体;SimSun"/>
                <w:color w:val="auto"/>
                <w:sz w:val="22"/>
                <w:highlight w:val="none"/>
              </w:rPr>
              <w:t>3、支持SIP TLS和SRTP加密功能。</w:t>
            </w:r>
          </w:p>
          <w:p w14:paraId="703BCC61">
            <w:pPr>
              <w:jc w:val="left"/>
              <w:rPr>
                <w:rFonts w:ascii="宋体" w:hAnsi="宋体" w:eastAsia="宋体" w:cs="宋体;SimSun"/>
                <w:color w:val="auto"/>
                <w:sz w:val="22"/>
                <w:highlight w:val="none"/>
              </w:rPr>
            </w:pPr>
            <w:r>
              <w:rPr>
                <w:rFonts w:ascii="宋体" w:hAnsi="宋体" w:eastAsia="宋体" w:cs="宋体;SimSun"/>
                <w:color w:val="auto"/>
                <w:sz w:val="22"/>
                <w:highlight w:val="none"/>
              </w:rPr>
              <w:t>4、支持来电显示。</w:t>
            </w:r>
          </w:p>
          <w:p w14:paraId="53DE6B1F">
            <w:pPr>
              <w:jc w:val="left"/>
              <w:rPr>
                <w:rFonts w:ascii="宋体" w:hAnsi="宋体" w:eastAsia="宋体" w:cs="宋体;SimSun"/>
                <w:color w:val="auto"/>
                <w:sz w:val="22"/>
                <w:highlight w:val="none"/>
              </w:rPr>
            </w:pPr>
            <w:r>
              <w:rPr>
                <w:rFonts w:ascii="宋体" w:hAnsi="宋体" w:eastAsia="宋体" w:cs="宋体;SimSun"/>
                <w:color w:val="auto"/>
                <w:sz w:val="22"/>
                <w:highlight w:val="none"/>
              </w:rPr>
              <w:t>5、灵活的拨号规则和操作，用户可以根据不同地区定制拨号的规则。</w:t>
            </w:r>
          </w:p>
          <w:p w14:paraId="628160A3">
            <w:pPr>
              <w:jc w:val="left"/>
              <w:rPr>
                <w:rFonts w:ascii="宋体" w:hAnsi="宋体" w:eastAsia="宋体"/>
                <w:color w:val="auto"/>
                <w:highlight w:val="none"/>
              </w:rPr>
            </w:pPr>
            <w:r>
              <w:rPr>
                <w:rFonts w:ascii="宋体" w:hAnsi="宋体" w:eastAsia="宋体" w:cs="宋体;SimSun"/>
                <w:color w:val="auto"/>
                <w:sz w:val="22"/>
                <w:highlight w:val="none"/>
              </w:rPr>
              <w:t>6、灵活路由方式 PSTN-PSTN, PSTN-IP, IP-IP, IP-PSTN。</w:t>
            </w:r>
          </w:p>
          <w:p w14:paraId="5C3DC4D9">
            <w:pPr>
              <w:jc w:val="left"/>
              <w:rPr>
                <w:rFonts w:ascii="宋体" w:hAnsi="宋体" w:eastAsia="宋体" w:cs="宋体;SimSun"/>
                <w:color w:val="auto"/>
                <w:sz w:val="22"/>
                <w:highlight w:val="none"/>
              </w:rPr>
            </w:pPr>
            <w:r>
              <w:rPr>
                <w:rFonts w:ascii="宋体" w:hAnsi="宋体" w:eastAsia="宋体" w:cs="宋体;SimSun"/>
                <w:color w:val="auto"/>
                <w:sz w:val="22"/>
                <w:highlight w:val="none"/>
              </w:rPr>
              <w:t>7、冗余路由备份/选择。</w:t>
            </w:r>
          </w:p>
          <w:p w14:paraId="648B6056">
            <w:pPr>
              <w:jc w:val="left"/>
              <w:rPr>
                <w:rFonts w:ascii="宋体" w:hAnsi="宋体" w:eastAsia="宋体" w:cs="宋体;SimSun"/>
                <w:color w:val="auto"/>
                <w:sz w:val="22"/>
                <w:highlight w:val="none"/>
              </w:rPr>
            </w:pPr>
            <w:r>
              <w:rPr>
                <w:rFonts w:ascii="宋体" w:hAnsi="宋体" w:eastAsia="宋体" w:cs="宋体;SimSun"/>
                <w:color w:val="auto"/>
                <w:sz w:val="22"/>
                <w:highlight w:val="none"/>
              </w:rPr>
              <w:t>8、支持T.30、T.38协议实现IP网络上的传输传真业务。</w:t>
            </w:r>
          </w:p>
          <w:p w14:paraId="7754B238">
            <w:pPr>
              <w:jc w:val="left"/>
              <w:rPr>
                <w:rFonts w:ascii="宋体" w:hAnsi="宋体" w:eastAsia="宋体" w:cs="宋体;SimSun"/>
                <w:color w:val="auto"/>
                <w:sz w:val="22"/>
                <w:highlight w:val="none"/>
              </w:rPr>
            </w:pPr>
            <w:r>
              <w:rPr>
                <w:rFonts w:ascii="宋体" w:hAnsi="宋体" w:eastAsia="宋体" w:cs="宋体;SimSun"/>
                <w:color w:val="auto"/>
                <w:sz w:val="22"/>
                <w:highlight w:val="none"/>
              </w:rPr>
              <w:t>9、系统支持但不限于下述功能：信令、媒体、传真加密，防止干扰、窃听。</w:t>
            </w:r>
          </w:p>
          <w:p w14:paraId="6D08D31E">
            <w:pPr>
              <w:jc w:val="left"/>
              <w:rPr>
                <w:rFonts w:ascii="宋体" w:hAnsi="宋体" w:eastAsia="宋体" w:cs="宋体;SimSun"/>
                <w:color w:val="auto"/>
                <w:sz w:val="22"/>
                <w:highlight w:val="none"/>
              </w:rPr>
            </w:pPr>
            <w:r>
              <w:rPr>
                <w:rFonts w:ascii="宋体" w:hAnsi="宋体" w:eastAsia="宋体" w:cs="宋体;SimSun"/>
                <w:color w:val="auto"/>
                <w:sz w:val="22"/>
                <w:highlight w:val="none"/>
              </w:rPr>
              <w:t>10、支持RTP/RTCP协议，实现实时语音包封装和语音播放。</w:t>
            </w:r>
          </w:p>
          <w:p w14:paraId="15E0EF11">
            <w:pPr>
              <w:jc w:val="left"/>
              <w:rPr>
                <w:rFonts w:ascii="宋体" w:hAnsi="宋体" w:eastAsia="宋体" w:cs="宋体;SimSun"/>
                <w:color w:val="auto"/>
                <w:sz w:val="22"/>
                <w:highlight w:val="none"/>
              </w:rPr>
            </w:pPr>
            <w:r>
              <w:rPr>
                <w:rFonts w:ascii="宋体" w:hAnsi="宋体" w:eastAsia="宋体" w:cs="宋体;SimSun"/>
                <w:color w:val="auto"/>
                <w:sz w:val="22"/>
                <w:highlight w:val="none"/>
              </w:rPr>
              <w:t>11、支持RFC2833协议，实现DTMF信号在IP网络的传输。</w:t>
            </w:r>
          </w:p>
          <w:p w14:paraId="44B300A3">
            <w:pPr>
              <w:jc w:val="left"/>
              <w:rPr>
                <w:rFonts w:ascii="宋体" w:hAnsi="宋体" w:eastAsia="宋体" w:cs="宋体;SimSun"/>
                <w:color w:val="auto"/>
                <w:sz w:val="22"/>
                <w:highlight w:val="none"/>
              </w:rPr>
            </w:pPr>
            <w:r>
              <w:rPr>
                <w:rFonts w:ascii="宋体" w:hAnsi="宋体" w:eastAsia="宋体" w:cs="宋体;SimSun"/>
                <w:color w:val="auto"/>
                <w:sz w:val="22"/>
                <w:highlight w:val="none"/>
              </w:rPr>
              <w:t>12、支持本地、远程WEB页面管理。</w:t>
            </w:r>
          </w:p>
          <w:p w14:paraId="7133E66C">
            <w:pPr>
              <w:jc w:val="left"/>
              <w:rPr>
                <w:rFonts w:ascii="宋体" w:hAnsi="宋体" w:eastAsia="宋体" w:cs="宋体;SimSun"/>
                <w:color w:val="auto"/>
                <w:sz w:val="22"/>
                <w:highlight w:val="none"/>
              </w:rPr>
            </w:pPr>
            <w:r>
              <w:rPr>
                <w:rFonts w:ascii="宋体" w:hAnsi="宋体" w:eastAsia="宋体" w:cs="宋体;SimSun"/>
                <w:color w:val="auto"/>
                <w:sz w:val="22"/>
                <w:highlight w:val="none"/>
              </w:rPr>
              <w:t>13、支持本地、远程Telnet命令行管理。</w:t>
            </w:r>
          </w:p>
          <w:p w14:paraId="117E02C3">
            <w:pPr>
              <w:jc w:val="left"/>
              <w:rPr>
                <w:rFonts w:ascii="宋体" w:hAnsi="宋体" w:eastAsia="宋体" w:cs="宋体;SimSun"/>
                <w:color w:val="auto"/>
                <w:sz w:val="22"/>
                <w:highlight w:val="none"/>
              </w:rPr>
            </w:pPr>
            <w:r>
              <w:rPr>
                <w:rFonts w:ascii="宋体" w:hAnsi="宋体" w:eastAsia="宋体" w:cs="宋体;SimSun"/>
                <w:color w:val="auto"/>
                <w:sz w:val="22"/>
                <w:highlight w:val="none"/>
              </w:rPr>
              <w:t>14、支持语音活动检测(VAD)、舒适噪音生成(CNG)、回声消除（Echo Cancellation）。</w:t>
            </w:r>
          </w:p>
          <w:p w14:paraId="3B6A91AC">
            <w:pPr>
              <w:jc w:val="left"/>
              <w:rPr>
                <w:rFonts w:ascii="宋体" w:hAnsi="宋体" w:eastAsia="宋体" w:cs="宋体;SimSun"/>
                <w:color w:val="auto"/>
                <w:sz w:val="22"/>
                <w:highlight w:val="none"/>
              </w:rPr>
            </w:pPr>
            <w:r>
              <w:rPr>
                <w:rFonts w:ascii="宋体" w:hAnsi="宋体" w:eastAsia="宋体" w:cs="宋体;SimSun"/>
                <w:color w:val="auto"/>
                <w:sz w:val="22"/>
                <w:highlight w:val="none"/>
              </w:rPr>
              <w:t>15、支持双音多频信号（DTMF）生成/检测、主叫号码（Caller ID）生成检测功能。</w:t>
            </w:r>
          </w:p>
          <w:p w14:paraId="095DE098">
            <w:pPr>
              <w:jc w:val="left"/>
              <w:rPr>
                <w:rFonts w:ascii="宋体" w:hAnsi="宋体" w:eastAsia="宋体" w:cs="宋体;SimSun"/>
                <w:color w:val="auto"/>
                <w:sz w:val="22"/>
                <w:highlight w:val="none"/>
              </w:rPr>
            </w:pPr>
            <w:r>
              <w:rPr>
                <w:rFonts w:ascii="宋体" w:hAnsi="宋体" w:eastAsia="宋体" w:cs="宋体;SimSun"/>
                <w:color w:val="auto"/>
                <w:sz w:val="22"/>
                <w:highlight w:val="none"/>
              </w:rPr>
              <w:t>16、支持灵活的输入/输出增益控制。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BFCB915">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34A2645">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06D35C2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068EA9D">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B988E47">
            <w:pPr>
              <w:jc w:val="center"/>
              <w:rPr>
                <w:rFonts w:ascii="宋体" w:hAnsi="宋体" w:eastAsia="宋体" w:cs="宋体;SimSun"/>
                <w:color w:val="auto"/>
                <w:sz w:val="22"/>
                <w:highlight w:val="none"/>
              </w:rPr>
            </w:pPr>
            <w:r>
              <w:rPr>
                <w:rFonts w:ascii="宋体" w:hAnsi="宋体" w:eastAsia="宋体" w:cs="宋体;SimSun"/>
                <w:color w:val="auto"/>
                <w:sz w:val="22"/>
                <w:highlight w:val="none"/>
              </w:rPr>
              <w:t>音频接入网关</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2DEE98EB">
            <w:pPr>
              <w:jc w:val="left"/>
              <w:rPr>
                <w:rFonts w:ascii="宋体" w:hAnsi="宋体" w:eastAsia="宋体"/>
                <w:color w:val="auto"/>
                <w:highlight w:val="none"/>
              </w:rPr>
            </w:pPr>
            <w:r>
              <w:rPr>
                <w:rFonts w:ascii="宋体" w:hAnsi="宋体" w:eastAsia="宋体" w:cs="宋体;SimSun"/>
                <w:color w:val="auto"/>
                <w:sz w:val="22"/>
                <w:highlight w:val="none"/>
              </w:rPr>
              <w:t>1.标准1U机架设备。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2.配备不少于4路音频接口，单台设备配备：不少于两路莲花输入（左右声道）、不少于两路莲花输出（左右声道）；不少于两路6.35输入、不少于2路6.35输出；不少于两路卡农头输入、不少于两路卡农头输出。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3.多个设备堆叠使用时互不干扰；</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4、有效解决融合通信声音接入数字音频调音台的阻抗匹配问题。；</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6C8DB62">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14EE7F7">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9E9B536">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DF9E16D">
            <w:pPr>
              <w:jc w:val="center"/>
              <w:rPr>
                <w:rFonts w:ascii="宋体" w:hAnsi="宋体" w:eastAsia="宋体" w:cs="宋体;SimSun"/>
                <w:color w:val="auto"/>
                <w:sz w:val="22"/>
                <w:highlight w:val="none"/>
              </w:rPr>
            </w:pPr>
            <w:r>
              <w:rPr>
                <w:rFonts w:ascii="宋体" w:hAnsi="宋体" w:eastAsia="宋体" w:cs="宋体;SimSun"/>
                <w:color w:val="auto"/>
                <w:sz w:val="22"/>
                <w:highlight w:val="none"/>
              </w:rPr>
              <w:t>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200A817">
            <w:pPr>
              <w:jc w:val="center"/>
              <w:rPr>
                <w:rFonts w:ascii="宋体" w:hAnsi="宋体" w:eastAsia="宋体" w:cs="宋体;SimSun"/>
                <w:color w:val="auto"/>
                <w:sz w:val="22"/>
                <w:highlight w:val="none"/>
              </w:rPr>
            </w:pPr>
            <w:r>
              <w:rPr>
                <w:rFonts w:ascii="宋体" w:hAnsi="宋体" w:eastAsia="宋体" w:cs="宋体;SimSun"/>
                <w:color w:val="auto"/>
                <w:sz w:val="22"/>
                <w:highlight w:val="none"/>
              </w:rPr>
              <w:t>无线接入网关</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1A13E0B">
            <w:pPr>
              <w:jc w:val="left"/>
              <w:rPr>
                <w:rFonts w:ascii="宋体" w:hAnsi="宋体" w:eastAsia="宋体" w:cs="宋体;SimSun"/>
                <w:color w:val="auto"/>
                <w:sz w:val="22"/>
                <w:highlight w:val="none"/>
              </w:rPr>
            </w:pPr>
            <w:r>
              <w:rPr>
                <w:rFonts w:ascii="宋体" w:hAnsi="宋体" w:eastAsia="宋体" w:cs="宋体;SimSun"/>
                <w:color w:val="auto"/>
                <w:sz w:val="22"/>
                <w:highlight w:val="none"/>
              </w:rPr>
              <w:t>1、标准1U设备。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2、可提供标准反极信号，提供DTMF格式的来电显示。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3、可设置允许或禁止来电。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4、可作为PBX入中继。</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5、对本地固话、国内长途、国际长途可分别加拨预设的本地区号、国内IP接入号、国际IP接入号。</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6、可以设置在拨出号码前加特别号码。</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单台设备支持插入≥8张4G卡，并且在每一张SIM卡在机箱上都有对应的一组无线信号强弱指示灯（共计≥8组），在机箱上每一张SIM卡旁边都有对应的开关按钮物理按键（共计≥8个），在机箱上每一张SIM卡旁边都有对应的电源指示灯（共计≥8个）、在机箱上每一张SIM卡旁边都有对应的状态指示灯（共计≥8个）。同时提供≥16个RJ11电话接口，每一路SIM卡无线线路对应≥2个RJ11有线接口。</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7011354">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BFE5957">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3749C9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52E9E602">
            <w:pPr>
              <w:jc w:val="center"/>
              <w:rPr>
                <w:rFonts w:ascii="宋体" w:hAnsi="宋体" w:eastAsia="宋体" w:cs="宋体;SimSun"/>
                <w:color w:val="auto"/>
                <w:sz w:val="22"/>
                <w:highlight w:val="none"/>
              </w:rPr>
            </w:pPr>
            <w:r>
              <w:rPr>
                <w:rFonts w:ascii="宋体" w:hAnsi="宋体" w:eastAsia="宋体" w:cs="宋体;SimSun"/>
                <w:color w:val="auto"/>
                <w:sz w:val="22"/>
                <w:highlight w:val="none"/>
              </w:rPr>
              <w:t>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B6A0419">
            <w:pPr>
              <w:jc w:val="center"/>
              <w:rPr>
                <w:rFonts w:ascii="宋体" w:hAnsi="宋体" w:eastAsia="宋体" w:cs="宋体;SimSun"/>
                <w:color w:val="auto"/>
                <w:sz w:val="22"/>
                <w:highlight w:val="none"/>
              </w:rPr>
            </w:pPr>
            <w:r>
              <w:rPr>
                <w:rFonts w:ascii="宋体" w:hAnsi="宋体" w:eastAsia="宋体" w:cs="宋体;SimSun"/>
                <w:color w:val="auto"/>
                <w:sz w:val="22"/>
                <w:highlight w:val="none"/>
              </w:rPr>
              <w:t>集群网关</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46FE638">
            <w:pPr>
              <w:jc w:val="left"/>
              <w:rPr>
                <w:rFonts w:ascii="宋体" w:hAnsi="宋体" w:eastAsia="宋体" w:cs="宋体;SimSun"/>
                <w:color w:val="auto"/>
                <w:sz w:val="22"/>
                <w:highlight w:val="none"/>
              </w:rPr>
            </w:pPr>
            <w:r>
              <w:rPr>
                <w:rFonts w:ascii="宋体" w:hAnsi="宋体" w:eastAsia="宋体" w:cs="宋体;SimSun"/>
                <w:color w:val="auto"/>
                <w:sz w:val="22"/>
                <w:highlight w:val="none"/>
              </w:rPr>
              <w:t>集群网关是将传统制式的对讲集群系统融合进入智慧融合调度系统，实现基于IP的调度终端与传统对讲机之间的双向语音通信功能，打通集群对讲信息孤岛，实现指挥中心与现场人员的双向语音通信功能。</w:t>
            </w:r>
          </w:p>
          <w:p w14:paraId="2BB3F35E">
            <w:pPr>
              <w:jc w:val="left"/>
              <w:rPr>
                <w:rFonts w:ascii="宋体" w:hAnsi="宋体" w:eastAsia="宋体" w:cs="宋体;SimSun"/>
                <w:color w:val="auto"/>
                <w:sz w:val="22"/>
                <w:highlight w:val="none"/>
              </w:rPr>
            </w:pPr>
            <w:r>
              <w:rPr>
                <w:rFonts w:ascii="宋体" w:hAnsi="宋体" w:eastAsia="宋体" w:cs="宋体;SimSun"/>
                <w:color w:val="auto"/>
                <w:sz w:val="22"/>
                <w:highlight w:val="none"/>
              </w:rPr>
              <w:t>1、可接入集群对讲系统，通过SIP协议实现其与调度系统的连接。</w:t>
            </w:r>
          </w:p>
          <w:p w14:paraId="5909C5E3">
            <w:pPr>
              <w:jc w:val="left"/>
              <w:rPr>
                <w:rFonts w:ascii="宋体" w:hAnsi="宋体" w:eastAsia="宋体" w:cs="宋体;SimSun"/>
                <w:color w:val="auto"/>
                <w:sz w:val="22"/>
                <w:highlight w:val="none"/>
              </w:rPr>
            </w:pPr>
            <w:r>
              <w:rPr>
                <w:rFonts w:ascii="宋体" w:hAnsi="宋体" w:eastAsia="宋体" w:cs="宋体;SimSun"/>
                <w:color w:val="auto"/>
                <w:sz w:val="22"/>
                <w:highlight w:val="none"/>
              </w:rPr>
              <w:t>2、支持WEB网络配置各无线参数及SIP线路参数。</w:t>
            </w:r>
          </w:p>
          <w:p w14:paraId="17416BA0">
            <w:pPr>
              <w:jc w:val="left"/>
              <w:rPr>
                <w:rFonts w:ascii="宋体" w:hAnsi="宋体" w:eastAsia="宋体"/>
                <w:color w:val="auto"/>
                <w:highlight w:val="none"/>
              </w:rPr>
            </w:pPr>
            <w:r>
              <w:rPr>
                <w:rFonts w:ascii="宋体" w:hAnsi="宋体" w:eastAsia="宋体" w:cs="宋体;SimSun"/>
                <w:color w:val="auto"/>
                <w:sz w:val="22"/>
                <w:highlight w:val="none"/>
              </w:rPr>
              <w:t>3、支持SIP标准协议及多种扩展字段。</w:t>
            </w:r>
          </w:p>
          <w:p w14:paraId="017BF751">
            <w:pPr>
              <w:jc w:val="left"/>
              <w:rPr>
                <w:rFonts w:ascii="宋体" w:hAnsi="宋体" w:eastAsia="宋体" w:cs="宋体;SimSun"/>
                <w:color w:val="auto"/>
                <w:sz w:val="22"/>
                <w:highlight w:val="none"/>
              </w:rPr>
            </w:pPr>
            <w:r>
              <w:rPr>
                <w:rFonts w:ascii="宋体" w:hAnsi="宋体" w:eastAsia="宋体" w:cs="宋体;SimSun"/>
                <w:color w:val="auto"/>
                <w:sz w:val="22"/>
                <w:highlight w:val="none"/>
              </w:rPr>
              <w:t>4、默认自动接听通话 (自动应答)，支持快速拨号。</w:t>
            </w:r>
          </w:p>
          <w:p w14:paraId="2B9CBD9E">
            <w:pPr>
              <w:jc w:val="left"/>
              <w:rPr>
                <w:rFonts w:ascii="宋体" w:hAnsi="宋体" w:eastAsia="宋体" w:cs="宋体;SimSun"/>
                <w:color w:val="auto"/>
                <w:sz w:val="22"/>
                <w:highlight w:val="none"/>
              </w:rPr>
            </w:pPr>
            <w:r>
              <w:rPr>
                <w:rFonts w:ascii="宋体" w:hAnsi="宋体" w:eastAsia="宋体" w:cs="宋体;SimSun"/>
                <w:color w:val="auto"/>
                <w:sz w:val="22"/>
                <w:highlight w:val="none"/>
              </w:rPr>
              <w:t>5、配置导出/导入，支持软件升级，具有系统工作日志。</w:t>
            </w:r>
          </w:p>
          <w:p w14:paraId="353E5D4F">
            <w:pPr>
              <w:jc w:val="left"/>
              <w:rPr>
                <w:rFonts w:ascii="宋体" w:hAnsi="宋体" w:eastAsia="宋体" w:cs="宋体;SimSun"/>
                <w:color w:val="auto"/>
                <w:sz w:val="22"/>
                <w:highlight w:val="none"/>
              </w:rPr>
            </w:pPr>
            <w:r>
              <w:rPr>
                <w:rFonts w:ascii="宋体" w:hAnsi="宋体" w:eastAsia="宋体" w:cs="宋体;SimSun"/>
                <w:color w:val="auto"/>
                <w:sz w:val="22"/>
                <w:highlight w:val="none"/>
              </w:rPr>
              <w:t>6、标准1U设备、220V供电，具有≥1个USB 2.0接口和≥1个TF卡槽，用于数据存储或离线升级，机箱面板具有指示灯≥3个分别为(电源指示灯、SIP 通话状态、对讲机通话状态)，机箱上带有SMA接头可以连接延长天线。</w:t>
            </w:r>
          </w:p>
          <w:p w14:paraId="6E68FD37">
            <w:pPr>
              <w:jc w:val="left"/>
              <w:rPr>
                <w:rFonts w:ascii="宋体" w:hAnsi="宋体" w:eastAsia="宋体" w:cs="宋体;SimSun"/>
                <w:color w:val="auto"/>
                <w:sz w:val="22"/>
                <w:highlight w:val="none"/>
              </w:rPr>
            </w:pPr>
            <w:r>
              <w:rPr>
                <w:rFonts w:ascii="宋体" w:hAnsi="宋体" w:eastAsia="宋体" w:cs="宋体;SimSun"/>
                <w:color w:val="auto"/>
                <w:sz w:val="22"/>
                <w:highlight w:val="none"/>
              </w:rPr>
              <w:t>7.语音编码：支持ALAW、ULAW 、G.729 、G.723；最大功耗≤10W；热线号码可设定；支持信令端口设置；RTP端口范围可设定；RTP包长度可设定：PTTIN低电位有效值：≤0.7V，PTTOUT高电位输出：≧5V。</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0242EE33">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C627AF0">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28F29FA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212F2CE">
            <w:pPr>
              <w:jc w:val="center"/>
              <w:rPr>
                <w:rFonts w:ascii="宋体" w:hAnsi="宋体" w:eastAsia="宋体" w:cs="宋体;SimSun"/>
                <w:color w:val="auto"/>
                <w:sz w:val="22"/>
                <w:highlight w:val="none"/>
              </w:rPr>
            </w:pPr>
            <w:r>
              <w:rPr>
                <w:rFonts w:ascii="宋体" w:hAnsi="宋体" w:eastAsia="宋体" w:cs="宋体;SimSun"/>
                <w:color w:val="auto"/>
                <w:sz w:val="22"/>
                <w:highlight w:val="none"/>
              </w:rPr>
              <w:t>8</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7F9F1CE">
            <w:pPr>
              <w:jc w:val="center"/>
              <w:rPr>
                <w:rFonts w:ascii="宋体" w:hAnsi="宋体" w:eastAsia="宋体" w:cs="宋体;SimSun"/>
                <w:color w:val="auto"/>
                <w:sz w:val="22"/>
                <w:highlight w:val="none"/>
              </w:rPr>
            </w:pPr>
            <w:r>
              <w:rPr>
                <w:rFonts w:ascii="宋体" w:hAnsi="宋体" w:eastAsia="宋体" w:cs="宋体;SimSun"/>
                <w:color w:val="auto"/>
                <w:sz w:val="22"/>
                <w:highlight w:val="none"/>
              </w:rPr>
              <w:t>车载台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B26AB52">
            <w:pPr>
              <w:jc w:val="left"/>
              <w:rPr>
                <w:rFonts w:ascii="宋体" w:hAnsi="宋体" w:eastAsia="宋体" w:cs="宋体;SimSun"/>
                <w:color w:val="auto"/>
                <w:sz w:val="22"/>
                <w:highlight w:val="none"/>
              </w:rPr>
            </w:pPr>
            <w:r>
              <w:rPr>
                <w:rFonts w:ascii="宋体" w:hAnsi="宋体" w:eastAsia="宋体" w:cs="宋体;SimSun"/>
                <w:color w:val="auto"/>
                <w:sz w:val="22"/>
                <w:highlight w:val="none"/>
              </w:rPr>
              <w:t>1.具备PDT数字集群与常规、DMR集群与常规、模拟常规等工作模式；</w:t>
            </w:r>
          </w:p>
          <w:p w14:paraId="448BE494">
            <w:pPr>
              <w:jc w:val="left"/>
              <w:rPr>
                <w:rFonts w:ascii="宋体" w:hAnsi="宋体" w:eastAsia="宋体" w:cs="宋体;SimSun"/>
                <w:color w:val="auto"/>
                <w:sz w:val="22"/>
                <w:highlight w:val="none"/>
              </w:rPr>
            </w:pPr>
            <w:r>
              <w:rPr>
                <w:rFonts w:ascii="宋体" w:hAnsi="宋体" w:eastAsia="宋体" w:cs="宋体;SimSun"/>
                <w:color w:val="auto"/>
                <w:sz w:val="22"/>
                <w:highlight w:val="none"/>
              </w:rPr>
              <w:t>2.频率范围： UHF:440-470MHz；</w:t>
            </w:r>
          </w:p>
          <w:p w14:paraId="611E8453">
            <w:pPr>
              <w:jc w:val="left"/>
              <w:rPr>
                <w:rFonts w:ascii="宋体" w:hAnsi="宋体" w:eastAsia="宋体" w:cs="宋体;SimSun"/>
                <w:color w:val="auto"/>
                <w:sz w:val="22"/>
                <w:highlight w:val="none"/>
              </w:rPr>
            </w:pPr>
            <w:r>
              <w:rPr>
                <w:rFonts w:ascii="宋体" w:hAnsi="宋体" w:eastAsia="宋体" w:cs="宋体;SimSun"/>
                <w:color w:val="auto"/>
                <w:sz w:val="22"/>
                <w:highlight w:val="none"/>
              </w:rPr>
              <w:t>3.信道容量：≥1024, 组群/区域数量≥64；</w:t>
            </w:r>
          </w:p>
          <w:p w14:paraId="5037CB59">
            <w:pPr>
              <w:jc w:val="left"/>
              <w:rPr>
                <w:rFonts w:ascii="宋体" w:hAnsi="宋体" w:eastAsia="宋体" w:cs="宋体;SimSun"/>
                <w:color w:val="auto"/>
                <w:sz w:val="22"/>
                <w:highlight w:val="none"/>
              </w:rPr>
            </w:pPr>
            <w:r>
              <w:rPr>
                <w:rFonts w:ascii="宋体" w:hAnsi="宋体" w:eastAsia="宋体" w:cs="宋体;SimSun"/>
                <w:color w:val="auto"/>
                <w:sz w:val="22"/>
                <w:highlight w:val="none"/>
              </w:rPr>
              <w:t>4.信道间隔：12.5kHz/25kHz ；</w:t>
            </w:r>
          </w:p>
          <w:p w14:paraId="7C0AEB59">
            <w:pPr>
              <w:jc w:val="left"/>
              <w:rPr>
                <w:rFonts w:ascii="宋体" w:hAnsi="宋体" w:eastAsia="宋体" w:cs="宋体;SimSun"/>
                <w:color w:val="auto"/>
                <w:sz w:val="22"/>
                <w:highlight w:val="none"/>
              </w:rPr>
            </w:pPr>
            <w:r>
              <w:rPr>
                <w:rFonts w:ascii="宋体" w:hAnsi="宋体" w:eastAsia="宋体" w:cs="宋体;SimSun"/>
                <w:color w:val="auto"/>
                <w:sz w:val="22"/>
                <w:highlight w:val="none"/>
              </w:rPr>
              <w:t>5.多址方式：TDMA；调制方式：支持4FSK；</w:t>
            </w:r>
          </w:p>
          <w:p w14:paraId="41B739D0">
            <w:pPr>
              <w:jc w:val="left"/>
              <w:rPr>
                <w:rFonts w:ascii="宋体" w:hAnsi="宋体" w:eastAsia="宋体" w:cs="宋体;SimSun"/>
                <w:color w:val="auto"/>
                <w:sz w:val="22"/>
                <w:highlight w:val="none"/>
              </w:rPr>
            </w:pPr>
            <w:r>
              <w:rPr>
                <w:rFonts w:ascii="宋体" w:hAnsi="宋体" w:eastAsia="宋体" w:cs="宋体;SimSun"/>
                <w:color w:val="auto"/>
                <w:sz w:val="22"/>
                <w:highlight w:val="none"/>
              </w:rPr>
              <w:t>6.防护等级：≥IP54；</w:t>
            </w:r>
          </w:p>
          <w:p w14:paraId="28490316">
            <w:pPr>
              <w:jc w:val="left"/>
              <w:rPr>
                <w:rFonts w:ascii="宋体" w:hAnsi="宋体" w:eastAsia="宋体" w:cs="宋体;SimSun"/>
                <w:color w:val="auto"/>
                <w:sz w:val="22"/>
                <w:highlight w:val="none"/>
              </w:rPr>
            </w:pPr>
            <w:r>
              <w:rPr>
                <w:rFonts w:ascii="宋体" w:hAnsi="宋体" w:eastAsia="宋体" w:cs="宋体;SimSun"/>
                <w:color w:val="auto"/>
                <w:sz w:val="22"/>
                <w:highlight w:val="none"/>
              </w:rPr>
              <w:t>7.发射功率： ≥25W，高低功率可调；</w:t>
            </w:r>
          </w:p>
          <w:p w14:paraId="677FC8B4">
            <w:pPr>
              <w:jc w:val="left"/>
              <w:rPr>
                <w:rFonts w:ascii="宋体" w:hAnsi="宋体" w:eastAsia="宋体" w:cs="宋体;SimSun"/>
                <w:color w:val="auto"/>
                <w:sz w:val="22"/>
                <w:highlight w:val="none"/>
              </w:rPr>
            </w:pPr>
            <w:r>
              <w:rPr>
                <w:rFonts w:ascii="宋体" w:hAnsi="宋体" w:eastAsia="宋体" w:cs="宋体;SimSun"/>
                <w:color w:val="auto"/>
                <w:sz w:val="22"/>
                <w:highlight w:val="none"/>
              </w:rPr>
              <w:t>8.屏幕尺寸：≥2.8英寸IPS彩色屏幕(分辨率320*240)，中文显示；</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4FA13C1">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8581177">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3D51807">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2F1436E">
            <w:pPr>
              <w:jc w:val="center"/>
              <w:rPr>
                <w:rFonts w:ascii="宋体" w:hAnsi="宋体" w:eastAsia="宋体" w:cs="宋体;SimSun"/>
                <w:color w:val="auto"/>
                <w:sz w:val="22"/>
                <w:highlight w:val="none"/>
              </w:rPr>
            </w:pPr>
            <w:r>
              <w:rPr>
                <w:rFonts w:ascii="宋体" w:hAnsi="宋体" w:eastAsia="宋体" w:cs="宋体;SimSun"/>
                <w:color w:val="auto"/>
                <w:sz w:val="22"/>
                <w:highlight w:val="none"/>
              </w:rPr>
              <w:t>9</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4F4F93C">
            <w:pPr>
              <w:jc w:val="center"/>
              <w:rPr>
                <w:rFonts w:ascii="宋体" w:hAnsi="宋体" w:eastAsia="宋体" w:cs="宋体;SimSun"/>
                <w:color w:val="auto"/>
                <w:sz w:val="22"/>
                <w:highlight w:val="none"/>
              </w:rPr>
            </w:pPr>
            <w:r>
              <w:rPr>
                <w:rFonts w:ascii="宋体" w:hAnsi="宋体" w:eastAsia="宋体" w:cs="宋体;SimSun"/>
                <w:color w:val="auto"/>
                <w:sz w:val="22"/>
                <w:highlight w:val="none"/>
              </w:rPr>
              <w:t>对讲机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4CB3D28">
            <w:pPr>
              <w:jc w:val="left"/>
              <w:rPr>
                <w:rFonts w:ascii="宋体" w:hAnsi="宋体" w:eastAsia="宋体" w:cs="宋体;SimSun"/>
                <w:color w:val="auto"/>
                <w:sz w:val="22"/>
                <w:highlight w:val="none"/>
              </w:rPr>
            </w:pPr>
            <w:r>
              <w:rPr>
                <w:rFonts w:ascii="宋体" w:hAnsi="宋体" w:eastAsia="宋体" w:cs="宋体;SimSun"/>
                <w:color w:val="auto"/>
                <w:sz w:val="22"/>
                <w:highlight w:val="none"/>
              </w:rPr>
              <w:t>频道式对讲机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支持多重加密防扰功能，包括动态加密、静态加密、AES256/ARC4高级算法加密，可以有效地防止信号被窃听和干扰，层层保障用户的通信安全，让用户可以 更加安心地进行通信。</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频率范围(可选) UHF:400-480 MHz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信道总数 ≥ 1024</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电池容量 ≥ 2000 mAh</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最大音频输出功率 ≥1.5W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FM噪声 ≤ -40dB</w:t>
            </w:r>
          </w:p>
          <w:p w14:paraId="0FD835B9">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频道式对讲机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支持多重加密防扰功能，包括动态加密、静态加密、AES256/ARC4高级算法加密，可以有效地防止信号被窃听和干扰，层层保障用户的通信安全，让用户可以 更加安心地进行通信。</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频率范围(可选) UHF:400-480 MHz</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信道总数 ≥ 1024</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电池容量 ≥ 2000 mAh</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最大音频输出功率 ≥1.5W</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FM噪声 ≤ -40dB</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3DA1237">
            <w:pPr>
              <w:jc w:val="center"/>
              <w:rPr>
                <w:rFonts w:ascii="宋体" w:hAnsi="宋体" w:eastAsia="宋体" w:cs="宋体;SimSun"/>
                <w:color w:val="auto"/>
                <w:sz w:val="22"/>
                <w:highlight w:val="none"/>
              </w:rPr>
            </w:pPr>
            <w:r>
              <w:rPr>
                <w:rFonts w:ascii="宋体" w:hAnsi="宋体" w:eastAsia="宋体" w:cs="宋体;SimSun"/>
                <w:color w:val="auto"/>
                <w:sz w:val="22"/>
                <w:highlight w:val="none"/>
              </w:rPr>
              <w:t>10</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B7FD381">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3BCE0FB3">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A79C7E8">
            <w:pPr>
              <w:jc w:val="center"/>
              <w:rPr>
                <w:rFonts w:ascii="宋体" w:hAnsi="宋体" w:eastAsia="宋体" w:cs="宋体;SimSun"/>
                <w:color w:val="auto"/>
                <w:sz w:val="22"/>
                <w:highlight w:val="none"/>
              </w:rPr>
            </w:pPr>
            <w:r>
              <w:rPr>
                <w:rFonts w:ascii="宋体" w:hAnsi="宋体" w:eastAsia="宋体" w:cs="宋体;SimSun"/>
                <w:color w:val="auto"/>
                <w:sz w:val="22"/>
                <w:highlight w:val="none"/>
              </w:rPr>
              <w:t>10</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050E88A1">
            <w:pPr>
              <w:jc w:val="center"/>
              <w:rPr>
                <w:rFonts w:ascii="宋体" w:hAnsi="宋体" w:eastAsia="宋体" w:cs="宋体;SimSun"/>
                <w:color w:val="auto"/>
                <w:sz w:val="22"/>
                <w:highlight w:val="none"/>
              </w:rPr>
            </w:pPr>
            <w:r>
              <w:rPr>
                <w:rFonts w:ascii="宋体" w:hAnsi="宋体" w:eastAsia="宋体" w:cs="宋体;SimSun"/>
                <w:color w:val="auto"/>
                <w:sz w:val="22"/>
                <w:highlight w:val="none"/>
              </w:rPr>
              <w:t>中继台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EF76925">
            <w:pPr>
              <w:jc w:val="left"/>
              <w:rPr>
                <w:rFonts w:ascii="宋体" w:hAnsi="宋体" w:eastAsia="宋体" w:cs="宋体;SimSun"/>
                <w:color w:val="auto"/>
                <w:sz w:val="22"/>
                <w:highlight w:val="none"/>
              </w:rPr>
            </w:pPr>
            <w:r>
              <w:rPr>
                <w:rFonts w:ascii="宋体" w:hAnsi="宋体" w:eastAsia="宋体" w:cs="宋体;SimSun"/>
                <w:color w:val="auto"/>
                <w:sz w:val="22"/>
                <w:highlight w:val="none"/>
              </w:rPr>
              <w:t>中继台：</w:t>
            </w:r>
          </w:p>
          <w:p w14:paraId="4FA39AE5">
            <w:pPr>
              <w:jc w:val="left"/>
              <w:rPr>
                <w:rFonts w:ascii="宋体" w:hAnsi="宋体" w:eastAsia="宋体" w:cs="宋体;SimSun"/>
                <w:color w:val="auto"/>
                <w:sz w:val="22"/>
                <w:highlight w:val="none"/>
              </w:rPr>
            </w:pPr>
            <w:r>
              <w:rPr>
                <w:rFonts w:ascii="宋体" w:hAnsi="宋体" w:eastAsia="宋体" w:cs="宋体;SimSun"/>
                <w:color w:val="auto"/>
                <w:sz w:val="22"/>
                <w:highlight w:val="none"/>
              </w:rPr>
              <w:t>1. 频率范围：400-480MHz；</w:t>
            </w:r>
          </w:p>
          <w:p w14:paraId="6C38FA0B">
            <w:pPr>
              <w:jc w:val="left"/>
              <w:rPr>
                <w:rFonts w:ascii="宋体" w:hAnsi="宋体" w:eastAsia="宋体" w:cs="宋体;SimSun"/>
                <w:color w:val="auto"/>
                <w:sz w:val="22"/>
                <w:highlight w:val="none"/>
              </w:rPr>
            </w:pPr>
            <w:r>
              <w:rPr>
                <w:rFonts w:ascii="宋体" w:hAnsi="宋体" w:eastAsia="宋体" w:cs="宋体;SimSun"/>
                <w:color w:val="auto"/>
                <w:sz w:val="22"/>
                <w:highlight w:val="none"/>
              </w:rPr>
              <w:t>2. 信道容量：≥99个；</w:t>
            </w:r>
          </w:p>
          <w:p w14:paraId="333C2577">
            <w:pPr>
              <w:jc w:val="left"/>
              <w:rPr>
                <w:rFonts w:ascii="宋体" w:hAnsi="宋体" w:eastAsia="宋体" w:cs="宋体;SimSun"/>
                <w:color w:val="auto"/>
                <w:sz w:val="22"/>
                <w:highlight w:val="none"/>
              </w:rPr>
            </w:pPr>
            <w:r>
              <w:rPr>
                <w:rFonts w:ascii="宋体" w:hAnsi="宋体" w:eastAsia="宋体" w:cs="宋体;SimSun"/>
                <w:color w:val="auto"/>
                <w:sz w:val="22"/>
                <w:highlight w:val="none"/>
              </w:rPr>
              <w:t>3. 信道间隔：12.5kHz/25kHz ；</w:t>
            </w:r>
          </w:p>
          <w:p w14:paraId="4D43762D">
            <w:pPr>
              <w:jc w:val="left"/>
              <w:rPr>
                <w:rFonts w:ascii="宋体" w:hAnsi="宋体" w:eastAsia="宋体" w:cs="宋体;SimSun"/>
                <w:color w:val="auto"/>
                <w:sz w:val="22"/>
                <w:highlight w:val="none"/>
              </w:rPr>
            </w:pPr>
            <w:r>
              <w:rPr>
                <w:rFonts w:ascii="宋体" w:hAnsi="宋体" w:eastAsia="宋体" w:cs="宋体;SimSun"/>
                <w:color w:val="auto"/>
                <w:sz w:val="22"/>
                <w:highlight w:val="none"/>
              </w:rPr>
              <w:t>4. 结构：19英寸标准机架式，≤2U标准机架式一体化结构，支持内置双工器，内置电源;</w:t>
            </w:r>
          </w:p>
          <w:p w14:paraId="7915806A">
            <w:pPr>
              <w:jc w:val="left"/>
              <w:rPr>
                <w:rFonts w:ascii="宋体" w:hAnsi="宋体" w:eastAsia="宋体" w:cs="宋体;SimSun"/>
                <w:color w:val="auto"/>
                <w:sz w:val="22"/>
                <w:highlight w:val="none"/>
              </w:rPr>
            </w:pPr>
            <w:r>
              <w:rPr>
                <w:rFonts w:ascii="宋体" w:hAnsi="宋体" w:eastAsia="宋体" w:cs="宋体;SimSun"/>
                <w:color w:val="auto"/>
                <w:sz w:val="22"/>
                <w:highlight w:val="none"/>
              </w:rPr>
              <w:t>5.散热：内置散热风扇主动降温；</w:t>
            </w:r>
          </w:p>
          <w:p w14:paraId="59D1D3BB">
            <w:pPr>
              <w:jc w:val="left"/>
              <w:rPr>
                <w:rFonts w:ascii="宋体" w:hAnsi="宋体" w:eastAsia="宋体" w:cs="宋体;SimSun"/>
                <w:color w:val="auto"/>
                <w:sz w:val="22"/>
                <w:highlight w:val="none"/>
              </w:rPr>
            </w:pPr>
            <w:r>
              <w:rPr>
                <w:rFonts w:ascii="宋体" w:hAnsi="宋体" w:eastAsia="宋体" w:cs="宋体;SimSun"/>
                <w:color w:val="auto"/>
                <w:sz w:val="22"/>
                <w:highlight w:val="none"/>
              </w:rPr>
              <w:t>6. 交互：面板支持USB编程接口维护与配置，采用高稳定性数码管显示屏，显示故障告警;</w:t>
            </w:r>
          </w:p>
          <w:p w14:paraId="7FC1831A">
            <w:pPr>
              <w:jc w:val="left"/>
              <w:rPr>
                <w:rFonts w:ascii="宋体" w:hAnsi="宋体" w:eastAsia="宋体" w:cs="宋体;SimSun"/>
                <w:color w:val="auto"/>
                <w:sz w:val="22"/>
                <w:highlight w:val="none"/>
              </w:rPr>
            </w:pPr>
            <w:r>
              <w:rPr>
                <w:rFonts w:ascii="宋体" w:hAnsi="宋体" w:eastAsia="宋体" w:cs="宋体;SimSun"/>
                <w:color w:val="auto"/>
                <w:sz w:val="22"/>
                <w:highlight w:val="none"/>
              </w:rPr>
              <w:t>7. 扩展能力；具备IP互联、同频同播功能，支持多设备联网组播，可通过控制器无限扩展覆盖范围；</w:t>
            </w:r>
          </w:p>
          <w:p w14:paraId="1429D40E">
            <w:pPr>
              <w:jc w:val="left"/>
              <w:rPr>
                <w:rFonts w:ascii="宋体" w:hAnsi="宋体" w:eastAsia="宋体" w:cs="宋体;SimSun"/>
                <w:color w:val="auto"/>
                <w:sz w:val="22"/>
                <w:highlight w:val="none"/>
              </w:rPr>
            </w:pPr>
            <w:r>
              <w:rPr>
                <w:rFonts w:ascii="宋体" w:hAnsi="宋体" w:eastAsia="宋体" w:cs="宋体;SimSun"/>
                <w:color w:val="auto"/>
                <w:sz w:val="22"/>
                <w:highlight w:val="none"/>
              </w:rPr>
              <w:t>天线：</w:t>
            </w:r>
          </w:p>
          <w:p w14:paraId="654C21B6">
            <w:pPr>
              <w:jc w:val="left"/>
              <w:rPr>
                <w:rFonts w:ascii="宋体" w:hAnsi="宋体" w:eastAsia="宋体" w:cs="宋体;SimSun"/>
                <w:color w:val="auto"/>
                <w:sz w:val="22"/>
                <w:highlight w:val="none"/>
              </w:rPr>
            </w:pPr>
            <w:r>
              <w:rPr>
                <w:rFonts w:ascii="宋体" w:hAnsi="宋体" w:eastAsia="宋体" w:cs="宋体;SimSun"/>
                <w:color w:val="auto"/>
                <w:sz w:val="22"/>
                <w:highlight w:val="none"/>
              </w:rPr>
              <w:t>频率范围 400-470MHz ;</w:t>
            </w:r>
          </w:p>
          <w:p w14:paraId="1B3C377A">
            <w:pPr>
              <w:jc w:val="left"/>
              <w:rPr>
                <w:rFonts w:ascii="宋体" w:hAnsi="宋体" w:eastAsia="宋体" w:cs="宋体;SimSun"/>
                <w:color w:val="auto"/>
                <w:sz w:val="22"/>
                <w:highlight w:val="none"/>
              </w:rPr>
            </w:pPr>
            <w:r>
              <w:rPr>
                <w:rFonts w:ascii="宋体" w:hAnsi="宋体" w:eastAsia="宋体" w:cs="宋体;SimSun"/>
                <w:color w:val="auto"/>
                <w:sz w:val="22"/>
                <w:highlight w:val="none"/>
              </w:rPr>
              <w:t>极化方式 垂直;</w:t>
            </w:r>
          </w:p>
          <w:p w14:paraId="5D21533C">
            <w:pPr>
              <w:jc w:val="left"/>
              <w:rPr>
                <w:rFonts w:ascii="宋体" w:hAnsi="宋体" w:eastAsia="宋体" w:cs="宋体;SimSun"/>
                <w:color w:val="auto"/>
                <w:sz w:val="22"/>
                <w:highlight w:val="none"/>
              </w:rPr>
            </w:pPr>
            <w:r>
              <w:rPr>
                <w:rFonts w:ascii="宋体" w:hAnsi="宋体" w:eastAsia="宋体" w:cs="宋体;SimSun"/>
                <w:color w:val="auto"/>
                <w:sz w:val="22"/>
                <w:highlight w:val="none"/>
              </w:rPr>
              <w:t>避雷保护 直流接地;</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4BBBFF9">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AE6535B">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0797282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4FF41F4">
            <w:pPr>
              <w:jc w:val="center"/>
              <w:rPr>
                <w:rFonts w:ascii="宋体" w:hAnsi="宋体" w:eastAsia="宋体" w:cs="宋体;SimSun"/>
                <w:color w:val="auto"/>
                <w:sz w:val="22"/>
                <w:highlight w:val="none"/>
              </w:rPr>
            </w:pPr>
            <w:r>
              <w:rPr>
                <w:rFonts w:ascii="宋体" w:hAnsi="宋体" w:eastAsia="宋体" w:cs="宋体;SimSun"/>
                <w:color w:val="auto"/>
                <w:sz w:val="22"/>
                <w:highlight w:val="none"/>
              </w:rPr>
              <w:t>11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AC1F7D4">
            <w:pPr>
              <w:jc w:val="center"/>
              <w:rPr>
                <w:rFonts w:ascii="宋体" w:hAnsi="宋体" w:eastAsia="宋体" w:cs="宋体;SimSun"/>
                <w:color w:val="auto"/>
                <w:sz w:val="22"/>
                <w:highlight w:val="none"/>
              </w:rPr>
            </w:pPr>
            <w:r>
              <w:rPr>
                <w:rFonts w:ascii="宋体" w:hAnsi="宋体" w:eastAsia="宋体" w:cs="宋体;SimSun"/>
                <w:color w:val="auto"/>
                <w:sz w:val="22"/>
                <w:highlight w:val="none"/>
              </w:rPr>
              <w:t>视频融合网关</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40E509D">
            <w:pPr>
              <w:jc w:val="left"/>
              <w:rPr>
                <w:rFonts w:ascii="宋体" w:hAnsi="宋体" w:eastAsia="宋体" w:cs="宋体;SimSun"/>
                <w:color w:val="auto"/>
                <w:sz w:val="22"/>
                <w:highlight w:val="none"/>
              </w:rPr>
            </w:pPr>
            <w:r>
              <w:rPr>
                <w:rFonts w:ascii="宋体" w:hAnsi="宋体" w:eastAsia="宋体" w:cs="宋体;SimSun"/>
                <w:color w:val="auto"/>
                <w:sz w:val="22"/>
                <w:highlight w:val="none"/>
              </w:rPr>
              <w:t>1、视频监控网关，用于接入视频监控系统的视频资源。</w:t>
            </w:r>
          </w:p>
          <w:p w14:paraId="21804B2D">
            <w:pPr>
              <w:jc w:val="left"/>
              <w:rPr>
                <w:rFonts w:ascii="宋体" w:hAnsi="宋体" w:eastAsia="宋体"/>
                <w:color w:val="auto"/>
                <w:highlight w:val="none"/>
              </w:rPr>
            </w:pPr>
            <w:r>
              <w:rPr>
                <w:rFonts w:ascii="宋体" w:hAnsi="宋体" w:eastAsia="宋体" w:cs="宋体;SimSun"/>
                <w:color w:val="auto"/>
                <w:sz w:val="22"/>
                <w:highlight w:val="none"/>
              </w:rPr>
              <w:t>2、系统支持但不限于下述分辨率：720p、1080p多种分辨率。</w:t>
            </w:r>
          </w:p>
          <w:p w14:paraId="2BAD4DA3">
            <w:pPr>
              <w:jc w:val="left"/>
              <w:rPr>
                <w:rFonts w:ascii="宋体" w:hAnsi="宋体" w:eastAsia="宋体" w:cs="宋体;SimSun"/>
                <w:color w:val="auto"/>
                <w:sz w:val="22"/>
                <w:highlight w:val="none"/>
              </w:rPr>
            </w:pPr>
            <w:r>
              <w:rPr>
                <w:rFonts w:ascii="宋体" w:hAnsi="宋体" w:eastAsia="宋体" w:cs="宋体;SimSun"/>
                <w:color w:val="auto"/>
                <w:sz w:val="22"/>
                <w:highlight w:val="none"/>
              </w:rPr>
              <w:t>3、系统支持但不限于H.264等视频格式。</w:t>
            </w:r>
          </w:p>
          <w:p w14:paraId="57E49498">
            <w:pPr>
              <w:jc w:val="left"/>
              <w:rPr>
                <w:rFonts w:ascii="宋体" w:hAnsi="宋体" w:eastAsia="宋体" w:cs="宋体;SimSun"/>
                <w:color w:val="auto"/>
                <w:sz w:val="22"/>
                <w:highlight w:val="none"/>
              </w:rPr>
            </w:pPr>
            <w:r>
              <w:rPr>
                <w:rFonts w:ascii="宋体" w:hAnsi="宋体" w:eastAsia="宋体" w:cs="宋体;SimSun"/>
                <w:color w:val="auto"/>
                <w:sz w:val="22"/>
                <w:highlight w:val="none"/>
              </w:rPr>
              <w:t>4、系统支持但不限于国标（GB28181）监控平台的接入管理。</w:t>
            </w:r>
          </w:p>
          <w:p w14:paraId="30F81D38">
            <w:pPr>
              <w:jc w:val="left"/>
              <w:rPr>
                <w:rFonts w:ascii="宋体" w:hAnsi="宋体" w:eastAsia="宋体" w:cs="宋体;SimSun"/>
                <w:color w:val="auto"/>
                <w:sz w:val="22"/>
                <w:highlight w:val="none"/>
              </w:rPr>
            </w:pPr>
            <w:r>
              <w:rPr>
                <w:rFonts w:ascii="宋体" w:hAnsi="宋体" w:eastAsia="宋体" w:cs="宋体;SimSun"/>
                <w:color w:val="auto"/>
                <w:sz w:val="22"/>
                <w:highlight w:val="none"/>
              </w:rPr>
              <w:t>5、支持媒体流信号的转码；支持标准SIP协议。</w:t>
            </w:r>
          </w:p>
          <w:p w14:paraId="747A2FFC">
            <w:pPr>
              <w:jc w:val="left"/>
              <w:rPr>
                <w:rFonts w:ascii="宋体" w:hAnsi="宋体" w:eastAsia="宋体" w:cs="宋体;SimSun"/>
                <w:color w:val="auto"/>
                <w:sz w:val="22"/>
                <w:highlight w:val="none"/>
              </w:rPr>
            </w:pPr>
            <w:r>
              <w:rPr>
                <w:rFonts w:ascii="宋体" w:hAnsi="宋体" w:eastAsia="宋体" w:cs="宋体;SimSun"/>
                <w:color w:val="auto"/>
                <w:sz w:val="22"/>
                <w:highlight w:val="none"/>
              </w:rPr>
              <w:t>6、接入后可以实现IP视频话机和移动APP直接呼叫查看视频监控画面。</w:t>
            </w:r>
          </w:p>
          <w:p w14:paraId="2B721E46">
            <w:pPr>
              <w:jc w:val="left"/>
              <w:rPr>
                <w:rFonts w:ascii="宋体" w:hAnsi="宋体" w:eastAsia="宋体" w:cs="宋体;SimSun"/>
                <w:color w:val="auto"/>
                <w:sz w:val="22"/>
                <w:highlight w:val="none"/>
              </w:rPr>
            </w:pPr>
            <w:r>
              <w:rPr>
                <w:rFonts w:ascii="宋体" w:hAnsi="宋体" w:eastAsia="宋体" w:cs="宋体;SimSun"/>
                <w:color w:val="auto"/>
                <w:sz w:val="22"/>
                <w:highlight w:val="none"/>
              </w:rPr>
              <w:t>7、视频会商调度中加入监控画面。</w:t>
            </w:r>
          </w:p>
          <w:p w14:paraId="214CE842">
            <w:pPr>
              <w:jc w:val="left"/>
              <w:rPr>
                <w:rFonts w:ascii="宋体" w:hAnsi="宋体" w:eastAsia="宋体" w:cs="宋体;SimSun"/>
                <w:color w:val="auto"/>
                <w:sz w:val="22"/>
                <w:highlight w:val="none"/>
              </w:rPr>
            </w:pPr>
            <w:r>
              <w:rPr>
                <w:rFonts w:ascii="宋体" w:hAnsi="宋体" w:eastAsia="宋体" w:cs="宋体;SimSun"/>
                <w:color w:val="auto"/>
                <w:sz w:val="22"/>
                <w:highlight w:val="none"/>
              </w:rPr>
              <w:t>8、兼容主流数字监控设备，支持包括但不限于海康、大华等主流厂家的DVR、编解码器、IP摄像机等数字监控产品。</w:t>
            </w:r>
          </w:p>
          <w:p w14:paraId="2FDAE005">
            <w:pPr>
              <w:jc w:val="left"/>
              <w:rPr>
                <w:rFonts w:ascii="宋体" w:hAnsi="宋体" w:eastAsia="宋体" w:cs="宋体;SimSun"/>
                <w:color w:val="auto"/>
                <w:sz w:val="22"/>
                <w:highlight w:val="none"/>
              </w:rPr>
            </w:pPr>
            <w:r>
              <w:rPr>
                <w:rFonts w:ascii="宋体" w:hAnsi="宋体" w:eastAsia="宋体" w:cs="宋体;SimSun"/>
                <w:color w:val="auto"/>
                <w:sz w:val="22"/>
                <w:highlight w:val="none"/>
              </w:rPr>
              <w:t>9、采用开放式设计，提供开放的接口，可以根据用户的需求进行定制开发，支持特定的设备接入。</w:t>
            </w:r>
          </w:p>
          <w:p w14:paraId="17FF822B">
            <w:pPr>
              <w:jc w:val="left"/>
              <w:rPr>
                <w:rFonts w:ascii="宋体" w:hAnsi="宋体" w:eastAsia="宋体" w:cs="宋体;SimSun"/>
                <w:color w:val="auto"/>
                <w:sz w:val="22"/>
                <w:highlight w:val="none"/>
              </w:rPr>
            </w:pPr>
            <w:r>
              <w:rPr>
                <w:rFonts w:ascii="宋体" w:hAnsi="宋体" w:eastAsia="宋体" w:cs="宋体;SimSun"/>
                <w:color w:val="auto"/>
                <w:sz w:val="22"/>
                <w:highlight w:val="none"/>
              </w:rPr>
              <w:t>10、运行状态：运行状态模块是显示网关服务器各种运行状态的信息。</w:t>
            </w:r>
          </w:p>
          <w:p w14:paraId="1E977797">
            <w:pPr>
              <w:jc w:val="left"/>
              <w:rPr>
                <w:rFonts w:ascii="宋体" w:hAnsi="宋体" w:eastAsia="宋体" w:cs="宋体;SimSun"/>
                <w:color w:val="auto"/>
                <w:sz w:val="22"/>
                <w:highlight w:val="none"/>
              </w:rPr>
            </w:pPr>
            <w:r>
              <w:rPr>
                <w:rFonts w:ascii="宋体" w:hAnsi="宋体" w:eastAsia="宋体" w:cs="宋体;SimSun"/>
                <w:color w:val="auto"/>
                <w:sz w:val="22"/>
                <w:highlight w:val="none"/>
              </w:rPr>
              <w:t>11、系统支持但不限于下述转码功能：有些设备支持的分辨率较低，如果收到的是高分辨率的视频就有可能出现图像卡或者无图像的情况，所以需要用转码器将视频进行转码，以适应设备的要求。</w:t>
            </w:r>
          </w:p>
          <w:p w14:paraId="5CB5E0EA">
            <w:pPr>
              <w:jc w:val="left"/>
              <w:rPr>
                <w:rFonts w:ascii="宋体" w:hAnsi="宋体" w:eastAsia="宋体" w:cs="宋体;SimSun"/>
                <w:color w:val="auto"/>
                <w:sz w:val="22"/>
                <w:highlight w:val="none"/>
              </w:rPr>
            </w:pPr>
            <w:r>
              <w:rPr>
                <w:rFonts w:ascii="宋体" w:hAnsi="宋体" w:eastAsia="宋体" w:cs="宋体;SimSun"/>
                <w:color w:val="auto"/>
                <w:sz w:val="22"/>
                <w:highlight w:val="none"/>
              </w:rPr>
              <w:t>12、号码变换：主叫转码策略用于设置某个主叫号码的分辨率，即该主叫号码发起的呼叫由转码器重新编码为设置的分辨率。</w:t>
            </w:r>
          </w:p>
          <w:p w14:paraId="0D258D9A">
            <w:pPr>
              <w:jc w:val="left"/>
              <w:rPr>
                <w:rFonts w:ascii="宋体" w:hAnsi="宋体" w:eastAsia="宋体" w:cs="宋体;SimSun"/>
                <w:color w:val="auto"/>
                <w:sz w:val="22"/>
                <w:highlight w:val="none"/>
              </w:rPr>
            </w:pPr>
            <w:r>
              <w:rPr>
                <w:rFonts w:ascii="宋体" w:hAnsi="宋体" w:eastAsia="宋体" w:cs="宋体;SimSun"/>
                <w:color w:val="auto"/>
                <w:sz w:val="22"/>
                <w:highlight w:val="none"/>
              </w:rPr>
              <w:t>13、系统支持但不限于下述日志管理：日志管理模块提供对用户日志、系统日志、调试日志的查询、导出。</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99856A8">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69B6A57">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08648DF5">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A79726F">
            <w:pPr>
              <w:jc w:val="center"/>
              <w:rPr>
                <w:rFonts w:ascii="宋体" w:hAnsi="宋体" w:eastAsia="宋体" w:cs="宋体;SimSun"/>
                <w:color w:val="auto"/>
                <w:sz w:val="22"/>
                <w:highlight w:val="none"/>
              </w:rPr>
            </w:pPr>
            <w:r>
              <w:rPr>
                <w:rFonts w:ascii="宋体" w:hAnsi="宋体" w:eastAsia="宋体" w:cs="宋体;SimSun"/>
                <w:color w:val="auto"/>
                <w:sz w:val="22"/>
                <w:highlight w:val="none"/>
              </w:rPr>
              <w:t>12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27FAEF0">
            <w:pPr>
              <w:jc w:val="center"/>
              <w:rPr>
                <w:rFonts w:ascii="宋体" w:hAnsi="宋体" w:eastAsia="宋体" w:cs="宋体;SimSun"/>
                <w:color w:val="auto"/>
                <w:sz w:val="22"/>
                <w:highlight w:val="none"/>
              </w:rPr>
            </w:pPr>
            <w:r>
              <w:rPr>
                <w:rFonts w:ascii="宋体" w:hAnsi="宋体" w:eastAsia="宋体" w:cs="宋体;SimSun"/>
                <w:color w:val="auto"/>
                <w:sz w:val="22"/>
                <w:highlight w:val="none"/>
              </w:rPr>
              <w:t>视频终端</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9547763">
            <w:pPr>
              <w:jc w:val="left"/>
              <w:rPr>
                <w:rFonts w:ascii="宋体" w:hAnsi="宋体" w:eastAsia="宋体"/>
                <w:color w:val="auto"/>
                <w:highlight w:val="none"/>
              </w:rPr>
            </w:pPr>
            <w:r>
              <w:rPr>
                <w:rFonts w:ascii="宋体" w:hAnsi="宋体" w:eastAsia="宋体" w:cs="宋体;SimSun"/>
                <w:color w:val="auto"/>
                <w:sz w:val="22"/>
                <w:highlight w:val="none"/>
              </w:rPr>
              <w:t>1、主机支持但不限于4K编码、4K合成HDMI输出。</w:t>
            </w:r>
          </w:p>
          <w:p w14:paraId="0953A936">
            <w:pPr>
              <w:jc w:val="left"/>
              <w:rPr>
                <w:rFonts w:ascii="宋体" w:hAnsi="宋体" w:eastAsia="宋体" w:cs="宋体;SimSun"/>
                <w:color w:val="auto"/>
                <w:sz w:val="22"/>
                <w:highlight w:val="none"/>
              </w:rPr>
            </w:pPr>
            <w:r>
              <w:rPr>
                <w:rFonts w:ascii="宋体" w:hAnsi="宋体" w:eastAsia="宋体" w:cs="宋体;SimSun"/>
                <w:color w:val="auto"/>
                <w:sz w:val="22"/>
                <w:highlight w:val="none"/>
              </w:rPr>
              <w:t>2、系统支持但不限于下述协议：支持TCP/UDP/RTSP/RTP/RTMP/ONVIF/H.323/SIP/TS协议。</w:t>
            </w:r>
          </w:p>
          <w:p w14:paraId="701DC94F">
            <w:pPr>
              <w:jc w:val="left"/>
              <w:rPr>
                <w:rFonts w:ascii="宋体" w:hAnsi="宋体" w:eastAsia="宋体" w:cs="宋体;SimSun"/>
                <w:color w:val="auto"/>
                <w:sz w:val="22"/>
                <w:highlight w:val="none"/>
              </w:rPr>
            </w:pPr>
            <w:r>
              <w:rPr>
                <w:rFonts w:ascii="宋体" w:hAnsi="宋体" w:eastAsia="宋体" w:cs="宋体;SimSun"/>
                <w:color w:val="auto"/>
                <w:sz w:val="22"/>
                <w:highlight w:val="none"/>
              </w:rPr>
              <w:t>3、 主机须采用嵌入式DSP纯硬件架构；能够7*24小时工作；系统支持但不限于下述功能：编码、解码、录制、存储、无缝切换等功能。</w:t>
            </w:r>
          </w:p>
          <w:p w14:paraId="0F643F09">
            <w:pPr>
              <w:jc w:val="left"/>
              <w:rPr>
                <w:rFonts w:ascii="宋体" w:hAnsi="宋体" w:eastAsia="宋体" w:cs="宋体;SimSun"/>
                <w:color w:val="auto"/>
                <w:sz w:val="22"/>
                <w:highlight w:val="none"/>
              </w:rPr>
            </w:pPr>
            <w:r>
              <w:rPr>
                <w:rFonts w:ascii="宋体" w:hAnsi="宋体" w:eastAsia="宋体" w:cs="宋体;SimSun"/>
                <w:color w:val="auto"/>
                <w:sz w:val="22"/>
                <w:highlight w:val="none"/>
              </w:rPr>
              <w:t>4、前面板带LCD液晶屏，支持视频输出画面预览功能，系统支持但不限于下述接口:设备具有≥6路SDI输入接口和≥2路HDMI输入接口。设备具有≥2路HDMI输出，≥1路VGA输出，≥3路音频输入接口，≥3路音频输出接口。</w:t>
            </w:r>
          </w:p>
          <w:p w14:paraId="7A9D79E7">
            <w:pPr>
              <w:jc w:val="left"/>
              <w:rPr>
                <w:rFonts w:ascii="宋体" w:hAnsi="宋体" w:eastAsia="宋体" w:cs="宋体;SimSun"/>
                <w:color w:val="auto"/>
                <w:sz w:val="22"/>
                <w:highlight w:val="none"/>
              </w:rPr>
            </w:pPr>
            <w:r>
              <w:rPr>
                <w:rFonts w:ascii="宋体" w:hAnsi="宋体" w:eastAsia="宋体" w:cs="宋体;SimSun"/>
                <w:color w:val="auto"/>
                <w:sz w:val="22"/>
                <w:highlight w:val="none"/>
              </w:rPr>
              <w:t>5、系统支持但不限于下述解码分辨率：720p、1080p、1920x1200，1280×800，1440x900，1366x768，1280x1024，1024x768，800x600。</w:t>
            </w:r>
          </w:p>
          <w:p w14:paraId="26FAE1BF">
            <w:pPr>
              <w:jc w:val="left"/>
              <w:rPr>
                <w:rFonts w:ascii="宋体" w:hAnsi="宋体" w:eastAsia="宋体" w:cs="宋体;SimSun"/>
                <w:color w:val="auto"/>
                <w:sz w:val="22"/>
                <w:highlight w:val="none"/>
              </w:rPr>
            </w:pPr>
            <w:r>
              <w:rPr>
                <w:rFonts w:ascii="宋体" w:hAnsi="宋体" w:eastAsia="宋体" w:cs="宋体;SimSun"/>
                <w:color w:val="auto"/>
                <w:sz w:val="22"/>
                <w:highlight w:val="none"/>
              </w:rPr>
              <w:t>5、系统支持但不限于下述 控制接口：≥8路RS232/RS485/RS422控制接口，≥4路USB接口。</w:t>
            </w:r>
          </w:p>
          <w:p w14:paraId="45449926">
            <w:pPr>
              <w:jc w:val="left"/>
              <w:rPr>
                <w:rFonts w:ascii="宋体" w:hAnsi="宋体" w:eastAsia="宋体" w:cs="宋体;SimSun"/>
                <w:color w:val="auto"/>
                <w:sz w:val="22"/>
                <w:highlight w:val="none"/>
              </w:rPr>
            </w:pPr>
            <w:r>
              <w:rPr>
                <w:rFonts w:ascii="宋体" w:hAnsi="宋体" w:eastAsia="宋体" w:cs="宋体;SimSun"/>
                <w:color w:val="auto"/>
                <w:sz w:val="22"/>
                <w:highlight w:val="none"/>
              </w:rPr>
              <w:t>6、 存储：标配1个≥1TB硬盘，具备对单个视频文件查看、下载、删除等功能；</w:t>
            </w:r>
          </w:p>
          <w:p w14:paraId="276C8FDE">
            <w:pPr>
              <w:jc w:val="left"/>
              <w:rPr>
                <w:rFonts w:ascii="宋体" w:hAnsi="宋体" w:eastAsia="宋体" w:cs="宋体;SimSun"/>
                <w:color w:val="auto"/>
                <w:sz w:val="22"/>
                <w:highlight w:val="none"/>
              </w:rPr>
            </w:pPr>
            <w:r>
              <w:rPr>
                <w:rFonts w:ascii="宋体" w:hAnsi="宋体" w:eastAsia="宋体" w:cs="宋体;SimSun"/>
                <w:color w:val="auto"/>
                <w:sz w:val="22"/>
                <w:highlight w:val="none"/>
              </w:rPr>
              <w:t>7、 系统支持但不限于下述功能：视频切换、音频调整，直播/录制、暂停等控制，字幕、点播、系统设置等功能；</w:t>
            </w:r>
          </w:p>
          <w:p w14:paraId="66891066">
            <w:pPr>
              <w:jc w:val="left"/>
              <w:rPr>
                <w:rFonts w:ascii="宋体" w:hAnsi="宋体" w:eastAsia="宋体"/>
                <w:color w:val="auto"/>
                <w:highlight w:val="none"/>
              </w:rPr>
            </w:pPr>
            <w:r>
              <w:rPr>
                <w:rFonts w:ascii="宋体" w:hAnsi="宋体" w:eastAsia="宋体" w:cs="宋体;SimSun"/>
                <w:color w:val="auto"/>
                <w:sz w:val="22"/>
                <w:highlight w:val="none"/>
              </w:rPr>
              <w:t>8、 系统支持但不限于下述功能：录制方式支持人工导播切换控制或与自动跟踪系统无缝组合，实现全自动录制；</w:t>
            </w:r>
          </w:p>
          <w:p w14:paraId="3E5C9143">
            <w:pPr>
              <w:jc w:val="left"/>
              <w:rPr>
                <w:rFonts w:ascii="宋体" w:hAnsi="宋体" w:eastAsia="宋体" w:cs="宋体;SimSun"/>
                <w:color w:val="auto"/>
                <w:sz w:val="22"/>
                <w:highlight w:val="none"/>
              </w:rPr>
            </w:pPr>
            <w:r>
              <w:rPr>
                <w:rFonts w:ascii="宋体" w:hAnsi="宋体" w:eastAsia="宋体" w:cs="宋体;SimSun"/>
                <w:color w:val="auto"/>
                <w:sz w:val="22"/>
                <w:highlight w:val="none"/>
              </w:rPr>
              <w:t>9、 系统支持但不限于下述功能：实时显示录制信息，包括录制时长、视频分辨率、主机IP等信息；并要求能够显示硬盘容量；</w:t>
            </w:r>
          </w:p>
          <w:p w14:paraId="31FD5CCB">
            <w:pPr>
              <w:jc w:val="left"/>
              <w:rPr>
                <w:rFonts w:ascii="宋体" w:hAnsi="宋体" w:eastAsia="宋体" w:cs="宋体;SimSun"/>
                <w:color w:val="auto"/>
                <w:sz w:val="22"/>
                <w:highlight w:val="none"/>
              </w:rPr>
            </w:pPr>
            <w:r>
              <w:rPr>
                <w:rFonts w:ascii="宋体" w:hAnsi="宋体" w:eastAsia="宋体" w:cs="宋体;SimSun"/>
                <w:color w:val="auto"/>
                <w:sz w:val="22"/>
                <w:highlight w:val="none"/>
              </w:rPr>
              <w:t>10、 主机自带点播功能，支持多人同时点播主机录像。</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AF774F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1F02CD7">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7B642610">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507EB6A">
            <w:pPr>
              <w:jc w:val="center"/>
              <w:rPr>
                <w:rFonts w:ascii="宋体" w:hAnsi="宋体" w:eastAsia="宋体" w:cs="宋体;SimSun"/>
                <w:color w:val="auto"/>
                <w:sz w:val="22"/>
                <w:highlight w:val="none"/>
              </w:rPr>
            </w:pPr>
            <w:r>
              <w:rPr>
                <w:rFonts w:ascii="宋体" w:hAnsi="宋体" w:eastAsia="宋体" w:cs="宋体;SimSun"/>
                <w:color w:val="auto"/>
                <w:sz w:val="22"/>
                <w:highlight w:val="none"/>
              </w:rPr>
              <w:t>13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1EA38B17">
            <w:pPr>
              <w:jc w:val="center"/>
              <w:rPr>
                <w:rFonts w:ascii="宋体" w:hAnsi="宋体" w:eastAsia="宋体" w:cs="宋体;SimSun"/>
                <w:color w:val="auto"/>
                <w:sz w:val="22"/>
                <w:highlight w:val="none"/>
              </w:rPr>
            </w:pPr>
            <w:r>
              <w:rPr>
                <w:rFonts w:ascii="宋体" w:hAnsi="宋体" w:eastAsia="宋体" w:cs="宋体;SimSun"/>
                <w:color w:val="auto"/>
                <w:sz w:val="22"/>
                <w:highlight w:val="none"/>
              </w:rPr>
              <w:t>防爆单兵</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C97E831">
            <w:pPr>
              <w:jc w:val="left"/>
              <w:rPr>
                <w:rFonts w:ascii="宋体" w:hAnsi="宋体" w:eastAsia="宋体" w:cs="宋体;SimSun"/>
                <w:color w:val="auto"/>
                <w:sz w:val="22"/>
                <w:highlight w:val="none"/>
              </w:rPr>
            </w:pPr>
            <w:r>
              <w:rPr>
                <w:rFonts w:ascii="宋体" w:hAnsi="宋体" w:eastAsia="宋体" w:cs="宋体;SimSun"/>
                <w:color w:val="auto"/>
                <w:sz w:val="22"/>
                <w:highlight w:val="none"/>
              </w:rPr>
              <w:t>1、触摸屏尺寸≥5.0英寸，触摸屏分辨率≥480×854；</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2、前像素≥500W，后像素≥1300W，配置大喇叭；</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3、电池容量：≥3700mAh；</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15D79900">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E9BD09A">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16672FC">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C1DD91E">
            <w:pPr>
              <w:jc w:val="center"/>
              <w:rPr>
                <w:rFonts w:ascii="宋体" w:hAnsi="宋体" w:eastAsia="宋体" w:cs="宋体;SimSun"/>
                <w:color w:val="auto"/>
                <w:sz w:val="22"/>
                <w:highlight w:val="none"/>
              </w:rPr>
            </w:pPr>
            <w:r>
              <w:rPr>
                <w:rFonts w:ascii="宋体" w:hAnsi="宋体" w:eastAsia="宋体" w:cs="宋体;SimSun"/>
                <w:color w:val="auto"/>
                <w:sz w:val="22"/>
                <w:highlight w:val="none"/>
              </w:rPr>
              <w:t>14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874A0F0">
            <w:pPr>
              <w:jc w:val="center"/>
              <w:rPr>
                <w:rFonts w:ascii="宋体" w:hAnsi="宋体" w:eastAsia="宋体" w:cs="宋体;SimSun"/>
                <w:color w:val="auto"/>
                <w:sz w:val="22"/>
                <w:highlight w:val="none"/>
              </w:rPr>
            </w:pPr>
            <w:r>
              <w:rPr>
                <w:rFonts w:ascii="宋体" w:hAnsi="宋体" w:eastAsia="宋体" w:cs="宋体;SimSun"/>
                <w:color w:val="auto"/>
                <w:sz w:val="22"/>
                <w:highlight w:val="none"/>
              </w:rPr>
              <w:t>小型移动指挥平台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7D2A78A">
            <w:pPr>
              <w:jc w:val="left"/>
              <w:rPr>
                <w:rFonts w:ascii="宋体" w:hAnsi="宋体" w:eastAsia="宋体" w:cs="宋体;SimSun"/>
                <w:color w:val="auto"/>
                <w:sz w:val="22"/>
                <w:highlight w:val="none"/>
              </w:rPr>
            </w:pPr>
            <w:r>
              <w:rPr>
                <w:rFonts w:ascii="宋体" w:hAnsi="宋体" w:eastAsia="宋体" w:cs="宋体;SimSun"/>
                <w:color w:val="auto"/>
                <w:sz w:val="22"/>
                <w:highlight w:val="none"/>
              </w:rPr>
              <w:t>主要特征：</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 内置4 /5G无线传输，4G、5G全兼容；</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2、图像传感器：1/2.8英寸CMOS；传感器总像素约242万像素；</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3、水平解析度≥1000TVL；</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4、最大图像尺寸1920×1080；支持3D降噪；</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5、信噪比≥55dB；</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6、电子快门支持1/25～1/100000秒；支持慢快门；支持电子防抖，支持透雾功能，支持背光补偿，支持宽动态，支持强光抑制，数字变倍≥16倍，光学变倍≥33倍；</w:t>
            </w:r>
          </w:p>
          <w:p w14:paraId="06322869">
            <w:pPr>
              <w:jc w:val="left"/>
              <w:rPr>
                <w:rFonts w:ascii="宋体" w:hAnsi="宋体" w:eastAsia="宋体" w:cs="宋体;SimSun"/>
                <w:color w:val="auto"/>
                <w:sz w:val="22"/>
                <w:highlight w:val="none"/>
              </w:rPr>
            </w:pPr>
            <w:r>
              <w:rPr>
                <w:rFonts w:ascii="宋体" w:hAnsi="宋体" w:eastAsia="宋体" w:cs="宋体;SimSun"/>
                <w:color w:val="auto"/>
                <w:sz w:val="22"/>
                <w:highlight w:val="none"/>
              </w:rPr>
              <w:t>7、聚焦模式自动/半自动/手动，变倍速度：大约 3.5 秒(光学， 广角-望远) ，视场角优于60.5～2.3度（广角-望远）；</w:t>
            </w:r>
          </w:p>
          <w:p w14:paraId="3DB06F97">
            <w:pPr>
              <w:jc w:val="left"/>
              <w:rPr>
                <w:rFonts w:ascii="宋体" w:hAnsi="宋体" w:eastAsia="宋体" w:cs="宋体;SimSun"/>
                <w:color w:val="auto"/>
                <w:sz w:val="22"/>
                <w:highlight w:val="none"/>
              </w:rPr>
            </w:pPr>
            <w:r>
              <w:rPr>
                <w:rFonts w:ascii="宋体" w:hAnsi="宋体" w:eastAsia="宋体" w:cs="宋体;SimSun"/>
                <w:color w:val="auto"/>
                <w:sz w:val="22"/>
                <w:highlight w:val="none"/>
              </w:rPr>
              <w:t>8、内置Wi-Fi无线传输；</w:t>
            </w:r>
          </w:p>
          <w:p w14:paraId="2400DD05">
            <w:pPr>
              <w:jc w:val="left"/>
              <w:rPr>
                <w:rFonts w:ascii="宋体" w:hAnsi="宋体" w:eastAsia="宋体" w:cs="宋体;SimSun"/>
                <w:color w:val="auto"/>
                <w:sz w:val="22"/>
                <w:highlight w:val="none"/>
              </w:rPr>
            </w:pPr>
            <w:r>
              <w:rPr>
                <w:rFonts w:ascii="宋体" w:hAnsi="宋体" w:eastAsia="宋体" w:cs="宋体;SimSun"/>
                <w:color w:val="auto"/>
                <w:sz w:val="22"/>
                <w:highlight w:val="none"/>
              </w:rPr>
              <w:t>9、内置GPS或北斗定位；</w:t>
            </w:r>
          </w:p>
          <w:p w14:paraId="46FB80C0">
            <w:pPr>
              <w:jc w:val="left"/>
              <w:rPr>
                <w:rFonts w:ascii="宋体" w:hAnsi="宋体" w:eastAsia="宋体"/>
                <w:color w:val="auto"/>
                <w:highlight w:val="none"/>
              </w:rPr>
            </w:pPr>
            <w:r>
              <w:rPr>
                <w:rFonts w:ascii="宋体" w:hAnsi="宋体" w:eastAsia="宋体" w:cs="宋体;SimSun"/>
                <w:color w:val="auto"/>
                <w:sz w:val="22"/>
                <w:highlight w:val="none"/>
              </w:rPr>
              <w:t>10、采用大容量锂电池，支持≥10小时续航能力，支持电量显示；</w:t>
            </w:r>
          </w:p>
          <w:p w14:paraId="2A006E01">
            <w:pPr>
              <w:jc w:val="left"/>
              <w:rPr>
                <w:rFonts w:ascii="宋体" w:hAnsi="宋体" w:eastAsia="宋体" w:cs="宋体;SimSun"/>
                <w:color w:val="auto"/>
                <w:sz w:val="22"/>
                <w:highlight w:val="none"/>
              </w:rPr>
            </w:pPr>
            <w:r>
              <w:rPr>
                <w:rFonts w:ascii="宋体" w:hAnsi="宋体" w:eastAsia="宋体" w:cs="宋体;SimSun"/>
                <w:color w:val="auto"/>
                <w:sz w:val="22"/>
                <w:highlight w:val="none"/>
              </w:rPr>
              <w:t>11、内置扬声器，拾音器，实现双向语音对讲；</w:t>
            </w:r>
          </w:p>
          <w:p w14:paraId="3EA73D3F">
            <w:pPr>
              <w:jc w:val="left"/>
              <w:rPr>
                <w:rFonts w:ascii="宋体" w:hAnsi="宋体" w:eastAsia="宋体" w:cs="宋体;SimSun"/>
                <w:color w:val="auto"/>
                <w:sz w:val="22"/>
                <w:highlight w:val="none"/>
              </w:rPr>
            </w:pPr>
            <w:r>
              <w:rPr>
                <w:rFonts w:ascii="宋体" w:hAnsi="宋体" w:eastAsia="宋体" w:cs="宋体;SimSun"/>
                <w:color w:val="auto"/>
                <w:sz w:val="22"/>
                <w:highlight w:val="none"/>
              </w:rPr>
              <w:t>12、提手设计，强磁底盘，方便拆卸和安装；</w:t>
            </w:r>
          </w:p>
          <w:p w14:paraId="4D90A6D6">
            <w:pPr>
              <w:jc w:val="left"/>
              <w:rPr>
                <w:rFonts w:ascii="宋体" w:hAnsi="宋体" w:eastAsia="宋体" w:cs="宋体;SimSun"/>
                <w:color w:val="auto"/>
                <w:sz w:val="22"/>
                <w:highlight w:val="none"/>
              </w:rPr>
            </w:pPr>
            <w:r>
              <w:rPr>
                <w:rFonts w:ascii="宋体" w:hAnsi="宋体" w:eastAsia="宋体" w:cs="宋体;SimSun"/>
                <w:color w:val="auto"/>
                <w:sz w:val="22"/>
                <w:highlight w:val="none"/>
              </w:rPr>
              <w:t>13、帽檐设计，可以使画面更清晰；</w:t>
            </w:r>
          </w:p>
          <w:p w14:paraId="748EC565">
            <w:pPr>
              <w:jc w:val="left"/>
              <w:rPr>
                <w:rFonts w:ascii="宋体" w:hAnsi="宋体" w:eastAsia="宋体" w:cs="宋体;SimSun"/>
                <w:color w:val="auto"/>
                <w:sz w:val="22"/>
                <w:highlight w:val="none"/>
              </w:rPr>
            </w:pPr>
            <w:r>
              <w:rPr>
                <w:rFonts w:ascii="宋体" w:hAnsi="宋体" w:eastAsia="宋体" w:cs="宋体;SimSun"/>
                <w:color w:val="auto"/>
                <w:sz w:val="22"/>
                <w:highlight w:val="none"/>
              </w:rPr>
              <w:t>14、镁合金结构，重量更轻，韧性更强；</w:t>
            </w:r>
          </w:p>
          <w:p w14:paraId="5AF45278">
            <w:pPr>
              <w:jc w:val="left"/>
              <w:rPr>
                <w:rFonts w:ascii="宋体" w:hAnsi="宋体" w:eastAsia="宋体" w:cs="宋体;SimSun"/>
                <w:color w:val="auto"/>
                <w:sz w:val="22"/>
                <w:highlight w:val="none"/>
              </w:rPr>
            </w:pPr>
            <w:r>
              <w:rPr>
                <w:rFonts w:ascii="宋体" w:hAnsi="宋体" w:eastAsia="宋体" w:cs="宋体;SimSun"/>
                <w:color w:val="auto"/>
                <w:sz w:val="22"/>
                <w:highlight w:val="none"/>
              </w:rPr>
              <w:t>15、防水等级≥IP66；</w:t>
            </w:r>
          </w:p>
          <w:p w14:paraId="6061A8BE">
            <w:pPr>
              <w:jc w:val="left"/>
              <w:rPr>
                <w:rFonts w:ascii="宋体" w:hAnsi="宋体" w:eastAsia="宋体" w:cs="宋体;SimSun"/>
                <w:color w:val="auto"/>
                <w:sz w:val="22"/>
                <w:highlight w:val="none"/>
              </w:rPr>
            </w:pPr>
            <w:r>
              <w:rPr>
                <w:rFonts w:ascii="宋体" w:hAnsi="宋体" w:eastAsia="宋体" w:cs="宋体;SimSun"/>
                <w:color w:val="auto"/>
                <w:sz w:val="22"/>
                <w:highlight w:val="none"/>
              </w:rPr>
              <w:t>16、系统支持但不限于主码流分辨率及帧率：50Hz: 25fps(1920×1080,1280×960,1280×720)，60Hz: 30fps(1920×1080,1280×960,1280×720)；</w:t>
            </w:r>
          </w:p>
          <w:p w14:paraId="3FD96979">
            <w:pPr>
              <w:jc w:val="left"/>
              <w:rPr>
                <w:rFonts w:ascii="宋体" w:hAnsi="宋体" w:eastAsia="宋体" w:cs="宋体;SimSun"/>
                <w:color w:val="auto"/>
                <w:sz w:val="22"/>
                <w:highlight w:val="none"/>
              </w:rPr>
            </w:pPr>
            <w:r>
              <w:rPr>
                <w:rFonts w:ascii="宋体" w:hAnsi="宋体" w:eastAsia="宋体" w:cs="宋体;SimSun"/>
                <w:color w:val="auto"/>
                <w:sz w:val="22"/>
                <w:highlight w:val="none"/>
              </w:rPr>
              <w:t>17、系统支持但不限于视频编解码，H.265/H.264/MJPEG；</w:t>
            </w:r>
          </w:p>
          <w:p w14:paraId="40537179">
            <w:pPr>
              <w:jc w:val="left"/>
              <w:rPr>
                <w:rFonts w:ascii="宋体" w:hAnsi="宋体" w:eastAsia="宋体" w:cs="宋体;SimSun"/>
                <w:color w:val="auto"/>
                <w:sz w:val="22"/>
                <w:highlight w:val="none"/>
              </w:rPr>
            </w:pPr>
            <w:r>
              <w:rPr>
                <w:rFonts w:ascii="宋体" w:hAnsi="宋体" w:eastAsia="宋体" w:cs="宋体;SimSun"/>
                <w:color w:val="auto"/>
                <w:sz w:val="22"/>
                <w:highlight w:val="none"/>
              </w:rPr>
              <w:t>18、支持区域曝光/聚焦；</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C4BCF76">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5796071">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08259F0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61B5723">
            <w:pPr>
              <w:jc w:val="center"/>
              <w:rPr>
                <w:rFonts w:ascii="宋体" w:hAnsi="宋体" w:eastAsia="宋体" w:cs="宋体;SimSun"/>
                <w:color w:val="auto"/>
                <w:sz w:val="22"/>
                <w:highlight w:val="none"/>
              </w:rPr>
            </w:pPr>
            <w:r>
              <w:rPr>
                <w:rFonts w:ascii="宋体" w:hAnsi="宋体" w:eastAsia="宋体" w:cs="宋体;SimSun"/>
                <w:color w:val="auto"/>
                <w:sz w:val="22"/>
                <w:highlight w:val="none"/>
              </w:rPr>
              <w:t>15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46B048F">
            <w:pPr>
              <w:jc w:val="center"/>
              <w:rPr>
                <w:rFonts w:ascii="宋体" w:hAnsi="宋体" w:eastAsia="宋体" w:cs="宋体;SimSun"/>
                <w:color w:val="auto"/>
                <w:sz w:val="22"/>
                <w:highlight w:val="none"/>
              </w:rPr>
            </w:pPr>
            <w:r>
              <w:rPr>
                <w:rFonts w:ascii="宋体" w:hAnsi="宋体" w:eastAsia="宋体" w:cs="宋体;SimSun"/>
                <w:color w:val="auto"/>
                <w:sz w:val="22"/>
                <w:highlight w:val="none"/>
              </w:rPr>
              <w:t>触摸屏调度台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1A6AFB9">
            <w:pPr>
              <w:jc w:val="left"/>
              <w:rPr>
                <w:rFonts w:ascii="宋体" w:hAnsi="宋体" w:eastAsia="宋体" w:cs="宋体;SimSun"/>
                <w:color w:val="auto"/>
                <w:sz w:val="22"/>
                <w:highlight w:val="none"/>
              </w:rPr>
            </w:pPr>
            <w:r>
              <w:rPr>
                <w:rFonts w:ascii="宋体" w:hAnsi="宋体" w:eastAsia="宋体" w:cs="宋体;SimSun"/>
                <w:color w:val="auto"/>
                <w:sz w:val="22"/>
                <w:highlight w:val="none"/>
              </w:rPr>
              <w:t>1、桌面式或者壁挂式一体式机箱，铝合金面板。</w:t>
            </w:r>
          </w:p>
          <w:p w14:paraId="50B04CDE">
            <w:pPr>
              <w:jc w:val="left"/>
              <w:rPr>
                <w:rFonts w:ascii="宋体" w:hAnsi="宋体" w:eastAsia="宋体" w:cs="宋体;SimSun"/>
                <w:color w:val="auto"/>
                <w:sz w:val="22"/>
                <w:highlight w:val="none"/>
              </w:rPr>
            </w:pPr>
            <w:r>
              <w:rPr>
                <w:rFonts w:ascii="宋体" w:hAnsi="宋体" w:eastAsia="宋体" w:cs="宋体;SimSun"/>
                <w:color w:val="auto"/>
                <w:sz w:val="22"/>
                <w:highlight w:val="none"/>
              </w:rPr>
              <w:t>2、≥23寸液晶屏-宽视角；最大分辨率1920×1080 显示比例16:9；电容感应式触摸屏。</w:t>
            </w:r>
          </w:p>
          <w:p w14:paraId="5EFC904B">
            <w:pPr>
              <w:jc w:val="left"/>
              <w:rPr>
                <w:rFonts w:ascii="宋体" w:hAnsi="宋体" w:eastAsia="宋体" w:cs="宋体;SimSun"/>
                <w:color w:val="auto"/>
                <w:sz w:val="22"/>
                <w:highlight w:val="none"/>
              </w:rPr>
            </w:pPr>
            <w:r>
              <w:rPr>
                <w:rFonts w:ascii="宋体" w:hAnsi="宋体" w:eastAsia="宋体" w:cs="宋体;SimSun"/>
                <w:color w:val="auto"/>
                <w:sz w:val="22"/>
                <w:highlight w:val="none"/>
              </w:rPr>
              <w:t>3、双手柄调度台，内置定制话机≥2个。</w:t>
            </w:r>
          </w:p>
          <w:p w14:paraId="51A1DD62">
            <w:pPr>
              <w:jc w:val="left"/>
              <w:rPr>
                <w:rFonts w:ascii="宋体" w:hAnsi="宋体" w:eastAsia="宋体" w:cs="宋体;SimSun"/>
                <w:color w:val="auto"/>
                <w:sz w:val="22"/>
                <w:highlight w:val="none"/>
              </w:rPr>
            </w:pPr>
            <w:r>
              <w:rPr>
                <w:rFonts w:ascii="宋体" w:hAnsi="宋体" w:eastAsia="宋体" w:cs="宋体;SimSun"/>
                <w:color w:val="auto"/>
                <w:sz w:val="22"/>
                <w:highlight w:val="none"/>
              </w:rPr>
              <w:t>4、I/O接口：≥1*RJ45， ≥4*USB、≥2*RJ45网口、≥1*AUDIO、≥1*RS232；</w:t>
            </w:r>
          </w:p>
          <w:p w14:paraId="33CE0DAF">
            <w:pPr>
              <w:jc w:val="left"/>
              <w:rPr>
                <w:rFonts w:ascii="宋体" w:hAnsi="宋体" w:eastAsia="宋体" w:cs="宋体;SimSun"/>
                <w:color w:val="auto"/>
                <w:sz w:val="22"/>
                <w:highlight w:val="none"/>
              </w:rPr>
            </w:pPr>
            <w:r>
              <w:rPr>
                <w:rFonts w:ascii="宋体" w:hAnsi="宋体" w:eastAsia="宋体" w:cs="宋体;SimSun"/>
                <w:color w:val="auto"/>
                <w:sz w:val="22"/>
                <w:highlight w:val="none"/>
              </w:rPr>
              <w:t>5、内置定制话机≥2个，命令查询IP，一键免提。</w:t>
            </w:r>
          </w:p>
          <w:p w14:paraId="65C71D6C">
            <w:pPr>
              <w:jc w:val="left"/>
              <w:rPr>
                <w:rFonts w:ascii="宋体" w:hAnsi="宋体" w:eastAsia="宋体" w:cs="宋体;SimSun"/>
                <w:color w:val="auto"/>
                <w:sz w:val="22"/>
                <w:highlight w:val="none"/>
              </w:rPr>
            </w:pPr>
            <w:r>
              <w:rPr>
                <w:rFonts w:ascii="宋体" w:hAnsi="宋体" w:eastAsia="宋体" w:cs="宋体;SimSun"/>
                <w:color w:val="auto"/>
                <w:sz w:val="22"/>
                <w:highlight w:val="none"/>
              </w:rPr>
              <w:t>6、触点触摸精度≤±1mm。</w:t>
            </w:r>
          </w:p>
          <w:p w14:paraId="34B6F5E8">
            <w:pPr>
              <w:jc w:val="left"/>
              <w:rPr>
                <w:rFonts w:ascii="宋体" w:hAnsi="宋体" w:eastAsia="宋体" w:cs="宋体;SimSun"/>
                <w:color w:val="auto"/>
                <w:sz w:val="22"/>
                <w:highlight w:val="none"/>
              </w:rPr>
            </w:pPr>
            <w:r>
              <w:rPr>
                <w:rFonts w:ascii="宋体" w:hAnsi="宋体" w:eastAsia="宋体" w:cs="宋体;SimSun"/>
                <w:color w:val="auto"/>
                <w:sz w:val="22"/>
                <w:highlight w:val="none"/>
              </w:rPr>
              <w:t>7、≥1个VGA接口，≥HDMI接口。</w:t>
            </w:r>
          </w:p>
          <w:p w14:paraId="0B9628D5">
            <w:pPr>
              <w:jc w:val="left"/>
              <w:rPr>
                <w:rFonts w:ascii="宋体" w:hAnsi="宋体" w:eastAsia="宋体"/>
                <w:color w:val="auto"/>
                <w:highlight w:val="none"/>
              </w:rPr>
            </w:pPr>
            <w:r>
              <w:rPr>
                <w:rFonts w:ascii="宋体" w:hAnsi="宋体" w:eastAsia="宋体" w:cs="宋体;SimSun"/>
                <w:color w:val="auto"/>
                <w:sz w:val="22"/>
                <w:highlight w:val="none"/>
              </w:rPr>
              <w:t>8、调度台软件包括但不限于具有无人值守、分机接管、监听通话、通讯录、共享屏幕等功能。</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811ACCB">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719E98B">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09CE7A74">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B6B3973">
            <w:pPr>
              <w:jc w:val="center"/>
              <w:rPr>
                <w:rFonts w:ascii="宋体" w:hAnsi="宋体" w:eastAsia="宋体" w:cs="宋体;SimSun"/>
                <w:color w:val="auto"/>
                <w:sz w:val="22"/>
                <w:highlight w:val="none"/>
              </w:rPr>
            </w:pPr>
            <w:r>
              <w:rPr>
                <w:rFonts w:ascii="宋体" w:hAnsi="宋体" w:eastAsia="宋体" w:cs="宋体;SimSun"/>
                <w:color w:val="auto"/>
                <w:sz w:val="22"/>
                <w:highlight w:val="none"/>
              </w:rPr>
              <w:t>16</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2154EEA">
            <w:pPr>
              <w:jc w:val="center"/>
              <w:rPr>
                <w:rFonts w:ascii="宋体" w:hAnsi="宋体" w:eastAsia="宋体" w:cs="宋体;SimSun"/>
                <w:color w:val="auto"/>
                <w:sz w:val="22"/>
                <w:highlight w:val="none"/>
              </w:rPr>
            </w:pPr>
            <w:r>
              <w:rPr>
                <w:rFonts w:ascii="宋体" w:hAnsi="宋体" w:eastAsia="宋体" w:cs="宋体;SimSun"/>
                <w:color w:val="auto"/>
                <w:sz w:val="22"/>
                <w:highlight w:val="none"/>
              </w:rPr>
              <w:t>调度台配套音频终端</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3FE4A99">
            <w:pPr>
              <w:jc w:val="left"/>
              <w:rPr>
                <w:rFonts w:hint="eastAsia" w:ascii="宋体" w:hAnsi="宋体" w:eastAsia="宋体" w:cs="宋体;SimSun"/>
                <w:color w:val="auto"/>
                <w:sz w:val="22"/>
                <w:highlight w:val="none"/>
              </w:rPr>
            </w:pPr>
            <w:r>
              <w:rPr>
                <w:rFonts w:ascii="宋体" w:hAnsi="宋体" w:eastAsia="宋体" w:cs="宋体;SimSun"/>
                <w:color w:val="auto"/>
                <w:sz w:val="22"/>
                <w:highlight w:val="none"/>
              </w:rPr>
              <w:t>1、内置高保真扬声器。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2、彩色 LCD，≥128x160 像素。</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3、具有USB接口将电脑声音接入会场；</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4、耳机扩音: ≥1个3.5毫米接线口。</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5、内置蓝牙，可以与具备蓝牙免提或耳机设备相连接。</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6、电池: 可充电电池提供3小时以上通话时长。</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7、通过 USB 供电和为电池充电。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8、≥1000 mAh 锂离子电池。</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9、可以显示电池电量。</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10、待机 电池可持续 ≥72 小时通话 电池可持续 ≥12 小时。</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A11FABF">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12B7A71">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6255861">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3BBE92FD">
            <w:pPr>
              <w:jc w:val="center"/>
              <w:rPr>
                <w:rFonts w:ascii="宋体" w:hAnsi="宋体" w:eastAsia="宋体" w:cs="宋体;SimSun"/>
                <w:color w:val="auto"/>
                <w:sz w:val="22"/>
                <w:highlight w:val="none"/>
              </w:rPr>
            </w:pPr>
            <w:r>
              <w:rPr>
                <w:rFonts w:ascii="宋体" w:hAnsi="宋体" w:eastAsia="宋体" w:cs="宋体;SimSun"/>
                <w:color w:val="auto"/>
                <w:sz w:val="22"/>
                <w:highlight w:val="none"/>
              </w:rPr>
              <w:t>17</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27B5FA4">
            <w:pPr>
              <w:jc w:val="center"/>
              <w:rPr>
                <w:rFonts w:ascii="宋体" w:hAnsi="宋体" w:eastAsia="宋体" w:cs="宋体;SimSun"/>
                <w:color w:val="auto"/>
                <w:sz w:val="22"/>
                <w:highlight w:val="none"/>
              </w:rPr>
            </w:pPr>
            <w:r>
              <w:rPr>
                <w:rFonts w:ascii="宋体" w:hAnsi="宋体" w:eastAsia="宋体" w:cs="宋体;SimSun"/>
                <w:color w:val="auto"/>
                <w:sz w:val="22"/>
                <w:highlight w:val="none"/>
              </w:rPr>
              <w:t>视频IP话机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5F2F5E7">
            <w:pPr>
              <w:jc w:val="left"/>
              <w:rPr>
                <w:rFonts w:ascii="宋体" w:hAnsi="宋体" w:eastAsia="宋体" w:cs="宋体;SimSun"/>
                <w:color w:val="auto"/>
                <w:sz w:val="22"/>
                <w:highlight w:val="none"/>
              </w:rPr>
            </w:pPr>
            <w:r>
              <w:rPr>
                <w:rFonts w:ascii="宋体" w:hAnsi="宋体" w:eastAsia="宋体" w:cs="宋体;SimSun"/>
                <w:color w:val="auto"/>
                <w:sz w:val="22"/>
                <w:highlight w:val="none"/>
              </w:rPr>
              <w:t>1、系统支持但不限于主视频编解码：H.264 High profile。</w:t>
            </w:r>
          </w:p>
          <w:p w14:paraId="51D32E1F">
            <w:pPr>
              <w:jc w:val="left"/>
              <w:rPr>
                <w:rFonts w:ascii="宋体" w:hAnsi="宋体" w:eastAsia="宋体" w:cs="宋体;SimSun"/>
                <w:color w:val="auto"/>
                <w:sz w:val="22"/>
                <w:highlight w:val="none"/>
              </w:rPr>
            </w:pPr>
            <w:r>
              <w:rPr>
                <w:rFonts w:ascii="宋体" w:hAnsi="宋体" w:eastAsia="宋体" w:cs="宋体;SimSun"/>
                <w:color w:val="auto"/>
                <w:sz w:val="22"/>
                <w:highlight w:val="none"/>
              </w:rPr>
              <w:t>2、≥8英寸 ，≥1280×800 像素的彩色触控显示屏。</w:t>
            </w:r>
          </w:p>
          <w:p w14:paraId="147867FD">
            <w:pPr>
              <w:jc w:val="left"/>
              <w:rPr>
                <w:rFonts w:ascii="宋体" w:hAnsi="宋体" w:eastAsia="宋体" w:cs="宋体;SimSun"/>
                <w:color w:val="auto"/>
                <w:sz w:val="22"/>
                <w:highlight w:val="none"/>
              </w:rPr>
            </w:pPr>
            <w:r>
              <w:rPr>
                <w:rFonts w:ascii="宋体" w:hAnsi="宋体" w:eastAsia="宋体" w:cs="宋体;SimSun"/>
                <w:color w:val="auto"/>
                <w:sz w:val="22"/>
                <w:highlight w:val="none"/>
              </w:rPr>
              <w:t>3、≥27 个触控记忆键，≥6 个 SIP 账号。</w:t>
            </w:r>
          </w:p>
          <w:p w14:paraId="4DA140A0">
            <w:pPr>
              <w:jc w:val="left"/>
              <w:rPr>
                <w:rFonts w:ascii="宋体" w:hAnsi="宋体" w:eastAsia="宋体" w:cs="宋体;SimSun"/>
                <w:color w:val="auto"/>
                <w:sz w:val="22"/>
                <w:highlight w:val="none"/>
              </w:rPr>
            </w:pPr>
            <w:r>
              <w:rPr>
                <w:rFonts w:ascii="宋体" w:hAnsi="宋体" w:eastAsia="宋体" w:cs="宋体;SimSun"/>
                <w:color w:val="auto"/>
                <w:sz w:val="22"/>
                <w:highlight w:val="none"/>
              </w:rPr>
              <w:t>4、支持通话录音及无线 USB 耳机。</w:t>
            </w:r>
          </w:p>
          <w:p w14:paraId="0D563CAD">
            <w:pPr>
              <w:jc w:val="left"/>
              <w:rPr>
                <w:rFonts w:ascii="宋体" w:hAnsi="宋体" w:eastAsia="宋体" w:cs="宋体;SimSun"/>
                <w:color w:val="auto"/>
                <w:sz w:val="22"/>
                <w:highlight w:val="none"/>
              </w:rPr>
            </w:pPr>
            <w:r>
              <w:rPr>
                <w:rFonts w:ascii="宋体" w:hAnsi="宋体" w:eastAsia="宋体" w:cs="宋体;SimSun"/>
                <w:color w:val="auto"/>
                <w:sz w:val="22"/>
                <w:highlight w:val="none"/>
              </w:rPr>
              <w:t>5、USB 接口≥2个。</w:t>
            </w:r>
          </w:p>
          <w:p w14:paraId="48746A4C">
            <w:pPr>
              <w:jc w:val="left"/>
              <w:rPr>
                <w:rFonts w:ascii="宋体" w:hAnsi="宋体" w:eastAsia="宋体" w:cs="宋体;SimSun"/>
                <w:color w:val="auto"/>
                <w:sz w:val="22"/>
                <w:highlight w:val="none"/>
              </w:rPr>
            </w:pPr>
            <w:r>
              <w:rPr>
                <w:rFonts w:ascii="宋体" w:hAnsi="宋体" w:eastAsia="宋体" w:cs="宋体;SimSun"/>
                <w:color w:val="auto"/>
                <w:sz w:val="22"/>
                <w:highlight w:val="none"/>
              </w:rPr>
              <w:t>6、网络接口，≥2个1000M接口。</w:t>
            </w:r>
          </w:p>
          <w:p w14:paraId="3BE37928">
            <w:pPr>
              <w:jc w:val="left"/>
              <w:rPr>
                <w:rFonts w:ascii="宋体" w:hAnsi="宋体" w:eastAsia="宋体" w:cs="宋体;SimSun"/>
                <w:color w:val="auto"/>
                <w:sz w:val="22"/>
                <w:highlight w:val="none"/>
              </w:rPr>
            </w:pPr>
            <w:r>
              <w:rPr>
                <w:rFonts w:ascii="宋体" w:hAnsi="宋体" w:eastAsia="宋体" w:cs="宋体;SimSun"/>
                <w:color w:val="auto"/>
                <w:sz w:val="22"/>
                <w:highlight w:val="none"/>
              </w:rPr>
              <w:t>7、手柄接口RJ-9。</w:t>
            </w:r>
          </w:p>
          <w:p w14:paraId="25E1318A">
            <w:pPr>
              <w:jc w:val="left"/>
              <w:rPr>
                <w:rFonts w:ascii="宋体" w:hAnsi="宋体" w:eastAsia="宋体" w:cs="宋体;SimSun"/>
                <w:color w:val="auto"/>
                <w:sz w:val="22"/>
                <w:highlight w:val="none"/>
              </w:rPr>
            </w:pPr>
            <w:r>
              <w:rPr>
                <w:rFonts w:ascii="宋体" w:hAnsi="宋体" w:eastAsia="宋体" w:cs="宋体;SimSun"/>
                <w:color w:val="auto"/>
                <w:sz w:val="22"/>
                <w:highlight w:val="none"/>
              </w:rPr>
              <w:t>8、耳机接口RJ-9。</w:t>
            </w:r>
          </w:p>
          <w:p w14:paraId="1487A96E">
            <w:pPr>
              <w:jc w:val="left"/>
              <w:rPr>
                <w:rFonts w:ascii="宋体" w:hAnsi="宋体" w:eastAsia="宋体" w:cs="宋体;SimSun"/>
                <w:color w:val="auto"/>
                <w:sz w:val="22"/>
                <w:highlight w:val="none"/>
              </w:rPr>
            </w:pPr>
            <w:r>
              <w:rPr>
                <w:rFonts w:ascii="宋体" w:hAnsi="宋体" w:eastAsia="宋体" w:cs="宋体;SimSun"/>
                <w:color w:val="auto"/>
                <w:sz w:val="22"/>
                <w:highlight w:val="none"/>
              </w:rPr>
              <w:t>9、系统支持但不限于编解码：G.711(A/µ), G.729A/B, G.726, G.723.1, iLBC。</w:t>
            </w:r>
          </w:p>
          <w:p w14:paraId="7CC7391A">
            <w:pPr>
              <w:jc w:val="left"/>
              <w:rPr>
                <w:rFonts w:ascii="宋体" w:hAnsi="宋体" w:eastAsia="宋体"/>
                <w:color w:val="auto"/>
                <w:highlight w:val="none"/>
              </w:rPr>
            </w:pPr>
            <w:r>
              <w:rPr>
                <w:rFonts w:ascii="宋体" w:hAnsi="宋体" w:eastAsia="宋体" w:cs="宋体;SimSun"/>
                <w:color w:val="auto"/>
                <w:sz w:val="22"/>
                <w:highlight w:val="none"/>
              </w:rPr>
              <w:t>10、PoE供电：内置PoE。</w:t>
            </w:r>
          </w:p>
          <w:p w14:paraId="4F0891C6">
            <w:pPr>
              <w:jc w:val="left"/>
              <w:rPr>
                <w:rFonts w:ascii="宋体" w:hAnsi="宋体" w:eastAsia="宋体" w:cs="宋体;SimSun"/>
                <w:color w:val="auto"/>
                <w:sz w:val="22"/>
                <w:highlight w:val="none"/>
              </w:rPr>
            </w:pPr>
            <w:r>
              <w:rPr>
                <w:rFonts w:ascii="宋体" w:hAnsi="宋体" w:eastAsia="宋体" w:cs="宋体;SimSun"/>
                <w:color w:val="auto"/>
                <w:sz w:val="22"/>
                <w:highlight w:val="none"/>
              </w:rPr>
              <w:t>11、内置蓝牙。</w:t>
            </w:r>
          </w:p>
          <w:p w14:paraId="44D63CD8">
            <w:pPr>
              <w:jc w:val="left"/>
              <w:rPr>
                <w:rFonts w:ascii="宋体" w:hAnsi="宋体" w:eastAsia="宋体" w:cs="宋体;SimSun"/>
                <w:color w:val="auto"/>
                <w:sz w:val="22"/>
                <w:highlight w:val="none"/>
              </w:rPr>
            </w:pPr>
            <w:r>
              <w:rPr>
                <w:rFonts w:ascii="宋体" w:hAnsi="宋体" w:eastAsia="宋体" w:cs="宋体;SimSun"/>
                <w:color w:val="auto"/>
                <w:sz w:val="22"/>
                <w:highlight w:val="none"/>
              </w:rPr>
              <w:t>12、系统支持但不限于下述功能：音频通话、视频通话、呼叫保持、呼叫转移，通话排队能力，含来电呼叫、去电呼叫、通话中的呼叫。</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5B449EF">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E5CB344">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F6A1DDA">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285E7B0">
            <w:pPr>
              <w:jc w:val="center"/>
              <w:rPr>
                <w:rFonts w:ascii="宋体" w:hAnsi="宋体" w:eastAsia="宋体" w:cs="宋体;SimSun"/>
                <w:color w:val="auto"/>
                <w:sz w:val="22"/>
                <w:highlight w:val="none"/>
              </w:rPr>
            </w:pPr>
            <w:r>
              <w:rPr>
                <w:rFonts w:ascii="宋体" w:hAnsi="宋体" w:eastAsia="宋体" w:cs="宋体;SimSun"/>
                <w:color w:val="auto"/>
                <w:sz w:val="22"/>
                <w:highlight w:val="none"/>
              </w:rPr>
              <w:t>19</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7481AF33">
            <w:pPr>
              <w:jc w:val="center"/>
              <w:rPr>
                <w:rFonts w:ascii="宋体" w:hAnsi="宋体" w:eastAsia="宋体" w:cs="宋体;SimSun"/>
                <w:color w:val="auto"/>
                <w:sz w:val="22"/>
                <w:highlight w:val="none"/>
              </w:rPr>
            </w:pPr>
            <w:r>
              <w:rPr>
                <w:rFonts w:ascii="宋体" w:hAnsi="宋体" w:eastAsia="宋体" w:cs="宋体;SimSun"/>
                <w:color w:val="auto"/>
                <w:sz w:val="22"/>
                <w:highlight w:val="none"/>
              </w:rPr>
              <w:t>短信服务</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05B528F">
            <w:pPr>
              <w:jc w:val="left"/>
              <w:rPr>
                <w:rFonts w:ascii="宋体" w:hAnsi="宋体" w:eastAsia="宋体" w:cs="宋体;SimSun"/>
                <w:color w:val="auto"/>
                <w:sz w:val="22"/>
                <w:highlight w:val="none"/>
              </w:rPr>
            </w:pPr>
            <w:r>
              <w:rPr>
                <w:rFonts w:ascii="宋体" w:hAnsi="宋体" w:eastAsia="宋体" w:cs="宋体;SimSun"/>
                <w:color w:val="auto"/>
                <w:sz w:val="22"/>
                <w:highlight w:val="none"/>
              </w:rPr>
              <w:t>提供短信群发通道和短信群发服务，包含≥30000条短信服务，提供短信二次开发接口和服务支持。</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0F72C3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8D0508A">
            <w:pPr>
              <w:jc w:val="center"/>
              <w:rPr>
                <w:rFonts w:ascii="宋体" w:hAnsi="宋体" w:eastAsia="宋体" w:cs="宋体;SimSun"/>
                <w:color w:val="auto"/>
                <w:sz w:val="22"/>
                <w:highlight w:val="none"/>
              </w:rPr>
            </w:pPr>
            <w:r>
              <w:rPr>
                <w:rFonts w:ascii="宋体" w:hAnsi="宋体" w:eastAsia="宋体" w:cs="宋体;SimSun"/>
                <w:color w:val="auto"/>
                <w:sz w:val="22"/>
                <w:highlight w:val="none"/>
              </w:rPr>
              <w:t>项</w:t>
            </w:r>
          </w:p>
        </w:tc>
      </w:tr>
      <w:tr w14:paraId="3561970B">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520A2E2">
            <w:pPr>
              <w:jc w:val="center"/>
              <w:rPr>
                <w:rFonts w:ascii="宋体" w:hAnsi="宋体" w:eastAsia="宋体" w:cs="宋体;SimSun"/>
                <w:color w:val="auto"/>
                <w:sz w:val="22"/>
                <w:highlight w:val="none"/>
              </w:rPr>
            </w:pPr>
            <w:r>
              <w:rPr>
                <w:rFonts w:ascii="宋体" w:hAnsi="宋体" w:eastAsia="宋体" w:cs="宋体;SimSun"/>
                <w:color w:val="auto"/>
                <w:sz w:val="22"/>
                <w:highlight w:val="none"/>
              </w:rPr>
              <w:t>20</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D5DFBCA">
            <w:pPr>
              <w:jc w:val="center"/>
              <w:rPr>
                <w:rFonts w:ascii="宋体" w:hAnsi="宋体" w:eastAsia="宋体" w:cs="宋体;SimSun"/>
                <w:color w:val="auto"/>
                <w:sz w:val="22"/>
                <w:highlight w:val="none"/>
              </w:rPr>
            </w:pPr>
            <w:r>
              <w:rPr>
                <w:rFonts w:ascii="宋体" w:hAnsi="宋体" w:eastAsia="宋体" w:cs="宋体;SimSun"/>
                <w:color w:val="auto"/>
                <w:sz w:val="22"/>
                <w:highlight w:val="none"/>
              </w:rPr>
              <w:t>第三方业务开发接口模块</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5B4DB207">
            <w:pPr>
              <w:jc w:val="left"/>
              <w:rPr>
                <w:rFonts w:ascii="宋体" w:hAnsi="宋体" w:eastAsia="宋体" w:cs="宋体;SimSun"/>
                <w:color w:val="auto"/>
                <w:sz w:val="22"/>
                <w:highlight w:val="none"/>
              </w:rPr>
            </w:pPr>
            <w:r>
              <w:rPr>
                <w:rFonts w:ascii="宋体" w:hAnsi="宋体" w:eastAsia="宋体" w:cs="宋体;SimSun"/>
                <w:color w:val="auto"/>
                <w:sz w:val="22"/>
                <w:highlight w:val="none"/>
              </w:rPr>
              <w:t>1、提供多种接口方式，支持包括WebSocket、HTTP、apache-activemq但不限于上述模式，为平台软件推送消息，可以实现通讯录同步、语音呼叫、呼叫记录、录音、会议、广播、点击呼叫视频会议控制等二次开发功能。</w:t>
            </w:r>
          </w:p>
          <w:p w14:paraId="51AA71A1">
            <w:pPr>
              <w:jc w:val="left"/>
              <w:rPr>
                <w:rFonts w:ascii="宋体" w:hAnsi="宋体" w:eastAsia="宋体" w:cs="宋体;SimSun"/>
                <w:color w:val="auto"/>
                <w:sz w:val="22"/>
                <w:highlight w:val="none"/>
              </w:rPr>
            </w:pPr>
            <w:r>
              <w:rPr>
                <w:rFonts w:ascii="宋体" w:hAnsi="宋体" w:eastAsia="宋体" w:cs="宋体;SimSun"/>
                <w:color w:val="auto"/>
                <w:sz w:val="22"/>
                <w:highlight w:val="none"/>
              </w:rPr>
              <w:t>2、集成开发后可以通过平台软件实现音视频调度，在业务平台软件上可以实现与APP的即时聊天：发送和接收文字、图片、语音、视频等即时通讯功能，同步通讯录，支持音视频呼叫和视频会议，支持以B/S页面方式嵌入到业务系统软件。</w:t>
            </w:r>
          </w:p>
          <w:p w14:paraId="48F8C685">
            <w:pPr>
              <w:jc w:val="left"/>
              <w:rPr>
                <w:rFonts w:ascii="宋体" w:hAnsi="宋体" w:eastAsia="宋体" w:cs="宋体;SimSun"/>
                <w:color w:val="auto"/>
                <w:sz w:val="22"/>
                <w:highlight w:val="none"/>
              </w:rPr>
            </w:pPr>
            <w:r>
              <w:rPr>
                <w:rFonts w:ascii="宋体" w:hAnsi="宋体" w:eastAsia="宋体" w:cs="宋体;SimSun"/>
                <w:color w:val="auto"/>
                <w:sz w:val="22"/>
                <w:highlight w:val="none"/>
              </w:rPr>
              <w:t>3、预留接口与上级管理对接，实现数据共享和业务协调。</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439806E">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2A0163B">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133C9E91">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4A6EF5E1">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10、易燃易爆有毒有害气体泄漏监测设备（用于监测金桥丰益氯碱（连云港）有限公司氯气泄漏）</w:t>
            </w:r>
          </w:p>
        </w:tc>
      </w:tr>
      <w:tr w14:paraId="4FC90808">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EF4E6EE">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5DDFAD54">
            <w:pPr>
              <w:jc w:val="center"/>
              <w:rPr>
                <w:rFonts w:ascii="宋体" w:hAnsi="宋体" w:eastAsia="宋体" w:cs="宋体;SimSun"/>
                <w:color w:val="auto"/>
                <w:sz w:val="22"/>
                <w:highlight w:val="none"/>
              </w:rPr>
            </w:pPr>
            <w:r>
              <w:rPr>
                <w:rFonts w:ascii="宋体" w:hAnsi="宋体" w:eastAsia="宋体" w:cs="宋体;SimSun"/>
                <w:color w:val="auto"/>
                <w:sz w:val="22"/>
                <w:highlight w:val="none"/>
              </w:rPr>
              <w:t>氯气泄漏监测设备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6EFF4FE">
            <w:pPr>
              <w:jc w:val="left"/>
              <w:rPr>
                <w:rFonts w:ascii="宋体" w:hAnsi="宋体" w:eastAsia="宋体"/>
                <w:color w:val="auto"/>
                <w:highlight w:val="none"/>
              </w:rPr>
            </w:pPr>
            <w:r>
              <w:rPr>
                <w:rFonts w:ascii="宋体" w:hAnsi="宋体" w:eastAsia="宋体" w:cs="宋体;SimSun"/>
                <w:color w:val="auto"/>
                <w:sz w:val="22"/>
                <w:highlight w:val="none"/>
              </w:rPr>
              <w:t>采用电化学传感器，检测量程0～20ppm；整机防护等级不低于IP67，满足现场防尘防水使用需求；产品防爆等级不低于Ex ib ⅡB T4 Gb，适用于化工易燃易爆危险场所安装使用；支持第三方平台对接，满足化工园区管理平台监测要求。</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3E8FAD7">
            <w:pPr>
              <w:jc w:val="center"/>
              <w:rPr>
                <w:rFonts w:ascii="宋体" w:hAnsi="宋体" w:eastAsia="宋体" w:cs="宋体;SimSun"/>
                <w:color w:val="auto"/>
                <w:sz w:val="22"/>
                <w:highlight w:val="none"/>
              </w:rPr>
            </w:pPr>
            <w:r>
              <w:rPr>
                <w:rFonts w:ascii="宋体" w:hAnsi="宋体" w:eastAsia="宋体" w:cs="宋体;SimSun"/>
                <w:color w:val="auto"/>
                <w:sz w:val="22"/>
                <w:highlight w:val="none"/>
              </w:rPr>
              <w:t>12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68A0B6D1">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64446C3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C78EACA">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0F705AD">
            <w:pPr>
              <w:jc w:val="center"/>
              <w:rPr>
                <w:rFonts w:ascii="宋体" w:hAnsi="宋体" w:eastAsia="宋体" w:cs="宋体;SimSun"/>
                <w:color w:val="auto"/>
                <w:sz w:val="22"/>
                <w:highlight w:val="none"/>
              </w:rPr>
            </w:pPr>
            <w:r>
              <w:rPr>
                <w:rFonts w:ascii="宋体" w:hAnsi="宋体" w:eastAsia="宋体" w:cs="宋体;SimSun"/>
                <w:color w:val="auto"/>
                <w:sz w:val="22"/>
                <w:highlight w:val="none"/>
              </w:rPr>
              <w:t>数据云平台</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473D0603">
            <w:pPr>
              <w:jc w:val="left"/>
              <w:rPr>
                <w:rFonts w:ascii="宋体" w:hAnsi="宋体" w:eastAsia="宋体" w:cs="宋体;SimSun"/>
                <w:color w:val="auto"/>
                <w:sz w:val="22"/>
                <w:highlight w:val="none"/>
              </w:rPr>
            </w:pPr>
            <w:r>
              <w:rPr>
                <w:rFonts w:ascii="宋体" w:hAnsi="宋体" w:eastAsia="宋体" w:cs="宋体;SimSun"/>
                <w:color w:val="auto"/>
                <w:sz w:val="22"/>
                <w:highlight w:val="none"/>
              </w:rPr>
              <w:t>接收、处理、转发监测数据</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17A8DFA">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732E128">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0030E684">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1B16F009">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3E88855">
            <w:pPr>
              <w:jc w:val="center"/>
              <w:rPr>
                <w:rFonts w:ascii="宋体" w:hAnsi="宋体" w:eastAsia="宋体" w:cs="宋体;SimSun"/>
                <w:color w:val="auto"/>
                <w:sz w:val="22"/>
                <w:highlight w:val="none"/>
              </w:rPr>
            </w:pPr>
            <w:r>
              <w:rPr>
                <w:rFonts w:ascii="宋体" w:hAnsi="宋体" w:eastAsia="宋体" w:cs="宋体;SimSun"/>
                <w:color w:val="auto"/>
                <w:sz w:val="22"/>
                <w:highlight w:val="none"/>
              </w:rPr>
              <w:t>设备对接服务</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29999C9">
            <w:pPr>
              <w:jc w:val="left"/>
              <w:rPr>
                <w:rFonts w:ascii="宋体" w:hAnsi="宋体" w:eastAsia="宋体" w:cs="宋体;SimSun"/>
                <w:color w:val="auto"/>
                <w:sz w:val="22"/>
                <w:highlight w:val="none"/>
              </w:rPr>
            </w:pPr>
            <w:r>
              <w:rPr>
                <w:rFonts w:ascii="宋体" w:hAnsi="宋体" w:eastAsia="宋体" w:cs="宋体;SimSun"/>
                <w:color w:val="auto"/>
                <w:sz w:val="22"/>
                <w:highlight w:val="none"/>
              </w:rPr>
              <w:t>对接设备监测数据至园区管理平台</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F33C2D4">
            <w:pPr>
              <w:jc w:val="center"/>
              <w:rPr>
                <w:rFonts w:ascii="宋体" w:hAnsi="宋体" w:eastAsia="宋体" w:cs="宋体;SimSun"/>
                <w:color w:val="auto"/>
                <w:sz w:val="22"/>
                <w:highlight w:val="none"/>
              </w:rPr>
            </w:pPr>
            <w:r>
              <w:rPr>
                <w:rFonts w:ascii="宋体" w:hAnsi="宋体" w:eastAsia="宋体" w:cs="宋体;SimSun"/>
                <w:color w:val="auto"/>
                <w:sz w:val="22"/>
                <w:highlight w:val="none"/>
              </w:rPr>
              <w:t>12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5A3B12B">
            <w:pPr>
              <w:jc w:val="center"/>
              <w:rPr>
                <w:rFonts w:ascii="宋体" w:hAnsi="宋体" w:eastAsia="宋体" w:cs="宋体;SimSun"/>
                <w:color w:val="auto"/>
                <w:sz w:val="22"/>
                <w:highlight w:val="none"/>
              </w:rPr>
            </w:pPr>
            <w:r>
              <w:rPr>
                <w:rFonts w:ascii="宋体" w:hAnsi="宋体" w:eastAsia="宋体" w:cs="宋体;SimSun"/>
                <w:color w:val="auto"/>
                <w:sz w:val="22"/>
                <w:highlight w:val="none"/>
              </w:rPr>
              <w:t>项</w:t>
            </w:r>
          </w:p>
        </w:tc>
      </w:tr>
      <w:tr w14:paraId="6EFC066F">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71B63EB1">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CD9F4A9">
            <w:pPr>
              <w:jc w:val="center"/>
              <w:rPr>
                <w:rFonts w:ascii="宋体" w:hAnsi="宋体" w:eastAsia="宋体" w:cs="宋体;SimSun"/>
                <w:color w:val="auto"/>
                <w:sz w:val="22"/>
                <w:highlight w:val="none"/>
              </w:rPr>
            </w:pPr>
            <w:r>
              <w:rPr>
                <w:rFonts w:ascii="宋体" w:hAnsi="宋体" w:eastAsia="宋体" w:cs="宋体;SimSun"/>
                <w:color w:val="auto"/>
                <w:sz w:val="22"/>
                <w:highlight w:val="none"/>
              </w:rPr>
              <w:t>辅材及安装</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1BE4186D">
            <w:pPr>
              <w:jc w:val="left"/>
              <w:rPr>
                <w:rFonts w:ascii="宋体" w:hAnsi="宋体" w:eastAsia="宋体" w:cs="宋体;SimSun"/>
                <w:color w:val="auto"/>
                <w:sz w:val="22"/>
                <w:highlight w:val="none"/>
              </w:rPr>
            </w:pPr>
            <w:r>
              <w:rPr>
                <w:rFonts w:ascii="宋体" w:hAnsi="宋体" w:eastAsia="宋体" w:cs="宋体;SimSun"/>
                <w:color w:val="auto"/>
                <w:sz w:val="22"/>
                <w:highlight w:val="none"/>
              </w:rPr>
              <w:t>立杆、防撞护栏、抱箍、螺丝、水泥、沙土等，安装、调试。</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0FEE977">
            <w:pPr>
              <w:jc w:val="center"/>
              <w:rPr>
                <w:rFonts w:ascii="宋体" w:hAnsi="宋体" w:eastAsia="宋体" w:cs="宋体;SimSun"/>
                <w:color w:val="auto"/>
                <w:sz w:val="22"/>
                <w:highlight w:val="none"/>
              </w:rPr>
            </w:pPr>
            <w:r>
              <w:rPr>
                <w:rFonts w:ascii="宋体" w:hAnsi="宋体" w:eastAsia="宋体" w:cs="宋体;SimSun"/>
                <w:color w:val="auto"/>
                <w:sz w:val="22"/>
                <w:highlight w:val="none"/>
              </w:rPr>
              <w:t>12</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B25958A">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52452399">
        <w:tblPrEx>
          <w:tblCellMar>
            <w:top w:w="0" w:type="dxa"/>
            <w:left w:w="108" w:type="dxa"/>
            <w:bottom w:w="0" w:type="dxa"/>
            <w:right w:w="108" w:type="dxa"/>
          </w:tblCellMar>
        </w:tblPrEx>
        <w:trPr>
          <w:trHeight w:val="270" w:hRule="atLeast"/>
        </w:trPr>
        <w:tc>
          <w:tcPr>
            <w:tcW w:w="13958" w:type="dxa"/>
            <w:gridSpan w:val="5"/>
            <w:tcBorders>
              <w:top w:val="single" w:color="000000" w:sz="4" w:space="0"/>
              <w:left w:val="single" w:color="000000" w:sz="4" w:space="0"/>
              <w:bottom w:val="single" w:color="000000" w:sz="4" w:space="0"/>
              <w:right w:val="single" w:color="000000" w:sz="4" w:space="0"/>
            </w:tcBorders>
            <w:noWrap w:val="0"/>
            <w:vAlign w:val="center"/>
          </w:tcPr>
          <w:p w14:paraId="25432EF2">
            <w:pPr>
              <w:jc w:val="left"/>
              <w:rPr>
                <w:rFonts w:ascii="宋体" w:hAnsi="宋体" w:eastAsia="宋体" w:cs="宋体;SimSun"/>
                <w:b/>
                <w:bCs/>
                <w:color w:val="auto"/>
                <w:sz w:val="22"/>
                <w:highlight w:val="none"/>
              </w:rPr>
            </w:pPr>
            <w:r>
              <w:rPr>
                <w:rFonts w:ascii="宋体" w:hAnsi="宋体" w:eastAsia="宋体" w:cs="宋体;SimSun"/>
                <w:b/>
                <w:bCs/>
                <w:color w:val="auto"/>
                <w:sz w:val="22"/>
                <w:highlight w:val="none"/>
              </w:rPr>
              <w:t>11、其他设备</w:t>
            </w:r>
          </w:p>
        </w:tc>
      </w:tr>
      <w:tr w14:paraId="7195810B">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05285C1">
            <w:pPr>
              <w:jc w:val="center"/>
              <w:rPr>
                <w:rFonts w:ascii="宋体" w:hAnsi="宋体" w:eastAsia="宋体" w:cs="宋体;SimSun"/>
                <w:color w:val="auto"/>
                <w:sz w:val="22"/>
                <w:highlight w:val="none"/>
              </w:rPr>
            </w:pPr>
            <w:r>
              <w:rPr>
                <w:rFonts w:ascii="宋体" w:hAnsi="宋体" w:eastAsia="宋体" w:cs="宋体;SimSun"/>
                <w:color w:val="auto"/>
                <w:sz w:val="22"/>
                <w:highlight w:val="none"/>
              </w:rPr>
              <w:t>1</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42A79358">
            <w:pPr>
              <w:jc w:val="center"/>
              <w:rPr>
                <w:rFonts w:ascii="宋体" w:hAnsi="宋体" w:eastAsia="宋体" w:cs="宋体;SimSun"/>
                <w:color w:val="auto"/>
                <w:sz w:val="22"/>
                <w:highlight w:val="none"/>
              </w:rPr>
            </w:pPr>
            <w:r>
              <w:rPr>
                <w:rFonts w:ascii="宋体" w:hAnsi="宋体" w:eastAsia="宋体" w:cs="宋体;SimSun"/>
                <w:color w:val="auto"/>
                <w:sz w:val="22"/>
                <w:highlight w:val="none"/>
              </w:rPr>
              <w:t>移动布控球套装</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A59434C">
            <w:pPr>
              <w:jc w:val="left"/>
              <w:rPr>
                <w:rFonts w:ascii="宋体" w:hAnsi="宋体" w:eastAsia="宋体" w:cs="宋体;SimSun"/>
                <w:color w:val="auto"/>
                <w:sz w:val="22"/>
                <w:highlight w:val="none"/>
              </w:rPr>
            </w:pPr>
            <w:r>
              <w:rPr>
                <w:rFonts w:ascii="宋体" w:hAnsi="宋体" w:eastAsia="宋体" w:cs="宋体;SimSun"/>
                <w:color w:val="auto"/>
                <w:sz w:val="22"/>
                <w:highlight w:val="none"/>
              </w:rPr>
              <w:t>防爆等级：Ex db ib IIC T6 Gb/Ex ib tb IIIC T80°C Db，适用1区、2区所有气体环境。</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400万分辨率</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内置麦克风、扬声器</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支持对接气体传感器，及时上报环境内易燃易爆及有害气体状态</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支持AI检测，如入侵、安全帽佩戴、在离岗、抽烟、打电话等行为检测</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设备自带显示屏，可展示电池电量、联网状态等</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套装中需包含布控球摄像机设备、电池、适配器、线缆、三脚架、可移动式拉杆箱</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B15F190">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06FBF9A">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A0F89DE">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3BBD6D5">
            <w:pPr>
              <w:jc w:val="center"/>
              <w:rPr>
                <w:rFonts w:ascii="宋体" w:hAnsi="宋体" w:eastAsia="宋体" w:cs="宋体;SimSun"/>
                <w:color w:val="auto"/>
                <w:sz w:val="22"/>
                <w:highlight w:val="none"/>
              </w:rPr>
            </w:pPr>
            <w:r>
              <w:rPr>
                <w:rFonts w:ascii="宋体" w:hAnsi="宋体" w:eastAsia="宋体" w:cs="宋体;SimSun"/>
                <w:color w:val="auto"/>
                <w:sz w:val="22"/>
                <w:highlight w:val="none"/>
              </w:rPr>
              <w:t>2</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3C7C4DF3">
            <w:pPr>
              <w:jc w:val="center"/>
              <w:rPr>
                <w:rFonts w:ascii="宋体" w:hAnsi="宋体" w:eastAsia="宋体" w:cs="宋体;SimSun"/>
                <w:color w:val="auto"/>
                <w:sz w:val="22"/>
                <w:highlight w:val="none"/>
              </w:rPr>
            </w:pPr>
            <w:r>
              <w:rPr>
                <w:rFonts w:ascii="宋体" w:hAnsi="宋体" w:eastAsia="宋体" w:cs="宋体;SimSun"/>
                <w:color w:val="auto"/>
                <w:sz w:val="22"/>
                <w:highlight w:val="none"/>
              </w:rPr>
              <w:t>气体监测设备</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06259AA2">
            <w:pPr>
              <w:jc w:val="left"/>
              <w:rPr>
                <w:rFonts w:ascii="宋体" w:hAnsi="宋体" w:eastAsia="宋体"/>
                <w:color w:val="auto"/>
                <w:highlight w:val="none"/>
              </w:rPr>
            </w:pPr>
            <w:r>
              <w:rPr>
                <w:rFonts w:ascii="宋体" w:hAnsi="宋体" w:eastAsia="宋体" w:cs="宋体;SimSun"/>
                <w:color w:val="auto"/>
                <w:sz w:val="22"/>
                <w:highlight w:val="none"/>
              </w:rPr>
              <w:t>支持检测氧气、甲烷、一氧化碳、硫化氢，其他有毒有害气体可定制选配</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支持与布控球设备对接，上传气体检测数值</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支持数据记录</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供电方式：电池供电</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具备指示灯</w:t>
            </w:r>
            <w:r>
              <w:rPr>
                <w:rFonts w:ascii="宋体" w:hAnsi="宋体" w:eastAsia="宋体" w:cs="宋体;SimSun"/>
                <w:color w:val="auto"/>
                <w:sz w:val="22"/>
                <w:highlight w:val="none"/>
              </w:rPr>
              <w:br w:type="textWrapping"/>
            </w:r>
            <w:r>
              <w:rPr>
                <w:rFonts w:ascii="宋体" w:hAnsi="宋体" w:eastAsia="宋体" w:cs="宋体;SimSun"/>
                <w:color w:val="auto"/>
                <w:sz w:val="22"/>
                <w:highlight w:val="none"/>
              </w:rPr>
              <w:t>防爆等级：Ex ib ⅡC T3 Gb,Ex ib ⅢC T3（最高表面温度≤195℃） Db</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C2FF363">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CA3E372">
            <w:pPr>
              <w:jc w:val="center"/>
              <w:rPr>
                <w:rFonts w:ascii="宋体" w:hAnsi="宋体" w:eastAsia="宋体" w:cs="宋体;SimSun"/>
                <w:color w:val="auto"/>
                <w:sz w:val="22"/>
                <w:highlight w:val="none"/>
              </w:rPr>
            </w:pPr>
            <w:r>
              <w:rPr>
                <w:rFonts w:ascii="宋体" w:hAnsi="宋体" w:eastAsia="宋体" w:cs="宋体;SimSun"/>
                <w:color w:val="auto"/>
                <w:sz w:val="22"/>
                <w:highlight w:val="none"/>
              </w:rPr>
              <w:t>台</w:t>
            </w:r>
          </w:p>
        </w:tc>
      </w:tr>
      <w:tr w14:paraId="475631B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0D82DBD8">
            <w:pPr>
              <w:jc w:val="center"/>
              <w:rPr>
                <w:rFonts w:ascii="宋体" w:hAnsi="宋体" w:eastAsia="宋体" w:cs="宋体;SimSun"/>
                <w:color w:val="auto"/>
                <w:sz w:val="22"/>
                <w:highlight w:val="none"/>
              </w:rPr>
            </w:pPr>
            <w:r>
              <w:rPr>
                <w:rFonts w:ascii="宋体" w:hAnsi="宋体" w:eastAsia="宋体" w:cs="宋体;SimSun"/>
                <w:color w:val="auto"/>
                <w:sz w:val="22"/>
                <w:highlight w:val="none"/>
              </w:rPr>
              <w:t>3</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69DFA7B9">
            <w:pPr>
              <w:jc w:val="left"/>
              <w:rPr>
                <w:rFonts w:ascii="宋体" w:hAnsi="宋体" w:eastAsia="宋体" w:cs="宋体;SimSun"/>
                <w:color w:val="auto"/>
                <w:sz w:val="22"/>
                <w:highlight w:val="none"/>
              </w:rPr>
            </w:pPr>
            <w:r>
              <w:rPr>
                <w:rFonts w:ascii="宋体" w:hAnsi="宋体" w:eastAsia="宋体" w:cs="宋体;SimSun"/>
                <w:color w:val="auto"/>
                <w:sz w:val="22"/>
                <w:highlight w:val="none"/>
              </w:rPr>
              <w:t>危化品运输车辆定位终端</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6A0D43E8">
            <w:pPr>
              <w:jc w:val="left"/>
              <w:rPr>
                <w:rFonts w:ascii="宋体" w:hAnsi="宋体" w:eastAsia="宋体" w:cs="宋体;SimSun"/>
                <w:color w:val="auto"/>
                <w:sz w:val="22"/>
                <w:highlight w:val="none"/>
              </w:rPr>
            </w:pPr>
            <w:r>
              <w:rPr>
                <w:rFonts w:ascii="宋体" w:hAnsi="宋体" w:eastAsia="宋体" w:cs="宋体;SimSun"/>
                <w:color w:val="auto"/>
                <w:sz w:val="22"/>
                <w:highlight w:val="none"/>
              </w:rPr>
              <w:t>危化品运输车辆定位终端+3年流量卡。</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F562C09">
            <w:pPr>
              <w:jc w:val="center"/>
              <w:rPr>
                <w:rFonts w:ascii="宋体" w:hAnsi="宋体" w:eastAsia="宋体" w:cs="宋体;SimSun"/>
                <w:color w:val="auto"/>
                <w:sz w:val="22"/>
                <w:highlight w:val="none"/>
              </w:rPr>
            </w:pPr>
            <w:r>
              <w:rPr>
                <w:rFonts w:ascii="宋体" w:hAnsi="宋体" w:eastAsia="宋体" w:cs="宋体;SimSun"/>
                <w:color w:val="auto"/>
                <w:sz w:val="22"/>
                <w:highlight w:val="none"/>
              </w:rPr>
              <w:t>200</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235B6B7">
            <w:pPr>
              <w:jc w:val="center"/>
              <w:rPr>
                <w:rFonts w:ascii="宋体" w:hAnsi="宋体" w:eastAsia="宋体" w:cs="宋体;SimSun"/>
                <w:color w:val="auto"/>
                <w:sz w:val="22"/>
                <w:highlight w:val="none"/>
              </w:rPr>
            </w:pPr>
            <w:r>
              <w:rPr>
                <w:rFonts w:ascii="宋体" w:hAnsi="宋体" w:eastAsia="宋体" w:cs="宋体;SimSun"/>
                <w:color w:val="auto"/>
                <w:sz w:val="22"/>
                <w:highlight w:val="none"/>
              </w:rPr>
              <w:t>套</w:t>
            </w:r>
          </w:p>
        </w:tc>
      </w:tr>
      <w:tr w14:paraId="3A1E41D1">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60987C23">
            <w:pPr>
              <w:jc w:val="center"/>
              <w:rPr>
                <w:rFonts w:ascii="宋体" w:hAnsi="宋体" w:eastAsia="宋体" w:cs="宋体;SimSun"/>
                <w:color w:val="auto"/>
                <w:sz w:val="22"/>
                <w:highlight w:val="none"/>
              </w:rPr>
            </w:pPr>
            <w:r>
              <w:rPr>
                <w:rFonts w:ascii="宋体" w:hAnsi="宋体" w:eastAsia="宋体" w:cs="宋体;SimSun"/>
                <w:color w:val="auto"/>
                <w:sz w:val="22"/>
                <w:highlight w:val="none"/>
              </w:rPr>
              <w:t>4</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65338D4">
            <w:pPr>
              <w:jc w:val="left"/>
              <w:rPr>
                <w:rFonts w:ascii="宋体" w:hAnsi="宋体" w:eastAsia="宋体" w:cs="宋体;SimSun"/>
                <w:color w:val="auto"/>
                <w:sz w:val="22"/>
                <w:highlight w:val="none"/>
              </w:rPr>
            </w:pPr>
            <w:r>
              <w:rPr>
                <w:rFonts w:ascii="宋体" w:hAnsi="宋体" w:eastAsia="宋体" w:cs="宋体;SimSun"/>
                <w:color w:val="auto"/>
                <w:sz w:val="22"/>
                <w:highlight w:val="none"/>
              </w:rPr>
              <w:t>工业数据采集物联工控机</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3E294DD7">
            <w:pPr>
              <w:jc w:val="left"/>
              <w:rPr>
                <w:rFonts w:ascii="宋体" w:hAnsi="宋体" w:eastAsia="宋体" w:cs="宋体;SimSun"/>
                <w:color w:val="auto"/>
                <w:sz w:val="22"/>
                <w:highlight w:val="none"/>
              </w:rPr>
            </w:pPr>
            <w:r>
              <w:rPr>
                <w:rFonts w:ascii="宋体" w:hAnsi="宋体" w:eastAsia="宋体" w:cs="宋体;SimSun"/>
                <w:color w:val="auto"/>
                <w:sz w:val="22"/>
                <w:highlight w:val="none"/>
              </w:rPr>
              <w:t>1.运行内存不低于16GB，存储不低于256GB</w:t>
            </w:r>
          </w:p>
          <w:p w14:paraId="1C188436">
            <w:pPr>
              <w:jc w:val="left"/>
              <w:rPr>
                <w:rFonts w:ascii="宋体" w:hAnsi="宋体" w:eastAsia="宋体" w:cs="宋体;SimSun"/>
                <w:color w:val="auto"/>
                <w:sz w:val="22"/>
                <w:highlight w:val="none"/>
              </w:rPr>
            </w:pPr>
            <w:r>
              <w:rPr>
                <w:rFonts w:ascii="宋体" w:hAnsi="宋体" w:eastAsia="宋体" w:cs="宋体;SimSun"/>
                <w:color w:val="auto"/>
                <w:sz w:val="22"/>
                <w:highlight w:val="none"/>
              </w:rPr>
              <w:t>2.设备应具备数据传输保障能力，可对接园区内企业各品牌DCS、PLC、气体报警主机等现场设备及业务系统，实时采集温度、压力、液位、可燃气体、有毒有害气体浓度等监测数据。</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8C2D772">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7</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BB24208">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台</w:t>
            </w:r>
          </w:p>
        </w:tc>
      </w:tr>
      <w:tr w14:paraId="6E4B7B02">
        <w:tblPrEx>
          <w:tblCellMar>
            <w:top w:w="0" w:type="dxa"/>
            <w:left w:w="108" w:type="dxa"/>
            <w:bottom w:w="0" w:type="dxa"/>
            <w:right w:w="108" w:type="dxa"/>
          </w:tblCellMar>
        </w:tblPrEx>
        <w:trPr>
          <w:trHeight w:val="270" w:hRule="atLeast"/>
        </w:trPr>
        <w:tc>
          <w:tcPr>
            <w:tcW w:w="871" w:type="dxa"/>
            <w:tcBorders>
              <w:top w:val="single" w:color="000000" w:sz="4" w:space="0"/>
              <w:left w:val="single" w:color="000000" w:sz="4" w:space="0"/>
              <w:bottom w:val="single" w:color="000000" w:sz="4" w:space="0"/>
              <w:right w:val="single" w:color="000000" w:sz="4" w:space="0"/>
            </w:tcBorders>
            <w:noWrap w:val="0"/>
            <w:vAlign w:val="center"/>
          </w:tcPr>
          <w:p w14:paraId="4D771042">
            <w:pPr>
              <w:jc w:val="center"/>
              <w:rPr>
                <w:rFonts w:ascii="宋体" w:hAnsi="宋体" w:eastAsia="宋体" w:cs="宋体;SimSun"/>
                <w:color w:val="auto"/>
                <w:sz w:val="22"/>
                <w:highlight w:val="none"/>
              </w:rPr>
            </w:pPr>
            <w:r>
              <w:rPr>
                <w:rFonts w:ascii="宋体" w:hAnsi="宋体" w:eastAsia="宋体" w:cs="宋体;SimSun"/>
                <w:color w:val="auto"/>
                <w:sz w:val="22"/>
                <w:highlight w:val="none"/>
              </w:rPr>
              <w:t>5</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14:paraId="27D48616">
            <w:pPr>
              <w:jc w:val="center"/>
              <w:rPr>
                <w:rFonts w:ascii="宋体" w:hAnsi="宋体" w:eastAsia="宋体" w:cs="宋体;SimSun"/>
                <w:color w:val="auto"/>
                <w:sz w:val="22"/>
                <w:highlight w:val="none"/>
              </w:rPr>
            </w:pPr>
            <w:r>
              <w:rPr>
                <w:rFonts w:ascii="宋体" w:hAnsi="宋体" w:eastAsia="宋体" w:cs="宋体;SimSun"/>
                <w:color w:val="auto"/>
                <w:sz w:val="22"/>
                <w:highlight w:val="none"/>
              </w:rPr>
              <w:t>施工辅材</w:t>
            </w:r>
          </w:p>
        </w:tc>
        <w:tc>
          <w:tcPr>
            <w:tcW w:w="8406" w:type="dxa"/>
            <w:tcBorders>
              <w:top w:val="single" w:color="000000" w:sz="4" w:space="0"/>
              <w:left w:val="single" w:color="000000" w:sz="4" w:space="0"/>
              <w:bottom w:val="single" w:color="000000" w:sz="4" w:space="0"/>
              <w:right w:val="single" w:color="000000" w:sz="4" w:space="0"/>
            </w:tcBorders>
            <w:noWrap w:val="0"/>
            <w:vAlign w:val="center"/>
          </w:tcPr>
          <w:p w14:paraId="70177478">
            <w:pPr>
              <w:jc w:val="left"/>
              <w:rPr>
                <w:rFonts w:ascii="宋体" w:hAnsi="宋体" w:eastAsia="宋体" w:cs="宋体;SimSun"/>
                <w:color w:val="auto"/>
                <w:sz w:val="22"/>
                <w:highlight w:val="none"/>
              </w:rPr>
            </w:pPr>
            <w:r>
              <w:rPr>
                <w:rFonts w:ascii="宋体" w:hAnsi="宋体" w:eastAsia="宋体" w:cs="宋体;SimSun"/>
                <w:color w:val="auto"/>
                <w:sz w:val="22"/>
                <w:highlight w:val="none"/>
              </w:rPr>
              <w:t>包含现场施工所需交换机、电源插排、网线、扩展网口、串口服务器等。</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8E7DD71">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7</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75265636">
            <w:pPr>
              <w:jc w:val="center"/>
              <w:rPr>
                <w:rFonts w:ascii="宋体" w:hAnsi="宋体" w:eastAsia="宋体" w:cs="宋体;SimSun"/>
                <w:color w:val="auto"/>
                <w:sz w:val="20"/>
                <w:szCs w:val="20"/>
                <w:highlight w:val="none"/>
              </w:rPr>
            </w:pPr>
            <w:r>
              <w:rPr>
                <w:rFonts w:ascii="宋体" w:hAnsi="宋体" w:eastAsia="宋体" w:cs="宋体;SimSun"/>
                <w:color w:val="auto"/>
                <w:sz w:val="20"/>
                <w:szCs w:val="20"/>
                <w:highlight w:val="none"/>
              </w:rPr>
              <w:t>套</w:t>
            </w:r>
          </w:p>
        </w:tc>
      </w:tr>
    </w:tbl>
    <w:p w14:paraId="06EC997A">
      <w:pPr>
        <w:pStyle w:val="271"/>
        <w:rPr>
          <w:rFonts w:ascii="宋体;SimSun" w:hAnsi="宋体;SimSun" w:cs="宋体;SimSun"/>
          <w:color w:val="auto"/>
          <w:highlight w:val="none"/>
        </w:rPr>
      </w:pPr>
    </w:p>
    <w:p w14:paraId="3BEC7301">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指挥中心装修及配套需求</w:t>
      </w:r>
    </w:p>
    <w:p w14:paraId="0ECF8BFB">
      <w:pPr>
        <w:spacing w:line="360" w:lineRule="auto"/>
        <w:ind w:firstLine="420"/>
        <w:rPr>
          <w:color w:val="auto"/>
          <w:highlight w:val="none"/>
        </w:rPr>
      </w:pPr>
      <w:r>
        <w:rPr>
          <w:color w:val="auto"/>
          <w:highlight w:val="none"/>
        </w:rPr>
        <w:t>本项目需改造指挥中心，包含装修、强电系统、弱电系统、空调系统、给排水、消防改造及报警等。本项目招标文件所附《节点图》《立面图》等图纸仅供投标人编制投标方案参考，加盖设计院出图章的有效图纸将随本项目最新公告一并提供，供投标人参考使用。指挥中心装修及配套需求清单如下：</w:t>
      </w:r>
    </w:p>
    <w:tbl>
      <w:tblPr>
        <w:tblStyle w:val="39"/>
        <w:tblW w:w="5000" w:type="pct"/>
        <w:tblInd w:w="-113" w:type="dxa"/>
        <w:tblLayout w:type="fixed"/>
        <w:tblCellMar>
          <w:top w:w="0" w:type="dxa"/>
          <w:left w:w="108" w:type="dxa"/>
          <w:bottom w:w="0" w:type="dxa"/>
          <w:right w:w="108" w:type="dxa"/>
        </w:tblCellMar>
      </w:tblPr>
      <w:tblGrid>
        <w:gridCol w:w="1202"/>
        <w:gridCol w:w="4145"/>
        <w:gridCol w:w="5133"/>
        <w:gridCol w:w="2114"/>
        <w:gridCol w:w="1363"/>
      </w:tblGrid>
      <w:tr w14:paraId="1C3E530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C930B87">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序号</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05762373">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服务名称</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44D955D6">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特征描述</w:t>
            </w:r>
          </w:p>
        </w:tc>
        <w:tc>
          <w:tcPr>
            <w:tcW w:w="2114" w:type="dxa"/>
            <w:tcBorders>
              <w:top w:val="single" w:color="000000" w:sz="4" w:space="0"/>
              <w:left w:val="single" w:color="000000" w:sz="4" w:space="0"/>
              <w:bottom w:val="single" w:color="000000" w:sz="4" w:space="0"/>
              <w:right w:val="single" w:color="000000" w:sz="4" w:space="0"/>
            </w:tcBorders>
            <w:noWrap w:val="0"/>
            <w:vAlign w:val="center"/>
          </w:tcPr>
          <w:p w14:paraId="0006F7A4">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数量</w:t>
            </w:r>
          </w:p>
        </w:tc>
        <w:tc>
          <w:tcPr>
            <w:tcW w:w="1363" w:type="dxa"/>
            <w:tcBorders>
              <w:top w:val="single" w:color="000000" w:sz="4" w:space="0"/>
              <w:left w:val="single" w:color="000000" w:sz="4" w:space="0"/>
              <w:bottom w:val="single" w:color="000000" w:sz="4" w:space="0"/>
              <w:right w:val="single" w:color="000000" w:sz="4" w:space="0"/>
            </w:tcBorders>
            <w:noWrap w:val="0"/>
            <w:vAlign w:val="center"/>
          </w:tcPr>
          <w:p w14:paraId="520D196D">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单位</w:t>
            </w:r>
          </w:p>
        </w:tc>
      </w:tr>
      <w:tr w14:paraId="577FE7C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83A08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0E2E50A9">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Ⅰ、装修工程</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4C1F1B6D">
            <w:pPr>
              <w:jc w:val="left"/>
              <w:rPr>
                <w:rFonts w:ascii="宋体;SimSun" w:hAnsi="宋体;SimSun" w:eastAsia="宋体;SimSun" w:cs="宋体;SimSun"/>
                <w:b/>
                <w:bCs/>
                <w:color w:val="auto"/>
                <w:sz w:val="22"/>
                <w:highlight w:val="none"/>
              </w:rPr>
            </w:pPr>
          </w:p>
        </w:tc>
        <w:tc>
          <w:tcPr>
            <w:tcW w:w="2114" w:type="dxa"/>
            <w:tcBorders>
              <w:top w:val="single" w:color="000000" w:sz="4" w:space="0"/>
              <w:left w:val="single" w:color="000000" w:sz="4" w:space="0"/>
              <w:bottom w:val="single" w:color="000000" w:sz="4" w:space="0"/>
              <w:right w:val="single" w:color="000000" w:sz="4" w:space="0"/>
            </w:tcBorders>
            <w:noWrap w:val="0"/>
            <w:vAlign w:val="center"/>
          </w:tcPr>
          <w:p w14:paraId="74A4E5EE">
            <w:pPr>
              <w:jc w:val="center"/>
              <w:rPr>
                <w:rFonts w:ascii="宋体;SimSun" w:hAnsi="宋体;SimSun" w:eastAsia="宋体;SimSun" w:cs="宋体;SimSun"/>
                <w:b/>
                <w:bCs/>
                <w:color w:val="auto"/>
                <w:sz w:val="22"/>
                <w:highlight w:val="none"/>
              </w:rPr>
            </w:pPr>
          </w:p>
        </w:tc>
        <w:tc>
          <w:tcPr>
            <w:tcW w:w="1363" w:type="dxa"/>
            <w:tcBorders>
              <w:top w:val="single" w:color="000000" w:sz="4" w:space="0"/>
              <w:left w:val="single" w:color="000000" w:sz="4" w:space="0"/>
              <w:bottom w:val="single" w:color="000000" w:sz="4" w:space="0"/>
              <w:right w:val="single" w:color="000000" w:sz="4" w:space="0"/>
            </w:tcBorders>
            <w:noWrap w:val="0"/>
            <w:vAlign w:val="center"/>
          </w:tcPr>
          <w:p w14:paraId="77F30A88">
            <w:pPr>
              <w:jc w:val="center"/>
              <w:rPr>
                <w:rFonts w:ascii="宋体;SimSun" w:hAnsi="宋体;SimSun" w:eastAsia="宋体;SimSun" w:cs="宋体;SimSun"/>
                <w:color w:val="auto"/>
                <w:sz w:val="22"/>
                <w:highlight w:val="none"/>
              </w:rPr>
            </w:pPr>
          </w:p>
        </w:tc>
      </w:tr>
      <w:tr w14:paraId="2C8E707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256C74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6EBA137B">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一、拆除及新建部分</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5C85B600">
            <w:pPr>
              <w:jc w:val="left"/>
              <w:rPr>
                <w:rFonts w:ascii="宋体;SimSun" w:hAnsi="宋体;SimSun" w:eastAsia="宋体;SimSun" w:cs="宋体;SimSun"/>
                <w:b/>
                <w:bCs/>
                <w:color w:val="auto"/>
                <w:sz w:val="22"/>
                <w:highlight w:val="none"/>
              </w:rPr>
            </w:pPr>
          </w:p>
        </w:tc>
        <w:tc>
          <w:tcPr>
            <w:tcW w:w="2114" w:type="dxa"/>
            <w:tcBorders>
              <w:top w:val="single" w:color="000000" w:sz="4" w:space="0"/>
              <w:left w:val="single" w:color="000000" w:sz="4" w:space="0"/>
              <w:bottom w:val="single" w:color="000000" w:sz="4" w:space="0"/>
              <w:right w:val="single" w:color="000000" w:sz="4" w:space="0"/>
            </w:tcBorders>
            <w:noWrap w:val="0"/>
            <w:vAlign w:val="center"/>
          </w:tcPr>
          <w:p w14:paraId="14B60704">
            <w:pPr>
              <w:jc w:val="center"/>
              <w:rPr>
                <w:rFonts w:ascii="宋体;SimSun" w:hAnsi="宋体;SimSun" w:eastAsia="宋体;SimSun" w:cs="宋体;SimSun"/>
                <w:b/>
                <w:bCs/>
                <w:color w:val="auto"/>
                <w:sz w:val="22"/>
                <w:highlight w:val="none"/>
              </w:rPr>
            </w:pPr>
          </w:p>
        </w:tc>
        <w:tc>
          <w:tcPr>
            <w:tcW w:w="1363" w:type="dxa"/>
            <w:tcBorders>
              <w:top w:val="single" w:color="000000" w:sz="4" w:space="0"/>
              <w:left w:val="single" w:color="000000" w:sz="4" w:space="0"/>
              <w:bottom w:val="single" w:color="000000" w:sz="4" w:space="0"/>
              <w:right w:val="single" w:color="000000" w:sz="4" w:space="0"/>
            </w:tcBorders>
            <w:noWrap w:val="0"/>
            <w:vAlign w:val="center"/>
          </w:tcPr>
          <w:p w14:paraId="793FAF1B">
            <w:pPr>
              <w:jc w:val="center"/>
              <w:rPr>
                <w:rFonts w:ascii="宋体;SimSun" w:hAnsi="宋体;SimSun" w:eastAsia="宋体;SimSun" w:cs="宋体;SimSun"/>
                <w:b/>
                <w:bCs/>
                <w:color w:val="auto"/>
                <w:sz w:val="22"/>
                <w:highlight w:val="none"/>
              </w:rPr>
            </w:pPr>
          </w:p>
        </w:tc>
      </w:tr>
      <w:tr w14:paraId="2A79F8B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C2E21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5C61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楼地面水泥砂浆层拆除</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2094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1.拆除厚度为50mm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C679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372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B41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210EBEF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209E9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35D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新建200厚砖砌墙体</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DC20A">
            <w:pPr>
              <w:jc w:val="left"/>
              <w:rPr>
                <w:color w:val="auto"/>
                <w:highlight w:val="none"/>
              </w:rPr>
            </w:pPr>
            <w:r>
              <w:rPr>
                <w:rFonts w:ascii="宋体;SimSun" w:hAnsi="宋体;SimSun" w:eastAsia="宋体;SimSun" w:cs="宋体;SimSun"/>
                <w:color w:val="auto"/>
                <w:sz w:val="20"/>
                <w:szCs w:val="20"/>
                <w:highlight w:val="none"/>
              </w:rPr>
              <w:t>1.砌块品种、规格、强度等级：A5.0蒸压加气混凝土砌块（600mm×200mm×250mm）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2.墙体类型：内墙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3.墙体厚度：200mm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4.砂浆强度等级：M5专用砌筑砂浆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5.拉结方式：φ6钢筋网片@600mm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6.顶部处理：20mm厚干硬性水泥砂浆塞缝</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7.其他：含门窗洞口预制混凝土过梁（C20） m³及构造柱</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26A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3E4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m³</w:t>
            </w:r>
          </w:p>
        </w:tc>
      </w:tr>
      <w:tr w14:paraId="629133A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BDA8A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4E92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新建100厚砖砌墙体</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30E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1.砌块品种、规格、强度等级：A5.0蒸压加气混凝土砌块（600mm×100mm×250mm）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2.墙体类型：内墙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3.墙体厚度：100mm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4.砂浆强度等级：M5专用砌筑砂浆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5.拉结方式：φ6钢筋网片@600mm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6.顶部处理：20mm厚干硬性水泥砂浆塞缝</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7.其他：含门窗洞口预制混凝土过梁（C20）m³及构造柱</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565B7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5C6E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m³</w:t>
            </w:r>
          </w:p>
        </w:tc>
      </w:tr>
      <w:tr w14:paraId="3579E68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67C61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656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内墙抹灰</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01483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1.基层类型：蒸压加气混凝土砌块墙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2.基层处理：清理浮灰，1:3水泥砂浆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3.抹灰厚度：总厚度15mm挂玻纤网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4A7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386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CB5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6B0FB01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4ED769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344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构造柱</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648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1.混凝土种类:预拌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2.混凝土强度等级:C25</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0D6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2.52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3EF8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m³</w:t>
            </w:r>
          </w:p>
        </w:tc>
      </w:tr>
      <w:tr w14:paraId="1305A2A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3EA93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0EEE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过梁</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47C4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1.混凝土种类:预拌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2.混凝土强度等级:C25</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6B02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0.2016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5CA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m³</w:t>
            </w:r>
          </w:p>
        </w:tc>
      </w:tr>
      <w:tr w14:paraId="2A8B082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69216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1AD2DD24">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二、装饰部分</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6F26564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E98B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vAlign w:val="center"/>
          </w:tcPr>
          <w:p w14:paraId="7EE3578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r>
      <w:tr w14:paraId="1AB7A18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C6342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4F86ADA2">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（一）地面工程部分</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17CAE84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63D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vAlign w:val="center"/>
          </w:tcPr>
          <w:p w14:paraId="1D4FAB2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r>
      <w:tr w14:paraId="6DB922E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CF0E34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D41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块料楼地面</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EA05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1.结合层厚度、砂浆配合比1:3干硬性水泥砂浆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2.面层材料品种、规格、颜色:800mm×800mm仿水磨石瓷砖</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57B6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256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C6C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345919F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4B160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2D64ED">
            <w:pPr>
              <w:jc w:val="center"/>
              <w:rPr>
                <w:color w:val="auto"/>
                <w:highlight w:val="none"/>
              </w:rPr>
            </w:pPr>
            <w:r>
              <w:rPr>
                <w:rFonts w:ascii="宋体;SimSun" w:hAnsi="宋体;SimSun" w:eastAsia="宋体;SimSun" w:cs="宋体;SimSun"/>
                <w:color w:val="auto"/>
                <w:sz w:val="20"/>
                <w:szCs w:val="20"/>
                <w:highlight w:val="none"/>
              </w:rPr>
              <w:t>块料楼地面</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4C1AF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1.结合层厚度、砂浆配合比1:3干硬性水泥砂浆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2.面层材料品种、规格、颜色:浅色地砖800mm×800mm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A76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ABC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6283F27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2A765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445C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防静电活动地板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99D8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1.面层材料品种、规格600mm×600mm、颜色:白色。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2.设备间抗静电地板（钢制）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F4CF8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27</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382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5C61511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58472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9086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过门石</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F281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1.黑色天然大理石；</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2.宽度为0.3m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B20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4D4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35952D4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1C3EC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0964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淋浴间止滑石材</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5ED9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1.黑色天然大理石；</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2.宽度为0.1m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48625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8D0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080E3A1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289E3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19785C3D">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（二）顶面工程部分</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6D85C8A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109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E40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1B1C8AD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87BC9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4AD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吊顶天棚</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D1D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1.吊顶形式、吊杆规格、高度:不上人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2.龙骨材料种类、规格、中距:吊筋、U型轻钢龙骨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3.面层材料品种、规格:9.5mm厚双层石膏板</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4.含轻钢龙骨、双层9.5mm石膏板(大厅位置吊顶)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EC80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D3C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5CAF957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031DB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946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吊顶天棚</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9296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1.吊顶形式、吊杆规格、高度:不上人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2.龙骨材料种类、规格、中距:吊筋、轻钢龙骨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3.面层材料品种、规格:30*120@100格栅造型铝方通（壁厚0.65）吊顶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682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3C4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5F2FC05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CD0D2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D83A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吊顶天棚</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D9A63">
            <w:pPr>
              <w:jc w:val="left"/>
              <w:rPr>
                <w:color w:val="auto"/>
                <w:highlight w:val="none"/>
              </w:rPr>
            </w:pPr>
            <w:r>
              <w:rPr>
                <w:rFonts w:ascii="宋体;SimSun" w:hAnsi="宋体;SimSun" w:eastAsia="宋体;SimSun" w:cs="宋体;SimSun"/>
                <w:color w:val="auto"/>
                <w:sz w:val="20"/>
                <w:szCs w:val="20"/>
                <w:highlight w:val="none"/>
              </w:rPr>
              <w:t>1.吊顶形式、吊杆规格、高度:不上人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2.龙骨材料种类、规格、中距:吊筋、U型轻钢龙骨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3.面层材料品种、规格:9.5mm厚双层石膏板</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4.含轻钢龙骨、双层9.5mm石膏板(用于休息室、走廊等)</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68F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79</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579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0860213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A569A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7393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吊顶天棚</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F0F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1.吊顶形式、吊杆规格、高度:不上人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2.龙骨材料种类、规格、中距:吊筋、T型轻钢龙骨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3.面层材料品种、规格:硅酸钙板吊顶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4.含明/暗龙骨、600mm×600mmmm吸音矿棉板(用于设备间等)</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202D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27</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5152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52DAEDD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F681F7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49B2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吊顶天棚</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1B0C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1.吊顶形式、吊杆规格、高度:不上人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2.龙骨材料种类、规格、中距:Φ8，H=吊筋650+螺杆250mm，装配式T型(不上人型)铝合金龙骨简单面层规格300*300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3.面层材料品种、规格:铝扣板300*300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4.压条材料种类、规格:铜压条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4EC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032A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56AE996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E4042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701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天棚油漆</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598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1.白色无机涂料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2.刮腻子两遍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3.底漆1遍，面漆2遍</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6AF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12F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099CFFC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D9E17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182A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开孔（打洞）</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FBF6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1.部位:顶面灯具开孔及加固</w:t>
            </w:r>
          </w:p>
          <w:p w14:paraId="2267B9A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2.开孔直径150mm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E06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75E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6BE972A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87280D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28DC2C39">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（三）墙面工程部分</w:t>
            </w:r>
          </w:p>
        </w:tc>
        <w:tc>
          <w:tcPr>
            <w:tcW w:w="5133" w:type="dxa"/>
            <w:tcBorders>
              <w:top w:val="single" w:color="000000" w:sz="4" w:space="0"/>
              <w:left w:val="single" w:color="000000" w:sz="4" w:space="0"/>
              <w:bottom w:val="single" w:color="000000" w:sz="4" w:space="0"/>
              <w:right w:val="single" w:color="000000" w:sz="4" w:space="0"/>
            </w:tcBorders>
            <w:noWrap w:val="0"/>
          </w:tcPr>
          <w:p w14:paraId="770034DD">
            <w:pPr>
              <w:jc w:val="left"/>
              <w:rPr>
                <w:rFonts w:ascii="宋体;SimSun" w:hAnsi="宋体;SimSun" w:eastAsia="宋体;SimSun" w:cs="宋体;SimSun"/>
                <w:b/>
                <w:bCs/>
                <w:color w:val="auto"/>
                <w:sz w:val="22"/>
                <w:highlight w:val="none"/>
              </w:rPr>
            </w:pP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BB6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677B82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1AFF8CE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52A99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92D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白色烤漆铝板墙面</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D073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1.龙骨材料种类、规格、中距:钢架龙骨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2.面层材料品种、规格、颜色:3mm厚定制烤漆铝板、预留设备安装检修口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3.压条材料种类、规格:铜压条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CEA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0968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79D113C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9FCBF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222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白色烤漆铝板墙面（弧形）</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829B3">
            <w:pPr>
              <w:jc w:val="left"/>
              <w:rPr>
                <w:color w:val="auto"/>
                <w:highlight w:val="none"/>
              </w:rPr>
            </w:pPr>
            <w:r>
              <w:rPr>
                <w:rFonts w:ascii="宋体;SimSun" w:hAnsi="宋体;SimSun" w:eastAsia="宋体;SimSun" w:cs="宋体;SimSun"/>
                <w:color w:val="auto"/>
                <w:sz w:val="20"/>
                <w:szCs w:val="20"/>
                <w:highlight w:val="none"/>
              </w:rPr>
              <w:t>1.龙骨材料种类、规格、中距:钢架龙骨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2.面层材料品种、规格、颜色:3mm厚定制烤漆铝板、预留设备安装检修口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3.压条材料种类、规格:铜压条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F08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26.27</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3C9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6572674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A4750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D8DD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抹灰面油漆</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337BB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1.白色无机涂料（PT-01）；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2.刮腻子两遍；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3.底漆1遍，面漆2遍；</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264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211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5201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1F34D03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855CF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E208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块料墙面</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E998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1.安装墙面砖；400*800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2.墙面无粉刷层，精装单位负责拉毛处理；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3.薄贴法施工，专用粘结剂铺贴，基层双组分背胶处理，含土建误差找平，包括但不限于勾缝剂嵌缝等一切必需工作内容，需满足甲方验收及规范要求；</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A895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2037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2ECEC23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323D8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06019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楼（地）面涂膜防水</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42D7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1.墙地面防水不少于2遍 （1.5厚JS-II防水涂料)，上翻建筑完成面300mm，淋浴间上翻1800mm，非洗浴区上翻1200mm，遇门洞向外延展的长度不应小于500mm，向两侧延展的宽度不应小于200mm；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2BD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19</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F3A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3AD5077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EE7C1E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E68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窗帘</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A49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1.窗帘材质:厚绒布窗帘</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D8C5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5C62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0078E4F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B7A2AE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845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窗帘盒</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F70A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1.窗帘盒材质、规格:9.5mm厚石膏板、18mm玻镁板、龙骨等；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2.防护材料种类:综合考虑；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702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A661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054AC16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694B6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4787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金属踢脚线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6469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1.面层材料品种、规格、颜色:12mm木工板基层，不锈钢踢脚线50mm高</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E48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81.56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F753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27B40A0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2FD937D">
            <w:pPr>
              <w:jc w:val="center"/>
              <w:rPr>
                <w:color w:val="auto"/>
                <w:highlight w:val="none"/>
              </w:rPr>
            </w:pPr>
            <w:r>
              <w:rPr>
                <w:rFonts w:ascii="宋体;SimSun" w:hAnsi="宋体;SimSun" w:eastAsia="宋体;SimSun" w:cs="宋体;SimSun"/>
                <w:color w:val="auto"/>
                <w:sz w:val="20"/>
                <w:szCs w:val="20"/>
                <w:highlight w:val="none"/>
              </w:rPr>
              <w:t>33</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484B2B1F">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三、门窗工程部分</w:t>
            </w:r>
          </w:p>
        </w:tc>
        <w:tc>
          <w:tcPr>
            <w:tcW w:w="5133" w:type="dxa"/>
            <w:tcBorders>
              <w:top w:val="single" w:color="000000" w:sz="4" w:space="0"/>
              <w:left w:val="single" w:color="000000" w:sz="4" w:space="0"/>
              <w:bottom w:val="single" w:color="000000" w:sz="4" w:space="0"/>
              <w:right w:val="single" w:color="000000" w:sz="4" w:space="0"/>
            </w:tcBorders>
            <w:noWrap w:val="0"/>
          </w:tcPr>
          <w:p w14:paraId="204BC23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4D4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267601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5B1A7A3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1C4AE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2803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金属门窗拆除</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F070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1.室内高度:含旧窗拆除、110系列断桥铝型材、中空钢化玻璃、五金件及安装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3D5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43</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E32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2AF8C68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69EED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5BDB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金属（铝型材、断桥）窗</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773C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1.框、扇材质:110断桥铝（2mm）合金窗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2.玻璃品种、厚度:中空玻璃(成品)5+6A+5白玻</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3.配套五金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798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43</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3B9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6178A45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9ACE26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9720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木质门带套</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3BBB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1.门代号及洞口尺寸:900mm×2400mmmm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2.成品套装门、配套五金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A1A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6.48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0D2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1EAB42E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D6F22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C42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木质门带套</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77B0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1.门代号及洞口尺寸:1600mm×2400mmmm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2.成品套装门、配套五金；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DA9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7.68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331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0E39FED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9ACE7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1D7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大拉手</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1B98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1.1.5m长黑色金属大拉手；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2.含五金配件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BF6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A4D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546D3D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B21C0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67B1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甲级钢制防火门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989F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1.门代号及洞口尺寸:1600mm×2300mmmm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2.甲级钢制防火门、配套五金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22F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3.68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AA6F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m²</w:t>
            </w:r>
          </w:p>
        </w:tc>
      </w:tr>
      <w:tr w14:paraId="185A777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D8857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817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铝合金隐形门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35C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1.门代号及洞口尺寸:600mm×2000mmmm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E89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EFF9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樘</w:t>
            </w:r>
          </w:p>
        </w:tc>
      </w:tr>
      <w:tr w14:paraId="110BE0F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6353D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41</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464EB56F">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四、办公家具部分</w:t>
            </w:r>
          </w:p>
        </w:tc>
        <w:tc>
          <w:tcPr>
            <w:tcW w:w="5133" w:type="dxa"/>
            <w:tcBorders>
              <w:top w:val="single" w:color="000000" w:sz="4" w:space="0"/>
              <w:left w:val="single" w:color="000000" w:sz="4" w:space="0"/>
              <w:bottom w:val="single" w:color="000000" w:sz="4" w:space="0"/>
              <w:right w:val="single" w:color="000000" w:sz="4" w:space="0"/>
            </w:tcBorders>
            <w:noWrap w:val="0"/>
          </w:tcPr>
          <w:p w14:paraId="19034FE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567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471A39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1D4684E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01F7D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47EB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指挥中心专用操作台</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0153C">
            <w:pPr>
              <w:jc w:val="left"/>
              <w:rPr>
                <w:color w:val="auto"/>
                <w:highlight w:val="none"/>
              </w:rPr>
            </w:pPr>
            <w:r>
              <w:rPr>
                <w:rFonts w:ascii="宋体;SimSun" w:hAnsi="宋体;SimSun" w:eastAsia="宋体;SimSun" w:cs="宋体;SimSun"/>
                <w:color w:val="auto"/>
                <w:sz w:val="20"/>
                <w:szCs w:val="20"/>
                <w:highlight w:val="none"/>
              </w:rPr>
              <w:t>1.规格：每组3m×1.2m×0.72m；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2.ENF级别环保免漆板基材；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3.1.5mm厚镀锌钢板氟碳喷漆面层。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4.内嵌LED灯带；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5.五金配件配套；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16E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6396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663BBC7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D43ED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76CD0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会议桌</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1ADC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1.规格：3.6m×1.4m×0.75m；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2.ENF级别环保免漆板；钢制金属板桌腿饰面；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4.内置毛刷多功能插排3组；</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5.自带强电插座线路及高清线；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FA1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1F2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28FDB6C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36C61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FA876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会议椅</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D0C7C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1.规格：0.55m×1.2m×0.45m；金属；</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2.软包皮高弹海绵座面及靠背；</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B22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E53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021B763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D3676F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FDF5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办公桌</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CD6A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1.规格：1.6m×0.75m×0.72m；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FDD6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90B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DD1670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2DE44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723D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办公椅</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84EE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1.规格：0.55m×1.2m×0.45m；金属；</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2.软包皮高弹海绵座面及靠背；</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C93A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B193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E15901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D3AC8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CB31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储物柜/文件柜</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C1131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1.台柜规格：1.2m*2m*0.35m；储物柜/文件柜</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F8A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8DB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12D5056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2B22A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48</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0839BEB8">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五、值班室家具部分</w:t>
            </w:r>
          </w:p>
        </w:tc>
        <w:tc>
          <w:tcPr>
            <w:tcW w:w="5133" w:type="dxa"/>
            <w:tcBorders>
              <w:top w:val="single" w:color="000000" w:sz="4" w:space="0"/>
              <w:left w:val="single" w:color="000000" w:sz="4" w:space="0"/>
              <w:bottom w:val="single" w:color="000000" w:sz="4" w:space="0"/>
              <w:right w:val="single" w:color="000000" w:sz="4" w:space="0"/>
            </w:tcBorders>
            <w:noWrap w:val="0"/>
          </w:tcPr>
          <w:p w14:paraId="7DC716D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A5996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377CB7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2BF888A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D764C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36F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床具</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582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1.规格：1.2m×0.45m×2m；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57D1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1CA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1598774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9A1C7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8CD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床屏靠背</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BD75C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1.规格：1.2m×0.45m×2m；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12C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4875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2B70FE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83D0E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48E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床头柜</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1070D">
            <w:pPr>
              <w:jc w:val="left"/>
              <w:rPr>
                <w:color w:val="auto"/>
                <w:highlight w:val="none"/>
              </w:rPr>
            </w:pPr>
            <w:r>
              <w:rPr>
                <w:rFonts w:ascii="宋体;SimSun" w:hAnsi="宋体;SimSun" w:eastAsia="宋体;SimSun" w:cs="宋体;SimSun"/>
                <w:color w:val="auto"/>
                <w:sz w:val="20"/>
                <w:szCs w:val="20"/>
                <w:highlight w:val="none"/>
              </w:rPr>
              <w:t>1、规格：0.5m×0.45m×0.45m；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5A6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535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D62B75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E2831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BBB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书桌</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F874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1.规格：2.4m×0.75m×0.72m；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046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634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15FC4B9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14295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229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座椅</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9D28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1.规格：0.55m×0.95m×0.45m；实木边框；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2.软包皮高弹海绵座面及靠背；</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39C9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A6E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把</w:t>
            </w:r>
          </w:p>
        </w:tc>
      </w:tr>
      <w:tr w14:paraId="3972359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D26956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95B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衣柜</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455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1.规格：2.4m×2m×0.6m；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2.ENF级环保免漆板基材；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3.五金配件配套。</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466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F7246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3254E6A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E58D0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5F54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电视机</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D0B34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1.基本参数:分辨率:1920×1080刷新率:≥60Hz</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CPU:四核，内存:4GB，存储:32GB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2.无线配置:Wi-Fi:Wi-Fi 5 蓝牙:支持蓝牙 5.1红外:支持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3.接口及数量：HDMI 2.1:3个(HDMI2支持eARC)AV:1个(三合一复合接口)S/PDIF:1个(光纤)USB:2个(1个USB3.0，1个USB2.0)LAN网口:1个(百兆)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4.内置扬声器</w:t>
            </w:r>
          </w:p>
          <w:p w14:paraId="7368F308">
            <w:pPr>
              <w:jc w:val="left"/>
              <w:rPr>
                <w:color w:val="auto"/>
                <w:highlight w:val="none"/>
              </w:rPr>
            </w:pPr>
            <w:r>
              <w:rPr>
                <w:rFonts w:ascii="宋体;SimSun" w:hAnsi="宋体;SimSun" w:eastAsia="宋体;SimSun" w:cs="宋体;SimSun"/>
                <w:color w:val="auto"/>
                <w:sz w:val="20"/>
                <w:szCs w:val="20"/>
                <w:highlight w:val="none"/>
              </w:rPr>
              <w:t>5.尺寸</w:t>
            </w:r>
            <w:r>
              <w:rPr>
                <w:rFonts w:ascii="宋体;SimSun" w:hAnsi="宋体;SimSun" w:eastAsia="宋体;SimSun" w:cs="宋体;SimSun"/>
                <w:color w:val="auto"/>
                <w:sz w:val="22"/>
                <w:highlight w:val="none"/>
              </w:rPr>
              <w:t>≥</w:t>
            </w:r>
            <w:r>
              <w:rPr>
                <w:rFonts w:ascii="宋体;SimSun" w:hAnsi="宋体;SimSun" w:eastAsia="宋体;SimSun" w:cs="宋体;SimSun"/>
                <w:color w:val="auto"/>
                <w:sz w:val="20"/>
                <w:szCs w:val="20"/>
                <w:highlight w:val="none"/>
              </w:rPr>
              <w:t>65英寸。</w:t>
            </w:r>
          </w:p>
        </w:tc>
        <w:tc>
          <w:tcPr>
            <w:tcW w:w="2114" w:type="dxa"/>
            <w:tcBorders>
              <w:top w:val="single" w:color="000000" w:sz="4" w:space="0"/>
              <w:left w:val="single" w:color="000000" w:sz="4" w:space="0"/>
              <w:bottom w:val="single" w:color="000000" w:sz="4" w:space="0"/>
              <w:right w:val="single" w:color="000000" w:sz="4" w:space="0"/>
            </w:tcBorders>
            <w:noWrap w:val="0"/>
            <w:vAlign w:val="center"/>
          </w:tcPr>
          <w:p w14:paraId="4717CA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AC0C9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3F20A9A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5D5DD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56</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5499FACD">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六、背景墙及广告费用部分</w:t>
            </w:r>
          </w:p>
        </w:tc>
        <w:tc>
          <w:tcPr>
            <w:tcW w:w="5133" w:type="dxa"/>
            <w:tcBorders>
              <w:top w:val="single" w:color="000000" w:sz="4" w:space="0"/>
              <w:left w:val="single" w:color="000000" w:sz="4" w:space="0"/>
              <w:bottom w:val="single" w:color="000000" w:sz="4" w:space="0"/>
              <w:right w:val="single" w:color="000000" w:sz="4" w:space="0"/>
            </w:tcBorders>
            <w:noWrap w:val="0"/>
          </w:tcPr>
          <w:p w14:paraId="7BEF45B5">
            <w:pPr>
              <w:jc w:val="left"/>
              <w:rPr>
                <w:rFonts w:ascii="宋体;SimSun" w:hAnsi="宋体;SimSun" w:eastAsia="宋体;SimSun" w:cs="宋体;SimSun"/>
                <w:b/>
                <w:bCs/>
                <w:color w:val="auto"/>
                <w:sz w:val="22"/>
                <w:highlight w:val="none"/>
              </w:rPr>
            </w:pP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6BBDA">
            <w:pPr>
              <w:jc w:val="center"/>
              <w:rPr>
                <w:rFonts w:ascii="宋体;SimSun" w:hAnsi="宋体;SimSun" w:eastAsia="宋体;SimSun" w:cs="宋体;SimSun"/>
                <w:b/>
                <w:bCs/>
                <w:color w:val="auto"/>
                <w:sz w:val="20"/>
                <w:szCs w:val="20"/>
                <w:highlight w:val="none"/>
              </w:rPr>
            </w:pPr>
          </w:p>
        </w:tc>
        <w:tc>
          <w:tcPr>
            <w:tcW w:w="1363" w:type="dxa"/>
            <w:tcBorders>
              <w:top w:val="single" w:color="000000" w:sz="4" w:space="0"/>
              <w:left w:val="single" w:color="000000" w:sz="4" w:space="0"/>
              <w:bottom w:val="single" w:color="000000" w:sz="4" w:space="0"/>
              <w:right w:val="single" w:color="000000" w:sz="4" w:space="0"/>
            </w:tcBorders>
            <w:noWrap w:val="0"/>
          </w:tcPr>
          <w:p w14:paraId="5FDEC1E4">
            <w:pPr>
              <w:jc w:val="center"/>
              <w:rPr>
                <w:rFonts w:ascii="宋体;SimSun" w:hAnsi="宋体;SimSun" w:eastAsia="宋体;SimSun" w:cs="宋体;SimSun"/>
                <w:color w:val="auto"/>
                <w:sz w:val="20"/>
                <w:szCs w:val="20"/>
                <w:highlight w:val="none"/>
              </w:rPr>
            </w:pPr>
          </w:p>
        </w:tc>
      </w:tr>
      <w:tr w14:paraId="7499719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D68C0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11F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发光字</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276B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1.不锈钢围边，树脂发光字；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2.字高280mm，共18字；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3.含变压器及辅材；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4.包安装。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F3CF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2F23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5A3A43E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C6EE8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0DB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门牌</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4C2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1.定制金属门牌；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2.规格：0.2m×0.45m；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50C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AE8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77155B1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709BF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59</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6D699372">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七、其他费用</w:t>
            </w:r>
          </w:p>
        </w:tc>
        <w:tc>
          <w:tcPr>
            <w:tcW w:w="5133" w:type="dxa"/>
            <w:tcBorders>
              <w:top w:val="single" w:color="000000" w:sz="4" w:space="0"/>
              <w:left w:val="single" w:color="000000" w:sz="4" w:space="0"/>
              <w:bottom w:val="single" w:color="000000" w:sz="4" w:space="0"/>
              <w:right w:val="single" w:color="000000" w:sz="4" w:space="0"/>
            </w:tcBorders>
            <w:noWrap w:val="0"/>
          </w:tcPr>
          <w:p w14:paraId="09EA390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FF491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153CB2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211582E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CBBC2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D5BF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垃圾清理、材料搬运费</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843B0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1.拆除垃圾清运等一切费用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2EA4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08AF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1710A14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EE521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61</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455DB1A5">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Ⅱ、安装工程</w:t>
            </w:r>
          </w:p>
        </w:tc>
        <w:tc>
          <w:tcPr>
            <w:tcW w:w="5133" w:type="dxa"/>
            <w:tcBorders>
              <w:top w:val="single" w:color="000000" w:sz="4" w:space="0"/>
              <w:left w:val="single" w:color="000000" w:sz="4" w:space="0"/>
              <w:bottom w:val="single" w:color="000000" w:sz="4" w:space="0"/>
              <w:right w:val="single" w:color="000000" w:sz="4" w:space="0"/>
            </w:tcBorders>
            <w:noWrap w:val="0"/>
          </w:tcPr>
          <w:p w14:paraId="0E4C828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noWrap w:val="0"/>
          </w:tcPr>
          <w:p w14:paraId="33238C6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2C340C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37808C3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15465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62</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0C56D921">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一、强电系统</w:t>
            </w:r>
          </w:p>
        </w:tc>
        <w:tc>
          <w:tcPr>
            <w:tcW w:w="5133" w:type="dxa"/>
            <w:tcBorders>
              <w:top w:val="single" w:color="000000" w:sz="4" w:space="0"/>
              <w:left w:val="single" w:color="000000" w:sz="4" w:space="0"/>
              <w:bottom w:val="single" w:color="000000" w:sz="4" w:space="0"/>
              <w:right w:val="single" w:color="000000" w:sz="4" w:space="0"/>
            </w:tcBorders>
            <w:noWrap w:val="0"/>
          </w:tcPr>
          <w:p w14:paraId="154B901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noWrap w:val="0"/>
          </w:tcPr>
          <w:p w14:paraId="43513D9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391195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1BF61E5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1BC1F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DAE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配电箱ZAL</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6FB8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1.规格：750mm×550mm×120mm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2.材质：冷轧钢板，厚度1.2mm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3.安装方式：落地安装，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4.其他：包含箱内开关、熔断器、接线端子等元器件安装及接线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C761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C8FF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1D8CAD1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8C295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55C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配电箱AL1</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4007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1.规格：冷轧钢板400mm×500mm×150mm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2.安装方式：挂墙式安装，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4.其他：包含箱内开关、熔断器、接线端子等元器件安装及接线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267E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B095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0C5C4AC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6076B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D83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配电箱AL2</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FD880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1.材质：冷轧钢板</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2.安装方式：挂墙式安装，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4.其他：包含箱内开关、熔断器、接线端子等元器件安装及接线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6A9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CA85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69178CC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EBF93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CC98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应急照明配线箱ALE1</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EB7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1.材质：冷轧钢板</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2.安装方式：挂墙式安装，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3.安装高度1.6m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4.其他：包含箱内开关、熔断器、接线端子等元器件安装及接线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ADD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765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6D519C8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4EC76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4D0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配管</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A1D9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1.材质：热镀锌钢管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2.规格：JDG20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3.敷设方式：吊顶内明敷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4.包含管卡安装、管子连接（丝接）及防腐处理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BB9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DFA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2923883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006AE1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482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配管</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EFB0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1.材质：热镀锌钢管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2.规格：SC20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3.敷设方式：吊顶内明敷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4.包含管卡安装、管子连接（丝接）及防腐处理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9E9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1993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24FC03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CE32C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A96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接线盒</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88A4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预留盒</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51C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C1E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4125653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3E7FE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2DF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46FA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1.材质：铜芯，型号：BV 规格：：2.5mm²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2.敷设方式：穿镀锌钢管敷设，钢管规格SC25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3.敷设部位：地面垫层内暗敷包含电线连接及绝缘处理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DC80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2800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0CD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AE1D34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910A5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EC35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6609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1.材质：铜芯，型号：BV 规格：：4mm²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2.敷设方式：穿镀锌钢管敷设，钢管规格SC25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3.敷设部位：地面垫层内暗敷包含电线连接及绝缘处理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2D4CE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680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26F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5735369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9A642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DBCF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457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1.材质：铜芯，型号：BV 规格：：6mm²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2.敷设方式：穿镀锌钢管敷设，钢管规格SC25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3.敷设部位：地面垫层内暗敷包含电线连接及绝缘处理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527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362D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5A5C3D2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851697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1D0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配线电缆</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33552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1.材质：铜芯，型号：BV 规格：：4×35+1×16(mm²)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2.敷设方式：穿镀锌钢管敷设</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3.敷设部位：地面垫层内暗敷包含电线连接及绝缘处理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0C65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382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145E7A6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28C2B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461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配线电缆</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7E699">
            <w:pPr>
              <w:jc w:val="left"/>
              <w:rPr>
                <w:color w:val="auto"/>
                <w:highlight w:val="none"/>
              </w:rPr>
            </w:pPr>
            <w:r>
              <w:rPr>
                <w:rFonts w:ascii="宋体;SimSun" w:hAnsi="宋体;SimSun" w:eastAsia="宋体;SimSun" w:cs="宋体;SimSun"/>
                <w:color w:val="auto"/>
                <w:sz w:val="20"/>
                <w:szCs w:val="20"/>
                <w:highlight w:val="none"/>
              </w:rPr>
              <w:t>1.材质：铜芯，型号：BV 规格：：4×50+1×16(mm²)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2.敷设方式：穿镀锌钢管敷设</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3.敷设部位：地面垫层内暗敷包含电线连接及绝缘处理</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84BC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C72E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2743B6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451BC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A9B4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装饰灯</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DF907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1.7英寸28W筒灯</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3D0C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679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4B8D716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B369F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1C282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普通灯具</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2AEE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1.600mm×1200mm，36W平板灯</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56C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D14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8272BB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45361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051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普通灯具</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89C87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1.LED长条灯，300mm×2000mm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C07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33</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2B12C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297E6E0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402D5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FDF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普通灯具</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1EB9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1.36W吸顶灯</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EFE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D6F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04F8659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BA9B8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DBDF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专用灯</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1FE09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1.浴霸</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84C2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EA3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57A744F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DB3512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E9C7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装饰灯</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2F49C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1.大厅铝板上方LED 低压10WCOB灯带，配置转换器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C82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925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46E9328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2E753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754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照明开关</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AF29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1.名称：双联单极开关；</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2.安装与供应包括一切所需人工及辅料，以及安装与供应完成后的打胶收口。</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542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2E57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0DE477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CF3CC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BE4B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照明开关</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FE86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1.名称：三联单极开关；</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2.安装与供应包括一切所需人工及辅料，以及安装与供应完成后的打胶收口。</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22A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44D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10AD1C5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7132D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27C1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插座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655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1.型号：86型 规格：五孔插座，额定电流10A，额定电压250V</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2.材质：PC面板，铜合金插套.安装方式：暗装，安装高度0.3m 包含插座盒安装及接线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11620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EA88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4DA8F8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6589E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600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插座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19E5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1.型号：86型 规格：五孔插座（带防溅盒），额定电流10A，额定电压250V</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2.材质：PC面板，铜合金插套. 安装方式：暗装，安装高度1.3m 包含插座盒安装及接线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7DE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B5C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1BCD85F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C484F3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6CBA2">
            <w:pPr>
              <w:jc w:val="center"/>
              <w:rPr>
                <w:color w:val="auto"/>
                <w:highlight w:val="none"/>
              </w:rPr>
            </w:pPr>
            <w:r>
              <w:rPr>
                <w:rFonts w:ascii="宋体;SimSun" w:hAnsi="宋体;SimSun" w:eastAsia="宋体;SimSun" w:cs="宋体;SimSun"/>
                <w:color w:val="auto"/>
                <w:sz w:val="20"/>
                <w:szCs w:val="20"/>
                <w:highlight w:val="none"/>
              </w:rPr>
              <w:t>五孔地面插</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81F5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1.名称：五孔地面插座；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2.规格、型号：86型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3.安装与供应包括一切所需人工及辅料，以及安装与供应完成后的打胶收口。</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1C6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C71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03CEF78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5DF4B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DF9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三孔空调插座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9BAB1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1.名称：三孔插座；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2.安装与供应包括一切所需人工及辅料，以及安装与供应完成后的打胶收口。</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959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010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4960BC4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2E4C0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F7E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打洞（孔）</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B5B7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1.名称:墙面开孔</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2.规格:DN50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3.类型:空调管孔</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419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4F0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AC5C6B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70C34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78B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凿（压)槽</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6EA3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1.墙面开槽及修复DN25</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2F4A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230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AD70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86A851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03EA0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89</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2FACF184">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二、空调系统</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EC22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6A5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9FF8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0047483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942E37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5B5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分体式空调</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B0E4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1.规格：壁挂机，2P</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2.安装位置：休息室</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B01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551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52AF11A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0C640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3E4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中央空调外机</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1D40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1.外机功率：10P</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2.外机供电6平方</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07007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B93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3D70CBB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94ABDF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07DB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中央空调室内机</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B69D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1.功率：5P，</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2.规格：四面出风</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E841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6BAD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70BE9EA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276238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8E3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控制器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3E1E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1.配套线控器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A18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0E0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CA7470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4F5C5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D86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档案室空调</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06A9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1.功率：2P风管机</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7BF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631C4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5320176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67C25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D1B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铜管</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E202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1.配套铜管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66F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86D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3BA5D90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F6253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C46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空调工程系统调试</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CE96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1.整体调试</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4E3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6420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4F84CC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393AE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97</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3E530DE5">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三、弱电系统</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5377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765C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5F83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0C933A7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6F7A6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FDE0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网络机柜</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ECC2E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1.名称：网络柜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2.规格：2000mm×1000mm×600mm 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14E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68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r>
      <w:tr w14:paraId="1CB58CF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D7A542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93D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电气配管SC钢管DN20</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00D63">
            <w:pPr>
              <w:jc w:val="left"/>
              <w:rPr>
                <w:color w:val="auto"/>
                <w:highlight w:val="none"/>
              </w:rPr>
            </w:pPr>
            <w:r>
              <w:rPr>
                <w:rFonts w:ascii="宋体;SimSun" w:hAnsi="宋体;SimSun" w:eastAsia="宋体;SimSun" w:cs="宋体;SimSun"/>
                <w:color w:val="auto"/>
                <w:sz w:val="20"/>
                <w:szCs w:val="20"/>
                <w:highlight w:val="none"/>
              </w:rPr>
              <w:t xml:space="preserve">1.名称:SC钢管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2.规格:DN20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3.配置形式及部位:砖、混凝土结构明配</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E3E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647B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4F6FEE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B198D6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D343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桥架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AA57B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1.型号：槽式桥架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2.规格：200mm×100mm，厚度1.0mm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3.材质：冷轧钢板，表面静电喷涂安装方式：沿顶板吊装，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4.安装高度距顶板0.3m.包含桥架支吊架制作安装、桥架连接及接地</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44C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89B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7DCDBE6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5AC76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D7D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24口模块化六类非屏蔽配线架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175F63">
            <w:pPr>
              <w:jc w:val="left"/>
              <w:rPr>
                <w:color w:val="auto"/>
                <w:highlight w:val="none"/>
              </w:rPr>
            </w:pPr>
            <w:r>
              <w:rPr>
                <w:rFonts w:ascii="宋体;SimSun" w:hAnsi="宋体;SimSun" w:eastAsia="宋体;SimSun" w:cs="宋体;SimSun"/>
                <w:color w:val="auto"/>
                <w:sz w:val="20"/>
                <w:szCs w:val="20"/>
                <w:highlight w:val="none"/>
              </w:rPr>
              <w:t>1.产品描述：19英寸1U24口模块化6类非屏蔽配线架；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2.标准19英寸机架式安装，高度：1U；</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3.平面型配线架，采用模块化设计；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4.后端自带线缆管理单元，采用双爪式免工具设计，便于安装和拆卸；</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5.标准：YD/T 926.3，ISO/IEC 11801，ANSI/TIA - 568-C.2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6.线缆管理：自带后部线缆管理单元；</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7.标识管理：完善清晰的标识系统，让施工、维护、管理更方便、快捷，端口带序号标识；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8.IDC：磷青铜，金针：磷青铜表面镀金，9. 进线方式：180°进线，IDC：45°，卡接导体规格：0.5mm～0.65mm，24AWG~22AWG；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10.打线方式：T568A/T568B；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11.插头与插座插合次数：≥1000次，导线端接次数：≥250次；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C6B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9E465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7EEE83D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4FF88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B7A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理线架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3978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1.材料：碳钢，T=1.5毫米，防静电喷塑处理；1U高度，结构紧凑；1.2MM厚度</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11F0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AD30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80FD9F3">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B3A8B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BB0C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078FD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1.网线UTP6</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E63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4300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BA6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40582E0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3E9BD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A37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信息插座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3625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1.网络插座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2.暗装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D9C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361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DE70FE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33C4B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F467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信息插座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B9F5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1.网络地面插座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2.暗装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6D1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D15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0E65D3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04386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168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凿（压)槽</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03A2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1.墙面开槽及修复DN25</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F7B2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55F9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60D27C4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562DC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786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智能音箱</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2066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1.声学单元：2.5英寸全频扬声器x1 无源辐射器x2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2.额定功率：12W</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3.麦克风:环形麦克风阵列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4.灯光:全彩线形氛围灯带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5.蓝牙:Wi-Fi 蓝牙5.0，支持A2DP音乐播放</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6.Wi-Fi 2.4 GHz /5 GHz，支持IEEE 802.11 a/ b /g/ n /ac/ax协议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7.有线:Type-C 音频有线连接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8.电源:DC 12V/2A</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A87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158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7A324C6">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C3499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3DB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窗帘电机</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9E25B">
            <w:pPr>
              <w:jc w:val="left"/>
              <w:rPr>
                <w:color w:val="auto"/>
                <w:highlight w:val="none"/>
              </w:rPr>
            </w:pPr>
            <w:r>
              <w:rPr>
                <w:rFonts w:ascii="宋体;SimSun" w:hAnsi="宋体;SimSun" w:eastAsia="宋体;SimSun" w:cs="宋体;SimSun"/>
                <w:color w:val="auto"/>
                <w:sz w:val="20"/>
                <w:szCs w:val="20"/>
                <w:highlight w:val="none"/>
              </w:rPr>
              <w:t>1.产品名称:智能开合帘电机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2.产品尺寸:135mm×51mm×60mm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3.额定扭矩:1.2N·m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4.防护等级:IP41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5.通讯协议:蓝牙Mesh2.0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6.额定转速:75r/min</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7.输入电压:100~240VAC 50/60Hz</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8.额定功率:≤24W</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9.热分级:F级</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9F2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612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7CED26D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4761C4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803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窗帘轨道</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2D6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1.双层电泳工艺，铝合金材质，承重</w:t>
            </w:r>
          </w:p>
          <w:p w14:paraId="58BF32A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2.100-120斤，不易褪色、不易生锈</w:t>
            </w:r>
          </w:p>
          <w:p w14:paraId="79CFC44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3.皮带细节：皮带分钢丝皮带和凯夫拉皮带。钢丝皮带含7根钢丝，抗老化耐用。凯夫拉皮带抗高温、抗燃、高拉力耐磨损。适用室外、工厂等恶劣环境。</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E48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908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米</w:t>
            </w:r>
          </w:p>
        </w:tc>
      </w:tr>
      <w:tr w14:paraId="72E990A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84896A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D35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智能开关</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7D0E5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1.产品尺寸:86mm×86mm×40mm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2.通讯协议:蓝牙Mesh2.0额定电压:250V~，50/60Hz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3.负载类型:白炽灯≤2000W/路，LED≤800W/路</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873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F2D6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57C556F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4CD46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D09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窗帘遥控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6D8D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配套开合帘遥控器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568B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4CB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DD5F5D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21DF0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112</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3E4E7F45">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四、给排水工程</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2AF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FC9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E107A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1740CB2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AD543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4760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给水水管PPR De20</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AE1F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1.安装部位：室内；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2.输送介质：热水、冷水；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3.材质：PP-R管；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4.型号、规格：De20；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5.连接方式：热熔连接；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6.管件安装、水压试验、消毒冲洗；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7.开孔、打眼及封堵；</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8.配置形式及部位：砖、混凝土结构暗配、明配；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9.弯头、三通、堵头等管配件及户内穿墙、梁等套管、管道开槽、压槽、支撑件、保温、保护层等全部内容；</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C6D4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75F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6EB62B3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2C216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16FD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排水管UPVC De50</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9FBAA">
            <w:pPr>
              <w:jc w:val="left"/>
              <w:rPr>
                <w:color w:val="auto"/>
                <w:highlight w:val="none"/>
              </w:rPr>
            </w:pPr>
            <w:r>
              <w:rPr>
                <w:rFonts w:ascii="宋体;SimSun" w:hAnsi="宋体;SimSun" w:eastAsia="宋体;SimSun" w:cs="宋体;SimSun"/>
                <w:color w:val="auto"/>
                <w:sz w:val="20"/>
                <w:szCs w:val="20"/>
                <w:highlight w:val="none"/>
              </w:rPr>
              <w:t>1.安装部位：室内；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2.输送介质：污废水；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3.材质：PVC-U塑料管；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4.型号、规格：De50；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5.连接方式：零件粘接；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6.灌水试验；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7.开孔、打眼及封堵；</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B6E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DB4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3349C2D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60A34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E56D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排水管UPVC De110</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E6AE3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1.安装部位：室内；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2.输送介质：污废水；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3.材质：PVC-U塑料管；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4.型号、规格：De110；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5.连接方式：零件粘接；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6.灌水试验；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7.开孔、打眼及封堵；</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32E5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F28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0844612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800E9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D39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小便器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E718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1.名称:小便器含感应自动冲洗；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2.附件:角阀、黄油法兰、金属软管等附件安装；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3.阀门装饰盖供应及安装；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A66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7317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688182D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2AE4C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8D2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马桶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EADAD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1.名称:马桶；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2.附件:角阀、黄油法兰、金属软管等附件安装；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3.阀门装饰盖供应及安装；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56B1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23B0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w:t>
            </w:r>
          </w:p>
        </w:tc>
      </w:tr>
      <w:tr w14:paraId="782FD24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2421C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457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盆柜</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EDD6B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1.18mm厚防潮板基材；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2.岩板台面；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3.含台盆，冷热水纯铜芯水龙头；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4.规格：0.9m×0.55m×0.65m；5、壁挂安装；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5.五金配件配套（含铝合金金属下水管道、纯铜芯冷热水三角阀门，台盆下水等）</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306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473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36E2DA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607BF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8CAA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地漏</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6915D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1.不锈钢防臭地漏</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DD7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AAC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29C9D62A">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9F93E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C7BB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淋浴花洒</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4CAE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1.纯铜芯不锈钢子母花洒；</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2.恒温水龙头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3.入墙式安装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9CE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EA46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2388D5C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E75AD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BF661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双杠毛巾架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37600A">
            <w:pPr>
              <w:jc w:val="left"/>
              <w:rPr>
                <w:color w:val="auto"/>
                <w:highlight w:val="none"/>
              </w:rPr>
            </w:pPr>
            <w:r>
              <w:rPr>
                <w:rFonts w:ascii="宋体;SimSun" w:hAnsi="宋体;SimSun" w:eastAsia="宋体;SimSun" w:cs="宋体;SimSun"/>
                <w:color w:val="auto"/>
                <w:sz w:val="20"/>
                <w:szCs w:val="20"/>
                <w:highlight w:val="none"/>
              </w:rPr>
              <w:t>1.不锈钢材质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BF2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5A30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5D73D89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B90CB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AA7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抽纸盒</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B451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1.成品厕纸抽纸盒</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4DD9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164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A71008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7BC47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1BF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洁厕刷</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445C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1.不锈钢材质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5EA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57E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1565738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DF906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26D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拖把池</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46389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1.陶瓷盆；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2.含五金龙头（纯铜芯）；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3.含铝合金下水及角阀</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2EB2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40F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FA47DE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C3493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8D4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电热水器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0971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1.容积60L，功率3000W变频速热电热水器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BBD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5129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2C1F260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403E1B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CB92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钢化玻璃淋浴隔断</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B7878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1.钢化玻璃淋浴隔断、不锈钢包边框全玻璃隔断钢化玻璃δ12mm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0B4B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C9E3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07912D08">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FB2C13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A6B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镜箱</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B66E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1.名称:镜柜930mm×800mm；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2.规格、类型:含镜面等；</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4D7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EA0D8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4F946323">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33B2A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128</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731750E4">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五、消防改造及报警</w:t>
            </w:r>
          </w:p>
        </w:tc>
        <w:tc>
          <w:tcPr>
            <w:tcW w:w="5133" w:type="dxa"/>
            <w:tcBorders>
              <w:top w:val="single" w:color="000000" w:sz="4" w:space="0"/>
              <w:left w:val="single" w:color="000000" w:sz="4" w:space="0"/>
              <w:bottom w:val="single" w:color="000000" w:sz="4" w:space="0"/>
              <w:right w:val="single" w:color="000000" w:sz="4" w:space="0"/>
            </w:tcBorders>
            <w:noWrap w:val="0"/>
          </w:tcPr>
          <w:p w14:paraId="0DB98F4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2114" w:type="dxa"/>
            <w:tcBorders>
              <w:top w:val="single" w:color="000000" w:sz="4" w:space="0"/>
              <w:left w:val="single" w:color="000000" w:sz="4" w:space="0"/>
              <w:bottom w:val="single" w:color="000000" w:sz="4" w:space="0"/>
              <w:right w:val="single" w:color="000000" w:sz="4" w:space="0"/>
            </w:tcBorders>
            <w:noWrap w:val="0"/>
          </w:tcPr>
          <w:p w14:paraId="2AF1DCC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　</w:t>
            </w:r>
          </w:p>
        </w:tc>
        <w:tc>
          <w:tcPr>
            <w:tcW w:w="1363" w:type="dxa"/>
            <w:tcBorders>
              <w:top w:val="single" w:color="000000" w:sz="4" w:space="0"/>
              <w:left w:val="single" w:color="000000" w:sz="4" w:space="0"/>
              <w:bottom w:val="single" w:color="000000" w:sz="4" w:space="0"/>
              <w:right w:val="single" w:color="000000" w:sz="4" w:space="0"/>
            </w:tcBorders>
            <w:noWrap w:val="0"/>
          </w:tcPr>
          <w:p w14:paraId="0C54C8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56E0ECE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168BE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41F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水喷淋钢管</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81B5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1.材质：热镀锌无缝钢管；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2.规格：DN25/DN32；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3.连接方式：沟槽式连接；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4.防腐处理：外刷防锈漆两道、防火涂料两道；</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5.安装位置：根据设计吊顶标高改造现场喷淋管道，喷淋头采用隐蔽喷头，居中布置，安装完成后需进行打压测试；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6.压力等级：满足规范要求；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7.含支架制作安装、管道试压、冲洗、消毒；</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731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DCE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2961E09">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A3F74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510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水喷淋(雾）喷头</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6A07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1.类型：闭式玻璃球喷淋头；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2.动作温度：68℃；</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3.安装方式：隐蔽式下喷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4.流量系数：K=80；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5.材质：铜合金，玻璃球透明</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3D3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64D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2787246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717ED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446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点型感烟火灾探测器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7AB4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1.类型：离子式/光电式；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2.安装方式：吸顶式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3.信号类型：地址编码型；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4.工作电压：DC24V</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5.响应时间：≤30s；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6.与消防报警控制器联动，含底座安装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F85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6FF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20623A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7B818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5EB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消防管线</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CE879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1.材质：铜芯，耐火聚氯乙烯绝缘聚氯乙烯护套控制电缆；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2.根据现场布局对消防设施进行配套施工；</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764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1855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m</w:t>
            </w:r>
          </w:p>
        </w:tc>
      </w:tr>
      <w:tr w14:paraId="44E3A1B1">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E347F3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AAC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消防调试</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AFEC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1.调试内容：喷淋系统、消火栓系统、消防报警系统等联动调试；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2.调试要求：系统报警准确、联动动作正常、信号反馈及时；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3.含单机调试、系统联合调试、试运行（试运行时间≥24h）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4.清单内未包含的其他系统设施在报价中统一考虑，需确保消防系统正常运行；</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596F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FAC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79B0140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D54B8D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134</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59DDBD42">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六、机房气体消防</w:t>
            </w:r>
          </w:p>
        </w:tc>
        <w:tc>
          <w:tcPr>
            <w:tcW w:w="5133" w:type="dxa"/>
            <w:tcBorders>
              <w:top w:val="single" w:color="000000" w:sz="4" w:space="0"/>
              <w:left w:val="single" w:color="000000" w:sz="4" w:space="0"/>
              <w:bottom w:val="single" w:color="000000" w:sz="4" w:space="0"/>
              <w:right w:val="single" w:color="000000" w:sz="4" w:space="0"/>
            </w:tcBorders>
            <w:noWrap w:val="0"/>
            <w:vAlign w:val="center"/>
          </w:tcPr>
          <w:p w14:paraId="4F00588E">
            <w:pPr>
              <w:jc w:val="left"/>
              <w:rPr>
                <w:rFonts w:ascii="宋体;SimSun" w:hAnsi="宋体;SimSun" w:eastAsia="宋体;SimSun" w:cs="宋体;SimSun"/>
                <w:color w:val="auto"/>
                <w:sz w:val="16"/>
                <w:szCs w:val="16"/>
                <w:highlight w:val="none"/>
              </w:rPr>
            </w:pPr>
            <w:r>
              <w:rPr>
                <w:rFonts w:ascii="宋体;SimSun" w:hAnsi="宋体;SimSun" w:eastAsia="宋体;SimSun" w:cs="宋体;SimSun"/>
                <w:color w:val="auto"/>
                <w:sz w:val="16"/>
                <w:szCs w:val="16"/>
                <w:highlight w:val="none"/>
              </w:rPr>
              <w:t>　</w:t>
            </w:r>
          </w:p>
        </w:tc>
        <w:tc>
          <w:tcPr>
            <w:tcW w:w="2114" w:type="dxa"/>
            <w:tcBorders>
              <w:top w:val="single" w:color="000000" w:sz="4" w:space="0"/>
              <w:left w:val="single" w:color="000000" w:sz="4" w:space="0"/>
              <w:bottom w:val="single" w:color="000000" w:sz="4" w:space="0"/>
              <w:right w:val="single" w:color="000000" w:sz="4" w:space="0"/>
            </w:tcBorders>
            <w:noWrap w:val="0"/>
            <w:vAlign w:val="center"/>
          </w:tcPr>
          <w:p w14:paraId="46F8E05F">
            <w:pPr>
              <w:jc w:val="center"/>
              <w:rPr>
                <w:rFonts w:ascii="宋体;SimSun" w:hAnsi="宋体;SimSun" w:eastAsia="宋体;SimSun" w:cs="宋体;SimSun"/>
                <w:color w:val="auto"/>
                <w:sz w:val="16"/>
                <w:szCs w:val="16"/>
                <w:highlight w:val="none"/>
              </w:rPr>
            </w:pPr>
            <w:r>
              <w:rPr>
                <w:rFonts w:ascii="宋体;SimSun" w:hAnsi="宋体;SimSun" w:eastAsia="宋体;SimSun" w:cs="宋体;SimSun"/>
                <w:color w:val="auto"/>
                <w:sz w:val="16"/>
                <w:szCs w:val="16"/>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BF6E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65D4A1F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FE3AC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57D1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柜式七氟丙烷灭火装置</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50E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瓶组容积70L、储存压力2.5 MPa，采用七氟丙烷洁净气体作为灭火剂的高效无管网灭火装置。工作压力：公称工作压力2.5+0.1MPa（表压），最大工作压力4.2MPa；每一只七氟丙烷储瓶都必须装有压力表，具有检漏功能、且压力表与瓶组间有开关控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FF7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16D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4339B9E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D8863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9BD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药剂</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21886">
            <w:pPr>
              <w:jc w:val="left"/>
              <w:rPr>
                <w:color w:val="auto"/>
                <w:highlight w:val="none"/>
              </w:rPr>
            </w:pPr>
            <w:r>
              <w:rPr>
                <w:rFonts w:ascii="宋体;SimSun" w:hAnsi="宋体;SimSun" w:eastAsia="宋体;SimSun" w:cs="宋体;SimSun"/>
                <w:color w:val="auto"/>
                <w:sz w:val="20"/>
                <w:szCs w:val="20"/>
                <w:highlight w:val="none"/>
              </w:rPr>
              <w:t>纯度99.99%；无色、无味的气体，其臭氧耗损潜能值（ODP）为零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16C36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798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kg</w:t>
            </w:r>
          </w:p>
        </w:tc>
      </w:tr>
      <w:tr w14:paraId="27C0757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ED837E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137</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C0B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泄压口</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1EC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0.07㎡</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2B3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7DEA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5519444F">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ADAA2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187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气体灭火控制器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B0EE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单防区壁挂式气体灭火控制器，可实现1个防火区的火灾报警和气体灭火控制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AE20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FA2F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8D69CE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57A59EF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2EC3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气体释放警报器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620C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与控制器采用二线连接，白色电缆线接总线，无极性</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4E5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DBEF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9DFCB72">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75160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162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紧急启停按钮</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DD0A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编码方式：电子编码方式，编码范围可在21~30之间任意设定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常开输出触点：额定值DC60V、0.1A，接触电阻小于等于100mΩ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启动方式：击碎玻璃罩后，按下“按下喷洒”按键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启动零件类型：重复使用型</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635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D63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04188D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0570DB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9A7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声光警报器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A12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二总线，无极性，采用DC24V电源，内置微处理器CPU；常安装在气体灭火保护区内外，用于声、光警告信号</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C6E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8F40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B2E55C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2B2D2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4557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点型光电感烟火灾探测器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B3C5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线制：信号二总线无极性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指示灯：红色，巡检时闪烁，报警时常亮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编码方式：电子编码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使用环境：环境温度:-10°C~+55°C相对湿度:&lt;95%，不凝露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壳体：材料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外形尺寸：直径103mmx高53mm(带底座)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总线电压：总线24V</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0759B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638A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1774A5F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4E4D316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E53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点型感温火灾探测器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DF806">
            <w:pPr>
              <w:jc w:val="left"/>
              <w:rPr>
                <w:color w:val="auto"/>
                <w:highlight w:val="none"/>
              </w:rPr>
            </w:pPr>
            <w:r>
              <w:rPr>
                <w:rFonts w:ascii="宋体;SimSun" w:hAnsi="宋体;SimSun" w:eastAsia="宋体;SimSun" w:cs="宋体;SimSun"/>
                <w:color w:val="auto"/>
                <w:sz w:val="20"/>
                <w:szCs w:val="20"/>
                <w:highlight w:val="none"/>
              </w:rPr>
              <w:t>点型感温火灾探测器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工作电压：总线24V</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监视电流：≤0.3mA</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报警电流：≤1.5mA</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报警确认灯：红色，巡检时闪烁，报警时常亮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编码方式：电子编码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编码范围：1-242之间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使用环境温度：A1R类别:典型应用25℃，范围-10℃~+50℃BS类别:典型应用40℃，范围-10℃~+65℃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相对湿度：&lt;95%，不凝露</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外壳防护等级IP32</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BC8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4EA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46FA18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7D977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144</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769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探测器底座</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1CCC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材质：塑料</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4AC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AF5C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FC12C7C">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E14408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145</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A93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二氧化碳灭火器</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5656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3kg</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633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BCC5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66D8F65B">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CA7E74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146</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AA9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安装及管线辅材</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3E2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管线辅材</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8B64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7B20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r>
      <w:tr w14:paraId="41EE680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1E61F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147</w:t>
            </w:r>
          </w:p>
        </w:tc>
        <w:tc>
          <w:tcPr>
            <w:tcW w:w="4145" w:type="dxa"/>
            <w:tcBorders>
              <w:top w:val="single" w:color="000000" w:sz="4" w:space="0"/>
              <w:left w:val="single" w:color="000000" w:sz="4" w:space="0"/>
              <w:bottom w:val="single" w:color="000000" w:sz="4" w:space="0"/>
              <w:right w:val="single" w:color="000000" w:sz="4" w:space="0"/>
            </w:tcBorders>
            <w:noWrap w:val="0"/>
            <w:vAlign w:val="center"/>
          </w:tcPr>
          <w:p w14:paraId="1EC0307F">
            <w:pPr>
              <w:jc w:val="left"/>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七、机房排风系统</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79DC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2C41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A8CC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w:t>
            </w:r>
          </w:p>
        </w:tc>
      </w:tr>
      <w:tr w14:paraId="365A5C95">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2DD24C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148</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6FE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灾后清空风机</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50CB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1.名称：排烟风机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2.规格：风量≥1300m³/h；</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2F6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2E8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386C7C5D">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3DC966D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149</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9B2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排烟管道</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FAD7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镀锌白铁皮咬口制作安装，300mm×200mm，10mm厚橡胶板保温，风管、管件、法兰、法兰加固框、零件、支吊架制作安装、除锈刷油、穿墙套管安装</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5916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5E2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米</w:t>
            </w:r>
          </w:p>
        </w:tc>
      </w:tr>
      <w:tr w14:paraId="73D47617">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3BF7B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150</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2D94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电动防火阀</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DB910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1.名称：排烟阀</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2.规格：24V，280℃电动。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094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ED06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7B24C1E0">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7EE8A32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151</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DBA2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消防排烟机控制箱</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CAC2A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1.名称：电源箱</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2.规格：定制。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227D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1F7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个</w:t>
            </w:r>
          </w:p>
        </w:tc>
      </w:tr>
      <w:tr w14:paraId="385AAD04">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142520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152</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C66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回风口百叶</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2B2B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1.名称：百叶风口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2.规格：300mm×300mm。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27D6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7E4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r w14:paraId="548FFB0E">
        <w:tblPrEx>
          <w:tblCellMar>
            <w:top w:w="0" w:type="dxa"/>
            <w:left w:w="108" w:type="dxa"/>
            <w:bottom w:w="0" w:type="dxa"/>
            <w:right w:w="108" w:type="dxa"/>
          </w:tblCellMar>
        </w:tblPrEx>
        <w:trPr>
          <w:trHeight w:val="501" w:hRule="atLeast"/>
        </w:trPr>
        <w:tc>
          <w:tcPr>
            <w:tcW w:w="1203" w:type="dxa"/>
            <w:tcBorders>
              <w:top w:val="single" w:color="000000" w:sz="4" w:space="0"/>
              <w:left w:val="single" w:color="000000" w:sz="4" w:space="0"/>
              <w:bottom w:val="single" w:color="000000" w:sz="4" w:space="0"/>
              <w:right w:val="single" w:color="000000" w:sz="4" w:space="0"/>
            </w:tcBorders>
            <w:noWrap w:val="0"/>
            <w:vAlign w:val="center"/>
          </w:tcPr>
          <w:p w14:paraId="65F9E62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153</w:t>
            </w:r>
          </w:p>
        </w:tc>
        <w:tc>
          <w:tcPr>
            <w:tcW w:w="41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41BA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防雨百叶风口</w:t>
            </w:r>
          </w:p>
        </w:tc>
        <w:tc>
          <w:tcPr>
            <w:tcW w:w="5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F0AF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1.名称：防雨百叶风口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2.规格：300mm×300mm。</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740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3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83C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r>
    </w:tbl>
    <w:p w14:paraId="7C483C10">
      <w:pPr>
        <w:pStyle w:val="271"/>
        <w:rPr>
          <w:rFonts w:ascii="宋体;SimSun" w:hAnsi="宋体;SimSun" w:cs="宋体;SimSun"/>
          <w:color w:val="auto"/>
          <w:highlight w:val="none"/>
        </w:rPr>
      </w:pPr>
    </w:p>
    <w:p w14:paraId="6429DB5D">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环境监测预警系统需求</w:t>
      </w:r>
    </w:p>
    <w:p w14:paraId="0D418CFB">
      <w:pPr>
        <w:spacing w:line="360" w:lineRule="auto"/>
        <w:ind w:firstLine="420"/>
        <w:rPr>
          <w:color w:val="auto"/>
          <w:highlight w:val="none"/>
        </w:rPr>
      </w:pPr>
      <w:r>
        <w:rPr>
          <w:color w:val="auto"/>
          <w:highlight w:val="none"/>
        </w:rPr>
        <w:t>本项目需建设环境监测预警系统，主要包含地下水监测站、地表水监测站、上风向标准站的升级改造、地下水建井、配套大气模型和配套地下水模型，并且提供4年质保及4年运维。环境监测预警系统需求清单如下：</w:t>
      </w:r>
    </w:p>
    <w:tbl>
      <w:tblPr>
        <w:tblStyle w:val="39"/>
        <w:tblW w:w="5000" w:type="pct"/>
        <w:tblInd w:w="-113" w:type="dxa"/>
        <w:tblLayout w:type="fixed"/>
        <w:tblCellMar>
          <w:top w:w="0" w:type="dxa"/>
          <w:left w:w="108" w:type="dxa"/>
          <w:bottom w:w="0" w:type="dxa"/>
          <w:right w:w="108" w:type="dxa"/>
        </w:tblCellMar>
      </w:tblPr>
      <w:tblGrid>
        <w:gridCol w:w="700"/>
        <w:gridCol w:w="922"/>
        <w:gridCol w:w="2993"/>
        <w:gridCol w:w="6108"/>
        <w:gridCol w:w="955"/>
        <w:gridCol w:w="801"/>
        <w:gridCol w:w="1479"/>
      </w:tblGrid>
      <w:tr w14:paraId="314050B3">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67CEFBF3">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一、地下水监测站（微站）</w:t>
            </w:r>
          </w:p>
        </w:tc>
      </w:tr>
      <w:tr w14:paraId="2FA81855">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4AAE9">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51DE5D">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62590">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DE106">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5DB742">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0D5AE">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B6F2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7F599EA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A35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69BB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地下水检测单元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9B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水位</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AA9A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静压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548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190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F2D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76858ECB">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7860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EED8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8956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温度</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09C41">
            <w:pPr>
              <w:jc w:val="left"/>
              <w:rPr>
                <w:color w:val="auto"/>
                <w:highlight w:val="none"/>
              </w:rPr>
            </w:pPr>
            <w:r>
              <w:rPr>
                <w:rFonts w:ascii="宋体;SimSun" w:hAnsi="宋体;SimSun" w:eastAsia="宋体;SimSun" w:cs="宋体;SimSun"/>
                <w:color w:val="auto"/>
                <w:sz w:val="20"/>
                <w:szCs w:val="20"/>
                <w:highlight w:val="none"/>
              </w:rPr>
              <w:t>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E5A3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4AE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A71E7">
            <w:pPr>
              <w:jc w:val="center"/>
              <w:rPr>
                <w:rFonts w:ascii="宋体;SimSun" w:hAnsi="宋体;SimSun" w:eastAsia="宋体;SimSun" w:cs="宋体;SimSun"/>
                <w:color w:val="auto"/>
                <w:sz w:val="20"/>
                <w:szCs w:val="20"/>
                <w:highlight w:val="none"/>
              </w:rPr>
            </w:pPr>
          </w:p>
        </w:tc>
      </w:tr>
      <w:tr w14:paraId="111374EF">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66A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B6CF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78C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电导率</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85F98">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156D7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8513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A8BCA">
            <w:pPr>
              <w:jc w:val="center"/>
              <w:rPr>
                <w:rFonts w:ascii="宋体;SimSun" w:hAnsi="宋体;SimSun" w:eastAsia="宋体;SimSun" w:cs="宋体;SimSun"/>
                <w:color w:val="auto"/>
                <w:sz w:val="20"/>
                <w:szCs w:val="20"/>
                <w:highlight w:val="none"/>
              </w:rPr>
            </w:pPr>
          </w:p>
        </w:tc>
      </w:tr>
      <w:tr w14:paraId="5CE181F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DC9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6F4B1">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41E3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pH</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48E7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pH传感器，外壳材质为ABS/PC合金，采用玻璃电极法测量原理，量程0~14.00（分辨率0.01），精度±0.1，响应时间&lt;30s (T90)，最低检出限0.1，支持两点校准和自动温度补偿（Pt1000），输出方式RS-485 (Modbus 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1E62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BCBDC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7AD776">
            <w:pPr>
              <w:jc w:val="center"/>
              <w:rPr>
                <w:rFonts w:ascii="宋体;SimSun" w:hAnsi="宋体;SimSun" w:eastAsia="宋体;SimSun" w:cs="宋体;SimSun"/>
                <w:color w:val="auto"/>
                <w:sz w:val="20"/>
                <w:szCs w:val="20"/>
                <w:highlight w:val="none"/>
              </w:rPr>
            </w:pPr>
          </w:p>
        </w:tc>
      </w:tr>
      <w:tr w14:paraId="35D92505">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4AF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784E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7387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浊度</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6E9943">
            <w:pPr>
              <w:jc w:val="left"/>
              <w:rPr>
                <w:color w:val="auto"/>
                <w:highlight w:val="none"/>
              </w:rPr>
            </w:pPr>
            <w:r>
              <w:rPr>
                <w:rFonts w:ascii="宋体;SimSun" w:hAnsi="宋体;SimSun" w:eastAsia="宋体;SimSun" w:cs="宋体;SimSun"/>
                <w:color w:val="auto"/>
                <w:sz w:val="20"/>
                <w:szCs w:val="20"/>
                <w:highlight w:val="none"/>
              </w:rPr>
              <w:t>浊度传感器，外壳材质为POM、ABS，采用散射光法测量原理，量程支持0~20.00NTU（分辨率0.01NTU/0.1℃）、0~200.0NTU（分辨率0.01NTU/0.1℃）、0~1000.0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D82F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DE1A1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DF4DA">
            <w:pPr>
              <w:jc w:val="center"/>
              <w:rPr>
                <w:rFonts w:ascii="宋体;SimSun" w:hAnsi="宋体;SimSun" w:eastAsia="宋体;SimSun" w:cs="宋体;SimSun"/>
                <w:color w:val="auto"/>
                <w:sz w:val="20"/>
                <w:szCs w:val="20"/>
                <w:highlight w:val="none"/>
              </w:rPr>
            </w:pPr>
          </w:p>
        </w:tc>
      </w:tr>
      <w:tr w14:paraId="6661279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60A5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1628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221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氧化还原电位</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B8A9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ORP传感器，外壳材质为ABS/PC合金，采用铂电极法测量原理，量程-1500~+1500mV（分辨率1mV），精度±20mV，响应时间&lt;30s（T90），支持一点校准，输出方式RS-485 (Modbus/RTU)，存储温度-5~65℃，工作条件0~50℃、≤0.2MPa，功耗0.2W@12V，供电12~24VDC，防护等级IP68，线缆长度可定制。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5633E">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2795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CC97E">
            <w:pPr>
              <w:jc w:val="center"/>
              <w:rPr>
                <w:rFonts w:ascii="宋体;SimSun" w:hAnsi="宋体;SimSun" w:eastAsia="宋体;SimSun" w:cs="宋体;SimSun"/>
                <w:color w:val="auto"/>
                <w:sz w:val="20"/>
                <w:szCs w:val="20"/>
                <w:highlight w:val="none"/>
              </w:rPr>
            </w:pPr>
          </w:p>
        </w:tc>
      </w:tr>
      <w:tr w14:paraId="44FE7FD9">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F66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BFC1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E31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溶解氧</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96EED9">
            <w:pPr>
              <w:jc w:val="left"/>
              <w:rPr>
                <w:color w:val="auto"/>
                <w:highlight w:val="none"/>
              </w:rPr>
            </w:pPr>
            <w:r>
              <w:rPr>
                <w:rFonts w:ascii="宋体;SimSun" w:hAnsi="宋体;SimSun" w:eastAsia="宋体;SimSun" w:cs="宋体;SimSun"/>
                <w:color w:val="auto"/>
                <w:sz w:val="20"/>
                <w:szCs w:val="20"/>
                <w:highlight w:val="none"/>
              </w:rPr>
              <w:t>溶解氧传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RTU)，存储温度-5~65℃，工作条件0~50℃、≤0.2MPa，功耗0.2W@12V，供电12~24VDC，防护等级IP68，荧光膜头寿命1年（正常使用情况下），线缆长度可定制。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E7F5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6ED701">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92CCE">
            <w:pPr>
              <w:jc w:val="center"/>
              <w:rPr>
                <w:rFonts w:ascii="宋体;SimSun" w:hAnsi="宋体;SimSun" w:eastAsia="宋体;SimSun" w:cs="宋体;SimSun"/>
                <w:color w:val="auto"/>
                <w:sz w:val="20"/>
                <w:szCs w:val="20"/>
                <w:highlight w:val="none"/>
              </w:rPr>
            </w:pPr>
          </w:p>
        </w:tc>
      </w:tr>
      <w:tr w14:paraId="2CC2373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BB1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73AB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供电单元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5B7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220V市电</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E5755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8BDD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E8A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7E713">
            <w:pPr>
              <w:jc w:val="center"/>
              <w:rPr>
                <w:rFonts w:ascii="宋体;SimSun" w:hAnsi="宋体;SimSun" w:eastAsia="宋体;SimSun" w:cs="宋体;SimSun"/>
                <w:color w:val="auto"/>
                <w:sz w:val="20"/>
                <w:szCs w:val="20"/>
                <w:highlight w:val="none"/>
              </w:rPr>
            </w:pPr>
          </w:p>
        </w:tc>
      </w:tr>
      <w:tr w14:paraId="53530AC2">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CD809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5AF4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站点及控制单元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517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一体式站房</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CEC28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B05A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CD82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656F2">
            <w:pPr>
              <w:jc w:val="center"/>
              <w:rPr>
                <w:rFonts w:ascii="宋体;SimSun" w:hAnsi="宋体;SimSun" w:eastAsia="宋体;SimSun" w:cs="宋体;SimSun"/>
                <w:color w:val="auto"/>
                <w:sz w:val="20"/>
                <w:szCs w:val="20"/>
                <w:highlight w:val="none"/>
              </w:rPr>
            </w:pPr>
          </w:p>
        </w:tc>
      </w:tr>
      <w:tr w14:paraId="69CE4F51">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79449">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B4D55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F5D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安防单元：防雷单元、温度感应、烟雾感应、感应式开关</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64E4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9FA4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DE11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A9983">
            <w:pPr>
              <w:jc w:val="center"/>
              <w:rPr>
                <w:rFonts w:ascii="宋体;SimSun" w:hAnsi="宋体;SimSun" w:eastAsia="宋体;SimSun" w:cs="宋体;SimSun"/>
                <w:color w:val="auto"/>
                <w:sz w:val="20"/>
                <w:szCs w:val="20"/>
                <w:highlight w:val="none"/>
              </w:rPr>
            </w:pPr>
          </w:p>
        </w:tc>
      </w:tr>
      <w:tr w14:paraId="2CAD1EA5">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FA1F16">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6A06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D6A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电路与电信号采集单元：</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15B1F">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43DE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CB341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D0251">
            <w:pPr>
              <w:jc w:val="center"/>
              <w:rPr>
                <w:rFonts w:ascii="宋体;SimSun" w:hAnsi="宋体;SimSun" w:eastAsia="宋体;SimSun" w:cs="宋体;SimSun"/>
                <w:color w:val="auto"/>
                <w:sz w:val="20"/>
                <w:szCs w:val="20"/>
                <w:highlight w:val="none"/>
              </w:rPr>
            </w:pPr>
          </w:p>
        </w:tc>
      </w:tr>
      <w:tr w14:paraId="56BC72D7">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B5873">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F9293">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919D2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恒温单元、散热模块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114C5">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AEA0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696069">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F2FE4">
            <w:pPr>
              <w:jc w:val="center"/>
              <w:rPr>
                <w:rFonts w:ascii="宋体;SimSun" w:hAnsi="宋体;SimSun" w:eastAsia="宋体;SimSun" w:cs="宋体;SimSun"/>
                <w:color w:val="auto"/>
                <w:sz w:val="20"/>
                <w:szCs w:val="20"/>
                <w:highlight w:val="none"/>
              </w:rPr>
            </w:pPr>
          </w:p>
        </w:tc>
      </w:tr>
      <w:tr w14:paraId="1ABC0AE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8DEC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30C2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426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10寸工业组态触摸屏</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6E8B8">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FD1F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6FA1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46149">
            <w:pPr>
              <w:jc w:val="center"/>
              <w:rPr>
                <w:rFonts w:ascii="宋体;SimSun" w:hAnsi="宋体;SimSun" w:eastAsia="宋体;SimSun" w:cs="宋体;SimSun"/>
                <w:color w:val="auto"/>
                <w:sz w:val="20"/>
                <w:szCs w:val="20"/>
                <w:highlight w:val="none"/>
              </w:rPr>
            </w:pPr>
          </w:p>
        </w:tc>
      </w:tr>
      <w:tr w14:paraId="31B23D89">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9A51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EA9D7">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3951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流通池模块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CC573">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B03B42">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6F90D">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40D95C">
            <w:pPr>
              <w:jc w:val="center"/>
              <w:rPr>
                <w:rFonts w:ascii="宋体;SimSun" w:hAnsi="宋体;SimSun" w:eastAsia="宋体;SimSun" w:cs="宋体;SimSun"/>
                <w:color w:val="auto"/>
                <w:sz w:val="20"/>
                <w:szCs w:val="20"/>
                <w:highlight w:val="none"/>
              </w:rPr>
            </w:pPr>
          </w:p>
        </w:tc>
      </w:tr>
      <w:tr w14:paraId="481A226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CF5E68">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3912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8F14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网络模组</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8B348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2C54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D483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8155F">
            <w:pPr>
              <w:jc w:val="center"/>
              <w:rPr>
                <w:rFonts w:ascii="宋体;SimSun" w:hAnsi="宋体;SimSun" w:eastAsia="宋体;SimSun" w:cs="宋体;SimSun"/>
                <w:color w:val="auto"/>
                <w:sz w:val="20"/>
                <w:szCs w:val="20"/>
                <w:highlight w:val="none"/>
              </w:rPr>
            </w:pPr>
          </w:p>
        </w:tc>
      </w:tr>
      <w:tr w14:paraId="4AD5FB07">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A0F0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B86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0ED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电路数控模组</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CC6C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1.支持设定定时自动洗井采样测定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2.支持在线自动完成水质监测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3.支持在线实时数据记录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4.支持泄降保护</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C46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B89D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B7EA6">
            <w:pPr>
              <w:jc w:val="center"/>
              <w:rPr>
                <w:rFonts w:ascii="宋体;SimSun" w:hAnsi="宋体;SimSun" w:eastAsia="宋体;SimSun" w:cs="宋体;SimSun"/>
                <w:color w:val="auto"/>
                <w:sz w:val="20"/>
                <w:szCs w:val="20"/>
                <w:highlight w:val="none"/>
              </w:rPr>
            </w:pPr>
          </w:p>
        </w:tc>
      </w:tr>
      <w:tr w14:paraId="6665F0B2">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2196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F57CB">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5E1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PLC模组</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08DB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0EAA2">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1E9EC">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ACFA4">
            <w:pPr>
              <w:jc w:val="center"/>
              <w:rPr>
                <w:rFonts w:ascii="宋体;SimSun" w:hAnsi="宋体;SimSun" w:eastAsia="宋体;SimSun" w:cs="宋体;SimSun"/>
                <w:color w:val="auto"/>
                <w:sz w:val="20"/>
                <w:szCs w:val="20"/>
                <w:highlight w:val="none"/>
              </w:rPr>
            </w:pPr>
          </w:p>
        </w:tc>
      </w:tr>
      <w:tr w14:paraId="61644ADB">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000398">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12FB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1A0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在线控制软件</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F6B18">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BD58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69ED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65E35">
            <w:pPr>
              <w:jc w:val="center"/>
              <w:rPr>
                <w:rFonts w:ascii="宋体;SimSun" w:hAnsi="宋体;SimSun" w:eastAsia="宋体;SimSun" w:cs="宋体;SimSun"/>
                <w:color w:val="auto"/>
                <w:sz w:val="20"/>
                <w:szCs w:val="20"/>
                <w:highlight w:val="none"/>
              </w:rPr>
            </w:pPr>
          </w:p>
        </w:tc>
      </w:tr>
      <w:tr w14:paraId="3A89483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1292E">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B9B0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7B5A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数据采集记录模块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3F00B4">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58DA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C6C94C">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22777D">
            <w:pPr>
              <w:jc w:val="center"/>
              <w:rPr>
                <w:rFonts w:ascii="宋体;SimSun" w:hAnsi="宋体;SimSun" w:eastAsia="宋体;SimSun" w:cs="宋体;SimSun"/>
                <w:color w:val="auto"/>
                <w:sz w:val="20"/>
                <w:szCs w:val="20"/>
                <w:highlight w:val="none"/>
              </w:rPr>
            </w:pPr>
          </w:p>
        </w:tc>
      </w:tr>
      <w:tr w14:paraId="16C66CD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72304B">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F0F0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F82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数据上传模块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90AD6B">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445697">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6E548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D5255">
            <w:pPr>
              <w:jc w:val="center"/>
              <w:rPr>
                <w:rFonts w:ascii="宋体;SimSun" w:hAnsi="宋体;SimSun" w:eastAsia="宋体;SimSun" w:cs="宋体;SimSun"/>
                <w:color w:val="auto"/>
                <w:sz w:val="20"/>
                <w:szCs w:val="20"/>
                <w:highlight w:val="none"/>
              </w:rPr>
            </w:pPr>
          </w:p>
        </w:tc>
      </w:tr>
      <w:tr w14:paraId="4DEB5A0A">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31AF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EC1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洗井采样单元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0AF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低扰动潜水泵</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7D4524">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p>
          <w:p w14:paraId="2F560DF8">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6627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F17B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ADBB53">
            <w:pPr>
              <w:jc w:val="center"/>
              <w:rPr>
                <w:rFonts w:ascii="宋体;SimSun" w:hAnsi="宋体;SimSun" w:eastAsia="宋体;SimSun" w:cs="宋体;SimSun"/>
                <w:color w:val="auto"/>
                <w:sz w:val="20"/>
                <w:szCs w:val="20"/>
                <w:highlight w:val="none"/>
              </w:rPr>
            </w:pPr>
          </w:p>
        </w:tc>
      </w:tr>
      <w:tr w14:paraId="4A84A0D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349E1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D687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F93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流量计</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1D53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1)实时显示瞬时流量（L/min）和累计流量（L）；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2)支持0.1 L/min的微小流量检测和30L/min大流量监测，满足精密控制需求；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3)精度≤0.5%FS；</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A397F">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8E95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CD761">
            <w:pPr>
              <w:jc w:val="center"/>
              <w:rPr>
                <w:rFonts w:ascii="宋体;SimSun" w:hAnsi="宋体;SimSun" w:eastAsia="宋体;SimSun" w:cs="宋体;SimSun"/>
                <w:color w:val="auto"/>
                <w:sz w:val="20"/>
                <w:szCs w:val="20"/>
                <w:highlight w:val="none"/>
              </w:rPr>
            </w:pPr>
          </w:p>
        </w:tc>
      </w:tr>
      <w:tr w14:paraId="7555485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526EA">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2A75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22E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清洗和反冲洗模块</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79E5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536CE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DA2B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93F83">
            <w:pPr>
              <w:jc w:val="center"/>
              <w:rPr>
                <w:rFonts w:ascii="宋体;SimSun" w:hAnsi="宋体;SimSun" w:eastAsia="宋体;SimSun" w:cs="宋体;SimSun"/>
                <w:color w:val="auto"/>
                <w:sz w:val="20"/>
                <w:szCs w:val="20"/>
                <w:highlight w:val="none"/>
              </w:rPr>
            </w:pPr>
          </w:p>
        </w:tc>
      </w:tr>
      <w:tr w14:paraId="386268A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2634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F18B8">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BF18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过滤模块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D2B452">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8C966">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4C872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FE897">
            <w:pPr>
              <w:jc w:val="center"/>
              <w:rPr>
                <w:rFonts w:ascii="宋体;SimSun" w:hAnsi="宋体;SimSun" w:eastAsia="宋体;SimSun" w:cs="宋体;SimSun"/>
                <w:color w:val="auto"/>
                <w:sz w:val="20"/>
                <w:szCs w:val="20"/>
                <w:highlight w:val="none"/>
              </w:rPr>
            </w:pPr>
          </w:p>
        </w:tc>
      </w:tr>
      <w:tr w14:paraId="14E17B8B">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E409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7514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3463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水路模块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F4D328">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A8015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8BF1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0D649">
            <w:pPr>
              <w:jc w:val="center"/>
              <w:rPr>
                <w:rFonts w:ascii="宋体;SimSun" w:hAnsi="宋体;SimSun" w:eastAsia="宋体;SimSun" w:cs="宋体;SimSun"/>
                <w:color w:val="auto"/>
                <w:sz w:val="20"/>
                <w:szCs w:val="20"/>
                <w:highlight w:val="none"/>
              </w:rPr>
            </w:pPr>
          </w:p>
        </w:tc>
      </w:tr>
      <w:tr w14:paraId="66FB930B">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60CF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3DA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运维</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D7F7A">
            <w:pPr>
              <w:numPr>
                <w:ilvl w:val="0"/>
                <w:numId w:val="4"/>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日常巡检：设备外观检查、运行状态核查、站点环境巡检；</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 定期维护：每季度全面清洁、参数校准、管路检查，清洗；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 试剂更换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4.纯水按月更换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5.每个季度做一次实际水样比对测试，并出具报告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6. 废液处理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 故障处理：2小时内远程响应，48小时内现场排查维修；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 技术支持：7×12小时在线技术咨询服务</w:t>
            </w:r>
          </w:p>
          <w:p w14:paraId="4E1CA621">
            <w:pPr>
              <w:pStyle w:val="271"/>
              <w:rPr>
                <w:rFonts w:ascii="宋体;SimSun" w:hAnsi="宋体;SimSun" w:cs="宋体;SimSun"/>
                <w:color w:val="auto"/>
                <w:highlight w:val="none"/>
              </w:rPr>
            </w:pPr>
            <w:r>
              <w:rPr>
                <w:rFonts w:ascii="宋体;SimSun" w:hAnsi="宋体;SimSun" w:cs="宋体;SimSun"/>
                <w:color w:val="auto"/>
                <w:highlight w:val="none"/>
              </w:rPr>
              <w:t>9.包含电费、水费以及网络通讯费。</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DDF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921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年</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AF9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45C62">
            <w:pPr>
              <w:jc w:val="center"/>
              <w:rPr>
                <w:rFonts w:ascii="宋体;SimSun" w:hAnsi="宋体;SimSun" w:eastAsia="宋体;SimSun" w:cs="宋体;SimSun"/>
                <w:color w:val="auto"/>
                <w:sz w:val="20"/>
                <w:szCs w:val="20"/>
                <w:highlight w:val="none"/>
              </w:rPr>
            </w:pPr>
          </w:p>
        </w:tc>
      </w:tr>
      <w:tr w14:paraId="0D771D5B">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5EDC8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B8C2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3E9E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设备运输、现场安装调试、操作培训、站房地面基础施工。</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07CA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599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6A2F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F0230">
            <w:pPr>
              <w:jc w:val="center"/>
              <w:rPr>
                <w:rFonts w:ascii="宋体;SimSun" w:hAnsi="宋体;SimSun" w:eastAsia="宋体;SimSun" w:cs="宋体;SimSun"/>
                <w:color w:val="auto"/>
                <w:sz w:val="20"/>
                <w:szCs w:val="20"/>
                <w:highlight w:val="none"/>
              </w:rPr>
            </w:pPr>
          </w:p>
        </w:tc>
      </w:tr>
      <w:tr w14:paraId="02D1A86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B37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A4A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其他配件</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EEA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安全防护栏杆、防盗锁、警示标识牌、科普宣传牌</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7453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5E7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0E4A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146AD8">
            <w:pPr>
              <w:jc w:val="center"/>
              <w:rPr>
                <w:rFonts w:ascii="宋体;SimSun" w:hAnsi="宋体;SimSun" w:eastAsia="宋体;SimSun" w:cs="宋体;SimSun"/>
                <w:color w:val="auto"/>
                <w:sz w:val="20"/>
                <w:szCs w:val="20"/>
                <w:highlight w:val="none"/>
              </w:rPr>
            </w:pPr>
          </w:p>
        </w:tc>
      </w:tr>
      <w:tr w14:paraId="15767264">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1712B0B6">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二、地下水监测站（小型站）</w:t>
            </w:r>
          </w:p>
        </w:tc>
      </w:tr>
      <w:tr w14:paraId="53A785CE">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B95F8A">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0EFD5">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35FDF">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C8DBD0">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376FF">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45A040">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A8BB5">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446EEBB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0D1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B9AD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地下水检测单元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8A7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水位</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5700F4">
            <w:pPr>
              <w:jc w:val="left"/>
              <w:rPr>
                <w:color w:val="auto"/>
                <w:highlight w:val="none"/>
              </w:rPr>
            </w:pPr>
            <w:r>
              <w:rPr>
                <w:rFonts w:ascii="宋体;SimSun" w:hAnsi="宋体;SimSun" w:eastAsia="宋体;SimSun" w:cs="宋体;SimSun"/>
                <w:color w:val="auto"/>
                <w:sz w:val="20"/>
                <w:szCs w:val="20"/>
                <w:highlight w:val="none"/>
              </w:rPr>
              <w:t>静压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71D7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D0D03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C2E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249FFBD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4BAB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81073">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0EE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温度</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3EAC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95A3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B9E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6A40FB">
            <w:pPr>
              <w:jc w:val="center"/>
              <w:rPr>
                <w:rFonts w:ascii="宋体;SimSun" w:hAnsi="宋体;SimSun" w:eastAsia="宋体;SimSun" w:cs="宋体;SimSun"/>
                <w:color w:val="auto"/>
                <w:sz w:val="20"/>
                <w:szCs w:val="20"/>
                <w:highlight w:val="none"/>
              </w:rPr>
            </w:pPr>
          </w:p>
        </w:tc>
      </w:tr>
      <w:tr w14:paraId="321256A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240A4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6CC0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36F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电导率</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A52D5">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4C1B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63DEE">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76C7C">
            <w:pPr>
              <w:jc w:val="center"/>
              <w:rPr>
                <w:rFonts w:ascii="宋体;SimSun" w:hAnsi="宋体;SimSun" w:eastAsia="宋体;SimSun" w:cs="宋体;SimSun"/>
                <w:color w:val="auto"/>
                <w:sz w:val="20"/>
                <w:szCs w:val="20"/>
                <w:highlight w:val="none"/>
              </w:rPr>
            </w:pPr>
          </w:p>
        </w:tc>
      </w:tr>
      <w:tr w14:paraId="745D7EC7">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3FA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EC7CA">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38B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pH</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6E1B21">
            <w:pPr>
              <w:jc w:val="left"/>
              <w:rPr>
                <w:color w:val="auto"/>
                <w:highlight w:val="none"/>
              </w:rPr>
            </w:pPr>
            <w:r>
              <w:rPr>
                <w:rFonts w:ascii="宋体;SimSun" w:hAnsi="宋体;SimSun" w:eastAsia="宋体;SimSun" w:cs="宋体;SimSun"/>
                <w:color w:val="auto"/>
                <w:sz w:val="20"/>
                <w:szCs w:val="20"/>
                <w:highlight w:val="none"/>
              </w:rPr>
              <w:t>pH传感器，外壳材质为ABS/PC合金，采用玻璃电极法测量原理，量程0~14.00（分辨率0.01），精度±0.1，温度精度±0.3℃，响应时间&lt;30s (T90)，最低检出限0.1，支持两点校准和自动温度补偿（Pt1000），输出方式RS-485 (Modbus 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CB40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C162E">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C28E33">
            <w:pPr>
              <w:jc w:val="center"/>
              <w:rPr>
                <w:rFonts w:ascii="宋体;SimSun" w:hAnsi="宋体;SimSun" w:eastAsia="宋体;SimSun" w:cs="宋体;SimSun"/>
                <w:color w:val="auto"/>
                <w:sz w:val="20"/>
                <w:szCs w:val="20"/>
                <w:highlight w:val="none"/>
              </w:rPr>
            </w:pPr>
          </w:p>
        </w:tc>
      </w:tr>
      <w:tr w14:paraId="35DD1D8E">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E51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1E218">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919A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浊度</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3B9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浊度传感器，外壳材质为POM、ABS，采用散射光法测量原理，量程支持0~20.00NTU（分辨率0.01NTU/0.1℃）、0~200.0NTU（分辨率0.01NTU/0.1℃）、0~1000.0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3BCA7">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CACC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C9615">
            <w:pPr>
              <w:jc w:val="center"/>
              <w:rPr>
                <w:rFonts w:ascii="宋体;SimSun" w:hAnsi="宋体;SimSun" w:eastAsia="宋体;SimSun" w:cs="宋体;SimSun"/>
                <w:color w:val="auto"/>
                <w:sz w:val="20"/>
                <w:szCs w:val="20"/>
                <w:highlight w:val="none"/>
              </w:rPr>
            </w:pPr>
          </w:p>
        </w:tc>
      </w:tr>
      <w:tr w14:paraId="4F45F848">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4D67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57701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C236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氧化还原电位</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C2F654">
            <w:pPr>
              <w:jc w:val="left"/>
              <w:rPr>
                <w:color w:val="auto"/>
                <w:highlight w:val="none"/>
              </w:rPr>
            </w:pPr>
            <w:r>
              <w:rPr>
                <w:rFonts w:ascii="宋体;SimSun" w:hAnsi="宋体;SimSun" w:eastAsia="宋体;SimSun" w:cs="宋体;SimSun"/>
                <w:color w:val="auto"/>
                <w:sz w:val="20"/>
                <w:szCs w:val="20"/>
                <w:highlight w:val="none"/>
              </w:rPr>
              <w:t>ORP传感器，外壳材质为ABS/PC合金，采用铂电极法测量原理，量程-1500~+1500mV（分辨率1mV），精度±20mV，响应时间&lt;30s（T90），支持一点校准，输出方式RS-485 (Modbus/RTU)，存储温度-5~65℃，工作条件0~50℃、≤0.2MPa，功耗0.2W@12V，供电12~24VDC，防护等级IP68，线缆长度可定制。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E4907">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9389B">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5BB47">
            <w:pPr>
              <w:jc w:val="center"/>
              <w:rPr>
                <w:rFonts w:ascii="宋体;SimSun" w:hAnsi="宋体;SimSun" w:eastAsia="宋体;SimSun" w:cs="宋体;SimSun"/>
                <w:color w:val="auto"/>
                <w:sz w:val="20"/>
                <w:szCs w:val="20"/>
                <w:highlight w:val="none"/>
              </w:rPr>
            </w:pPr>
          </w:p>
        </w:tc>
      </w:tr>
      <w:tr w14:paraId="4D7B228A">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718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8D3D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D81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溶解氧</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ACD1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溶解氧传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RTU)，存储温度-5~65℃，工作条件0~50℃、≤0.2MPa，功耗0.2W@12V，供电12~24VDC，防护等级IP68，荧光膜头寿命1年（正常使用情况下），线缆长度可定制。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F08D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3148D">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FCA13">
            <w:pPr>
              <w:jc w:val="center"/>
              <w:rPr>
                <w:rFonts w:ascii="宋体;SimSun" w:hAnsi="宋体;SimSun" w:eastAsia="宋体;SimSun" w:cs="宋体;SimSun"/>
                <w:color w:val="auto"/>
                <w:sz w:val="20"/>
                <w:szCs w:val="20"/>
                <w:highlight w:val="none"/>
              </w:rPr>
            </w:pPr>
          </w:p>
        </w:tc>
      </w:tr>
      <w:tr w14:paraId="1A1791BE">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8B7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4C3B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615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氨氮</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3018E">
            <w:pPr>
              <w:jc w:val="left"/>
              <w:rPr>
                <w:color w:val="auto"/>
                <w:highlight w:val="none"/>
              </w:rPr>
            </w:pPr>
            <w:r>
              <w:rPr>
                <w:rFonts w:ascii="宋体;SimSun" w:hAnsi="宋体;SimSun" w:eastAsia="宋体;SimSun" w:cs="宋体;SimSun"/>
                <w:color w:val="auto"/>
                <w:sz w:val="20"/>
                <w:szCs w:val="20"/>
                <w:highlight w:val="none"/>
              </w:rPr>
              <w:t>氨氮（水杨酸钠）水质在线自动监测仪，采用水杨酸分光光度法，测量范围0~100mg/L氨氮（分档0-8mg/L、0.1-30mg/L、5-100mg/L），准确度不超过±10%或不超过±0.2mg/L，重复性不超过±5%或不超过±0.2mg/L，最小测量周期20分钟（5~120min可调），采样周期支持时间间隔（10~9999min任意可调）和整点测量模式，校准周期1~99天任意间隔任意时刻可调，维护周期一般每月一次（约30min），输出2路RS-232和1路4~20mA，环境要求温度可调的室内（建议+5~28℃）、湿度≤90%（不结露），电源AC230±10%V、50±10%Hz、5A</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BC8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0FD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9F82B">
            <w:pPr>
              <w:jc w:val="center"/>
              <w:rPr>
                <w:rFonts w:ascii="宋体;SimSun" w:hAnsi="宋体;SimSun" w:eastAsia="宋体;SimSun" w:cs="宋体;SimSun"/>
                <w:color w:val="auto"/>
                <w:sz w:val="20"/>
                <w:szCs w:val="20"/>
                <w:highlight w:val="none"/>
              </w:rPr>
            </w:pPr>
          </w:p>
        </w:tc>
      </w:tr>
      <w:tr w14:paraId="3847055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7CA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0E53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F250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高锰酸盐指数 </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D823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高锰酸盐水质在线自动监测仪，依据国家标准GB/T 11892-1989《水质-高锰酸盐指数的测定》，测量范围0~20mg/L COD（可扩展），准确度不超过±3%FS，重复性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1026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54F6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CD15B">
            <w:pPr>
              <w:jc w:val="center"/>
              <w:rPr>
                <w:rFonts w:ascii="宋体;SimSun" w:hAnsi="宋体;SimSun" w:eastAsia="宋体;SimSun" w:cs="宋体;SimSun"/>
                <w:color w:val="auto"/>
                <w:sz w:val="20"/>
                <w:szCs w:val="20"/>
                <w:highlight w:val="none"/>
              </w:rPr>
            </w:pPr>
          </w:p>
        </w:tc>
      </w:tr>
      <w:tr w14:paraId="1C42064B">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3E6A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BA9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供电单元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DA4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220V市电</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61E63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3DF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922E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330BC">
            <w:pPr>
              <w:jc w:val="center"/>
              <w:rPr>
                <w:rFonts w:ascii="宋体;SimSun" w:hAnsi="宋体;SimSun" w:eastAsia="宋体;SimSun" w:cs="宋体;SimSun"/>
                <w:color w:val="auto"/>
                <w:sz w:val="20"/>
                <w:szCs w:val="20"/>
                <w:highlight w:val="none"/>
              </w:rPr>
            </w:pPr>
          </w:p>
        </w:tc>
      </w:tr>
      <w:tr w14:paraId="156EBAD6">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7B9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A3C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站点及控制单元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0D4D4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一体式站房</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696A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7B6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437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D9DB4">
            <w:pPr>
              <w:jc w:val="center"/>
              <w:rPr>
                <w:rFonts w:ascii="宋体;SimSun" w:hAnsi="宋体;SimSun" w:eastAsia="宋体;SimSun" w:cs="宋体;SimSun"/>
                <w:color w:val="auto"/>
                <w:sz w:val="20"/>
                <w:szCs w:val="20"/>
                <w:highlight w:val="none"/>
              </w:rPr>
            </w:pPr>
          </w:p>
        </w:tc>
      </w:tr>
      <w:tr w14:paraId="167598E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9D5C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7803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7BD5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安防单元：防雷单元、温度感应、烟雾感应、感应式开关</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CB590">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D2449E">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F2AC6">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76C664">
            <w:pPr>
              <w:jc w:val="center"/>
              <w:rPr>
                <w:rFonts w:ascii="宋体;SimSun" w:hAnsi="宋体;SimSun" w:eastAsia="宋体;SimSun" w:cs="宋体;SimSun"/>
                <w:color w:val="auto"/>
                <w:sz w:val="20"/>
                <w:szCs w:val="20"/>
                <w:highlight w:val="none"/>
              </w:rPr>
            </w:pPr>
          </w:p>
        </w:tc>
      </w:tr>
      <w:tr w14:paraId="0E45A3E5">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A5BA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7C7C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977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电路与电信号采集单元：</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D6B2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E915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6634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158D9">
            <w:pPr>
              <w:jc w:val="center"/>
              <w:rPr>
                <w:rFonts w:ascii="宋体;SimSun" w:hAnsi="宋体;SimSun" w:eastAsia="宋体;SimSun" w:cs="宋体;SimSun"/>
                <w:color w:val="auto"/>
                <w:sz w:val="20"/>
                <w:szCs w:val="20"/>
                <w:highlight w:val="none"/>
              </w:rPr>
            </w:pPr>
          </w:p>
        </w:tc>
      </w:tr>
      <w:tr w14:paraId="790C412F">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2DE83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D926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70F2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恒温单元、散热模块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64670">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8B71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1EEC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1E7DDB">
            <w:pPr>
              <w:jc w:val="center"/>
              <w:rPr>
                <w:rFonts w:ascii="宋体;SimSun" w:hAnsi="宋体;SimSun" w:eastAsia="宋体;SimSun" w:cs="宋体;SimSun"/>
                <w:color w:val="auto"/>
                <w:sz w:val="20"/>
                <w:szCs w:val="20"/>
                <w:highlight w:val="none"/>
              </w:rPr>
            </w:pPr>
          </w:p>
        </w:tc>
      </w:tr>
      <w:tr w14:paraId="20DA657B">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C9F86">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8124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2CF1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10寸工业组态触摸屏</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25F6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F346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6262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4AD19">
            <w:pPr>
              <w:jc w:val="center"/>
              <w:rPr>
                <w:rFonts w:ascii="宋体;SimSun" w:hAnsi="宋体;SimSun" w:eastAsia="宋体;SimSun" w:cs="宋体;SimSun"/>
                <w:color w:val="auto"/>
                <w:sz w:val="20"/>
                <w:szCs w:val="20"/>
                <w:highlight w:val="none"/>
              </w:rPr>
            </w:pPr>
          </w:p>
        </w:tc>
      </w:tr>
      <w:tr w14:paraId="6C827871">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A45F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41E907">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B444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UPS电源、稳压电源</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5565A">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ADAE12">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0085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342B8">
            <w:pPr>
              <w:jc w:val="center"/>
              <w:rPr>
                <w:rFonts w:ascii="宋体;SimSun" w:hAnsi="宋体;SimSun" w:eastAsia="宋体;SimSun" w:cs="宋体;SimSun"/>
                <w:color w:val="auto"/>
                <w:sz w:val="20"/>
                <w:szCs w:val="20"/>
                <w:highlight w:val="none"/>
              </w:rPr>
            </w:pPr>
          </w:p>
        </w:tc>
      </w:tr>
      <w:tr w14:paraId="57040F97">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BF737">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EB614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1B72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流通池模块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19984">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131B8">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7FE83D">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DD9B7">
            <w:pPr>
              <w:jc w:val="center"/>
              <w:rPr>
                <w:rFonts w:ascii="宋体;SimSun" w:hAnsi="宋体;SimSun" w:eastAsia="宋体;SimSun" w:cs="宋体;SimSun"/>
                <w:color w:val="auto"/>
                <w:sz w:val="20"/>
                <w:szCs w:val="20"/>
                <w:highlight w:val="none"/>
              </w:rPr>
            </w:pPr>
          </w:p>
        </w:tc>
      </w:tr>
      <w:tr w14:paraId="12F5A0F8">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82B9A">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E1359">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0883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网络模组</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69090">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6EE0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B4DC9D">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E59BC">
            <w:pPr>
              <w:jc w:val="center"/>
              <w:rPr>
                <w:rFonts w:ascii="宋体;SimSun" w:hAnsi="宋体;SimSun" w:eastAsia="宋体;SimSun" w:cs="宋体;SimSun"/>
                <w:color w:val="auto"/>
                <w:sz w:val="20"/>
                <w:szCs w:val="20"/>
                <w:highlight w:val="none"/>
              </w:rPr>
            </w:pPr>
          </w:p>
        </w:tc>
      </w:tr>
      <w:tr w14:paraId="2C45ECEE">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F4ED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2609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819C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电路数控模组</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C05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1.支持设定定时自动洗井采样测定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2.支持在线自动完成水质监测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3.支持在线实时数据记录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4.支持泄降保护</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0EF6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E489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75171A">
            <w:pPr>
              <w:jc w:val="center"/>
              <w:rPr>
                <w:rFonts w:ascii="宋体;SimSun" w:hAnsi="宋体;SimSun" w:eastAsia="宋体;SimSun" w:cs="宋体;SimSun"/>
                <w:color w:val="auto"/>
                <w:sz w:val="20"/>
                <w:szCs w:val="20"/>
                <w:highlight w:val="none"/>
              </w:rPr>
            </w:pPr>
          </w:p>
        </w:tc>
      </w:tr>
      <w:tr w14:paraId="0F5710AF">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2DB9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B680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2CC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PLC模组</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0236F">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A02D4">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03011">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B545E">
            <w:pPr>
              <w:jc w:val="center"/>
              <w:rPr>
                <w:rFonts w:ascii="宋体;SimSun" w:hAnsi="宋体;SimSun" w:eastAsia="宋体;SimSun" w:cs="宋体;SimSun"/>
                <w:color w:val="auto"/>
                <w:sz w:val="20"/>
                <w:szCs w:val="20"/>
                <w:highlight w:val="none"/>
              </w:rPr>
            </w:pPr>
          </w:p>
        </w:tc>
      </w:tr>
      <w:tr w14:paraId="477B379A">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79D59">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BB24B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B61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在线控制软件</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1D728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8C622F">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0209C">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329579">
            <w:pPr>
              <w:jc w:val="center"/>
              <w:rPr>
                <w:rFonts w:ascii="宋体;SimSun" w:hAnsi="宋体;SimSun" w:eastAsia="宋体;SimSun" w:cs="宋体;SimSun"/>
                <w:color w:val="auto"/>
                <w:sz w:val="20"/>
                <w:szCs w:val="20"/>
                <w:highlight w:val="none"/>
              </w:rPr>
            </w:pPr>
          </w:p>
        </w:tc>
      </w:tr>
      <w:tr w14:paraId="7C9A160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6677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02B0F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5AD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数据采集记录模块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81E9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6D98E">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3B84F0">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8505C">
            <w:pPr>
              <w:jc w:val="center"/>
              <w:rPr>
                <w:rFonts w:ascii="宋体;SimSun" w:hAnsi="宋体;SimSun" w:eastAsia="宋体;SimSun" w:cs="宋体;SimSun"/>
                <w:color w:val="auto"/>
                <w:sz w:val="20"/>
                <w:szCs w:val="20"/>
                <w:highlight w:val="none"/>
              </w:rPr>
            </w:pPr>
          </w:p>
        </w:tc>
      </w:tr>
      <w:tr w14:paraId="3A9E12E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B7E58">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03922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B720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数据上传模块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43C3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DCE4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42631">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8FA4D">
            <w:pPr>
              <w:jc w:val="center"/>
              <w:rPr>
                <w:rFonts w:ascii="宋体;SimSun" w:hAnsi="宋体;SimSun" w:eastAsia="宋体;SimSun" w:cs="宋体;SimSun"/>
                <w:color w:val="auto"/>
                <w:sz w:val="20"/>
                <w:szCs w:val="20"/>
                <w:highlight w:val="none"/>
              </w:rPr>
            </w:pPr>
          </w:p>
        </w:tc>
      </w:tr>
      <w:tr w14:paraId="12668417">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ADAA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763F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洗井采样单元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9362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低扰动潜水泵</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7816F">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额定扬程不小于45m，泵体外径小于50mm。流速控制：功率、转速可调，20m以内压水扬程下的流速控制范围达到0.1-10L/min，实际流速调节分辨率高于5%RD，0.1L/min下流速波动≤±10%RD，兼顾VOCs等指标低速低扰动采样与大流量洗井抽水需求。</w:t>
            </w:r>
          </w:p>
          <w:p w14:paraId="7A6DBE37">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额定扬程不小于45m，泵体外径小于50mm。流速控制：功率、转速可调，20m以内压水扬程下的流速控制范围达到0.1-10L/min，实际流速调节分辨率高于5%RD，0.1L/min下流速波动≤±10%RD，兼顾VOCs等指标低速低扰动采样与大流量洗井抽水需求。</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B6FD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6F67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0E613">
            <w:pPr>
              <w:jc w:val="center"/>
              <w:rPr>
                <w:rFonts w:ascii="宋体;SimSun" w:hAnsi="宋体;SimSun" w:eastAsia="宋体;SimSun" w:cs="宋体;SimSun"/>
                <w:color w:val="auto"/>
                <w:sz w:val="20"/>
                <w:szCs w:val="20"/>
                <w:highlight w:val="none"/>
              </w:rPr>
            </w:pPr>
          </w:p>
        </w:tc>
      </w:tr>
      <w:tr w14:paraId="0D730D3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FD943C">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C8AA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4545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流量计</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61F5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1)实时显示瞬时流量（L/min）和累计流量（L）；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2)支持0.1 L/min的微小流量检测和30L/min大流量监测，满足精密控制需求；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3)精度≤0.5%FS；</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F486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E2DB7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30A503">
            <w:pPr>
              <w:jc w:val="center"/>
              <w:rPr>
                <w:rFonts w:ascii="宋体;SimSun" w:hAnsi="宋体;SimSun" w:eastAsia="宋体;SimSun" w:cs="宋体;SimSun"/>
                <w:color w:val="auto"/>
                <w:sz w:val="20"/>
                <w:szCs w:val="20"/>
                <w:highlight w:val="none"/>
              </w:rPr>
            </w:pPr>
          </w:p>
        </w:tc>
      </w:tr>
      <w:tr w14:paraId="60707822">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FDFD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34FC3">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804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清洗和反冲洗模块</w:t>
            </w:r>
          </w:p>
        </w:tc>
        <w:tc>
          <w:tcPr>
            <w:tcW w:w="6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D07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FAF16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57CB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1D9B6">
            <w:pPr>
              <w:jc w:val="center"/>
              <w:rPr>
                <w:rFonts w:ascii="宋体;SimSun" w:hAnsi="宋体;SimSun" w:eastAsia="宋体;SimSun" w:cs="宋体;SimSun"/>
                <w:color w:val="auto"/>
                <w:sz w:val="20"/>
                <w:szCs w:val="20"/>
                <w:highlight w:val="none"/>
              </w:rPr>
            </w:pPr>
          </w:p>
        </w:tc>
      </w:tr>
      <w:tr w14:paraId="1140BF00">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F974E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FFF11">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BCA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过滤模块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E27D9">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6F71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60FC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4D27F">
            <w:pPr>
              <w:jc w:val="center"/>
              <w:rPr>
                <w:rFonts w:ascii="宋体;SimSun" w:hAnsi="宋体;SimSun" w:eastAsia="宋体;SimSun" w:cs="宋体;SimSun"/>
                <w:color w:val="auto"/>
                <w:sz w:val="20"/>
                <w:szCs w:val="20"/>
                <w:highlight w:val="none"/>
              </w:rPr>
            </w:pPr>
          </w:p>
        </w:tc>
      </w:tr>
      <w:tr w14:paraId="2487D06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BC4D3">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798D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1E227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水路模块</w:t>
            </w:r>
          </w:p>
        </w:tc>
        <w:tc>
          <w:tcPr>
            <w:tcW w:w="6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0C0E6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FD9C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A7185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BE379">
            <w:pPr>
              <w:jc w:val="center"/>
              <w:rPr>
                <w:rFonts w:ascii="宋体;SimSun" w:hAnsi="宋体;SimSun" w:eastAsia="宋体;SimSun" w:cs="宋体;SimSun"/>
                <w:color w:val="auto"/>
                <w:sz w:val="20"/>
                <w:szCs w:val="20"/>
                <w:highlight w:val="none"/>
              </w:rPr>
            </w:pPr>
          </w:p>
        </w:tc>
      </w:tr>
      <w:tr w14:paraId="0F0784B1">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75711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B41A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运维</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35A95B">
            <w:pPr>
              <w:numPr>
                <w:ilvl w:val="0"/>
                <w:numId w:val="5"/>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日常巡检：设备外观检查、运行状态核查、站点环境巡检；</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 定期维护：每个季度全面清洁、参数校准、管路检查，清洗；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 试剂更换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4.纯水按月更换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5.每个季度做一次跟第三方检测公司实际水样比对，并出具报告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6. 废液处理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 故障处理：2小时内远程响应，48小时内现场排查维修；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 技术支持：7×12小时在线技术咨询服务</w:t>
            </w:r>
          </w:p>
          <w:p w14:paraId="667C7E99">
            <w:pPr>
              <w:pStyle w:val="271"/>
              <w:rPr>
                <w:color w:val="auto"/>
                <w:highlight w:val="none"/>
              </w:rPr>
            </w:pPr>
            <w:r>
              <w:rPr>
                <w:rFonts w:ascii="宋体;SimSun" w:hAnsi="宋体;SimSun" w:cs="宋体;SimSun"/>
                <w:color w:val="auto"/>
                <w:highlight w:val="none"/>
              </w:rPr>
              <w:t>9.包含电费、水费以及网络通讯费。</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9B4B9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84E2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年</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7B0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90E782">
            <w:pPr>
              <w:jc w:val="center"/>
              <w:rPr>
                <w:rFonts w:ascii="宋体;SimSun" w:hAnsi="宋体;SimSun" w:eastAsia="宋体;SimSun" w:cs="宋体;SimSun"/>
                <w:color w:val="auto"/>
                <w:sz w:val="20"/>
                <w:szCs w:val="20"/>
                <w:highlight w:val="none"/>
              </w:rPr>
            </w:pPr>
          </w:p>
        </w:tc>
      </w:tr>
      <w:tr w14:paraId="026D1FFE">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63CB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89D7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D3A0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设备运输、现场安装调试、操作培训、站房地面基础施工。</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26F3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1818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DB0D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220F4">
            <w:pPr>
              <w:jc w:val="center"/>
              <w:rPr>
                <w:rFonts w:ascii="宋体;SimSun" w:hAnsi="宋体;SimSun" w:eastAsia="宋体;SimSun" w:cs="宋体;SimSun"/>
                <w:color w:val="auto"/>
                <w:sz w:val="20"/>
                <w:szCs w:val="20"/>
                <w:highlight w:val="none"/>
              </w:rPr>
            </w:pPr>
          </w:p>
        </w:tc>
      </w:tr>
      <w:tr w14:paraId="4A8B09A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46CE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A812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其他配件</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12B0F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安全防护栏杆、防盗锁、警示标识牌、科普宣传牌</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92E7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E07E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CAA6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502B2">
            <w:pPr>
              <w:jc w:val="center"/>
              <w:rPr>
                <w:rFonts w:ascii="宋体;SimSun" w:hAnsi="宋体;SimSun" w:eastAsia="宋体;SimSun" w:cs="宋体;SimSun"/>
                <w:color w:val="auto"/>
                <w:sz w:val="20"/>
                <w:szCs w:val="20"/>
                <w:highlight w:val="none"/>
              </w:rPr>
            </w:pPr>
          </w:p>
        </w:tc>
      </w:tr>
      <w:tr w14:paraId="07139400">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5399223C">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三、地下水监测站（标准站）</w:t>
            </w:r>
          </w:p>
        </w:tc>
      </w:tr>
      <w:tr w14:paraId="3AD375E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5F79F6">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9BDDD">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E414D">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549CCB">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7FD64">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BB471">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FBAB3">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206AB9D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591BD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459A98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地下水检测单元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D0F22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水位</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B662B8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静压式液位计，量程0~10mH₂O，精度&lt;±0.1%F·S（可选0.2%F.S、0.5%F.S），长期稳定性&lt;0.1%F·S/年（可选0.2%F.S/年、0.5%F.S/年），过载能力5倍量程，存储温度-40~125°C，供电电压DC5~30V（典型24V），具备防反接和过电压保护，输出方式为RS485/MODBUS-RTU协议（可带128个节点），测量介质需与不锈钢316L、氟橡胶兼容，壳体材质不锈钢316L，电缆为聚氨酯材质Φ7.6mm带导气孔屏蔽层（长度可定制），防护等级IP68，绝缘100MΩ@50V。</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2C8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3B79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5CDD90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7EF74A55">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531ED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8E5B3">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4732E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温度</w:t>
            </w:r>
          </w:p>
        </w:tc>
        <w:tc>
          <w:tcPr>
            <w:tcW w:w="6108" w:type="dxa"/>
            <w:vMerge w:val="restart"/>
            <w:tcBorders>
              <w:top w:val="single" w:color="000000" w:sz="4" w:space="0"/>
              <w:left w:val="single" w:color="000000" w:sz="4" w:space="0"/>
              <w:bottom w:val="single" w:color="000000" w:sz="4" w:space="0"/>
              <w:right w:val="single" w:color="000000" w:sz="4" w:space="0"/>
            </w:tcBorders>
            <w:noWrap w:val="0"/>
            <w:vAlign w:val="center"/>
          </w:tcPr>
          <w:p w14:paraId="23B8429F">
            <w:pPr>
              <w:jc w:val="left"/>
              <w:rPr>
                <w:color w:val="auto"/>
                <w:highlight w:val="none"/>
              </w:rPr>
            </w:pPr>
            <w:r>
              <w:rPr>
                <w:rFonts w:ascii="宋体;SimSun" w:hAnsi="宋体;SimSun" w:eastAsia="宋体;SimSun" w:cs="宋体;SimSun"/>
                <w:color w:val="auto"/>
                <w:sz w:val="20"/>
                <w:szCs w:val="20"/>
                <w:highlight w:val="none"/>
              </w:rPr>
              <w:t>电导率传感器，外壳材质为ABS和ABS/PC合金，采用电极法测量原理，量程0~5000μS/cm（TDS 0-3000 mg/L），精度为读数的±1.5%，温度精度±0.3℃，响应时间&lt;T30s (T90)，最低检出限2μS/cm，支持两点校准和自动温度补偿（Pt1000），清洁方式为自动清洁，输出方式RS-485 (Modbus RTU)，存储温度-5~65℃，工作条件0~50℃、≤0.6MPa，功耗0.1W@12V，供电12~24VDC，防护等级IP68，线缆长度可定制。</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FAC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78C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55A78">
            <w:pPr>
              <w:jc w:val="center"/>
              <w:rPr>
                <w:rFonts w:ascii="宋体;SimSun" w:hAnsi="宋体;SimSun" w:eastAsia="宋体;SimSun" w:cs="宋体;SimSun"/>
                <w:color w:val="auto"/>
                <w:sz w:val="20"/>
                <w:szCs w:val="20"/>
                <w:highlight w:val="none"/>
              </w:rPr>
            </w:pPr>
          </w:p>
        </w:tc>
      </w:tr>
      <w:tr w14:paraId="2F44D27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3CB34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42E6D9">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284254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电导率</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BD50B1">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36D8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1249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046C73">
            <w:pPr>
              <w:jc w:val="center"/>
              <w:rPr>
                <w:rFonts w:ascii="宋体;SimSun" w:hAnsi="宋体;SimSun" w:eastAsia="宋体;SimSun" w:cs="宋体;SimSun"/>
                <w:color w:val="auto"/>
                <w:sz w:val="20"/>
                <w:szCs w:val="20"/>
                <w:highlight w:val="none"/>
              </w:rPr>
            </w:pPr>
          </w:p>
        </w:tc>
      </w:tr>
      <w:tr w14:paraId="3104016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56853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48BECB">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7066C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pH</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2E1B27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pH传感器，外壳材质为ABS/PC合金，采用玻璃电极法测量原理，量程0~14.00（分辨率0.01），精度±0.1，温度精度±0.3℃，响应时间&lt;30s (T90)，最低检出限0.1，支持两点校准和自动温度补偿（Pt1000），输出方式RS-485 (Modbus 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7B27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76FF4">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1D6A91">
            <w:pPr>
              <w:jc w:val="center"/>
              <w:rPr>
                <w:rFonts w:ascii="宋体;SimSun" w:hAnsi="宋体;SimSun" w:eastAsia="宋体;SimSun" w:cs="宋体;SimSun"/>
                <w:color w:val="auto"/>
                <w:sz w:val="20"/>
                <w:szCs w:val="20"/>
                <w:highlight w:val="none"/>
              </w:rPr>
            </w:pPr>
          </w:p>
        </w:tc>
      </w:tr>
      <w:tr w14:paraId="2E38C84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C522E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DC5AA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5FB28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浊度</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B014D1D">
            <w:pPr>
              <w:jc w:val="left"/>
              <w:rPr>
                <w:color w:val="auto"/>
                <w:highlight w:val="none"/>
              </w:rPr>
            </w:pPr>
            <w:r>
              <w:rPr>
                <w:rFonts w:ascii="宋体;SimSun" w:hAnsi="宋体;SimSun" w:eastAsia="宋体;SimSun" w:cs="宋体;SimSun"/>
                <w:color w:val="auto"/>
                <w:sz w:val="20"/>
                <w:szCs w:val="20"/>
                <w:highlight w:val="none"/>
              </w:rPr>
              <w:t>浊度传感器，外壳材质为POM、ABS，采用散射光法测量原理，量程支持0~20.00NTU（分辨率0.01NTU/0.1℃）、0~200.0NTU（分辨率0.01NTU/0.1℃）、0~1000.0NTU，精度根据量程不同分别为：±3%或±1.5NTU（0~20.00NTU）、±3%或±2NTU（0~200.0NTU）、±5%或±3NTU（0~1000.0NTU），精度均包含±0.3℃，响应时间&lt;30s（T90），最低检出限0.01NTU（0-20NTU量程）和0.3NTU，支持两点校准和自动温度补偿（Pt1000），输出方式RS-485 (Modbus/RTU)，存储温度-5~65℃，工作条件0~50℃、&lt;0.2MPa，功耗0.2W@12V，供电12~24VDC，防护等级IP68，线缆长度可定制。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EFECB4">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A949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2EE23">
            <w:pPr>
              <w:jc w:val="center"/>
              <w:rPr>
                <w:rFonts w:ascii="宋体;SimSun" w:hAnsi="宋体;SimSun" w:eastAsia="宋体;SimSun" w:cs="宋体;SimSun"/>
                <w:color w:val="auto"/>
                <w:sz w:val="20"/>
                <w:szCs w:val="20"/>
                <w:highlight w:val="none"/>
              </w:rPr>
            </w:pPr>
          </w:p>
        </w:tc>
      </w:tr>
      <w:tr w14:paraId="570DBBE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1AF86E6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083F68">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09A0C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氧化还原电位</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7535253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ORP传感器，外壳材质为ABS/PC合金，采用铂电极法测量原理，量程-1500~+1500mV（分辨率1mV），精度±20mV，响应时间&lt;30s（T90），支持一点校准，输出方式RS-485 (Modbus/RTU)，存储温度-5~65℃，工作条件0~50℃、≤0.2MPa，功耗0.2W@12V，供电12~24VDC，防护等级IP68，线缆长度可定制。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822E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E5BA4">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0D472B">
            <w:pPr>
              <w:jc w:val="center"/>
              <w:rPr>
                <w:rFonts w:ascii="宋体;SimSun" w:hAnsi="宋体;SimSun" w:eastAsia="宋体;SimSun" w:cs="宋体;SimSun"/>
                <w:color w:val="auto"/>
                <w:sz w:val="20"/>
                <w:szCs w:val="20"/>
                <w:highlight w:val="none"/>
              </w:rPr>
            </w:pPr>
          </w:p>
        </w:tc>
      </w:tr>
      <w:tr w14:paraId="03887B3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C195B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5FC99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2306E8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溶解氧</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8E91AC7">
            <w:pPr>
              <w:jc w:val="left"/>
              <w:rPr>
                <w:color w:val="auto"/>
                <w:highlight w:val="none"/>
              </w:rPr>
            </w:pPr>
            <w:r>
              <w:rPr>
                <w:rFonts w:ascii="宋体;SimSun" w:hAnsi="宋体;SimSun" w:eastAsia="宋体;SimSun" w:cs="宋体;SimSun"/>
                <w:color w:val="auto"/>
                <w:sz w:val="20"/>
                <w:szCs w:val="20"/>
                <w:highlight w:val="none"/>
              </w:rPr>
              <w:t>溶解氧传感器，外壳材质为POM、ABS/PC合金、316L不锈钢，采用荧光法测量原理，量程0~20.00mg/L（0~200%饱和度，25℃），分辨率0.01mg/L、0.1℃，精度±2%±0.3℃，响应时间&lt;30s（T90），最低检出限0.08mg/L，支持两点校准和自动温度补偿（Pt1000），输出方式RS-485 (Modbus RTU)，存储温度-5~65℃，工作条件0~50℃、≤0.2MPa，功耗0.2W@12V，供电12~24VDC，防护等级IP68，荧光膜头寿命1年（正常工况），线缆长度可定制。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0113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5CB1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A881F">
            <w:pPr>
              <w:jc w:val="center"/>
              <w:rPr>
                <w:rFonts w:ascii="宋体;SimSun" w:hAnsi="宋体;SimSun" w:eastAsia="宋体;SimSun" w:cs="宋体;SimSun"/>
                <w:color w:val="auto"/>
                <w:sz w:val="20"/>
                <w:szCs w:val="20"/>
                <w:highlight w:val="none"/>
              </w:rPr>
            </w:pPr>
          </w:p>
        </w:tc>
      </w:tr>
      <w:tr w14:paraId="7785004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6056B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E5007">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E82512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氨氮分析仪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589DB3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氨氮（水杨酸钠）水质在线自动监测仪，采用水杨酸分光光度法，测量范围0~100mg/L氨氮（分档0-8mg/L、0.1-30mg/L、5-100mg/L），准确度不超过±10%或不超过±0.2mg/L，重复性不超过±5%或不超过±0.2mg/L，最小测量周期20分钟（5~120min可调），采样周期支持时间间隔（10~9999min任意可调）和整点测量模式，校准周期1~99天任意间隔任意时刻可调，维护周期一般每月一次（约30min），输出2路RS-232和1路4~20mA，环境要求温度可调的室内（建议+5~28℃）、湿度≤90%（不结露），电源AC230±10%V、50±10%Hz、5A</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514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839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154A30">
            <w:pPr>
              <w:jc w:val="center"/>
              <w:rPr>
                <w:rFonts w:ascii="宋体;SimSun" w:hAnsi="宋体;SimSun" w:eastAsia="宋体;SimSun" w:cs="宋体;SimSun"/>
                <w:color w:val="auto"/>
                <w:sz w:val="20"/>
                <w:szCs w:val="20"/>
                <w:highlight w:val="none"/>
              </w:rPr>
            </w:pPr>
          </w:p>
        </w:tc>
      </w:tr>
      <w:tr w14:paraId="72F643E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629FB7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1BB22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79D8A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高锰酸盐指数分析仪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D3045C6">
            <w:pPr>
              <w:jc w:val="left"/>
              <w:rPr>
                <w:color w:val="auto"/>
                <w:highlight w:val="none"/>
              </w:rPr>
            </w:pPr>
            <w:r>
              <w:rPr>
                <w:rFonts w:ascii="宋体;SimSun" w:hAnsi="宋体;SimSun" w:eastAsia="宋体;SimSun" w:cs="宋体;SimSun"/>
                <w:color w:val="auto"/>
                <w:sz w:val="20"/>
                <w:szCs w:val="20"/>
                <w:highlight w:val="none"/>
              </w:rPr>
              <w:t>高锰酸盐水质在线自动监测仪，依据国家标准GB/T 11892-1989《水质-高锰酸盐指数的测定》，测量范围0~20mg/L COD（可扩展），准确度不超过±3%FS，重复性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032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14FF8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E74643">
            <w:pPr>
              <w:jc w:val="center"/>
              <w:rPr>
                <w:rFonts w:ascii="宋体;SimSun" w:hAnsi="宋体;SimSun" w:eastAsia="宋体;SimSun" w:cs="宋体;SimSun"/>
                <w:color w:val="auto"/>
                <w:sz w:val="20"/>
                <w:szCs w:val="20"/>
                <w:highlight w:val="none"/>
              </w:rPr>
            </w:pPr>
          </w:p>
        </w:tc>
      </w:tr>
      <w:tr w14:paraId="46FC41F4">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DBB1A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ABBA0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62C03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氟化物分析仪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BFEF836">
            <w:pPr>
              <w:jc w:val="left"/>
              <w:rPr>
                <w:color w:val="auto"/>
                <w:highlight w:val="none"/>
              </w:rPr>
            </w:pPr>
            <w:r>
              <w:rPr>
                <w:rFonts w:ascii="宋体;SimSun" w:hAnsi="宋体;SimSun" w:eastAsia="宋体;SimSun" w:cs="宋体;SimSun"/>
                <w:color w:val="auto"/>
                <w:sz w:val="20"/>
                <w:szCs w:val="20"/>
                <w:highlight w:val="none"/>
              </w:rPr>
              <w:t>氟化物水质在线自动监测仪，采用氟试剂分光光度法，测量范围0~10mg/L氟离子（分档0-0.5mg/L、0.2-2mg/L、1-10mg/L），准确度不超过±10%或不超过±3%FS，重复性不超过±5%或不超过±2%FS，最小测量周期25分钟，采样周期支持时间间隔（10~9999min任意可调）和整点测量模式，校准方式为定期手动校准（无自动校准功能），维护周期一般每月一次（约30min），输出1路RS-232和1路4~20mA，环境要求温度可调的室内（建议+5~28℃）、湿度≤90%（不结露），电源AC230±10%V、50±10%Hz、5A</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16E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4C98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E29D7">
            <w:pPr>
              <w:jc w:val="center"/>
              <w:rPr>
                <w:rFonts w:ascii="宋体;SimSun" w:hAnsi="宋体;SimSun" w:eastAsia="宋体;SimSun" w:cs="宋体;SimSun"/>
                <w:color w:val="auto"/>
                <w:sz w:val="20"/>
                <w:szCs w:val="20"/>
                <w:highlight w:val="none"/>
              </w:rPr>
            </w:pPr>
          </w:p>
        </w:tc>
      </w:tr>
      <w:tr w14:paraId="460D591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797F72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F53DA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7A27C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氯化物分析仪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6DEF15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氯化物水质在线自动监测仪，采用氯化银分光光度法，检测量程（1~100）mg/L（可扩展），示值误差±0.1 mg/L，零点漂移±5%F.S，量程漂移±5%F.S，重复性≤0.05，测量周期（20~30）min，通讯接口支持RS232/RS485和（4~20）mA输出。</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57BD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C31A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F8D1DD">
            <w:pPr>
              <w:jc w:val="center"/>
              <w:rPr>
                <w:rFonts w:ascii="宋体;SimSun" w:hAnsi="宋体;SimSun" w:eastAsia="宋体;SimSun" w:cs="宋体;SimSun"/>
                <w:color w:val="auto"/>
                <w:sz w:val="20"/>
                <w:szCs w:val="20"/>
                <w:highlight w:val="none"/>
              </w:rPr>
            </w:pPr>
          </w:p>
        </w:tc>
      </w:tr>
      <w:tr w14:paraId="56C28DC7">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FAD6A5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2E9FB6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站房及配套</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4AD5FB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一体化站房</w:t>
            </w:r>
          </w:p>
        </w:tc>
        <w:tc>
          <w:tcPr>
            <w:tcW w:w="6108" w:type="dxa"/>
            <w:vMerge w:val="restart"/>
            <w:tcBorders>
              <w:top w:val="single" w:color="000000" w:sz="4" w:space="0"/>
              <w:left w:val="single" w:color="000000" w:sz="4" w:space="0"/>
              <w:bottom w:val="single" w:color="000000" w:sz="4" w:space="0"/>
              <w:right w:val="single" w:color="000000" w:sz="4" w:space="0"/>
            </w:tcBorders>
            <w:noWrap w:val="0"/>
            <w:vAlign w:val="center"/>
          </w:tcPr>
          <w:p w14:paraId="760BA3A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定制，满足监测系统动环功能需求</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418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66083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A3C7F">
            <w:pPr>
              <w:jc w:val="center"/>
              <w:rPr>
                <w:rFonts w:ascii="宋体;SimSun" w:hAnsi="宋体;SimSun" w:eastAsia="宋体;SimSun" w:cs="宋体;SimSun"/>
                <w:color w:val="auto"/>
                <w:sz w:val="20"/>
                <w:szCs w:val="20"/>
                <w:highlight w:val="none"/>
              </w:rPr>
            </w:pPr>
          </w:p>
        </w:tc>
      </w:tr>
      <w:tr w14:paraId="0136DB0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2FFAC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FBDAA8">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0869C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站房地基</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88DF3">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6D22D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D245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085932">
            <w:pPr>
              <w:jc w:val="center"/>
              <w:rPr>
                <w:rFonts w:ascii="宋体;SimSun" w:hAnsi="宋体;SimSun" w:eastAsia="宋体;SimSun" w:cs="宋体;SimSun"/>
                <w:color w:val="auto"/>
                <w:sz w:val="20"/>
                <w:szCs w:val="20"/>
                <w:highlight w:val="none"/>
              </w:rPr>
            </w:pPr>
          </w:p>
        </w:tc>
      </w:tr>
      <w:tr w14:paraId="490EBE0B">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8E273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0479F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BB20A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空调</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FB9652">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50F912">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50C55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699F74">
            <w:pPr>
              <w:jc w:val="center"/>
              <w:rPr>
                <w:rFonts w:ascii="宋体;SimSun" w:hAnsi="宋体;SimSun" w:eastAsia="宋体;SimSun" w:cs="宋体;SimSun"/>
                <w:color w:val="auto"/>
                <w:sz w:val="20"/>
                <w:szCs w:val="20"/>
                <w:highlight w:val="none"/>
              </w:rPr>
            </w:pPr>
          </w:p>
        </w:tc>
      </w:tr>
      <w:tr w14:paraId="6D0586A9">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76382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09362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6060DE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操作台</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ECCA81">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57834">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E0310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48E6A">
            <w:pPr>
              <w:jc w:val="center"/>
              <w:rPr>
                <w:rFonts w:ascii="宋体;SimSun" w:hAnsi="宋体;SimSun" w:eastAsia="宋体;SimSun" w:cs="宋体;SimSun"/>
                <w:color w:val="auto"/>
                <w:sz w:val="20"/>
                <w:szCs w:val="20"/>
                <w:highlight w:val="none"/>
              </w:rPr>
            </w:pPr>
          </w:p>
        </w:tc>
      </w:tr>
      <w:tr w14:paraId="5FD49105">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82B70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DEC1C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49043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洗手池</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666B4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7F4D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B0014">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E20D29">
            <w:pPr>
              <w:jc w:val="center"/>
              <w:rPr>
                <w:rFonts w:ascii="宋体;SimSun" w:hAnsi="宋体;SimSun" w:eastAsia="宋体;SimSun" w:cs="宋体;SimSun"/>
                <w:color w:val="auto"/>
                <w:sz w:val="20"/>
                <w:szCs w:val="20"/>
                <w:highlight w:val="none"/>
              </w:rPr>
            </w:pPr>
          </w:p>
        </w:tc>
      </w:tr>
      <w:tr w14:paraId="2E526A59">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F34DC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283B1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26BCFF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配电箱</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A6DC9">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14F5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87CDE">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35F0AD">
            <w:pPr>
              <w:jc w:val="center"/>
              <w:rPr>
                <w:rFonts w:ascii="宋体;SimSun" w:hAnsi="宋体;SimSun" w:eastAsia="宋体;SimSun" w:cs="宋体;SimSun"/>
                <w:color w:val="auto"/>
                <w:sz w:val="20"/>
                <w:szCs w:val="20"/>
                <w:highlight w:val="none"/>
              </w:rPr>
            </w:pPr>
          </w:p>
        </w:tc>
      </w:tr>
      <w:tr w14:paraId="4156E98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5595C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BDA3A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6060B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照明</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A5ACA">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2AA6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85D0E">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B52C47">
            <w:pPr>
              <w:jc w:val="center"/>
              <w:rPr>
                <w:rFonts w:ascii="宋体;SimSun" w:hAnsi="宋体;SimSun" w:eastAsia="宋体;SimSun" w:cs="宋体;SimSun"/>
                <w:color w:val="auto"/>
                <w:sz w:val="20"/>
                <w:szCs w:val="20"/>
                <w:highlight w:val="none"/>
              </w:rPr>
            </w:pPr>
          </w:p>
        </w:tc>
      </w:tr>
      <w:tr w14:paraId="6D21AECF">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3593A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01F05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2C64B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废液收集箱</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E143C6">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F574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602CBC">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B83365">
            <w:pPr>
              <w:jc w:val="center"/>
              <w:rPr>
                <w:rFonts w:ascii="宋体;SimSun" w:hAnsi="宋体;SimSun" w:eastAsia="宋体;SimSun" w:cs="宋体;SimSun"/>
                <w:color w:val="auto"/>
                <w:sz w:val="20"/>
                <w:szCs w:val="20"/>
                <w:highlight w:val="none"/>
              </w:rPr>
            </w:pPr>
          </w:p>
        </w:tc>
      </w:tr>
      <w:tr w14:paraId="3929C112">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1E938A">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B2A8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65235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灭火器</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42FD72">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34A5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8B4D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6A347C">
            <w:pPr>
              <w:jc w:val="center"/>
              <w:rPr>
                <w:rFonts w:ascii="宋体;SimSun" w:hAnsi="宋体;SimSun" w:eastAsia="宋体;SimSun" w:cs="宋体;SimSun"/>
                <w:color w:val="auto"/>
                <w:sz w:val="20"/>
                <w:szCs w:val="20"/>
                <w:highlight w:val="none"/>
              </w:rPr>
            </w:pPr>
          </w:p>
        </w:tc>
      </w:tr>
      <w:tr w14:paraId="54F0F69B">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323AFF">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24441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6FCBBC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防雷装置</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24F890">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8D53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1750A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2997C">
            <w:pPr>
              <w:jc w:val="center"/>
              <w:rPr>
                <w:rFonts w:ascii="宋体;SimSun" w:hAnsi="宋体;SimSun" w:eastAsia="宋体;SimSun" w:cs="宋体;SimSun"/>
                <w:color w:val="auto"/>
                <w:sz w:val="20"/>
                <w:szCs w:val="20"/>
                <w:highlight w:val="none"/>
              </w:rPr>
            </w:pPr>
          </w:p>
        </w:tc>
      </w:tr>
      <w:tr w14:paraId="708EB464">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64D576">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2E17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4DAF65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温度报警器</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BED0E6">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42CD8">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7277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0298EC">
            <w:pPr>
              <w:jc w:val="center"/>
              <w:rPr>
                <w:rFonts w:ascii="宋体;SimSun" w:hAnsi="宋体;SimSun" w:eastAsia="宋体;SimSun" w:cs="宋体;SimSun"/>
                <w:color w:val="auto"/>
                <w:sz w:val="20"/>
                <w:szCs w:val="20"/>
                <w:highlight w:val="none"/>
              </w:rPr>
            </w:pPr>
          </w:p>
        </w:tc>
      </w:tr>
      <w:tr w14:paraId="51BFB0D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7407EC">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5E1F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B307AB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烟雾报警器</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E79E19">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0735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35A86">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F522DE">
            <w:pPr>
              <w:jc w:val="center"/>
              <w:rPr>
                <w:rFonts w:ascii="宋体;SimSun" w:hAnsi="宋体;SimSun" w:eastAsia="宋体;SimSun" w:cs="宋体;SimSun"/>
                <w:color w:val="auto"/>
                <w:sz w:val="20"/>
                <w:szCs w:val="20"/>
                <w:highlight w:val="none"/>
              </w:rPr>
            </w:pPr>
          </w:p>
        </w:tc>
      </w:tr>
      <w:tr w14:paraId="7400979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7123E">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B6FBC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CC3E7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有毒有害易燃气体报警器</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E7890A">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F556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E7159">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C56405">
            <w:pPr>
              <w:jc w:val="center"/>
              <w:rPr>
                <w:rFonts w:ascii="宋体;SimSun" w:hAnsi="宋体;SimSun" w:eastAsia="宋体;SimSun" w:cs="宋体;SimSun"/>
                <w:color w:val="auto"/>
                <w:sz w:val="20"/>
                <w:szCs w:val="20"/>
                <w:highlight w:val="none"/>
              </w:rPr>
            </w:pPr>
          </w:p>
        </w:tc>
      </w:tr>
      <w:tr w14:paraId="2CA88E1D">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E6259F">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D0987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B19B7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排风扇</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70A95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9AE9F">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EB853">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4768C3">
            <w:pPr>
              <w:jc w:val="center"/>
              <w:rPr>
                <w:rFonts w:ascii="宋体;SimSun" w:hAnsi="宋体;SimSun" w:eastAsia="宋体;SimSun" w:cs="宋体;SimSun"/>
                <w:color w:val="auto"/>
                <w:sz w:val="20"/>
                <w:szCs w:val="20"/>
                <w:highlight w:val="none"/>
              </w:rPr>
            </w:pPr>
          </w:p>
        </w:tc>
      </w:tr>
      <w:tr w14:paraId="124D3E1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2CCC2C">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4D4C3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4E1F24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冰箱</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48C561">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2B5CB">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A18D78">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550A07">
            <w:pPr>
              <w:jc w:val="center"/>
              <w:rPr>
                <w:rFonts w:ascii="宋体;SimSun" w:hAnsi="宋体;SimSun" w:eastAsia="宋体;SimSun" w:cs="宋体;SimSun"/>
                <w:color w:val="auto"/>
                <w:sz w:val="20"/>
                <w:szCs w:val="20"/>
                <w:highlight w:val="none"/>
              </w:rPr>
            </w:pPr>
          </w:p>
        </w:tc>
      </w:tr>
      <w:tr w14:paraId="199C00AD">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2AB00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048F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9F2B2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监控</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7A9942">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D29F0">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4C6D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341E43">
            <w:pPr>
              <w:jc w:val="center"/>
              <w:rPr>
                <w:rFonts w:ascii="宋体;SimSun" w:hAnsi="宋体;SimSun" w:eastAsia="宋体;SimSun" w:cs="宋体;SimSun"/>
                <w:color w:val="auto"/>
                <w:sz w:val="20"/>
                <w:szCs w:val="20"/>
                <w:highlight w:val="none"/>
              </w:rPr>
            </w:pPr>
          </w:p>
        </w:tc>
      </w:tr>
      <w:tr w14:paraId="3CC0D93C">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B40013">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D3B88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2CF8A6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配电电缆</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BF98D">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97B4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A134B">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59F6F2">
            <w:pPr>
              <w:jc w:val="center"/>
              <w:rPr>
                <w:rFonts w:ascii="宋体;SimSun" w:hAnsi="宋体;SimSun" w:eastAsia="宋体;SimSun" w:cs="宋体;SimSun"/>
                <w:color w:val="auto"/>
                <w:sz w:val="20"/>
                <w:szCs w:val="20"/>
                <w:highlight w:val="none"/>
              </w:rPr>
            </w:pPr>
          </w:p>
        </w:tc>
      </w:tr>
      <w:tr w14:paraId="606ECEC5">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C5DEF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466224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主控制单元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26F4AE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PLC控制系统</w:t>
            </w:r>
          </w:p>
        </w:tc>
        <w:tc>
          <w:tcPr>
            <w:tcW w:w="6108" w:type="dxa"/>
            <w:vMerge w:val="restart"/>
            <w:tcBorders>
              <w:top w:val="single" w:color="000000" w:sz="4" w:space="0"/>
              <w:left w:val="single" w:color="000000" w:sz="4" w:space="0"/>
              <w:bottom w:val="single" w:color="000000" w:sz="4" w:space="0"/>
              <w:right w:val="single" w:color="000000" w:sz="4" w:space="0"/>
            </w:tcBorders>
            <w:noWrap w:val="0"/>
            <w:vAlign w:val="center"/>
          </w:tcPr>
          <w:p w14:paraId="0D28CBD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1.支持设定定时自动洗井采样测定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2.支持在线自动完成水质判断</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3.支持在线实时数据记录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4.支持泄降保护</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F053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B60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B616BE">
            <w:pPr>
              <w:jc w:val="center"/>
              <w:rPr>
                <w:rFonts w:ascii="宋体;SimSun" w:hAnsi="宋体;SimSun" w:eastAsia="宋体;SimSun" w:cs="宋体;SimSun"/>
                <w:color w:val="auto"/>
                <w:sz w:val="20"/>
                <w:szCs w:val="20"/>
                <w:highlight w:val="none"/>
              </w:rPr>
            </w:pPr>
          </w:p>
        </w:tc>
      </w:tr>
      <w:tr w14:paraId="5D52E27E">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AFDF7">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96B84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5E542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组态屏</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4B314">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3855A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12F2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88EC3F">
            <w:pPr>
              <w:jc w:val="center"/>
              <w:rPr>
                <w:rFonts w:ascii="宋体;SimSun" w:hAnsi="宋体;SimSun" w:eastAsia="宋体;SimSun" w:cs="宋体;SimSun"/>
                <w:color w:val="auto"/>
                <w:sz w:val="20"/>
                <w:szCs w:val="20"/>
                <w:highlight w:val="none"/>
              </w:rPr>
            </w:pPr>
          </w:p>
        </w:tc>
      </w:tr>
      <w:tr w14:paraId="7E69AC8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A3A4A3">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5E4F6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5DD174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集成电控系统</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B15B87">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6E9C0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9FB6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FDFFFF">
            <w:pPr>
              <w:jc w:val="center"/>
              <w:rPr>
                <w:rFonts w:ascii="宋体;SimSun" w:hAnsi="宋体;SimSun" w:eastAsia="宋体;SimSun" w:cs="宋体;SimSun"/>
                <w:color w:val="auto"/>
                <w:sz w:val="20"/>
                <w:szCs w:val="20"/>
                <w:highlight w:val="none"/>
              </w:rPr>
            </w:pPr>
          </w:p>
        </w:tc>
      </w:tr>
      <w:tr w14:paraId="21B7499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DA47B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A665E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7188FB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集成控制软件</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A72216">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E5BB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62282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AE994A">
            <w:pPr>
              <w:jc w:val="center"/>
              <w:rPr>
                <w:rFonts w:ascii="宋体;SimSun" w:hAnsi="宋体;SimSun" w:eastAsia="宋体;SimSun" w:cs="宋体;SimSun"/>
                <w:color w:val="auto"/>
                <w:sz w:val="20"/>
                <w:szCs w:val="20"/>
                <w:highlight w:val="none"/>
              </w:rPr>
            </w:pPr>
          </w:p>
        </w:tc>
      </w:tr>
      <w:tr w14:paraId="31DB5CD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84C0AA">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9D1A7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3E5CE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UPS不间断电源</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EDE4B4">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C4F8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9B3F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7839C7">
            <w:pPr>
              <w:jc w:val="center"/>
              <w:rPr>
                <w:rFonts w:ascii="宋体;SimSun" w:hAnsi="宋体;SimSun" w:eastAsia="宋体;SimSun" w:cs="宋体;SimSun"/>
                <w:color w:val="auto"/>
                <w:sz w:val="20"/>
                <w:szCs w:val="20"/>
                <w:highlight w:val="none"/>
              </w:rPr>
            </w:pPr>
          </w:p>
        </w:tc>
      </w:tr>
      <w:tr w14:paraId="334C714F">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B9FEC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625ED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73C53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稳压电源</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2C1A90">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E87A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0856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EA750A">
            <w:pPr>
              <w:jc w:val="center"/>
              <w:rPr>
                <w:rFonts w:ascii="宋体;SimSun" w:hAnsi="宋体;SimSun" w:eastAsia="宋体;SimSun" w:cs="宋体;SimSun"/>
                <w:color w:val="auto"/>
                <w:sz w:val="20"/>
                <w:szCs w:val="20"/>
                <w:highlight w:val="none"/>
              </w:rPr>
            </w:pPr>
          </w:p>
        </w:tc>
      </w:tr>
      <w:tr w14:paraId="47CE49F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D9746F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7FEF48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F801BC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数采仪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2B81AE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数采仪，配备7寸真彩TFT液晶触摸屏（分辨率800*480），支持8路模拟量输入（精度12位A/D）、4路开关量输出（触点负载阻性5A 250VAC/30VDC）、4路光耦隔离开关量输入（输入直流9~24V），通信接口包括5路RS-232、2路RS-485、1路10/100M自适应以太网口（RJ45），内部存储容量512M，支持TF卡扩展最大32G，传输方式支持TCP、UDP、SMS，配备标准SIM卡槽和50Ω SMA-K天线接口，时钟精度5ppm，支持硬件看门狗，MTBF&gt;30000小时，内置备用电源（充电电压8.4V、充电电流0-500mA、电池容量4000mAH），断电可持续工作6小时以上，工作环境温度-10~55℃、湿度不高于95%，供电电压AC220V，机箱尺寸320×380×85mm。</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083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102E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4473CB">
            <w:pPr>
              <w:jc w:val="center"/>
              <w:rPr>
                <w:rFonts w:ascii="宋体;SimSun" w:hAnsi="宋体;SimSun" w:eastAsia="宋体;SimSun" w:cs="宋体;SimSun"/>
                <w:color w:val="auto"/>
                <w:sz w:val="20"/>
                <w:szCs w:val="20"/>
                <w:highlight w:val="none"/>
              </w:rPr>
            </w:pPr>
          </w:p>
        </w:tc>
      </w:tr>
      <w:tr w14:paraId="2B351993">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C4E4D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CC362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洗井采样单元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21F26C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低流量洗井采样潜水泵</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1080B2D">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p>
          <w:p w14:paraId="5F8F35B4">
            <w:pPr>
              <w:jc w:val="left"/>
              <w:rPr>
                <w:color w:val="auto"/>
                <w:highlight w:val="none"/>
              </w:rPr>
            </w:pPr>
            <w:r>
              <w:rPr>
                <w:rFonts w:ascii="宋体;SimSun" w:hAnsi="宋体;SimSun" w:eastAsia="宋体;SimSun" w:cs="宋体;SimSun"/>
                <w:color w:val="auto"/>
                <w:sz w:val="20"/>
                <w:szCs w:val="20"/>
                <w:highlight w:val="none"/>
              </w:rPr>
              <w:t xml:space="preserve">1 符合标准 HJ 1019-2019《地块土壤和地下水挥发性有机物采样技术导则》、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HJ 164-2020《地下水环境监测技术规范》；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 泵头外径：≤45mm，可用于50mm标准监测井采样；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3 泵头长度：≤23cm；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 泵体材质：不锈钢；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 电机为无刷电机；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6泵体重量：≤1.8kg；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7流速可调，符合 VOC 采样要求，最小流速≤0.1L/min；最大流速≥15L/min，大流量洗井，小流量采样；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8 电源：24V直流电源；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9钢丝绳带米标；方便读取下放深度；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10泵体可徒手拆卸，清洗便捷；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w:t>
            </w:r>
          </w:p>
        </w:tc>
        <w:tc>
          <w:tcPr>
            <w:tcW w:w="95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B80C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BDA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0D3DC0">
            <w:pPr>
              <w:jc w:val="center"/>
              <w:rPr>
                <w:rFonts w:ascii="宋体;SimSun" w:hAnsi="宋体;SimSun" w:eastAsia="宋体;SimSun" w:cs="宋体;SimSun"/>
                <w:color w:val="auto"/>
                <w:sz w:val="20"/>
                <w:szCs w:val="20"/>
                <w:highlight w:val="none"/>
              </w:rPr>
            </w:pPr>
          </w:p>
        </w:tc>
      </w:tr>
      <w:tr w14:paraId="469F3B02">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01877">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090F7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968EC3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高精度电磁流量计</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FB5D52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1)实时显示瞬时流量（L/min）和累计流量（L）；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2)支持0.1 L/min的微小流量检测和30L/min大流量监测，满足精密控制需求；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3)精度≤0.5%FS；</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A9DD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E9539">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58B99C">
            <w:pPr>
              <w:jc w:val="center"/>
              <w:rPr>
                <w:rFonts w:ascii="宋体;SimSun" w:hAnsi="宋体;SimSun" w:eastAsia="宋体;SimSun" w:cs="宋体;SimSun"/>
                <w:color w:val="auto"/>
                <w:sz w:val="20"/>
                <w:szCs w:val="20"/>
                <w:highlight w:val="none"/>
              </w:rPr>
            </w:pPr>
          </w:p>
        </w:tc>
      </w:tr>
      <w:tr w14:paraId="63E17C09">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21124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47AF49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配水及清洗单元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6C42D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电动球阀</w:t>
            </w:r>
          </w:p>
        </w:tc>
        <w:tc>
          <w:tcPr>
            <w:tcW w:w="6108" w:type="dxa"/>
            <w:vMerge w:val="restart"/>
            <w:tcBorders>
              <w:top w:val="single" w:color="000000" w:sz="4" w:space="0"/>
              <w:left w:val="single" w:color="000000" w:sz="4" w:space="0"/>
              <w:bottom w:val="single" w:color="000000" w:sz="4" w:space="0"/>
              <w:right w:val="single" w:color="000000" w:sz="4" w:space="0"/>
            </w:tcBorders>
            <w:noWrap w:val="0"/>
            <w:vAlign w:val="center"/>
          </w:tcPr>
          <w:p w14:paraId="3FB7E56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4F664">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CBC96">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29F8B4">
            <w:pPr>
              <w:jc w:val="center"/>
              <w:rPr>
                <w:rFonts w:ascii="宋体;SimSun" w:hAnsi="宋体;SimSun" w:eastAsia="宋体;SimSun" w:cs="宋体;SimSun"/>
                <w:color w:val="auto"/>
                <w:sz w:val="20"/>
                <w:szCs w:val="20"/>
                <w:highlight w:val="none"/>
              </w:rPr>
            </w:pPr>
          </w:p>
        </w:tc>
      </w:tr>
      <w:tr w14:paraId="129D622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64B1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797AC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85F59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过滤器</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8EAF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6FE88">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CE2CA">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BED19">
            <w:pPr>
              <w:jc w:val="center"/>
              <w:rPr>
                <w:rFonts w:ascii="宋体;SimSun" w:hAnsi="宋体;SimSun" w:eastAsia="宋体;SimSun" w:cs="宋体;SimSun"/>
                <w:color w:val="auto"/>
                <w:sz w:val="20"/>
                <w:szCs w:val="20"/>
                <w:highlight w:val="none"/>
              </w:rPr>
            </w:pPr>
          </w:p>
        </w:tc>
      </w:tr>
      <w:tr w14:paraId="04BE14F4">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C2CF68">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C64B7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9DC27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球阀</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3398B8">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30616">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7848BD">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FB52EE">
            <w:pPr>
              <w:jc w:val="center"/>
              <w:rPr>
                <w:rFonts w:ascii="宋体;SimSun" w:hAnsi="宋体;SimSun" w:eastAsia="宋体;SimSun" w:cs="宋体;SimSun"/>
                <w:color w:val="auto"/>
                <w:sz w:val="20"/>
                <w:szCs w:val="20"/>
                <w:highlight w:val="none"/>
              </w:rPr>
            </w:pPr>
          </w:p>
        </w:tc>
      </w:tr>
      <w:tr w14:paraId="7ADE641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5B1DE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82DC3">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ABE568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清洗和反冲洗模块</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270226">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03FE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B37D6">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3DC73C">
            <w:pPr>
              <w:jc w:val="center"/>
              <w:rPr>
                <w:rFonts w:ascii="宋体;SimSun" w:hAnsi="宋体;SimSun" w:eastAsia="宋体;SimSun" w:cs="宋体;SimSun"/>
                <w:color w:val="auto"/>
                <w:sz w:val="20"/>
                <w:szCs w:val="20"/>
                <w:highlight w:val="none"/>
              </w:rPr>
            </w:pPr>
          </w:p>
        </w:tc>
      </w:tr>
      <w:tr w14:paraId="586BB995">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ABFD8F">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FEDF3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3B9C5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废水箱</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B206BE">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8B7C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4E79F">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82B0B2">
            <w:pPr>
              <w:jc w:val="center"/>
              <w:rPr>
                <w:rFonts w:ascii="宋体;SimSun" w:hAnsi="宋体;SimSun" w:eastAsia="宋体;SimSun" w:cs="宋体;SimSun"/>
                <w:color w:val="auto"/>
                <w:sz w:val="20"/>
                <w:szCs w:val="20"/>
                <w:highlight w:val="none"/>
              </w:rPr>
            </w:pPr>
          </w:p>
        </w:tc>
      </w:tr>
      <w:tr w14:paraId="4CC016A7">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7A81A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6EE679">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B4102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空压机</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0909AC">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15FD6">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10383">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84EB43">
            <w:pPr>
              <w:jc w:val="center"/>
              <w:rPr>
                <w:rFonts w:ascii="宋体;SimSun" w:hAnsi="宋体;SimSun" w:eastAsia="宋体;SimSun" w:cs="宋体;SimSun"/>
                <w:color w:val="auto"/>
                <w:sz w:val="20"/>
                <w:szCs w:val="20"/>
                <w:highlight w:val="none"/>
              </w:rPr>
            </w:pPr>
          </w:p>
        </w:tc>
      </w:tr>
      <w:tr w14:paraId="64DE8659">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819971">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446C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709B9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管路（采样、清洗、冲洗）</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5D1243">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38B77">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75AA9">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F9EF8F">
            <w:pPr>
              <w:jc w:val="center"/>
              <w:rPr>
                <w:rFonts w:ascii="宋体;SimSun" w:hAnsi="宋体;SimSun" w:eastAsia="宋体;SimSun" w:cs="宋体;SimSun"/>
                <w:color w:val="auto"/>
                <w:sz w:val="20"/>
                <w:szCs w:val="20"/>
                <w:highlight w:val="none"/>
              </w:rPr>
            </w:pPr>
          </w:p>
        </w:tc>
      </w:tr>
      <w:tr w14:paraId="2D475130">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85613">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D0D5D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236B79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保温材料</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C5E5D3">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E25CA">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7C86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E58B78">
            <w:pPr>
              <w:jc w:val="center"/>
              <w:rPr>
                <w:rFonts w:ascii="宋体;SimSun" w:hAnsi="宋体;SimSun" w:eastAsia="宋体;SimSun" w:cs="宋体;SimSun"/>
                <w:color w:val="auto"/>
                <w:sz w:val="20"/>
                <w:szCs w:val="20"/>
                <w:highlight w:val="none"/>
              </w:rPr>
            </w:pPr>
          </w:p>
        </w:tc>
      </w:tr>
      <w:tr w14:paraId="112EB9B7">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A7D6E9">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3D3B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DADEC2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辅材</w:t>
            </w:r>
          </w:p>
        </w:tc>
        <w:tc>
          <w:tcPr>
            <w:tcW w:w="61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383072">
            <w:pPr>
              <w:jc w:val="left"/>
              <w:rPr>
                <w:rFonts w:ascii="宋体;SimSun" w:hAnsi="宋体;SimSun" w:eastAsia="宋体;SimSun" w:cs="宋体;SimSun"/>
                <w:color w:val="auto"/>
                <w:sz w:val="20"/>
                <w:szCs w:val="20"/>
                <w:highlight w:val="none"/>
              </w:rPr>
            </w:pPr>
          </w:p>
        </w:tc>
        <w:tc>
          <w:tcPr>
            <w:tcW w:w="95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89186">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B77D2">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15BB55">
            <w:pPr>
              <w:jc w:val="center"/>
              <w:rPr>
                <w:rFonts w:ascii="宋体;SimSun" w:hAnsi="宋体;SimSun" w:eastAsia="宋体;SimSun" w:cs="宋体;SimSun"/>
                <w:color w:val="auto"/>
                <w:sz w:val="20"/>
                <w:szCs w:val="20"/>
                <w:highlight w:val="none"/>
              </w:rPr>
            </w:pPr>
          </w:p>
        </w:tc>
      </w:tr>
      <w:tr w14:paraId="6E61E0A9">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821FE8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05E8DD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运输、现场调试、培训</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965513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设备运输、现场安装调试、操作培训、站房地面基础施工。</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B617A24">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57AE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14B2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0CD3B3">
            <w:pPr>
              <w:jc w:val="center"/>
              <w:rPr>
                <w:rFonts w:ascii="宋体;SimSun" w:hAnsi="宋体;SimSun" w:eastAsia="宋体;SimSun" w:cs="宋体;SimSun"/>
                <w:color w:val="auto"/>
                <w:sz w:val="20"/>
                <w:szCs w:val="20"/>
                <w:highlight w:val="none"/>
              </w:rPr>
            </w:pPr>
          </w:p>
        </w:tc>
      </w:tr>
      <w:tr w14:paraId="31DC259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AEEFF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18</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2768CD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运维</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D9E1A33">
            <w:pPr>
              <w:numPr>
                <w:ilvl w:val="0"/>
                <w:numId w:val="6"/>
              </w:num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日常巡检：设备外观检查、运行状态核查、站点环境巡检；</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 定期维护：每个季度全面清洁、参数校准、管路检查，清洗；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 试剂更换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4.纯水按月更换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5.每个季度做一次跟第三方检测公司实际水样比对，并出具报告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6. 废液处理 </w:t>
            </w:r>
          </w:p>
          <w:p w14:paraId="7C18FBD1">
            <w:pPr>
              <w:pStyle w:val="271"/>
              <w:rPr>
                <w:rFonts w:ascii="宋体;SimSun" w:hAnsi="宋体;SimSun" w:cs="宋体;SimSun"/>
                <w:color w:val="auto"/>
                <w:highlight w:val="none"/>
              </w:rPr>
            </w:pPr>
            <w:r>
              <w:rPr>
                <w:rFonts w:ascii="宋体;SimSun" w:hAnsi="宋体;SimSun" w:cs="宋体;SimSun"/>
                <w:color w:val="auto"/>
                <w:highlight w:val="none"/>
              </w:rPr>
              <w:t>7.包含供电接入、网卡、电费、水费以及网络通讯费。</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E98835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363F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年</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7CC5C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1F70BB">
            <w:pPr>
              <w:jc w:val="center"/>
              <w:rPr>
                <w:rFonts w:ascii="宋体;SimSun" w:hAnsi="宋体;SimSun" w:eastAsia="宋体;SimSun" w:cs="宋体;SimSun"/>
                <w:color w:val="auto"/>
                <w:sz w:val="20"/>
                <w:szCs w:val="20"/>
                <w:highlight w:val="none"/>
              </w:rPr>
            </w:pPr>
          </w:p>
        </w:tc>
      </w:tr>
      <w:tr w14:paraId="00DEA3E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EB5FD7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19</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1B071F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其他配件</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4A3EE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安全防护栏杆、防盗锁、警示标识牌、科普宣传牌</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6EF0E0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定制</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BCB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7EA3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BC3D9D">
            <w:pPr>
              <w:jc w:val="center"/>
              <w:rPr>
                <w:rFonts w:ascii="宋体;SimSun" w:hAnsi="宋体;SimSun" w:eastAsia="宋体;SimSun" w:cs="宋体;SimSun"/>
                <w:color w:val="auto"/>
                <w:sz w:val="20"/>
                <w:szCs w:val="20"/>
                <w:highlight w:val="none"/>
              </w:rPr>
            </w:pPr>
          </w:p>
        </w:tc>
      </w:tr>
      <w:tr w14:paraId="22309EB0">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7DA6E98E">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四、上风向标准站的升级改造</w:t>
            </w:r>
          </w:p>
        </w:tc>
      </w:tr>
      <w:tr w14:paraId="53F639A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906920">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BD2213">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02136">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CEC705">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9FDC7">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8C9C4">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C8A64">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46317AC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47E94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2CB579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数据分析单元</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5606C6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动态校准仪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EF9316C">
            <w:pPr>
              <w:jc w:val="left"/>
              <w:rPr>
                <w:color w:val="auto"/>
                <w:highlight w:val="none"/>
              </w:rPr>
            </w:pPr>
            <w:r>
              <w:rPr>
                <w:rFonts w:ascii="宋体;SimSun" w:hAnsi="宋体;SimSun" w:eastAsia="宋体;SimSun" w:cs="宋体;SimSun"/>
                <w:color w:val="auto"/>
                <w:sz w:val="20"/>
                <w:szCs w:val="20"/>
                <w:highlight w:val="none"/>
              </w:rPr>
              <w:t>（1）设备用途：能依据外接标准气体种类提供精确浓度的标准气体输出，完成大气自动监测分析仪器的零点、跨度、精密度及多点校准工作。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1、基本单元</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1）稀释气流量范围：(0~10)SLPM，可扩展；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流量线性误差：±1%读数（包含20%-80%满量程范围内）。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2）标气流量范围：(0~100) sccm，可扩展；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流量线性误差：±1%读数（包含20%-80%满量程范围内）。</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2、臭氧配气模块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1）线性度：±1% 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2）重复性：≤1% 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3）稳定时间：（T98）≤300s；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4）零点漂移（24 h）：±1ppb；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5）量程漂移：±5 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6）臭氧发生浓度误差：±2%读数（包含50-500ppb范围）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（3）产品性能要求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1）具有中文触摸式彩屏，方便查询、操作维护；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2）具备开机自检和运行自诊断功能；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3）采用高精度质量流量计进行流量控制，最大可实现1:1000的样气配比；</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4）具备RS232或RS485接口，支持软件系统升级；</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7341F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393CBA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2552F7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79CB6E1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C5D26D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951C9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D30058E">
            <w:pPr>
              <w:jc w:val="left"/>
              <w:rPr>
                <w:color w:val="auto"/>
                <w:highlight w:val="none"/>
              </w:rPr>
            </w:pPr>
            <w:r>
              <w:rPr>
                <w:rFonts w:ascii="宋体;SimSun" w:hAnsi="宋体;SimSun" w:eastAsia="宋体;SimSun" w:cs="宋体;SimSun"/>
                <w:color w:val="auto"/>
                <w:sz w:val="20"/>
                <w:szCs w:val="20"/>
                <w:highlight w:val="none"/>
              </w:rPr>
              <w:t>PM</w:t>
            </w:r>
            <w:r>
              <w:rPr>
                <w:rFonts w:ascii="宋体;SimSun" w:hAnsi="宋体;SimSun" w:eastAsia="宋体;SimSun" w:cs="宋体;SimSun"/>
                <w:color w:val="auto"/>
                <w:sz w:val="20"/>
                <w:szCs w:val="20"/>
                <w:highlight w:val="none"/>
                <w:vertAlign w:val="subscript"/>
              </w:rPr>
              <w:t>2.5</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27AA8A2">
            <w:pPr>
              <w:jc w:val="left"/>
              <w:rPr>
                <w:color w:val="auto"/>
                <w:highlight w:val="none"/>
              </w:rPr>
            </w:pPr>
            <w:r>
              <w:rPr>
                <w:rFonts w:ascii="宋体;SimSun" w:hAnsi="宋体;SimSun" w:eastAsia="宋体;SimSun" w:cs="宋体;SimSun"/>
                <w:color w:val="auto"/>
                <w:sz w:val="20"/>
                <w:szCs w:val="20"/>
                <w:highlight w:val="none"/>
              </w:rPr>
              <w:t>（1）设备用途：用于空气中PM2.5颗粒物质量浓度的监测。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（2）配置要求：含PM2.5切割头、采样纸带等。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1）分析方法：β射线吸收法；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2）测量范围：0~1000μg/m</w:t>
            </w:r>
            <w:r>
              <w:rPr>
                <w:rFonts w:ascii="宋体;SimSun" w:hAnsi="宋体;SimSun" w:eastAsia="宋体;SimSun" w:cs="宋体;SimSun"/>
                <w:color w:val="auto"/>
                <w:sz w:val="20"/>
                <w:szCs w:val="20"/>
                <w:highlight w:val="none"/>
                <w:vertAlign w:val="superscript"/>
              </w:rPr>
              <w:t>3</w:t>
            </w:r>
            <w:r>
              <w:rPr>
                <w:rFonts w:ascii="宋体;SimSun" w:hAnsi="宋体;SimSun" w:eastAsia="宋体;SimSun" w:cs="宋体;SimSun"/>
                <w:color w:val="auto"/>
                <w:sz w:val="20"/>
                <w:szCs w:val="20"/>
                <w:highlight w:val="none"/>
              </w:rPr>
              <w:t>；</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3）最小显示单位：0.1μg/m</w:t>
            </w:r>
            <w:r>
              <w:rPr>
                <w:rFonts w:ascii="宋体;SimSun" w:hAnsi="宋体;SimSun" w:eastAsia="宋体;SimSun" w:cs="宋体;SimSun"/>
                <w:color w:val="auto"/>
                <w:sz w:val="20"/>
                <w:szCs w:val="20"/>
                <w:highlight w:val="none"/>
                <w:vertAlign w:val="superscript"/>
              </w:rPr>
              <w:t>3</w:t>
            </w:r>
            <w:r>
              <w:rPr>
                <w:rFonts w:ascii="宋体;SimSun" w:hAnsi="宋体;SimSun" w:eastAsia="宋体;SimSun" w:cs="宋体;SimSun"/>
                <w:color w:val="auto"/>
                <w:sz w:val="20"/>
                <w:szCs w:val="20"/>
                <w:highlight w:val="none"/>
              </w:rPr>
              <w:t>；</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4）校准膜示值误差：±0.5%；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5）温度测量示值误差：±0.5℃；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6）湿度测量示值误差：±2%RH；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7）时钟误差：±1s；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8）流量测试：平均流量偏差±0.3%，流量相对标准偏差≤0.2%，平均流量示值误差≤0.3%；</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9）平行性：≤15%；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10）有效数据率：≥99.9%；</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11）相关系数：≥0.95；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（4）产品性能要求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1）具有中文触摸式彩屏，方便查询、操作维护；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2）具备开机自检和运行自诊断功能；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3）可自动存储校准数据及报警信息；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4）支持一键查询历史数据；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5）具备RS232或RS485接口，支持软件系统升级；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6）采用动态加热方法解决雨天高湿天气对测量浓度影响；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7）仪器内置校准膜片，支持自动校准；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8）支持整点及周期测量模式；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9）测量仪器具有特定标志触发滤纸用完预警功能；</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1096DB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88E6A9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A46E94">
            <w:pPr>
              <w:jc w:val="center"/>
              <w:rPr>
                <w:rFonts w:ascii="宋体;SimSun" w:hAnsi="宋体;SimSun" w:eastAsia="宋体;SimSun" w:cs="宋体;SimSun"/>
                <w:color w:val="auto"/>
                <w:sz w:val="20"/>
                <w:szCs w:val="20"/>
                <w:highlight w:val="none"/>
              </w:rPr>
            </w:pPr>
          </w:p>
        </w:tc>
      </w:tr>
      <w:tr w14:paraId="60502B3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06C5B9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4DAD8">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01764D8">
            <w:pPr>
              <w:jc w:val="left"/>
              <w:rPr>
                <w:color w:val="auto"/>
                <w:highlight w:val="none"/>
              </w:rPr>
            </w:pPr>
            <w:r>
              <w:rPr>
                <w:rFonts w:ascii="宋体;SimSun" w:hAnsi="宋体;SimSun" w:eastAsia="宋体;SimSun" w:cs="宋体;SimSun"/>
                <w:color w:val="auto"/>
                <w:sz w:val="20"/>
                <w:szCs w:val="20"/>
                <w:highlight w:val="none"/>
              </w:rPr>
              <w:t>SO</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7D05D448">
            <w:pPr>
              <w:jc w:val="left"/>
              <w:rPr>
                <w:color w:val="auto"/>
                <w:highlight w:val="none"/>
              </w:rPr>
            </w:pPr>
            <w:r>
              <w:rPr>
                <w:rFonts w:ascii="宋体;SimSun" w:hAnsi="宋体;SimSun" w:eastAsia="宋体;SimSun" w:cs="宋体;SimSun"/>
                <w:color w:val="auto"/>
                <w:sz w:val="20"/>
                <w:szCs w:val="20"/>
                <w:highlight w:val="none"/>
              </w:rPr>
              <w:t>（1）设备用途：用于空气中二氧化硫浓度的监测。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（2）配置要求：含过滤滤膜等。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1）分析方法：紫外脉冲荧光法；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2）量程范围：0-500ppb；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3）零点噪声：≤0.2ppb；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4）量程噪声：≤2.5ppb；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5）最低检测限：≤0.4ppb；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6）示值误差：±1%F.S.；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7）20%量程精密度：≤2ppb；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8）80%量程精密度：≤4ppb；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9）24h零点漂移：±1 ppb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10）24h 20%量程漂移：±2.5ppb；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11）24h 80%量程漂移：±5ppb；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12）响应时间（上升/下降）：≤90s；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13）电压稳定性：±0.4%F.S.；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14）流量稳定性：±10%；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15）环境温度变化影响：≤0.2 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16）长期零点漂移（7d）：±2ppb；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17）长期量程漂移（7d）：±5ppb；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18）H2O 干扰（2% H2O）:±0.15%F.S；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19）甲苯干扰（100ppb 甲苯）:±0.15%F.S；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（4）产品性能要求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1）具有中文触摸式彩屏，方便查询、操作维护；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2）具备开机自检和运行自诊断功能；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3）可自动存储校准数据及报警信息；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4）支持一键查询与导出历史数据，包括浓度、关键参数（包括信号、流量、压力、温度、驱动电压）等信息；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5）具备RS232或RS485接口，支持远程软件系统升级；</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3A669D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4D329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361C1E">
            <w:pPr>
              <w:jc w:val="center"/>
              <w:rPr>
                <w:rFonts w:ascii="宋体;SimSun" w:hAnsi="宋体;SimSun" w:eastAsia="宋体;SimSun" w:cs="宋体;SimSun"/>
                <w:color w:val="auto"/>
                <w:sz w:val="20"/>
                <w:szCs w:val="20"/>
                <w:highlight w:val="none"/>
              </w:rPr>
            </w:pPr>
          </w:p>
        </w:tc>
      </w:tr>
      <w:tr w14:paraId="4C23AA69">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7772B6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9BBA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23210A0">
            <w:pPr>
              <w:jc w:val="left"/>
              <w:rPr>
                <w:color w:val="auto"/>
                <w:highlight w:val="none"/>
              </w:rPr>
            </w:pPr>
            <w:r>
              <w:rPr>
                <w:rFonts w:ascii="宋体;SimSun" w:hAnsi="宋体;SimSun" w:eastAsia="宋体;SimSun" w:cs="宋体;SimSun"/>
                <w:color w:val="auto"/>
                <w:sz w:val="20"/>
                <w:szCs w:val="20"/>
                <w:highlight w:val="none"/>
              </w:rPr>
              <w:t>NO</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448083F">
            <w:pPr>
              <w:jc w:val="left"/>
              <w:rPr>
                <w:color w:val="auto"/>
                <w:highlight w:val="none"/>
              </w:rPr>
            </w:pPr>
            <w:r>
              <w:rPr>
                <w:rFonts w:ascii="宋体;SimSun" w:hAnsi="宋体;SimSun" w:eastAsia="宋体;SimSun" w:cs="宋体;SimSun"/>
                <w:color w:val="auto"/>
                <w:sz w:val="20"/>
                <w:szCs w:val="20"/>
                <w:highlight w:val="none"/>
              </w:rPr>
              <w:t>（1）设备用途：用于空气中NO、NO</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、NOx浓度的监测。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（2）配置要求：含过滤滤膜等。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1）分析方法：化学发光法；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2）测量范围：0-500ppb；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3）零点噪声：≤0.1ppb；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4）量程噪声：≤2.5ppb；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5）最低检出限：≤0.2ppb；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6）示值误差：±1%F.S.；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7）20%量程精密度：≤2ppb；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8）80%量程精密度：≤4ppb；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9）24h零点漂移：±0.1ppb；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10）24h 20%量程漂移：±5ppb；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11）24h 80%量程漂移：±5ppb；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12）响应时间（上升/下降）：≤20s；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13）环境温度变化影响：≤0.3ppb/℃；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14）长期零点漂移（7d）：±0.5ppb；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15）长期量程漂移（7d）：±5ppb；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16）H</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O 干扰（2.5% H</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O）:±0.1%F.S；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17）NH</w:t>
            </w:r>
            <w:r>
              <w:rPr>
                <w:rFonts w:ascii="宋体;SimSun" w:hAnsi="宋体;SimSun" w:eastAsia="宋体;SimSun" w:cs="宋体;SimSun"/>
                <w:color w:val="auto"/>
                <w:sz w:val="20"/>
                <w:szCs w:val="20"/>
                <w:highlight w:val="none"/>
                <w:vertAlign w:val="subscript"/>
              </w:rPr>
              <w:t>3</w:t>
            </w:r>
            <w:r>
              <w:rPr>
                <w:rFonts w:ascii="宋体;SimSun" w:hAnsi="宋体;SimSun" w:eastAsia="宋体;SimSun" w:cs="宋体;SimSun"/>
                <w:color w:val="auto"/>
                <w:sz w:val="20"/>
                <w:szCs w:val="20"/>
                <w:highlight w:val="none"/>
              </w:rPr>
              <w:t xml:space="preserve"> 干扰（1 ppm NH</w:t>
            </w:r>
            <w:r>
              <w:rPr>
                <w:rFonts w:ascii="宋体;SimSun" w:hAnsi="宋体;SimSun" w:eastAsia="宋体;SimSun" w:cs="宋体;SimSun"/>
                <w:color w:val="auto"/>
                <w:sz w:val="20"/>
                <w:szCs w:val="20"/>
                <w:highlight w:val="none"/>
                <w:vertAlign w:val="subscript"/>
              </w:rPr>
              <w:t>3</w:t>
            </w:r>
            <w:r>
              <w:rPr>
                <w:rFonts w:ascii="宋体;SimSun" w:hAnsi="宋体;SimSun" w:eastAsia="宋体;SimSun" w:cs="宋体;SimSun"/>
                <w:color w:val="auto"/>
                <w:sz w:val="20"/>
                <w:szCs w:val="20"/>
                <w:highlight w:val="none"/>
              </w:rPr>
              <w:t>）:±0.1% 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（4）产品性能要求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1）具有中文触摸式彩屏，方便查询、操作维护；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2）具备开机自检和运行自诊断功能；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3）可自动存储校准数据及报警信息；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4）支持一键查询历史数据；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5）具备RS232或RS485接口，支持软件系统升级；</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1CE37A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4B22C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BAC751">
            <w:pPr>
              <w:jc w:val="center"/>
              <w:rPr>
                <w:rFonts w:ascii="宋体;SimSun" w:hAnsi="宋体;SimSun" w:eastAsia="宋体;SimSun" w:cs="宋体;SimSun"/>
                <w:color w:val="auto"/>
                <w:sz w:val="20"/>
                <w:szCs w:val="20"/>
                <w:highlight w:val="none"/>
              </w:rPr>
            </w:pPr>
          </w:p>
        </w:tc>
      </w:tr>
      <w:tr w14:paraId="20AABA41">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77EB86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BB6ADA">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DF3303E">
            <w:pPr>
              <w:jc w:val="left"/>
              <w:rPr>
                <w:color w:val="auto"/>
                <w:highlight w:val="none"/>
              </w:rPr>
            </w:pPr>
            <w:r>
              <w:rPr>
                <w:rFonts w:ascii="宋体;SimSun" w:hAnsi="宋体;SimSun" w:eastAsia="宋体;SimSun" w:cs="宋体;SimSun"/>
                <w:color w:val="auto"/>
                <w:sz w:val="20"/>
                <w:szCs w:val="20"/>
                <w:highlight w:val="none"/>
              </w:rPr>
              <w:t>O</w:t>
            </w:r>
            <w:r>
              <w:rPr>
                <w:rFonts w:ascii="宋体;SimSun" w:hAnsi="宋体;SimSun" w:eastAsia="宋体;SimSun" w:cs="宋体;SimSun"/>
                <w:color w:val="auto"/>
                <w:sz w:val="20"/>
                <w:szCs w:val="20"/>
                <w:highlight w:val="none"/>
                <w:vertAlign w:val="subscript"/>
              </w:rPr>
              <w:t>3</w:t>
            </w:r>
            <w:r>
              <w:rPr>
                <w:rFonts w:ascii="宋体;SimSun" w:hAnsi="宋体;SimSun" w:eastAsia="宋体;SimSun" w:cs="宋体;SimSun"/>
                <w:color w:val="auto"/>
                <w:sz w:val="20"/>
                <w:szCs w:val="20"/>
                <w:highlight w:val="none"/>
              </w:rPr>
              <w:t>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497A3D9">
            <w:pPr>
              <w:jc w:val="left"/>
              <w:rPr>
                <w:color w:val="auto"/>
                <w:highlight w:val="none"/>
              </w:rPr>
            </w:pPr>
            <w:r>
              <w:rPr>
                <w:rFonts w:ascii="宋体;SimSun" w:hAnsi="宋体;SimSun" w:eastAsia="宋体;SimSun" w:cs="宋体;SimSun"/>
                <w:color w:val="auto"/>
                <w:sz w:val="20"/>
                <w:szCs w:val="20"/>
                <w:highlight w:val="none"/>
              </w:rPr>
              <w:t>（1）设备用途：用于空气中臭氧浓度的监测。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（2）配置要求：含过滤滤膜等。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1）分析方法：紫外吸收光度法；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2）测量范围：0-500ppb；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3）零点噪声：≤0.1ppb；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4）量程噪声：≤1ppb；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5）最低检出限：≤0.2ppb；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6）示值误差：±1%F.S.；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7）20%量程精密度：≤1ppb；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8）80%量程精密度：≤2ppb；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9）24h零点漂移：±0.5ppb；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10）24h 20%量程漂移：±4ppb；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11）24h 80%量程漂移：±4ppb；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12）响应时间（上升/下降）：≤20s；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13）电压稳定性：±0.4%F.S.；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14）流量稳定性：≤±10%；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15）环境温度变化影响：≤0.2ppb/℃；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16）长期零点漂移（7d）：±0.5ppb；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17）长期量程漂移（7d）：±4ppb；</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18）水分干扰 (2% H</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O)：±0.15% 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19）NO</w:t>
            </w:r>
            <w:r>
              <w:rPr>
                <w:rFonts w:ascii="宋体;SimSun" w:hAnsi="宋体;SimSun" w:eastAsia="宋体;SimSun" w:cs="宋体;SimSun"/>
                <w:color w:val="auto"/>
                <w:sz w:val="20"/>
                <w:szCs w:val="20"/>
                <w:highlight w:val="none"/>
                <w:vertAlign w:val="subscript"/>
              </w:rPr>
              <w:t>2</w:t>
            </w:r>
            <w:r>
              <w:rPr>
                <w:rFonts w:ascii="宋体;SimSun" w:hAnsi="宋体;SimSun" w:eastAsia="宋体;SimSun" w:cs="宋体;SimSun"/>
                <w:color w:val="auto"/>
                <w:sz w:val="20"/>
                <w:szCs w:val="20"/>
                <w:highlight w:val="none"/>
              </w:rPr>
              <w:t>干扰（500ppb）：±0.15% F.S.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（4）产品性能要求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1）具有中文触摸式彩屏，方便查询、操作维护；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2）具备开机自检和运行自诊断功能；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3）可自动存储校准数据及报警信息；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4）支持一键查询与导出历史数据，包括浓度、关键参数（包括信号、流量、压力、温度、驱动电压）等信息；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5）具备RS232或RS485接口，支持软件系统升级；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6）具备光强衰减自检功能；</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7DA93FD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E63DB9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4DC96A">
            <w:pPr>
              <w:jc w:val="center"/>
              <w:rPr>
                <w:rFonts w:ascii="宋体;SimSun" w:hAnsi="宋体;SimSun" w:eastAsia="宋体;SimSun" w:cs="宋体;SimSun"/>
                <w:color w:val="auto"/>
                <w:sz w:val="20"/>
                <w:szCs w:val="20"/>
                <w:highlight w:val="none"/>
              </w:rPr>
            </w:pPr>
          </w:p>
        </w:tc>
      </w:tr>
      <w:tr w14:paraId="58DCA31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294C2C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92C779">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CE00C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UPS不间断电源</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6FE1932">
            <w:pPr>
              <w:jc w:val="left"/>
              <w:rPr>
                <w:color w:val="auto"/>
                <w:highlight w:val="none"/>
              </w:rPr>
            </w:pPr>
            <w:r>
              <w:rPr>
                <w:rFonts w:ascii="宋体;SimSun" w:hAnsi="宋体;SimSun" w:eastAsia="宋体;SimSun" w:cs="宋体;SimSun"/>
                <w:color w:val="auto"/>
                <w:sz w:val="20"/>
                <w:szCs w:val="20"/>
                <w:highlight w:val="none"/>
              </w:rPr>
              <w:t>（1）主机功率6KVA；</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（2）输入电压范围:110～160V；</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（3）输出电压：208/220/230/240V±1%；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（4）报警功能：电池低压、市电异常、UPS故障、输出过载、输出短路；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（5）保护功能：电池欠压保护、过载保护、短路保护、过温保护、输入过压保护。</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7A4A25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E224D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9F9D30">
            <w:pPr>
              <w:jc w:val="center"/>
              <w:rPr>
                <w:rFonts w:ascii="宋体;SimSun" w:hAnsi="宋体;SimSun" w:eastAsia="宋体;SimSun" w:cs="宋体;SimSun"/>
                <w:color w:val="auto"/>
                <w:sz w:val="20"/>
                <w:szCs w:val="20"/>
                <w:highlight w:val="none"/>
              </w:rPr>
            </w:pPr>
          </w:p>
        </w:tc>
      </w:tr>
      <w:tr w14:paraId="0DF8D913">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F6CBF1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2F1E8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E0032D3">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工控机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3B63D8C">
            <w:pPr>
              <w:jc w:val="left"/>
              <w:rPr>
                <w:color w:val="auto"/>
                <w:highlight w:val="none"/>
              </w:rPr>
            </w:pPr>
            <w:r>
              <w:rPr>
                <w:rFonts w:ascii="宋体;SimSun" w:hAnsi="宋体;SimSun" w:eastAsia="宋体;SimSun" w:cs="宋体;SimSun"/>
                <w:color w:val="auto"/>
                <w:sz w:val="20"/>
                <w:szCs w:val="20"/>
                <w:highlight w:val="none"/>
              </w:rPr>
              <w:t>主要技术参数要求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1）应能通过RS232、RS485通讯、有线网络、无线网络(含4G等)多种通讯方式，实现与分析仪器连接并采集仪器的测量结果和工作状态；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2）软件每个采集定时器的周期与每个分析仪器测量周期应保持一致且一一对应，并且软件采集周期可设；</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3）应内置多种国内外通讯协议（“HJ 212-2017污染物在线监控（监测）系统数据传输标准”、Modbus等协议），兼容各类环境监测分析仪器；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4）应不少于8个串口；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5）停电后应长期保存系统设置参数，电源恢复后可自动启动，进入工作状态；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6）全面支持网络通讯：可以支持有线网络、无线网络(含4G等)多种通讯方式，所有具有数字通讯功能的设备均实现了远程网络通讯；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7）系统稳定性：整套软件运行于Windows系统之上，确保系统的稳定和安全；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8）系统安全性：数据采用加密传输和严格的权限控制，身份认证，确保系统不受内部和外来的安全威胁；</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（3）软件功能要求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1）数据上传：数据上传握手机制与断点续传机制，支持监测站点多通道监测数据上传（一点多发模式）；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2）系统报警：系统应灵活设置各种报警方式；应远程显示现场工作状态、仪器设备故障自动报警、异常值自动报警，并能将报警信号自动发送至监控中心；</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3）设备控制：操作人员可在现场对设备进行校零、校标等操作或结合中心端软硬件平台远程对设备进行校零、校标等操作；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4）数据存储：系统应实时存储保存一年以上实时数据及小时均值；</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5）用户管理：系统具备严格的用户管理和权限控制功能；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6）数据备份：数据应实现异地备份与恢复；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7）数据输出：数据采集与传输应支持数字量和模拟量输出，其中模拟量采集值与测量值误差≤1%（满量程）；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8）应具备测量数据及实时状态的查询功能，按需要进行各种方式的数据查询；数采软件应可正确显示分析仪测定的数据；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9）数据一致性：数采软件显示的监测数据对应的监测数据应与监测仪历史数据显示一致；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10）时间一致性：数采软件须具备时间校准功能，保证任何时段检查所有分析设备时间与标准北京时间差距不超过3s；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11）应具备数据查询功能，不仅能查询一定时间段的历史数据，而且能查询5分钟均值、小时均值，并且配有形象的图形显示，便于用户了解各个参数随时间的变化趋势；</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12）仪器数据补遗：支持将测量仪器数据补遗到数采软件，防止数据缺失；</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13）仪器参数：支持将测量仪器参数（温度、压力、流量等参数）采集到数采软件，并上传给数据中心平台，需支持关键参数预警功能，临近报警限值需及时产生提醒信息；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14）平台补遗：在数据中心平台缺失数据情况下，应下发补遗命令给数采软件，补遗缺失数据。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（4）数据采集工控机硬件要求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1）CPU主频≥3GHz；</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2）内存大小≥2G；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3）硬盘容量≥500G；</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4）串口情况：类型为RS232、数量≥6个。</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2357D0C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06BDD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E3DFC5">
            <w:pPr>
              <w:jc w:val="center"/>
              <w:rPr>
                <w:rFonts w:ascii="宋体;SimSun" w:hAnsi="宋体;SimSun" w:eastAsia="宋体;SimSun" w:cs="宋体;SimSun"/>
                <w:color w:val="auto"/>
                <w:sz w:val="20"/>
                <w:szCs w:val="20"/>
                <w:highlight w:val="none"/>
              </w:rPr>
            </w:pPr>
          </w:p>
        </w:tc>
      </w:tr>
      <w:tr w14:paraId="32CB4D47">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7D19C03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0F2C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ED80DF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交换机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8FDF54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24口全千兆交换机，供电方式：可插拔电源，端口数量：24个，上行端口速率：千兆；下行端口速率：千兆</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30190E8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B51853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C53DD7">
            <w:pPr>
              <w:jc w:val="center"/>
              <w:rPr>
                <w:rFonts w:ascii="宋体;SimSun" w:hAnsi="宋体;SimSun" w:eastAsia="宋体;SimSun" w:cs="宋体;SimSun"/>
                <w:color w:val="auto"/>
                <w:sz w:val="20"/>
                <w:szCs w:val="20"/>
                <w:highlight w:val="none"/>
              </w:rPr>
            </w:pPr>
          </w:p>
        </w:tc>
      </w:tr>
      <w:tr w14:paraId="3FED1724">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C876C4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085BEE">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3B06C3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稳压电源</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C6681F5">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可以最大程度保持输入电压的稳定，保持电源输出的电压恒定，为站点所有设备和工控机数据采集系统等提供稳定电源。</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303623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888BA4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F53153">
            <w:pPr>
              <w:jc w:val="center"/>
              <w:rPr>
                <w:rFonts w:ascii="宋体;SimSun" w:hAnsi="宋体;SimSun" w:eastAsia="宋体;SimSun" w:cs="宋体;SimSun"/>
                <w:color w:val="auto"/>
                <w:sz w:val="20"/>
                <w:szCs w:val="20"/>
                <w:highlight w:val="none"/>
              </w:rPr>
            </w:pPr>
          </w:p>
        </w:tc>
      </w:tr>
      <w:tr w14:paraId="5264474B">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2A6A31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AFB991">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36B66F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机柜</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94E2A6E">
            <w:pPr>
              <w:jc w:val="left"/>
              <w:rPr>
                <w:color w:val="auto"/>
                <w:highlight w:val="none"/>
              </w:rPr>
            </w:pPr>
            <w:r>
              <w:rPr>
                <w:rFonts w:ascii="宋体;SimSun" w:hAnsi="宋体;SimSun" w:eastAsia="宋体;SimSun" w:cs="宋体;SimSun"/>
                <w:color w:val="auto"/>
                <w:sz w:val="20"/>
                <w:szCs w:val="20"/>
                <w:highlight w:val="none"/>
              </w:rPr>
              <w:t>（1）机柜有接地孔线，所有的连接管线、接头等应采用防腐材质，不与被测污染物发生化学反应；</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（2）机柜应方便拆卸仪器与清洗仪器内部管路，机柜有可固定电缆线路的专用位置；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（3）采用立式机柜，可容纳本次采购的所有仪器包括其他的配套设备，散热性能良好。</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0B943D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D3F1C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059CA2">
            <w:pPr>
              <w:jc w:val="center"/>
              <w:rPr>
                <w:rFonts w:ascii="宋体;SimSun" w:hAnsi="宋体;SimSun" w:eastAsia="宋体;SimSun" w:cs="宋体;SimSun"/>
                <w:color w:val="auto"/>
                <w:sz w:val="20"/>
                <w:szCs w:val="20"/>
                <w:highlight w:val="none"/>
              </w:rPr>
            </w:pPr>
          </w:p>
        </w:tc>
      </w:tr>
      <w:tr w14:paraId="07C4E43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18A16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191F9">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255A4D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采样系统</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514A65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（1）采样装置：垂直层流式采样总管；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（2）采样头：防止雨水和粗大的颗粒物落入总管，同时避免鸟类、小动物和大型昆虫进入总管。采样头的设计保证采样气流不受风向影响，稳定进入总管；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（3）采样总管：总管内径范围在1.5-15cm，采样总管内的气流保持层流状态，采样气体在总管内的滞留时间小于20s，各支管接头之间间隔距离大于8cm；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（4）管线外壁加装保温套或加热器，加热温度控制在30℃~100℃；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（5）制作材料：不锈钢内衬聚四氟乙烯；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（6）样品相对湿度：≤80%；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（7）雷诺数&lt;2000。</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FAC7E8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E125C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E8D92">
            <w:pPr>
              <w:jc w:val="center"/>
              <w:rPr>
                <w:rFonts w:ascii="宋体;SimSun" w:hAnsi="宋体;SimSun" w:eastAsia="宋体;SimSun" w:cs="宋体;SimSun"/>
                <w:color w:val="auto"/>
                <w:sz w:val="20"/>
                <w:szCs w:val="20"/>
                <w:highlight w:val="none"/>
              </w:rPr>
            </w:pPr>
          </w:p>
        </w:tc>
      </w:tr>
      <w:tr w14:paraId="1A30BD1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66177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1A72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86C065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路由器</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8B16D1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千兆高速路由器，网口数量4个，FEM信号放大器数量4个。空间流数：8条。</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2B4AFB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24C51D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70F4F3">
            <w:pPr>
              <w:jc w:val="center"/>
              <w:rPr>
                <w:rFonts w:ascii="宋体;SimSun" w:hAnsi="宋体;SimSun" w:eastAsia="宋体;SimSun" w:cs="宋体;SimSun"/>
                <w:color w:val="auto"/>
                <w:sz w:val="20"/>
                <w:szCs w:val="20"/>
                <w:highlight w:val="none"/>
              </w:rPr>
            </w:pPr>
          </w:p>
        </w:tc>
      </w:tr>
      <w:tr w14:paraId="5239CDFB">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1ECBABCB">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五、地表水监测站</w:t>
            </w:r>
          </w:p>
        </w:tc>
      </w:tr>
      <w:tr w14:paraId="586EB38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0096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C7F0A">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6DF64">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B59D4">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316BB">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EE159">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7082D">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1EF9C7C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9494F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2E83D6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数智化一体化集装箱站房，含安装调试（pH、水温、电导率、浊度、溶解氧、COD、挥发酚水质指标）</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896A6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五参数分析仪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C250A7E">
            <w:pPr>
              <w:jc w:val="left"/>
              <w:rPr>
                <w:color w:val="auto"/>
                <w:highlight w:val="none"/>
              </w:rPr>
            </w:pPr>
            <w:r>
              <w:rPr>
                <w:rFonts w:ascii="宋体;SimSun" w:hAnsi="宋体;SimSun" w:eastAsia="宋体;SimSun" w:cs="宋体;SimSun"/>
                <w:color w:val="auto"/>
                <w:sz w:val="20"/>
                <w:szCs w:val="20"/>
                <w:highlight w:val="none"/>
              </w:rPr>
              <w:t>（1）水温</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1）测定原理：热电阻或热电偶法；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2）量程：0℃～60℃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3）测量误差：±0.5℃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（2）pH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1）测定原理：玻璃电极法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2）量程：pH0～14</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3）漂移（pH=4、7、9）：±0.1pH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4）重复性：±0.1pH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5）响应时间：≤30s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6）温度补偿精度：±0.1pH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（3）溶解氧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1）测定原理：电极法或荧光法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2）量程：0～20mg/L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3）零点漂移：±0.3mg/L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4）量程漂移：±0.3mg/L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5）重复性误差：±0.3mg/L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6）响应时间：≤120s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7）温度补偿精度：±0.3mg/L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（4）电导率</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1）测定原理：电极法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2）量程：0～500mS/m</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3）重复性误差：±1%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4）零点漂移：±1%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5）量程漂移：±1%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6）响应时间：≤30s</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7）温度补偿精度：±1%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（5）浊度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1）测定原理：光散射法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 xml:space="preserve">2）量程：0～1000NTU </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3）重复性误差：±5%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4）零点漂移：±3%</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5）量程漂移：±5%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6）线性误差：±5%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1、自动质控周核查：系统可手动或按照设定周期自动运行质控核查流程，核查浓度方案依照地表水监测规范，且覆盖多个浓度；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2、自动标定：系统可手动或按照设定周期自动运行标定流程，并可在核查不通过时触发自动标定；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3、实时工作状态监控：设备实时更新当前运行状态，包含：空闲、五参数测量、五参数核查、五参数标定；并上传水站控制系统；</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4、关键部件健康信息：五参数电极、器件使用时长信息记录，辅助运维备件替换提醒；</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5、关键参数信息记录：设备实时更新并读取五参数仪表的关键参数信息，包含：测量信号值，标液、核查液浓度，版本信息等过程监测信息。</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4D36D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F82BD0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2FCFBA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195D1CDF">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154C62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F696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A4172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高锰酸盐指数</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D76C32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测量原理 高锰酸钾氧化法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测量范围 (0～20) mg/L；量程可以根据客户需求定制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重复性误差 ≤1%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零点漂移 ≤1.5%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量程漂移 ≤1.5%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葡萄糖试验 ±1.5%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环境温度影响 ±5%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最小维护周期 ≥168h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有效数据率 ≥90%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一致性 ≥90%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MTBF ≥720h/次</w:t>
            </w:r>
          </w:p>
          <w:p w14:paraId="2C5B089E">
            <w:pPr>
              <w:jc w:val="left"/>
              <w:rPr>
                <w:color w:val="auto"/>
                <w:highlight w:val="none"/>
              </w:rPr>
            </w:pPr>
            <w:r>
              <w:rPr>
                <w:rFonts w:ascii="宋体;SimSun" w:hAnsi="宋体;SimSun" w:eastAsia="宋体;SimSun" w:cs="宋体;SimSun"/>
                <w:color w:val="auto"/>
                <w:sz w:val="20"/>
                <w:szCs w:val="20"/>
                <w:highlight w:val="none"/>
              </w:rPr>
              <w:t>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6、远程维护与诊断：远程控制指令和关键参数设置和上传，满足更加精准和细化的远程维护需求。</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7C51582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CD1C2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2EDBF0">
            <w:pPr>
              <w:jc w:val="center"/>
              <w:rPr>
                <w:rFonts w:ascii="宋体;SimSun" w:hAnsi="宋体;SimSun" w:eastAsia="宋体;SimSun" w:cs="宋体;SimSun"/>
                <w:color w:val="auto"/>
                <w:sz w:val="20"/>
                <w:szCs w:val="20"/>
                <w:highlight w:val="none"/>
              </w:rPr>
            </w:pPr>
          </w:p>
        </w:tc>
      </w:tr>
      <w:tr w14:paraId="32FDB7C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5A8419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EF67F">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6765E5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氨氮分析仪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596BA6F">
            <w:pPr>
              <w:jc w:val="left"/>
              <w:rPr>
                <w:color w:val="auto"/>
                <w:highlight w:val="none"/>
              </w:rPr>
            </w:pPr>
            <w:r>
              <w:rPr>
                <w:rFonts w:ascii="宋体;SimSun" w:hAnsi="宋体;SimSun" w:eastAsia="宋体;SimSun" w:cs="宋体;SimSun"/>
                <w:color w:val="auto"/>
                <w:sz w:val="20"/>
                <w:szCs w:val="20"/>
                <w:highlight w:val="none"/>
              </w:rPr>
              <w:t>测量原理 水杨酸分光光度法或纳氏试剂分光光度法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测量范围 （0-10）mg/L；量程可以根据客户需求定制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24h低浓度漂移 ≤0.01mg/L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24h高浓度漂移 ≤1%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示值误差 标液浓度为2.0mg/L时：±8%；标液浓度为5.0mg/L时：±5%；标液浓度为8.0mg/L时：±3%</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重复性 ≤0.5%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定量下限 ≤0.15mg/L</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电压稳定性 ±5%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pH影响 ±6%</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最小维护周期 ≥168h</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有效数据率 ≥90%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一致性 ≥90%</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MTBF ≥720h/次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实际水样比对试验 水样浓度&lt;2.0mg/L：绝对误差≤0.2mg/L；水样浓度≥2.0mg/L：相对误差≤10%</w:t>
            </w:r>
          </w:p>
          <w:p w14:paraId="0401912D">
            <w:pPr>
              <w:jc w:val="left"/>
              <w:rPr>
                <w:color w:val="auto"/>
                <w:highlight w:val="none"/>
              </w:rPr>
            </w:pPr>
            <w:r>
              <w:rPr>
                <w:rFonts w:ascii="宋体;SimSun" w:hAnsi="宋体;SimSun" w:eastAsia="宋体;SimSun" w:cs="宋体;SimSun"/>
                <w:color w:val="auto"/>
                <w:sz w:val="20"/>
                <w:szCs w:val="20"/>
                <w:highlight w:val="none"/>
              </w:rPr>
              <w:t>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6、远程维护与诊断：远程控制指令和关键参数设置和上传，满足更加精准和细化的远程维护需求。</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0A8E77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E3319B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5262CA">
            <w:pPr>
              <w:jc w:val="center"/>
              <w:rPr>
                <w:rFonts w:ascii="宋体;SimSun" w:hAnsi="宋体;SimSun" w:eastAsia="宋体;SimSun" w:cs="宋体;SimSun"/>
                <w:color w:val="auto"/>
                <w:sz w:val="20"/>
                <w:szCs w:val="20"/>
                <w:highlight w:val="none"/>
              </w:rPr>
            </w:pPr>
          </w:p>
        </w:tc>
      </w:tr>
      <w:tr w14:paraId="479355EE">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1326404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5C137">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F0D81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总磷分析仪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2A38F3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测定原理：钼酸铵分光光度法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量程：0～10mg/L ；量程可以根据客户需求定制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零点漂移：±1%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直线性：±2%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重复性误差：±1%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电压稳定性：±2%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实际水样比对试验：±10%</w:t>
            </w:r>
          </w:p>
          <w:p w14:paraId="62B7A3A3">
            <w:pPr>
              <w:jc w:val="left"/>
              <w:rPr>
                <w:color w:val="auto"/>
                <w:highlight w:val="none"/>
              </w:rPr>
            </w:pPr>
            <w:r>
              <w:rPr>
                <w:rFonts w:ascii="宋体;SimSun" w:hAnsi="宋体;SimSun" w:eastAsia="宋体;SimSun" w:cs="宋体;SimSun"/>
                <w:color w:val="auto"/>
                <w:sz w:val="20"/>
                <w:szCs w:val="20"/>
                <w:highlight w:val="none"/>
              </w:rPr>
              <w:t>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6、远程维护与诊断：远程控制指令和关键参数设置和上传，满足更加精准和细化的远程维护需求。</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2B669D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E60203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132F1B">
            <w:pPr>
              <w:jc w:val="center"/>
              <w:rPr>
                <w:rFonts w:ascii="宋体;SimSun" w:hAnsi="宋体;SimSun" w:eastAsia="宋体;SimSun" w:cs="宋体;SimSun"/>
                <w:color w:val="auto"/>
                <w:sz w:val="20"/>
                <w:szCs w:val="20"/>
                <w:highlight w:val="none"/>
              </w:rPr>
            </w:pPr>
          </w:p>
        </w:tc>
      </w:tr>
      <w:tr w14:paraId="7AEAB664">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D9518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D4C982">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39F9B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总氮分析仪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5B2B4C1">
            <w:pPr>
              <w:jc w:val="left"/>
              <w:rPr>
                <w:color w:val="auto"/>
                <w:highlight w:val="none"/>
              </w:rPr>
            </w:pPr>
            <w:r>
              <w:rPr>
                <w:rFonts w:ascii="宋体;SimSun" w:hAnsi="宋体;SimSun" w:eastAsia="宋体;SimSun" w:cs="宋体;SimSun"/>
                <w:color w:val="auto"/>
                <w:sz w:val="20"/>
                <w:szCs w:val="20"/>
                <w:highlight w:val="none"/>
              </w:rPr>
              <w:t>技术指标要求：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测定原理：碱性过硫酸钾氧化-紫外分光光度法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量程：0～50mg/L ；量程可以根据客户需求定制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零点漂移：±1%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量程漂移：±1%</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直线性：±2%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重复性误差：±2%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电压稳定性：±2%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实际水样比对试验：±10%</w:t>
            </w:r>
          </w:p>
          <w:p w14:paraId="16C8F4D4">
            <w:pPr>
              <w:jc w:val="left"/>
              <w:rPr>
                <w:color w:val="auto"/>
                <w:highlight w:val="none"/>
              </w:rPr>
            </w:pPr>
            <w:r>
              <w:rPr>
                <w:rFonts w:ascii="宋体;SimSun" w:hAnsi="宋体;SimSun" w:eastAsia="宋体;SimSun" w:cs="宋体;SimSun"/>
                <w:color w:val="auto"/>
                <w:sz w:val="20"/>
                <w:szCs w:val="20"/>
                <w:highlight w:val="none"/>
              </w:rPr>
              <w:t>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1、关键器件自检：具有关键部件状态自检功能，当启动器件自检流程时，设备可以对关键部件的运行状态进行诊断，给出预防和维护提示。同时也可支持远程反控进行器件自检，并上报自检结果。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故障诊断：当仪表发生故障报警时，及时中止流程，并提示和上报故障信息；当发生维护类告警时，仪表可以根据告警情况，启动自诊断流程进行报警恢复或诊断告警原因。例如试剂、纯水未抽取到报警、标定异常报警、信号调整异常报警、测量值异常等报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3、器件健康监测：具备关键器件和主要耗材的运行时长统计功能，指导运维人员合理进行备件准备和更换。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4、试剂余量及有效期监测：自动计算各试剂余量、保质期信息，当试剂余量不足或质保期不足时，进行提示，并可支持试剂信息上传。</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5、日质控异常预警：可设定零点核查、跨度核查、标液核查浓度及预警范围，当核查结果超过预警范围时，发出预警提示，并自动启动校准流程，重新进行核查。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6、远程维护与诊断：远程控制指令和关键参数设置和上传，满足更加精准和细化的远程维护需求。</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46822A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48C9AE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69D5CB">
            <w:pPr>
              <w:jc w:val="center"/>
              <w:rPr>
                <w:rFonts w:ascii="宋体;SimSun" w:hAnsi="宋体;SimSun" w:eastAsia="宋体;SimSun" w:cs="宋体;SimSun"/>
                <w:color w:val="auto"/>
                <w:sz w:val="20"/>
                <w:szCs w:val="20"/>
                <w:highlight w:val="none"/>
              </w:rPr>
            </w:pPr>
          </w:p>
        </w:tc>
      </w:tr>
      <w:tr w14:paraId="34C1B1F5">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A51A33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F55DA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11D840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挥发酚分析仪</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A64A75D">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测量原理：4-氨基安替比林分光光度法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测量范围：0-1mg/L，量程可以根据客户需求定制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重复性：≤3%</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零点漂移：±5%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量程漂移：±5%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MTBF：≥720h/次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电压稳定性：±5%</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实际水样比对：±10%</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10C09D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台</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4F7265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44218">
            <w:pPr>
              <w:jc w:val="center"/>
              <w:rPr>
                <w:rFonts w:ascii="宋体;SimSun" w:hAnsi="宋体;SimSun" w:eastAsia="宋体;SimSun" w:cs="宋体;SimSun"/>
                <w:color w:val="auto"/>
                <w:sz w:val="20"/>
                <w:szCs w:val="20"/>
                <w:highlight w:val="none"/>
              </w:rPr>
            </w:pPr>
          </w:p>
        </w:tc>
      </w:tr>
      <w:tr w14:paraId="61A6A714">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16BEC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667E0">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2B694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采水单元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7512590">
            <w:pPr>
              <w:jc w:val="left"/>
              <w:rPr>
                <w:color w:val="auto"/>
                <w:highlight w:val="none"/>
              </w:rPr>
            </w:pPr>
            <w:r>
              <w:rPr>
                <w:rFonts w:ascii="宋体;SimSun" w:hAnsi="宋体;SimSun" w:eastAsia="宋体;SimSun" w:cs="宋体;SimSun"/>
                <w:color w:val="auto"/>
                <w:sz w:val="20"/>
                <w:szCs w:val="20"/>
                <w:highlight w:val="none"/>
              </w:rPr>
              <w:t>采水单元的基本功能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采水单元结合现场水文、地质条件确定合适的采水方式，应符合《地表水和污水监测技术规范》(HJ/T 91-2002)和《关于加快推进国家地表水水质自动站建设工作的通知》（环办监测函[2017］1762号）的附件《国家地表水水质自动监测站站房及采水技术要求》，应保证运行的稳定性、水样的代表性、维护的方便性。</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①采水单元一般须包括采水构筑物、采水泵、采水管道、清洗配套装置、防堵塞装置和保温配套装置。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②采水装置的吸水口应设在水下0.5～1米范围内，并能够随水位变化适时调整位置，同时与水体底部保持足够的距离，防止底部淤泥对采样水质的影响。做到既能保证采集到具有代表性的水样，又能保证采样单元能连续正常运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③采水系统具备双泵/双管路轮换功能，配置双泵/双管路采水，一备一用；可进行自动或手动切换，满足实时不间断监测的要求。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④采水管道具备防冻与保温功能，采水管道配置防冻保温装置，以减少环境温度等因素对水样造成影响。</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⑤采水管道材质具有足够的强度，可以承受内压，且使用年限长、性能可靠、具有极好的化学稳定性，不与水样中被测物产生物理和化学反应，避免污染水样。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⑥采水管道具有防意外堵塞和方便泥沙沉积后的清洗功能，其管路采用可拆洗式，并装有活接头，易于拆卸和清洗。</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⑦采水管道有除藻和反冲洗设备，可以通过清洗水进行自动反冲洗。通过自动阀门切换可以将清洗水和高压振荡空气送至采样头，以消除采样头单向输水运行形成的淤泥，以防藻类生长、聚集和泥沙沉积，在藻类高发时采水单元配置专门防藻除藻结构。</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采水单元的智能化功能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①取水点摄像机可通过视频电子围栏监控取水头所处位置，当取水设施偏离视频围栏范围或存在非运维人员非法闯入时发出告警。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②可对原水泵运行状态进行实时监控，可识别水泵卡死、开路、空转及管路堵塞等异常情况，同时具备上水超时告警功能，提醒对取水头或管路进行预防性维护。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③)系统能记录并上传水泵状态、上水时间等关键参数和状态数据，可对取水过程进行溯源。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④可远程设置各项采水单元运行参数，支持远程控制调试。</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9BD03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8DB6C4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1C1869">
            <w:pPr>
              <w:jc w:val="center"/>
              <w:rPr>
                <w:rFonts w:ascii="宋体;SimSun" w:hAnsi="宋体;SimSun" w:eastAsia="宋体;SimSun" w:cs="宋体;SimSun"/>
                <w:color w:val="auto"/>
                <w:sz w:val="20"/>
                <w:szCs w:val="20"/>
                <w:highlight w:val="none"/>
              </w:rPr>
            </w:pPr>
          </w:p>
        </w:tc>
      </w:tr>
      <w:tr w14:paraId="08E9936F">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1F9D832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18EC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DADE4E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智能配水及预处理单元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FD4DFE4">
            <w:pPr>
              <w:jc w:val="left"/>
              <w:rPr>
                <w:color w:val="auto"/>
                <w:highlight w:val="none"/>
              </w:rPr>
            </w:pPr>
            <w:r>
              <w:rPr>
                <w:rFonts w:ascii="宋体;SimSun" w:hAnsi="宋体;SimSun" w:eastAsia="宋体;SimSun" w:cs="宋体;SimSun"/>
                <w:color w:val="auto"/>
                <w:sz w:val="20"/>
                <w:szCs w:val="20"/>
                <w:highlight w:val="none"/>
              </w:rPr>
              <w:t>配水及预处理单元的基本功能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配水及预处理单元由水样分配单元、预处理装置及管道等组成。可实现对分析仪器配水的功能，并具有自动反冲洗和自动除藻功能。预处理单元为不同分析仪器配备预处理装置，常规五参数水质自动分析仪器使用原水直接分析，根据国家标准分析方法要求对高锰酸盐指数、氨氮、总磷、总氮等分析仪器提供相应的预处理方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①配水管路设计合理，流向清晰，便于维护；保证仪器分析测试的水样应能代表断面水质情况并满足仪器测试需求。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②配水单元具备自动反冲洗功能，防止菌类和藻类等微生物对样品污染或对系统工作造成不良影响，设计中不使用对环境产生污染的清洗方法。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③配水主管路采用串联方式，各仪器之间管路采用并联方式，每台仪器从各自的取样杯中取水，任何仪器的配水管路出现故障不能影响其他仪器的测试。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④具备可扩展功能，水站预留设备的接水口、排水口以及水样比对实验用的手动取水口。</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⑤能配合系统实现水样自动分配、自动预处理、故障自动报警、关键部件工作状态的显示和反控等功能。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⑥配水单元的所有操作均可通过控制单元实现，并接受平台端的远程控制；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⑦所选管材机械强度及化学稳定性好、使用寿命长、便于安装维护，不会对水样水质造成影响；管路内径、压力、流量、流速满足仪器分析需要，并留有余量。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配水及预处理单元的智能化功能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(1)系统具备63μm 过滤、沉降、旁路过滤等多种预处理方式，根据水体浊度情况自动调节预处理方式，满足高浊、富藻等复杂水体监测要求：a)系统具备跟随沉淀池浊度变化沉降模式，上清液浊度降至目标阈值时 30min 结束沉降，保证预处理的一致性；b)自然沉降期间，系统能对沉降效能进行预测，如预测上清液浊度在 30min内不能降至目标阈值则选择继续沉降至60min，或启用上清液旁路过滤二级预处理方式；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(2)沉淀池自清洁功能，减少人工维护频次；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(3)系统能记录原水浊度、预处理模式、沉降时间、沉降后浊度等信息，并采集沉淀池、可对预处理过程进行溯源；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(4)可远程设置预处理单元运行参数，支持远程控制调试。</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26296C9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A98D0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BF960A">
            <w:pPr>
              <w:jc w:val="center"/>
              <w:rPr>
                <w:rFonts w:ascii="宋体;SimSun" w:hAnsi="宋体;SimSun" w:eastAsia="宋体;SimSun" w:cs="宋体;SimSun"/>
                <w:color w:val="auto"/>
                <w:sz w:val="20"/>
                <w:szCs w:val="20"/>
                <w:highlight w:val="none"/>
              </w:rPr>
            </w:pPr>
          </w:p>
        </w:tc>
      </w:tr>
      <w:tr w14:paraId="1E2C3CB0">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585639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DDA8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3D9B1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质控单元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40B3DF0">
            <w:pPr>
              <w:jc w:val="left"/>
              <w:rPr>
                <w:color w:val="auto"/>
                <w:highlight w:val="none"/>
              </w:rPr>
            </w:pPr>
            <w:r>
              <w:rPr>
                <w:rFonts w:ascii="宋体;SimSun" w:hAnsi="宋体;SimSun" w:eastAsia="宋体;SimSun" w:cs="宋体;SimSun"/>
                <w:color w:val="auto"/>
                <w:sz w:val="20"/>
                <w:szCs w:val="20"/>
                <w:highlight w:val="none"/>
              </w:rPr>
              <w:t>基本功能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质控单元能够对高锰酸盐指数、氨氮、总磷、总氮水质分析仪器进行零点核查、跨度核查、多点线性测试、动态质控样测试、在线加标回收等质控工作，性能达到国家水站建设技术要求。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1、质控主要功能：开展原水样测试、自动多点线性核查、自动加标回收测试、盲样考核、零点、跨度核查等质控工作，并可远程控制触发；</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2、器件使用时长监测：具备关键器件和主要耗材的运行时长统计功能，指导运维人员合理进行备件准备和更换。</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a.支持记录设备工作时长（隔膜泵、气泵），可设置关键器件运行时长和更换后运行时长置零；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b.支持记录柱塞泵运行次数、夹管阀、电磁阀组、电磁阀的运行次数；可设置柱塞泵、夹管阀、电磁阀组及三通电磁阀运行次数值和运行次数置零；</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c.支持记录水样管、储液环更换时间，质控可自动记录使用时长（天）；</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b.当器件或耗材运行次数或时长即将到达设定阈值时，在软件界面进行警示。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3、试剂余量及有效期监测：记录母液的余量监控功能；可记录试剂的更换时间、保质期信息功能；当试剂余量不足或临期可及时推送更换提醒。</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D4806A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750CC3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7B6360">
            <w:pPr>
              <w:jc w:val="center"/>
              <w:rPr>
                <w:rFonts w:ascii="宋体;SimSun" w:hAnsi="宋体;SimSun" w:eastAsia="宋体;SimSun" w:cs="宋体;SimSun"/>
                <w:color w:val="auto"/>
                <w:sz w:val="20"/>
                <w:szCs w:val="20"/>
                <w:highlight w:val="none"/>
              </w:rPr>
            </w:pPr>
          </w:p>
        </w:tc>
      </w:tr>
      <w:tr w14:paraId="70FA2127">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4C079F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D4F827">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E43A74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留样单元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E2B2CE0">
            <w:pPr>
              <w:jc w:val="left"/>
              <w:rPr>
                <w:color w:val="auto"/>
                <w:highlight w:val="none"/>
              </w:rPr>
            </w:pPr>
            <w:r>
              <w:rPr>
                <w:rFonts w:ascii="宋体;SimSun" w:hAnsi="宋体;SimSun" w:eastAsia="宋体;SimSun" w:cs="宋体;SimSun"/>
                <w:color w:val="auto"/>
                <w:sz w:val="20"/>
                <w:szCs w:val="20"/>
                <w:highlight w:val="none"/>
              </w:rPr>
              <w:t>（1）具备水样冷藏功能，温度在4±2℃。</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（2）留样瓶数≥12个。</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（3）留样瓶由惰性材料制成，易清洗，容量在500mL以上。</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（4）留样瓶具有密封功能。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（5）具有留样后自动排空的功能。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（6）配置门禁系统。</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（7）具有留样失败报警功能。</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854BB6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D040B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52C0C3">
            <w:pPr>
              <w:jc w:val="center"/>
              <w:rPr>
                <w:rFonts w:ascii="宋体;SimSun" w:hAnsi="宋体;SimSun" w:eastAsia="宋体;SimSun" w:cs="宋体;SimSun"/>
                <w:color w:val="auto"/>
                <w:sz w:val="20"/>
                <w:szCs w:val="20"/>
                <w:highlight w:val="none"/>
              </w:rPr>
            </w:pPr>
          </w:p>
        </w:tc>
      </w:tr>
      <w:tr w14:paraId="71DA4D0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D2AAA4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C7D9BC">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72A82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控制单元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0F7A033">
            <w:pPr>
              <w:jc w:val="left"/>
              <w:rPr>
                <w:color w:val="auto"/>
                <w:highlight w:val="none"/>
              </w:rPr>
            </w:pPr>
            <w:r>
              <w:rPr>
                <w:rFonts w:ascii="宋体;SimSun" w:hAnsi="宋体;SimSun" w:eastAsia="宋体;SimSun" w:cs="宋体;SimSun"/>
                <w:color w:val="auto"/>
                <w:sz w:val="20"/>
                <w:szCs w:val="20"/>
                <w:highlight w:val="none"/>
              </w:rPr>
              <w:t>控制单元对采水单元、配水及预处理单元、分析单元、辅助单元等进行控制，并实现数据采集与传输功能，保证系统连续、可靠和安全运行。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主要基本功能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（1）具有仪器及系统运行周期（连续或间歇）设置功能，至少具备常规、应急、质控、维护等多种运行模式；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（2）能够实现对高锰酸盐指数、氨氮、总磷和总氮等水质自动分析仪器进行自动标样核查、自动加标回收率核查、自动零点核查、自动跨度核查等质控功能；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（3）具有异常信息记录和上传功能，如采水故障、部件故障、超量程报警、超标报警、缺试剂报警等信息；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（4）具备仪器关键参数实时上传功能，关键参数至少包含量程上限、校准系数、工作曲线、测试信号值等；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（5）接受远程控制指令，能够通过远程平台进行启动采水、测试、模式切换、仪表校准、校时、质控等操作；</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（6）具备断电再度通电后自动排空、自动清洗管路、自动复位到待机状态的功能；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（7）控制单元须具有三级管理权限；</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（8）系统具有良好的扩展性和兼容性，根据实际应用需要，可增加新的监测参数，并方便仪器安装与接入；</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（9）具备单点控制功能，能够对单一控制点（阀、泵等）进行调试；</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（10）具备对自动分析仪器的启停、校时、校准、质控测试等控制功能；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（11）能够设置数据超标阈值，具备超标留样控制功能；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（12）具备参数设置功能，能够对小数位、单位、仪器测定上下限、报警（超标）上下限等参数进行设置。</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控制单元，作为智能化水站本地数据采集、分析处理、传输的核心部件，通过升级的智能化水站软件，扩展接入仪表、动环、传感器等设备数据，并对设备状态、系统运行状态进行实时监控，实现自动化运行、智能质控、智能巡检、故障分析及预警、部件健康信息、运行日志记录、平台反控执行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基于智能巡检，可减少人员运维频次及时间；增加动环监测单元、视频监控系统，基于硬件监测及视频监控识别，梳理分模块智能巡检业务逻辑，完成水站运行自动巡检，记录分模块巡检结果，上传平台。并可自动生成智能巡检报告。</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47F552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EC3AEE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8FE70">
            <w:pPr>
              <w:jc w:val="center"/>
              <w:rPr>
                <w:rFonts w:ascii="宋体;SimSun" w:hAnsi="宋体;SimSun" w:eastAsia="宋体;SimSun" w:cs="宋体;SimSun"/>
                <w:color w:val="auto"/>
                <w:sz w:val="20"/>
                <w:szCs w:val="20"/>
                <w:highlight w:val="none"/>
              </w:rPr>
            </w:pPr>
          </w:p>
        </w:tc>
      </w:tr>
      <w:tr w14:paraId="2F011281">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3E031F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0E0E0D">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5F44AE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数据采集与传输单元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CD6DF5F">
            <w:pPr>
              <w:jc w:val="left"/>
              <w:rPr>
                <w:color w:val="auto"/>
                <w:highlight w:val="none"/>
              </w:rPr>
            </w:pPr>
            <w:r>
              <w:rPr>
                <w:rFonts w:ascii="宋体;SimSun" w:hAnsi="宋体;SimSun" w:eastAsia="宋体;SimSun" w:cs="宋体;SimSun"/>
                <w:color w:val="auto"/>
                <w:sz w:val="20"/>
                <w:szCs w:val="20"/>
                <w:highlight w:val="none"/>
              </w:rPr>
              <w:t>1数据采集与存储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（1）控制系统与仪表间的数据采集通讯符合《地表水自动监测仪器/系统通信协议技术要求（试行）》的规定；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（2）能够实时采集、存储自动分析仪器的周期数据、质控数据（空白测试数据、标样核查数据、加标回收率数据、故障信息、运行日志等内容及相对应的数据标识，可分类查询；存储周期不少于1年；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（3）能够采集系统各单元工作状态量，存储系统运行日志和报警信息，存储周期不少于1年；</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（4）具有导出、自动备份功能；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（5）能够实时采集视频信息并传输至指定平台；</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（6）具有断电保护功能，能够在断电时保存系统参数和历史数据，在来电时自动恢复系统。</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2数据传输与通讯</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（1）综合考虑采用有线、无线通讯方式满足数据传输要求；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（2）具备对通信链路的自动诊断功能，具备超时补发功能；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（3）系统通信接口和线路确保仪器、系统运行的监测数据和状态信息等稳定传输；</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（4）水质监测的数据上传至业主指定平台。</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36AA8DD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2CCCE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40AC1A">
            <w:pPr>
              <w:jc w:val="center"/>
              <w:rPr>
                <w:rFonts w:ascii="宋体;SimSun" w:hAnsi="宋体;SimSun" w:eastAsia="宋体;SimSun" w:cs="宋体;SimSun"/>
                <w:color w:val="auto"/>
                <w:sz w:val="20"/>
                <w:szCs w:val="20"/>
                <w:highlight w:val="none"/>
              </w:rPr>
            </w:pPr>
          </w:p>
        </w:tc>
      </w:tr>
      <w:tr w14:paraId="7747E0D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3EDE5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22A37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00E646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辅助单元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6964489">
            <w:pPr>
              <w:jc w:val="left"/>
              <w:rPr>
                <w:color w:val="auto"/>
                <w:highlight w:val="none"/>
              </w:rPr>
            </w:pPr>
            <w:r>
              <w:rPr>
                <w:rFonts w:ascii="宋体;SimSun" w:hAnsi="宋体;SimSun" w:eastAsia="宋体;SimSun" w:cs="宋体;SimSun"/>
                <w:color w:val="auto"/>
                <w:sz w:val="20"/>
                <w:szCs w:val="20"/>
                <w:highlight w:val="none"/>
              </w:rPr>
              <w:t>辅助单元包含UPS、稳压电源、试剂恒温单元、废液收集单元、防雷单元、空调、维护专用成套工具等部分，具体要求如下：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（1）配备UPS电源，总功率≥3KW；</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（2）配备稳压电源，总功率≥6KW；</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（3）保证分析仪器运行时所用的化学试剂处于 4±2℃低温保存；</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（4）配备废液收集单元，满足两周以上废液量的收集；</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（5）为保证系统稳定、可靠运行，具有电源、信号等设施的防雷措施；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（6）配冷暖空调，具有断电恢复自动启动功能，具备除湿功能；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（7）具备自动灭火装置，灭火材料须对人体和设备无害。</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智能化功能</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1、试剂冷藏温度监控：试剂箱具有冷藏温度监控功能，超温自动告警;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2、废液信息监控：实时记录监测因子的废液桶废液信息，并预警；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3、智能电表：记录并监控用电量，记录A、B、C相电压、电流，总有功功率电源供电信息等；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4、UPS电源：判断是否断电，以及备用电源的电量情况；记录供电类型、输入电压值、输出电压值；</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5、空调控制器：实现空调自动调整和节能匹配；可根据室内温度和月份季节情况，设定开关条件和温度范围，自动调节；记录空调状态、空调模式、空调运行时长；通过平台可远程空调模式设定、温度设定；</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6、水浸传感器：漏水监测；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7、烟雾传感器：烟雾监测，防火预警。</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C7CC8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258DCD2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10895D">
            <w:pPr>
              <w:jc w:val="center"/>
              <w:rPr>
                <w:rFonts w:ascii="宋体;SimSun" w:hAnsi="宋体;SimSun" w:eastAsia="宋体;SimSun" w:cs="宋体;SimSun"/>
                <w:color w:val="auto"/>
                <w:sz w:val="20"/>
                <w:szCs w:val="20"/>
                <w:highlight w:val="none"/>
              </w:rPr>
            </w:pPr>
          </w:p>
        </w:tc>
      </w:tr>
      <w:tr w14:paraId="3967BF9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A5F2E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4703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2AE0F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视频监控单元</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1DE910E">
            <w:pPr>
              <w:jc w:val="left"/>
              <w:rPr>
                <w:color w:val="auto"/>
                <w:highlight w:val="none"/>
              </w:rPr>
            </w:pPr>
            <w:r>
              <w:rPr>
                <w:rFonts w:ascii="宋体;SimSun" w:hAnsi="宋体;SimSun" w:eastAsia="宋体;SimSun" w:cs="宋体;SimSun"/>
                <w:color w:val="auto"/>
                <w:sz w:val="20"/>
                <w:szCs w:val="20"/>
                <w:highlight w:val="none"/>
              </w:rPr>
              <w:t>为了实现远程监视水质自动监测站进出情况，检查站内设备（采样分配单元，自动监测分析仪器、供电系统、数据采集及传输系统等）的整体情况，以及观察采水系统（取样水泵、浮球等）状况，观察水质自动监测站周边的水位、流量等水情情况，同时观察水质自动监测站站房、供电线路等周边的环境。水质自动监测站需要配备一套全面可靠的视频监控系统。监控点位布置如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一、视频监控点位一</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监控位置：站房仪器室</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二、视频监控点位二</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监控位置：站房外周围环境</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三、视频监控点位三</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监控位置：站房外取水口</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8D951A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FFB450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05CE43">
            <w:pPr>
              <w:jc w:val="center"/>
              <w:rPr>
                <w:rFonts w:ascii="宋体;SimSun" w:hAnsi="宋体;SimSun" w:eastAsia="宋体;SimSun" w:cs="宋体;SimSun"/>
                <w:color w:val="auto"/>
                <w:sz w:val="20"/>
                <w:szCs w:val="20"/>
                <w:highlight w:val="none"/>
              </w:rPr>
            </w:pPr>
          </w:p>
        </w:tc>
      </w:tr>
      <w:tr w14:paraId="60C9F22E">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74832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6F096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674535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数智化一体化监测站房</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F4BB97F">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1、遵守国家现行政策、法令及有关规范规程。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2、积极合理采用新技术、新材料、新设备，以达到合理、高效、经济、卫生、安全等要求。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3、注重环境保护，充分满足环保要求和噪声控制，采用低噪声设备。</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4、树立消防预防为主的意识，加强消防安全设计。</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5、根据站房功能要求，在充分满足使用功能的前提下，合理控制建筑装修标准，从而降低工程造价。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6、站房作为实验室进行规划设计，防火、防盗、防潮、防雷、防虫鼠害、防震、防酸碱、防腐蚀、通风等。防雷由专门部门完成，要求满足站房防雷、电源防雷、信号防雷。防震要求满足万分之一天平的使用要求。</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7、站房结构采用彩钢板或砖混结构，站房面积≥12.5平方米。站房满足操作人员方便地操作和维修仪器。</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8、站房外观美观大方，站房建筑风格与周边环境协调。</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3DDEDA7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72A627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65540F">
            <w:pPr>
              <w:jc w:val="center"/>
              <w:rPr>
                <w:rFonts w:ascii="宋体;SimSun" w:hAnsi="宋体;SimSun" w:eastAsia="宋体;SimSun" w:cs="宋体;SimSun"/>
                <w:color w:val="auto"/>
                <w:sz w:val="20"/>
                <w:szCs w:val="20"/>
                <w:highlight w:val="none"/>
              </w:rPr>
            </w:pPr>
          </w:p>
        </w:tc>
      </w:tr>
      <w:tr w14:paraId="74A47F24">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CA93E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DD266">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5B7B5A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附属设施建设、安装调试及验收</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233385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12.5平方小型水站接电、围栏、地基等基础设施建设、避雷系统建设、所有设备的安装调试、试运行、环保验收。</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4820AF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8000C1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5B978E">
            <w:pPr>
              <w:jc w:val="center"/>
              <w:rPr>
                <w:rFonts w:ascii="宋体;SimSun" w:hAnsi="宋体;SimSun" w:eastAsia="宋体;SimSun" w:cs="宋体;SimSun"/>
                <w:color w:val="auto"/>
                <w:sz w:val="20"/>
                <w:szCs w:val="20"/>
                <w:highlight w:val="none"/>
              </w:rPr>
            </w:pPr>
          </w:p>
        </w:tc>
      </w:tr>
      <w:tr w14:paraId="32D62BF9">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E0D9D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17</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1F931F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运维服务</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ABEDC7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2台地表水监测站运维</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36244A6">
            <w:pPr>
              <w:jc w:val="left"/>
              <w:rPr>
                <w:color w:val="auto"/>
                <w:highlight w:val="none"/>
              </w:rPr>
            </w:pPr>
            <w:r>
              <w:rPr>
                <w:rFonts w:ascii="宋体;SimSun" w:hAnsi="宋体;SimSun" w:eastAsia="宋体;SimSun" w:cs="宋体;SimSun"/>
                <w:color w:val="auto"/>
                <w:sz w:val="20"/>
                <w:szCs w:val="20"/>
                <w:highlight w:val="none"/>
              </w:rPr>
              <w:t>1.驳盐河入园断面和小丁港出园断面两个地表水水质监测站，监测因子：pH、溶解氧、电导率、水温、浊度、氨氮、总磷、总氮、高锰酸盐指数、挥发酚水质指标。一年运维所需的试剂、备品备件、配件耗材；日常站点及辅助系统的定期检修、保养；故障排除；自动监测数据分析、环境质量总结分析、超标预警及分析服务，形成环境质量月报、年报等日常运维服务；提供CMA实验室比对质控报告，每个季度一次。2</w:t>
            </w:r>
            <w:r>
              <w:rPr>
                <w:rFonts w:ascii="宋体;SimSun" w:hAnsi="宋体;SimSun" w:eastAsia="宋体;SimSun" w:cs="宋体;SimSun"/>
                <w:color w:val="auto"/>
                <w:szCs w:val="24"/>
                <w:highlight w:val="none"/>
              </w:rPr>
              <w:t>.包含电费、水费以及</w:t>
            </w:r>
            <w:r>
              <w:rPr>
                <w:rFonts w:ascii="宋体;SimSun" w:hAnsi="宋体;SimSun" w:cs="宋体;SimSun"/>
                <w:color w:val="auto"/>
                <w:highlight w:val="none"/>
              </w:rPr>
              <w:t>网络通讯费</w:t>
            </w:r>
            <w:r>
              <w:rPr>
                <w:rFonts w:ascii="宋体;SimSun" w:hAnsi="宋体;SimSun" w:eastAsia="宋体;SimSun" w:cs="宋体;SimSun"/>
                <w:color w:val="auto"/>
                <w:szCs w:val="24"/>
                <w:highlight w:val="none"/>
              </w:rPr>
              <w:t>。</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4C9879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年</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755BF0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010A65">
            <w:pPr>
              <w:jc w:val="center"/>
              <w:rPr>
                <w:rFonts w:ascii="宋体;SimSun" w:hAnsi="宋体;SimSun" w:eastAsia="宋体;SimSun" w:cs="宋体;SimSun"/>
                <w:color w:val="auto"/>
                <w:sz w:val="20"/>
                <w:szCs w:val="20"/>
                <w:highlight w:val="none"/>
              </w:rPr>
            </w:pPr>
          </w:p>
        </w:tc>
      </w:tr>
      <w:tr w14:paraId="66FB1C0F">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24F0D6A8">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六、大气溯源模型</w:t>
            </w:r>
          </w:p>
        </w:tc>
      </w:tr>
      <w:tr w14:paraId="4B80CCF7">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4F604E">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32DAE">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752F76">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服务名称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11D5B">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3943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B819F">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1988EC">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7F2E3035">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FFFB35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40FA753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驾驶舱</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A613A7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“一张图”系统</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08AFB2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对接智慧园区平台的综合可视化门户，为决策者提供一个宏观、直观、实时的大气溯源全景视图。展示各种相关图层效果。</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0AFA7F9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61ADBE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05C3F7D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4835DB7F">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CBF9F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0CE6E50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大气预警-溯源排查-管控处置模型软件</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D7D854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多模式智能预警</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A058974">
            <w:pPr>
              <w:jc w:val="left"/>
              <w:rPr>
                <w:color w:val="auto"/>
                <w:highlight w:val="none"/>
              </w:rPr>
            </w:pPr>
            <w:r>
              <w:rPr>
                <w:rFonts w:ascii="宋体;SimSun" w:hAnsi="宋体;SimSun" w:eastAsia="宋体;SimSun" w:cs="宋体;SimSun"/>
                <w:b/>
                <w:bCs/>
                <w:color w:val="auto"/>
                <w:sz w:val="20"/>
                <w:szCs w:val="20"/>
                <w:highlight w:val="none"/>
              </w:rPr>
              <w:t>对接智慧园区平台预警规则：</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（1）瞬时超标预警：监测值超过预设阈值（如地表水Ⅲ类标准）立即触发。</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（2）累积超标预警：在特定时间段内（如4小时），超标累计时长或频次达到设定值后触发。</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（3）突变预警：基于统计学方法，识别数据在短时间内的剧烈跃升，即便未超标也进行提示，有效捕捉偷排行为。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（4）趋势预警：利用时间序列预测模型，根据近期数据预测未来一段时间水质可能超标的趋势，实现事前预警。</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（5）分级预警与推送：预警分为不同等级，对应不同的响应时限和处置流程。预警信息通过平台消息、短信、工作群等多种渠道，自动推送给相应的值班人员、排查小组和管理负责人。</w:t>
            </w:r>
          </w:p>
          <w:p w14:paraId="38C53000">
            <w:pPr>
              <w:pStyle w:val="271"/>
              <w:rPr>
                <w:rFonts w:ascii="宋体;SimSun" w:hAnsi="宋体;SimSun" w:cs="宋体;SimSun"/>
                <w:color w:val="auto"/>
                <w:sz w:val="20"/>
                <w:highlight w:val="none"/>
              </w:rPr>
            </w:pPr>
            <w:r>
              <w:rPr>
                <w:rFonts w:ascii="宋体;SimSun" w:hAnsi="宋体;SimSun" w:cs="宋体;SimSun"/>
                <w:color w:val="auto"/>
                <w:sz w:val="20"/>
                <w:highlight w:val="none"/>
              </w:rPr>
              <w:t>（6）大气预警因子：包括上下风向标准站的VOCs组分（PAMs57种）以及走航监测因子（涉及115种VOCs组分）。阈值配置要求：有厂界标准的优先执行厂界标准；其他参照国内外有毒有害气体阈值或者根据结构毒性相关性类比设置。</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5F15AB5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77AFA1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D71066">
            <w:pPr>
              <w:jc w:val="center"/>
              <w:rPr>
                <w:rFonts w:ascii="宋体;SimSun" w:hAnsi="宋体;SimSun" w:eastAsia="宋体;SimSun" w:cs="宋体;SimSun"/>
                <w:color w:val="auto"/>
                <w:sz w:val="20"/>
                <w:szCs w:val="20"/>
                <w:highlight w:val="none"/>
              </w:rPr>
            </w:pPr>
          </w:p>
        </w:tc>
      </w:tr>
      <w:tr w14:paraId="15128BF8">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FD5210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C0BE94">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12C8B4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精准溯源分析模块</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39FB8E7">
            <w:pPr>
              <w:jc w:val="left"/>
              <w:rPr>
                <w:color w:val="auto"/>
                <w:highlight w:val="none"/>
              </w:rPr>
            </w:pPr>
            <w:r>
              <w:rPr>
                <w:rFonts w:ascii="宋体;SimSun" w:hAnsi="宋体;SimSun" w:eastAsia="宋体;SimSun" w:cs="宋体;SimSun"/>
                <w:color w:val="auto"/>
                <w:sz w:val="20"/>
                <w:szCs w:val="20"/>
                <w:highlight w:val="none"/>
              </w:rPr>
              <w:t>（1）对接智慧园区数据中台相关数据，启动模型分析，输出结果，在GIS地图进行可视化展示。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LPDM扩散溯源分析模型，通过计算气块群的运动轨迹，进而实现对大气物质的输送和扩散过程的模拟。同时支持能够历史溯源记录查询。基于污染预警等级信息，完成自动溯源分析。通过加载在线卫星地图和新材料科技园区重点关注企业及其排放烟气空间分布，叠加LPDM溯源模型模拟的污染气团轨迹，直观展现污染气团来向、所经过的污染企业和烟囱，并计算出污染气团所过企业和烟囱对站点监控数据的污染贡献。当某种污染因子浓度达到高预警等级，平台会启动该页面的自动溯源计算，在预警实时记录中，展示何种污染物，达到了什么级别预警；中间的地图会叠加气团轨迹，直观展示污染气团来源；潜在来源展示污染企业和烟囱的污染贡献度以及在底部显示污染企业和烟囱的数量。</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（3）对接智慧园区平台，溯源报告自动生成：溯源分析完成后，系统自动生成一份《大气溯源分析报告》，内容包括：事件描述、预警数据、溯源分析过程、主要嫌疑源清单、建议排查路线与采样重点等。</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0E5FC6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23B62E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6F8976">
            <w:pPr>
              <w:jc w:val="center"/>
              <w:rPr>
                <w:rFonts w:ascii="宋体;SimSun" w:hAnsi="宋体;SimSun" w:eastAsia="宋体;SimSun" w:cs="宋体;SimSun"/>
                <w:color w:val="auto"/>
                <w:sz w:val="20"/>
                <w:szCs w:val="20"/>
                <w:highlight w:val="none"/>
              </w:rPr>
            </w:pPr>
          </w:p>
        </w:tc>
      </w:tr>
      <w:tr w14:paraId="2FD3B64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85F7F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11ECF5">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ED9521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闭环管控处置</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C299868">
            <w:pPr>
              <w:jc w:val="left"/>
              <w:rPr>
                <w:color w:val="auto"/>
                <w:highlight w:val="none"/>
              </w:rPr>
            </w:pPr>
            <w:r>
              <w:rPr>
                <w:rFonts w:ascii="宋体;SimSun" w:hAnsi="宋体;SimSun" w:eastAsia="宋体;SimSun" w:cs="宋体;SimSun"/>
                <w:b/>
                <w:bCs/>
                <w:color w:val="auto"/>
                <w:sz w:val="20"/>
                <w:szCs w:val="20"/>
                <w:highlight w:val="none"/>
              </w:rPr>
              <w:t>对接智慧园区平台闭环处置流程：</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（1）任务线上流转：预警信息自动生成处置工单，并根据预设规则（如事发地点、污染类型）自动派发给相应的现场排查组。排查人员通过移动APP接收任务，查看溯源报告，赶赴现场。</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（2）移动化现场作业：排查人员使用APP进行现场记录：填写勘查情况、拍摄视频照片、使用便携式全光谱终端进行快速检测、扫描样品二维码进行送检关联。所有现场数据实时回传平台，形成电子证据链。</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3）多部门协同与整改跟踪：若确认违法排污，平台可一键生成《问题交办单》，通过线上流程发送至环保执法、园区管委会等相关部门。责任单位的整改方案、整改进度均在线上提交与跟踪。整改完成后，需上传证明材料，并由管理人员线上复核、闭环销号。</w:t>
            </w:r>
            <w:r>
              <w:rPr>
                <w:rFonts w:ascii="宋体;SimSun" w:hAnsi="宋体;SimSun" w:eastAsia="宋体;SimSun" w:cs="宋体;SimSun"/>
                <w:color w:val="auto"/>
                <w:sz w:val="20"/>
                <w:szCs w:val="20"/>
                <w:highlight w:val="none"/>
              </w:rPr>
              <w:br w:type="textWrapping"/>
            </w:r>
            <w:r>
              <w:rPr>
                <w:rFonts w:ascii="宋体;SimSun" w:hAnsi="宋体;SimSun" w:eastAsia="宋体;SimSun" w:cs="宋体;SimSun"/>
                <w:color w:val="auto"/>
                <w:sz w:val="20"/>
                <w:szCs w:val="20"/>
                <w:highlight w:val="none"/>
              </w:rPr>
              <w:t>（4）全过程留痕：从预警产生、任务派发、现场排查、执法介入到整改复核，整个流程的所有操作、人员、时间节点均被完整记录，实现责任可追溯、过程可复盘。</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65D7C4A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套</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9D90F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7DDF1A">
            <w:pPr>
              <w:jc w:val="center"/>
              <w:rPr>
                <w:rFonts w:ascii="宋体;SimSun" w:hAnsi="宋体;SimSun" w:eastAsia="宋体;SimSun" w:cs="宋体;SimSun"/>
                <w:color w:val="auto"/>
                <w:sz w:val="20"/>
                <w:szCs w:val="20"/>
                <w:highlight w:val="none"/>
              </w:rPr>
            </w:pPr>
          </w:p>
        </w:tc>
      </w:tr>
      <w:tr w14:paraId="1C6A1763">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104DEA1D">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七、地下水监测预警预测模型</w:t>
            </w:r>
          </w:p>
        </w:tc>
      </w:tr>
      <w:tr w14:paraId="762B4A2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B1F2CB">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5CF9C">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A6FCA">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服务名称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1FBA5">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FE733">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06929">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92402">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质保</w:t>
            </w:r>
          </w:p>
        </w:tc>
      </w:tr>
      <w:tr w14:paraId="327BD00E">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90289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070DB6B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水文地质模块</w:t>
            </w:r>
          </w:p>
        </w:tc>
        <w:tc>
          <w:tcPr>
            <w:tcW w:w="2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C2A37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三维钻孔展示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5E41E5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水文地质钻孔信息、分层数据录入与批量导入导出、在线编辑、存储与管理</w:t>
            </w:r>
          </w:p>
        </w:tc>
        <w:tc>
          <w:tcPr>
            <w:tcW w:w="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4904CB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A3985A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2ADCA12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4年</w:t>
            </w:r>
          </w:p>
        </w:tc>
      </w:tr>
      <w:tr w14:paraId="53399D32">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F5C2A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04A738">
            <w:pPr>
              <w:jc w:val="center"/>
              <w:rPr>
                <w:rFonts w:ascii="宋体;SimSun" w:hAnsi="宋体;SimSun" w:eastAsia="宋体;SimSun" w:cs="宋体;SimSun"/>
                <w:color w:val="auto"/>
                <w:sz w:val="20"/>
                <w:szCs w:val="20"/>
                <w:highlight w:val="none"/>
              </w:rPr>
            </w:pPr>
          </w:p>
        </w:tc>
        <w:tc>
          <w:tcPr>
            <w:tcW w:w="2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D01D7">
            <w:pPr>
              <w:jc w:val="center"/>
              <w:rPr>
                <w:rFonts w:ascii="宋体;SimSun" w:hAnsi="宋体;SimSun" w:eastAsia="宋体;SimSun" w:cs="宋体;SimSun"/>
                <w:color w:val="auto"/>
                <w:sz w:val="20"/>
                <w:szCs w:val="20"/>
                <w:highlight w:val="none"/>
              </w:rPr>
            </w:pP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A73C10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基于三维GIS地图进行三维地质钻孔分层可视化，包括钻孔分布、属性查询与钻孔显示样式设置</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8E49ED">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2F701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A564E9">
            <w:pPr>
              <w:jc w:val="center"/>
              <w:rPr>
                <w:rFonts w:ascii="宋体;SimSun" w:hAnsi="宋体;SimSun" w:eastAsia="宋体;SimSun" w:cs="宋体;SimSun"/>
                <w:color w:val="auto"/>
                <w:sz w:val="20"/>
                <w:szCs w:val="20"/>
                <w:highlight w:val="none"/>
              </w:rPr>
            </w:pPr>
          </w:p>
        </w:tc>
      </w:tr>
      <w:tr w14:paraId="6E6F08E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DB5398">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2B952A">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BFE3C1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地质模型构建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0A9AC27">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对水文地质钻孔数据进行标准化处理，基于地层分层插值建模方法创建园区三维地层结构模型</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39B77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B7A7D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2691A">
            <w:pPr>
              <w:jc w:val="center"/>
              <w:rPr>
                <w:rFonts w:ascii="宋体;SimSun" w:hAnsi="宋体;SimSun" w:eastAsia="宋体;SimSun" w:cs="宋体;SimSun"/>
                <w:color w:val="auto"/>
                <w:sz w:val="20"/>
                <w:szCs w:val="20"/>
                <w:highlight w:val="none"/>
              </w:rPr>
            </w:pPr>
          </w:p>
        </w:tc>
      </w:tr>
      <w:tr w14:paraId="099F0F36">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C76C4">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725F88">
            <w:pPr>
              <w:jc w:val="center"/>
              <w:rPr>
                <w:rFonts w:ascii="宋体;SimSun" w:hAnsi="宋体;SimSun" w:eastAsia="宋体;SimSun" w:cs="宋体;SimSun"/>
                <w:color w:val="auto"/>
                <w:sz w:val="20"/>
                <w:szCs w:val="20"/>
                <w:highlight w:val="none"/>
              </w:rPr>
            </w:pPr>
          </w:p>
        </w:tc>
        <w:tc>
          <w:tcPr>
            <w:tcW w:w="2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080CB5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地质模型展示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EA1F50E">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三维地层模型上传平台解析、贴纹理、切片、分块进行轻量化处理，以便后续在三维地图上进行展示</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ED23D3">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94C7A1">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A6974">
            <w:pPr>
              <w:jc w:val="center"/>
              <w:rPr>
                <w:rFonts w:ascii="宋体;SimSun" w:hAnsi="宋体;SimSun" w:eastAsia="宋体;SimSun" w:cs="宋体;SimSun"/>
                <w:color w:val="auto"/>
                <w:sz w:val="20"/>
                <w:szCs w:val="20"/>
                <w:highlight w:val="none"/>
              </w:rPr>
            </w:pPr>
          </w:p>
        </w:tc>
      </w:tr>
      <w:tr w14:paraId="30A843DA">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74AEA">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D3227">
            <w:pPr>
              <w:jc w:val="center"/>
              <w:rPr>
                <w:rFonts w:ascii="宋体;SimSun" w:hAnsi="宋体;SimSun" w:eastAsia="宋体;SimSun" w:cs="宋体;SimSun"/>
                <w:color w:val="auto"/>
                <w:sz w:val="20"/>
                <w:szCs w:val="20"/>
                <w:highlight w:val="none"/>
              </w:rPr>
            </w:pPr>
          </w:p>
        </w:tc>
        <w:tc>
          <w:tcPr>
            <w:tcW w:w="2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4CCF1E">
            <w:pPr>
              <w:jc w:val="center"/>
              <w:rPr>
                <w:rFonts w:ascii="宋体;SimSun" w:hAnsi="宋体;SimSun" w:eastAsia="宋体;SimSun" w:cs="宋体;SimSun"/>
                <w:color w:val="auto"/>
                <w:sz w:val="20"/>
                <w:szCs w:val="20"/>
                <w:highlight w:val="none"/>
              </w:rPr>
            </w:pP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7E0E7E0A">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三维地层模型可视化与后处理分析展示，包括属性查询、竖向放大、模型炸开、剖切、开挖等</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34A55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73CA9">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C7D708">
            <w:pPr>
              <w:jc w:val="center"/>
              <w:rPr>
                <w:rFonts w:ascii="宋体;SimSun" w:hAnsi="宋体;SimSun" w:eastAsia="宋体;SimSun" w:cs="宋体;SimSun"/>
                <w:color w:val="auto"/>
                <w:sz w:val="20"/>
                <w:szCs w:val="20"/>
                <w:highlight w:val="none"/>
              </w:rPr>
            </w:pPr>
          </w:p>
        </w:tc>
      </w:tr>
      <w:tr w14:paraId="77A71D44">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A4340E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F5D50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污染分布模块</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068F60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污染羽模型构建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08AD28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地下水真三维污染羽模型创建，基于监测井分布数据和监测数据，创建多因子真三维污染羽分布模型</w:t>
            </w:r>
          </w:p>
        </w:tc>
        <w:tc>
          <w:tcPr>
            <w:tcW w:w="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2EB1A5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F5A5AC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295184">
            <w:pPr>
              <w:jc w:val="center"/>
              <w:rPr>
                <w:rFonts w:ascii="宋体;SimSun" w:hAnsi="宋体;SimSun" w:eastAsia="宋体;SimSun" w:cs="宋体;SimSun"/>
                <w:color w:val="auto"/>
                <w:sz w:val="20"/>
                <w:szCs w:val="20"/>
                <w:highlight w:val="none"/>
              </w:rPr>
            </w:pPr>
          </w:p>
        </w:tc>
      </w:tr>
      <w:tr w14:paraId="2C6E4431">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F495E5">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81A973">
            <w:pPr>
              <w:jc w:val="center"/>
              <w:rPr>
                <w:rFonts w:ascii="宋体;SimSun" w:hAnsi="宋体;SimSun" w:eastAsia="宋体;SimSun" w:cs="宋体;SimSun"/>
                <w:color w:val="auto"/>
                <w:sz w:val="20"/>
                <w:szCs w:val="20"/>
                <w:highlight w:val="none"/>
              </w:rPr>
            </w:pPr>
          </w:p>
        </w:tc>
        <w:tc>
          <w:tcPr>
            <w:tcW w:w="2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150149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污染羽模型展示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99E5AA5">
            <w:pPr>
              <w:jc w:val="left"/>
              <w:rPr>
                <w:color w:val="auto"/>
                <w:highlight w:val="none"/>
              </w:rPr>
            </w:pPr>
            <w:r>
              <w:rPr>
                <w:rFonts w:ascii="宋体;SimSun" w:hAnsi="宋体;SimSun" w:eastAsia="宋体;SimSun" w:cs="宋体;SimSun"/>
                <w:color w:val="auto"/>
                <w:sz w:val="20"/>
                <w:szCs w:val="20"/>
                <w:highlight w:val="none"/>
              </w:rPr>
              <w:t>真三维污染羽模型上传平台进行轻量化处理，以便后续在三维GIS地图上进行展示</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139C85">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1611C1">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544FBC">
            <w:pPr>
              <w:jc w:val="center"/>
              <w:rPr>
                <w:rFonts w:ascii="宋体;SimSun" w:hAnsi="宋体;SimSun" w:eastAsia="宋体;SimSun" w:cs="宋体;SimSun"/>
                <w:color w:val="auto"/>
                <w:sz w:val="20"/>
                <w:szCs w:val="20"/>
                <w:highlight w:val="none"/>
              </w:rPr>
            </w:pPr>
          </w:p>
        </w:tc>
      </w:tr>
      <w:tr w14:paraId="20D43DF9">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97CDF0">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0EC7C">
            <w:pPr>
              <w:jc w:val="center"/>
              <w:rPr>
                <w:rFonts w:ascii="宋体;SimSun" w:hAnsi="宋体;SimSun" w:eastAsia="宋体;SimSun" w:cs="宋体;SimSun"/>
                <w:color w:val="auto"/>
                <w:sz w:val="20"/>
                <w:szCs w:val="20"/>
                <w:highlight w:val="none"/>
              </w:rPr>
            </w:pPr>
          </w:p>
        </w:tc>
        <w:tc>
          <w:tcPr>
            <w:tcW w:w="2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156CE8">
            <w:pPr>
              <w:jc w:val="center"/>
              <w:rPr>
                <w:rFonts w:ascii="宋体;SimSun" w:hAnsi="宋体;SimSun" w:eastAsia="宋体;SimSun" w:cs="宋体;SimSun"/>
                <w:color w:val="auto"/>
                <w:sz w:val="20"/>
                <w:szCs w:val="20"/>
                <w:highlight w:val="none"/>
              </w:rPr>
            </w:pP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58BF00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真三维污染羽模型展示与分析，包括属性筛选与体积计算，以及竖向放大、模型炸开、剖切、开挖等</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D13B11">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ACE533">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407671">
            <w:pPr>
              <w:jc w:val="center"/>
              <w:rPr>
                <w:rFonts w:ascii="宋体;SimSun" w:hAnsi="宋体;SimSun" w:eastAsia="宋体;SimSun" w:cs="宋体;SimSun"/>
                <w:color w:val="auto"/>
                <w:sz w:val="20"/>
                <w:szCs w:val="20"/>
                <w:highlight w:val="none"/>
              </w:rPr>
            </w:pPr>
          </w:p>
        </w:tc>
      </w:tr>
      <w:tr w14:paraId="3107C529">
        <w:tblPrEx>
          <w:tblCellMar>
            <w:top w:w="0" w:type="dxa"/>
            <w:left w:w="108" w:type="dxa"/>
            <w:bottom w:w="0" w:type="dxa"/>
            <w:right w:w="108" w:type="dxa"/>
          </w:tblCellMar>
        </w:tblPrEx>
        <w:trPr>
          <w:trHeight w:val="375" w:hRule="atLeast"/>
        </w:trPr>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E0664E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1A5EF2D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模拟预测模块</w:t>
            </w:r>
          </w:p>
        </w:tc>
        <w:tc>
          <w:tcPr>
            <w:tcW w:w="2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4CBA986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地下水数值模拟</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E78C10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地下水水流模型构建：综合分析研究区场地水文地质结构特征，确定污染场地的含水层空间结构、边界条件、源汇项以及水文地质参数，构建地下水水流模型</w:t>
            </w:r>
          </w:p>
        </w:tc>
        <w:tc>
          <w:tcPr>
            <w:tcW w:w="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58D770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A71DA5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43139D">
            <w:pPr>
              <w:jc w:val="center"/>
              <w:rPr>
                <w:rFonts w:ascii="宋体;SimSun" w:hAnsi="宋体;SimSun" w:eastAsia="宋体;SimSun" w:cs="宋体;SimSun"/>
                <w:color w:val="auto"/>
                <w:sz w:val="20"/>
                <w:szCs w:val="20"/>
                <w:highlight w:val="none"/>
              </w:rPr>
            </w:pPr>
          </w:p>
        </w:tc>
      </w:tr>
      <w:tr w14:paraId="6461A698">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E43949">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30F820">
            <w:pPr>
              <w:jc w:val="center"/>
              <w:rPr>
                <w:rFonts w:ascii="宋体;SimSun" w:hAnsi="宋体;SimSun" w:eastAsia="宋体;SimSun" w:cs="宋体;SimSun"/>
                <w:color w:val="auto"/>
                <w:sz w:val="20"/>
                <w:szCs w:val="20"/>
                <w:highlight w:val="none"/>
              </w:rPr>
            </w:pPr>
          </w:p>
        </w:tc>
        <w:tc>
          <w:tcPr>
            <w:tcW w:w="2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49C461">
            <w:pPr>
              <w:jc w:val="center"/>
              <w:rPr>
                <w:rFonts w:ascii="宋体;SimSun" w:hAnsi="宋体;SimSun" w:eastAsia="宋体;SimSun" w:cs="宋体;SimSun"/>
                <w:color w:val="auto"/>
                <w:sz w:val="20"/>
                <w:szCs w:val="20"/>
                <w:highlight w:val="none"/>
              </w:rPr>
            </w:pP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6D0BAD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地下水溶质运移模型构建：针对某些特征污染物进行地下水溶质运移模型的构建</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EB0A6">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A17655">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0159E5">
            <w:pPr>
              <w:jc w:val="center"/>
              <w:rPr>
                <w:rFonts w:ascii="宋体;SimSun" w:hAnsi="宋体;SimSun" w:eastAsia="宋体;SimSun" w:cs="宋体;SimSun"/>
                <w:color w:val="auto"/>
                <w:sz w:val="20"/>
                <w:szCs w:val="20"/>
                <w:highlight w:val="none"/>
              </w:rPr>
            </w:pPr>
          </w:p>
        </w:tc>
      </w:tr>
      <w:tr w14:paraId="0E3CB31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B1B9D9">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135E9">
            <w:pPr>
              <w:jc w:val="center"/>
              <w:rPr>
                <w:rFonts w:ascii="宋体;SimSun" w:hAnsi="宋体;SimSun" w:eastAsia="宋体;SimSun" w:cs="宋体;SimSun"/>
                <w:color w:val="auto"/>
                <w:sz w:val="20"/>
                <w:szCs w:val="20"/>
                <w:highlight w:val="none"/>
              </w:rPr>
            </w:pPr>
          </w:p>
        </w:tc>
        <w:tc>
          <w:tcPr>
            <w:tcW w:w="2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498BD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地下水初始模拟模型展示</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1AE557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支持将地下水流数值模型上传至平台进行展示与后处理分析，包括三维显示和剖面展示等</w:t>
            </w:r>
          </w:p>
        </w:tc>
        <w:tc>
          <w:tcPr>
            <w:tcW w:w="956" w:type="dxa"/>
            <w:vMerge w:val="restart"/>
            <w:tcBorders>
              <w:top w:val="single" w:color="000000" w:sz="4" w:space="0"/>
              <w:left w:val="single" w:color="000000" w:sz="4" w:space="0"/>
              <w:bottom w:val="single" w:color="000000" w:sz="4" w:space="0"/>
              <w:right w:val="single" w:color="000000" w:sz="4" w:space="0"/>
            </w:tcBorders>
            <w:noWrap w:val="0"/>
            <w:vAlign w:val="center"/>
          </w:tcPr>
          <w:p w14:paraId="347E672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CE63A6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5289F">
            <w:pPr>
              <w:jc w:val="center"/>
              <w:rPr>
                <w:rFonts w:ascii="宋体;SimSun" w:hAnsi="宋体;SimSun" w:eastAsia="宋体;SimSun" w:cs="宋体;SimSun"/>
                <w:color w:val="auto"/>
                <w:sz w:val="20"/>
                <w:szCs w:val="20"/>
                <w:highlight w:val="none"/>
              </w:rPr>
            </w:pPr>
          </w:p>
        </w:tc>
      </w:tr>
      <w:tr w14:paraId="690733AD">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5E1B02">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89B094">
            <w:pPr>
              <w:jc w:val="center"/>
              <w:rPr>
                <w:rFonts w:ascii="宋体;SimSun" w:hAnsi="宋体;SimSun" w:eastAsia="宋体;SimSun" w:cs="宋体;SimSun"/>
                <w:color w:val="auto"/>
                <w:sz w:val="20"/>
                <w:szCs w:val="20"/>
                <w:highlight w:val="none"/>
              </w:rPr>
            </w:pPr>
          </w:p>
        </w:tc>
        <w:tc>
          <w:tcPr>
            <w:tcW w:w="2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F93047">
            <w:pPr>
              <w:jc w:val="center"/>
              <w:rPr>
                <w:rFonts w:ascii="宋体;SimSun" w:hAnsi="宋体;SimSun" w:eastAsia="宋体;SimSun" w:cs="宋体;SimSun"/>
                <w:color w:val="auto"/>
                <w:sz w:val="20"/>
                <w:szCs w:val="20"/>
                <w:highlight w:val="none"/>
              </w:rPr>
            </w:pP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0277CF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支持将溶质运移数值模型支持上传至平台进行三维可视化与后处理分析，可动态展示污染物浓度随时间的变化结果</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B1879">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7858B">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164B86">
            <w:pPr>
              <w:jc w:val="center"/>
              <w:rPr>
                <w:rFonts w:ascii="宋体;SimSun" w:hAnsi="宋体;SimSun" w:eastAsia="宋体;SimSun" w:cs="宋体;SimSun"/>
                <w:color w:val="auto"/>
                <w:sz w:val="20"/>
                <w:szCs w:val="20"/>
                <w:highlight w:val="none"/>
              </w:rPr>
            </w:pPr>
          </w:p>
        </w:tc>
      </w:tr>
      <w:tr w14:paraId="6CF68613">
        <w:tblPrEx>
          <w:tblCellMar>
            <w:top w:w="0" w:type="dxa"/>
            <w:left w:w="108" w:type="dxa"/>
            <w:bottom w:w="0" w:type="dxa"/>
            <w:right w:w="108" w:type="dxa"/>
          </w:tblCellMar>
        </w:tblPrEx>
        <w:trPr>
          <w:trHeight w:val="375" w:hRule="atLeast"/>
        </w:trPr>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F26CEE">
            <w:pPr>
              <w:jc w:val="center"/>
              <w:rPr>
                <w:rFonts w:ascii="宋体;SimSun" w:hAnsi="宋体;SimSun" w:eastAsia="宋体;SimSun" w:cs="宋体;SimSun"/>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9FC17B">
            <w:pPr>
              <w:jc w:val="center"/>
              <w:rPr>
                <w:rFonts w:ascii="宋体;SimSun" w:hAnsi="宋体;SimSun" w:eastAsia="宋体;SimSun" w:cs="宋体;SimSun"/>
                <w:color w:val="auto"/>
                <w:sz w:val="20"/>
                <w:szCs w:val="20"/>
                <w:highlight w:val="none"/>
              </w:rPr>
            </w:pP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B6D928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在线模拟分析</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52A6B4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支持在线溶质运移模拟现状、点源抽注和设置防渗墙的情景，在线计算园区空间尺度和时间尺度的污染物迁移</w:t>
            </w:r>
          </w:p>
        </w:tc>
        <w:tc>
          <w:tcPr>
            <w:tcW w:w="9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E569AC">
            <w:pPr>
              <w:jc w:val="center"/>
              <w:rPr>
                <w:rFonts w:ascii="宋体;SimSun" w:hAnsi="宋体;SimSun" w:eastAsia="宋体;SimSun" w:cs="宋体;SimSun"/>
                <w:color w:val="auto"/>
                <w:sz w:val="20"/>
                <w:szCs w:val="20"/>
                <w:highlight w:val="none"/>
              </w:rPr>
            </w:pPr>
          </w:p>
        </w:tc>
        <w:tc>
          <w:tcPr>
            <w:tcW w:w="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8F54A7">
            <w:pPr>
              <w:jc w:val="center"/>
              <w:rPr>
                <w:rFonts w:ascii="宋体;SimSun" w:hAnsi="宋体;SimSun" w:eastAsia="宋体;SimSun" w:cs="宋体;SimSun"/>
                <w:color w:val="auto"/>
                <w:sz w:val="20"/>
                <w:szCs w:val="20"/>
                <w:highlight w:val="none"/>
              </w:rPr>
            </w:pP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143DE1">
            <w:pPr>
              <w:jc w:val="center"/>
              <w:rPr>
                <w:rFonts w:ascii="宋体;SimSun" w:hAnsi="宋体;SimSun" w:eastAsia="宋体;SimSun" w:cs="宋体;SimSun"/>
                <w:color w:val="auto"/>
                <w:sz w:val="20"/>
                <w:szCs w:val="20"/>
                <w:highlight w:val="none"/>
              </w:rPr>
            </w:pPr>
          </w:p>
        </w:tc>
      </w:tr>
      <w:tr w14:paraId="6D5F8EE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D0523E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791309D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溯源分析模块</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672886B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在线溯源分析</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4815E3D8">
            <w:pPr>
              <w:jc w:val="left"/>
              <w:rPr>
                <w:color w:val="auto"/>
                <w:highlight w:val="none"/>
              </w:rPr>
            </w:pPr>
            <w:r>
              <w:rPr>
                <w:rFonts w:ascii="宋体;SimSun" w:hAnsi="宋体;SimSun" w:eastAsia="宋体;SimSun" w:cs="宋体;SimSun"/>
                <w:color w:val="auto"/>
                <w:sz w:val="20"/>
                <w:szCs w:val="20"/>
                <w:highlight w:val="none"/>
              </w:rPr>
              <w:t>采用反向粒子示踪技术对超标点位的污染物进行识别，并判断由污染源区迁移至该点位的大致迁移路径。基于此功能，一旦监测出某站点发出预警提示时，大致判定出超标的污染物指标可以追溯到的污染物迁移路径和扩散范围，实现地下水污染辅助分析决策结果的可视化</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27530AD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D095F5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项</w:t>
            </w:r>
          </w:p>
        </w:tc>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E02AC4">
            <w:pPr>
              <w:jc w:val="center"/>
              <w:rPr>
                <w:rFonts w:ascii="宋体;SimSun" w:hAnsi="宋体;SimSun" w:eastAsia="宋体;SimSun" w:cs="宋体;SimSun"/>
                <w:color w:val="auto"/>
                <w:sz w:val="20"/>
                <w:szCs w:val="20"/>
                <w:highlight w:val="none"/>
              </w:rPr>
            </w:pPr>
          </w:p>
        </w:tc>
      </w:tr>
      <w:tr w14:paraId="2A6F3A53">
        <w:tblPrEx>
          <w:tblCellMar>
            <w:top w:w="0" w:type="dxa"/>
            <w:left w:w="108" w:type="dxa"/>
            <w:bottom w:w="0" w:type="dxa"/>
            <w:right w:w="108" w:type="dxa"/>
          </w:tblCellMar>
        </w:tblPrEx>
        <w:trPr>
          <w:trHeight w:val="375" w:hRule="atLeast"/>
        </w:trPr>
        <w:tc>
          <w:tcPr>
            <w:tcW w:w="13958" w:type="dxa"/>
            <w:gridSpan w:val="7"/>
            <w:tcBorders>
              <w:top w:val="single" w:color="000000" w:sz="4" w:space="0"/>
              <w:left w:val="single" w:color="000000" w:sz="4" w:space="0"/>
              <w:bottom w:val="single" w:color="000000" w:sz="4" w:space="0"/>
              <w:right w:val="single" w:color="000000" w:sz="4" w:space="0"/>
            </w:tcBorders>
            <w:noWrap w:val="0"/>
            <w:vAlign w:val="center"/>
          </w:tcPr>
          <w:p w14:paraId="2A693D08">
            <w:pPr>
              <w:jc w:val="center"/>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八、地下水建井</w:t>
            </w:r>
          </w:p>
        </w:tc>
      </w:tr>
      <w:tr w14:paraId="105ED83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A0EFC">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序号</w:t>
            </w:r>
          </w:p>
        </w:tc>
        <w:tc>
          <w:tcPr>
            <w:tcW w:w="9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4EFB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单元</w:t>
            </w:r>
          </w:p>
        </w:tc>
        <w:tc>
          <w:tcPr>
            <w:tcW w:w="2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9DF18">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仪器、装置名称</w:t>
            </w:r>
          </w:p>
        </w:tc>
        <w:tc>
          <w:tcPr>
            <w:tcW w:w="6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2F381">
            <w:pPr>
              <w:jc w:val="left"/>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参数</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2A9C3">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单位</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98E1E0">
            <w:pPr>
              <w:jc w:val="center"/>
              <w:rPr>
                <w:rFonts w:ascii="宋体;SimSun" w:hAnsi="宋体;SimSun" w:eastAsia="宋体;SimSun" w:cs="宋体;SimSun"/>
                <w:b/>
                <w:bCs/>
                <w:color w:val="auto"/>
                <w:sz w:val="20"/>
                <w:szCs w:val="20"/>
                <w:highlight w:val="none"/>
              </w:rPr>
            </w:pPr>
            <w:r>
              <w:rPr>
                <w:rFonts w:ascii="宋体;SimSun" w:hAnsi="宋体;SimSun" w:eastAsia="宋体;SimSun" w:cs="宋体;SimSun"/>
                <w:b/>
                <w:bCs/>
                <w:color w:val="auto"/>
                <w:sz w:val="20"/>
                <w:szCs w:val="20"/>
                <w:highlight w:val="none"/>
              </w:rPr>
              <w:t>数量</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8C6E62">
            <w:pPr>
              <w:jc w:val="center"/>
              <w:rPr>
                <w:rFonts w:ascii="宋体;SimSun" w:hAnsi="宋体;SimSun" w:eastAsia="宋体;SimSun" w:cs="宋体;SimSun"/>
                <w:b/>
                <w:bCs/>
                <w:color w:val="auto"/>
                <w:sz w:val="20"/>
                <w:szCs w:val="20"/>
                <w:highlight w:val="none"/>
              </w:rPr>
            </w:pPr>
          </w:p>
        </w:tc>
      </w:tr>
      <w:tr w14:paraId="38DB985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6D60FB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59E0426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上游对照点污染</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13D72A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DZ1</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78FCFFB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F6929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54E52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23893FA5">
            <w:pPr>
              <w:rPr>
                <w:rFonts w:ascii="宋体;SimSun" w:hAnsi="宋体;SimSun" w:eastAsia="宋体;SimSun" w:cs="宋体;SimSun"/>
                <w:color w:val="auto"/>
                <w:sz w:val="20"/>
                <w:szCs w:val="20"/>
                <w:highlight w:val="none"/>
              </w:rPr>
            </w:pPr>
          </w:p>
        </w:tc>
      </w:tr>
      <w:tr w14:paraId="42415662">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99A18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2</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5044446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051D6E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KS1</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E0B1D1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C24BA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F4FCD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07FDCCF6">
            <w:pPr>
              <w:rPr>
                <w:rFonts w:ascii="宋体;SimSun" w:hAnsi="宋体;SimSun" w:eastAsia="宋体;SimSun" w:cs="宋体;SimSun"/>
                <w:color w:val="auto"/>
                <w:sz w:val="20"/>
                <w:szCs w:val="20"/>
                <w:highlight w:val="none"/>
              </w:rPr>
            </w:pPr>
          </w:p>
        </w:tc>
      </w:tr>
      <w:tr w14:paraId="552468A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F2646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3</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47ED8CD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4A9A41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KS2</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17A6080">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CF01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5124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12A0D823">
            <w:pPr>
              <w:rPr>
                <w:rFonts w:ascii="宋体;SimSun" w:hAnsi="宋体;SimSun" w:eastAsia="宋体;SimSun" w:cs="宋体;SimSun"/>
                <w:color w:val="auto"/>
                <w:sz w:val="20"/>
                <w:szCs w:val="20"/>
                <w:highlight w:val="none"/>
              </w:rPr>
            </w:pPr>
          </w:p>
        </w:tc>
      </w:tr>
      <w:tr w14:paraId="61E79ED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2FC1CD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4</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0A03B37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BFF031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KS3</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DB7D31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A8E2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4566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151268BD">
            <w:pPr>
              <w:rPr>
                <w:rFonts w:ascii="宋体;SimSun" w:hAnsi="宋体;SimSun" w:eastAsia="宋体;SimSun" w:cs="宋体;SimSun"/>
                <w:color w:val="auto"/>
                <w:sz w:val="20"/>
                <w:szCs w:val="20"/>
                <w:highlight w:val="none"/>
              </w:rPr>
            </w:pPr>
          </w:p>
        </w:tc>
      </w:tr>
      <w:tr w14:paraId="67578E0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48560F9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5</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62E052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FA4558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KS4</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224C2D9">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D83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4F68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6D9CAA0C">
            <w:pPr>
              <w:rPr>
                <w:rFonts w:ascii="宋体;SimSun" w:hAnsi="宋体;SimSun" w:eastAsia="宋体;SimSun" w:cs="宋体;SimSun"/>
                <w:color w:val="auto"/>
                <w:sz w:val="20"/>
                <w:szCs w:val="20"/>
                <w:highlight w:val="none"/>
              </w:rPr>
            </w:pPr>
          </w:p>
        </w:tc>
      </w:tr>
      <w:tr w14:paraId="2CFAC02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9B82D0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6</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611CB4C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30BFEB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KS5</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25284FC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5DEC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44C8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59489B06">
            <w:pPr>
              <w:rPr>
                <w:rFonts w:ascii="宋体;SimSun" w:hAnsi="宋体;SimSun" w:eastAsia="宋体;SimSun" w:cs="宋体;SimSun"/>
                <w:color w:val="auto"/>
                <w:sz w:val="20"/>
                <w:szCs w:val="20"/>
                <w:highlight w:val="none"/>
              </w:rPr>
            </w:pPr>
          </w:p>
        </w:tc>
      </w:tr>
      <w:tr w14:paraId="264F1C8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E64A0CC">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7</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3C70118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扩散点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FE18ED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KS6</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A72BC0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BBB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97FE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6FF9EA01">
            <w:pPr>
              <w:rPr>
                <w:rFonts w:ascii="宋体;SimSun" w:hAnsi="宋体;SimSun" w:eastAsia="宋体;SimSun" w:cs="宋体;SimSun"/>
                <w:color w:val="auto"/>
                <w:sz w:val="20"/>
                <w:szCs w:val="20"/>
                <w:highlight w:val="none"/>
              </w:rPr>
            </w:pPr>
          </w:p>
        </w:tc>
      </w:tr>
      <w:tr w14:paraId="01877023">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4B40F5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8</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5D84A30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B9D241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NB1</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5EA10B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857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E5C4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18F83E31">
            <w:pPr>
              <w:rPr>
                <w:rFonts w:ascii="宋体;SimSun" w:hAnsi="宋体;SimSun" w:eastAsia="宋体;SimSun" w:cs="宋体;SimSun"/>
                <w:color w:val="auto"/>
                <w:sz w:val="20"/>
                <w:szCs w:val="20"/>
                <w:highlight w:val="none"/>
              </w:rPr>
            </w:pPr>
          </w:p>
        </w:tc>
      </w:tr>
      <w:tr w14:paraId="0B62A72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1E30BFF">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9</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4EBF4F8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79DD620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NB2</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02871E2C">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1C3F0">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59D9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48314C85">
            <w:pPr>
              <w:rPr>
                <w:rFonts w:ascii="宋体;SimSun" w:hAnsi="宋体;SimSun" w:eastAsia="宋体;SimSun" w:cs="宋体;SimSun"/>
                <w:color w:val="auto"/>
                <w:sz w:val="20"/>
                <w:szCs w:val="20"/>
                <w:highlight w:val="none"/>
              </w:rPr>
            </w:pPr>
          </w:p>
        </w:tc>
      </w:tr>
      <w:tr w14:paraId="48A17AED">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7C4178D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10</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52D22BF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43C9837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NB3</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1A618B5B">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639A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F509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1D260F66">
            <w:pPr>
              <w:rPr>
                <w:rFonts w:ascii="宋体;SimSun" w:hAnsi="宋体;SimSun" w:eastAsia="宋体;SimSun" w:cs="宋体;SimSun"/>
                <w:color w:val="auto"/>
                <w:sz w:val="20"/>
                <w:szCs w:val="20"/>
                <w:highlight w:val="none"/>
              </w:rPr>
            </w:pPr>
          </w:p>
        </w:tc>
      </w:tr>
      <w:tr w14:paraId="33629237">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F5A4D5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11</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4E6EF6E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5F4206C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NB4</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34899C68">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09BF0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AF50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3827F281">
            <w:pPr>
              <w:rPr>
                <w:rFonts w:ascii="宋体;SimSun" w:hAnsi="宋体;SimSun" w:eastAsia="宋体;SimSun" w:cs="宋体;SimSun"/>
                <w:color w:val="auto"/>
                <w:sz w:val="20"/>
                <w:szCs w:val="20"/>
                <w:highlight w:val="none"/>
              </w:rPr>
            </w:pPr>
          </w:p>
        </w:tc>
      </w:tr>
      <w:tr w14:paraId="09DC842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0DB77B2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12</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2029C37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939597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NB5</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AEE0AE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F1CB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09516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19228011">
            <w:pPr>
              <w:rPr>
                <w:rFonts w:ascii="宋体;SimSun" w:hAnsi="宋体;SimSun" w:eastAsia="宋体;SimSun" w:cs="宋体;SimSun"/>
                <w:color w:val="auto"/>
                <w:sz w:val="20"/>
                <w:szCs w:val="20"/>
                <w:highlight w:val="none"/>
              </w:rPr>
            </w:pPr>
          </w:p>
        </w:tc>
      </w:tr>
      <w:tr w14:paraId="3DC0D0BA">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67A8E2B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13</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47DB2F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180C3FFA">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NB6</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78CE0042">
            <w:pPr>
              <w:jc w:val="left"/>
              <w:rPr>
                <w:color w:val="auto"/>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E3876">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AECA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4C3CA239">
            <w:pPr>
              <w:rPr>
                <w:rFonts w:ascii="宋体;SimSun" w:hAnsi="宋体;SimSun" w:eastAsia="宋体;SimSun" w:cs="宋体;SimSun"/>
                <w:color w:val="auto"/>
                <w:sz w:val="20"/>
                <w:szCs w:val="20"/>
                <w:highlight w:val="none"/>
              </w:rPr>
            </w:pPr>
          </w:p>
        </w:tc>
      </w:tr>
      <w:tr w14:paraId="0E50B1FC">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3CE0EABD">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14</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7C3C9D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339DDFB1">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NB7</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FC4F016">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72A83">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CDD99">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02E29720">
            <w:pPr>
              <w:rPr>
                <w:rFonts w:ascii="宋体;SimSun" w:hAnsi="宋体;SimSun" w:eastAsia="宋体;SimSun" w:cs="宋体;SimSun"/>
                <w:color w:val="auto"/>
                <w:sz w:val="20"/>
                <w:szCs w:val="20"/>
                <w:highlight w:val="none"/>
              </w:rPr>
            </w:pPr>
          </w:p>
        </w:tc>
      </w:tr>
      <w:tr w14:paraId="1F4E06C1">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5A014BC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15</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3DEEB282">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56C4C4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NB9</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5546CF82">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1E48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400A9E">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2C9C6882">
            <w:pPr>
              <w:rPr>
                <w:rFonts w:ascii="宋体;SimSun" w:hAnsi="宋体;SimSun" w:eastAsia="宋体;SimSun" w:cs="宋体;SimSun"/>
                <w:color w:val="auto"/>
                <w:sz w:val="20"/>
                <w:szCs w:val="20"/>
                <w:highlight w:val="none"/>
              </w:rPr>
            </w:pPr>
          </w:p>
        </w:tc>
      </w:tr>
      <w:tr w14:paraId="291842A6">
        <w:tblPrEx>
          <w:tblCellMar>
            <w:top w:w="0" w:type="dxa"/>
            <w:left w:w="108" w:type="dxa"/>
            <w:bottom w:w="0" w:type="dxa"/>
            <w:right w:w="108" w:type="dxa"/>
          </w:tblCellMar>
        </w:tblPrEx>
        <w:trPr>
          <w:trHeight w:val="375" w:hRule="atLeast"/>
        </w:trPr>
        <w:tc>
          <w:tcPr>
            <w:tcW w:w="700" w:type="dxa"/>
            <w:tcBorders>
              <w:top w:val="single" w:color="000000" w:sz="4" w:space="0"/>
              <w:left w:val="single" w:color="000000" w:sz="4" w:space="0"/>
              <w:bottom w:val="single" w:color="000000" w:sz="4" w:space="0"/>
              <w:right w:val="single" w:color="000000" w:sz="4" w:space="0"/>
            </w:tcBorders>
            <w:noWrap w:val="0"/>
            <w:vAlign w:val="center"/>
          </w:tcPr>
          <w:p w14:paraId="2F32CB04">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16</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14:paraId="70ACE817">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内部监测点</w:t>
            </w:r>
          </w:p>
        </w:tc>
        <w:tc>
          <w:tcPr>
            <w:tcW w:w="2993" w:type="dxa"/>
            <w:tcBorders>
              <w:top w:val="single" w:color="000000" w:sz="4" w:space="0"/>
              <w:left w:val="single" w:color="000000" w:sz="4" w:space="0"/>
              <w:bottom w:val="single" w:color="000000" w:sz="4" w:space="0"/>
              <w:right w:val="single" w:color="000000" w:sz="4" w:space="0"/>
            </w:tcBorders>
            <w:noWrap w:val="0"/>
            <w:vAlign w:val="center"/>
          </w:tcPr>
          <w:p w14:paraId="2718C558">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NB10</w:t>
            </w:r>
          </w:p>
        </w:tc>
        <w:tc>
          <w:tcPr>
            <w:tcW w:w="6108" w:type="dxa"/>
            <w:tcBorders>
              <w:top w:val="single" w:color="000000" w:sz="4" w:space="0"/>
              <w:left w:val="single" w:color="000000" w:sz="4" w:space="0"/>
              <w:bottom w:val="single" w:color="000000" w:sz="4" w:space="0"/>
              <w:right w:val="single" w:color="000000" w:sz="4" w:space="0"/>
            </w:tcBorders>
            <w:noWrap w:val="0"/>
            <w:vAlign w:val="center"/>
          </w:tcPr>
          <w:p w14:paraId="6CCAA741">
            <w:pPr>
              <w:jc w:val="left"/>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深度9m、管径110mm，材质PVC</w:t>
            </w:r>
          </w:p>
        </w:tc>
        <w:tc>
          <w:tcPr>
            <w:tcW w:w="95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8A9A5">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口</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D7123B">
            <w:pPr>
              <w:jc w:val="center"/>
              <w:rPr>
                <w:rFonts w:ascii="宋体;SimSun" w:hAnsi="宋体;SimSun" w:eastAsia="宋体;SimSun" w:cs="宋体;SimSun"/>
                <w:color w:val="auto"/>
                <w:sz w:val="20"/>
                <w:szCs w:val="20"/>
                <w:highlight w:val="none"/>
              </w:rPr>
            </w:pPr>
            <w:r>
              <w:rPr>
                <w:rFonts w:ascii="宋体;SimSun" w:hAnsi="宋体;SimSun" w:eastAsia="宋体;SimSun" w:cs="宋体;SimSun"/>
                <w:color w:val="auto"/>
                <w:sz w:val="20"/>
                <w:szCs w:val="20"/>
                <w:highlight w:val="none"/>
              </w:rPr>
              <w:t xml:space="preserve">1 </w:t>
            </w:r>
          </w:p>
        </w:tc>
        <w:tc>
          <w:tcPr>
            <w:tcW w:w="1479" w:type="dxa"/>
            <w:tcBorders>
              <w:top w:val="single" w:color="000000" w:sz="4" w:space="0"/>
              <w:left w:val="single" w:color="000000" w:sz="4" w:space="0"/>
              <w:bottom w:val="single" w:color="000000" w:sz="4" w:space="0"/>
              <w:right w:val="single" w:color="000000" w:sz="4" w:space="0"/>
            </w:tcBorders>
            <w:noWrap w:val="0"/>
            <w:vAlign w:val="center"/>
          </w:tcPr>
          <w:p w14:paraId="07F0C8E3">
            <w:pPr>
              <w:rPr>
                <w:rFonts w:ascii="宋体;SimSun" w:hAnsi="宋体;SimSun" w:eastAsia="宋体;SimSun" w:cs="宋体;SimSun"/>
                <w:color w:val="auto"/>
                <w:sz w:val="20"/>
                <w:szCs w:val="20"/>
                <w:highlight w:val="none"/>
              </w:rPr>
            </w:pPr>
          </w:p>
        </w:tc>
      </w:tr>
    </w:tbl>
    <w:p w14:paraId="3797213F">
      <w:pPr>
        <w:rPr>
          <w:color w:val="auto"/>
          <w:highlight w:val="none"/>
        </w:rPr>
        <w:sectPr>
          <w:footerReference r:id="rId6" w:type="default"/>
          <w:pgSz w:w="16838" w:h="11906" w:orient="landscape"/>
          <w:pgMar w:top="1800" w:right="1440" w:bottom="1800" w:left="1440" w:header="0" w:footer="992" w:gutter="0"/>
          <w:cols w:space="720" w:num="1"/>
          <w:docGrid w:linePitch="360" w:charSpace="0"/>
        </w:sectPr>
      </w:pPr>
    </w:p>
    <w:p w14:paraId="224540B4">
      <w:pPr>
        <w:pStyle w:val="272"/>
        <w:numPr>
          <w:ilvl w:val="0"/>
          <w:numId w:val="0"/>
        </w:numPr>
        <w:spacing w:before="156" w:after="156"/>
        <w:outlineLvl w:val="2"/>
        <w:rPr>
          <w:rFonts w:ascii="宋体;SimSun" w:hAnsi="宋体;SimSun" w:cs="宋体;SimSun"/>
          <w:color w:val="auto"/>
          <w:highlight w:val="none"/>
        </w:rPr>
      </w:pPr>
      <w:r>
        <w:rPr>
          <w:rFonts w:ascii="宋体;SimSun" w:hAnsi="宋体;SimSun" w:cs="宋体;SimSun"/>
          <w:color w:val="auto"/>
          <w:highlight w:val="none"/>
        </w:rPr>
        <w:t>水站运维技术要求及考核办法</w:t>
      </w:r>
    </w:p>
    <w:p w14:paraId="51B13C99">
      <w:pPr>
        <w:pStyle w:val="274"/>
        <w:numPr>
          <w:ilvl w:val="0"/>
          <w:numId w:val="7"/>
        </w:numPr>
        <w:tabs>
          <w:tab w:val="clear" w:pos="0"/>
        </w:tabs>
        <w:spacing w:before="156" w:after="156"/>
        <w:outlineLvl w:val="3"/>
        <w:rPr>
          <w:rFonts w:ascii="宋体;SimSun" w:hAnsi="宋体;SimSun" w:cs="宋体;SimSun"/>
          <w:color w:val="auto"/>
          <w:highlight w:val="none"/>
        </w:rPr>
      </w:pPr>
      <w:r>
        <w:rPr>
          <w:rFonts w:ascii="宋体;SimSun" w:hAnsi="宋体;SimSun" w:cs="宋体;SimSun"/>
          <w:color w:val="auto"/>
          <w:highlight w:val="none"/>
        </w:rPr>
        <w:t>每日系统检查</w:t>
      </w:r>
    </w:p>
    <w:p w14:paraId="33B4C84A">
      <w:pPr>
        <w:pStyle w:val="273"/>
        <w:ind w:firstLine="480"/>
        <w:rPr>
          <w:rFonts w:ascii="宋体;SimSun" w:hAnsi="宋体;SimSun" w:cs="宋体;SimSun"/>
          <w:color w:val="auto"/>
          <w:highlight w:val="none"/>
        </w:rPr>
      </w:pPr>
      <w:r>
        <w:rPr>
          <w:rFonts w:ascii="宋体;SimSun" w:hAnsi="宋体;SimSun" w:cs="宋体;SimSun"/>
          <w:color w:val="auto"/>
          <w:highlight w:val="none"/>
        </w:rPr>
        <w:t>（1）每天上午、下午远程查看水站数据（分析水质监测和系统状态数据），查看系统软件、站点联网状况等，对站点运行情况进行远程诊断和完成日常运维的调度，并需对系统及站点故障做记录并注明故障原因和解决方法，填写监控记录。</w:t>
      </w:r>
    </w:p>
    <w:p w14:paraId="3D90E32E">
      <w:pPr>
        <w:pStyle w:val="273"/>
        <w:ind w:firstLine="480"/>
        <w:rPr>
          <w:rFonts w:ascii="宋体;SimSun" w:hAnsi="宋体;SimSun" w:cs="宋体;SimSun"/>
          <w:color w:val="auto"/>
          <w:highlight w:val="none"/>
        </w:rPr>
      </w:pPr>
      <w:r>
        <w:rPr>
          <w:rFonts w:ascii="宋体;SimSun" w:hAnsi="宋体;SimSun" w:cs="宋体;SimSun"/>
          <w:color w:val="auto"/>
          <w:highlight w:val="none"/>
        </w:rPr>
        <w:t>（2）如发现数据异常时确定为仪器故障或不能确定原因，应在发现异常后2小时内到达现场，8小时内排除故障（异常）。</w:t>
      </w:r>
    </w:p>
    <w:p w14:paraId="60C4B3F7">
      <w:pPr>
        <w:pStyle w:val="273"/>
        <w:ind w:firstLine="480"/>
        <w:rPr>
          <w:rFonts w:ascii="宋体;SimSun" w:hAnsi="宋体;SimSun" w:cs="宋体;SimSun"/>
          <w:color w:val="auto"/>
          <w:highlight w:val="none"/>
        </w:rPr>
      </w:pPr>
      <w:r>
        <w:rPr>
          <w:rFonts w:ascii="宋体;SimSun" w:hAnsi="宋体;SimSun" w:cs="宋体;SimSun"/>
          <w:color w:val="auto"/>
          <w:highlight w:val="none"/>
        </w:rPr>
        <w:t>（3）值班人每日值班结束后，应积极主动向甲方简单汇报当日的值班情况、站点故障的解决计划及其他运维工作的进展情况（如站点数据异常原因待查后再确认的进展情况，站点的现场施工情况等）。值班人员因故不能按时值班时，应给甲方值班人员打电话说明情况并派其他人员代替值班；</w:t>
      </w:r>
    </w:p>
    <w:p w14:paraId="48566B7F">
      <w:pPr>
        <w:pStyle w:val="274"/>
        <w:numPr>
          <w:ilvl w:val="0"/>
          <w:numId w:val="7"/>
        </w:numPr>
        <w:spacing w:before="156" w:after="156"/>
        <w:outlineLvl w:val="3"/>
        <w:rPr>
          <w:rFonts w:ascii="宋体;SimSun" w:hAnsi="宋体;SimSun" w:cs="宋体;SimSun"/>
          <w:color w:val="auto"/>
          <w:highlight w:val="none"/>
        </w:rPr>
      </w:pPr>
      <w:r>
        <w:rPr>
          <w:rFonts w:ascii="宋体;SimSun" w:hAnsi="宋体;SimSun" w:cs="宋体;SimSun"/>
          <w:color w:val="auto"/>
          <w:highlight w:val="none"/>
        </w:rPr>
        <w:t>每周巡检</w:t>
      </w:r>
    </w:p>
    <w:p w14:paraId="44A9520A">
      <w:pPr>
        <w:pStyle w:val="273"/>
        <w:ind w:firstLine="480"/>
        <w:rPr>
          <w:rFonts w:ascii="宋体;SimSun" w:hAnsi="宋体;SimSun" w:cs="宋体;SimSun"/>
          <w:color w:val="auto"/>
          <w:highlight w:val="none"/>
        </w:rPr>
      </w:pPr>
      <w:r>
        <w:rPr>
          <w:rFonts w:ascii="宋体;SimSun" w:hAnsi="宋体;SimSun" w:cs="宋体;SimSun"/>
          <w:color w:val="auto"/>
          <w:highlight w:val="none"/>
        </w:rPr>
        <w:t>（1）应至少每周对水站进行全面检查一次，并认真填写巡检记录。</w:t>
      </w:r>
    </w:p>
    <w:p w14:paraId="75C96F3C">
      <w:pPr>
        <w:pStyle w:val="273"/>
        <w:ind w:firstLine="480"/>
        <w:rPr>
          <w:rFonts w:ascii="宋体;SimSun" w:hAnsi="宋体;SimSun" w:cs="宋体;SimSun"/>
          <w:color w:val="auto"/>
          <w:highlight w:val="none"/>
        </w:rPr>
      </w:pPr>
      <w:r>
        <w:rPr>
          <w:rFonts w:ascii="宋体;SimSun" w:hAnsi="宋体;SimSun" w:cs="宋体;SimSun"/>
          <w:color w:val="auto"/>
          <w:highlight w:val="none"/>
        </w:rPr>
        <w:t>（2）巡检工作包括：</w:t>
      </w:r>
    </w:p>
    <w:p w14:paraId="36899625">
      <w:pPr>
        <w:pStyle w:val="273"/>
        <w:ind w:firstLine="480"/>
        <w:rPr>
          <w:color w:val="auto"/>
          <w:highlight w:val="none"/>
        </w:rPr>
      </w:pPr>
      <w:r>
        <w:rPr>
          <w:rFonts w:ascii="宋体;SimSun" w:hAnsi="宋体;SimSun" w:cs="宋体;SimSun"/>
          <w:color w:val="auto"/>
          <w:highlight w:val="none"/>
        </w:rPr>
        <w:t>a 检查各台自动分析仪及辅助设备的运行状态和主要技术参数，判断运行是否正常。</w:t>
      </w:r>
    </w:p>
    <w:p w14:paraId="5B21B6F9">
      <w:pPr>
        <w:pStyle w:val="273"/>
        <w:ind w:firstLine="480"/>
        <w:rPr>
          <w:rFonts w:ascii="宋体;SimSun" w:hAnsi="宋体;SimSun" w:cs="宋体;SimSun"/>
          <w:color w:val="auto"/>
          <w:highlight w:val="none"/>
        </w:rPr>
      </w:pPr>
      <w:r>
        <w:rPr>
          <w:rFonts w:ascii="宋体;SimSun" w:hAnsi="宋体;SimSun" w:cs="宋体;SimSun"/>
          <w:color w:val="auto"/>
          <w:highlight w:val="none"/>
        </w:rPr>
        <w:t>b 检查自来水供应、泵取水、纯水系统情况，检查内部管路是否通畅，仪器自动清洗装置是否运行正常，检查各自动分析仪的进样水管和排水管是否清洁，必要时进行清洗。定期清洗水泵和过滤网。</w:t>
      </w:r>
    </w:p>
    <w:p w14:paraId="647A83DB">
      <w:pPr>
        <w:pStyle w:val="273"/>
        <w:ind w:firstLine="480"/>
        <w:rPr>
          <w:rFonts w:ascii="宋体;SimSun" w:hAnsi="宋体;SimSun" w:cs="宋体;SimSun"/>
          <w:color w:val="auto"/>
          <w:highlight w:val="none"/>
        </w:rPr>
      </w:pPr>
      <w:r>
        <w:rPr>
          <w:rFonts w:ascii="宋体;SimSun" w:hAnsi="宋体;SimSun" w:cs="宋体;SimSun"/>
          <w:color w:val="auto"/>
          <w:highlight w:val="none"/>
        </w:rPr>
        <w:t>c 检查站房内电路系统、通讯系统是否正常。</w:t>
      </w:r>
    </w:p>
    <w:p w14:paraId="6ECF1764">
      <w:pPr>
        <w:pStyle w:val="273"/>
        <w:ind w:firstLine="480"/>
        <w:rPr>
          <w:rFonts w:ascii="宋体;SimSun" w:hAnsi="宋体;SimSun" w:cs="宋体;SimSun"/>
          <w:color w:val="auto"/>
          <w:highlight w:val="none"/>
        </w:rPr>
      </w:pPr>
      <w:r>
        <w:rPr>
          <w:rFonts w:ascii="宋体;SimSun" w:hAnsi="宋体;SimSun" w:cs="宋体;SimSun"/>
          <w:color w:val="auto"/>
          <w:highlight w:val="none"/>
        </w:rPr>
        <w:t>d 对于用电极法测量的仪器，检查标准溶液和电极填充液，进行电极探头的清洗。</w:t>
      </w:r>
    </w:p>
    <w:p w14:paraId="4DA100BF">
      <w:pPr>
        <w:pStyle w:val="273"/>
        <w:ind w:firstLine="480"/>
        <w:rPr>
          <w:rFonts w:ascii="宋体;SimSun" w:hAnsi="宋体;SimSun" w:cs="宋体;SimSun"/>
          <w:color w:val="auto"/>
          <w:highlight w:val="none"/>
        </w:rPr>
      </w:pPr>
      <w:r>
        <w:rPr>
          <w:rFonts w:ascii="宋体;SimSun" w:hAnsi="宋体;SimSun" w:cs="宋体;SimSun"/>
          <w:color w:val="auto"/>
          <w:highlight w:val="none"/>
        </w:rPr>
        <w:t>e 检查各仪器标准溶液和试剂是否在有效使用期内，按相关要求定期更换标准溶液和分析试剂。</w:t>
      </w:r>
    </w:p>
    <w:p w14:paraId="4E1ECBBC">
      <w:pPr>
        <w:pStyle w:val="273"/>
        <w:ind w:firstLine="480"/>
        <w:rPr>
          <w:rFonts w:ascii="宋体;SimSun" w:hAnsi="宋体;SimSun" w:cs="宋体;SimSun"/>
          <w:color w:val="auto"/>
          <w:highlight w:val="none"/>
        </w:rPr>
      </w:pPr>
      <w:r>
        <w:rPr>
          <w:rFonts w:ascii="宋体;SimSun" w:hAnsi="宋体;SimSun" w:cs="宋体;SimSun"/>
          <w:color w:val="auto"/>
          <w:highlight w:val="none"/>
        </w:rPr>
        <w:t>f 观察数据采集传输仪运行情况，并检查连接处有无损坏，对数据进行抽样检查，对比自动分析仪、数据采集传输仪及上位机接收到的数据是否一致。</w:t>
      </w:r>
    </w:p>
    <w:p w14:paraId="12F7DC7B">
      <w:pPr>
        <w:pStyle w:val="273"/>
        <w:ind w:firstLine="480"/>
        <w:rPr>
          <w:rFonts w:ascii="宋体;SimSun" w:hAnsi="宋体;SimSun" w:cs="宋体;SimSun"/>
          <w:color w:val="auto"/>
          <w:highlight w:val="none"/>
        </w:rPr>
      </w:pPr>
      <w:r>
        <w:rPr>
          <w:rFonts w:ascii="宋体;SimSun" w:hAnsi="宋体;SimSun" w:cs="宋体;SimSun"/>
          <w:color w:val="auto"/>
          <w:highlight w:val="none"/>
        </w:rPr>
        <w:t>g 对自动分析仪进行保养，对水泵和取水管路、配水和进水系统、仪器分析系统进行维护。对数据存储和控制系统工作状态进行检查。</w:t>
      </w:r>
    </w:p>
    <w:p w14:paraId="61E60D4C">
      <w:pPr>
        <w:pStyle w:val="273"/>
        <w:ind w:firstLine="480"/>
        <w:rPr>
          <w:rFonts w:ascii="宋体;SimSun" w:hAnsi="宋体;SimSun" w:cs="宋体;SimSun"/>
          <w:color w:val="auto"/>
          <w:highlight w:val="none"/>
        </w:rPr>
      </w:pPr>
      <w:r>
        <w:rPr>
          <w:rFonts w:ascii="宋体;SimSun" w:hAnsi="宋体;SimSun" w:cs="宋体;SimSun"/>
          <w:color w:val="auto"/>
          <w:highlight w:val="none"/>
        </w:rPr>
        <w:t>h 检查监测仪器接地情况，检查监测用房防雷措施。</w:t>
      </w:r>
    </w:p>
    <w:p w14:paraId="60D39B8D">
      <w:pPr>
        <w:pStyle w:val="273"/>
        <w:ind w:firstLine="480"/>
        <w:rPr>
          <w:rFonts w:ascii="宋体;SimSun" w:hAnsi="宋体;SimSun" w:cs="宋体;SimSun"/>
          <w:color w:val="auto"/>
          <w:highlight w:val="none"/>
        </w:rPr>
      </w:pPr>
      <w:r>
        <w:rPr>
          <w:rFonts w:ascii="宋体;SimSun" w:hAnsi="宋体;SimSun" w:cs="宋体;SimSun"/>
          <w:color w:val="auto"/>
          <w:highlight w:val="none"/>
        </w:rPr>
        <w:t>i 保证监测用房内的温度、湿度满足仪器正常运行的需求。保持各管路通畅，出水正常，无漏液。</w:t>
      </w:r>
    </w:p>
    <w:p w14:paraId="1F41087D">
      <w:pPr>
        <w:pStyle w:val="273"/>
        <w:ind w:firstLine="480"/>
        <w:rPr>
          <w:rFonts w:ascii="宋体;SimSun" w:hAnsi="宋体;SimSun" w:cs="宋体;SimSun"/>
          <w:color w:val="auto"/>
          <w:highlight w:val="none"/>
        </w:rPr>
      </w:pPr>
      <w:r>
        <w:rPr>
          <w:rFonts w:ascii="宋体;SimSun" w:hAnsi="宋体;SimSun" w:cs="宋体;SimSun"/>
          <w:color w:val="auto"/>
          <w:highlight w:val="none"/>
        </w:rPr>
        <w:t>j 对电源控制器、空调、空压机等辅助设备要进行经常性检查。</w:t>
      </w:r>
    </w:p>
    <w:p w14:paraId="7183BAF8">
      <w:pPr>
        <w:pStyle w:val="273"/>
        <w:ind w:firstLine="480"/>
        <w:rPr>
          <w:rFonts w:ascii="宋体;SimSun" w:hAnsi="宋体;SimSun" w:cs="宋体;SimSun"/>
          <w:color w:val="auto"/>
          <w:highlight w:val="none"/>
        </w:rPr>
      </w:pPr>
      <w:r>
        <w:rPr>
          <w:rFonts w:ascii="宋体;SimSun" w:hAnsi="宋体;SimSun" w:cs="宋体;SimSun"/>
          <w:color w:val="auto"/>
          <w:highlight w:val="none"/>
        </w:rPr>
        <w:t>k 清理废液，做好站房安全检查与卫生工作</w:t>
      </w:r>
    </w:p>
    <w:p w14:paraId="0A4F9BE7">
      <w:pPr>
        <w:pStyle w:val="273"/>
        <w:ind w:firstLine="480"/>
        <w:rPr>
          <w:color w:val="auto"/>
          <w:highlight w:val="none"/>
        </w:rPr>
      </w:pPr>
      <w:r>
        <w:rPr>
          <w:color w:val="auto"/>
          <w:highlight w:val="none"/>
        </w:rPr>
        <w:t>l 质控工作及相关记录、巡检记录填写。</w:t>
      </w:r>
    </w:p>
    <w:p w14:paraId="5E675976">
      <w:pPr>
        <w:pStyle w:val="274"/>
        <w:numPr>
          <w:ilvl w:val="0"/>
          <w:numId w:val="7"/>
        </w:numPr>
        <w:spacing w:before="156" w:after="156"/>
        <w:outlineLvl w:val="3"/>
        <w:rPr>
          <w:rFonts w:ascii="宋体;SimSun" w:hAnsi="宋体;SimSun" w:cs="宋体;SimSun"/>
          <w:color w:val="auto"/>
          <w:highlight w:val="none"/>
        </w:rPr>
      </w:pPr>
      <w:r>
        <w:rPr>
          <w:rFonts w:ascii="宋体;SimSun" w:hAnsi="宋体;SimSun" w:cs="宋体;SimSun"/>
          <w:color w:val="auto"/>
          <w:highlight w:val="none"/>
        </w:rPr>
        <w:t>运行维护记录、报表及存档</w:t>
      </w:r>
    </w:p>
    <w:p w14:paraId="3F4C8CA4">
      <w:pPr>
        <w:pStyle w:val="273"/>
        <w:ind w:firstLine="480"/>
        <w:rPr>
          <w:color w:val="auto"/>
          <w:highlight w:val="none"/>
        </w:rPr>
      </w:pPr>
      <w:r>
        <w:rPr>
          <w:color w:val="auto"/>
          <w:highlight w:val="none"/>
        </w:rPr>
        <w:t>应建立水站维护档案，将水站的运行过程和运行事件进行详细记录，并进行归档管理。日常运营中使用运行管理相关记录表至少应包括以下表格：</w:t>
      </w:r>
      <w:r>
        <w:rPr>
          <w:color w:val="auto"/>
          <w:highlight w:val="none"/>
        </w:rPr>
        <w:br w:type="textWrapping"/>
      </w:r>
      <w:r>
        <w:rPr>
          <w:color w:val="auto"/>
          <w:highlight w:val="none"/>
        </w:rPr>
        <w:t>（1）水站运行维护记录表（周巡检、故障排除时）；</w:t>
      </w:r>
      <w:r>
        <w:rPr>
          <w:color w:val="auto"/>
          <w:highlight w:val="none"/>
        </w:rPr>
        <w:br w:type="textWrapping"/>
      </w:r>
      <w:r>
        <w:rPr>
          <w:color w:val="auto"/>
          <w:highlight w:val="none"/>
        </w:rPr>
        <w:t>（2）试剂更换及仪器校正记录；</w:t>
      </w:r>
      <w:r>
        <w:rPr>
          <w:color w:val="auto"/>
          <w:highlight w:val="none"/>
        </w:rPr>
        <w:br w:type="textWrapping"/>
      </w:r>
      <w:r>
        <w:rPr>
          <w:color w:val="auto"/>
          <w:highlight w:val="none"/>
        </w:rPr>
        <w:t>（3）备品备件更换记录；</w:t>
      </w:r>
      <w:r>
        <w:rPr>
          <w:color w:val="auto"/>
          <w:highlight w:val="none"/>
        </w:rPr>
        <w:br w:type="textWrapping"/>
      </w:r>
      <w:r>
        <w:rPr>
          <w:color w:val="auto"/>
          <w:highlight w:val="none"/>
        </w:rPr>
        <w:t>（4）质控记录（含比对实验记录、标液核查记录、校正记录、标样考核记录、加标考核记录等）。</w:t>
      </w:r>
    </w:p>
    <w:p w14:paraId="32B4F3A1">
      <w:pPr>
        <w:pStyle w:val="273"/>
        <w:ind w:firstLine="480"/>
        <w:rPr>
          <w:rFonts w:ascii="宋体;SimSun" w:hAnsi="宋体;SimSun" w:cs="宋体;SimSun"/>
          <w:color w:val="auto"/>
          <w:highlight w:val="none"/>
        </w:rPr>
      </w:pPr>
      <w:r>
        <w:rPr>
          <w:rFonts w:ascii="宋体;SimSun" w:hAnsi="宋体;SimSun" w:cs="宋体;SimSun"/>
          <w:color w:val="auto"/>
          <w:highlight w:val="none"/>
        </w:rPr>
        <w:t>甲方保留因管理需要增加工作报表种类的权利。若有增加，需配合完成，并按规定时间报送甲方处存档。</w:t>
      </w:r>
    </w:p>
    <w:p w14:paraId="46389C2B">
      <w:pPr>
        <w:pStyle w:val="274"/>
        <w:numPr>
          <w:ilvl w:val="0"/>
          <w:numId w:val="7"/>
        </w:numPr>
        <w:spacing w:before="156" w:after="156"/>
        <w:outlineLvl w:val="3"/>
        <w:rPr>
          <w:rFonts w:ascii="宋体;SimSun" w:hAnsi="宋体;SimSun" w:cs="宋体;SimSun"/>
          <w:color w:val="auto"/>
          <w:highlight w:val="none"/>
        </w:rPr>
      </w:pPr>
      <w:r>
        <w:rPr>
          <w:rFonts w:ascii="宋体;SimSun" w:hAnsi="宋体;SimSun" w:cs="宋体;SimSun"/>
          <w:color w:val="auto"/>
          <w:highlight w:val="none"/>
        </w:rPr>
        <w:t>质控要求</w:t>
      </w:r>
    </w:p>
    <w:p w14:paraId="54113FED">
      <w:pPr>
        <w:pStyle w:val="273"/>
        <w:ind w:firstLine="480"/>
        <w:rPr>
          <w:color w:val="auto"/>
          <w:highlight w:val="none"/>
        </w:rPr>
      </w:pPr>
      <w:r>
        <w:rPr>
          <w:color w:val="auto"/>
          <w:highlight w:val="none"/>
        </w:rPr>
        <w:t>（1）应在具备资质的实验室完成水站质量控制相关工作；所使用的仪器、化学药品、试剂、纯水、标准物质（标液）等质量级别和有效期均需符合相关要求。</w:t>
      </w:r>
    </w:p>
    <w:p w14:paraId="47DEFB33">
      <w:pPr>
        <w:pStyle w:val="273"/>
        <w:ind w:firstLine="480"/>
        <w:rPr>
          <w:color w:val="auto"/>
          <w:highlight w:val="none"/>
        </w:rPr>
      </w:pPr>
      <w:r>
        <w:rPr>
          <w:rFonts w:ascii="宋体;SimSun" w:hAnsi="宋体;SimSun" w:cs="宋体;SimSun"/>
          <w:color w:val="auto"/>
          <w:highlight w:val="none"/>
        </w:rPr>
        <w:t>（2）应对所承担的运维工作各环节进行质量控制，具体要求见附表</w:t>
      </w:r>
      <w:r>
        <w:rPr>
          <w:rFonts w:ascii="宋体;SimSun" w:hAnsi="宋体;SimSun" w:cs="宋体;SimSun"/>
          <w:color w:val="auto"/>
          <w:highlight w:val="none"/>
          <w:lang w:val="en-US"/>
        </w:rPr>
        <w:t>。</w:t>
      </w:r>
    </w:p>
    <w:p w14:paraId="4B394280">
      <w:pPr>
        <w:pStyle w:val="273"/>
        <w:ind w:firstLine="480"/>
        <w:rPr>
          <w:color w:val="auto"/>
          <w:highlight w:val="none"/>
        </w:rPr>
      </w:pPr>
      <w:r>
        <w:rPr>
          <w:rFonts w:ascii="宋体;SimSun" w:hAnsi="宋体;SimSun" w:cs="宋体;SimSun"/>
          <w:color w:val="auto"/>
          <w:highlight w:val="none"/>
        </w:rPr>
        <w:t>（3）应备有足够的备品备件及备用仪器，对其使用情况进行定期清点，定期更换；在仪器设备故障后短时间内（不超过两天）不能排除时，应立即更换；在应急状况下能按</w:t>
      </w:r>
      <w:r>
        <w:rPr>
          <w:rFonts w:ascii="宋体;SimSun" w:hAnsi="宋体;SimSun" w:cs="宋体;SimSun"/>
          <w:color w:val="auto"/>
          <w:highlight w:val="none"/>
          <w:lang w:val="en-US"/>
        </w:rPr>
        <w:t>园区</w:t>
      </w:r>
      <w:r>
        <w:rPr>
          <w:rFonts w:ascii="宋体;SimSun" w:hAnsi="宋体;SimSun" w:cs="宋体;SimSun"/>
          <w:color w:val="auto"/>
          <w:highlight w:val="none"/>
        </w:rPr>
        <w:t>要求随时更换。</w:t>
      </w:r>
    </w:p>
    <w:p w14:paraId="4F4FDD87">
      <w:pPr>
        <w:pStyle w:val="273"/>
        <w:ind w:firstLine="480"/>
        <w:rPr>
          <w:rFonts w:ascii="宋体;SimSun" w:hAnsi="宋体;SimSun" w:cs="宋体;SimSun"/>
          <w:color w:val="auto"/>
          <w:highlight w:val="none"/>
        </w:rPr>
      </w:pPr>
      <w:r>
        <w:rPr>
          <w:rFonts w:ascii="宋体;SimSun" w:hAnsi="宋体;SimSun" w:cs="宋体;SimSun"/>
          <w:color w:val="auto"/>
          <w:highlight w:val="none"/>
        </w:rPr>
        <w:t>（4）地下水监测中应考虑干扰因子引发浑浊、背景吸光、显色抑制等对总氮监测的影响，需要排查园区地下水干扰项并设计预处理措施。</w:t>
      </w:r>
    </w:p>
    <w:p w14:paraId="6B81D080">
      <w:pPr>
        <w:pStyle w:val="273"/>
        <w:ind w:firstLine="480"/>
        <w:rPr>
          <w:rFonts w:ascii="宋体;SimSun" w:hAnsi="宋体;SimSun" w:cs="宋体;SimSun"/>
          <w:color w:val="auto"/>
          <w:highlight w:val="none"/>
        </w:rPr>
      </w:pPr>
      <w:r>
        <w:rPr>
          <w:rFonts w:ascii="宋体;SimSun" w:hAnsi="宋体;SimSun" w:cs="宋体;SimSun"/>
          <w:color w:val="auto"/>
          <w:highlight w:val="none"/>
        </w:rPr>
        <w:t>（5）针对沿海区域地下水高氯化物数值特征，地下水氯化物自动监测设备可以相应扩展量程。</w:t>
      </w:r>
    </w:p>
    <w:p w14:paraId="0825E859">
      <w:pPr>
        <w:pStyle w:val="274"/>
        <w:numPr>
          <w:ilvl w:val="0"/>
          <w:numId w:val="7"/>
        </w:numPr>
        <w:spacing w:before="156" w:after="156"/>
        <w:outlineLvl w:val="3"/>
        <w:rPr>
          <w:rFonts w:ascii="宋体;SimSun" w:hAnsi="宋体;SimSun" w:cs="宋体;SimSun"/>
          <w:color w:val="auto"/>
          <w:highlight w:val="none"/>
        </w:rPr>
      </w:pPr>
      <w:r>
        <w:rPr>
          <w:rFonts w:ascii="宋体;SimSun" w:hAnsi="宋体;SimSun" w:cs="宋体;SimSun"/>
          <w:color w:val="auto"/>
          <w:highlight w:val="none"/>
        </w:rPr>
        <w:t>系统设备维修要求</w:t>
      </w:r>
    </w:p>
    <w:p w14:paraId="1D5B5F4F">
      <w:pPr>
        <w:pStyle w:val="273"/>
        <w:ind w:firstLine="480"/>
        <w:rPr>
          <w:color w:val="auto"/>
          <w:highlight w:val="none"/>
        </w:rPr>
      </w:pPr>
      <w:r>
        <w:rPr>
          <w:color w:val="auto"/>
          <w:highlight w:val="none"/>
        </w:rPr>
        <w:t>（1）需负责水质自动监测系统各组成部分非自然灾害（自然灾害如地震、海啸、火灾、雷击等）、非战争等外部因素引起的采水、预处理、检测、数据传输与系统控制等设备设施的维护、维修工作（含基础设施）。并负责系统各设备常规备品备件的更换工作；由中标人负责自动站系统所有设备和仪器的维修和调试，并将维修费用计算在报价中。属于工作人员操作不当、违反规程及管理不善等造成的故障维修费用、丢失和损坏设备的费用由业主负责。</w:t>
      </w:r>
      <w:r>
        <w:rPr>
          <w:color w:val="auto"/>
          <w:highlight w:val="none"/>
        </w:rPr>
        <w:br w:type="textWrapping"/>
      </w:r>
      <w:r>
        <w:rPr>
          <w:color w:val="auto"/>
          <w:highlight w:val="none"/>
        </w:rPr>
        <w:t>（2）检测仪器被修复后，当其检测性能受到影响时，需要进行检验，应配合甲方采用标准溶液测定或实际样品比对的方法进行；仪器大修后（更换设备测试关键部件），应配合甲方按顺序进行漂移实验（零点漂移、量程漂移）、重复性及准确度实验、实际样品比对实验。</w:t>
      </w:r>
    </w:p>
    <w:p w14:paraId="2EEB07A2">
      <w:pPr>
        <w:pStyle w:val="274"/>
        <w:numPr>
          <w:ilvl w:val="0"/>
          <w:numId w:val="7"/>
        </w:numPr>
        <w:spacing w:before="156" w:after="156"/>
        <w:outlineLvl w:val="3"/>
        <w:rPr>
          <w:rFonts w:ascii="宋体;SimSun" w:hAnsi="宋体;SimSun" w:cs="宋体;SimSun"/>
          <w:color w:val="auto"/>
          <w:highlight w:val="none"/>
        </w:rPr>
      </w:pPr>
      <w:r>
        <w:rPr>
          <w:rFonts w:ascii="宋体;SimSun" w:hAnsi="宋体;SimSun" w:cs="宋体;SimSun"/>
          <w:color w:val="auto"/>
          <w:highlight w:val="none"/>
        </w:rPr>
        <w:t>运维质量考核办法</w:t>
      </w:r>
    </w:p>
    <w:p w14:paraId="0E3BC7C6">
      <w:pPr>
        <w:pStyle w:val="273"/>
        <w:ind w:firstLine="480"/>
        <w:rPr>
          <w:rFonts w:ascii="宋体;SimSun" w:hAnsi="宋体;SimSun" w:cs="宋体;SimSun"/>
          <w:color w:val="auto"/>
          <w:highlight w:val="none"/>
        </w:rPr>
      </w:pPr>
      <w:r>
        <w:rPr>
          <w:rFonts w:ascii="宋体;SimSun" w:hAnsi="宋体;SimSun" w:cs="宋体;SimSun"/>
          <w:color w:val="auto"/>
          <w:highlight w:val="none"/>
        </w:rPr>
        <w:t>1、运维质量考核为季度考核，每3个月考核一次，具体办法见附表；</w:t>
      </w:r>
    </w:p>
    <w:p w14:paraId="45CD28EE">
      <w:pPr>
        <w:pStyle w:val="273"/>
        <w:ind w:firstLine="480"/>
        <w:rPr>
          <w:rFonts w:ascii="宋体;SimSun" w:hAnsi="宋体;SimSun" w:cs="宋体;SimSun"/>
          <w:color w:val="auto"/>
          <w:highlight w:val="none"/>
        </w:rPr>
      </w:pPr>
      <w:r>
        <w:rPr>
          <w:rFonts w:ascii="宋体;SimSun" w:hAnsi="宋体;SimSun" w:cs="宋体;SimSun"/>
          <w:color w:val="auto"/>
          <w:highlight w:val="none"/>
        </w:rPr>
        <w:t>2、考核等级为中的，应总结运维中问题，加以改进。考核等级为差的，应在1个月内进行整改，形成书面报告。</w:t>
      </w:r>
    </w:p>
    <w:p w14:paraId="49BBFDA2">
      <w:pPr>
        <w:pStyle w:val="274"/>
        <w:ind w:firstLine="0"/>
        <w:outlineLvl w:val="3"/>
        <w:rPr>
          <w:rFonts w:ascii="宋体;SimSun" w:hAnsi="宋体;SimSun" w:cs="宋体;SimSun"/>
          <w:color w:val="auto"/>
          <w:highlight w:val="none"/>
        </w:rPr>
      </w:pPr>
      <w:r>
        <w:rPr>
          <w:rFonts w:ascii="宋体;SimSun" w:hAnsi="宋体;SimSun" w:cs="宋体;SimSun"/>
          <w:color w:val="auto"/>
          <w:highlight w:val="none"/>
        </w:rPr>
        <w:t>附表</w:t>
      </w:r>
    </w:p>
    <w:p w14:paraId="4069C289">
      <w:pPr>
        <w:pStyle w:val="275"/>
        <w:tabs>
          <w:tab w:val="clear" w:pos="0"/>
        </w:tabs>
        <w:rPr>
          <w:color w:val="auto"/>
          <w:highlight w:val="none"/>
        </w:rPr>
      </w:pPr>
      <w:r>
        <w:rPr>
          <w:color w:val="auto"/>
          <w:highlight w:val="none"/>
        </w:rPr>
        <w:t>氨氮、高锰酸盐指数、总磷、总氮质控措施技术要求</w:t>
      </w:r>
    </w:p>
    <w:tbl>
      <w:tblPr>
        <w:tblStyle w:val="39"/>
        <w:tblW w:w="5000" w:type="pct"/>
        <w:jc w:val="center"/>
        <w:tblLayout w:type="fixed"/>
        <w:tblCellMar>
          <w:top w:w="0" w:type="dxa"/>
          <w:left w:w="108" w:type="dxa"/>
          <w:bottom w:w="0" w:type="dxa"/>
          <w:right w:w="108" w:type="dxa"/>
        </w:tblCellMar>
      </w:tblPr>
      <w:tblGrid>
        <w:gridCol w:w="748"/>
        <w:gridCol w:w="1483"/>
        <w:gridCol w:w="1147"/>
        <w:gridCol w:w="1372"/>
        <w:gridCol w:w="215"/>
        <w:gridCol w:w="936"/>
        <w:gridCol w:w="1269"/>
        <w:gridCol w:w="1136"/>
      </w:tblGrid>
      <w:tr w14:paraId="5DA9F47C">
        <w:tblPrEx>
          <w:tblCellMar>
            <w:top w:w="0" w:type="dxa"/>
            <w:left w:w="108" w:type="dxa"/>
            <w:bottom w:w="0" w:type="dxa"/>
            <w:right w:w="108" w:type="dxa"/>
          </w:tblCellMar>
        </w:tblPrEx>
        <w:trPr>
          <w:trHeight w:val="577" w:hRule="atLeast"/>
          <w:jc w:val="center"/>
        </w:trPr>
        <w:tc>
          <w:tcPr>
            <w:tcW w:w="223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42A73B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质控措施</w:t>
            </w: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6F5AECA9">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技术要求</w:t>
            </w:r>
          </w:p>
        </w:tc>
      </w:tr>
      <w:tr w14:paraId="6324C35D">
        <w:tblPrEx>
          <w:tblCellMar>
            <w:top w:w="0" w:type="dxa"/>
            <w:left w:w="108" w:type="dxa"/>
            <w:bottom w:w="0" w:type="dxa"/>
            <w:right w:w="108" w:type="dxa"/>
          </w:tblCellMar>
        </w:tblPrEx>
        <w:trPr>
          <w:trHeight w:val="353" w:hRule="atLeast"/>
          <w:jc w:val="center"/>
        </w:trPr>
        <w:tc>
          <w:tcPr>
            <w:tcW w:w="223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1D4B44F">
            <w:pPr>
              <w:pStyle w:val="276"/>
              <w:widowControl w:val="0"/>
              <w:jc w:val="both"/>
              <w:rPr>
                <w:rFonts w:ascii="宋体;SimSun" w:hAnsi="宋体;SimSun" w:cs="宋体;SimSun"/>
                <w:color w:val="auto"/>
                <w:highlight w:val="none"/>
              </w:rPr>
            </w:pP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107555C">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高锰酸盐指数</w:t>
            </w: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14:paraId="7C54382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氨氮</w:t>
            </w:r>
          </w:p>
        </w:tc>
        <w:tc>
          <w:tcPr>
            <w:tcW w:w="1269" w:type="dxa"/>
            <w:tcBorders>
              <w:top w:val="single" w:color="000000" w:sz="4" w:space="0"/>
              <w:left w:val="single" w:color="000000" w:sz="4" w:space="0"/>
              <w:bottom w:val="single" w:color="000000" w:sz="4" w:space="0"/>
              <w:right w:val="single" w:color="000000" w:sz="4" w:space="0"/>
            </w:tcBorders>
            <w:noWrap w:val="0"/>
            <w:vAlign w:val="center"/>
          </w:tcPr>
          <w:p w14:paraId="53F6F6AF">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总磷</w:t>
            </w: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68C8672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总氮</w:t>
            </w:r>
          </w:p>
        </w:tc>
      </w:tr>
      <w:tr w14:paraId="2C2EFA97">
        <w:tblPrEx>
          <w:tblCellMar>
            <w:top w:w="0" w:type="dxa"/>
            <w:left w:w="108" w:type="dxa"/>
            <w:bottom w:w="0" w:type="dxa"/>
            <w:right w:w="108" w:type="dxa"/>
          </w:tblCellMar>
        </w:tblPrEx>
        <w:trPr>
          <w:trHeight w:val="342"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28F17D07">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零点核查</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DBB5BC6">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±1.0mg/L</w:t>
            </w: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14:paraId="35B1EB7E">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±0.2mg/L</w:t>
            </w:r>
          </w:p>
        </w:tc>
        <w:tc>
          <w:tcPr>
            <w:tcW w:w="1269" w:type="dxa"/>
            <w:tcBorders>
              <w:top w:val="single" w:color="000000" w:sz="4" w:space="0"/>
              <w:left w:val="single" w:color="000000" w:sz="4" w:space="0"/>
              <w:bottom w:val="single" w:color="000000" w:sz="4" w:space="0"/>
              <w:right w:val="single" w:color="000000" w:sz="4" w:space="0"/>
            </w:tcBorders>
            <w:noWrap w:val="0"/>
            <w:vAlign w:val="center"/>
          </w:tcPr>
          <w:p w14:paraId="0BB6E4F5">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±0.02mg/L</w:t>
            </w: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1919F361">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±0.3mg/L</w:t>
            </w:r>
          </w:p>
        </w:tc>
      </w:tr>
      <w:tr w14:paraId="4950F701">
        <w:tblPrEx>
          <w:tblCellMar>
            <w:top w:w="0" w:type="dxa"/>
            <w:left w:w="108" w:type="dxa"/>
            <w:bottom w:w="0" w:type="dxa"/>
            <w:right w:w="108" w:type="dxa"/>
          </w:tblCellMar>
        </w:tblPrEx>
        <w:trPr>
          <w:trHeight w:val="353"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259AAD5B">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24小时零点漂移</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E5A8D1E">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w:t>
            </w:r>
          </w:p>
        </w:tc>
        <w:tc>
          <w:tcPr>
            <w:tcW w:w="3555" w:type="dxa"/>
            <w:gridSpan w:val="4"/>
            <w:tcBorders>
              <w:top w:val="single" w:color="000000" w:sz="4" w:space="0"/>
              <w:left w:val="single" w:color="000000" w:sz="4" w:space="0"/>
              <w:bottom w:val="single" w:color="000000" w:sz="4" w:space="0"/>
              <w:right w:val="single" w:color="000000" w:sz="4" w:space="0"/>
            </w:tcBorders>
            <w:noWrap w:val="0"/>
            <w:vAlign w:val="center"/>
          </w:tcPr>
          <w:p w14:paraId="68D98F33">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±5%</w:t>
            </w:r>
          </w:p>
        </w:tc>
      </w:tr>
      <w:tr w14:paraId="103AA4D6">
        <w:tblPrEx>
          <w:tblCellMar>
            <w:top w:w="0" w:type="dxa"/>
            <w:left w:w="108" w:type="dxa"/>
            <w:bottom w:w="0" w:type="dxa"/>
            <w:right w:w="108" w:type="dxa"/>
          </w:tblCellMar>
        </w:tblPrEx>
        <w:trPr>
          <w:trHeight w:val="342"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70851153">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跨度核查</w:t>
            </w:r>
          </w:p>
        </w:tc>
        <w:tc>
          <w:tcPr>
            <w:tcW w:w="1147" w:type="dxa"/>
            <w:tcBorders>
              <w:top w:val="single" w:color="000000" w:sz="4" w:space="0"/>
              <w:left w:val="single" w:color="000000" w:sz="4" w:space="0"/>
              <w:bottom w:val="single" w:color="000000" w:sz="4" w:space="0"/>
              <w:right w:val="single" w:color="000000" w:sz="4" w:space="0"/>
            </w:tcBorders>
            <w:noWrap w:val="0"/>
            <w:vAlign w:val="center"/>
          </w:tcPr>
          <w:p w14:paraId="295DC946">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±10%（非浮船站）</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5DDE901F">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±15%（浮船站）</w:t>
            </w:r>
          </w:p>
        </w:tc>
        <w:tc>
          <w:tcPr>
            <w:tcW w:w="3555" w:type="dxa"/>
            <w:gridSpan w:val="4"/>
            <w:tcBorders>
              <w:top w:val="single" w:color="000000" w:sz="4" w:space="0"/>
              <w:left w:val="single" w:color="000000" w:sz="4" w:space="0"/>
              <w:bottom w:val="single" w:color="000000" w:sz="4" w:space="0"/>
              <w:right w:val="single" w:color="000000" w:sz="4" w:space="0"/>
            </w:tcBorders>
            <w:noWrap w:val="0"/>
            <w:vAlign w:val="center"/>
          </w:tcPr>
          <w:p w14:paraId="10EF3107">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w:t>
            </w:r>
          </w:p>
        </w:tc>
      </w:tr>
      <w:tr w14:paraId="41D303E7">
        <w:tblPrEx>
          <w:tblCellMar>
            <w:top w:w="0" w:type="dxa"/>
            <w:left w:w="108" w:type="dxa"/>
            <w:bottom w:w="0" w:type="dxa"/>
            <w:right w:w="108" w:type="dxa"/>
          </w:tblCellMar>
        </w:tblPrEx>
        <w:trPr>
          <w:trHeight w:val="353"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5ED783A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24小时跨度漂移</w:t>
            </w:r>
          </w:p>
        </w:tc>
        <w:tc>
          <w:tcPr>
            <w:tcW w:w="1147" w:type="dxa"/>
            <w:tcBorders>
              <w:top w:val="single" w:color="000000" w:sz="4" w:space="0"/>
              <w:left w:val="single" w:color="000000" w:sz="4" w:space="0"/>
              <w:bottom w:val="single" w:color="000000" w:sz="4" w:space="0"/>
              <w:right w:val="single" w:color="000000" w:sz="4" w:space="0"/>
            </w:tcBorders>
            <w:noWrap w:val="0"/>
            <w:vAlign w:val="center"/>
          </w:tcPr>
          <w:p w14:paraId="44C7DC4F">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±10%（非浮船站）</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2B59D274">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±15%（浮船站）</w:t>
            </w:r>
          </w:p>
        </w:tc>
        <w:tc>
          <w:tcPr>
            <w:tcW w:w="3555" w:type="dxa"/>
            <w:gridSpan w:val="4"/>
            <w:tcBorders>
              <w:top w:val="single" w:color="000000" w:sz="4" w:space="0"/>
              <w:left w:val="single" w:color="000000" w:sz="4" w:space="0"/>
              <w:bottom w:val="single" w:color="000000" w:sz="4" w:space="0"/>
              <w:right w:val="single" w:color="000000" w:sz="4" w:space="0"/>
            </w:tcBorders>
            <w:noWrap w:val="0"/>
            <w:vAlign w:val="center"/>
          </w:tcPr>
          <w:p w14:paraId="20C44090">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w:t>
            </w:r>
          </w:p>
        </w:tc>
      </w:tr>
      <w:tr w14:paraId="2ABB471F">
        <w:tblPrEx>
          <w:tblCellMar>
            <w:top w:w="0" w:type="dxa"/>
            <w:left w:w="108" w:type="dxa"/>
            <w:bottom w:w="0" w:type="dxa"/>
            <w:right w:w="108" w:type="dxa"/>
          </w:tblCellMar>
        </w:tblPrEx>
        <w:trPr>
          <w:trHeight w:val="92" w:hRule="atLeast"/>
          <w:jc w:val="center"/>
        </w:trPr>
        <w:tc>
          <w:tcPr>
            <w:tcW w:w="748" w:type="dxa"/>
            <w:vMerge w:val="restart"/>
            <w:tcBorders>
              <w:top w:val="single" w:color="000000" w:sz="4" w:space="0"/>
              <w:left w:val="single" w:color="000000" w:sz="4" w:space="0"/>
              <w:bottom w:val="single" w:color="000000" w:sz="4" w:space="0"/>
              <w:right w:val="single" w:color="000000" w:sz="4" w:space="0"/>
            </w:tcBorders>
            <w:noWrap w:val="0"/>
            <w:vAlign w:val="center"/>
          </w:tcPr>
          <w:p w14:paraId="1DB0927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多点线性核查</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793634E2">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相关系数r</w:t>
            </w: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0601A25F">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≥0.98</w:t>
            </w:r>
          </w:p>
        </w:tc>
      </w:tr>
      <w:tr w14:paraId="70B86B1A">
        <w:tblPrEx>
          <w:tblCellMar>
            <w:top w:w="0" w:type="dxa"/>
            <w:left w:w="108" w:type="dxa"/>
            <w:bottom w:w="0" w:type="dxa"/>
            <w:right w:w="108" w:type="dxa"/>
          </w:tblCellMar>
        </w:tblPrEx>
        <w:trPr>
          <w:trHeight w:val="544"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839E4A">
            <w:pPr>
              <w:pStyle w:val="276"/>
              <w:widowControl w:val="0"/>
              <w:jc w:val="both"/>
              <w:rPr>
                <w:rFonts w:ascii="宋体;SimSun" w:hAnsi="宋体;SimSun" w:cs="宋体;SimSun"/>
                <w:bCs/>
                <w:color w:val="auto"/>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4D023B53">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示值误差</w:t>
            </w:r>
          </w:p>
          <w:p w14:paraId="0A7DBF2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（非零点）</w:t>
            </w: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1D89A96F">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w:t>
            </w:r>
          </w:p>
        </w:tc>
      </w:tr>
      <w:tr w14:paraId="082F33F7">
        <w:tblPrEx>
          <w:tblCellMar>
            <w:top w:w="0" w:type="dxa"/>
            <w:left w:w="108" w:type="dxa"/>
            <w:bottom w:w="0" w:type="dxa"/>
            <w:right w:w="108" w:type="dxa"/>
          </w:tblCellMar>
        </w:tblPrEx>
        <w:trPr>
          <w:trHeight w:val="223" w:hRule="atLeast"/>
          <w:jc w:val="center"/>
        </w:trPr>
        <w:tc>
          <w:tcPr>
            <w:tcW w:w="7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B0B5B">
            <w:pPr>
              <w:pStyle w:val="276"/>
              <w:widowControl w:val="0"/>
              <w:jc w:val="both"/>
              <w:rPr>
                <w:rFonts w:ascii="宋体;SimSun" w:hAnsi="宋体;SimSun" w:cs="宋体;SimSun"/>
                <w:bCs/>
                <w:color w:val="auto"/>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14:paraId="662FD9A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零点示值误差</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70643D2">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±1.0mg/L</w:t>
            </w:r>
          </w:p>
        </w:tc>
        <w:tc>
          <w:tcPr>
            <w:tcW w:w="1151" w:type="dxa"/>
            <w:gridSpan w:val="2"/>
            <w:tcBorders>
              <w:top w:val="single" w:color="000000" w:sz="4" w:space="0"/>
              <w:left w:val="single" w:color="000000" w:sz="4" w:space="0"/>
              <w:bottom w:val="single" w:color="000000" w:sz="4" w:space="0"/>
              <w:right w:val="single" w:color="000000" w:sz="4" w:space="0"/>
            </w:tcBorders>
            <w:noWrap w:val="0"/>
            <w:vAlign w:val="center"/>
          </w:tcPr>
          <w:p w14:paraId="49537208">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±0.2mg/L</w:t>
            </w:r>
          </w:p>
        </w:tc>
        <w:tc>
          <w:tcPr>
            <w:tcW w:w="1269" w:type="dxa"/>
            <w:tcBorders>
              <w:top w:val="single" w:color="000000" w:sz="4" w:space="0"/>
              <w:left w:val="single" w:color="000000" w:sz="4" w:space="0"/>
              <w:bottom w:val="single" w:color="000000" w:sz="4" w:space="0"/>
              <w:right w:val="single" w:color="000000" w:sz="4" w:space="0"/>
            </w:tcBorders>
            <w:noWrap w:val="0"/>
            <w:vAlign w:val="center"/>
          </w:tcPr>
          <w:p w14:paraId="1A73A43F">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±0.02mg/L</w:t>
            </w: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3D0A5487">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±0.3mg/L</w:t>
            </w:r>
          </w:p>
        </w:tc>
      </w:tr>
      <w:tr w14:paraId="36803237">
        <w:tblPrEx>
          <w:tblCellMar>
            <w:top w:w="0" w:type="dxa"/>
            <w:left w:w="108" w:type="dxa"/>
            <w:bottom w:w="0" w:type="dxa"/>
            <w:right w:w="108" w:type="dxa"/>
          </w:tblCellMar>
        </w:tblPrEx>
        <w:trPr>
          <w:trHeight w:val="183" w:hRule="atLeast"/>
          <w:jc w:val="center"/>
        </w:trPr>
        <w:tc>
          <w:tcPr>
            <w:tcW w:w="223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0E5D44A5">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实际水样比对</w:t>
            </w:r>
          </w:p>
        </w:tc>
        <w:tc>
          <w:tcPr>
            <w:tcW w:w="2735" w:type="dxa"/>
            <w:gridSpan w:val="3"/>
            <w:tcBorders>
              <w:top w:val="single" w:color="000000" w:sz="4" w:space="0"/>
              <w:left w:val="single" w:color="000000" w:sz="4" w:space="0"/>
              <w:bottom w:val="single" w:color="000000" w:sz="4" w:space="0"/>
              <w:right w:val="single" w:color="000000" w:sz="4" w:space="0"/>
            </w:tcBorders>
            <w:noWrap w:val="0"/>
            <w:vAlign w:val="center"/>
          </w:tcPr>
          <w:p w14:paraId="60E7ED27">
            <w:pPr>
              <w:pStyle w:val="276"/>
              <w:widowControl w:val="0"/>
              <w:jc w:val="both"/>
              <w:rPr>
                <w:rFonts w:ascii="宋体;SimSun" w:hAnsi="宋体;SimSun" w:cs="宋体;SimSun"/>
                <w:bCs/>
                <w:color w:val="auto"/>
                <w:highlight w:val="none"/>
              </w:rPr>
            </w:pPr>
            <w:r>
              <w:rPr>
                <w:color w:val="auto"/>
                <w:highlight w:val="none"/>
              </w:rPr>
              <w:drawing>
                <wp:inline distT="0" distB="0" distL="0" distR="0">
                  <wp:extent cx="586105" cy="1809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0"/>
                          <a:stretch>
                            <a:fillRect/>
                          </a:stretch>
                        </pic:blipFill>
                        <pic:spPr>
                          <a:xfrm>
                            <a:off x="0" y="0"/>
                            <a:ext cx="586105" cy="180975"/>
                          </a:xfrm>
                          <a:prstGeom prst="rect">
                            <a:avLst/>
                          </a:prstGeom>
                          <a:noFill/>
                          <a:ln>
                            <a:noFill/>
                            <a:miter/>
                          </a:ln>
                        </pic:spPr>
                      </pic:pic>
                    </a:graphicData>
                  </a:graphic>
                </wp:inline>
              </w:drawing>
            </w:r>
          </w:p>
        </w:tc>
        <w:tc>
          <w:tcPr>
            <w:tcW w:w="3340" w:type="dxa"/>
            <w:gridSpan w:val="3"/>
            <w:tcBorders>
              <w:top w:val="single" w:color="000000" w:sz="4" w:space="0"/>
              <w:left w:val="single" w:color="000000" w:sz="4" w:space="0"/>
              <w:bottom w:val="single" w:color="000000" w:sz="4" w:space="0"/>
              <w:right w:val="single" w:color="000000" w:sz="4" w:space="0"/>
            </w:tcBorders>
            <w:noWrap w:val="0"/>
            <w:vAlign w:val="center"/>
          </w:tcPr>
          <w:p w14:paraId="615EAFB3">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相对误差≤20%</w:t>
            </w:r>
          </w:p>
        </w:tc>
      </w:tr>
      <w:tr w14:paraId="69A00939">
        <w:tblPrEx>
          <w:tblCellMar>
            <w:top w:w="0" w:type="dxa"/>
            <w:left w:w="108" w:type="dxa"/>
            <w:bottom w:w="0" w:type="dxa"/>
            <w:right w:w="108" w:type="dxa"/>
          </w:tblCellMar>
        </w:tblPrEx>
        <w:trPr>
          <w:trHeight w:val="89" w:hRule="atLeast"/>
          <w:jc w:val="center"/>
        </w:trPr>
        <w:tc>
          <w:tcPr>
            <w:tcW w:w="223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62B06F">
            <w:pPr>
              <w:pStyle w:val="276"/>
              <w:widowControl w:val="0"/>
              <w:jc w:val="both"/>
              <w:rPr>
                <w:rFonts w:ascii="宋体;SimSun" w:hAnsi="宋体;SimSun" w:cs="宋体;SimSun"/>
                <w:bCs/>
                <w:color w:val="auto"/>
                <w:highlight w:val="none"/>
              </w:rPr>
            </w:pPr>
          </w:p>
        </w:tc>
        <w:tc>
          <w:tcPr>
            <w:tcW w:w="2735" w:type="dxa"/>
            <w:gridSpan w:val="3"/>
            <w:tcBorders>
              <w:top w:val="single" w:color="000000" w:sz="4" w:space="0"/>
              <w:left w:val="single" w:color="000000" w:sz="4" w:space="0"/>
              <w:bottom w:val="single" w:color="000000" w:sz="4" w:space="0"/>
              <w:right w:val="single" w:color="000000" w:sz="4" w:space="0"/>
            </w:tcBorders>
            <w:noWrap w:val="0"/>
            <w:vAlign w:val="center"/>
          </w:tcPr>
          <w:p w14:paraId="7FFAE678">
            <w:pPr>
              <w:pStyle w:val="276"/>
              <w:widowControl w:val="0"/>
              <w:jc w:val="both"/>
              <w:rPr>
                <w:rFonts w:ascii="宋体;SimSun" w:hAnsi="宋体;SimSun" w:cs="宋体;SimSun"/>
                <w:bCs/>
                <w:color w:val="auto"/>
                <w:highlight w:val="none"/>
              </w:rPr>
            </w:pPr>
            <w:r>
              <w:rPr>
                <w:color w:val="auto"/>
                <w:highlight w:val="none"/>
              </w:rPr>
              <w:drawing>
                <wp:inline distT="0" distB="0" distL="0" distR="0">
                  <wp:extent cx="919480" cy="1809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1"/>
                          <a:stretch>
                            <a:fillRect/>
                          </a:stretch>
                        </pic:blipFill>
                        <pic:spPr>
                          <a:xfrm>
                            <a:off x="0" y="0"/>
                            <a:ext cx="919480" cy="180975"/>
                          </a:xfrm>
                          <a:prstGeom prst="rect">
                            <a:avLst/>
                          </a:prstGeom>
                          <a:noFill/>
                          <a:ln>
                            <a:noFill/>
                            <a:miter/>
                          </a:ln>
                        </pic:spPr>
                      </pic:pic>
                    </a:graphicData>
                  </a:graphic>
                </wp:inline>
              </w:drawing>
            </w:r>
          </w:p>
        </w:tc>
        <w:tc>
          <w:tcPr>
            <w:tcW w:w="3340" w:type="dxa"/>
            <w:gridSpan w:val="3"/>
            <w:tcBorders>
              <w:top w:val="single" w:color="000000" w:sz="4" w:space="0"/>
              <w:left w:val="single" w:color="000000" w:sz="4" w:space="0"/>
              <w:bottom w:val="single" w:color="000000" w:sz="4" w:space="0"/>
              <w:right w:val="single" w:color="000000" w:sz="4" w:space="0"/>
            </w:tcBorders>
            <w:noWrap w:val="0"/>
            <w:vAlign w:val="center"/>
          </w:tcPr>
          <w:p w14:paraId="0A8E1E7E">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相对误差≤30%</w:t>
            </w:r>
          </w:p>
        </w:tc>
      </w:tr>
      <w:tr w14:paraId="4366A3DC">
        <w:tblPrEx>
          <w:tblCellMar>
            <w:top w:w="0" w:type="dxa"/>
            <w:left w:w="108" w:type="dxa"/>
            <w:bottom w:w="0" w:type="dxa"/>
            <w:right w:w="108" w:type="dxa"/>
          </w:tblCellMar>
        </w:tblPrEx>
        <w:trPr>
          <w:trHeight w:val="412" w:hRule="atLeast"/>
          <w:jc w:val="center"/>
        </w:trPr>
        <w:tc>
          <w:tcPr>
            <w:tcW w:w="223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C2A380A">
            <w:pPr>
              <w:pStyle w:val="276"/>
              <w:widowControl w:val="0"/>
              <w:jc w:val="both"/>
              <w:rPr>
                <w:rFonts w:ascii="宋体;SimSun" w:hAnsi="宋体;SimSun" w:cs="宋体;SimSun"/>
                <w:bCs/>
                <w:color w:val="auto"/>
                <w:highlight w:val="none"/>
              </w:rPr>
            </w:pPr>
          </w:p>
        </w:tc>
        <w:tc>
          <w:tcPr>
            <w:tcW w:w="2735" w:type="dxa"/>
            <w:gridSpan w:val="3"/>
            <w:tcBorders>
              <w:top w:val="single" w:color="000000" w:sz="4" w:space="0"/>
              <w:left w:val="single" w:color="000000" w:sz="4" w:space="0"/>
              <w:bottom w:val="single" w:color="000000" w:sz="4" w:space="0"/>
              <w:right w:val="single" w:color="000000" w:sz="4" w:space="0"/>
            </w:tcBorders>
            <w:noWrap w:val="0"/>
            <w:vAlign w:val="center"/>
          </w:tcPr>
          <w:p w14:paraId="7894EBC9">
            <w:pPr>
              <w:pStyle w:val="276"/>
              <w:widowControl w:val="0"/>
              <w:jc w:val="left"/>
              <w:rPr>
                <w:rFonts w:ascii="宋体;SimSun" w:hAnsi="宋体;SimSun" w:cs="宋体;SimSun"/>
                <w:bCs/>
                <w:color w:val="auto"/>
                <w:highlight w:val="none"/>
              </w:rPr>
            </w:pPr>
            <m:oMathPara>
              <m:oMathParaPr>
                <m:jc m:val="left"/>
              </m:oMathParaPr>
              <m:oMath>
                <m:r>
                  <m:rPr>
                    <m:nor/>
                    <m:sty m:val="p"/>
                  </m:rPr>
                  <w:rPr>
                    <w:rFonts w:ascii="Cambria Math" w:hAnsi="Cambria Math"/>
                    <w:b w:val="0"/>
                    <w:i w:val="0"/>
                    <w:color w:val="auto"/>
                    <w:highlight w:val="none"/>
                  </w:rPr>
                  <m:t>Cx</m:t>
                </m:r>
                <m:r>
                  <m:rPr/>
                  <w:rPr>
                    <w:rFonts w:ascii="Cambria Math" w:hAnsi="Cambria Math"/>
                    <w:color w:val="auto"/>
                    <w:highlight w:val="none"/>
                  </w:rPr>
                  <m:t>≤</m:t>
                </m:r>
                <m:r>
                  <m:rPr>
                    <m:nor/>
                    <m:sty m:val="p"/>
                  </m:rPr>
                  <w:rPr>
                    <w:rFonts w:ascii="Cambria Math" w:hAnsi="Cambria Math"/>
                    <w:b w:val="0"/>
                    <w:i w:val="0"/>
                    <w:color w:val="auto"/>
                    <w:highlight w:val="none"/>
                  </w:rPr>
                  <m:t>BII</m:t>
                </m:r>
              </m:oMath>
            </m:oMathPara>
          </w:p>
        </w:tc>
        <w:tc>
          <w:tcPr>
            <w:tcW w:w="3340" w:type="dxa"/>
            <w:gridSpan w:val="3"/>
            <w:tcBorders>
              <w:top w:val="single" w:color="000000" w:sz="4" w:space="0"/>
              <w:left w:val="single" w:color="000000" w:sz="4" w:space="0"/>
              <w:bottom w:val="single" w:color="000000" w:sz="4" w:space="0"/>
              <w:right w:val="single" w:color="000000" w:sz="4" w:space="0"/>
            </w:tcBorders>
            <w:noWrap w:val="0"/>
            <w:vAlign w:val="center"/>
          </w:tcPr>
          <w:p w14:paraId="1990879E">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相对误差≤40%</w:t>
            </w:r>
          </w:p>
        </w:tc>
      </w:tr>
      <w:tr w14:paraId="407FA125">
        <w:tblPrEx>
          <w:tblCellMar>
            <w:top w:w="0" w:type="dxa"/>
            <w:left w:w="108" w:type="dxa"/>
            <w:bottom w:w="0" w:type="dxa"/>
            <w:right w:w="108" w:type="dxa"/>
          </w:tblCellMar>
        </w:tblPrEx>
        <w:trPr>
          <w:trHeight w:val="730" w:hRule="atLeast"/>
          <w:jc w:val="center"/>
        </w:trPr>
        <w:tc>
          <w:tcPr>
            <w:tcW w:w="223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3C3BD22">
            <w:pPr>
              <w:pStyle w:val="276"/>
              <w:widowControl w:val="0"/>
              <w:jc w:val="both"/>
              <w:rPr>
                <w:rFonts w:ascii="宋体;SimSun" w:hAnsi="宋体;SimSun" w:cs="宋体;SimSun"/>
                <w:bCs/>
                <w:color w:val="auto"/>
                <w:highlight w:val="none"/>
              </w:rPr>
            </w:pP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59AF04F7">
            <w:pPr>
              <w:pStyle w:val="276"/>
              <w:widowControl w:val="0"/>
              <w:jc w:val="both"/>
              <w:rPr>
                <w:rFonts w:ascii="宋体;SimSun" w:hAnsi="宋体;SimSun" w:cs="宋体;SimSun"/>
                <w:color w:val="auto"/>
                <w:highlight w:val="none"/>
                <w:shd w:val="clear" w:color="auto" w:fill="FFFFFF"/>
              </w:rPr>
            </w:pPr>
            <w:r>
              <w:rPr>
                <w:rFonts w:ascii="宋体;SimSun" w:hAnsi="宋体;SimSun" w:cs="宋体;SimSun"/>
                <w:color w:val="auto"/>
                <w:highlight w:val="none"/>
                <w:shd w:val="clear" w:color="auto" w:fill="FFFFFF"/>
              </w:rPr>
              <w:t>当自动监测结果和实验室分析结果均低于BⅡ时，认定比对实验结果合格。</w:t>
            </w:r>
          </w:p>
          <w:p w14:paraId="61145459">
            <w:pPr>
              <w:pStyle w:val="276"/>
              <w:widowControl w:val="0"/>
              <w:jc w:val="both"/>
              <w:rPr>
                <w:color w:val="auto"/>
                <w:highlight w:val="none"/>
              </w:rPr>
            </w:pPr>
            <w:r>
              <w:rPr>
                <w:rFonts w:ascii="宋体;SimSun" w:hAnsi="宋体;SimSun" w:cs="宋体;SimSun"/>
                <w:bCs/>
                <w:color w:val="auto"/>
                <w:highlight w:val="none"/>
                <w:shd w:val="clear" w:color="auto" w:fill="FFFFFF"/>
              </w:rPr>
              <w:t>注：①</w:t>
            </w:r>
            <w:r>
              <w:rPr>
                <w:color w:val="auto"/>
                <w:highlight w:val="none"/>
              </w:rPr>
              <w:drawing>
                <wp:inline distT="0" distB="0" distL="0" distR="0">
                  <wp:extent cx="177800" cy="168910"/>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pic:cNvPicPr>
                        </pic:nvPicPr>
                        <pic:blipFill>
                          <a:blip r:embed="rId22"/>
                          <a:srcRect l="-202" t="-640" r="-605" b="-640"/>
                          <a:stretch>
                            <a:fillRect/>
                          </a:stretch>
                        </pic:blipFill>
                        <pic:spPr>
                          <a:xfrm>
                            <a:off x="0" y="0"/>
                            <a:ext cx="177800" cy="168910"/>
                          </a:xfrm>
                          <a:prstGeom prst="rect">
                            <a:avLst/>
                          </a:prstGeom>
                        </pic:spPr>
                      </pic:pic>
                    </a:graphicData>
                  </a:graphic>
                </wp:inline>
              </w:drawing>
            </w:r>
            <w:r>
              <w:rPr>
                <w:rFonts w:ascii="宋体;SimSun" w:hAnsi="宋体;SimSun" w:cs="宋体;SimSun"/>
                <w:color w:val="auto"/>
                <w:highlight w:val="none"/>
              </w:rPr>
              <w:t>为实验室分析结果；</w:t>
            </w:r>
          </w:p>
          <w:p w14:paraId="040C3B09">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②B 为《地表水环境质量标准》（GB 3838）规定的水质类别限值；</w:t>
            </w:r>
          </w:p>
          <w:p w14:paraId="3F62969C">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③总氮河流无水质类别标准，可参考湖库标准。</w:t>
            </w:r>
          </w:p>
        </w:tc>
      </w:tr>
      <w:tr w14:paraId="6B4EC7D8">
        <w:tblPrEx>
          <w:tblCellMar>
            <w:top w:w="0" w:type="dxa"/>
            <w:left w:w="108" w:type="dxa"/>
            <w:bottom w:w="0" w:type="dxa"/>
            <w:right w:w="108" w:type="dxa"/>
          </w:tblCellMar>
        </w:tblPrEx>
        <w:trPr>
          <w:trHeight w:val="353"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0E8791B4">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加标回收率自动测试</w:t>
            </w: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478F7754">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80%~120%</w:t>
            </w:r>
          </w:p>
        </w:tc>
      </w:tr>
      <w:tr w14:paraId="376DC723">
        <w:tblPrEx>
          <w:tblCellMar>
            <w:top w:w="0" w:type="dxa"/>
            <w:left w:w="108" w:type="dxa"/>
            <w:bottom w:w="0" w:type="dxa"/>
            <w:right w:w="108" w:type="dxa"/>
          </w:tblCellMar>
        </w:tblPrEx>
        <w:trPr>
          <w:trHeight w:val="326" w:hRule="atLeast"/>
          <w:jc w:val="center"/>
        </w:trPr>
        <w:tc>
          <w:tcPr>
            <w:tcW w:w="2231" w:type="dxa"/>
            <w:gridSpan w:val="2"/>
            <w:tcBorders>
              <w:top w:val="single" w:color="000000" w:sz="4" w:space="0"/>
              <w:left w:val="single" w:color="000000" w:sz="4" w:space="0"/>
              <w:bottom w:val="single" w:color="000000" w:sz="4" w:space="0"/>
              <w:right w:val="single" w:color="000000" w:sz="4" w:space="0"/>
            </w:tcBorders>
            <w:noWrap w:val="0"/>
            <w:vAlign w:val="center"/>
          </w:tcPr>
          <w:p w14:paraId="0752166F">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集成干预检查</w:t>
            </w:r>
          </w:p>
        </w:tc>
        <w:tc>
          <w:tcPr>
            <w:tcW w:w="6075" w:type="dxa"/>
            <w:gridSpan w:val="6"/>
            <w:tcBorders>
              <w:top w:val="single" w:color="000000" w:sz="4" w:space="0"/>
              <w:left w:val="single" w:color="000000" w:sz="4" w:space="0"/>
              <w:bottom w:val="single" w:color="000000" w:sz="4" w:space="0"/>
              <w:right w:val="single" w:color="000000" w:sz="4" w:space="0"/>
            </w:tcBorders>
            <w:noWrap w:val="0"/>
            <w:vAlign w:val="center"/>
          </w:tcPr>
          <w:p w14:paraId="77CE0BF8">
            <w:pPr>
              <w:pStyle w:val="276"/>
              <w:widowControl w:val="0"/>
              <w:jc w:val="both"/>
              <w:rPr>
                <w:rFonts w:ascii="宋体;SimSun" w:hAnsi="宋体;SimSun" w:cs="宋体;SimSun"/>
                <w:bCs/>
                <w:color w:val="auto"/>
                <w:highlight w:val="none"/>
              </w:rPr>
            </w:pPr>
            <w:r>
              <w:rPr>
                <w:rFonts w:ascii="宋体;SimSun" w:hAnsi="宋体;SimSun" w:cs="宋体;SimSun"/>
                <w:bCs/>
                <w:color w:val="auto"/>
                <w:highlight w:val="none"/>
              </w:rPr>
              <w:t>±10%</w:t>
            </w:r>
          </w:p>
        </w:tc>
      </w:tr>
    </w:tbl>
    <w:p w14:paraId="500A1A41">
      <w:pPr>
        <w:pStyle w:val="275"/>
        <w:tabs>
          <w:tab w:val="clear" w:pos="0"/>
        </w:tabs>
        <w:rPr>
          <w:color w:val="auto"/>
          <w:highlight w:val="none"/>
        </w:rPr>
      </w:pPr>
      <w:r>
        <w:rPr>
          <w:color w:val="auto"/>
          <w:highlight w:val="none"/>
        </w:rPr>
        <w:t>地表水常规五参数质控措施要求</w:t>
      </w:r>
    </w:p>
    <w:tbl>
      <w:tblPr>
        <w:tblStyle w:val="39"/>
        <w:tblW w:w="5000" w:type="pct"/>
        <w:jc w:val="center"/>
        <w:tblLayout w:type="fixed"/>
        <w:tblCellMar>
          <w:top w:w="0" w:type="dxa"/>
          <w:left w:w="108" w:type="dxa"/>
          <w:bottom w:w="0" w:type="dxa"/>
          <w:right w:w="108" w:type="dxa"/>
        </w:tblCellMar>
      </w:tblPr>
      <w:tblGrid>
        <w:gridCol w:w="1120"/>
        <w:gridCol w:w="2468"/>
        <w:gridCol w:w="1010"/>
        <w:gridCol w:w="2471"/>
        <w:gridCol w:w="1237"/>
      </w:tblGrid>
      <w:tr w14:paraId="4533CFBF">
        <w:tblPrEx>
          <w:tblCellMar>
            <w:top w:w="0" w:type="dxa"/>
            <w:left w:w="108" w:type="dxa"/>
            <w:bottom w:w="0" w:type="dxa"/>
            <w:right w:w="108" w:type="dxa"/>
          </w:tblCellMar>
        </w:tblPrEx>
        <w:trPr>
          <w:trHeight w:val="319" w:hRule="atLeast"/>
          <w:jc w:val="center"/>
        </w:trPr>
        <w:tc>
          <w:tcPr>
            <w:tcW w:w="1121" w:type="dxa"/>
            <w:vMerge w:val="restart"/>
            <w:tcBorders>
              <w:top w:val="single" w:color="000000" w:sz="4" w:space="0"/>
              <w:left w:val="single" w:color="000000" w:sz="4" w:space="0"/>
              <w:bottom w:val="single" w:color="000000" w:sz="4" w:space="0"/>
              <w:right w:val="single" w:color="000000" w:sz="4" w:space="0"/>
            </w:tcBorders>
            <w:noWrap w:val="0"/>
            <w:vAlign w:val="center"/>
          </w:tcPr>
          <w:p w14:paraId="71075965">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监测项目</w:t>
            </w:r>
          </w:p>
        </w:tc>
        <w:tc>
          <w:tcPr>
            <w:tcW w:w="7185" w:type="dxa"/>
            <w:gridSpan w:val="4"/>
            <w:tcBorders>
              <w:top w:val="single" w:color="000000" w:sz="4" w:space="0"/>
              <w:left w:val="single" w:color="000000" w:sz="4" w:space="0"/>
              <w:bottom w:val="single" w:color="000000" w:sz="4" w:space="0"/>
              <w:right w:val="single" w:color="000000" w:sz="4" w:space="0"/>
            </w:tcBorders>
            <w:noWrap w:val="0"/>
            <w:vAlign w:val="center"/>
          </w:tcPr>
          <w:p w14:paraId="4AFE73AC">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技术要求</w:t>
            </w:r>
          </w:p>
        </w:tc>
      </w:tr>
      <w:tr w14:paraId="07A2385B">
        <w:tblPrEx>
          <w:tblCellMar>
            <w:top w:w="0" w:type="dxa"/>
            <w:left w:w="108" w:type="dxa"/>
            <w:bottom w:w="0" w:type="dxa"/>
            <w:right w:w="108" w:type="dxa"/>
          </w:tblCellMar>
        </w:tblPrEx>
        <w:trPr>
          <w:trHeight w:val="330" w:hRule="atLeast"/>
          <w:jc w:val="center"/>
        </w:trPr>
        <w:tc>
          <w:tcPr>
            <w:tcW w:w="11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5C44F">
            <w:pPr>
              <w:pStyle w:val="276"/>
              <w:widowControl w:val="0"/>
              <w:jc w:val="both"/>
              <w:rPr>
                <w:rFonts w:ascii="宋体;SimSun" w:hAnsi="宋体;SimSun" w:cs="宋体;SimSun"/>
                <w:color w:val="auto"/>
                <w:highlight w:val="none"/>
              </w:rPr>
            </w:pPr>
          </w:p>
        </w:tc>
        <w:tc>
          <w:tcPr>
            <w:tcW w:w="3478" w:type="dxa"/>
            <w:gridSpan w:val="2"/>
            <w:tcBorders>
              <w:top w:val="single" w:color="000000" w:sz="4" w:space="0"/>
              <w:left w:val="single" w:color="000000" w:sz="4" w:space="0"/>
              <w:bottom w:val="single" w:color="000000" w:sz="4" w:space="0"/>
              <w:right w:val="single" w:color="000000" w:sz="4" w:space="0"/>
            </w:tcBorders>
            <w:noWrap w:val="0"/>
            <w:vAlign w:val="center"/>
          </w:tcPr>
          <w:p w14:paraId="779CCFBB">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标准溶液考核</w:t>
            </w:r>
          </w:p>
        </w:tc>
        <w:tc>
          <w:tcPr>
            <w:tcW w:w="3707" w:type="dxa"/>
            <w:gridSpan w:val="2"/>
            <w:tcBorders>
              <w:top w:val="single" w:color="000000" w:sz="4" w:space="0"/>
              <w:left w:val="single" w:color="000000" w:sz="4" w:space="0"/>
              <w:bottom w:val="single" w:color="000000" w:sz="4" w:space="0"/>
              <w:right w:val="single" w:color="000000" w:sz="4" w:space="0"/>
            </w:tcBorders>
            <w:noWrap w:val="0"/>
            <w:vAlign w:val="center"/>
          </w:tcPr>
          <w:p w14:paraId="2912586B">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实际水样比对</w:t>
            </w:r>
          </w:p>
        </w:tc>
      </w:tr>
      <w:tr w14:paraId="58545180">
        <w:tblPrEx>
          <w:tblCellMar>
            <w:top w:w="0" w:type="dxa"/>
            <w:left w:w="108" w:type="dxa"/>
            <w:bottom w:w="0" w:type="dxa"/>
            <w:right w:w="108" w:type="dxa"/>
          </w:tblCellMar>
        </w:tblPrEx>
        <w:trPr>
          <w:trHeight w:val="319"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center"/>
          </w:tcPr>
          <w:p w14:paraId="4019CEE4">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水温</w:t>
            </w:r>
          </w:p>
        </w:tc>
        <w:tc>
          <w:tcPr>
            <w:tcW w:w="3478" w:type="dxa"/>
            <w:gridSpan w:val="2"/>
            <w:tcBorders>
              <w:top w:val="single" w:color="000000" w:sz="4" w:space="0"/>
              <w:left w:val="single" w:color="000000" w:sz="4" w:space="0"/>
              <w:bottom w:val="single" w:color="000000" w:sz="4" w:space="0"/>
              <w:right w:val="single" w:color="000000" w:sz="4" w:space="0"/>
            </w:tcBorders>
            <w:noWrap w:val="0"/>
            <w:vAlign w:val="center"/>
          </w:tcPr>
          <w:p w14:paraId="36C59FD2">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w:t>
            </w:r>
          </w:p>
        </w:tc>
        <w:tc>
          <w:tcPr>
            <w:tcW w:w="3707" w:type="dxa"/>
            <w:gridSpan w:val="2"/>
            <w:tcBorders>
              <w:top w:val="single" w:color="000000" w:sz="4" w:space="0"/>
              <w:left w:val="single" w:color="000000" w:sz="4" w:space="0"/>
              <w:bottom w:val="single" w:color="000000" w:sz="4" w:space="0"/>
              <w:right w:val="single" w:color="000000" w:sz="4" w:space="0"/>
            </w:tcBorders>
            <w:noWrap w:val="0"/>
            <w:vAlign w:val="center"/>
          </w:tcPr>
          <w:p w14:paraId="58D73B6A">
            <w:pPr>
              <w:pStyle w:val="276"/>
              <w:widowControl w:val="0"/>
              <w:jc w:val="both"/>
              <w:rPr>
                <w:color w:val="auto"/>
                <w:highlight w:val="none"/>
              </w:rPr>
            </w:pPr>
            <w:r>
              <w:rPr>
                <w:rFonts w:ascii="宋体;SimSun" w:hAnsi="宋体;SimSun" w:cs="宋体;SimSun"/>
                <w:color w:val="auto"/>
                <w:highlight w:val="none"/>
              </w:rPr>
              <w:t>±0.5</w:t>
            </w:r>
            <w:r>
              <w:rPr>
                <w:rFonts w:ascii="宋体;SimSun" w:hAnsi="宋体;SimSun" w:cs="宋体;SimSun"/>
                <w:color w:val="auto"/>
                <w:highlight w:val="none"/>
                <w:lang w:eastAsia="ja-JP"/>
              </w:rPr>
              <w:t>℃</w:t>
            </w:r>
          </w:p>
        </w:tc>
      </w:tr>
      <w:tr w14:paraId="599579FD">
        <w:tblPrEx>
          <w:tblCellMar>
            <w:top w:w="0" w:type="dxa"/>
            <w:left w:w="108" w:type="dxa"/>
            <w:bottom w:w="0" w:type="dxa"/>
            <w:right w:w="108" w:type="dxa"/>
          </w:tblCellMar>
        </w:tblPrEx>
        <w:trPr>
          <w:trHeight w:val="306"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center"/>
          </w:tcPr>
          <w:p w14:paraId="556175F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pH</w:t>
            </w:r>
          </w:p>
        </w:tc>
        <w:tc>
          <w:tcPr>
            <w:tcW w:w="3478" w:type="dxa"/>
            <w:gridSpan w:val="2"/>
            <w:tcBorders>
              <w:top w:val="single" w:color="000000" w:sz="4" w:space="0"/>
              <w:left w:val="single" w:color="000000" w:sz="4" w:space="0"/>
              <w:bottom w:val="single" w:color="000000" w:sz="4" w:space="0"/>
              <w:right w:val="single" w:color="000000" w:sz="4" w:space="0"/>
            </w:tcBorders>
            <w:noWrap w:val="0"/>
            <w:vAlign w:val="center"/>
          </w:tcPr>
          <w:p w14:paraId="603CC05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±0.15</w:t>
            </w:r>
          </w:p>
        </w:tc>
        <w:tc>
          <w:tcPr>
            <w:tcW w:w="3707" w:type="dxa"/>
            <w:gridSpan w:val="2"/>
            <w:tcBorders>
              <w:top w:val="single" w:color="000000" w:sz="4" w:space="0"/>
              <w:left w:val="single" w:color="000000" w:sz="4" w:space="0"/>
              <w:bottom w:val="single" w:color="000000" w:sz="4" w:space="0"/>
              <w:right w:val="single" w:color="000000" w:sz="4" w:space="0"/>
            </w:tcBorders>
            <w:noWrap w:val="0"/>
            <w:vAlign w:val="center"/>
          </w:tcPr>
          <w:p w14:paraId="361FF607">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±0.5</w:t>
            </w:r>
          </w:p>
        </w:tc>
      </w:tr>
      <w:tr w14:paraId="50E84D6A">
        <w:tblPrEx>
          <w:tblCellMar>
            <w:top w:w="0" w:type="dxa"/>
            <w:left w:w="108" w:type="dxa"/>
            <w:bottom w:w="0" w:type="dxa"/>
            <w:right w:w="108" w:type="dxa"/>
          </w:tblCellMar>
        </w:tblPrEx>
        <w:trPr>
          <w:trHeight w:val="306" w:hRule="atLeast"/>
          <w:jc w:val="center"/>
        </w:trPr>
        <w:tc>
          <w:tcPr>
            <w:tcW w:w="1121" w:type="dxa"/>
            <w:vMerge w:val="restart"/>
            <w:tcBorders>
              <w:top w:val="single" w:color="000000" w:sz="4" w:space="0"/>
              <w:left w:val="single" w:color="000000" w:sz="4" w:space="0"/>
              <w:bottom w:val="single" w:color="000000" w:sz="4" w:space="0"/>
              <w:right w:val="single" w:color="000000" w:sz="4" w:space="0"/>
            </w:tcBorders>
            <w:noWrap w:val="0"/>
            <w:vAlign w:val="center"/>
          </w:tcPr>
          <w:p w14:paraId="6A2507D7">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溶解氧</w:t>
            </w:r>
          </w:p>
        </w:tc>
        <w:tc>
          <w:tcPr>
            <w:tcW w:w="347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A037A0E">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±0.3mg/L</w:t>
            </w:r>
          </w:p>
        </w:tc>
        <w:tc>
          <w:tcPr>
            <w:tcW w:w="3707" w:type="dxa"/>
            <w:gridSpan w:val="2"/>
            <w:tcBorders>
              <w:top w:val="single" w:color="000000" w:sz="4" w:space="0"/>
              <w:left w:val="single" w:color="000000" w:sz="4" w:space="0"/>
              <w:bottom w:val="single" w:color="000000" w:sz="4" w:space="0"/>
              <w:right w:val="single" w:color="000000" w:sz="4" w:space="0"/>
            </w:tcBorders>
            <w:noWrap w:val="0"/>
            <w:vAlign w:val="center"/>
          </w:tcPr>
          <w:p w14:paraId="00CE5174">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±0.5mg/L</w:t>
            </w:r>
          </w:p>
        </w:tc>
      </w:tr>
      <w:tr w14:paraId="353C587E">
        <w:tblPrEx>
          <w:tblCellMar>
            <w:top w:w="0" w:type="dxa"/>
            <w:left w:w="108" w:type="dxa"/>
            <w:bottom w:w="0" w:type="dxa"/>
            <w:right w:w="108" w:type="dxa"/>
          </w:tblCellMar>
        </w:tblPrEx>
        <w:trPr>
          <w:trHeight w:val="306" w:hRule="atLeast"/>
          <w:jc w:val="center"/>
        </w:trPr>
        <w:tc>
          <w:tcPr>
            <w:tcW w:w="11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DF2BAB">
            <w:pPr>
              <w:pStyle w:val="276"/>
              <w:widowControl w:val="0"/>
              <w:jc w:val="both"/>
              <w:rPr>
                <w:rFonts w:ascii="宋体;SimSun" w:hAnsi="宋体;SimSun" w:cs="宋体;SimSun"/>
                <w:color w:val="auto"/>
                <w:highlight w:val="none"/>
              </w:rPr>
            </w:pPr>
          </w:p>
        </w:tc>
        <w:tc>
          <w:tcPr>
            <w:tcW w:w="347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5EA47E0">
            <w:pPr>
              <w:pStyle w:val="276"/>
              <w:widowControl w:val="0"/>
              <w:jc w:val="both"/>
              <w:rPr>
                <w:rFonts w:ascii="宋体;SimSun" w:hAnsi="宋体;SimSun" w:cs="宋体;SimSun"/>
                <w:color w:val="auto"/>
                <w:highlight w:val="none"/>
              </w:rPr>
            </w:pPr>
          </w:p>
        </w:tc>
        <w:tc>
          <w:tcPr>
            <w:tcW w:w="3707" w:type="dxa"/>
            <w:gridSpan w:val="2"/>
            <w:tcBorders>
              <w:top w:val="single" w:color="000000" w:sz="4" w:space="0"/>
              <w:left w:val="single" w:color="000000" w:sz="4" w:space="0"/>
              <w:bottom w:val="single" w:color="000000" w:sz="4" w:space="0"/>
              <w:right w:val="single" w:color="000000" w:sz="4" w:space="0"/>
            </w:tcBorders>
            <w:noWrap w:val="0"/>
            <w:vAlign w:val="center"/>
          </w:tcPr>
          <w:p w14:paraId="7C872888">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溶解氧过饱和时不考核</w:t>
            </w:r>
          </w:p>
        </w:tc>
      </w:tr>
      <w:tr w14:paraId="60322CF2">
        <w:tblPrEx>
          <w:tblCellMar>
            <w:top w:w="0" w:type="dxa"/>
            <w:left w:w="108" w:type="dxa"/>
            <w:bottom w:w="0" w:type="dxa"/>
            <w:right w:w="108" w:type="dxa"/>
          </w:tblCellMar>
        </w:tblPrEx>
        <w:trPr>
          <w:trHeight w:val="319" w:hRule="atLeast"/>
          <w:jc w:val="center"/>
        </w:trPr>
        <w:tc>
          <w:tcPr>
            <w:tcW w:w="1121" w:type="dxa"/>
            <w:vMerge w:val="restart"/>
            <w:tcBorders>
              <w:top w:val="single" w:color="000000" w:sz="4" w:space="0"/>
              <w:left w:val="single" w:color="000000" w:sz="4" w:space="0"/>
              <w:bottom w:val="single" w:color="000000" w:sz="4" w:space="0"/>
              <w:right w:val="single" w:color="000000" w:sz="4" w:space="0"/>
            </w:tcBorders>
            <w:noWrap w:val="0"/>
            <w:vAlign w:val="center"/>
          </w:tcPr>
          <w:p w14:paraId="6CF9D09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电导率</w:t>
            </w:r>
          </w:p>
        </w:tc>
        <w:tc>
          <w:tcPr>
            <w:tcW w:w="2468" w:type="dxa"/>
            <w:tcBorders>
              <w:top w:val="single" w:color="000000" w:sz="4" w:space="0"/>
              <w:left w:val="single" w:color="000000" w:sz="4" w:space="0"/>
              <w:bottom w:val="single" w:color="000000" w:sz="4" w:space="0"/>
              <w:right w:val="single" w:color="000000" w:sz="4" w:space="0"/>
            </w:tcBorders>
            <w:noWrap w:val="0"/>
            <w:vAlign w:val="center"/>
          </w:tcPr>
          <w:p w14:paraId="103F58AD">
            <w:pPr>
              <w:pStyle w:val="276"/>
              <w:widowControl w:val="0"/>
              <w:jc w:val="both"/>
              <w:rPr>
                <w:color w:val="auto"/>
                <w:highlight w:val="none"/>
              </w:rPr>
            </w:pPr>
            <w:r>
              <w:rPr>
                <w:rFonts w:ascii="宋体;SimSun" w:hAnsi="宋体;SimSun" w:cs="宋体;SimSun"/>
                <w:bCs/>
                <w:color w:val="auto"/>
                <w:highlight w:val="none"/>
                <w:lang w:val="zh-CN"/>
              </w:rPr>
              <w:t>标准溶液值＞100μS/cm</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354BC7CC">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±5%</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3223ECCE">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电导率＞100μS/cm</w:t>
            </w: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676F518F">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±10%</w:t>
            </w:r>
          </w:p>
        </w:tc>
      </w:tr>
      <w:tr w14:paraId="54CE1A32">
        <w:tblPrEx>
          <w:tblCellMar>
            <w:top w:w="0" w:type="dxa"/>
            <w:left w:w="108" w:type="dxa"/>
            <w:bottom w:w="0" w:type="dxa"/>
            <w:right w:w="108" w:type="dxa"/>
          </w:tblCellMar>
        </w:tblPrEx>
        <w:trPr>
          <w:trHeight w:val="319" w:hRule="atLeast"/>
          <w:jc w:val="center"/>
        </w:trPr>
        <w:tc>
          <w:tcPr>
            <w:tcW w:w="11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6ACF66">
            <w:pPr>
              <w:pStyle w:val="276"/>
              <w:widowControl w:val="0"/>
              <w:jc w:val="both"/>
              <w:rPr>
                <w:rFonts w:ascii="宋体;SimSun" w:hAnsi="宋体;SimSun" w:cs="宋体;SimSun"/>
                <w:color w:val="auto"/>
                <w:highlight w:val="none"/>
              </w:rPr>
            </w:pPr>
          </w:p>
        </w:tc>
        <w:tc>
          <w:tcPr>
            <w:tcW w:w="2468" w:type="dxa"/>
            <w:tcBorders>
              <w:top w:val="single" w:color="000000" w:sz="4" w:space="0"/>
              <w:left w:val="single" w:color="000000" w:sz="4" w:space="0"/>
              <w:bottom w:val="single" w:color="000000" w:sz="4" w:space="0"/>
              <w:right w:val="single" w:color="000000" w:sz="4" w:space="0"/>
            </w:tcBorders>
            <w:noWrap w:val="0"/>
            <w:vAlign w:val="center"/>
          </w:tcPr>
          <w:p w14:paraId="3A1357F8">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标准溶液值≤100μS/cm</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6AEEFEC2">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±5μS/cm</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4A01777A">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电导率≤100μS/cm</w:t>
            </w: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3907439">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±10μS/cm</w:t>
            </w:r>
          </w:p>
        </w:tc>
      </w:tr>
      <w:tr w14:paraId="4690D083">
        <w:tblPrEx>
          <w:tblCellMar>
            <w:top w:w="0" w:type="dxa"/>
            <w:left w:w="108" w:type="dxa"/>
            <w:bottom w:w="0" w:type="dxa"/>
            <w:right w:w="108" w:type="dxa"/>
          </w:tblCellMar>
        </w:tblPrEx>
        <w:trPr>
          <w:trHeight w:val="319" w:hRule="atLeast"/>
          <w:jc w:val="center"/>
        </w:trPr>
        <w:tc>
          <w:tcPr>
            <w:tcW w:w="1121" w:type="dxa"/>
            <w:vMerge w:val="restart"/>
            <w:tcBorders>
              <w:top w:val="single" w:color="000000" w:sz="4" w:space="0"/>
              <w:left w:val="single" w:color="000000" w:sz="4" w:space="0"/>
              <w:bottom w:val="single" w:color="000000" w:sz="4" w:space="0"/>
              <w:right w:val="single" w:color="000000" w:sz="4" w:space="0"/>
            </w:tcBorders>
            <w:noWrap w:val="0"/>
            <w:vAlign w:val="center"/>
          </w:tcPr>
          <w:p w14:paraId="369DE063">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浊度</w:t>
            </w:r>
          </w:p>
        </w:tc>
        <w:tc>
          <w:tcPr>
            <w:tcW w:w="2468" w:type="dxa"/>
            <w:tcBorders>
              <w:top w:val="single" w:color="000000" w:sz="4" w:space="0"/>
              <w:left w:val="single" w:color="000000" w:sz="4" w:space="0"/>
              <w:bottom w:val="single" w:color="000000" w:sz="4" w:space="0"/>
              <w:right w:val="single" w:color="000000" w:sz="4" w:space="0"/>
            </w:tcBorders>
            <w:noWrap w:val="0"/>
            <w:vAlign w:val="center"/>
          </w:tcPr>
          <w:p w14:paraId="6E4C97A1">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浊度≤30NTU；</w:t>
            </w:r>
          </w:p>
          <w:p w14:paraId="69C6155A">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浊度≥1000NTU</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C34B6ED">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不考核</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5991F0F1">
            <w:pPr>
              <w:pStyle w:val="276"/>
              <w:widowControl w:val="0"/>
              <w:jc w:val="both"/>
              <w:rPr>
                <w:color w:val="auto"/>
                <w:highlight w:val="none"/>
              </w:rPr>
            </w:pPr>
            <w:r>
              <w:rPr>
                <w:rFonts w:ascii="宋体;SimSun" w:hAnsi="宋体;SimSun" w:cs="宋体;SimSun"/>
                <w:bCs/>
                <w:color w:val="auto"/>
                <w:highlight w:val="none"/>
                <w:lang w:val="zh-CN"/>
              </w:rPr>
              <w:t>浊度</w:t>
            </w:r>
            <w:r>
              <w:rPr>
                <w:rFonts w:ascii="宋体;SimSun" w:hAnsi="宋体;SimSun" w:cs="宋体;SimSun"/>
                <w:color w:val="auto"/>
                <w:highlight w:val="none"/>
              </w:rPr>
              <w:t>≤30NTU；</w:t>
            </w:r>
          </w:p>
          <w:p w14:paraId="19772E17">
            <w:pPr>
              <w:pStyle w:val="276"/>
              <w:widowControl w:val="0"/>
              <w:jc w:val="both"/>
              <w:rPr>
                <w:color w:val="auto"/>
                <w:highlight w:val="none"/>
              </w:rPr>
            </w:pPr>
            <w:r>
              <w:rPr>
                <w:rFonts w:ascii="宋体;SimSun" w:hAnsi="宋体;SimSun" w:cs="宋体;SimSun"/>
                <w:bCs/>
                <w:color w:val="auto"/>
                <w:highlight w:val="none"/>
                <w:lang w:val="zh-CN"/>
              </w:rPr>
              <w:t>浊度</w:t>
            </w:r>
            <w:r>
              <w:rPr>
                <w:rFonts w:ascii="宋体;SimSun" w:hAnsi="宋体;SimSun" w:cs="宋体;SimSun"/>
                <w:color w:val="auto"/>
                <w:highlight w:val="none"/>
              </w:rPr>
              <w:t>≥1000NTU</w:t>
            </w: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7C5B5B4A">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不考核</w:t>
            </w:r>
          </w:p>
        </w:tc>
      </w:tr>
      <w:tr w14:paraId="75BF9C8A">
        <w:tblPrEx>
          <w:tblCellMar>
            <w:top w:w="0" w:type="dxa"/>
            <w:left w:w="108" w:type="dxa"/>
            <w:bottom w:w="0" w:type="dxa"/>
            <w:right w:w="108" w:type="dxa"/>
          </w:tblCellMar>
        </w:tblPrEx>
        <w:trPr>
          <w:trHeight w:val="319" w:hRule="atLeast"/>
          <w:jc w:val="center"/>
        </w:trPr>
        <w:tc>
          <w:tcPr>
            <w:tcW w:w="11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931A3E">
            <w:pPr>
              <w:pStyle w:val="276"/>
              <w:widowControl w:val="0"/>
              <w:jc w:val="both"/>
              <w:rPr>
                <w:rFonts w:ascii="宋体;SimSun" w:hAnsi="宋体;SimSun" w:cs="宋体;SimSun"/>
                <w:color w:val="auto"/>
                <w:highlight w:val="none"/>
              </w:rPr>
            </w:pPr>
          </w:p>
        </w:tc>
        <w:tc>
          <w:tcPr>
            <w:tcW w:w="2468" w:type="dxa"/>
            <w:tcBorders>
              <w:top w:val="single" w:color="000000" w:sz="4" w:space="0"/>
              <w:left w:val="single" w:color="000000" w:sz="4" w:space="0"/>
              <w:bottom w:val="single" w:color="000000" w:sz="4" w:space="0"/>
              <w:right w:val="single" w:color="000000" w:sz="4" w:space="0"/>
            </w:tcBorders>
            <w:noWrap w:val="0"/>
            <w:vAlign w:val="center"/>
          </w:tcPr>
          <w:p w14:paraId="7D278855">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30NTU＜浊度≤50NTU</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2FABAE75">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±15%</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69883AB5">
            <w:pPr>
              <w:pStyle w:val="276"/>
              <w:widowControl w:val="0"/>
              <w:jc w:val="both"/>
              <w:rPr>
                <w:color w:val="auto"/>
                <w:highlight w:val="none"/>
              </w:rPr>
            </w:pPr>
            <w:r>
              <w:rPr>
                <w:rFonts w:ascii="宋体;SimSun" w:hAnsi="宋体;SimSun" w:cs="宋体;SimSun"/>
                <w:color w:val="auto"/>
                <w:highlight w:val="none"/>
              </w:rPr>
              <w:t>30NTU＜</w:t>
            </w:r>
            <w:r>
              <w:rPr>
                <w:rFonts w:ascii="宋体;SimSun" w:hAnsi="宋体;SimSun" w:cs="宋体;SimSun"/>
                <w:bCs/>
                <w:color w:val="auto"/>
                <w:highlight w:val="none"/>
                <w:lang w:val="zh-CN"/>
              </w:rPr>
              <w:t>浊度</w:t>
            </w:r>
            <w:r>
              <w:rPr>
                <w:rFonts w:ascii="宋体;SimSun" w:hAnsi="宋体;SimSun" w:cs="宋体;SimSun"/>
                <w:color w:val="auto"/>
                <w:highlight w:val="none"/>
              </w:rPr>
              <w:t>≤50NTU</w:t>
            </w: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1AE8DDA">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±30%</w:t>
            </w:r>
          </w:p>
        </w:tc>
      </w:tr>
      <w:tr w14:paraId="1DA68EDC">
        <w:tblPrEx>
          <w:tblCellMar>
            <w:top w:w="0" w:type="dxa"/>
            <w:left w:w="108" w:type="dxa"/>
            <w:bottom w:w="0" w:type="dxa"/>
            <w:right w:w="108" w:type="dxa"/>
          </w:tblCellMar>
        </w:tblPrEx>
        <w:trPr>
          <w:trHeight w:val="319" w:hRule="atLeast"/>
          <w:jc w:val="center"/>
        </w:trPr>
        <w:tc>
          <w:tcPr>
            <w:tcW w:w="11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66BE77">
            <w:pPr>
              <w:pStyle w:val="276"/>
              <w:widowControl w:val="0"/>
              <w:jc w:val="both"/>
              <w:rPr>
                <w:rFonts w:ascii="宋体;SimSun" w:hAnsi="宋体;SimSun" w:cs="宋体;SimSun"/>
                <w:color w:val="auto"/>
                <w:highlight w:val="none"/>
              </w:rPr>
            </w:pPr>
          </w:p>
        </w:tc>
        <w:tc>
          <w:tcPr>
            <w:tcW w:w="2468" w:type="dxa"/>
            <w:tcBorders>
              <w:top w:val="single" w:color="000000" w:sz="4" w:space="0"/>
              <w:left w:val="single" w:color="000000" w:sz="4" w:space="0"/>
              <w:bottom w:val="single" w:color="000000" w:sz="4" w:space="0"/>
              <w:right w:val="single" w:color="000000" w:sz="4" w:space="0"/>
            </w:tcBorders>
            <w:noWrap w:val="0"/>
            <w:vAlign w:val="center"/>
          </w:tcPr>
          <w:p w14:paraId="11A6D1D0">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50NTU＜浊度＜1000NTU</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00968829">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±10%</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4D239C9F">
            <w:pPr>
              <w:pStyle w:val="276"/>
              <w:widowControl w:val="0"/>
              <w:jc w:val="both"/>
              <w:rPr>
                <w:rFonts w:ascii="宋体;SimSun" w:hAnsi="宋体;SimSun" w:cs="宋体;SimSun"/>
                <w:color w:val="auto"/>
                <w:highlight w:val="none"/>
              </w:rPr>
            </w:pPr>
            <w:r>
              <w:rPr>
                <w:rFonts w:ascii="宋体;SimSun" w:hAnsi="宋体;SimSun" w:cs="宋体;SimSun"/>
                <w:color w:val="auto"/>
                <w:highlight w:val="none"/>
              </w:rPr>
              <w:t>50NTU＜浊度＜1000NTU</w:t>
            </w: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7F7CCCF">
            <w:pPr>
              <w:pStyle w:val="276"/>
              <w:widowControl w:val="0"/>
              <w:jc w:val="both"/>
              <w:rPr>
                <w:rFonts w:ascii="宋体;SimSun" w:hAnsi="宋体;SimSun" w:cs="宋体;SimSun"/>
                <w:bCs/>
                <w:color w:val="auto"/>
                <w:highlight w:val="none"/>
                <w:lang w:val="zh-CN"/>
              </w:rPr>
            </w:pPr>
            <w:r>
              <w:rPr>
                <w:rFonts w:ascii="宋体;SimSun" w:hAnsi="宋体;SimSun" w:cs="宋体;SimSun"/>
                <w:bCs/>
                <w:color w:val="auto"/>
                <w:highlight w:val="none"/>
                <w:lang w:val="zh-CN"/>
              </w:rPr>
              <w:t>±20%</w:t>
            </w:r>
          </w:p>
        </w:tc>
      </w:tr>
    </w:tbl>
    <w:p w14:paraId="3B945F0C">
      <w:pPr>
        <w:jc w:val="left"/>
        <w:rPr>
          <w:rFonts w:ascii="宋体;SimSun" w:hAnsi="宋体;SimSun" w:eastAsia="宋体;SimSun" w:cs="宋体;SimSun"/>
          <w:b/>
          <w:color w:val="auto"/>
          <w:szCs w:val="21"/>
          <w:highlight w:val="none"/>
        </w:rPr>
      </w:pPr>
    </w:p>
    <w:p w14:paraId="06C0ED2F">
      <w:pPr>
        <w:pStyle w:val="275"/>
        <w:tabs>
          <w:tab w:val="clear" w:pos="0"/>
        </w:tabs>
        <w:rPr>
          <w:rFonts w:ascii="宋体;SimSun" w:hAnsi="宋体;SimSun" w:cs="宋体;SimSun"/>
          <w:color w:val="auto"/>
          <w:highlight w:val="none"/>
        </w:rPr>
      </w:pPr>
      <w:r>
        <w:rPr>
          <w:rFonts w:ascii="宋体;SimSun" w:hAnsi="宋体;SimSun" w:cs="宋体;SimSun"/>
          <w:color w:val="auto"/>
          <w:highlight w:val="none"/>
        </w:rPr>
        <w:t>水质自动站运行考核表</w:t>
      </w:r>
    </w:p>
    <w:p w14:paraId="3780E5AC">
      <w:pPr>
        <w:pStyle w:val="273"/>
        <w:ind w:firstLine="480"/>
        <w:rPr>
          <w:color w:val="auto"/>
          <w:highlight w:val="none"/>
        </w:rPr>
      </w:pPr>
      <w:r>
        <w:rPr>
          <w:color w:val="auto"/>
          <w:highlight w:val="none"/>
        </w:rPr>
        <w:t>考核日期：</w:t>
      </w:r>
    </w:p>
    <w:tbl>
      <w:tblPr>
        <w:tblStyle w:val="39"/>
        <w:tblW w:w="8408" w:type="dxa"/>
        <w:tblInd w:w="0" w:type="dxa"/>
        <w:tblLayout w:type="fixed"/>
        <w:tblCellMar>
          <w:top w:w="0" w:type="dxa"/>
          <w:left w:w="108" w:type="dxa"/>
          <w:bottom w:w="0" w:type="dxa"/>
          <w:right w:w="108" w:type="dxa"/>
        </w:tblCellMar>
      </w:tblPr>
      <w:tblGrid>
        <w:gridCol w:w="1253"/>
        <w:gridCol w:w="471"/>
        <w:gridCol w:w="1200"/>
        <w:gridCol w:w="457"/>
        <w:gridCol w:w="4557"/>
        <w:gridCol w:w="470"/>
      </w:tblGrid>
      <w:tr w14:paraId="08C83576">
        <w:tblPrEx>
          <w:tblCellMar>
            <w:top w:w="0" w:type="dxa"/>
            <w:left w:w="108" w:type="dxa"/>
            <w:bottom w:w="0" w:type="dxa"/>
            <w:right w:w="108" w:type="dxa"/>
          </w:tblCellMar>
        </w:tblPrEx>
        <w:trPr>
          <w:trHeight w:val="288" w:hRule="atLeast"/>
        </w:trPr>
        <w:tc>
          <w:tcPr>
            <w:tcW w:w="1253" w:type="dxa"/>
            <w:tcBorders>
              <w:top w:val="single" w:color="000000" w:sz="4" w:space="0"/>
              <w:left w:val="single" w:color="000000" w:sz="4" w:space="0"/>
              <w:bottom w:val="single" w:color="000000" w:sz="4" w:space="0"/>
              <w:right w:val="single" w:color="000000" w:sz="4" w:space="0"/>
            </w:tcBorders>
            <w:noWrap w:val="0"/>
            <w:vAlign w:val="center"/>
          </w:tcPr>
          <w:p w14:paraId="6C8A262B">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项目</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7FB563FF">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序号</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B472985">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考核内容</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6C6DB53">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分值</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5098DC01">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评分细则</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72AC65A5">
            <w:pPr>
              <w:pStyle w:val="276"/>
              <w:widowControl w:val="0"/>
              <w:rPr>
                <w:rFonts w:ascii="宋体;SimSun" w:hAnsi="宋体;SimSun" w:cs="宋体;SimSun"/>
                <w:b/>
                <w:bCs/>
                <w:color w:val="auto"/>
                <w:highlight w:val="none"/>
              </w:rPr>
            </w:pPr>
            <w:r>
              <w:rPr>
                <w:rFonts w:ascii="宋体;SimSun" w:hAnsi="宋体;SimSun" w:cs="宋体;SimSun"/>
                <w:b/>
                <w:bCs/>
                <w:color w:val="auto"/>
                <w:highlight w:val="none"/>
              </w:rPr>
              <w:t>得分</w:t>
            </w:r>
          </w:p>
        </w:tc>
      </w:tr>
      <w:tr w14:paraId="4D6C93DB">
        <w:tblPrEx>
          <w:tblCellMar>
            <w:top w:w="0" w:type="dxa"/>
            <w:left w:w="108" w:type="dxa"/>
            <w:bottom w:w="0" w:type="dxa"/>
            <w:right w:w="108" w:type="dxa"/>
          </w:tblCellMar>
        </w:tblPrEx>
        <w:trPr>
          <w:trHeight w:val="576" w:hRule="atLeast"/>
        </w:trPr>
        <w:tc>
          <w:tcPr>
            <w:tcW w:w="1253" w:type="dxa"/>
            <w:vMerge w:val="restart"/>
            <w:tcBorders>
              <w:top w:val="single" w:color="000000" w:sz="4" w:space="0"/>
              <w:left w:val="single" w:color="000000" w:sz="4" w:space="0"/>
              <w:bottom w:val="single" w:color="000000" w:sz="4" w:space="0"/>
              <w:right w:val="single" w:color="000000" w:sz="4" w:space="0"/>
            </w:tcBorders>
            <w:noWrap w:val="0"/>
            <w:vAlign w:val="center"/>
          </w:tcPr>
          <w:p w14:paraId="56926C46">
            <w:pPr>
              <w:pStyle w:val="276"/>
              <w:widowControl w:val="0"/>
              <w:rPr>
                <w:rFonts w:ascii="宋体;SimSun" w:hAnsi="宋体;SimSun" w:cs="宋体;SimSun"/>
                <w:color w:val="auto"/>
                <w:highlight w:val="none"/>
              </w:rPr>
            </w:pPr>
            <w:r>
              <w:rPr>
                <w:rFonts w:ascii="宋体;SimSun" w:hAnsi="宋体;SimSun" w:cs="宋体;SimSun"/>
                <w:color w:val="auto"/>
                <w:highlight w:val="none"/>
              </w:rPr>
              <w:t>一、站房及人员配备（10分）</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62A11F97">
            <w:pPr>
              <w:pStyle w:val="276"/>
              <w:widowControl w:val="0"/>
              <w:rPr>
                <w:rFonts w:ascii="宋体;SimSun" w:hAnsi="宋体;SimSun" w:cs="宋体;SimSun"/>
                <w:color w:val="auto"/>
                <w:highlight w:val="none"/>
              </w:rPr>
            </w:pPr>
            <w:r>
              <w:rPr>
                <w:rFonts w:ascii="宋体;SimSun" w:hAnsi="宋体;SimSun" w:cs="宋体;SimSun"/>
                <w:color w:val="auto"/>
                <w:highlight w:val="none"/>
              </w:rPr>
              <w:t>1</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E03070F">
            <w:pPr>
              <w:pStyle w:val="276"/>
              <w:widowControl w:val="0"/>
              <w:rPr>
                <w:rFonts w:ascii="宋体;SimSun" w:hAnsi="宋体;SimSun" w:cs="宋体;SimSun"/>
                <w:color w:val="auto"/>
                <w:highlight w:val="none"/>
              </w:rPr>
            </w:pPr>
            <w:r>
              <w:rPr>
                <w:rFonts w:ascii="宋体;SimSun" w:hAnsi="宋体;SimSun" w:cs="宋体;SimSun"/>
                <w:color w:val="auto"/>
                <w:highlight w:val="none"/>
              </w:rPr>
              <w:t>站房（外部机柜）</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6C549A1">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2F3E62C2">
            <w:pPr>
              <w:pStyle w:val="276"/>
              <w:widowControl w:val="0"/>
              <w:rPr>
                <w:rFonts w:ascii="宋体;SimSun" w:hAnsi="宋体;SimSun" w:cs="宋体;SimSun"/>
                <w:color w:val="auto"/>
                <w:highlight w:val="none"/>
              </w:rPr>
            </w:pPr>
            <w:r>
              <w:rPr>
                <w:rFonts w:ascii="宋体;SimSun" w:hAnsi="宋体;SimSun" w:cs="宋体;SimSun"/>
                <w:color w:val="auto"/>
                <w:highlight w:val="none"/>
              </w:rPr>
              <w:t>清洁整齐，及时检查水、电、动环、视频等满足要求，保证系统仪器具有良好的运行环境；认真做好记录。</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2782FCB">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67952AA2">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3C9728">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0D702A31">
            <w:pPr>
              <w:pStyle w:val="276"/>
              <w:widowControl w:val="0"/>
              <w:rPr>
                <w:rFonts w:ascii="宋体;SimSun" w:hAnsi="宋体;SimSun" w:cs="宋体;SimSun"/>
                <w:color w:val="auto"/>
                <w:highlight w:val="none"/>
              </w:rPr>
            </w:pPr>
            <w:r>
              <w:rPr>
                <w:rFonts w:ascii="宋体;SimSun" w:hAnsi="宋体;SimSun" w:cs="宋体;SimSun"/>
                <w:color w:val="auto"/>
                <w:highlight w:val="none"/>
              </w:rPr>
              <w:t>2</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448461A">
            <w:pPr>
              <w:pStyle w:val="276"/>
              <w:widowControl w:val="0"/>
              <w:rPr>
                <w:rFonts w:ascii="宋体;SimSun" w:hAnsi="宋体;SimSun" w:cs="宋体;SimSun"/>
                <w:color w:val="auto"/>
                <w:highlight w:val="none"/>
              </w:rPr>
            </w:pPr>
            <w:r>
              <w:rPr>
                <w:rFonts w:ascii="宋体;SimSun" w:hAnsi="宋体;SimSun" w:cs="宋体;SimSun"/>
                <w:color w:val="auto"/>
                <w:highlight w:val="none"/>
              </w:rPr>
              <w:t>人员配备，驻站人员到岗率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DDC0BAE">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3EDC5900">
            <w:pPr>
              <w:pStyle w:val="276"/>
              <w:widowControl w:val="0"/>
              <w:rPr>
                <w:rFonts w:ascii="宋体;SimSun" w:hAnsi="宋体;SimSun" w:cs="宋体;SimSun"/>
                <w:color w:val="auto"/>
                <w:highlight w:val="none"/>
              </w:rPr>
            </w:pPr>
            <w:r>
              <w:rPr>
                <w:rFonts w:ascii="宋体;SimSun" w:hAnsi="宋体;SimSun" w:cs="宋体;SimSun"/>
                <w:color w:val="auto"/>
                <w:highlight w:val="none"/>
              </w:rPr>
              <w:t>须符合招标文件要求，否则不得分。到岗率考核：运维人员企业微信考勤打卡，到岗率80%以下的，每低5%扣1分，扣完为止。</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C6398FB">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3C1EAADC">
        <w:tblPrEx>
          <w:tblCellMar>
            <w:top w:w="0" w:type="dxa"/>
            <w:left w:w="108" w:type="dxa"/>
            <w:bottom w:w="0" w:type="dxa"/>
            <w:right w:w="108" w:type="dxa"/>
          </w:tblCellMar>
        </w:tblPrEx>
        <w:trPr>
          <w:trHeight w:val="576" w:hRule="atLeast"/>
        </w:trPr>
        <w:tc>
          <w:tcPr>
            <w:tcW w:w="1253" w:type="dxa"/>
            <w:vMerge w:val="restart"/>
            <w:tcBorders>
              <w:top w:val="single" w:color="000000" w:sz="4" w:space="0"/>
              <w:left w:val="single" w:color="000000" w:sz="4" w:space="0"/>
              <w:bottom w:val="single" w:color="000000" w:sz="4" w:space="0"/>
              <w:right w:val="single" w:color="000000" w:sz="4" w:space="0"/>
            </w:tcBorders>
            <w:noWrap w:val="0"/>
            <w:vAlign w:val="center"/>
          </w:tcPr>
          <w:p w14:paraId="21DDEB90">
            <w:pPr>
              <w:pStyle w:val="276"/>
              <w:widowControl w:val="0"/>
              <w:rPr>
                <w:rFonts w:ascii="宋体;SimSun" w:hAnsi="宋体;SimSun" w:cs="宋体;SimSun"/>
                <w:color w:val="auto"/>
                <w:highlight w:val="none"/>
              </w:rPr>
            </w:pPr>
            <w:r>
              <w:rPr>
                <w:rFonts w:ascii="宋体;SimSun" w:hAnsi="宋体;SimSun" w:cs="宋体;SimSun"/>
                <w:color w:val="auto"/>
                <w:highlight w:val="none"/>
              </w:rPr>
              <w:t>二、运维单位日常运维情况（35分）</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161C3BBE">
            <w:pPr>
              <w:pStyle w:val="276"/>
              <w:widowControl w:val="0"/>
              <w:rPr>
                <w:rFonts w:ascii="宋体;SimSun" w:hAnsi="宋体;SimSun" w:cs="宋体;SimSun"/>
                <w:color w:val="auto"/>
                <w:highlight w:val="none"/>
              </w:rPr>
            </w:pPr>
            <w:r>
              <w:rPr>
                <w:rFonts w:ascii="宋体;SimSun" w:hAnsi="宋体;SimSun" w:cs="宋体;SimSun"/>
                <w:color w:val="auto"/>
                <w:highlight w:val="none"/>
              </w:rPr>
              <w:t>3</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C825810">
            <w:pPr>
              <w:pStyle w:val="276"/>
              <w:widowControl w:val="0"/>
              <w:rPr>
                <w:rFonts w:ascii="宋体;SimSun" w:hAnsi="宋体;SimSun" w:cs="宋体;SimSun"/>
                <w:color w:val="auto"/>
                <w:highlight w:val="none"/>
              </w:rPr>
            </w:pPr>
            <w:r>
              <w:rPr>
                <w:rFonts w:ascii="宋体;SimSun" w:hAnsi="宋体;SimSun" w:cs="宋体;SimSun"/>
                <w:color w:val="auto"/>
                <w:highlight w:val="none"/>
              </w:rPr>
              <w:t>平台日常运维数据审核</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C0E8605">
            <w:pPr>
              <w:pStyle w:val="276"/>
              <w:widowControl w:val="0"/>
              <w:rPr>
                <w:rFonts w:ascii="宋体;SimSun" w:hAnsi="宋体;SimSun" w:cs="宋体;SimSun"/>
                <w:color w:val="auto"/>
                <w:highlight w:val="none"/>
              </w:rPr>
            </w:pPr>
            <w:r>
              <w:rPr>
                <w:rFonts w:ascii="宋体;SimSun" w:hAnsi="宋体;SimSun" w:cs="宋体;SimSun"/>
                <w:color w:val="auto"/>
                <w:highlight w:val="none"/>
              </w:rPr>
              <w:t>3</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423A6FAC">
            <w:pPr>
              <w:pStyle w:val="276"/>
              <w:widowControl w:val="0"/>
              <w:rPr>
                <w:rFonts w:ascii="宋体;SimSun" w:hAnsi="宋体;SimSun" w:cs="宋体;SimSun"/>
                <w:color w:val="auto"/>
                <w:highlight w:val="none"/>
              </w:rPr>
            </w:pPr>
            <w:r>
              <w:rPr>
                <w:rFonts w:ascii="宋体;SimSun" w:hAnsi="宋体;SimSun" w:cs="宋体;SimSun"/>
                <w:color w:val="auto"/>
                <w:highlight w:val="none"/>
              </w:rPr>
              <w:t>按要求在平台中及时填报相关基础信息和运维情况，漏审每次扣0.2分。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7DD4E8A5">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1E43B019">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E143DB">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28130846">
            <w:pPr>
              <w:pStyle w:val="276"/>
              <w:widowControl w:val="0"/>
              <w:rPr>
                <w:rFonts w:ascii="宋体;SimSun" w:hAnsi="宋体;SimSun" w:cs="宋体;SimSun"/>
                <w:color w:val="auto"/>
                <w:highlight w:val="none"/>
              </w:rPr>
            </w:pPr>
            <w:r>
              <w:rPr>
                <w:rFonts w:ascii="宋体;SimSun" w:hAnsi="宋体;SimSun" w:cs="宋体;SimSun"/>
                <w:color w:val="auto"/>
                <w:highlight w:val="none"/>
              </w:rPr>
              <w:t>4</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244FE3F">
            <w:pPr>
              <w:pStyle w:val="276"/>
              <w:widowControl w:val="0"/>
              <w:rPr>
                <w:rFonts w:ascii="宋体;SimSun" w:hAnsi="宋体;SimSun" w:cs="宋体;SimSun"/>
                <w:color w:val="auto"/>
                <w:highlight w:val="none"/>
              </w:rPr>
            </w:pPr>
            <w:r>
              <w:rPr>
                <w:rFonts w:ascii="宋体;SimSun" w:hAnsi="宋体;SimSun" w:cs="宋体;SimSun"/>
                <w:color w:val="auto"/>
                <w:highlight w:val="none"/>
              </w:rPr>
              <w:t>实时监控数据巡检情况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E6D12EC">
            <w:pPr>
              <w:pStyle w:val="276"/>
              <w:widowControl w:val="0"/>
              <w:rPr>
                <w:rFonts w:ascii="宋体;SimSun" w:hAnsi="宋体;SimSun" w:cs="宋体;SimSun"/>
                <w:color w:val="auto"/>
                <w:highlight w:val="none"/>
              </w:rPr>
            </w:pPr>
            <w:r>
              <w:rPr>
                <w:rFonts w:ascii="宋体;SimSun" w:hAnsi="宋体;SimSun" w:cs="宋体;SimSun"/>
                <w:color w:val="auto"/>
                <w:highlight w:val="none"/>
              </w:rPr>
              <w:t>3</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36EF63E4">
            <w:pPr>
              <w:pStyle w:val="276"/>
              <w:widowControl w:val="0"/>
              <w:rPr>
                <w:color w:val="auto"/>
                <w:highlight w:val="none"/>
              </w:rPr>
            </w:pPr>
            <w:r>
              <w:rPr>
                <w:rFonts w:ascii="宋体;SimSun" w:hAnsi="宋体;SimSun" w:cs="宋体;SimSun"/>
                <w:color w:val="auto"/>
                <w:highlight w:val="none"/>
              </w:rPr>
              <w:t>必须安排专人每天上、下午对园区监控平台的数据进行巡视，并留有巡视记录，否则每次扣至少0.1分。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E60D32B">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69B9689F">
        <w:tblPrEx>
          <w:tblCellMar>
            <w:top w:w="0" w:type="dxa"/>
            <w:left w:w="108" w:type="dxa"/>
            <w:bottom w:w="0" w:type="dxa"/>
            <w:right w:w="108" w:type="dxa"/>
          </w:tblCellMar>
        </w:tblPrEx>
        <w:trPr>
          <w:trHeight w:val="864"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F96AB6">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5F293593">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60D369">
            <w:pPr>
              <w:pStyle w:val="276"/>
              <w:widowControl w:val="0"/>
              <w:rPr>
                <w:rFonts w:ascii="宋体;SimSun" w:hAnsi="宋体;SimSun" w:cs="宋体;SimSun"/>
                <w:color w:val="auto"/>
                <w:highlight w:val="none"/>
              </w:rPr>
            </w:pPr>
            <w:r>
              <w:rPr>
                <w:rFonts w:ascii="宋体;SimSun" w:hAnsi="宋体;SimSun" w:cs="宋体;SimSun"/>
                <w:color w:val="auto"/>
                <w:highlight w:val="none"/>
              </w:rPr>
              <w:t>现场台账建设情况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6F754C3">
            <w:pPr>
              <w:pStyle w:val="276"/>
              <w:widowControl w:val="0"/>
              <w:rPr>
                <w:rFonts w:ascii="宋体;SimSun" w:hAnsi="宋体;SimSun" w:cs="宋体;SimSun"/>
                <w:color w:val="auto"/>
                <w:highlight w:val="none"/>
              </w:rPr>
            </w:pPr>
            <w:r>
              <w:rPr>
                <w:rFonts w:ascii="宋体;SimSun" w:hAnsi="宋体;SimSun" w:cs="宋体;SimSun"/>
                <w:color w:val="auto"/>
                <w:highlight w:val="none"/>
              </w:rPr>
              <w:t>3</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373AEA1F">
            <w:pPr>
              <w:pStyle w:val="276"/>
              <w:widowControl w:val="0"/>
              <w:rPr>
                <w:rFonts w:ascii="宋体;SimSun" w:hAnsi="宋体;SimSun" w:cs="宋体;SimSun"/>
                <w:color w:val="auto"/>
                <w:highlight w:val="none"/>
              </w:rPr>
            </w:pPr>
            <w:r>
              <w:rPr>
                <w:rFonts w:ascii="宋体;SimSun" w:hAnsi="宋体;SimSun" w:cs="宋体;SimSun"/>
                <w:color w:val="auto"/>
                <w:highlight w:val="none"/>
              </w:rPr>
              <w:t>没有台账的不得分。日常维护中应做好维护记录，运行维护记录清晰、完整，有相关人员签字，并近6个月之内的记录都在现场保存，不符合要求的酌情予以扣分。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19B127B">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2B22C823">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9590CD">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1A26EA10">
            <w:pPr>
              <w:pStyle w:val="276"/>
              <w:widowControl w:val="0"/>
              <w:rPr>
                <w:rFonts w:ascii="宋体;SimSun" w:hAnsi="宋体;SimSun" w:cs="宋体;SimSun"/>
                <w:color w:val="auto"/>
                <w:highlight w:val="none"/>
              </w:rPr>
            </w:pPr>
            <w:r>
              <w:rPr>
                <w:rFonts w:ascii="宋体;SimSun" w:hAnsi="宋体;SimSun" w:cs="宋体;SimSun"/>
                <w:color w:val="auto"/>
                <w:highlight w:val="none"/>
              </w:rPr>
              <w:t>6</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C776722">
            <w:pPr>
              <w:pStyle w:val="276"/>
              <w:widowControl w:val="0"/>
              <w:rPr>
                <w:rFonts w:ascii="宋体;SimSun" w:hAnsi="宋体;SimSun" w:cs="宋体;SimSun"/>
                <w:color w:val="auto"/>
                <w:highlight w:val="none"/>
              </w:rPr>
            </w:pPr>
            <w:r>
              <w:rPr>
                <w:rFonts w:ascii="宋体;SimSun" w:hAnsi="宋体;SimSun" w:cs="宋体;SimSun"/>
                <w:color w:val="auto"/>
                <w:highlight w:val="none"/>
              </w:rPr>
              <w:t>安全制度情况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0A05308">
            <w:pPr>
              <w:pStyle w:val="276"/>
              <w:widowControl w:val="0"/>
              <w:rPr>
                <w:rFonts w:ascii="宋体;SimSun" w:hAnsi="宋体;SimSun" w:cs="宋体;SimSun"/>
                <w:color w:val="auto"/>
                <w:highlight w:val="none"/>
              </w:rPr>
            </w:pPr>
            <w:r>
              <w:rPr>
                <w:rFonts w:ascii="宋体;SimSun" w:hAnsi="宋体;SimSun" w:cs="宋体;SimSun"/>
                <w:color w:val="auto"/>
                <w:highlight w:val="none"/>
              </w:rPr>
              <w:t>1</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4D225FC0">
            <w:pPr>
              <w:pStyle w:val="276"/>
              <w:widowControl w:val="0"/>
              <w:rPr>
                <w:rFonts w:ascii="宋体;SimSun" w:hAnsi="宋体;SimSun" w:cs="宋体;SimSun"/>
                <w:color w:val="auto"/>
                <w:highlight w:val="none"/>
              </w:rPr>
            </w:pPr>
            <w:r>
              <w:rPr>
                <w:rFonts w:ascii="宋体;SimSun" w:hAnsi="宋体;SimSun" w:cs="宋体;SimSun"/>
                <w:color w:val="auto"/>
                <w:highlight w:val="none"/>
              </w:rPr>
              <w:t>严格按所在企业的安全生产要求进行操作，不符合要求的酌情予以扣分。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5EB6F7CA">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29254255">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3397A">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1105D3B6">
            <w:pPr>
              <w:pStyle w:val="276"/>
              <w:widowControl w:val="0"/>
              <w:rPr>
                <w:rFonts w:ascii="宋体;SimSun" w:hAnsi="宋体;SimSun" w:cs="宋体;SimSun"/>
                <w:color w:val="auto"/>
                <w:highlight w:val="none"/>
              </w:rPr>
            </w:pPr>
            <w:r>
              <w:rPr>
                <w:rFonts w:ascii="宋体;SimSun" w:hAnsi="宋体;SimSun" w:cs="宋体;SimSun"/>
                <w:color w:val="auto"/>
                <w:highlight w:val="none"/>
              </w:rPr>
              <w:t>7</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FABBD8F">
            <w:pPr>
              <w:pStyle w:val="276"/>
              <w:widowControl w:val="0"/>
              <w:rPr>
                <w:rFonts w:ascii="宋体;SimSun" w:hAnsi="宋体;SimSun" w:cs="宋体;SimSun"/>
                <w:color w:val="auto"/>
                <w:highlight w:val="none"/>
              </w:rPr>
            </w:pPr>
            <w:r>
              <w:rPr>
                <w:rFonts w:ascii="宋体;SimSun" w:hAnsi="宋体;SimSun" w:cs="宋体;SimSun"/>
                <w:color w:val="auto"/>
                <w:highlight w:val="none"/>
              </w:rPr>
              <w:t>废液处置情况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A7A54A">
            <w:pPr>
              <w:pStyle w:val="276"/>
              <w:widowControl w:val="0"/>
              <w:rPr>
                <w:rFonts w:ascii="宋体;SimSun" w:hAnsi="宋体;SimSun" w:cs="宋体;SimSun"/>
                <w:color w:val="auto"/>
                <w:highlight w:val="none"/>
              </w:rPr>
            </w:pPr>
            <w:r>
              <w:rPr>
                <w:rFonts w:ascii="宋体;SimSun" w:hAnsi="宋体;SimSun" w:cs="宋体;SimSun"/>
                <w:color w:val="auto"/>
                <w:highlight w:val="none"/>
              </w:rPr>
              <w:t>3</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14404C11">
            <w:pPr>
              <w:pStyle w:val="276"/>
              <w:widowControl w:val="0"/>
              <w:rPr>
                <w:rFonts w:ascii="宋体;SimSun" w:hAnsi="宋体;SimSun" w:cs="宋体;SimSun"/>
                <w:color w:val="auto"/>
                <w:highlight w:val="none"/>
              </w:rPr>
            </w:pPr>
            <w:r>
              <w:rPr>
                <w:rFonts w:ascii="宋体;SimSun" w:hAnsi="宋体;SimSun" w:cs="宋体;SimSun"/>
                <w:color w:val="auto"/>
                <w:highlight w:val="none"/>
              </w:rPr>
              <w:t>现场必须有固定的废液收集容器，并定期进行回收处置，并有处置记录，否则不得分。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68214693">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3DC822AD">
        <w:trPr>
          <w:trHeight w:val="1440"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36445">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7EFC2758">
            <w:pPr>
              <w:pStyle w:val="276"/>
              <w:widowControl w:val="0"/>
              <w:rPr>
                <w:rFonts w:ascii="宋体;SimSun" w:hAnsi="宋体;SimSun" w:cs="宋体;SimSun"/>
                <w:color w:val="auto"/>
                <w:highlight w:val="none"/>
              </w:rPr>
            </w:pPr>
            <w:r>
              <w:rPr>
                <w:rFonts w:ascii="宋体;SimSun" w:hAnsi="宋体;SimSun" w:cs="宋体;SimSun"/>
                <w:color w:val="auto"/>
                <w:highlight w:val="none"/>
              </w:rPr>
              <w:t>8</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639275F">
            <w:pPr>
              <w:pStyle w:val="276"/>
              <w:widowControl w:val="0"/>
              <w:rPr>
                <w:rFonts w:ascii="宋体;SimSun" w:hAnsi="宋体;SimSun" w:cs="宋体;SimSun"/>
                <w:color w:val="auto"/>
                <w:highlight w:val="none"/>
              </w:rPr>
            </w:pPr>
            <w:r>
              <w:rPr>
                <w:rFonts w:ascii="宋体;SimSun" w:hAnsi="宋体;SimSun" w:cs="宋体;SimSun"/>
                <w:color w:val="auto"/>
                <w:highlight w:val="none"/>
              </w:rPr>
              <w:t>现场巡检频次、设备维护保养情况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2D0649C">
            <w:pPr>
              <w:pStyle w:val="276"/>
              <w:widowControl w:val="0"/>
              <w:rPr>
                <w:rFonts w:ascii="宋体;SimSun" w:hAnsi="宋体;SimSun" w:cs="宋体;SimSun"/>
                <w:color w:val="auto"/>
                <w:highlight w:val="none"/>
              </w:rPr>
            </w:pPr>
            <w:r>
              <w:rPr>
                <w:rFonts w:ascii="宋体;SimSun" w:hAnsi="宋体;SimSun" w:cs="宋体;SimSun"/>
                <w:color w:val="auto"/>
                <w:highlight w:val="none"/>
              </w:rPr>
              <w:t>7</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5D67E4F5">
            <w:pPr>
              <w:pStyle w:val="276"/>
              <w:widowControl w:val="0"/>
              <w:rPr>
                <w:rFonts w:ascii="宋体;SimSun" w:hAnsi="宋体;SimSun" w:cs="宋体;SimSun"/>
                <w:color w:val="auto"/>
                <w:highlight w:val="none"/>
              </w:rPr>
            </w:pPr>
            <w:r>
              <w:rPr>
                <w:rFonts w:ascii="宋体;SimSun" w:hAnsi="宋体;SimSun" w:cs="宋体;SimSun"/>
                <w:color w:val="auto"/>
                <w:highlight w:val="none"/>
              </w:rPr>
              <w:t>每隔7天巡视一遍，现场端自动监控设备维护、保养频次应符合规范要求。保证取水、配水、预处理系统正常，管理畅通；保证空压机、发电机、稳压机、纯水器（机）、UPS、视频、动环等正常运行；保证标准气体在有效期内。认真做好记录。检查时不符合要求的，一次扣0.5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101D7371">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373ECCE2">
        <w:tblPrEx>
          <w:tblCellMar>
            <w:top w:w="0" w:type="dxa"/>
            <w:left w:w="108" w:type="dxa"/>
            <w:bottom w:w="0" w:type="dxa"/>
            <w:right w:w="108" w:type="dxa"/>
          </w:tblCellMar>
        </w:tblPrEx>
        <w:trPr>
          <w:trHeight w:val="864"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A471DB">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5AABFB79">
            <w:pPr>
              <w:pStyle w:val="276"/>
              <w:widowControl w:val="0"/>
              <w:rPr>
                <w:rFonts w:ascii="宋体;SimSun" w:hAnsi="宋体;SimSun" w:cs="宋体;SimSun"/>
                <w:color w:val="auto"/>
                <w:highlight w:val="none"/>
              </w:rPr>
            </w:pPr>
            <w:r>
              <w:rPr>
                <w:rFonts w:ascii="宋体;SimSun" w:hAnsi="宋体;SimSun" w:cs="宋体;SimSun"/>
                <w:color w:val="auto"/>
                <w:highlight w:val="none"/>
              </w:rPr>
              <w:t>9</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876BA37">
            <w:pPr>
              <w:pStyle w:val="276"/>
              <w:widowControl w:val="0"/>
              <w:rPr>
                <w:rFonts w:ascii="宋体;SimSun" w:hAnsi="宋体;SimSun" w:cs="宋体;SimSun"/>
                <w:color w:val="auto"/>
                <w:highlight w:val="none"/>
              </w:rPr>
            </w:pPr>
            <w:r>
              <w:rPr>
                <w:rFonts w:ascii="宋体;SimSun" w:hAnsi="宋体;SimSun" w:cs="宋体;SimSun"/>
                <w:color w:val="auto"/>
                <w:highlight w:val="none"/>
              </w:rPr>
              <w:t>仪器维护</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289246B">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0033E60C">
            <w:pPr>
              <w:pStyle w:val="276"/>
              <w:widowControl w:val="0"/>
              <w:rPr>
                <w:rFonts w:ascii="宋体;SimSun" w:hAnsi="宋体;SimSun" w:cs="宋体;SimSun"/>
                <w:color w:val="auto"/>
                <w:highlight w:val="none"/>
              </w:rPr>
            </w:pPr>
            <w:r>
              <w:rPr>
                <w:rFonts w:ascii="宋体;SimSun" w:hAnsi="宋体;SimSun" w:cs="宋体;SimSun"/>
                <w:color w:val="auto"/>
                <w:highlight w:val="none"/>
              </w:rPr>
              <w:t>定期清洗、更换试剂、易耗品，及时修复仪器故障并做好记录。</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6560683E">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60199C05">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5471B2">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7CB36859">
            <w:pPr>
              <w:pStyle w:val="276"/>
              <w:widowControl w:val="0"/>
              <w:rPr>
                <w:rFonts w:ascii="宋体;SimSun" w:hAnsi="宋体;SimSun" w:cs="宋体;SimSun"/>
                <w:color w:val="auto"/>
                <w:highlight w:val="none"/>
              </w:rPr>
            </w:pPr>
            <w:r>
              <w:rPr>
                <w:rFonts w:ascii="宋体;SimSun" w:hAnsi="宋体;SimSun" w:cs="宋体;SimSun"/>
                <w:color w:val="auto"/>
                <w:highlight w:val="none"/>
              </w:rPr>
              <w:t>10</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224877A">
            <w:pPr>
              <w:pStyle w:val="276"/>
              <w:widowControl w:val="0"/>
              <w:rPr>
                <w:rFonts w:ascii="宋体;SimSun" w:hAnsi="宋体;SimSun" w:cs="宋体;SimSun"/>
                <w:color w:val="auto"/>
                <w:highlight w:val="none"/>
              </w:rPr>
            </w:pPr>
            <w:r>
              <w:rPr>
                <w:rFonts w:ascii="宋体;SimSun" w:hAnsi="宋体;SimSun" w:cs="宋体;SimSun"/>
                <w:color w:val="auto"/>
                <w:highlight w:val="none"/>
              </w:rPr>
              <w:t>设备故障率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BF0B49D">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16B85C8A">
            <w:pPr>
              <w:pStyle w:val="276"/>
              <w:widowControl w:val="0"/>
              <w:rPr>
                <w:rFonts w:ascii="宋体;SimSun" w:hAnsi="宋体;SimSun" w:cs="宋体;SimSun"/>
                <w:color w:val="auto"/>
                <w:highlight w:val="none"/>
              </w:rPr>
            </w:pPr>
            <w:r>
              <w:rPr>
                <w:rFonts w:ascii="宋体;SimSun" w:hAnsi="宋体;SimSun" w:cs="宋体;SimSun"/>
                <w:color w:val="auto"/>
                <w:highlight w:val="none"/>
              </w:rPr>
              <w:t>自动监控设备故障时间超过12小时为1天，月平均自动监控设备故障累计天数≤3天为满分，每增加1天扣0.2分。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8A4C8DD">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47429CB2">
        <w:tblPrEx>
          <w:tblCellMar>
            <w:top w:w="0" w:type="dxa"/>
            <w:left w:w="108" w:type="dxa"/>
            <w:bottom w:w="0" w:type="dxa"/>
            <w:right w:w="108" w:type="dxa"/>
          </w:tblCellMar>
        </w:tblPrEx>
        <w:trPr>
          <w:trHeight w:val="288"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2566E9">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510BE3AF">
            <w:pPr>
              <w:pStyle w:val="276"/>
              <w:widowControl w:val="0"/>
              <w:rPr>
                <w:rFonts w:ascii="宋体;SimSun" w:hAnsi="宋体;SimSun" w:cs="宋体;SimSun"/>
                <w:color w:val="auto"/>
                <w:highlight w:val="none"/>
              </w:rPr>
            </w:pPr>
            <w:r>
              <w:rPr>
                <w:rFonts w:ascii="宋体;SimSun" w:hAnsi="宋体;SimSun" w:cs="宋体;SimSun"/>
                <w:color w:val="auto"/>
                <w:highlight w:val="none"/>
              </w:rPr>
              <w:t>11</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997F7C2">
            <w:pPr>
              <w:pStyle w:val="276"/>
              <w:widowControl w:val="0"/>
              <w:rPr>
                <w:rFonts w:ascii="宋体;SimSun" w:hAnsi="宋体;SimSun" w:cs="宋体;SimSun"/>
                <w:color w:val="auto"/>
                <w:highlight w:val="none"/>
              </w:rPr>
            </w:pPr>
            <w:r>
              <w:rPr>
                <w:rFonts w:ascii="宋体;SimSun" w:hAnsi="宋体;SimSun" w:cs="宋体;SimSun"/>
                <w:color w:val="auto"/>
                <w:highlight w:val="none"/>
              </w:rPr>
              <w:t>故障响应情况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F64315F">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0C3FA0BD">
            <w:pPr>
              <w:pStyle w:val="276"/>
              <w:widowControl w:val="0"/>
              <w:rPr>
                <w:color w:val="auto"/>
                <w:highlight w:val="none"/>
              </w:rPr>
            </w:pPr>
            <w:r>
              <w:rPr>
                <w:rFonts w:ascii="宋体;SimSun" w:hAnsi="宋体;SimSun" w:cs="宋体;SimSun"/>
                <w:color w:val="auto"/>
                <w:highlight w:val="none"/>
              </w:rPr>
              <w:t>需符合招标文件要求，2h响应，每超过时间的1天扣0.3分。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0AFBF394">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0527DB52">
        <w:tblPrEx>
          <w:tblCellMar>
            <w:top w:w="0" w:type="dxa"/>
            <w:left w:w="108" w:type="dxa"/>
            <w:bottom w:w="0" w:type="dxa"/>
            <w:right w:w="108" w:type="dxa"/>
          </w:tblCellMar>
        </w:tblPrEx>
        <w:trPr>
          <w:trHeight w:val="288" w:hRule="atLeast"/>
        </w:trPr>
        <w:tc>
          <w:tcPr>
            <w:tcW w:w="1253" w:type="dxa"/>
            <w:vMerge w:val="restart"/>
            <w:tcBorders>
              <w:top w:val="single" w:color="000000" w:sz="4" w:space="0"/>
              <w:left w:val="single" w:color="000000" w:sz="4" w:space="0"/>
              <w:bottom w:val="single" w:color="000000" w:sz="4" w:space="0"/>
              <w:right w:val="single" w:color="000000" w:sz="4" w:space="0"/>
            </w:tcBorders>
            <w:noWrap w:val="0"/>
            <w:vAlign w:val="center"/>
          </w:tcPr>
          <w:p w14:paraId="509327CB">
            <w:pPr>
              <w:pStyle w:val="276"/>
              <w:widowControl w:val="0"/>
              <w:rPr>
                <w:rFonts w:ascii="宋体;SimSun" w:hAnsi="宋体;SimSun" w:cs="宋体;SimSun"/>
                <w:color w:val="auto"/>
                <w:highlight w:val="none"/>
              </w:rPr>
            </w:pPr>
            <w:r>
              <w:rPr>
                <w:rFonts w:ascii="宋体;SimSun" w:hAnsi="宋体;SimSun" w:cs="宋体;SimSun"/>
                <w:color w:val="auto"/>
                <w:highlight w:val="none"/>
              </w:rPr>
              <w:t>三、现场检查情况（10分）</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37E6A277">
            <w:pPr>
              <w:pStyle w:val="276"/>
              <w:widowControl w:val="0"/>
              <w:rPr>
                <w:rFonts w:ascii="宋体;SimSun" w:hAnsi="宋体;SimSun" w:cs="宋体;SimSun"/>
                <w:color w:val="auto"/>
                <w:highlight w:val="none"/>
              </w:rPr>
            </w:pPr>
            <w:r>
              <w:rPr>
                <w:rFonts w:ascii="宋体;SimSun" w:hAnsi="宋体;SimSun" w:cs="宋体;SimSun"/>
                <w:color w:val="auto"/>
                <w:highlight w:val="none"/>
              </w:rPr>
              <w:t>12</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8417D8A">
            <w:pPr>
              <w:pStyle w:val="276"/>
              <w:widowControl w:val="0"/>
              <w:rPr>
                <w:rFonts w:ascii="宋体;SimSun" w:hAnsi="宋体;SimSun" w:cs="宋体;SimSun"/>
                <w:color w:val="auto"/>
                <w:highlight w:val="none"/>
              </w:rPr>
            </w:pPr>
            <w:r>
              <w:rPr>
                <w:rFonts w:ascii="宋体;SimSun" w:hAnsi="宋体;SimSun" w:cs="宋体;SimSun"/>
                <w:color w:val="auto"/>
                <w:highlight w:val="none"/>
              </w:rPr>
              <w:t>上墙制度执行情况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E68A7D6">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1499A0DE">
            <w:pPr>
              <w:pStyle w:val="276"/>
              <w:widowControl w:val="0"/>
              <w:rPr>
                <w:rFonts w:ascii="宋体;SimSun" w:hAnsi="宋体;SimSun" w:cs="宋体;SimSun"/>
                <w:color w:val="auto"/>
                <w:highlight w:val="none"/>
              </w:rPr>
            </w:pPr>
            <w:r>
              <w:rPr>
                <w:rFonts w:ascii="宋体;SimSun" w:hAnsi="宋体;SimSun" w:cs="宋体;SimSun"/>
                <w:color w:val="auto"/>
                <w:highlight w:val="none"/>
              </w:rPr>
              <w:t>按照上墙的运维规章制度操作，不符合规范每一项扣0.2分。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14C2B6D0">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5035207C">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6E7F57">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67A40587">
            <w:pPr>
              <w:pStyle w:val="276"/>
              <w:widowControl w:val="0"/>
              <w:rPr>
                <w:rFonts w:ascii="宋体;SimSun" w:hAnsi="宋体;SimSun" w:cs="宋体;SimSun"/>
                <w:color w:val="auto"/>
                <w:highlight w:val="none"/>
              </w:rPr>
            </w:pPr>
            <w:r>
              <w:rPr>
                <w:rFonts w:ascii="宋体;SimSun" w:hAnsi="宋体;SimSun" w:cs="宋体;SimSun"/>
                <w:color w:val="auto"/>
                <w:highlight w:val="none"/>
              </w:rPr>
              <w:t>13</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BE5D1F1">
            <w:pPr>
              <w:pStyle w:val="276"/>
              <w:widowControl w:val="0"/>
              <w:rPr>
                <w:rFonts w:ascii="宋体;SimSun" w:hAnsi="宋体;SimSun" w:cs="宋体;SimSun"/>
                <w:color w:val="auto"/>
                <w:highlight w:val="none"/>
              </w:rPr>
            </w:pPr>
            <w:r>
              <w:rPr>
                <w:rFonts w:ascii="宋体;SimSun" w:hAnsi="宋体;SimSun" w:cs="宋体;SimSun"/>
                <w:color w:val="auto"/>
                <w:highlight w:val="none"/>
              </w:rPr>
              <w:t>试剂使用情况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DDD1808">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60939691">
            <w:pPr>
              <w:pStyle w:val="276"/>
              <w:widowControl w:val="0"/>
              <w:rPr>
                <w:rFonts w:ascii="宋体;SimSun" w:hAnsi="宋体;SimSun" w:cs="宋体;SimSun"/>
                <w:color w:val="auto"/>
                <w:highlight w:val="none"/>
              </w:rPr>
            </w:pPr>
            <w:r>
              <w:rPr>
                <w:rFonts w:ascii="宋体;SimSun" w:hAnsi="宋体;SimSun" w:cs="宋体;SimSun"/>
                <w:color w:val="auto"/>
                <w:highlight w:val="none"/>
              </w:rPr>
              <w:t>试剂必须按要求进行成分、有效期等标识，并在有效期内使用，如未按要求执行，发现一次扣0.5分。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32497A6">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28325FFC">
        <w:tblPrEx>
          <w:tblCellMar>
            <w:top w:w="0" w:type="dxa"/>
            <w:left w:w="108" w:type="dxa"/>
            <w:bottom w:w="0" w:type="dxa"/>
            <w:right w:w="108" w:type="dxa"/>
          </w:tblCellMar>
        </w:tblPrEx>
        <w:trPr>
          <w:trHeight w:val="576" w:hRule="atLeast"/>
        </w:trPr>
        <w:tc>
          <w:tcPr>
            <w:tcW w:w="1253" w:type="dxa"/>
            <w:vMerge w:val="restart"/>
            <w:tcBorders>
              <w:top w:val="single" w:color="000000" w:sz="4" w:space="0"/>
              <w:left w:val="single" w:color="000000" w:sz="4" w:space="0"/>
              <w:bottom w:val="single" w:color="000000" w:sz="4" w:space="0"/>
              <w:right w:val="single" w:color="000000" w:sz="4" w:space="0"/>
            </w:tcBorders>
            <w:noWrap w:val="0"/>
            <w:vAlign w:val="center"/>
          </w:tcPr>
          <w:p w14:paraId="0EAF62F6">
            <w:pPr>
              <w:pStyle w:val="276"/>
              <w:widowControl w:val="0"/>
              <w:rPr>
                <w:rFonts w:ascii="宋体;SimSun" w:hAnsi="宋体;SimSun" w:cs="宋体;SimSun"/>
                <w:color w:val="auto"/>
                <w:highlight w:val="none"/>
              </w:rPr>
            </w:pPr>
            <w:r>
              <w:rPr>
                <w:rFonts w:ascii="宋体;SimSun" w:hAnsi="宋体;SimSun" w:cs="宋体;SimSun"/>
                <w:color w:val="auto"/>
                <w:highlight w:val="none"/>
              </w:rPr>
              <w:t>四、质控情况（35分）</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05596C13">
            <w:pPr>
              <w:pStyle w:val="276"/>
              <w:widowControl w:val="0"/>
              <w:rPr>
                <w:rFonts w:ascii="宋体;SimSun" w:hAnsi="宋体;SimSun" w:cs="宋体;SimSun"/>
                <w:color w:val="auto"/>
                <w:highlight w:val="none"/>
              </w:rPr>
            </w:pPr>
            <w:r>
              <w:rPr>
                <w:rFonts w:ascii="宋体;SimSun" w:hAnsi="宋体;SimSun" w:cs="宋体;SimSun"/>
                <w:color w:val="auto"/>
                <w:highlight w:val="none"/>
              </w:rPr>
              <w:t>14</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5C89209">
            <w:pPr>
              <w:pStyle w:val="276"/>
              <w:widowControl w:val="0"/>
              <w:rPr>
                <w:rFonts w:ascii="宋体;SimSun" w:hAnsi="宋体;SimSun" w:cs="宋体;SimSun"/>
                <w:color w:val="auto"/>
                <w:highlight w:val="none"/>
              </w:rPr>
            </w:pPr>
            <w:r>
              <w:rPr>
                <w:rFonts w:ascii="宋体;SimSun" w:hAnsi="宋体;SimSun" w:cs="宋体;SimSun"/>
                <w:color w:val="auto"/>
                <w:highlight w:val="none"/>
              </w:rPr>
              <w:t>监测站实际水样实验室比对</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F3B8B92">
            <w:pPr>
              <w:pStyle w:val="276"/>
              <w:widowControl w:val="0"/>
              <w:rPr>
                <w:rFonts w:ascii="宋体;SimSun" w:hAnsi="宋体;SimSun" w:cs="宋体;SimSun"/>
                <w:color w:val="auto"/>
                <w:highlight w:val="none"/>
              </w:rPr>
            </w:pPr>
            <w:r>
              <w:rPr>
                <w:rFonts w:ascii="宋体;SimSun" w:hAnsi="宋体;SimSun" w:cs="宋体;SimSun"/>
                <w:color w:val="auto"/>
                <w:highlight w:val="none"/>
              </w:rPr>
              <w:t>7</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2F890A4B">
            <w:pPr>
              <w:pStyle w:val="276"/>
              <w:widowControl w:val="0"/>
              <w:rPr>
                <w:rFonts w:ascii="宋体;SimSun" w:hAnsi="宋体;SimSun" w:cs="宋体;SimSun"/>
                <w:color w:val="auto"/>
                <w:highlight w:val="none"/>
              </w:rPr>
            </w:pPr>
            <w:r>
              <w:rPr>
                <w:rFonts w:ascii="宋体;SimSun" w:hAnsi="宋体;SimSun" w:cs="宋体;SimSun"/>
                <w:color w:val="auto"/>
                <w:highlight w:val="none"/>
              </w:rPr>
              <w:t>每个季度一次，认真做好记录，单项比对不合格扣2分，扣完为止</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240889CA">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4065F475">
        <w:tblPrEx>
          <w:tblCellMar>
            <w:top w:w="0" w:type="dxa"/>
            <w:left w:w="108" w:type="dxa"/>
            <w:bottom w:w="0" w:type="dxa"/>
            <w:right w:w="108" w:type="dxa"/>
          </w:tblCellMar>
        </w:tblPrEx>
        <w:trPr>
          <w:trHeight w:val="864"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7C54E9">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57F2380F">
            <w:pPr>
              <w:pStyle w:val="276"/>
              <w:widowControl w:val="0"/>
              <w:rPr>
                <w:rFonts w:ascii="宋体;SimSun" w:hAnsi="宋体;SimSun" w:cs="宋体;SimSun"/>
                <w:color w:val="auto"/>
                <w:highlight w:val="none"/>
              </w:rPr>
            </w:pPr>
            <w:r>
              <w:rPr>
                <w:rFonts w:ascii="宋体;SimSun" w:hAnsi="宋体;SimSun" w:cs="宋体;SimSun"/>
                <w:color w:val="auto"/>
                <w:highlight w:val="none"/>
              </w:rPr>
              <w:t>15</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9698CE1">
            <w:pPr>
              <w:pStyle w:val="276"/>
              <w:widowControl w:val="0"/>
              <w:rPr>
                <w:rFonts w:ascii="宋体;SimSun" w:hAnsi="宋体;SimSun" w:cs="宋体;SimSun"/>
                <w:color w:val="auto"/>
                <w:highlight w:val="none"/>
              </w:rPr>
            </w:pPr>
            <w:r>
              <w:rPr>
                <w:rFonts w:ascii="宋体;SimSun" w:hAnsi="宋体;SimSun" w:cs="宋体;SimSun"/>
                <w:color w:val="auto"/>
                <w:highlight w:val="none"/>
              </w:rPr>
              <w:t>质控</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F091F99">
            <w:pPr>
              <w:pStyle w:val="276"/>
              <w:widowControl w:val="0"/>
              <w:rPr>
                <w:rFonts w:ascii="宋体;SimSun" w:hAnsi="宋体;SimSun" w:cs="宋体;SimSun"/>
                <w:color w:val="auto"/>
                <w:highlight w:val="none"/>
              </w:rPr>
            </w:pPr>
            <w:r>
              <w:rPr>
                <w:rFonts w:ascii="宋体;SimSun" w:hAnsi="宋体;SimSun" w:cs="宋体;SimSun"/>
                <w:color w:val="auto"/>
                <w:highlight w:val="none"/>
              </w:rPr>
              <w:t>8</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454DA333">
            <w:pPr>
              <w:pStyle w:val="276"/>
              <w:widowControl w:val="0"/>
              <w:rPr>
                <w:rFonts w:ascii="宋体;SimSun" w:hAnsi="宋体;SimSun" w:cs="宋体;SimSun"/>
                <w:color w:val="auto"/>
                <w:highlight w:val="none"/>
              </w:rPr>
            </w:pPr>
            <w:r>
              <w:rPr>
                <w:rFonts w:ascii="宋体;SimSun" w:hAnsi="宋体;SimSun" w:cs="宋体;SimSun"/>
                <w:color w:val="auto"/>
                <w:highlight w:val="none"/>
              </w:rPr>
              <w:t>按照规范要求完成日质控、周质控、月质控。质控一项不合格扣0.5分，扣完为止。</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492AF645">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0EEE97E5">
        <w:tblPrEx>
          <w:tblCellMar>
            <w:top w:w="0" w:type="dxa"/>
            <w:left w:w="108" w:type="dxa"/>
            <w:bottom w:w="0" w:type="dxa"/>
            <w:right w:w="108" w:type="dxa"/>
          </w:tblCellMar>
        </w:tblPrEx>
        <w:trPr>
          <w:trHeight w:val="288"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C2F7FD">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7B3E454E">
            <w:pPr>
              <w:pStyle w:val="276"/>
              <w:widowControl w:val="0"/>
              <w:rPr>
                <w:rFonts w:ascii="宋体;SimSun" w:hAnsi="宋体;SimSun" w:cs="宋体;SimSun"/>
                <w:color w:val="auto"/>
                <w:highlight w:val="none"/>
              </w:rPr>
            </w:pPr>
            <w:r>
              <w:rPr>
                <w:rFonts w:ascii="宋体;SimSun" w:hAnsi="宋体;SimSun" w:cs="宋体;SimSun"/>
                <w:color w:val="auto"/>
                <w:highlight w:val="none"/>
              </w:rPr>
              <w:t>16</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0F222A2">
            <w:pPr>
              <w:pStyle w:val="276"/>
              <w:widowControl w:val="0"/>
              <w:rPr>
                <w:rFonts w:ascii="宋体;SimSun" w:hAnsi="宋体;SimSun" w:cs="宋体;SimSun"/>
                <w:color w:val="auto"/>
                <w:highlight w:val="none"/>
              </w:rPr>
            </w:pPr>
            <w:r>
              <w:rPr>
                <w:rFonts w:ascii="宋体;SimSun" w:hAnsi="宋体;SimSun" w:cs="宋体;SimSun"/>
                <w:color w:val="auto"/>
                <w:highlight w:val="none"/>
              </w:rPr>
              <w:t>有效数据获取率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3C179C3">
            <w:pPr>
              <w:pStyle w:val="276"/>
              <w:widowControl w:val="0"/>
              <w:rPr>
                <w:rFonts w:ascii="宋体;SimSun" w:hAnsi="宋体;SimSun" w:cs="宋体;SimSun"/>
                <w:color w:val="auto"/>
                <w:highlight w:val="none"/>
              </w:rPr>
            </w:pPr>
            <w:r>
              <w:rPr>
                <w:rFonts w:ascii="宋体;SimSun" w:hAnsi="宋体;SimSun" w:cs="宋体;SimSun"/>
                <w:color w:val="auto"/>
                <w:highlight w:val="none"/>
              </w:rPr>
              <w:t>20</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172A3307">
            <w:pPr>
              <w:pStyle w:val="276"/>
              <w:widowControl w:val="0"/>
              <w:rPr>
                <w:rFonts w:ascii="宋体;SimSun" w:hAnsi="宋体;SimSun" w:cs="宋体;SimSun"/>
                <w:color w:val="auto"/>
                <w:highlight w:val="none"/>
              </w:rPr>
            </w:pPr>
            <w:r>
              <w:rPr>
                <w:rFonts w:ascii="宋体;SimSun" w:hAnsi="宋体;SimSun" w:cs="宋体;SimSun"/>
                <w:color w:val="auto"/>
                <w:highlight w:val="none"/>
              </w:rPr>
              <w:t>数据有效率大于85%，得20分，每降低1%，扣2分，扣完为止。</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64F4D112">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1DF19230">
        <w:tblPrEx>
          <w:tblCellMar>
            <w:top w:w="0" w:type="dxa"/>
            <w:left w:w="108" w:type="dxa"/>
            <w:bottom w:w="0" w:type="dxa"/>
            <w:right w:w="108" w:type="dxa"/>
          </w:tblCellMar>
        </w:tblPrEx>
        <w:trPr>
          <w:trHeight w:val="864" w:hRule="atLeast"/>
        </w:trPr>
        <w:tc>
          <w:tcPr>
            <w:tcW w:w="1253" w:type="dxa"/>
            <w:vMerge w:val="restart"/>
            <w:tcBorders>
              <w:top w:val="single" w:color="000000" w:sz="4" w:space="0"/>
              <w:left w:val="single" w:color="000000" w:sz="4" w:space="0"/>
              <w:bottom w:val="single" w:color="000000" w:sz="4" w:space="0"/>
              <w:right w:val="single" w:color="000000" w:sz="4" w:space="0"/>
            </w:tcBorders>
            <w:noWrap w:val="0"/>
            <w:vAlign w:val="center"/>
          </w:tcPr>
          <w:p w14:paraId="067A84AA">
            <w:pPr>
              <w:pStyle w:val="276"/>
              <w:widowControl w:val="0"/>
              <w:rPr>
                <w:rFonts w:ascii="宋体;SimSun" w:hAnsi="宋体;SimSun" w:cs="宋体;SimSun"/>
                <w:color w:val="auto"/>
                <w:highlight w:val="none"/>
              </w:rPr>
            </w:pPr>
            <w:r>
              <w:rPr>
                <w:rFonts w:ascii="宋体;SimSun" w:hAnsi="宋体;SimSun" w:cs="宋体;SimSun"/>
                <w:color w:val="auto"/>
                <w:highlight w:val="none"/>
              </w:rPr>
              <w:t>五、技术服务（10分）</w:t>
            </w: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7CD351EB">
            <w:pPr>
              <w:pStyle w:val="276"/>
              <w:widowControl w:val="0"/>
              <w:rPr>
                <w:rFonts w:ascii="宋体;SimSun" w:hAnsi="宋体;SimSun" w:cs="宋体;SimSun"/>
                <w:color w:val="auto"/>
                <w:highlight w:val="none"/>
              </w:rPr>
            </w:pPr>
            <w:r>
              <w:rPr>
                <w:rFonts w:ascii="宋体;SimSun" w:hAnsi="宋体;SimSun" w:cs="宋体;SimSun"/>
                <w:color w:val="auto"/>
                <w:highlight w:val="none"/>
              </w:rPr>
              <w:t>17</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197C97F">
            <w:pPr>
              <w:pStyle w:val="276"/>
              <w:widowControl w:val="0"/>
              <w:rPr>
                <w:rFonts w:ascii="宋体;SimSun" w:hAnsi="宋体;SimSun" w:cs="宋体;SimSun"/>
                <w:color w:val="auto"/>
                <w:highlight w:val="none"/>
              </w:rPr>
            </w:pPr>
            <w:r>
              <w:rPr>
                <w:rFonts w:ascii="宋体;SimSun" w:hAnsi="宋体;SimSun" w:cs="宋体;SimSun"/>
                <w:color w:val="auto"/>
                <w:highlight w:val="none"/>
              </w:rPr>
              <w:t>报告上报</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2CDB540">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05F67469">
            <w:pPr>
              <w:pStyle w:val="276"/>
              <w:widowControl w:val="0"/>
              <w:rPr>
                <w:rFonts w:ascii="宋体;SimSun" w:hAnsi="宋体;SimSun" w:cs="宋体;SimSun"/>
                <w:color w:val="auto"/>
                <w:highlight w:val="none"/>
              </w:rPr>
            </w:pPr>
            <w:r>
              <w:rPr>
                <w:rFonts w:ascii="宋体;SimSun" w:hAnsi="宋体;SimSun" w:cs="宋体;SimSun"/>
                <w:color w:val="auto"/>
                <w:highlight w:val="none"/>
              </w:rPr>
              <w:t>报告内容包括但不限于监测数据分析、数据质量评价、日常运维台账、针对监测数据提出的意见及改进措施建议等，成果报告于每月28日前上报业主。不按时送报及报告内容未达到要求的，每次扣5分。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6B5DBFBE">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r w14:paraId="67075BC1">
        <w:tblPrEx>
          <w:tblCellMar>
            <w:top w:w="0" w:type="dxa"/>
            <w:left w:w="108" w:type="dxa"/>
            <w:bottom w:w="0" w:type="dxa"/>
            <w:right w:w="108" w:type="dxa"/>
          </w:tblCellMar>
        </w:tblPrEx>
        <w:trPr>
          <w:trHeight w:val="576" w:hRule="atLeast"/>
        </w:trPr>
        <w:tc>
          <w:tcPr>
            <w:tcW w:w="125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38004">
            <w:pPr>
              <w:pStyle w:val="276"/>
              <w:widowControl w:val="0"/>
              <w:rPr>
                <w:rFonts w:ascii="宋体;SimSun" w:hAnsi="宋体;SimSun" w:cs="宋体;SimSun"/>
                <w:color w:val="auto"/>
                <w:highlight w:val="none"/>
              </w:rPr>
            </w:pPr>
          </w:p>
        </w:tc>
        <w:tc>
          <w:tcPr>
            <w:tcW w:w="471" w:type="dxa"/>
            <w:tcBorders>
              <w:top w:val="single" w:color="000000" w:sz="4" w:space="0"/>
              <w:left w:val="single" w:color="000000" w:sz="4" w:space="0"/>
              <w:bottom w:val="single" w:color="000000" w:sz="4" w:space="0"/>
              <w:right w:val="single" w:color="000000" w:sz="4" w:space="0"/>
            </w:tcBorders>
            <w:noWrap w:val="0"/>
            <w:vAlign w:val="center"/>
          </w:tcPr>
          <w:p w14:paraId="6A578EBB">
            <w:pPr>
              <w:pStyle w:val="276"/>
              <w:widowControl w:val="0"/>
              <w:rPr>
                <w:rFonts w:ascii="宋体;SimSun" w:hAnsi="宋体;SimSun" w:cs="宋体;SimSun"/>
                <w:color w:val="auto"/>
                <w:highlight w:val="none"/>
              </w:rPr>
            </w:pPr>
            <w:r>
              <w:rPr>
                <w:rFonts w:ascii="宋体;SimSun" w:hAnsi="宋体;SimSun" w:cs="宋体;SimSun"/>
                <w:color w:val="auto"/>
                <w:highlight w:val="none"/>
              </w:rPr>
              <w:t>18</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634A164">
            <w:pPr>
              <w:pStyle w:val="276"/>
              <w:widowControl w:val="0"/>
              <w:rPr>
                <w:rFonts w:ascii="宋体;SimSun" w:hAnsi="宋体;SimSun" w:cs="宋体;SimSun"/>
                <w:color w:val="auto"/>
                <w:highlight w:val="none"/>
              </w:rPr>
            </w:pPr>
            <w:r>
              <w:rPr>
                <w:rFonts w:ascii="宋体;SimSun" w:hAnsi="宋体;SimSun" w:cs="宋体;SimSun"/>
                <w:color w:val="auto"/>
                <w:highlight w:val="none"/>
              </w:rPr>
              <w:t>其他</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C50DFB0">
            <w:pPr>
              <w:pStyle w:val="276"/>
              <w:widowControl w:val="0"/>
              <w:rPr>
                <w:rFonts w:ascii="宋体;SimSun" w:hAnsi="宋体;SimSun" w:cs="宋体;SimSun"/>
                <w:color w:val="auto"/>
                <w:highlight w:val="none"/>
              </w:rPr>
            </w:pPr>
            <w:r>
              <w:rPr>
                <w:rFonts w:ascii="宋体;SimSun" w:hAnsi="宋体;SimSun" w:cs="宋体;SimSun"/>
                <w:color w:val="auto"/>
                <w:highlight w:val="none"/>
              </w:rPr>
              <w:t>5</w:t>
            </w:r>
          </w:p>
        </w:tc>
        <w:tc>
          <w:tcPr>
            <w:tcW w:w="4557" w:type="dxa"/>
            <w:tcBorders>
              <w:top w:val="single" w:color="000000" w:sz="4" w:space="0"/>
              <w:left w:val="single" w:color="000000" w:sz="4" w:space="0"/>
              <w:bottom w:val="single" w:color="000000" w:sz="4" w:space="0"/>
              <w:right w:val="single" w:color="000000" w:sz="4" w:space="0"/>
            </w:tcBorders>
            <w:noWrap w:val="0"/>
            <w:vAlign w:val="center"/>
          </w:tcPr>
          <w:p w14:paraId="07C130B0">
            <w:pPr>
              <w:pStyle w:val="276"/>
              <w:widowControl w:val="0"/>
              <w:rPr>
                <w:rFonts w:ascii="宋体;SimSun" w:hAnsi="宋体;SimSun" w:cs="宋体;SimSun"/>
                <w:color w:val="auto"/>
                <w:highlight w:val="none"/>
              </w:rPr>
            </w:pPr>
            <w:r>
              <w:rPr>
                <w:rFonts w:ascii="宋体;SimSun" w:hAnsi="宋体;SimSun" w:cs="宋体;SimSun"/>
                <w:color w:val="auto"/>
                <w:highlight w:val="none"/>
              </w:rPr>
              <w:t>甲方其他交办的事宜，执行效果满足甲方要求的得5分，其他情况酌情予以扣分。（5分）</w:t>
            </w:r>
          </w:p>
        </w:tc>
        <w:tc>
          <w:tcPr>
            <w:tcW w:w="470" w:type="dxa"/>
            <w:tcBorders>
              <w:top w:val="single" w:color="000000" w:sz="4" w:space="0"/>
              <w:left w:val="single" w:color="000000" w:sz="4" w:space="0"/>
              <w:bottom w:val="single" w:color="000000" w:sz="4" w:space="0"/>
              <w:right w:val="single" w:color="000000" w:sz="4" w:space="0"/>
            </w:tcBorders>
            <w:noWrap w:val="0"/>
            <w:vAlign w:val="center"/>
          </w:tcPr>
          <w:p w14:paraId="3766EA0E">
            <w:pPr>
              <w:pStyle w:val="276"/>
              <w:widowControl w:val="0"/>
              <w:rPr>
                <w:rFonts w:ascii="宋体;SimSun" w:hAnsi="宋体;SimSun" w:cs="宋体;SimSun"/>
                <w:color w:val="auto"/>
                <w:highlight w:val="none"/>
              </w:rPr>
            </w:pPr>
            <w:r>
              <w:rPr>
                <w:rFonts w:ascii="宋体;SimSun" w:hAnsi="宋体;SimSun" w:cs="宋体;SimSun"/>
                <w:color w:val="auto"/>
                <w:highlight w:val="none"/>
              </w:rPr>
              <w:t>　</w:t>
            </w:r>
          </w:p>
        </w:tc>
      </w:tr>
    </w:tbl>
    <w:p w14:paraId="5A98FF70">
      <w:pPr>
        <w:ind w:firstLine="240"/>
        <w:jc w:val="left"/>
        <w:rPr>
          <w:rFonts w:ascii="宋体;SimSun" w:hAnsi="宋体;SimSun" w:eastAsia="宋体;SimSun" w:cs="宋体;SimSun"/>
          <w:color w:val="auto"/>
          <w:sz w:val="24"/>
          <w:szCs w:val="21"/>
          <w:highlight w:val="none"/>
        </w:rPr>
      </w:pPr>
    </w:p>
    <w:p w14:paraId="0E12AA91">
      <w:pPr>
        <w:pStyle w:val="273"/>
        <w:ind w:firstLine="0"/>
        <w:rPr>
          <w:color w:val="auto"/>
          <w:highlight w:val="none"/>
        </w:rPr>
      </w:pPr>
      <w:r>
        <w:rPr>
          <w:rFonts w:ascii="宋体;SimSun" w:hAnsi="宋体;SimSun" w:cs="宋体;SimSun"/>
          <w:color w:val="auto"/>
          <w:highlight w:val="none"/>
        </w:rPr>
        <w:t>服务商公司名称（盖章）： 考核方单位名称（盖章）：</w:t>
      </w:r>
    </w:p>
    <w:p w14:paraId="77C15757">
      <w:pPr>
        <w:pStyle w:val="273"/>
        <w:ind w:firstLine="480"/>
        <w:rPr>
          <w:rFonts w:ascii="宋体;SimSun" w:hAnsi="宋体;SimSun" w:cs="宋体;SimSun"/>
          <w:color w:val="auto"/>
          <w:highlight w:val="none"/>
        </w:rPr>
      </w:pPr>
      <w:r>
        <w:rPr>
          <w:rFonts w:ascii="宋体;SimSun" w:hAnsi="宋体;SimSun" w:cs="宋体;SimSun"/>
          <w:color w:val="auto"/>
          <w:highlight w:val="none"/>
        </w:rPr>
        <w:t>经办人： 经办人：</w:t>
      </w:r>
    </w:p>
    <w:p w14:paraId="2B0C458B">
      <w:pPr>
        <w:pStyle w:val="273"/>
        <w:ind w:firstLine="480"/>
        <w:rPr>
          <w:rFonts w:ascii="宋体;SimSun" w:hAnsi="宋体;SimSun" w:cs="宋体;SimSun"/>
          <w:color w:val="auto"/>
          <w:highlight w:val="none"/>
        </w:rPr>
        <w:sectPr>
          <w:footerReference r:id="rId7" w:type="default"/>
          <w:pgSz w:w="11906" w:h="16838"/>
          <w:pgMar w:top="1440" w:right="1800" w:bottom="1440" w:left="1800" w:header="0" w:footer="992" w:gutter="0"/>
          <w:cols w:space="720" w:num="1"/>
          <w:docGrid w:linePitch="360" w:charSpace="0"/>
        </w:sectPr>
      </w:pPr>
      <w:r>
        <w:rPr>
          <w:rFonts w:ascii="宋体;SimSun" w:hAnsi="宋体;SimSun" w:cs="宋体;SimSun"/>
          <w:color w:val="auto"/>
          <w:highlight w:val="none"/>
        </w:rPr>
        <w:t>备注：该表为最终季度考核用，考核情况按“优”“良”“中”“差”四个等级来评价，考核90分以上（含90分）为“优”，考核80-90分（含80分）为“良”，考核70-80分（含70分）为“中”，考核低于70分的即为“差”。</w:t>
      </w:r>
    </w:p>
    <w:p w14:paraId="51EE425D">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网络及云服务</w:t>
      </w:r>
    </w:p>
    <w:p w14:paraId="698BCABC">
      <w:pPr>
        <w:spacing w:line="360" w:lineRule="auto"/>
        <w:ind w:left="420"/>
        <w:rPr>
          <w:color w:val="auto"/>
          <w:highlight w:val="none"/>
        </w:rPr>
      </w:pPr>
      <w:r>
        <w:rPr>
          <w:color w:val="auto"/>
          <w:highlight w:val="none"/>
        </w:rPr>
        <w:t>本项目需要建设数据专线和网络管道，并且租用连云港市政务云7台云主机及安全防护一套。网络及云服务需求清单如下：</w:t>
      </w:r>
    </w:p>
    <w:tbl>
      <w:tblPr>
        <w:tblStyle w:val="39"/>
        <w:tblW w:w="4950" w:type="pct"/>
        <w:tblInd w:w="-113" w:type="dxa"/>
        <w:tblLayout w:type="fixed"/>
        <w:tblCellMar>
          <w:top w:w="0" w:type="dxa"/>
          <w:left w:w="108" w:type="dxa"/>
          <w:bottom w:w="0" w:type="dxa"/>
          <w:right w:w="108" w:type="dxa"/>
        </w:tblCellMar>
      </w:tblPr>
      <w:tblGrid>
        <w:gridCol w:w="1370"/>
        <w:gridCol w:w="3938"/>
        <w:gridCol w:w="5762"/>
        <w:gridCol w:w="1375"/>
        <w:gridCol w:w="1374"/>
      </w:tblGrid>
      <w:tr w14:paraId="319DFF5F">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39015FE6">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序号</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1A3CBFAC">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产品名称</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5B4BD9AF">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参数</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62D9950">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数量</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339CB6AA">
            <w:pPr>
              <w:jc w:val="center"/>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单位</w:t>
            </w:r>
          </w:p>
        </w:tc>
      </w:tr>
      <w:tr w14:paraId="1CB3DF1E">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4A2368FF">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2CCC117E">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数据库服务器*1台</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08CA97FA">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CPU:≥32Core，内存:≥64GB，系统盘：≥100GB；硬盘: ≥4*1024GB</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8472B51">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75E671A0">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0D52056C">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214EA415">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4E72303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GIS服务器*1台</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7A6D3C13">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CPU:≥64Core，内存:≥128GB，系统盘：≥100GB；硬盘: ≥2*1024GB</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6F72C82">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35EACB2D">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7EB8246B">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3380413D">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5567D36D">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应用服务器*4台</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7658E6AC">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CPU:≥32Core，内存:≥64GB，系统盘：≥100GB；硬盘: ≥2*1024GB</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22EE75D9">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42FA3F9C">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08F4CA40">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37DA73E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6485CEFB">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应用服务器*1台</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040B0DFD">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CPU:≥8Core，内存:≥16GB，系统盘：≥100GB；硬盘: ≥4*1024GB</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2B2B26B">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343BFCB4">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4F0278E7">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119AD8A5">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5E52297F">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云网络安全防护*1套</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7FD16FA2">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网络安全防护</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4F9D212E">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46EFAD1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0AADBA7E">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451ECE23">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4D26F078">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公网带宽*1条</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5634330F">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带宽：100M</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66F1FCE6">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227095D4">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7C1ED425">
        <w:tblPrEx>
          <w:tblCellMar>
            <w:top w:w="0" w:type="dxa"/>
            <w:left w:w="108" w:type="dxa"/>
            <w:bottom w:w="0" w:type="dxa"/>
            <w:right w:w="108" w:type="dxa"/>
          </w:tblCellMar>
        </w:tblPrEx>
        <w:trPr>
          <w:trHeight w:val="1266"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15235BB6">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7</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589E7992">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网闸</w:t>
            </w:r>
          </w:p>
        </w:tc>
        <w:tc>
          <w:tcPr>
            <w:tcW w:w="5762" w:type="dxa"/>
            <w:tcBorders>
              <w:top w:val="single" w:color="000000" w:sz="4" w:space="0"/>
              <w:left w:val="single" w:color="000000" w:sz="4" w:space="0"/>
              <w:bottom w:val="single" w:color="000000" w:sz="4" w:space="0"/>
              <w:right w:val="single" w:color="000000" w:sz="4" w:space="0"/>
            </w:tcBorders>
            <w:noWrap w:val="0"/>
          </w:tcPr>
          <w:p w14:paraId="306466AC">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满足国产化需求，标准机架式，2U，冗余电源，采用2+1系统架构，即内网单元+外网单元+专用隔离硬件，内外网分别配置≥6个千兆电口、2个USB接口，1个串口。网络吞吐量≥1G，最大并发连接数≥20万，内外网分别配置≥8G内存、≥128G SSD。默认支持跨域访问（邮件、网页、文件、数据库、工业应用等模块）、视频交换、数据库同步、文件同步等功能。含三年原厂软件升级和硬件维保服务。</w:t>
            </w:r>
          </w:p>
          <w:p w14:paraId="40C8BB62">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产品应具备完善的安全审计功能，能够支持以下内容，审计数据生成、安全审计分析、用户身份关联、审计记录管理、限制审计记录访问、防止审计数据丢失等。</w:t>
            </w:r>
          </w:p>
          <w:p w14:paraId="40C2D2EC">
            <w:pP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产品应具备完善的标识和鉴别功能，支持敏感标记、安全属性定义、属性初始化、属性修改、属性查询、鉴别数据初始化、鉴别时机、多鉴别机制、鉴别失败处理、抗重放、受保护的鉴别反馈、口令强度等。</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300890E">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72CE85BC">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台</w:t>
            </w:r>
          </w:p>
        </w:tc>
      </w:tr>
      <w:tr w14:paraId="6EBD545A">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236B2E51">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8</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0DD7E2A6">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等保测评</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662261B4">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三级等保</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4A3C216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61B6B561">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w:t>
            </w:r>
          </w:p>
        </w:tc>
      </w:tr>
      <w:tr w14:paraId="055E3CB9">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239C3526">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9</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1B30B2E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数据专线*150条</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788B088B">
            <w:pPr>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20m数据专线。</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4F3BE3C7">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14:paraId="1D6F3DEA">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年</w:t>
            </w:r>
          </w:p>
        </w:tc>
      </w:tr>
      <w:tr w14:paraId="0C81DF2F">
        <w:tblPrEx>
          <w:tblCellMar>
            <w:top w:w="0" w:type="dxa"/>
            <w:left w:w="108" w:type="dxa"/>
            <w:bottom w:w="0" w:type="dxa"/>
            <w:right w:w="108" w:type="dxa"/>
          </w:tblCellMar>
        </w:tblPrEx>
        <w:trPr>
          <w:trHeight w:val="285" w:hRule="atLeast"/>
        </w:trPr>
        <w:tc>
          <w:tcPr>
            <w:tcW w:w="1369" w:type="dxa"/>
            <w:tcBorders>
              <w:top w:val="single" w:color="000000" w:sz="4" w:space="0"/>
              <w:left w:val="single" w:color="000000" w:sz="4" w:space="0"/>
              <w:bottom w:val="single" w:color="000000" w:sz="4" w:space="0"/>
              <w:right w:val="single" w:color="000000" w:sz="4" w:space="0"/>
            </w:tcBorders>
            <w:noWrap w:val="0"/>
            <w:vAlign w:val="center"/>
          </w:tcPr>
          <w:p w14:paraId="16539C9B">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10</w:t>
            </w:r>
          </w:p>
        </w:tc>
        <w:tc>
          <w:tcPr>
            <w:tcW w:w="3938" w:type="dxa"/>
            <w:tcBorders>
              <w:top w:val="single" w:color="000000" w:sz="4" w:space="0"/>
              <w:left w:val="single" w:color="000000" w:sz="4" w:space="0"/>
              <w:bottom w:val="single" w:color="000000" w:sz="4" w:space="0"/>
              <w:right w:val="single" w:color="000000" w:sz="4" w:space="0"/>
            </w:tcBorders>
            <w:noWrap w:val="0"/>
            <w:vAlign w:val="center"/>
          </w:tcPr>
          <w:p w14:paraId="6FBEAE0F">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管道建设</w:t>
            </w:r>
          </w:p>
        </w:tc>
        <w:tc>
          <w:tcPr>
            <w:tcW w:w="5762" w:type="dxa"/>
            <w:tcBorders>
              <w:top w:val="single" w:color="000000" w:sz="4" w:space="0"/>
              <w:left w:val="single" w:color="000000" w:sz="4" w:space="0"/>
              <w:bottom w:val="single" w:color="000000" w:sz="4" w:space="0"/>
              <w:right w:val="single" w:color="000000" w:sz="4" w:space="0"/>
            </w:tcBorders>
            <w:noWrap w:val="0"/>
            <w:vAlign w:val="center"/>
          </w:tcPr>
          <w:p w14:paraId="7F9F9D6A">
            <w:pPr>
              <w:rPr>
                <w:color w:val="auto"/>
                <w:highlight w:val="none"/>
              </w:rPr>
            </w:pPr>
            <w:r>
              <w:rPr>
                <w:rFonts w:ascii="宋体;SimSun" w:hAnsi="宋体;SimSun" w:eastAsia="宋体;SimSun" w:cs="宋体;SimSun"/>
                <w:color w:val="auto"/>
                <w:sz w:val="24"/>
                <w:szCs w:val="24"/>
                <w:highlight w:val="none"/>
              </w:rPr>
              <w:t>新建通信分支管道全长约6.9km，采用 Φ110mm CPVC/PE 通信管材，管孔数量按分支 2 孔配置；管顶埋深车行道下不小于 1.2m，人行道下不小于 0.8m；按不大于 120m 间距设置标准通信人孔及手孔，工程满足运营商通信管道建设及验收标准。</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14AF4668">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w:t>
            </w:r>
          </w:p>
        </w:tc>
        <w:tc>
          <w:tcPr>
            <w:tcW w:w="1374" w:type="dxa"/>
            <w:tcBorders>
              <w:top w:val="single" w:color="000000" w:sz="4" w:space="0"/>
              <w:bottom w:val="single" w:color="000000" w:sz="4" w:space="0"/>
              <w:right w:val="single" w:color="000000" w:sz="4" w:space="0"/>
            </w:tcBorders>
            <w:noWrap w:val="0"/>
            <w:vAlign w:val="center"/>
          </w:tcPr>
          <w:p w14:paraId="23148A82">
            <w:pPr>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w:t>
            </w:r>
          </w:p>
        </w:tc>
      </w:tr>
    </w:tbl>
    <w:p w14:paraId="03F36384">
      <w:pPr>
        <w:rPr>
          <w:rFonts w:ascii="宋体;SimSun" w:hAnsi="宋体;SimSun" w:eastAsia="宋体;SimSun" w:cs="宋体;SimSun"/>
          <w:color w:val="auto"/>
          <w:szCs w:val="24"/>
          <w:highlight w:val="none"/>
        </w:rPr>
      </w:pPr>
    </w:p>
    <w:p w14:paraId="53E396E6">
      <w:pPr>
        <w:spacing w:after="120"/>
        <w:rPr>
          <w:rFonts w:ascii="宋体;SimSun" w:hAnsi="宋体;SimSun" w:eastAsia="宋体;SimSun" w:cs="宋体;SimSun"/>
          <w:color w:val="auto"/>
          <w:szCs w:val="20"/>
          <w:highlight w:val="none"/>
        </w:rPr>
      </w:pPr>
    </w:p>
    <w:p w14:paraId="622918DB">
      <w:pPr>
        <w:numPr>
          <w:ilvl w:val="0"/>
          <w:numId w:val="3"/>
        </w:numPr>
        <w:spacing w:line="360" w:lineRule="auto"/>
        <w:ind w:left="420"/>
        <w:outlineLvl w:val="1"/>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运营服务（三年）</w:t>
      </w:r>
    </w:p>
    <w:p w14:paraId="442AA1E1">
      <w:pPr>
        <w:spacing w:line="360" w:lineRule="auto"/>
        <w:ind w:firstLine="42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本项目需要提供一体化智慧平台的运维管理服务，根据国家、省、市对化工园区的建设与管理标准及要求，对一体化智慧平台进行必要的运营管理服务，形成一个互联互通、动态管理、责任落实、创新发展的监管工作新格局。</w:t>
      </w:r>
    </w:p>
    <w:p w14:paraId="3410170D">
      <w:pPr>
        <w:spacing w:line="360" w:lineRule="auto"/>
        <w:ind w:firstLine="420"/>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（一）团队人员</w:t>
      </w:r>
    </w:p>
    <w:p w14:paraId="1BB274C9">
      <w:pPr>
        <w:spacing w:line="500" w:lineRule="exact"/>
        <w:ind w:firstLine="560"/>
        <w:rPr>
          <w:color w:val="auto"/>
          <w:highlight w:val="none"/>
        </w:rPr>
      </w:pPr>
      <w:r>
        <w:rPr>
          <w:rFonts w:ascii="宋体;SimSun" w:hAnsi="宋体;SimSun" w:eastAsia="宋体;SimSun" w:cs="宋体;SimSun"/>
          <w:color w:val="auto"/>
          <w:sz w:val="24"/>
          <w:szCs w:val="24"/>
          <w:highlight w:val="none"/>
          <w:lang w:val="zh-CN"/>
        </w:rPr>
        <w:t>提供</w:t>
      </w:r>
      <w:r>
        <w:rPr>
          <w:rFonts w:ascii="宋体;SimSun" w:hAnsi="宋体;SimSun" w:eastAsia="宋体;SimSun" w:cs="宋体;SimSun"/>
          <w:color w:val="auto"/>
          <w:sz w:val="24"/>
          <w:szCs w:val="24"/>
          <w:highlight w:val="none"/>
        </w:rPr>
        <w:t>15个人的运营团队（包含驻场服务人员9人、远程支撑人员6人</w:t>
      </w:r>
      <w:r>
        <w:rPr>
          <w:rFonts w:ascii="宋体;SimSun" w:hAnsi="宋体;SimSun" w:eastAsia="宋体;SimSun" w:cs="宋体;SimSun"/>
          <w:color w:val="auto"/>
          <w:sz w:val="24"/>
          <w:szCs w:val="24"/>
          <w:highlight w:val="none"/>
          <w:lang w:val="zh-CN"/>
        </w:rPr>
        <w:t>），</w:t>
      </w:r>
      <w:r>
        <w:rPr>
          <w:rFonts w:ascii="宋体;SimSun" w:hAnsi="宋体;SimSun" w:eastAsia="宋体;SimSun" w:cs="宋体;SimSun"/>
          <w:color w:val="auto"/>
          <w:sz w:val="24"/>
          <w:szCs w:val="24"/>
          <w:highlight w:val="none"/>
        </w:rPr>
        <w:t>其中运营经理</w:t>
      </w:r>
      <w:r>
        <w:rPr>
          <w:rFonts w:ascii="宋体;SimSun" w:hAnsi="宋体;SimSun" w:eastAsia="宋体;SimSun" w:cs="宋体;SimSun"/>
          <w:color w:val="auto"/>
          <w:sz w:val="24"/>
          <w:szCs w:val="24"/>
          <w:highlight w:val="none"/>
          <w:lang w:val="zh-CN"/>
        </w:rPr>
        <w:t>1名，技术</w:t>
      </w:r>
      <w:r>
        <w:rPr>
          <w:rFonts w:ascii="宋体;SimSun" w:hAnsi="宋体;SimSun" w:eastAsia="宋体;SimSun" w:cs="宋体;SimSun"/>
          <w:color w:val="auto"/>
          <w:sz w:val="24"/>
          <w:szCs w:val="24"/>
          <w:highlight w:val="none"/>
        </w:rPr>
        <w:t>人员2</w:t>
      </w:r>
      <w:r>
        <w:rPr>
          <w:rFonts w:ascii="宋体;SimSun" w:hAnsi="宋体;SimSun" w:eastAsia="宋体;SimSun" w:cs="宋体;SimSun"/>
          <w:color w:val="auto"/>
          <w:sz w:val="24"/>
          <w:szCs w:val="24"/>
          <w:highlight w:val="none"/>
          <w:lang w:val="zh-CN"/>
        </w:rPr>
        <w:t>名</w:t>
      </w:r>
      <w:r>
        <w:rPr>
          <w:rFonts w:ascii="宋体;SimSun" w:hAnsi="宋体;SimSun" w:eastAsia="宋体;SimSun" w:cs="宋体;SimSun"/>
          <w:color w:val="auto"/>
          <w:sz w:val="24"/>
          <w:szCs w:val="24"/>
          <w:highlight w:val="none"/>
        </w:rPr>
        <w:t>，指挥中心值班值守人员6</w:t>
      </w:r>
      <w:r>
        <w:rPr>
          <w:rFonts w:ascii="宋体;SimSun" w:hAnsi="宋体;SimSun" w:eastAsia="宋体;SimSun" w:cs="宋体;SimSun"/>
          <w:color w:val="auto"/>
          <w:sz w:val="24"/>
          <w:szCs w:val="24"/>
          <w:highlight w:val="none"/>
          <w:lang w:val="zh-CN"/>
        </w:rPr>
        <w:t>名，</w:t>
      </w:r>
      <w:r>
        <w:rPr>
          <w:rFonts w:ascii="宋体;SimSun" w:hAnsi="宋体;SimSun" w:eastAsia="宋体;SimSun" w:cs="宋体;SimSun"/>
          <w:color w:val="auto"/>
          <w:sz w:val="24"/>
          <w:szCs w:val="24"/>
          <w:highlight w:val="none"/>
        </w:rPr>
        <w:t>以及6名远程技术支撑人员。</w:t>
      </w:r>
      <w:r>
        <w:rPr>
          <w:rFonts w:ascii="宋体;SimSun" w:hAnsi="宋体;SimSun" w:eastAsia="宋体;SimSun" w:cs="宋体;SimSun"/>
          <w:color w:val="auto"/>
          <w:sz w:val="24"/>
          <w:szCs w:val="24"/>
          <w:highlight w:val="none"/>
          <w:lang w:val="zh-CN"/>
        </w:rPr>
        <w:t>驻场人员</w:t>
      </w:r>
      <w:r>
        <w:rPr>
          <w:rFonts w:ascii="宋体;SimSun" w:hAnsi="宋体;SimSun" w:eastAsia="宋体;SimSun" w:cs="宋体;SimSun"/>
          <w:color w:val="auto"/>
          <w:sz w:val="24"/>
          <w:szCs w:val="24"/>
          <w:highlight w:val="none"/>
        </w:rPr>
        <w:t>和技术人员</w:t>
      </w:r>
      <w:r>
        <w:rPr>
          <w:rFonts w:ascii="宋体;SimSun" w:hAnsi="宋体;SimSun" w:eastAsia="宋体;SimSun" w:cs="宋体;SimSun"/>
          <w:color w:val="auto"/>
          <w:sz w:val="24"/>
          <w:szCs w:val="24"/>
          <w:highlight w:val="none"/>
          <w:lang w:val="zh-CN"/>
        </w:rPr>
        <w:t>至少应具备安全工程、计算机、软件、环境工程、化学化工类专业等</w:t>
      </w:r>
      <w:r>
        <w:rPr>
          <w:rFonts w:ascii="宋体;SimSun" w:hAnsi="宋体;SimSun" w:eastAsia="宋体;SimSun" w:cs="宋体;SimSun"/>
          <w:color w:val="auto"/>
          <w:sz w:val="24"/>
          <w:szCs w:val="24"/>
          <w:highlight w:val="none"/>
        </w:rPr>
        <w:t>本科</w:t>
      </w:r>
      <w:r>
        <w:rPr>
          <w:rFonts w:ascii="宋体;SimSun" w:hAnsi="宋体;SimSun" w:eastAsia="宋体;SimSun" w:cs="宋体;SimSun"/>
          <w:color w:val="auto"/>
          <w:sz w:val="24"/>
          <w:szCs w:val="24"/>
          <w:highlight w:val="none"/>
          <w:lang w:val="zh-CN"/>
        </w:rPr>
        <w:t>及以上学历，团队人员在园区常驻，采取7×24小时轮班在岗值守；</w:t>
      </w:r>
      <w:r>
        <w:rPr>
          <w:rFonts w:ascii="宋体;SimSun" w:hAnsi="宋体;SimSun" w:eastAsia="宋体;SimSun" w:cs="宋体;SimSun"/>
          <w:color w:val="auto"/>
          <w:sz w:val="24"/>
          <w:szCs w:val="24"/>
          <w:highlight w:val="none"/>
        </w:rPr>
        <w:t>值班值守人员具备大专以上学历，</w:t>
      </w:r>
      <w:r>
        <w:rPr>
          <w:rFonts w:ascii="宋体;SimSun" w:hAnsi="宋体;SimSun" w:eastAsia="宋体;SimSun" w:cs="宋体;SimSun"/>
          <w:color w:val="auto"/>
          <w:sz w:val="24"/>
          <w:szCs w:val="24"/>
          <w:highlight w:val="none"/>
          <w:lang w:val="zh-CN"/>
        </w:rPr>
        <w:t>团队人员在园区常驻，采取7×24小时轮班在岗值守。</w:t>
      </w:r>
    </w:p>
    <w:p w14:paraId="7EC83BE9">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①驻现场运营经理：1人。</w:t>
      </w:r>
    </w:p>
    <w:p w14:paraId="0D1D264D">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岗位职责：</w:t>
      </w:r>
    </w:p>
    <w:p w14:paraId="0CA3A96B">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（1）负责智慧园区平台运营的整体规划和管理，统筹运营工作计划，制定并完善园区运营的各项管理制度及流程；</w:t>
      </w:r>
    </w:p>
    <w:p w14:paraId="7445E82A">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（2）协调各部门关系，促进运营团队内部和谐稳定，负责运营团队日常管理及服务工作；</w:t>
      </w:r>
    </w:p>
    <w:p w14:paraId="5EDF0FCA">
      <w:pPr>
        <w:spacing w:line="500" w:lineRule="exact"/>
        <w:ind w:firstLine="560"/>
        <w:rPr>
          <w:color w:val="auto"/>
          <w:highlight w:val="none"/>
        </w:rPr>
      </w:pPr>
      <w:r>
        <w:rPr>
          <w:rFonts w:ascii="宋体;SimSun" w:hAnsi="宋体;SimSun" w:eastAsia="宋体;SimSun" w:cs="宋体;SimSun"/>
          <w:color w:val="auto"/>
          <w:sz w:val="24"/>
          <w:szCs w:val="24"/>
          <w:highlight w:val="none"/>
        </w:rPr>
        <w:t>（3）园区运营经理需要确保各项运营活动符合国家法律法规的要求，避免因违规操作而带来的法律风险和经营风险；</w:t>
      </w:r>
    </w:p>
    <w:p w14:paraId="21FFD2C1">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（4）园区运营经理还需要对团队成员进行思想政治教育，提升员工的政治意识，确保员工在思想上与国家和企业的要求保持一致。</w:t>
      </w:r>
    </w:p>
    <w:p w14:paraId="161370F1">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②驻现场技术主管1人、信息安全主管1人，远程技术支撑人员6人。</w:t>
      </w:r>
    </w:p>
    <w:p w14:paraId="09C42A2E">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岗位职责：</w:t>
      </w:r>
    </w:p>
    <w:p w14:paraId="192251C8">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（1）负责化工园区智慧化平台运营和维护工作，确保平台的正常运行和数据的安全。</w:t>
      </w:r>
    </w:p>
    <w:p w14:paraId="00E2D84B">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（2）负责园区智慧化平台数据的统计汇总，资料填写。</w:t>
      </w:r>
    </w:p>
    <w:p w14:paraId="733D480B">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③指挥中心值班值守技术人员：6人。</w:t>
      </w:r>
    </w:p>
    <w:p w14:paraId="0BA6DAFC">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岗位职责：</w:t>
      </w:r>
    </w:p>
    <w:p w14:paraId="5DA63537">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（1）负责通过监控系统对园区、厂房或其他指定区域进行24小时实时监控，及时发现异常情况。</w:t>
      </w:r>
    </w:p>
    <w:p w14:paraId="3370C54A">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（2）详细记录监控过程中发现的异常情况，包括时间、地点、事件描述等。按照规定流程及时向上级或相关部门报告重大事件或安全隐患。</w:t>
      </w:r>
    </w:p>
    <w:p w14:paraId="3E6FBE47">
      <w:pPr>
        <w:spacing w:line="500" w:lineRule="exact"/>
        <w:ind w:firstLine="5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（3）在发生突发事件（如火灾、盗窃、设备故障等）时，迅速启动应急预案，协助指挥中心或相关部门进行应急处理，提供实时监控信息支持。</w:t>
      </w:r>
    </w:p>
    <w:p w14:paraId="7B91E7EF">
      <w:pPr>
        <w:spacing w:line="360" w:lineRule="auto"/>
        <w:ind w:firstLine="420"/>
        <w:rPr>
          <w:color w:val="auto"/>
          <w:highlight w:val="none"/>
        </w:rPr>
      </w:pPr>
      <w:r>
        <w:rPr>
          <w:color w:val="auto"/>
          <w:highlight w:val="none"/>
        </w:rPr>
        <w:t>（二）服务需求清单</w:t>
      </w:r>
    </w:p>
    <w:tbl>
      <w:tblPr>
        <w:tblStyle w:val="39"/>
        <w:tblW w:w="4950" w:type="pct"/>
        <w:tblInd w:w="-113" w:type="dxa"/>
        <w:tblLayout w:type="fixed"/>
        <w:tblCellMar>
          <w:top w:w="0" w:type="dxa"/>
          <w:left w:w="108" w:type="dxa"/>
          <w:bottom w:w="0" w:type="dxa"/>
          <w:right w:w="108" w:type="dxa"/>
        </w:tblCellMar>
      </w:tblPr>
      <w:tblGrid>
        <w:gridCol w:w="778"/>
        <w:gridCol w:w="1068"/>
        <w:gridCol w:w="1928"/>
        <w:gridCol w:w="1633"/>
        <w:gridCol w:w="6848"/>
        <w:gridCol w:w="782"/>
        <w:gridCol w:w="781"/>
      </w:tblGrid>
      <w:tr w14:paraId="0A0C8CB8">
        <w:tblPrEx>
          <w:tblCellMar>
            <w:top w:w="0" w:type="dxa"/>
            <w:left w:w="108" w:type="dxa"/>
            <w:bottom w:w="0" w:type="dxa"/>
            <w:right w:w="108" w:type="dxa"/>
          </w:tblCellMar>
        </w:tblPrEx>
        <w:trPr>
          <w:trHeight w:val="2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3AFDEB1">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序号</w:t>
            </w:r>
          </w:p>
        </w:tc>
        <w:tc>
          <w:tcPr>
            <w:tcW w:w="1069" w:type="dxa"/>
            <w:tcBorders>
              <w:top w:val="single" w:color="000000" w:sz="4" w:space="0"/>
              <w:left w:val="single" w:color="000000" w:sz="4" w:space="0"/>
              <w:bottom w:val="single" w:color="000000" w:sz="4" w:space="0"/>
              <w:right w:val="single" w:color="000000" w:sz="4" w:space="0"/>
            </w:tcBorders>
            <w:noWrap w:val="0"/>
            <w:vAlign w:val="center"/>
          </w:tcPr>
          <w:p w14:paraId="09E306C6">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类目</w:t>
            </w: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11681C35">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服务项</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20E7A91C">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类目</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FCF0E50">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描述</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A868AF6">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数量</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46047F2">
            <w:pPr>
              <w:jc w:val="center"/>
              <w:rPr>
                <w:rFonts w:ascii="宋体;SimSun" w:hAnsi="宋体;SimSun" w:eastAsia="宋体;SimSun" w:cs="宋体;SimSun"/>
                <w:b/>
                <w:bCs/>
                <w:color w:val="auto"/>
                <w:sz w:val="22"/>
                <w:highlight w:val="none"/>
              </w:rPr>
            </w:pPr>
            <w:r>
              <w:rPr>
                <w:rFonts w:ascii="宋体;SimSun" w:hAnsi="宋体;SimSun" w:eastAsia="宋体;SimSun" w:cs="宋体;SimSun"/>
                <w:b/>
                <w:bCs/>
                <w:color w:val="auto"/>
                <w:sz w:val="22"/>
                <w:highlight w:val="none"/>
              </w:rPr>
              <w:t>单位</w:t>
            </w:r>
          </w:p>
        </w:tc>
      </w:tr>
      <w:tr w14:paraId="1F6B9171">
        <w:tblPrEx>
          <w:tblCellMar>
            <w:top w:w="0" w:type="dxa"/>
            <w:left w:w="108" w:type="dxa"/>
            <w:bottom w:w="0" w:type="dxa"/>
            <w:right w:w="108" w:type="dxa"/>
          </w:tblCellMar>
        </w:tblPrEx>
        <w:trPr>
          <w:trHeight w:val="540" w:hRule="atLeast"/>
        </w:trPr>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14:paraId="2F81517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3402330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驻场团队运维</w:t>
            </w: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36978A0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设备硬件运维</w:t>
            </w: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1C90289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设备资产盘点</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B17C1B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实现对平台涉及交付中包含的硬件设备的采购、验货、退运、报废的全过程管理，并对过程中信息进行记录</w:t>
            </w:r>
          </w:p>
        </w:tc>
        <w:tc>
          <w:tcPr>
            <w:tcW w:w="781" w:type="dxa"/>
            <w:vMerge w:val="restart"/>
            <w:tcBorders>
              <w:top w:val="single" w:color="000000" w:sz="4" w:space="0"/>
              <w:left w:val="single" w:color="000000" w:sz="4" w:space="0"/>
              <w:bottom w:val="single" w:color="000000" w:sz="4" w:space="0"/>
              <w:right w:val="single" w:color="000000" w:sz="4" w:space="0"/>
            </w:tcBorders>
            <w:noWrap w:val="0"/>
            <w:vAlign w:val="center"/>
          </w:tcPr>
          <w:p w14:paraId="62D2B03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vMerge w:val="restart"/>
            <w:tcBorders>
              <w:top w:val="single" w:color="000000" w:sz="4" w:space="0"/>
              <w:left w:val="single" w:color="000000" w:sz="4" w:space="0"/>
              <w:bottom w:val="single" w:color="000000" w:sz="4" w:space="0"/>
              <w:right w:val="single" w:color="000000" w:sz="4" w:space="0"/>
            </w:tcBorders>
            <w:noWrap w:val="0"/>
            <w:vAlign w:val="center"/>
          </w:tcPr>
          <w:p w14:paraId="2E1CCF4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BE7F08A">
        <w:tblPrEx>
          <w:tblCellMar>
            <w:top w:w="0" w:type="dxa"/>
            <w:left w:w="108" w:type="dxa"/>
            <w:bottom w:w="0" w:type="dxa"/>
            <w:right w:w="108" w:type="dxa"/>
          </w:tblCellMar>
        </w:tblPrEx>
        <w:trPr>
          <w:trHeight w:val="57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D6F49">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178D0">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FE9DE8">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8E675D">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E20DAA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1、建立设备资产台账、标识管理、分类管理、采购、变更、报废等全过程管理，实现设备基础数据管理；</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17A03">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18C6D">
            <w:pPr>
              <w:jc w:val="center"/>
              <w:rPr>
                <w:rFonts w:ascii="宋体;SimSun" w:hAnsi="宋体;SimSun" w:eastAsia="宋体;SimSun" w:cs="宋体;SimSun"/>
                <w:color w:val="auto"/>
                <w:sz w:val="22"/>
                <w:highlight w:val="none"/>
              </w:rPr>
            </w:pPr>
          </w:p>
        </w:tc>
      </w:tr>
      <w:tr w14:paraId="04D0536F">
        <w:tblPrEx>
          <w:tblCellMar>
            <w:top w:w="0" w:type="dxa"/>
            <w:left w:w="108" w:type="dxa"/>
            <w:bottom w:w="0" w:type="dxa"/>
            <w:right w:w="108" w:type="dxa"/>
          </w:tblCellMar>
        </w:tblPrEx>
        <w:trPr>
          <w:trHeight w:val="57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460766">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DC6E13">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EA5805">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0CC93F">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EC9067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2、建立资产档案管理，实施设备标准化管理，实现设备检修维护、备品件管理等功能，记录并跟踪设备的维修记录；</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F437F2">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7676FE">
            <w:pPr>
              <w:jc w:val="center"/>
              <w:rPr>
                <w:rFonts w:ascii="宋体;SimSun" w:hAnsi="宋体;SimSun" w:eastAsia="宋体;SimSun" w:cs="宋体;SimSun"/>
                <w:color w:val="auto"/>
                <w:sz w:val="22"/>
                <w:highlight w:val="none"/>
              </w:rPr>
            </w:pPr>
          </w:p>
        </w:tc>
      </w:tr>
      <w:tr w14:paraId="51DF9459">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499DA8">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C6BA4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1671A9">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B9209">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60FB3E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3、定期监控重点资产设备的运转参数，监控重点设备的当前运转状态。</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FE4840">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4A0CD">
            <w:pPr>
              <w:jc w:val="center"/>
              <w:rPr>
                <w:rFonts w:ascii="宋体;SimSun" w:hAnsi="宋体;SimSun" w:eastAsia="宋体;SimSun" w:cs="宋体;SimSun"/>
                <w:color w:val="auto"/>
                <w:sz w:val="22"/>
                <w:highlight w:val="none"/>
              </w:rPr>
            </w:pPr>
          </w:p>
        </w:tc>
      </w:tr>
      <w:tr w14:paraId="4E3D7C86">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52B3BD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289BD8">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738DA1">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25E1F16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设备运行保障</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5F4BB0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对已经交接盘点通过之后的监测监控设备、生产辅助设备、园区共用设备等（不包含环境监测系统设备），进行维护，保障设备运行。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32A453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BCE78B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6C3B8B2">
        <w:tblPrEx>
          <w:tblCellMar>
            <w:top w:w="0" w:type="dxa"/>
            <w:left w:w="108" w:type="dxa"/>
            <w:bottom w:w="0" w:type="dxa"/>
            <w:right w:w="108" w:type="dxa"/>
          </w:tblCellMar>
        </w:tblPrEx>
        <w:trPr>
          <w:trHeight w:val="300" w:hRule="atLeast"/>
        </w:trPr>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0792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C7892D">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193B93">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038D01C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设备巡检保养</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20B356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1.确保各个支持软件及服务的正常运行，确保平台运行连续性。</w:t>
            </w:r>
          </w:p>
        </w:tc>
        <w:tc>
          <w:tcPr>
            <w:tcW w:w="78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B21F2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3532A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2A368306">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38A5D">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0C935C">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46E299">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0912A7">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569D5B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2.平台故障异常的本地化调试处置以及第三方平台的异常反馈。</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9BCD7">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110816">
            <w:pPr>
              <w:jc w:val="center"/>
              <w:rPr>
                <w:rFonts w:ascii="宋体;SimSun" w:hAnsi="宋体;SimSun" w:eastAsia="宋体;SimSun" w:cs="宋体;SimSun"/>
                <w:color w:val="auto"/>
                <w:sz w:val="22"/>
                <w:highlight w:val="none"/>
              </w:rPr>
            </w:pPr>
          </w:p>
        </w:tc>
      </w:tr>
      <w:tr w14:paraId="0A620EA8">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744642">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AA8FC2">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FAF208">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A77CB2">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7D69D8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3.内部设备的每日巡查，周期性维护和异常故障的处理。</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B98A2">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E7CAF9">
            <w:pPr>
              <w:jc w:val="center"/>
              <w:rPr>
                <w:rFonts w:ascii="宋体;SimSun" w:hAnsi="宋体;SimSun" w:eastAsia="宋体;SimSun" w:cs="宋体;SimSun"/>
                <w:color w:val="auto"/>
                <w:sz w:val="22"/>
                <w:highlight w:val="none"/>
              </w:rPr>
            </w:pPr>
          </w:p>
        </w:tc>
      </w:tr>
      <w:tr w14:paraId="0940C012">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1E8640">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FF069">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327CF">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360589">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829081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4.户外设备（不包含环境监测系统设备）的月度巡查，周期性维护和异常故障的处理。</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BF30A">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83D012">
            <w:pPr>
              <w:jc w:val="center"/>
              <w:rPr>
                <w:rFonts w:ascii="宋体;SimSun" w:hAnsi="宋体;SimSun" w:eastAsia="宋体;SimSun" w:cs="宋体;SimSun"/>
                <w:color w:val="auto"/>
                <w:sz w:val="22"/>
                <w:highlight w:val="none"/>
              </w:rPr>
            </w:pPr>
          </w:p>
        </w:tc>
      </w:tr>
      <w:tr w14:paraId="43080797">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67285A">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7AB6BE">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E702BE">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4E1BE">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6A2587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5.通讯网络本地异常的处理和第三方通讯公司反馈。</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83865C">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62E83A">
            <w:pPr>
              <w:jc w:val="center"/>
              <w:rPr>
                <w:rFonts w:ascii="宋体;SimSun" w:hAnsi="宋体;SimSun" w:eastAsia="宋体;SimSun" w:cs="宋体;SimSun"/>
                <w:color w:val="auto"/>
                <w:sz w:val="22"/>
                <w:highlight w:val="none"/>
              </w:rPr>
            </w:pPr>
          </w:p>
        </w:tc>
      </w:tr>
      <w:tr w14:paraId="73CDBA2C">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FE53F6">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165E43">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232A21">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97B467">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6A4E18D">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6.疑难技术类故障的信息反馈，远程支持。</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CBF32">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1147B">
            <w:pPr>
              <w:jc w:val="center"/>
              <w:rPr>
                <w:rFonts w:ascii="宋体;SimSun" w:hAnsi="宋体;SimSun" w:eastAsia="宋体;SimSun" w:cs="宋体;SimSun"/>
                <w:color w:val="auto"/>
                <w:sz w:val="22"/>
                <w:highlight w:val="none"/>
              </w:rPr>
            </w:pPr>
          </w:p>
        </w:tc>
      </w:tr>
      <w:tr w14:paraId="7603EA4E">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F0B3EE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D4370C">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2A710D">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7D35E8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设备运行监测</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CB0E330">
            <w:pPr>
              <w:jc w:val="left"/>
              <w:rPr>
                <w:color w:val="auto"/>
                <w:highlight w:val="none"/>
              </w:rPr>
            </w:pPr>
            <w:r>
              <w:rPr>
                <w:rFonts w:ascii="宋体;SimSun" w:hAnsi="宋体;SimSun" w:eastAsia="宋体;SimSun" w:cs="宋体;SimSun"/>
                <w:color w:val="auto"/>
                <w:sz w:val="22"/>
                <w:highlight w:val="none"/>
              </w:rPr>
              <w:t>借助智慧园区系统平台云服务器，及时、准确掌握设备的运行状态，尤其是重点、关键设备的运行状态，并定期进行运行检查，及时进行预防维修，保证设备的安全、可靠和高效地运行。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3B9114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E435A5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47E1A38">
        <w:tblPrEx>
          <w:tblCellMar>
            <w:top w:w="0" w:type="dxa"/>
            <w:left w:w="108" w:type="dxa"/>
            <w:bottom w:w="0" w:type="dxa"/>
            <w:right w:w="108" w:type="dxa"/>
          </w:tblCellMar>
        </w:tblPrEx>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7C199B1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E2129B">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A97A75">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4E79A72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设备主动检测</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955328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通过设备管理监控体系，能够有效地对系统的运行设备运作情况和传输线路的性能、通断情况进行实时监控，及早发现问题，排除故障。并且，值守人员需对每个监控点的图像进行主动监控，确保监控图像正常。</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97E777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B31EA3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73026BA">
        <w:tblPrEx>
          <w:tblCellMar>
            <w:top w:w="0" w:type="dxa"/>
            <w:left w:w="108" w:type="dxa"/>
            <w:bottom w:w="0" w:type="dxa"/>
            <w:right w:w="108" w:type="dxa"/>
          </w:tblCellMar>
        </w:tblPrEx>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C0817B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6</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379359">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B5D7C6">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7CC43B5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设备故障修复</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E42479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如遇资产设备（不包含环境监测系统设备）发生故障，无法正常使用，需及时联系设备维修厂家报修，对设备进行故障修复，并跟进故障修复全流程，完善资产报修记录和资产维修记录。故障维修完成之后，运维人员需亲自检查资产设备状态，确保其正常运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200B5E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14FB9A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449E8A32">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0D57CA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7</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04B285">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055BFCF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平台系统运维</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F494F5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权限配置</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1E711B2">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根据不同职能及不同角色，在现有的系统上进行权限配置，如更改账号权限、数据调整等，保证各岗位人员各司其职、各尽其职。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07C28F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9266AD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483A36B">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453268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8</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ECC710">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32AC6">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5E86B54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数据更新</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8F7742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与园企人员保持良好沟通，并对园企信息进行校验核对、及时更新智慧园区平台数据信息，保障平台数据的准确性、及时性。</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8B66F8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7245C7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FAA0B02">
        <w:tblPrEx>
          <w:tblCellMar>
            <w:top w:w="0" w:type="dxa"/>
            <w:left w:w="108" w:type="dxa"/>
            <w:bottom w:w="0" w:type="dxa"/>
            <w:right w:w="108" w:type="dxa"/>
          </w:tblCellMar>
        </w:tblPrEx>
        <w:trPr>
          <w:trHeight w:val="300" w:hRule="atLeast"/>
        </w:trPr>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14:paraId="4D2E262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9</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1966A">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8C7B7">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464C0FA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系统巡查</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AB7FF1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1.确保各个支持软件及服务的正常运行，确保平台运行连续性。</w:t>
            </w:r>
          </w:p>
        </w:tc>
        <w:tc>
          <w:tcPr>
            <w:tcW w:w="781" w:type="dxa"/>
            <w:vMerge w:val="restart"/>
            <w:tcBorders>
              <w:top w:val="single" w:color="000000" w:sz="4" w:space="0"/>
              <w:left w:val="single" w:color="000000" w:sz="4" w:space="0"/>
              <w:bottom w:val="single" w:color="000000" w:sz="4" w:space="0"/>
              <w:right w:val="single" w:color="000000" w:sz="4" w:space="0"/>
            </w:tcBorders>
            <w:noWrap w:val="0"/>
            <w:vAlign w:val="center"/>
          </w:tcPr>
          <w:p w14:paraId="55146FB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B530C7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FF19FF8">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656923">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AEA56">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4EC0D">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0A7ACE">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2DA8958">
            <w:pPr>
              <w:jc w:val="left"/>
              <w:rPr>
                <w:color w:val="auto"/>
                <w:highlight w:val="none"/>
              </w:rPr>
            </w:pPr>
            <w:r>
              <w:rPr>
                <w:rFonts w:ascii="宋体;SimSun" w:hAnsi="宋体;SimSun" w:eastAsia="宋体;SimSun" w:cs="宋体;SimSun"/>
                <w:color w:val="auto"/>
                <w:sz w:val="22"/>
                <w:highlight w:val="none"/>
              </w:rPr>
              <w:t>2.平台故障异常的本地化调试处置以及第三方平台的异常反馈。</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499D1">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2FAFA5">
            <w:pPr>
              <w:jc w:val="center"/>
              <w:rPr>
                <w:rFonts w:ascii="宋体;SimSun" w:hAnsi="宋体;SimSun" w:eastAsia="宋体;SimSun" w:cs="宋体;SimSun"/>
                <w:color w:val="auto"/>
                <w:sz w:val="22"/>
                <w:highlight w:val="none"/>
              </w:rPr>
            </w:pPr>
          </w:p>
        </w:tc>
      </w:tr>
      <w:tr w14:paraId="5BC6230A">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4BC380">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9AF798">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B69969">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691D55">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9D7FC3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3.内部设备的每周巡查，周期性维护和异常故障的处理。</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F5EA89">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60AC08">
            <w:pPr>
              <w:jc w:val="center"/>
              <w:rPr>
                <w:rFonts w:ascii="宋体;SimSun" w:hAnsi="宋体;SimSun" w:eastAsia="宋体;SimSun" w:cs="宋体;SimSun"/>
                <w:color w:val="auto"/>
                <w:sz w:val="22"/>
                <w:highlight w:val="none"/>
              </w:rPr>
            </w:pPr>
          </w:p>
        </w:tc>
      </w:tr>
      <w:tr w14:paraId="20315B16">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D8C04F">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73404B">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CBEFF">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ECA379">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ACEF2BF">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4.通讯网络本地异常的处理和第三方通讯公司反馈。</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16A00E">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4B90C5">
            <w:pPr>
              <w:jc w:val="center"/>
              <w:rPr>
                <w:rFonts w:ascii="宋体;SimSun" w:hAnsi="宋体;SimSun" w:eastAsia="宋体;SimSun" w:cs="宋体;SimSun"/>
                <w:color w:val="auto"/>
                <w:sz w:val="22"/>
                <w:highlight w:val="none"/>
              </w:rPr>
            </w:pPr>
          </w:p>
        </w:tc>
      </w:tr>
      <w:tr w14:paraId="254658AB">
        <w:tblPrEx>
          <w:tblCellMar>
            <w:top w:w="0" w:type="dxa"/>
            <w:left w:w="108" w:type="dxa"/>
            <w:bottom w:w="0" w:type="dxa"/>
            <w:right w:w="108" w:type="dxa"/>
          </w:tblCellMar>
        </w:tblPrEx>
        <w:trPr>
          <w:trHeight w:val="30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DF05CB">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C52C23">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9349F4">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9A7514">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E7C433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5.疑难技术类故障的信息反馈，远程支持。</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155060">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C44219">
            <w:pPr>
              <w:jc w:val="center"/>
              <w:rPr>
                <w:rFonts w:ascii="宋体;SimSun" w:hAnsi="宋体;SimSun" w:eastAsia="宋体;SimSun" w:cs="宋体;SimSun"/>
                <w:color w:val="auto"/>
                <w:sz w:val="22"/>
                <w:highlight w:val="none"/>
              </w:rPr>
            </w:pPr>
          </w:p>
        </w:tc>
      </w:tr>
      <w:tr w14:paraId="3B603522">
        <w:tblPrEx>
          <w:tblCellMar>
            <w:top w:w="0" w:type="dxa"/>
            <w:left w:w="108" w:type="dxa"/>
            <w:bottom w:w="0" w:type="dxa"/>
            <w:right w:w="108" w:type="dxa"/>
          </w:tblCellMar>
        </w:tblPrEx>
        <w:trPr>
          <w:trHeight w:val="108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0BB7E2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10</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517F5">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23344C">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103DBB0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系统培训</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D58F00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为企业和园区的系统使用人员提供专业的系统操作培训，并提供系统帮助材料，包括但不限于系统操作手册、系统操作录屏等。同时，如后期系统进行更新升级，上线了新的功能，运营人员也需要及时对园企系统使用人员进行培训，并提供最新的系统操作手册及录屏，为园企人员使用系统提供坚实服务和保障。</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77D517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0ACBD5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104C7708">
        <w:tblPrEx>
          <w:tblCellMar>
            <w:top w:w="0" w:type="dxa"/>
            <w:left w:w="108" w:type="dxa"/>
            <w:bottom w:w="0" w:type="dxa"/>
            <w:right w:w="108" w:type="dxa"/>
          </w:tblCellMar>
        </w:tblPrEx>
        <w:trPr>
          <w:trHeight w:val="108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6E709A9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11</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EE50B3">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80F38D">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3F3810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档案维护</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E04A352">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平台对于档案管理力求做到一园一档、一企一档，不仅有园区以及每家企业基础信息档案，本平台重点关注的安监、环保等方面信息也分别入档，方便园区、企业以及相关监管部门及时查询相关信息。值守人员需及时更新维护园区和企业的档案信息，保证档案信息的准确性。</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27FF65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4442A5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C541A75">
        <w:tblPrEx>
          <w:tblCellMar>
            <w:top w:w="0" w:type="dxa"/>
            <w:left w:w="108" w:type="dxa"/>
            <w:bottom w:w="0" w:type="dxa"/>
            <w:right w:w="108" w:type="dxa"/>
          </w:tblCellMar>
        </w:tblPrEx>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E39064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AB9B49">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77E812">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2EE7FEC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数据资产管理</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587CF6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资产管理主要实现对园区资产登记、变更、调拨、维护和查询等管理，运营人员需对资产生命周期各个环节进行动态跟踪，并定期对设备资产盘点，实现对固定资产价值的管理。</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C5A98E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70CF6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8CE5308">
        <w:tblPrEx>
          <w:tblCellMar>
            <w:top w:w="0" w:type="dxa"/>
            <w:left w:w="108" w:type="dxa"/>
            <w:bottom w:w="0" w:type="dxa"/>
            <w:right w:w="108" w:type="dxa"/>
          </w:tblCellMar>
        </w:tblPrEx>
        <w:trPr>
          <w:trHeight w:val="11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266380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13</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6B8FE7">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C59BA">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2DE808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应用巡检报修</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4019AFA">
            <w:pPr>
              <w:jc w:val="left"/>
              <w:rPr>
                <w:color w:val="auto"/>
                <w:highlight w:val="none"/>
              </w:rPr>
            </w:pPr>
            <w:r>
              <w:rPr>
                <w:rFonts w:ascii="宋体;SimSun" w:hAnsi="宋体;SimSun" w:eastAsia="宋体;SimSun" w:cs="宋体;SimSun"/>
                <w:color w:val="auto"/>
                <w:sz w:val="22"/>
                <w:highlight w:val="none"/>
              </w:rPr>
              <w:t>资产盘点登记完成之后，运营人员需对应用及数据资产进行定期/不定期巡检，制定巡检计划，包含巡检区域、检查点、检查项目、巡检时间、巡检周期等内容，然后按照计划对资产设备进行巡检，巡检完成之后生成巡检报告，对巡检结果进行登记和管理。</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5DF750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53A27A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2F5970CC">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A424D4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8AA19C">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8E8FEA">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142A06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运营报告</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99219C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驻场负责人负责整个服务项目的组织协调团队管理工作，定期出具运营报告并向园区领导汇报平台运行状况。</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A6314B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B0B2F3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8A7EE12">
        <w:tblPrEx>
          <w:tblCellMar>
            <w:top w:w="0" w:type="dxa"/>
            <w:left w:w="108" w:type="dxa"/>
            <w:bottom w:w="0" w:type="dxa"/>
            <w:right w:w="108" w:type="dxa"/>
          </w:tblCellMar>
        </w:tblPrEx>
        <w:trPr>
          <w:trHeight w:val="8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4306DF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737544">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1D54460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业务系统平台运营服务</w:t>
            </w: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3D2833E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安全生产</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99D891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报警闭环管理：实时监控储罐参数、可燃/有毒气体超限报警，系统自动推送信息至企业负责人、安全管理人员及园区安全监管人员；跟进企业处置反馈，超时未响应则联动安监部门督办，全程跟踪处置结果并进行闭环管理。</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DBA615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D77D27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019973A">
        <w:tblPrEx>
          <w:tblCellMar>
            <w:top w:w="0" w:type="dxa"/>
            <w:left w:w="108" w:type="dxa"/>
            <w:bottom w:w="0" w:type="dxa"/>
            <w:right w:w="108" w:type="dxa"/>
          </w:tblCellMar>
        </w:tblPrEx>
        <w:trPr>
          <w:trHeight w:val="8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E69982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16</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AB682D">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A264BE">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9008A7">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BE747CD">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2.日常巡检：巡查重大危险源、装卸区、危废仓库等重点区域的视频监控点在线状态与画面情况，发现异常立即反馈企业及监管部门进行及时处置。巡查监测点在线状态，中断即报备维修。</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2DBF07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0522B3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16CC1C4">
        <w:tblPrEx>
          <w:tblCellMar>
            <w:top w:w="0" w:type="dxa"/>
            <w:left w:w="108" w:type="dxa"/>
            <w:bottom w:w="0" w:type="dxa"/>
            <w:right w:w="108" w:type="dxa"/>
          </w:tblCellMar>
        </w:tblPrEx>
        <w:trPr>
          <w:trHeight w:val="5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50A2B1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17</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21606">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2D0B8">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1B8EAD">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4A620D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3.数据治理：确保企业双重预防、特殊作业等数据100%准时上传平台，优化校验规则。</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7811D7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8807DC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6FCF2867">
        <w:tblPrEx>
          <w:tblCellMar>
            <w:top w:w="0" w:type="dxa"/>
            <w:left w:w="108" w:type="dxa"/>
            <w:bottom w:w="0" w:type="dxa"/>
            <w:right w:w="108" w:type="dxa"/>
          </w:tblCellMar>
        </w:tblPrEx>
        <w:trPr>
          <w:trHeight w:val="8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9E0CC6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18</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7FFA1D">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D7096E">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3D66254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应急值守</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88D55C4">
            <w:pPr>
              <w:jc w:val="left"/>
              <w:rPr>
                <w:color w:val="auto"/>
                <w:highlight w:val="none"/>
              </w:rPr>
            </w:pPr>
            <w:r>
              <w:rPr>
                <w:rFonts w:ascii="宋体;SimSun" w:hAnsi="宋体;SimSun" w:eastAsia="宋体;SimSun" w:cs="宋体;SimSun"/>
                <w:color w:val="auto"/>
                <w:sz w:val="22"/>
                <w:highlight w:val="none"/>
              </w:rPr>
              <w:t>1事故应急响应：事故发生时，通过智慧平台录入事故源信息，自动启动应急辅助决策模块；推送处置方案至指挥小组，动态汇报风向、监控数据及应急物资清单，全程记录并生成处置报告。</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6FFC15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C2DCC2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234091E">
        <w:tblPrEx>
          <w:tblCellMar>
            <w:top w:w="0" w:type="dxa"/>
            <w:left w:w="108" w:type="dxa"/>
            <w:bottom w:w="0" w:type="dxa"/>
            <w:right w:w="108" w:type="dxa"/>
          </w:tblCellMar>
        </w:tblPrEx>
        <w:trPr>
          <w:trHeight w:val="5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FC0C31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19</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AFAF74">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A9AD80">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281EA">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5AE0CC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2.值守管理：督促企业安排每日应急值守人员，并及时上报系统；督促企业上传应急预案，管理演练数据。</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84FB48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302F25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641668C2">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EEA92E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20</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3D9A58">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9CD7F3">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D8A91">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BCD903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3.预警响应：发布极端天气预警，协调企业防范风险。</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7D2BB1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C876FA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6A22A20">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7D0CED9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21</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DC0EF7">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7770F6">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691B97B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封闭园区</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4EE571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1.车辆智能管控：协助岗亭值守人员填报入园预约信息，核验运单完整性；</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DA3808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4317E7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9D0776F">
        <w:tblPrEx>
          <w:tblCellMar>
            <w:top w:w="0" w:type="dxa"/>
            <w:left w:w="108" w:type="dxa"/>
            <w:bottom w:w="0" w:type="dxa"/>
            <w:right w:w="108" w:type="dxa"/>
          </w:tblCellMar>
        </w:tblPrEx>
        <w:trPr>
          <w:trHeight w:val="5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01B2DC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27EFF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AF0A0">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BBBABB">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3B02E0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2.封闭违章人员名单反馈：协助园区封闭管理人员对超速、违停等告警事件，定期管理调取车辆联系人。</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37EDC4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A42AB7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34083E8">
        <w:tblPrEx>
          <w:tblCellMar>
            <w:top w:w="0" w:type="dxa"/>
            <w:left w:w="108" w:type="dxa"/>
            <w:bottom w:w="0" w:type="dxa"/>
            <w:right w:w="108" w:type="dxa"/>
          </w:tblCellMar>
        </w:tblPrEx>
        <w:trPr>
          <w:trHeight w:val="5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DF34B4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23</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E4A6DE">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100D9C">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A4433">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E41AAC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3.危险化学品车辆准入：协助岗亭值守人员核验临时危化车辆纸质材料，关联企业盖章确认后放行。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F3FD10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B9D85D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66CE7BFD">
        <w:tblPrEx>
          <w:tblCellMar>
            <w:top w:w="0" w:type="dxa"/>
            <w:left w:w="108" w:type="dxa"/>
            <w:bottom w:w="0" w:type="dxa"/>
            <w:right w:w="108" w:type="dxa"/>
          </w:tblCellMar>
        </w:tblPrEx>
        <w:trPr>
          <w:trHeight w:val="6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454C49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19445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731103">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1E7AD1">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8FDEDE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4.门禁管理：协助封闭值守人员维护道闸、抓拍机等设备，保障白名单车辆无感通行；普通车辆/人员需企业确认并平台审核留痕。</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F56575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A45E2C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66F6DF27">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727AFC4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0A745">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17DDA3">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655DD5">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AF5BB9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5.违章处理：优化超速统计及黑名单机制，完善运单管理与三维车辆展示。</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07D0F9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A11D2D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F4776C5">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B28DE7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26</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8129C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FEE8CD">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1B7E3E">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E42A92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6.车辆黑白名单监管：通过白名单+黑名单"管理车辆，定期审核准入信息。</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B1B316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B75E79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92FBB74">
        <w:tblPrEx>
          <w:tblCellMar>
            <w:top w:w="0" w:type="dxa"/>
            <w:left w:w="108" w:type="dxa"/>
            <w:bottom w:w="0" w:type="dxa"/>
            <w:right w:w="108" w:type="dxa"/>
          </w:tblCellMar>
        </w:tblPrEx>
        <w:trPr>
          <w:trHeight w:val="57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EBAC62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27</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7EBE1">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FBBD6B">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22F277B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能耗监控</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2AF1551">
            <w:pPr>
              <w:jc w:val="left"/>
              <w:rPr>
                <w:color w:val="auto"/>
                <w:highlight w:val="none"/>
              </w:rPr>
            </w:pPr>
            <w:r>
              <w:rPr>
                <w:rFonts w:ascii="宋体;SimSun" w:hAnsi="宋体;SimSun" w:eastAsia="宋体;SimSun" w:cs="宋体;SimSun"/>
                <w:color w:val="auto"/>
                <w:sz w:val="22"/>
                <w:highlight w:val="none"/>
              </w:rPr>
              <w:t>1.能源事件处置：监控能源超限及监测掉线报警，自动推送企业负责人；跟进企业响应，超时未处理则联动能源部门督办，确保恢复常态。</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A478A4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5BB79D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4C175655">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784655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28</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006194">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1127C">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3E999">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B53D01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2.数据监测巡查：巡查实时蒸汽管廊数据、燃气视频，月度上传巡检记录。</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4E5F96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10FDCC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FA6A88E">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D97722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29</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7A8E4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EF847E">
            <w:pPr>
              <w:jc w:val="center"/>
              <w:rPr>
                <w:rFonts w:ascii="宋体;SimSun" w:hAnsi="宋体;SimSun" w:eastAsia="宋体;SimSun" w:cs="宋体;SimSun"/>
                <w:color w:val="auto"/>
                <w:sz w:val="22"/>
                <w:highlight w:val="none"/>
              </w:rPr>
            </w:pPr>
          </w:p>
        </w:tc>
        <w:tc>
          <w:tcPr>
            <w:tcW w:w="1633" w:type="dxa"/>
            <w:vMerge w:val="restart"/>
            <w:tcBorders>
              <w:top w:val="single" w:color="000000" w:sz="4" w:space="0"/>
              <w:left w:val="single" w:color="000000" w:sz="4" w:space="0"/>
              <w:bottom w:val="single" w:color="000000" w:sz="4" w:space="0"/>
              <w:right w:val="single" w:color="000000" w:sz="4" w:space="0"/>
            </w:tcBorders>
            <w:noWrap w:val="0"/>
            <w:vAlign w:val="center"/>
          </w:tcPr>
          <w:p w14:paraId="5F27673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资讯管理</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31F64A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1.指令传达：日常通知园区领导工作要求、政策文件至企业，确保信息同步。</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DA6F09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56D271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9DC8242">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86072F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30</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4B1EA">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D113D">
            <w:pPr>
              <w:jc w:val="center"/>
              <w:rPr>
                <w:rFonts w:ascii="宋体;SimSun" w:hAnsi="宋体;SimSun" w:eastAsia="宋体;SimSun" w:cs="宋体;SimSun"/>
                <w:color w:val="auto"/>
                <w:sz w:val="22"/>
                <w:highlight w:val="none"/>
              </w:rPr>
            </w:pPr>
          </w:p>
        </w:tc>
        <w:tc>
          <w:tcPr>
            <w:tcW w:w="16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915444">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238B55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2.信息维护：更新企业档案、党建动态、安全包保履职信息。</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DE2A92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BD775C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C67EC23">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3423D3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31</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4E80299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远程支持服务</w:t>
            </w: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00A8A99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产品负责人</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8C2486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数据挖掘与系统优化支撑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27ACC12">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远程挖掘分析平台运行数据，形成优化建议并跟踪落地，为平台迭代提供数据依据。</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6DD035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B1D413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19B03E2C">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654149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5F004D">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211376">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660A465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需求管理全流程支撑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1F8CF5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远程收集园区各方需求，经分析排序后转化为产品设计方案，同步给研发团队并解答疑问。</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CF3FDF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576379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4E460BB7">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4609F5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33</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F0F784">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DA5CE7">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2858792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项目进度与上线支撑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741C803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远程跟踪研发进度，协调解决卡点；参与上线前准备工作，远程支持上线及应急响应。</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BF2DDD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8F0FC5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106BEEBF">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61C7FF6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BEFD54">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CF6599">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1534A0A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数据跟踪与业务反馈支撑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AEF4C6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上线后远程监控关键数据指标，结合业务反馈分析问题，为后续迭代提供方向。</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C1A334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A7AF53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4E51E1E2">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DBD829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2489C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C14BDB">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4379D77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培训与现场协作支撑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D1A2B4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制定线上培训方案并开展培训，远程协助现场人员工作，保障现场工作契合产品设计目标。</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AEDA47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016378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11B3F9D3">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0EEFF2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36</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F799D2">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493A170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架构工程师</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7A553C5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非功能性需求管理</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14A4939">
            <w:pPr>
              <w:jc w:val="left"/>
              <w:rPr>
                <w:color w:val="auto"/>
                <w:highlight w:val="none"/>
              </w:rPr>
            </w:pPr>
            <w:r>
              <w:rPr>
                <w:rFonts w:ascii="宋体;SimSun" w:hAnsi="宋体;SimSun" w:eastAsia="宋体;SimSun" w:cs="宋体;SimSun"/>
                <w:color w:val="auto"/>
                <w:sz w:val="22"/>
                <w:highlight w:val="none"/>
              </w:rPr>
              <w:t>聚焦项目需求阶段，远程负责理解和管理软件可维护性、性能、复用性、可靠性、有效性及可测试性等非功能性系统需求。</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634E17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D1B6E3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37FF8191">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78C251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37</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2977C9">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D18DB">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021A123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需求与设计审查</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16E6BEF">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远程审查客户和驻场人员提出的需求，同时确认开发团队提出的设计方案。</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97C01C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186633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BB744DE">
        <w:tblPrEx>
          <w:tblCellMar>
            <w:top w:w="0" w:type="dxa"/>
            <w:left w:w="108" w:type="dxa"/>
            <w:bottom w:w="0" w:type="dxa"/>
            <w:right w:w="108" w:type="dxa"/>
          </w:tblCellMar>
        </w:tblPrEx>
        <w:trPr>
          <w:trHeight w:val="6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4F49A8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38</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931E0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ADEAF0">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79531E9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团队组织与文档协助</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4A6A07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远程组织开发团队成员，定义开发过程；协助需求分析师完成“用户需求说明书”“需求变更说明书”。</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A8DB47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5D8BD5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C7F5D91">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5C2D40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39</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A9327">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442AC42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设备集成工程师</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722AD98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网络与服务器硬件维护</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41C23C3">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负责远程支撑网络硬件和服务器硬件的维护工作，保障硬件设备的稳定运行。</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DB4735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E79307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F67BE8D">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73F02BC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40</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7B6352">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3CCE52">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659B456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平台软件系统集成开发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CDE4D94">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远程负责对平台软件系统涉及的需集成设备开展集成开发工作。</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8FD4F6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6635EB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D1DBB12">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09413B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41</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58F271">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C7C13">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CC1BD4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设备二次开发集成</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66061A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完成网络设备、门禁设备、监控系统设备等的二次开发集成工作。</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071F6D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5E4F9B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2CFE5920">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002AE6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5A2642">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792C36F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软件开发工程师</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68AFA99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全链条开发覆盖</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897DA86">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负责前端、后端和移动端开发，形成完整的开发支持链条，为软件系统提供全面的开发支撑。</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85628A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727998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1895D3D">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B102E6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43</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BE1568">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9484B0">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50F10B0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全流程开发</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4FBF3E8">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依据现场客户与驻场人员提出的功能需求，以及产品负责人、架构工程师编制的功能需求说明书，远程参与软件系统的设计、开发、测试等过程。</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46B346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6A5D4F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BB96646">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08BD8C6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A52B4A">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7E3F7">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19DB5F7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核心代码实现</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3C87EB0">
            <w:pPr>
              <w:jc w:val="left"/>
              <w:rPr>
                <w:color w:val="auto"/>
                <w:highlight w:val="none"/>
              </w:rPr>
            </w:pPr>
            <w:r>
              <w:rPr>
                <w:rFonts w:ascii="宋体;SimSun" w:hAnsi="宋体;SimSun" w:eastAsia="宋体;SimSun" w:cs="宋体;SimSun"/>
                <w:color w:val="auto"/>
                <w:sz w:val="22"/>
                <w:highlight w:val="none"/>
              </w:rPr>
              <w:t>专注于工程中主要功能的代码实现，确保开发成果满足需求规格，为系统功能落地提供关键技术支持。</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FDB7CB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3BD4CD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1C4003D">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F017D8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AC51EF">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55FA0E3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测试工程师</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B9B5E2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需求理解与多维度测试执行</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3F51CD7">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理解产品的功能要求，以此为依据开展测试，检查软件是否存在缺陷，同时测试其稳定性、安全性、易操作性等性能，确保符合使用标准。</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0AB2DE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F45B5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428CD74">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32C9DF1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46</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D6E19F">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386735">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7794FB7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编制测试相关文档</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6870E85">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制定相应的测试规范和测试用例，为测试工作提供明确指引和依据。</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47983B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FD93457">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3991EBF">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71EEA80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47</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2FBE5">
            <w:pPr>
              <w:jc w:val="center"/>
              <w:rPr>
                <w:rFonts w:ascii="宋体;SimSun" w:hAnsi="宋体;SimSun" w:eastAsia="宋体;SimSun" w:cs="宋体;SimSun"/>
                <w:color w:val="auto"/>
                <w:sz w:val="22"/>
                <w:highlight w:val="none"/>
              </w:rPr>
            </w:pPr>
          </w:p>
        </w:tc>
        <w:tc>
          <w:tcPr>
            <w:tcW w:w="1928" w:type="dxa"/>
            <w:tcBorders>
              <w:top w:val="single" w:color="000000" w:sz="4" w:space="0"/>
              <w:left w:val="single" w:color="000000" w:sz="4" w:space="0"/>
              <w:bottom w:val="single" w:color="000000" w:sz="4" w:space="0"/>
              <w:right w:val="single" w:color="000000" w:sz="4" w:space="0"/>
            </w:tcBorders>
            <w:noWrap w:val="0"/>
            <w:vAlign w:val="center"/>
          </w:tcPr>
          <w:p w14:paraId="583724A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设备硬件集成服务</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1CB5FA8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设备扩展集成</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4CDF41F1">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针对园区和企业现有的以及建设中的设备设施进行勘察分析，结合设备类型进行接入规划设计与集成接入开发。</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A98963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5F973C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1C53D1F6">
        <w:tblPrEx>
          <w:tblCellMar>
            <w:top w:w="0" w:type="dxa"/>
            <w:left w:w="108" w:type="dxa"/>
            <w:bottom w:w="0" w:type="dxa"/>
            <w:right w:w="108" w:type="dxa"/>
          </w:tblCellMar>
        </w:tblPrEx>
        <w:trPr>
          <w:trHeight w:val="30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E75273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48</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DA895E">
            <w:pPr>
              <w:jc w:val="center"/>
              <w:rPr>
                <w:rFonts w:ascii="宋体;SimSun" w:hAnsi="宋体;SimSun" w:eastAsia="宋体;SimSun" w:cs="宋体;SimSun"/>
                <w:color w:val="auto"/>
                <w:sz w:val="22"/>
                <w:highlight w:val="none"/>
              </w:rPr>
            </w:pPr>
          </w:p>
        </w:tc>
        <w:tc>
          <w:tcPr>
            <w:tcW w:w="1928" w:type="dxa"/>
            <w:vMerge w:val="restart"/>
            <w:tcBorders>
              <w:top w:val="single" w:color="000000" w:sz="4" w:space="0"/>
              <w:left w:val="single" w:color="000000" w:sz="4" w:space="0"/>
              <w:bottom w:val="single" w:color="000000" w:sz="4" w:space="0"/>
              <w:right w:val="single" w:color="000000" w:sz="4" w:space="0"/>
            </w:tcBorders>
            <w:noWrap w:val="0"/>
            <w:vAlign w:val="center"/>
          </w:tcPr>
          <w:p w14:paraId="3E96730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系统开发服务</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47D45AD">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系统整改优化</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7A08EC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结合检查督查的问题进行系统整改优化</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A73FC33">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6B54D8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5D62003A">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697831E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49</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72E9B0">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DEB5F">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2DC929F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应用数据对接</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38BB1BFE">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结合运维期间新出企业平台的数据上传规范要求，并且提供详尽数据传输拓扑设计方案，完成企业平台数据对接至园区平台工作</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FFD2D0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6F67BC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741A41A1">
        <w:tblPrEx>
          <w:tblCellMar>
            <w:top w:w="0" w:type="dxa"/>
            <w:left w:w="108" w:type="dxa"/>
            <w:bottom w:w="0" w:type="dxa"/>
            <w:right w:w="108" w:type="dxa"/>
          </w:tblCellMar>
        </w:tblPrEx>
        <w:trPr>
          <w:trHeight w:val="5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540AAF0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50</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D4F5A5">
            <w:pPr>
              <w:jc w:val="center"/>
              <w:rPr>
                <w:rFonts w:ascii="宋体;SimSun" w:hAnsi="宋体;SimSun" w:eastAsia="宋体;SimSun" w:cs="宋体;SimSun"/>
                <w:color w:val="auto"/>
                <w:sz w:val="22"/>
                <w:highlight w:val="none"/>
              </w:rPr>
            </w:pPr>
          </w:p>
        </w:tc>
        <w:tc>
          <w:tcPr>
            <w:tcW w:w="19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D34C59">
            <w:pPr>
              <w:jc w:val="center"/>
              <w:rPr>
                <w:rFonts w:ascii="宋体;SimSun" w:hAnsi="宋体;SimSun" w:eastAsia="宋体;SimSun" w:cs="宋体;SimSun"/>
                <w:color w:val="auto"/>
                <w:sz w:val="22"/>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2BA12F9">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应用数据上传</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713515C">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结合运维期间新出的数据上传规范要求，并且提供详尽数据传输拓扑设计方案，完成数据上传上级监管平台工作。</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7D6C21E">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572A616">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27B65779">
        <w:tblPrEx>
          <w:tblCellMar>
            <w:top w:w="0" w:type="dxa"/>
            <w:left w:w="108" w:type="dxa"/>
            <w:bottom w:w="0" w:type="dxa"/>
            <w:right w:w="108" w:type="dxa"/>
          </w:tblCellMar>
        </w:tblPrEx>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9BE821F">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51</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4812AE5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运营支撑</w:t>
            </w:r>
          </w:p>
        </w:tc>
        <w:tc>
          <w:tcPr>
            <w:tcW w:w="3561" w:type="dxa"/>
            <w:gridSpan w:val="2"/>
            <w:tcBorders>
              <w:top w:val="single" w:color="000000" w:sz="4" w:space="0"/>
              <w:left w:val="single" w:color="000000" w:sz="4" w:space="0"/>
              <w:bottom w:val="single" w:color="000000" w:sz="4" w:space="0"/>
              <w:right w:val="single" w:color="000000" w:sz="4" w:space="0"/>
            </w:tcBorders>
            <w:noWrap w:val="0"/>
            <w:vAlign w:val="center"/>
          </w:tcPr>
          <w:p w14:paraId="4351EAA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接待汇报</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16752A9A">
            <w:pPr>
              <w:jc w:val="left"/>
              <w:rPr>
                <w:color w:val="auto"/>
                <w:highlight w:val="none"/>
              </w:rPr>
            </w:pPr>
            <w:r>
              <w:rPr>
                <w:rFonts w:ascii="宋体;SimSun" w:hAnsi="宋体;SimSun" w:eastAsia="宋体;SimSun" w:cs="宋体;SimSun"/>
                <w:color w:val="auto"/>
                <w:sz w:val="22"/>
                <w:highlight w:val="none"/>
              </w:rPr>
              <w:t>当面对园区领导、行业专家参观检查时，需做好对来访者的迎送、招待、交谈、讲解、汇报等工作。接待者需向来访者更加了解系统平台主要功能优势的同时，重点汇报展示园企信息化建设的成效，长久助力园区招商和发展。</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2D63B3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7F7985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2AA759B7">
        <w:tblPrEx>
          <w:tblCellMar>
            <w:top w:w="0" w:type="dxa"/>
            <w:left w:w="108" w:type="dxa"/>
            <w:bottom w:w="0" w:type="dxa"/>
            <w:right w:w="108" w:type="dxa"/>
          </w:tblCellMar>
        </w:tblPrEx>
        <w:trPr>
          <w:trHeight w:val="540" w:hRule="atLeast"/>
        </w:trPr>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14:paraId="142D297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52</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5BE1BF">
            <w:pPr>
              <w:jc w:val="center"/>
              <w:rPr>
                <w:rFonts w:ascii="宋体;SimSun" w:hAnsi="宋体;SimSun" w:eastAsia="宋体;SimSun" w:cs="宋体;SimSun"/>
                <w:color w:val="auto"/>
                <w:sz w:val="22"/>
                <w:highlight w:val="none"/>
              </w:rPr>
            </w:pPr>
          </w:p>
        </w:tc>
        <w:tc>
          <w:tcPr>
            <w:tcW w:w="35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483040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咨询解答</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0607D859">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从咨询内容上来区分，咨询可以分为系统平台的咨询和园区智慧化建设行业的咨询。</w:t>
            </w:r>
          </w:p>
        </w:tc>
        <w:tc>
          <w:tcPr>
            <w:tcW w:w="781" w:type="dxa"/>
            <w:vMerge w:val="restart"/>
            <w:tcBorders>
              <w:top w:val="single" w:color="000000" w:sz="4" w:space="0"/>
              <w:left w:val="single" w:color="000000" w:sz="4" w:space="0"/>
              <w:bottom w:val="single" w:color="000000" w:sz="4" w:space="0"/>
              <w:right w:val="single" w:color="000000" w:sz="4" w:space="0"/>
            </w:tcBorders>
            <w:noWrap w:val="0"/>
            <w:vAlign w:val="center"/>
          </w:tcPr>
          <w:p w14:paraId="1B864A8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10B42E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3821AB3">
        <w:tblPrEx>
          <w:tblCellMar>
            <w:top w:w="0" w:type="dxa"/>
            <w:left w:w="108" w:type="dxa"/>
            <w:bottom w:w="0" w:type="dxa"/>
            <w:right w:w="108" w:type="dxa"/>
          </w:tblCellMar>
        </w:tblPrEx>
        <w:trPr>
          <w:trHeight w:val="111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38994">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A51C2B">
            <w:pPr>
              <w:jc w:val="center"/>
              <w:rPr>
                <w:rFonts w:ascii="宋体;SimSun" w:hAnsi="宋体;SimSun" w:eastAsia="宋体;SimSun" w:cs="宋体;SimSun"/>
                <w:color w:val="auto"/>
                <w:sz w:val="22"/>
                <w:highlight w:val="none"/>
              </w:rPr>
            </w:pPr>
          </w:p>
        </w:tc>
        <w:tc>
          <w:tcPr>
            <w:tcW w:w="35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D631CD4">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2475B6FA">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1、针对系统平台相关的咨询，运营人员需进行及时并耐心的解答，帮助提问者更好更全面地了解系统平台的主要功能、平台优势及系统操作细节等，咨询者对系统平台提出了良好的优化建议，运营人员需及时记录，并与产研团队及时沟通，阐述需求，跟进后续需求优化结果。</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179B35">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C2EEE7">
            <w:pPr>
              <w:jc w:val="center"/>
              <w:rPr>
                <w:rFonts w:ascii="宋体;SimSun" w:hAnsi="宋体;SimSun" w:eastAsia="宋体;SimSun" w:cs="宋体;SimSun"/>
                <w:color w:val="auto"/>
                <w:sz w:val="22"/>
                <w:highlight w:val="none"/>
              </w:rPr>
            </w:pPr>
          </w:p>
        </w:tc>
      </w:tr>
      <w:tr w14:paraId="2AAA4E6E">
        <w:tblPrEx>
          <w:tblCellMar>
            <w:top w:w="0" w:type="dxa"/>
            <w:left w:w="108" w:type="dxa"/>
            <w:bottom w:w="0" w:type="dxa"/>
            <w:right w:w="108" w:type="dxa"/>
          </w:tblCellMar>
        </w:tblPrEx>
        <w:trPr>
          <w:trHeight w:val="1110" w:hRule="atLeast"/>
        </w:trPr>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246D4">
            <w:pPr>
              <w:jc w:val="center"/>
              <w:rPr>
                <w:rFonts w:ascii="宋体;SimSun" w:hAnsi="宋体;SimSun" w:eastAsia="宋体;SimSun" w:cs="宋体;SimSun"/>
                <w:color w:val="auto"/>
                <w:sz w:val="22"/>
                <w:highlight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8B2310">
            <w:pPr>
              <w:jc w:val="center"/>
              <w:rPr>
                <w:rFonts w:ascii="宋体;SimSun" w:hAnsi="宋体;SimSun" w:eastAsia="宋体;SimSun" w:cs="宋体;SimSun"/>
                <w:color w:val="auto"/>
                <w:sz w:val="22"/>
                <w:highlight w:val="none"/>
              </w:rPr>
            </w:pPr>
          </w:p>
        </w:tc>
        <w:tc>
          <w:tcPr>
            <w:tcW w:w="35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8BB1A16">
            <w:pPr>
              <w:jc w:val="center"/>
              <w:rPr>
                <w:rFonts w:ascii="宋体;SimSun" w:hAnsi="宋体;SimSun" w:eastAsia="宋体;SimSun" w:cs="宋体;SimSun"/>
                <w:color w:val="auto"/>
                <w:sz w:val="22"/>
                <w:highlight w:val="none"/>
              </w:rPr>
            </w:pP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6CED4B1B">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2、针对园区智慧化建设行业知识的咨询，运营人员需定期对国家、地方以及园区的信息化平台建设要求文件，参与园区信息化项目的前期调研、评估、设计方案评审、技术论证等工作，协助园区给出公正、恰当、专业、权威的评价和建议。</w:t>
            </w:r>
          </w:p>
        </w:tc>
        <w:tc>
          <w:tcPr>
            <w:tcW w:w="7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28F5D">
            <w:pPr>
              <w:jc w:val="center"/>
              <w:rPr>
                <w:rFonts w:ascii="宋体;SimSun" w:hAnsi="宋体;SimSun" w:eastAsia="宋体;SimSun" w:cs="宋体;SimSun"/>
                <w:color w:val="auto"/>
                <w:sz w:val="22"/>
                <w:highlight w:val="none"/>
              </w:rPr>
            </w:pPr>
          </w:p>
        </w:tc>
        <w:tc>
          <w:tcPr>
            <w:tcW w:w="7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6B9977">
            <w:pPr>
              <w:jc w:val="center"/>
              <w:rPr>
                <w:rFonts w:ascii="宋体;SimSun" w:hAnsi="宋体;SimSun" w:eastAsia="宋体;SimSun" w:cs="宋体;SimSun"/>
                <w:color w:val="auto"/>
                <w:sz w:val="22"/>
                <w:highlight w:val="none"/>
              </w:rPr>
            </w:pPr>
          </w:p>
        </w:tc>
      </w:tr>
      <w:tr w14:paraId="019605D7">
        <w:tblPrEx>
          <w:tblCellMar>
            <w:top w:w="0" w:type="dxa"/>
            <w:left w:w="108" w:type="dxa"/>
            <w:bottom w:w="0" w:type="dxa"/>
            <w:right w:w="108" w:type="dxa"/>
          </w:tblCellMar>
        </w:tblPrEx>
        <w:trPr>
          <w:trHeight w:val="11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F049AD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53</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730633C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支撑体系及管理</w:t>
            </w:r>
          </w:p>
        </w:tc>
        <w:tc>
          <w:tcPr>
            <w:tcW w:w="3561" w:type="dxa"/>
            <w:gridSpan w:val="2"/>
            <w:tcBorders>
              <w:top w:val="single" w:color="000000" w:sz="4" w:space="0"/>
              <w:left w:val="single" w:color="000000" w:sz="4" w:space="0"/>
              <w:bottom w:val="single" w:color="000000" w:sz="4" w:space="0"/>
              <w:right w:val="single" w:color="000000" w:sz="4" w:space="0"/>
            </w:tcBorders>
            <w:noWrap w:val="0"/>
            <w:vAlign w:val="center"/>
          </w:tcPr>
          <w:p w14:paraId="25829CD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运行服务工单平台</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6AAE310">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主要负责园区的软件、硬件日常的运营运维工作记录管理，登记日常的工作内容及日常平台优化需求，实现现场/远程/专家咨询服务工作成果的管理。对服务进行记录跟进。将工作内容项对应工单，以工时的形式进行换算，作为运维运营服务的具体衡量指标，确保整个项目处于可控状态。</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97EDA31">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C412EB4">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0C956D41">
        <w:tblPrEx>
          <w:tblCellMar>
            <w:top w:w="0" w:type="dxa"/>
            <w:left w:w="108" w:type="dxa"/>
            <w:bottom w:w="0" w:type="dxa"/>
            <w:right w:w="108" w:type="dxa"/>
          </w:tblCellMar>
        </w:tblPrEx>
        <w:trPr>
          <w:trHeight w:val="81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49BF20F5">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54</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68366">
            <w:pPr>
              <w:jc w:val="center"/>
              <w:rPr>
                <w:rFonts w:ascii="宋体;SimSun" w:hAnsi="宋体;SimSun" w:eastAsia="宋体;SimSun" w:cs="宋体;SimSun"/>
                <w:color w:val="auto"/>
                <w:sz w:val="22"/>
                <w:highlight w:val="none"/>
              </w:rPr>
            </w:pPr>
          </w:p>
        </w:tc>
        <w:tc>
          <w:tcPr>
            <w:tcW w:w="3561" w:type="dxa"/>
            <w:gridSpan w:val="2"/>
            <w:tcBorders>
              <w:top w:val="single" w:color="000000" w:sz="4" w:space="0"/>
              <w:left w:val="single" w:color="000000" w:sz="4" w:space="0"/>
              <w:bottom w:val="single" w:color="000000" w:sz="4" w:space="0"/>
              <w:right w:val="single" w:color="000000" w:sz="4" w:space="0"/>
            </w:tcBorders>
            <w:noWrap w:val="0"/>
            <w:vAlign w:val="center"/>
          </w:tcPr>
          <w:p w14:paraId="6B10409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资产管理平台</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A303C24">
            <w:pPr>
              <w:jc w:val="left"/>
              <w:rPr>
                <w:color w:val="auto"/>
                <w:highlight w:val="none"/>
              </w:rPr>
            </w:pPr>
            <w:r>
              <w:rPr>
                <w:rFonts w:ascii="宋体;SimSun" w:hAnsi="宋体;SimSun" w:eastAsia="宋体;SimSun" w:cs="宋体;SimSun"/>
                <w:color w:val="auto"/>
                <w:sz w:val="22"/>
                <w:highlight w:val="none"/>
              </w:rPr>
              <w:t>主要是对智慧平台的软、硬件资产的日常登记管理，包括新增、报废、变更、调拨等内容管理，在此基础上，半年度周期进行设备资产盘点，实现园区对平台资产信息化管理。</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D6EF9EA">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4403C8C">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r w14:paraId="44431673">
        <w:tblPrEx>
          <w:tblCellMar>
            <w:top w:w="0" w:type="dxa"/>
            <w:left w:w="108" w:type="dxa"/>
            <w:bottom w:w="0" w:type="dxa"/>
            <w:right w:w="108" w:type="dxa"/>
          </w:tblCellMar>
        </w:tblPrEx>
        <w:trPr>
          <w:trHeight w:val="840" w:hRule="atLeast"/>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FA30638">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55</w:t>
            </w: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B024D">
            <w:pPr>
              <w:jc w:val="center"/>
              <w:rPr>
                <w:rFonts w:ascii="宋体;SimSun" w:hAnsi="宋体;SimSun" w:eastAsia="宋体;SimSun" w:cs="宋体;SimSun"/>
                <w:color w:val="auto"/>
                <w:sz w:val="22"/>
                <w:highlight w:val="none"/>
              </w:rPr>
            </w:pPr>
          </w:p>
        </w:tc>
        <w:tc>
          <w:tcPr>
            <w:tcW w:w="3561" w:type="dxa"/>
            <w:gridSpan w:val="2"/>
            <w:tcBorders>
              <w:top w:val="single" w:color="000000" w:sz="4" w:space="0"/>
              <w:left w:val="single" w:color="000000" w:sz="4" w:space="0"/>
              <w:bottom w:val="single" w:color="000000" w:sz="4" w:space="0"/>
              <w:right w:val="single" w:color="000000" w:sz="4" w:space="0"/>
            </w:tcBorders>
            <w:noWrap w:val="0"/>
            <w:vAlign w:val="center"/>
          </w:tcPr>
          <w:p w14:paraId="459B372B">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设备监测平台</w:t>
            </w:r>
          </w:p>
        </w:tc>
        <w:tc>
          <w:tcPr>
            <w:tcW w:w="6849" w:type="dxa"/>
            <w:tcBorders>
              <w:top w:val="single" w:color="000000" w:sz="4" w:space="0"/>
              <w:left w:val="single" w:color="000000" w:sz="4" w:space="0"/>
              <w:bottom w:val="single" w:color="000000" w:sz="4" w:space="0"/>
              <w:right w:val="single" w:color="000000" w:sz="4" w:space="0"/>
            </w:tcBorders>
            <w:noWrap w:val="0"/>
            <w:vAlign w:val="center"/>
          </w:tcPr>
          <w:p w14:paraId="5ECD34C7">
            <w:pPr>
              <w:jc w:val="left"/>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提供一套监管园区机房设备运行状态，园区业务系统运行状态，园区对接企业省市数据连接状态情况，实时监管园区机房、系统、接口传输等软硬件设备系统的运行状态情况。</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06B4A00">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2A5B032">
            <w:pPr>
              <w:jc w:val="center"/>
              <w:rPr>
                <w:rFonts w:ascii="宋体;SimSun" w:hAnsi="宋体;SimSun" w:eastAsia="宋体;SimSun" w:cs="宋体;SimSun"/>
                <w:color w:val="auto"/>
                <w:sz w:val="22"/>
                <w:highlight w:val="none"/>
              </w:rPr>
            </w:pPr>
            <w:r>
              <w:rPr>
                <w:rFonts w:ascii="宋体;SimSun" w:hAnsi="宋体;SimSun" w:eastAsia="宋体;SimSun" w:cs="宋体;SimSun"/>
                <w:color w:val="auto"/>
                <w:sz w:val="22"/>
                <w:highlight w:val="none"/>
              </w:rPr>
              <w:t>年</w:t>
            </w:r>
          </w:p>
        </w:tc>
      </w:tr>
    </w:tbl>
    <w:p w14:paraId="7620EBB1">
      <w:pPr>
        <w:rPr>
          <w:color w:val="auto"/>
          <w:highlight w:val="none"/>
        </w:rPr>
        <w:sectPr>
          <w:footerReference r:id="rId8" w:type="default"/>
          <w:pgSz w:w="16838" w:h="11906" w:orient="landscape"/>
          <w:pgMar w:top="1800" w:right="1440" w:bottom="1800" w:left="1440" w:header="0" w:footer="992" w:gutter="0"/>
          <w:cols w:space="720" w:num="1"/>
          <w:docGrid w:linePitch="360" w:charSpace="0"/>
        </w:sectPr>
      </w:pPr>
    </w:p>
    <w:p w14:paraId="0ABA9756">
      <w:pPr>
        <w:spacing w:line="500" w:lineRule="exact"/>
        <w:rPr>
          <w:rFonts w:ascii="宋体;SimSun" w:hAnsi="宋体;SimSun" w:eastAsia="宋体;SimSun" w:cs="宋体;SimSun"/>
          <w:b/>
          <w:bCs/>
          <w:color w:val="auto"/>
          <w:sz w:val="28"/>
          <w:szCs w:val="28"/>
          <w:highlight w:val="none"/>
        </w:rPr>
      </w:pPr>
      <w:r>
        <w:rPr>
          <w:rFonts w:ascii="宋体;SimSun" w:hAnsi="宋体;SimSun" w:eastAsia="宋体;SimSun" w:cs="宋体;SimSun"/>
          <w:b/>
          <w:bCs/>
          <w:color w:val="auto"/>
          <w:sz w:val="28"/>
          <w:szCs w:val="28"/>
          <w:highlight w:val="none"/>
        </w:rPr>
        <w:t>（三）考核细则</w:t>
      </w:r>
    </w:p>
    <w:p w14:paraId="1635C5AF">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为提高运营服务质量，根据项目需求制定本考核办法，供考核双方执行遵守。</w:t>
      </w:r>
    </w:p>
    <w:p w14:paraId="3397479A">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1.考核内容</w:t>
      </w:r>
    </w:p>
    <w:p w14:paraId="6048EFDE">
      <w:pPr>
        <w:spacing w:line="500" w:lineRule="exact"/>
        <w:ind w:firstLine="560"/>
        <w:rPr>
          <w:color w:val="auto"/>
          <w:highlight w:val="none"/>
        </w:rPr>
      </w:pPr>
      <w:r>
        <w:rPr>
          <w:color w:val="auto"/>
          <w:highlight w:val="none"/>
        </w:rPr>
        <w:t>（1）人员配备齐全，年龄、学历等达到采购要求（优秀20分、一般14分、差5分）；</w:t>
      </w:r>
    </w:p>
    <w:p w14:paraId="2B392E5D">
      <w:pPr>
        <w:spacing w:line="500" w:lineRule="exact"/>
        <w:ind w:firstLine="560"/>
        <w:rPr>
          <w:color w:val="auto"/>
          <w:highlight w:val="none"/>
        </w:rPr>
      </w:pPr>
      <w:r>
        <w:rPr>
          <w:color w:val="auto"/>
          <w:highlight w:val="none"/>
        </w:rPr>
        <w:t>（2）遵守值班制度、交接班制度及基本行为规范等（优秀20分、一般14分、差5分）；</w:t>
      </w:r>
    </w:p>
    <w:p w14:paraId="5CA09606">
      <w:pPr>
        <w:spacing w:line="500" w:lineRule="exact"/>
        <w:ind w:firstLine="560"/>
        <w:rPr>
          <w:color w:val="auto"/>
          <w:highlight w:val="none"/>
        </w:rPr>
      </w:pPr>
      <w:r>
        <w:rPr>
          <w:color w:val="auto"/>
          <w:highlight w:val="none"/>
        </w:rPr>
        <w:t>（3）提供的档案资料完整、准确，并由专人负责管理（优秀10分、一般7分、差3分）；</w:t>
      </w:r>
    </w:p>
    <w:p w14:paraId="2C273138">
      <w:pPr>
        <w:spacing w:line="500" w:lineRule="exact"/>
        <w:ind w:firstLine="560"/>
        <w:rPr>
          <w:color w:val="auto"/>
          <w:highlight w:val="none"/>
        </w:rPr>
      </w:pPr>
      <w:r>
        <w:rPr>
          <w:color w:val="auto"/>
          <w:highlight w:val="none"/>
        </w:rPr>
        <w:t>（4）设备操作熟练度、设备基本维护及常见故障处置（优秀20分、一般14分、差5分）；</w:t>
      </w:r>
    </w:p>
    <w:p w14:paraId="3E1621A2">
      <w:pPr>
        <w:spacing w:line="500" w:lineRule="exact"/>
        <w:ind w:firstLine="560"/>
        <w:rPr>
          <w:color w:val="auto"/>
          <w:highlight w:val="none"/>
        </w:rPr>
      </w:pPr>
      <w:r>
        <w:rPr>
          <w:color w:val="auto"/>
          <w:highlight w:val="none"/>
        </w:rPr>
        <w:t>（5）控制室的环境卫生干净、整洁（优秀10分、一般7分、差3分）；</w:t>
      </w:r>
    </w:p>
    <w:p w14:paraId="4A1BD4ED">
      <w:pPr>
        <w:spacing w:line="500" w:lineRule="exact"/>
        <w:ind w:firstLine="560"/>
        <w:rPr>
          <w:color w:val="auto"/>
          <w:highlight w:val="none"/>
        </w:rPr>
      </w:pPr>
      <w:r>
        <w:rPr>
          <w:color w:val="auto"/>
          <w:highlight w:val="none"/>
        </w:rPr>
        <w:t>（6）服务期间未发生因工作失职造成的重大安全责任事故或隐瞒、瞒报安全责任事故（优秀10分、一般7分、差3分）；</w:t>
      </w:r>
    </w:p>
    <w:p w14:paraId="297C409A">
      <w:pPr>
        <w:spacing w:line="500" w:lineRule="exact"/>
        <w:ind w:firstLine="560"/>
        <w:rPr>
          <w:color w:val="auto"/>
          <w:highlight w:val="none"/>
        </w:rPr>
      </w:pPr>
      <w:r>
        <w:rPr>
          <w:color w:val="auto"/>
          <w:highlight w:val="none"/>
        </w:rPr>
        <w:t>（7）服从甲方单位工作调度和安排（优秀10分、一般7分、差3分）；</w:t>
      </w:r>
    </w:p>
    <w:p w14:paraId="261A1A9A">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2.考核要求</w:t>
      </w:r>
    </w:p>
    <w:p w14:paraId="03F96F6C">
      <w:pPr>
        <w:spacing w:line="500" w:lineRule="exact"/>
        <w:ind w:firstLine="560"/>
        <w:rPr>
          <w:color w:val="auto"/>
          <w:highlight w:val="none"/>
        </w:rPr>
      </w:pPr>
      <w:r>
        <w:rPr>
          <w:rFonts w:ascii="宋体;SimSun" w:hAnsi="宋体;SimSun" w:eastAsia="宋体;SimSun" w:cs="宋体;SimSun"/>
          <w:color w:val="auto"/>
          <w:sz w:val="28"/>
          <w:szCs w:val="28"/>
          <w:highlight w:val="none"/>
        </w:rPr>
        <w:t>（1）甲方每季度组织考核一次；</w:t>
      </w:r>
    </w:p>
    <w:p w14:paraId="1F6653F2">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（2）考核结果80分以上（含80分）为合格，低于80分为不合格；</w:t>
      </w:r>
    </w:p>
    <w:p w14:paraId="61A54E03">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（3）在考核中出现差评项，每项扣除1000元，并针对出现的问题或不足之处进行限期整改；</w:t>
      </w:r>
    </w:p>
    <w:p w14:paraId="6122C76C">
      <w:pPr>
        <w:spacing w:line="500" w:lineRule="exact"/>
        <w:ind w:firstLine="560"/>
        <w:rPr>
          <w:rFonts w:ascii="宋体;SimSun" w:hAnsi="宋体;SimSun" w:eastAsia="宋体;SimSun" w:cs="宋体;SimSun"/>
          <w:color w:val="auto"/>
          <w:sz w:val="28"/>
          <w:szCs w:val="28"/>
          <w:highlight w:val="none"/>
        </w:rPr>
      </w:pPr>
      <w:r>
        <w:rPr>
          <w:rFonts w:ascii="宋体;SimSun" w:hAnsi="宋体;SimSun" w:eastAsia="宋体;SimSun" w:cs="宋体;SimSun"/>
          <w:color w:val="auto"/>
          <w:sz w:val="28"/>
          <w:szCs w:val="28"/>
          <w:highlight w:val="none"/>
        </w:rPr>
        <w:t>（4）现场负责人需24小时保持通讯畅通，若出现负责人联系不到，或电话15分钟未接情况，每次扣除100元，连续三次解除合同。</w:t>
      </w:r>
      <w:r>
        <w:rPr>
          <w:color w:val="auto"/>
          <w:highlight w:val="none"/>
        </w:rPr>
        <w:br w:type="page" w:clear="all"/>
      </w:r>
    </w:p>
    <w:p w14:paraId="236F4958">
      <w:pPr>
        <w:spacing w:line="500" w:lineRule="exact"/>
        <w:ind w:firstLine="560"/>
        <w:rPr>
          <w:rFonts w:ascii="宋体;SimSun" w:hAnsi="宋体;SimSun" w:eastAsia="宋体;SimSun" w:cs="宋体;SimSun"/>
          <w:b/>
          <w:bCs/>
          <w:color w:val="auto"/>
          <w:sz w:val="24"/>
          <w:szCs w:val="24"/>
          <w:highlight w:val="none"/>
        </w:rPr>
      </w:pPr>
      <w:r>
        <w:rPr>
          <w:rFonts w:ascii="宋体;SimSun" w:hAnsi="宋体;SimSun" w:eastAsia="宋体;SimSun" w:cs="宋体;SimSun"/>
          <w:b/>
          <w:bCs/>
          <w:color w:val="auto"/>
          <w:sz w:val="24"/>
          <w:szCs w:val="24"/>
          <w:highlight w:val="none"/>
        </w:rPr>
        <w:t>三、商务条款</w:t>
      </w:r>
    </w:p>
    <w:p w14:paraId="7D7381F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★3.1成果文件要求</w:t>
      </w:r>
    </w:p>
    <w:p w14:paraId="3E7A337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平台建设完成后，中标人需无条件向采购人提交数据中台、智慧平台、数字孪生平台、大气溯源模型、地下水预警预测模型的平台建设源代码程序。</w:t>
      </w:r>
    </w:p>
    <w:p w14:paraId="23C67B51">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★3.2服务期限要求</w:t>
      </w:r>
    </w:p>
    <w:p w14:paraId="6E773626">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双方确认，本项目总履行周期为180日历天，自合同生效之日起计算。</w:t>
      </w:r>
    </w:p>
    <w:p w14:paraId="6F87E7B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★3.3付款方式</w:t>
      </w:r>
    </w:p>
    <w:p w14:paraId="123A8EA3">
      <w:pPr>
        <w:spacing w:line="560" w:lineRule="exact"/>
        <w:ind w:firstLine="480"/>
        <w:rPr>
          <w:color w:val="auto"/>
          <w:highlight w:val="none"/>
        </w:rPr>
      </w:pPr>
      <w:r>
        <w:rPr>
          <w:color w:val="auto"/>
          <w:highlight w:val="none"/>
        </w:rPr>
        <w:t>合同生效之日起15日内甲方向乙方预付价款10％，乙方完成软硬件安装调试经甲方确认达到100%之日起15日内支付至合同价款的60%，后续运营期内每满一年支付合同价的10%，付完为止。</w:t>
      </w:r>
    </w:p>
    <w:p w14:paraId="2DF90DA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★3.4 履约保证金</w:t>
      </w:r>
    </w:p>
    <w:p w14:paraId="2562E61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乙方交纳合同总价 5% 作为本合同的履约保证金，乙方应当以支票、汇票、本票或者金融机构、担保机构出具的保函等非现金形式提交。</w:t>
      </w:r>
    </w:p>
    <w:p w14:paraId="3C2CD431">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3.5服务验收标准</w:t>
      </w:r>
    </w:p>
    <w:p w14:paraId="2CADE9EF">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 验收依据</w:t>
      </w:r>
    </w:p>
    <w:p w14:paraId="5976EA64">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3.5.1.1 本项目采购合同及其全部附件。</w:t>
      </w:r>
    </w:p>
    <w:p w14:paraId="403794B5">
      <w:pPr>
        <w:spacing w:line="560" w:lineRule="exact"/>
        <w:ind w:firstLine="480"/>
        <w:rPr>
          <w:color w:val="auto"/>
          <w:highlight w:val="none"/>
        </w:rPr>
      </w:pPr>
      <w:r>
        <w:rPr>
          <w:rFonts w:ascii="宋体;SimSun" w:hAnsi="宋体;SimSun" w:eastAsia="宋体;SimSun" w:cs="宋体;SimSun"/>
          <w:color w:val="auto"/>
          <w:sz w:val="24"/>
          <w:szCs w:val="24"/>
          <w:highlight w:val="none"/>
        </w:rPr>
        <w:t>3.5.1.2 经采购人确认的招标文件、中标人的投标文件及澄清答疑文件。</w:t>
      </w:r>
    </w:p>
    <w:p w14:paraId="69E001E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3.5.1.3 经双方确认的服务方案、工作计划、技术规范及质量标准。</w:t>
      </w:r>
    </w:p>
    <w:p w14:paraId="08849231">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3.5.1.4 国家、行业及地方颁布的相关法律法规、强制性标准及规范。</w:t>
      </w:r>
    </w:p>
    <w:p w14:paraId="7AB51BB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3.5.1.5 双方约定的其他书面文件。</w:t>
      </w:r>
    </w:p>
    <w:p w14:paraId="5EB15B0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 验收前提条件</w:t>
      </w:r>
    </w:p>
    <w:p w14:paraId="4B87324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服务提供方申请验收前，必须满足以下全部条件：</w:t>
      </w:r>
    </w:p>
    <w:p w14:paraId="15AAFC36">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3.5.2.1 已按照合同约定，完成全部服务内容或达到合同约定的阶段性里程碑。</w:t>
      </w:r>
    </w:p>
    <w:p w14:paraId="1EF2DEF8">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3.5.2.2 已提交完整、规范的验收申请报告及相关资料。</w:t>
      </w:r>
    </w:p>
    <w:p w14:paraId="644F725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3.5.2.3 服务期间发现的问题或缺陷已按约定完成整改。</w:t>
      </w:r>
    </w:p>
    <w:p w14:paraId="7A7B3EE0">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3.5.2.4 合同约定的其他前提条件已完成。</w:t>
      </w:r>
    </w:p>
    <w:p w14:paraId="038B793E">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3.5.3. 验收内容与标准</w:t>
      </w:r>
    </w:p>
    <w:p w14:paraId="1499360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3.5.3.1 交付成果质量，审核提交的各项成果物（如概念方案、深化设计方案、影片脚本等）的完整性、规范性、准确性、及时性。 成果物格式规范、内容完整、数据准确、逻辑清晰，提交时间符合合同约定。</w:t>
      </w:r>
    </w:p>
    <w:p w14:paraId="4D6DD26E">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3.5.3.2 服务过程符合性检查服务过程中的关键活动是否按批准的计划、流程、标准执行。 服务过程记录齐全，关键节点执行到位，未出现擅自变更服务方案或违反操作规程的情形。</w:t>
      </w:r>
    </w:p>
    <w:p w14:paraId="2BA3525C">
      <w:pPr>
        <w:spacing w:line="560" w:lineRule="exact"/>
        <w:ind w:firstLine="480"/>
        <w:rPr>
          <w:color w:val="auto"/>
          <w:highlight w:val="none"/>
        </w:rPr>
      </w:pPr>
      <w:r>
        <w:rPr>
          <w:rFonts w:ascii="宋体;SimSun" w:hAnsi="宋体;SimSun" w:eastAsia="宋体;SimSun" w:cs="宋体;SimSun"/>
          <w:color w:val="auto"/>
          <w:sz w:val="24"/>
          <w:szCs w:val="24"/>
          <w:highlight w:val="none"/>
        </w:rPr>
        <w:t>3.5.3.3 履约规范性检查项目团队人员稳定性、资质符合性；服务过程是否符合安全、保密、环保等规定；款项申请是否符合合同约定。主要人员未经同意不得擅自更换；无安全、泄密事故；无合规性投诉；付款依据充分。</w:t>
      </w:r>
    </w:p>
    <w:p w14:paraId="4F2C1E79">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 验收程序</w:t>
      </w:r>
    </w:p>
    <w:p w14:paraId="24712A9F">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3.5.4.1验收申请：服务提供方在满足第2条全部条件后，向采购人提交书面《验收申请表》及全套验收资料。</w:t>
      </w:r>
    </w:p>
    <w:p w14:paraId="349754D9">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3.5.4.2验收资料：资料应包括但不限于：验收申请报告、交付成果清单及实体、问题整改报告等。</w:t>
      </w:r>
    </w:p>
    <w:p w14:paraId="2EC21939">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3.5.4.3组建验收小组：采购人负责组建验收小组，成员可包含采购人代表等人员。</w:t>
      </w:r>
    </w:p>
    <w:p w14:paraId="31828426">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3.5.4.4实施验收：验收小组通过资料审查、现场查验、系统测试等进行核查与评价。</w:t>
      </w:r>
    </w:p>
    <w:p w14:paraId="77E79D9C">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3.5.4.5出具验收意见：验收小组根据检查结果形成《验收报告》，明确给出“验收合格”、“验收不合格”或“有条件验收”的结论，并详细说明理由。</w:t>
      </w:r>
    </w:p>
    <w:p w14:paraId="40439EE0">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3.5.4.6问题整改与复验：对于“验收不合格”或“有条件验收”的项目，服务提供方应在约定期限内完成整改并申请复验。复验仍不合格的，按合同违约条款处理。</w:t>
      </w:r>
    </w:p>
    <w:p w14:paraId="14326C5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3.5.4.7最终确认：验收合格后，双方在《验收报告》上签字盖章确认，作为服务费用最终结算的必要依据。</w:t>
      </w:r>
    </w:p>
    <w:p w14:paraId="2685BA7C">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3.5.5. 其他</w:t>
      </w:r>
    </w:p>
    <w:p w14:paraId="12325993">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本验收标准未尽事宜，按照合同通用条款和专用条款的相关约定执行。</w:t>
      </w:r>
    </w:p>
    <w:p w14:paraId="7F62D5F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3.6质保服务</w:t>
      </w:r>
    </w:p>
    <w:p w14:paraId="28478190">
      <w:pPr>
        <w:spacing w:line="560" w:lineRule="exact"/>
        <w:ind w:firstLine="480"/>
        <w:rPr>
          <w:color w:val="auto"/>
          <w:highlight w:val="none"/>
        </w:rPr>
      </w:pPr>
      <w:r>
        <w:rPr>
          <w:rFonts w:ascii="宋体;SimSun" w:hAnsi="宋体;SimSun" w:eastAsia="宋体;SimSun" w:cs="宋体;SimSun"/>
          <w:color w:val="auto"/>
          <w:sz w:val="24"/>
          <w:szCs w:val="24"/>
          <w:highlight w:val="none"/>
        </w:rPr>
        <w:t>★3.6.1环境监测预警系统相关设备质保4年，其他硬件设备质保期限一年，按照国家三包质量体系执行；软件系统质保一年。</w:t>
      </w:r>
    </w:p>
    <w:p w14:paraId="59D92613">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以下原因不在保修范围内：</w:t>
      </w:r>
    </w:p>
    <w:p w14:paraId="2DC02B7E">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a.未经承包人同意发包人擅自对设备进行任何形式改装；</w:t>
      </w:r>
    </w:p>
    <w:p w14:paraId="0AAF9E0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b.未经承包人同意将设备从原安装地移至另外地点；</w:t>
      </w:r>
    </w:p>
    <w:p w14:paraId="05126173">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c.因不可抗力（包括地震、台风、洪水、海啸、战争等）造成的设备损坏；</w:t>
      </w:r>
    </w:p>
    <w:p w14:paraId="011584D4">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3.7违约责任</w:t>
      </w:r>
    </w:p>
    <w:p w14:paraId="78A7F97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3.7.1.工期延误责任</w:t>
      </w:r>
    </w:p>
    <w:p w14:paraId="46E3D642">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（2）逾期违约金计算</w:t>
      </w:r>
    </w:p>
    <w:p w14:paraId="19C1F509">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若乙方未能在上述任一节点规定的日期前完成相应工作内容（因不可抗力或甲方原因导致的延期除外），每逾期一日，乙方应向甲方支付该节点对应建设内容合同金额的1‰（千分之一）作为违约金。</w:t>
      </w:r>
    </w:p>
    <w:p w14:paraId="6957F9EB">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（3）违约金上限</w:t>
      </w:r>
    </w:p>
    <w:p w14:paraId="1C24DC2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针对上述工期延误，累计违约金总额不超过该节点对应建设内容合同金额的5%。</w:t>
      </w:r>
    </w:p>
    <w:p w14:paraId="5D534E85">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3.7.2.质量与交付责任</w:t>
      </w:r>
    </w:p>
    <w:p w14:paraId="4FD980BC">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（1）建设内容合规性</w:t>
      </w:r>
    </w:p>
    <w:p w14:paraId="42887CD5">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乙方交付的指挥中心装修、配套设备、环境监测设备及软件平台（含数据中台、智慧平台、数字孪生平台）必须符合国家相关标准及合同约定的技术参数。若验收不合格，乙方需无偿返工，由此造成的工期延误按第一条规定承担违约责任。</w:t>
      </w:r>
    </w:p>
    <w:p w14:paraId="238298A5">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3.7.3.运营与运维服务责任</w:t>
      </w:r>
    </w:p>
    <w:p w14:paraId="0E7CDE3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（1）服务期限与范围</w:t>
      </w:r>
    </w:p>
    <w:p w14:paraId="2AF79A37">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项目终验合格后，乙方需继续履行以下运营与运维义务：</w:t>
      </w:r>
    </w:p>
    <w:p w14:paraId="2F55C188">
      <w:pPr>
        <w:spacing w:line="560" w:lineRule="exact"/>
        <w:ind w:firstLine="480"/>
        <w:rPr>
          <w:color w:val="auto"/>
          <w:highlight w:val="none"/>
        </w:rPr>
      </w:pPr>
      <w:r>
        <w:rPr>
          <w:rFonts w:ascii="宋体;SimSun" w:hAnsi="宋体;SimSun" w:eastAsia="宋体;SimSun" w:cs="宋体;SimSun"/>
          <w:color w:val="auto"/>
          <w:sz w:val="24"/>
          <w:szCs w:val="24"/>
          <w:highlight w:val="none"/>
        </w:rPr>
        <w:t>环保监测设备运维：提供为期4年的运行维护服务，确保设备正常运行、数据准确采集、定期校准与保养，并符合国家环保监测相关技术规范。</w:t>
      </w:r>
    </w:p>
    <w:p w14:paraId="55539AE0">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智慧平台运营：提供为期3年的平台运营服务，包括系统监控、功能优化、用户支持、数据管理及安全维护，确保平台稳定、高效运行。</w:t>
      </w:r>
    </w:p>
    <w:p w14:paraId="6DADDF7B">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（2）服务不达标责任</w:t>
      </w:r>
    </w:p>
    <w:p w14:paraId="2FB66DA5">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若乙方在运营或运维期间未能达到合同约定的考核标准，按运营服务或环境监测系统运维考核标准，进行相应的违约处罚。</w:t>
      </w:r>
    </w:p>
    <w:p w14:paraId="15DC4C4E">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（3）累计违约金上限</w:t>
      </w:r>
    </w:p>
    <w:p w14:paraId="4411A706">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运营与运维服务期间的累计违约金总额不超过对应服务模块合同总金额的5%。</w:t>
      </w:r>
    </w:p>
    <w:p w14:paraId="6DC584E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3.7.4.甲方违约情形</w:t>
      </w:r>
    </w:p>
    <w:p w14:paraId="3159C9D1">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若因甲方未按约定提供施工场地、未及时确认需求或未按时支付款项导致项目延期，工期相应顺延，乙方不承担逾期违约责任。</w:t>
      </w:r>
    </w:p>
    <w:p w14:paraId="17DD6F5D">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3.7.5.争议解决</w:t>
      </w:r>
    </w:p>
    <w:p w14:paraId="3B457B4C">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因履行本合同发生的争议，双方应友好协商解决；协商不成的，任何一方均有权向项目所在地人民法院提起诉讼。</w:t>
      </w:r>
    </w:p>
    <w:p w14:paraId="58A47AA3">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3.8 货币：本次采购文件所涉及货币币种均为人民币。</w:t>
      </w:r>
    </w:p>
    <w:p w14:paraId="6ED34EB3">
      <w:pPr>
        <w:spacing w:line="56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3.9 备品备件及耗材等要求：无。</w:t>
      </w:r>
    </w:p>
    <w:p w14:paraId="622074A9">
      <w:pPr>
        <w:rPr>
          <w:rFonts w:ascii="宋体;SimSun" w:hAnsi="宋体;SimSun" w:eastAsia="宋体;SimSun" w:cs="宋体;SimSun"/>
          <w:color w:val="auto"/>
          <w:sz w:val="24"/>
          <w:szCs w:val="24"/>
          <w:highlight w:val="none"/>
        </w:rPr>
      </w:pPr>
    </w:p>
    <w:p w14:paraId="3E59FA32">
      <w:pPr>
        <w:rPr>
          <w:rFonts w:ascii="宋体;SimSun" w:hAnsi="宋体;SimSun" w:eastAsia="宋体;SimSun" w:cs="宋体;SimSun"/>
          <w:color w:val="auto"/>
          <w:sz w:val="24"/>
          <w:szCs w:val="24"/>
          <w:highlight w:val="none"/>
        </w:rPr>
      </w:pPr>
    </w:p>
    <w:p w14:paraId="53D2561A">
      <w:pPr>
        <w:rPr>
          <w:rFonts w:ascii="宋体;SimSun" w:hAnsi="宋体;SimSun" w:eastAsia="宋体;SimSun" w:cs="宋体;SimSun"/>
          <w:color w:val="auto"/>
          <w:sz w:val="24"/>
          <w:szCs w:val="24"/>
          <w:highlight w:val="none"/>
        </w:rPr>
      </w:pPr>
    </w:p>
    <w:p w14:paraId="02DDFA12">
      <w:pPr>
        <w:rPr>
          <w:rFonts w:ascii="宋体;SimSun" w:hAnsi="宋体;SimSun" w:eastAsia="宋体;SimSun" w:cs="宋体;SimSun"/>
          <w:color w:val="auto"/>
          <w:highlight w:val="none"/>
        </w:rPr>
      </w:pPr>
      <w:r>
        <w:rPr>
          <w:color w:val="auto"/>
          <w:highlight w:val="none"/>
        </w:rPr>
        <w:br w:type="page" w:clear="all"/>
      </w:r>
    </w:p>
    <w:p w14:paraId="49B2F145">
      <w:pPr>
        <w:rPr>
          <w:rFonts w:ascii="宋体;SimSun" w:hAnsi="宋体;SimSun" w:eastAsia="宋体;SimSun" w:cs="宋体;SimSun"/>
          <w:color w:val="auto"/>
          <w:highlight w:val="none"/>
        </w:rPr>
      </w:pPr>
    </w:p>
    <w:p w14:paraId="470E3D6E">
      <w:pPr>
        <w:pStyle w:val="2"/>
        <w:keepNext w:val="0"/>
        <w:keepLines w:val="0"/>
        <w:spacing w:line="360" w:lineRule="auto"/>
        <w:ind w:firstLine="420"/>
        <w:jc w:val="center"/>
        <w:rPr>
          <w:rFonts w:ascii="宋体;SimSun" w:hAnsi="宋体;SimSun" w:eastAsia="宋体;SimSun" w:cs="宋体;SimSun"/>
          <w:b w:val="0"/>
          <w:color w:val="auto"/>
          <w:highlight w:val="none"/>
        </w:rPr>
      </w:pPr>
      <w:bookmarkStart w:id="4" w:name="__RefHeading___Toc162361614"/>
      <w:bookmarkEnd w:id="4"/>
      <w:r>
        <w:rPr>
          <w:rFonts w:ascii="宋体;SimSun" w:hAnsi="宋体;SimSun" w:eastAsia="宋体;SimSun" w:cs="宋体;SimSun"/>
          <w:b w:val="0"/>
          <w:color w:val="auto"/>
          <w:highlight w:val="none"/>
        </w:rPr>
        <w:t>第五章 评标方法与评标标准</w:t>
      </w:r>
    </w:p>
    <w:p w14:paraId="2F0D9151">
      <w:pPr>
        <w:spacing w:line="500" w:lineRule="exact"/>
        <w:ind w:firstLine="482"/>
        <w:jc w:val="lef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一、评标方法</w:t>
      </w:r>
    </w:p>
    <w:p w14:paraId="6AAE8C52">
      <w:pPr>
        <w:spacing w:line="500" w:lineRule="exact"/>
        <w:ind w:firstLine="480"/>
        <w:jc w:val="left"/>
        <w:rPr>
          <w:color w:val="auto"/>
          <w:sz w:val="24"/>
          <w:szCs w:val="28"/>
          <w:highlight w:val="none"/>
        </w:rPr>
      </w:pPr>
      <w:r>
        <w:rPr>
          <w:color w:val="auto"/>
          <w:sz w:val="24"/>
          <w:szCs w:val="28"/>
          <w:highlight w:val="none"/>
        </w:rPr>
        <w:t>综合评分法：评标结果按评审后得分由高到低顺序排列。得分相同的，按投标报价由低到高顺序排列。得分且投标报价相同的，名次并列。投标文件满足招标文件全部实质性要求，且按照评审因素的量化指标评审得分最高的投标人为中标候选人。本项目选取3名中标候选人。</w:t>
      </w:r>
    </w:p>
    <w:p w14:paraId="107DA8BF">
      <w:pPr>
        <w:spacing w:line="500" w:lineRule="exact"/>
        <w:ind w:firstLine="482"/>
        <w:jc w:val="lef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二、评标标准</w:t>
      </w:r>
    </w:p>
    <w:p w14:paraId="1D381E34">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615CB098">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（2）本项目评分总分为100分，按四舍五入取至小数点后两位。</w:t>
      </w:r>
    </w:p>
    <w:p w14:paraId="1870A75F">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（3）总得分=价格分+商务分+技术分。</w:t>
      </w:r>
    </w:p>
    <w:p w14:paraId="114A830E">
      <w:pPr>
        <w:spacing w:line="500" w:lineRule="exact"/>
        <w:ind w:firstLine="480"/>
        <w:jc w:val="left"/>
        <w:rPr>
          <w:rFonts w:ascii="宋体;SimSun" w:hAnsi="宋体;SimSun" w:eastAsia="宋体;SimSun" w:cs="宋体;SimSun"/>
          <w:color w:val="auto"/>
          <w:sz w:val="24"/>
          <w:szCs w:val="24"/>
          <w:highlight w:val="none"/>
        </w:rPr>
      </w:pPr>
    </w:p>
    <w:p w14:paraId="40264587">
      <w:pPr>
        <w:spacing w:line="500" w:lineRule="exact"/>
        <w:jc w:val="center"/>
        <w:rPr>
          <w:rFonts w:ascii="宋体;SimSun" w:hAnsi="宋体;SimSun" w:eastAsia="宋体;SimSun" w:cs="宋体;SimSun"/>
          <w:color w:val="auto"/>
          <w:sz w:val="32"/>
          <w:szCs w:val="24"/>
          <w:highlight w:val="none"/>
        </w:rPr>
      </w:pPr>
      <w:r>
        <w:rPr>
          <w:rFonts w:ascii="宋体;SimSun" w:hAnsi="宋体;SimSun" w:eastAsia="宋体;SimSun" w:cs="宋体;SimSun"/>
          <w:color w:val="auto"/>
          <w:sz w:val="32"/>
          <w:szCs w:val="24"/>
          <w:highlight w:val="none"/>
        </w:rPr>
        <w:t>综合评分法</w:t>
      </w:r>
    </w:p>
    <w:p w14:paraId="67143996">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1.价格分（10分）</w:t>
      </w:r>
    </w:p>
    <w:p w14:paraId="1CD52BBD">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采用低价优先法计算，即满足招标文件要求且投标价格最低的投标报价为评标基准价，其价格分为满分。其他投标人的价格分统一按照下列公式计算：</w:t>
      </w:r>
    </w:p>
    <w:p w14:paraId="6573C002">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投标报价得分=（评标基准价/投标报价）×10分</w:t>
      </w:r>
    </w:p>
    <w:p w14:paraId="3A51BF3E">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2.商务技术分（90分）</w:t>
      </w:r>
    </w:p>
    <w:tbl>
      <w:tblPr>
        <w:tblStyle w:val="39"/>
        <w:tblW w:w="4949" w:type="pct"/>
        <w:jc w:val="center"/>
        <w:tblLayout w:type="fixed"/>
        <w:tblCellMar>
          <w:top w:w="0" w:type="dxa"/>
          <w:left w:w="108" w:type="dxa"/>
          <w:bottom w:w="0" w:type="dxa"/>
          <w:right w:w="108" w:type="dxa"/>
        </w:tblCellMar>
      </w:tblPr>
      <w:tblGrid>
        <w:gridCol w:w="1859"/>
        <w:gridCol w:w="7681"/>
      </w:tblGrid>
      <w:tr w14:paraId="0F19AD29">
        <w:tblPrEx>
          <w:tblCellMar>
            <w:top w:w="0" w:type="dxa"/>
            <w:left w:w="108" w:type="dxa"/>
            <w:bottom w:w="0" w:type="dxa"/>
            <w:right w:w="108" w:type="dxa"/>
          </w:tblCellMar>
        </w:tblPrEx>
        <w:trPr>
          <w:trHeight w:val="90"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6D226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评审因素</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1483FF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评审标准</w:t>
            </w:r>
          </w:p>
        </w:tc>
      </w:tr>
      <w:tr w14:paraId="42379764">
        <w:tblPrEx>
          <w:tblCellMar>
            <w:top w:w="0" w:type="dxa"/>
            <w:left w:w="108" w:type="dxa"/>
            <w:bottom w:w="0" w:type="dxa"/>
            <w:right w:w="108" w:type="dxa"/>
          </w:tblCellMar>
        </w:tblPrEx>
        <w:trPr>
          <w:trHeight w:val="621"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6AED453E">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总体理解方案（</w:t>
            </w:r>
            <w:r>
              <w:rPr>
                <w:rFonts w:hint="eastAsia" w:ascii="宋体;SimSun" w:hAnsi="宋体;SimSun" w:eastAsia="宋体;SimSun" w:cs="宋体;SimSun"/>
                <w:color w:val="auto"/>
                <w:szCs w:val="21"/>
                <w:highlight w:val="none"/>
                <w:lang w:val="en-US" w:eastAsia="zh-CN"/>
              </w:rPr>
              <w:t>6</w:t>
            </w:r>
            <w:r>
              <w:rPr>
                <w:rFonts w:ascii="宋体;SimSun" w:hAnsi="宋体;SimSun" w:eastAsia="宋体;SimSun" w:cs="宋体;SimSun"/>
                <w:color w:val="auto"/>
                <w:szCs w:val="21"/>
                <w:highlight w:val="none"/>
              </w:rPr>
              <w:t>分）</w:t>
            </w:r>
          </w:p>
          <w:p w14:paraId="58292A06">
            <w:pPr>
              <w:spacing w:line="360" w:lineRule="auto"/>
              <w:rPr>
                <w:rFonts w:ascii="宋体;SimSun" w:hAnsi="宋体;SimSun" w:eastAsia="宋体;SimSun" w:cs="宋体;SimSun"/>
                <w:bCs/>
                <w:color w:val="auto"/>
                <w:szCs w:val="21"/>
                <w:highlight w:val="none"/>
              </w:rPr>
            </w:pP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481C974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exact"/>
              <w:ind w:right="0" w:firstLine="210"/>
              <w:rPr>
                <w:rFonts w:ascii="宋体;SimSun" w:hAnsi="宋体;SimSun" w:eastAsia="宋体;SimSun" w:cs="Times New Roman"/>
                <w:i w:val="0"/>
                <w:iCs w:val="0"/>
                <w:caps w:val="0"/>
                <w:color w:val="auto"/>
                <w:spacing w:val="0"/>
                <w:sz w:val="21"/>
                <w:szCs w:val="21"/>
                <w:highlight w:val="none"/>
              </w:rPr>
            </w:pPr>
            <w:r>
              <w:rPr>
                <w:rFonts w:ascii="宋体;SimSun" w:hAnsi="宋体;SimSun" w:eastAsia="宋体;SimSun" w:cs="Times New Roman"/>
                <w:color w:val="auto"/>
                <w:szCs w:val="21"/>
                <w:highlight w:val="none"/>
              </w:rPr>
              <w:t>针对本项目总体理解方案的评分内容：</w:t>
            </w:r>
            <w:r>
              <w:rPr>
                <w:rFonts w:hint="default" w:ascii="宋体;SimSun" w:hAnsi="宋体;SimSun" w:eastAsia="宋体;SimSun" w:cs="Times New Roman"/>
                <w:i w:val="0"/>
                <w:iCs w:val="0"/>
                <w:caps w:val="0"/>
                <w:color w:val="auto"/>
                <w:spacing w:val="0"/>
                <w:sz w:val="21"/>
                <w:szCs w:val="21"/>
                <w:highlight w:val="none"/>
                <w:shd w:val="clear" w:fill="FFFFFF"/>
              </w:rPr>
              <w:t>方案内容包括但不限于①项目背景、②需求分析、③业务功能、业务流程和业务量分析、④系统功能和性能需求分析等内容。评分标准如下：</w:t>
            </w:r>
          </w:p>
          <w:p w14:paraId="3320B9AF">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完整提供①②③④四项及以上内容，且所有内容均与采购需求高度契合、逻辑严密、针对性极强，充分体现出对本项目业务场景与技术要求的深刻理解，具备极高可行性，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无任何内容缺陷</w:t>
            </w:r>
            <w:r>
              <w:rPr>
                <w:rFonts w:hint="default" w:ascii="宋体;SimSun" w:hAnsi="宋体;SimSun" w:eastAsia="宋体;SimSun" w:cs="Times New Roman"/>
                <w:i w:val="0"/>
                <w:iCs w:val="0"/>
                <w:caps w:val="0"/>
                <w:color w:val="auto"/>
                <w:spacing w:val="0"/>
                <w:sz w:val="21"/>
                <w:szCs w:val="21"/>
                <w:highlight w:val="none"/>
                <w:shd w:val="clear" w:fill="auto"/>
              </w:rPr>
              <w:t>，方案前瞻性与可落地性突出。</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6分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3110C611">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完整提供①②③④四项及以上内容，且所有内容均与采购需求高度契合、逻辑合理、针对性强、具备极高可行性，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无明显内容缺陷</w:t>
            </w:r>
            <w:r>
              <w:rPr>
                <w:rFonts w:hint="default" w:ascii="宋体;SimSun" w:hAnsi="宋体;SimSun" w:eastAsia="宋体;SimSun" w:cs="Times New Roman"/>
                <w:i w:val="0"/>
                <w:iCs w:val="0"/>
                <w:caps w:val="0"/>
                <w:color w:val="auto"/>
                <w:spacing w:val="0"/>
                <w:sz w:val="21"/>
                <w:szCs w:val="21"/>
                <w:highlight w:val="none"/>
                <w:shd w:val="clear" w:fill="auto"/>
              </w:rPr>
              <w:t>。</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5分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026A5CE8">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完整提供①②③④四项内容，所有内容与采购需求紧密相关，整体合理可行，仅存在</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少量轻微内容缺陷</w:t>
            </w:r>
            <w:r>
              <w:rPr>
                <w:rFonts w:hint="default" w:ascii="宋体;SimSun" w:hAnsi="宋体;SimSun" w:eastAsia="宋体;SimSun" w:cs="Times New Roman"/>
                <w:i w:val="0"/>
                <w:iCs w:val="0"/>
                <w:caps w:val="0"/>
                <w:color w:val="auto"/>
                <w:spacing w:val="0"/>
                <w:sz w:val="21"/>
                <w:szCs w:val="21"/>
                <w:highlight w:val="none"/>
                <w:shd w:val="clear" w:fill="auto"/>
              </w:rPr>
              <w:t>，不影响整体方案落地。</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4分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627FF965">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完整提供①②③④四项内容，但内容与采购需求关联性一般；</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提供①②③④中</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3项</w:t>
            </w:r>
            <w:r>
              <w:rPr>
                <w:rFonts w:hint="default" w:ascii="宋体;SimSun" w:hAnsi="宋体;SimSun" w:eastAsia="宋体;SimSun" w:cs="Times New Roman"/>
                <w:i w:val="0"/>
                <w:iCs w:val="0"/>
                <w:caps w:val="0"/>
                <w:color w:val="auto"/>
                <w:spacing w:val="0"/>
                <w:sz w:val="21"/>
                <w:szCs w:val="21"/>
                <w:highlight w:val="none"/>
                <w:shd w:val="clear" w:fill="auto"/>
              </w:rPr>
              <w:t>内容，内容基本合理，存在少量缺陷，对方案可行性影响较小。</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3分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522D8E13">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提供①②③④中</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1</w:t>
            </w:r>
            <w:r>
              <w:rPr>
                <w:rFonts w:ascii="宋体;SimSun" w:hAnsi="宋体;SimSun" w:eastAsia="宋体;SimSun" w:cs="Times New Roman"/>
                <w:color w:val="auto"/>
                <w:szCs w:val="21"/>
                <w:highlight w:val="none"/>
              </w:rPr>
              <w:t>-</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2项</w:t>
            </w:r>
            <w:r>
              <w:rPr>
                <w:rFonts w:hint="default" w:ascii="宋体;SimSun" w:hAnsi="宋体;SimSun" w:eastAsia="宋体;SimSun" w:cs="Times New Roman"/>
                <w:i w:val="0"/>
                <w:iCs w:val="0"/>
                <w:caps w:val="0"/>
                <w:color w:val="auto"/>
                <w:spacing w:val="0"/>
                <w:sz w:val="21"/>
                <w:szCs w:val="21"/>
                <w:highlight w:val="none"/>
                <w:shd w:val="clear" w:fill="auto"/>
              </w:rPr>
              <w:t>内容，或内容与采购需求关联性较弱，存在</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较多内容缺陷</w:t>
            </w:r>
            <w:r>
              <w:rPr>
                <w:rFonts w:hint="default" w:ascii="宋体;SimSun" w:hAnsi="宋体;SimSun" w:eastAsia="宋体;SimSun" w:cs="Times New Roman"/>
                <w:i w:val="0"/>
                <w:iCs w:val="0"/>
                <w:caps w:val="0"/>
                <w:color w:val="auto"/>
                <w:spacing w:val="0"/>
                <w:sz w:val="21"/>
                <w:szCs w:val="21"/>
                <w:highlight w:val="none"/>
                <w:shd w:val="clear" w:fill="auto"/>
              </w:rPr>
              <w:t>，明显影响方案可行性。</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2分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73D195CA">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仅提供零星内容，与采购需求匹配度低，存在</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严重缺陷</w:t>
            </w:r>
            <w:r>
              <w:rPr>
                <w:rFonts w:hint="default" w:ascii="宋体;SimSun" w:hAnsi="宋体;SimSun" w:eastAsia="宋体;SimSun" w:cs="Times New Roman"/>
                <w:i w:val="0"/>
                <w:iCs w:val="0"/>
                <w:caps w:val="0"/>
                <w:color w:val="auto"/>
                <w:spacing w:val="0"/>
                <w:sz w:val="21"/>
                <w:szCs w:val="21"/>
                <w:highlight w:val="none"/>
                <w:shd w:val="clear" w:fill="auto"/>
              </w:rPr>
              <w:t>，可行性差。</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1分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65DD4D38">
            <w:pPr>
              <w:widowControl/>
              <w:numPr>
                <w:ilvl w:val="0"/>
                <w:numId w:val="0"/>
              </w:numPr>
              <w:spacing w:line="360" w:lineRule="exact"/>
              <w:ind w:firstLine="210"/>
              <w:rPr>
                <w:rFonts w:hint="eastAsia" w:ascii="宋体;SimSun" w:hAnsi="宋体;SimSun" w:eastAsia="宋体;SimSun" w:cs="Times New Roman"/>
                <w:color w:val="auto"/>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未提供任何一项相关内容，或提供内容与本项目采购需求无关，完全不具备可行性。</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0分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tc>
      </w:tr>
      <w:tr w14:paraId="1FAEB7B8">
        <w:tblPrEx>
          <w:tblCellMar>
            <w:top w:w="0" w:type="dxa"/>
            <w:left w:w="108" w:type="dxa"/>
            <w:bottom w:w="0" w:type="dxa"/>
            <w:right w:w="108" w:type="dxa"/>
          </w:tblCellMar>
        </w:tblPrEx>
        <w:trPr>
          <w:trHeight w:val="416"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20F82A54">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数据中台方案（</w:t>
            </w:r>
            <w:r>
              <w:rPr>
                <w:rFonts w:hint="eastAsia" w:ascii="宋体;SimSun" w:hAnsi="宋体;SimSun" w:eastAsia="宋体;SimSun" w:cs="宋体;SimSun"/>
                <w:color w:val="auto"/>
                <w:szCs w:val="21"/>
                <w:highlight w:val="none"/>
                <w:lang w:val="en-US" w:eastAsia="zh-CN"/>
              </w:rPr>
              <w:t>6</w:t>
            </w:r>
            <w:r>
              <w:rPr>
                <w:rFonts w:ascii="宋体;SimSun" w:hAnsi="宋体;SimSun" w:eastAsia="宋体;SimSun" w:cs="宋体;SimSun"/>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20B7644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exact"/>
              <w:ind w:right="0" w:firstLine="210"/>
              <w:rPr>
                <w:rFonts w:ascii="宋体;SimSun" w:hAnsi="宋体;SimSun" w:eastAsia="宋体;SimSun" w:cs="Times New Roman"/>
                <w:i w:val="0"/>
                <w:iCs w:val="0"/>
                <w:caps w:val="0"/>
                <w:color w:val="auto"/>
                <w:spacing w:val="0"/>
                <w:sz w:val="21"/>
                <w:szCs w:val="21"/>
                <w:highlight w:val="none"/>
              </w:rPr>
            </w:pPr>
            <w:r>
              <w:rPr>
                <w:rFonts w:ascii="宋体;SimSun" w:hAnsi="宋体;SimSun" w:eastAsia="宋体;SimSun" w:cs="Times New Roman"/>
                <w:color w:val="auto"/>
                <w:szCs w:val="21"/>
                <w:highlight w:val="none"/>
              </w:rPr>
              <w:t>针对本项目的数据中台方案，</w:t>
            </w:r>
            <w:r>
              <w:rPr>
                <w:rFonts w:hint="default" w:ascii="宋体;SimSun" w:hAnsi="宋体;SimSun" w:eastAsia="宋体;SimSun" w:cs="Times New Roman"/>
                <w:i w:val="0"/>
                <w:iCs w:val="0"/>
                <w:caps w:val="0"/>
                <w:color w:val="auto"/>
                <w:spacing w:val="0"/>
                <w:sz w:val="21"/>
                <w:szCs w:val="21"/>
                <w:highlight w:val="none"/>
                <w:shd w:val="clear" w:fill="FFFFFF"/>
              </w:rPr>
              <w:t>方案内容包括但不限于①数据集成模块、②可视化抽取转化加载模块、③可视化图表模块、④数据开发模块、⑤数据治理模块、⑥数据资产模块、⑦数据集市模块、⑧数据服务模块、⑨数据安全模块等9项内容。评分标准如下：</w:t>
            </w:r>
          </w:p>
          <w:p w14:paraId="110C17F6">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完整提供全部9项模块内容，所有内容与本项目采购需求高度契合、逻辑严密、针对性极强，充分体现出对数据中台业务场景与技术架构的深刻理解，具备极高可行性、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无任何内容缺陷</w:t>
            </w:r>
            <w:r>
              <w:rPr>
                <w:rFonts w:hint="default" w:ascii="宋体;SimSun" w:hAnsi="宋体;SimSun" w:eastAsia="宋体;SimSun" w:cs="Times New Roman"/>
                <w:i w:val="0"/>
                <w:iCs w:val="0"/>
                <w:caps w:val="0"/>
                <w:color w:val="auto"/>
                <w:spacing w:val="0"/>
                <w:sz w:val="21"/>
                <w:szCs w:val="21"/>
                <w:highlight w:val="none"/>
                <w:shd w:val="clear" w:fill="auto"/>
              </w:rPr>
              <w:t>，方案前瞻性与可落地性突出，可直接落地执行。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6分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52E5CE6C">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完整提供全部9项模块内容，所有内容与本项目采购需求高度契合、逻辑严谨、针对性极强、具备极高可行性，无明显内容缺陷，可直接落地执行。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5分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5445A07C">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完整提供全部9项模块内容，所有内容与采购需求高度契合、逻辑合理、针对性强、具备极高可行性，仅存在极轻微表述类缺陷，完全不影响方案落地及执行。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4分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614C9251">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完整提供全部9项模块内容，所有内容与采购需求紧密相关、整体逻辑清晰、合理可行，仅存在少量轻微内容缺陷（如细节不够细致），不影响整体方案落地；</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完整提供8项模块内容，内容与采购需求相关、逻辑清晰、具备可行性，仅存在少量内容缺陷。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3分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5C340547">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完整提供全部9项模块内容，但内容与采购需求关联性较弱，存在较多内容缺陷，影响方案部分落地性；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仅提供5</w:t>
            </w:r>
            <w:r>
              <w:rPr>
                <w:rFonts w:ascii="宋体;SimSun" w:hAnsi="宋体;SimSun" w:eastAsia="宋体;SimSun" w:cs="Times New Roman"/>
                <w:color w:val="auto"/>
                <w:szCs w:val="21"/>
                <w:highlight w:val="none"/>
              </w:rPr>
              <w:t>-</w:t>
            </w:r>
            <w:r>
              <w:rPr>
                <w:rFonts w:hint="default" w:ascii="宋体;SimSun" w:hAnsi="宋体;SimSun" w:eastAsia="宋体;SimSun" w:cs="Times New Roman"/>
                <w:i w:val="0"/>
                <w:iCs w:val="0"/>
                <w:caps w:val="0"/>
                <w:color w:val="auto"/>
                <w:spacing w:val="0"/>
                <w:sz w:val="21"/>
                <w:szCs w:val="21"/>
                <w:highlight w:val="none"/>
                <w:shd w:val="clear" w:fill="auto"/>
              </w:rPr>
              <w:t>7项模块内容，内容与采购需求关联性一般，存在较多内容缺陷。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2分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5B177E54">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完整提供全部9项模块内容，但内容存在严重缺陷，与采购需求严重不符，基本不具备可行性；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仅提供1</w:t>
            </w:r>
            <w:r>
              <w:rPr>
                <w:rFonts w:ascii="宋体;SimSun" w:hAnsi="宋体;SimSun" w:eastAsia="宋体;SimSun" w:cs="Times New Roman"/>
                <w:color w:val="auto"/>
                <w:szCs w:val="21"/>
                <w:highlight w:val="none"/>
              </w:rPr>
              <w:t>-</w:t>
            </w:r>
            <w:r>
              <w:rPr>
                <w:rFonts w:hint="default" w:ascii="宋体;SimSun" w:hAnsi="宋体;SimSun" w:eastAsia="宋体;SimSun" w:cs="Times New Roman"/>
                <w:i w:val="0"/>
                <w:iCs w:val="0"/>
                <w:caps w:val="0"/>
                <w:color w:val="auto"/>
                <w:spacing w:val="0"/>
                <w:sz w:val="21"/>
                <w:szCs w:val="21"/>
                <w:highlight w:val="none"/>
                <w:shd w:val="clear" w:fill="auto"/>
              </w:rPr>
              <w:t>4项模块内容，与采购需求匹配度极低，存在严重缺陷，难以支撑基础数据中台搭建。</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1分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4E69C021">
            <w:pPr>
              <w:widowControl/>
              <w:numPr>
                <w:ilvl w:val="0"/>
                <w:numId w:val="0"/>
              </w:numPr>
              <w:spacing w:line="360" w:lineRule="exact"/>
              <w:ind w:firstLine="210"/>
              <w:rPr>
                <w:rFonts w:hint="eastAsia" w:ascii="宋体;SimSun" w:hAnsi="宋体;SimSun" w:eastAsia="宋体;SimSun" w:cs="Times New Roman"/>
                <w:color w:val="auto"/>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未提供任何一项相关内容，或提供的内容与本项目采购需求完全无关，或存在严重内容缺陷，方案完全无法满足项目基本要求，不具备可行性。</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0分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tc>
      </w:tr>
      <w:tr w14:paraId="3D20FE21">
        <w:tblPrEx>
          <w:tblCellMar>
            <w:top w:w="0" w:type="dxa"/>
            <w:left w:w="108" w:type="dxa"/>
            <w:bottom w:w="0" w:type="dxa"/>
            <w:right w:w="108" w:type="dxa"/>
          </w:tblCellMar>
        </w:tblPrEx>
        <w:trPr>
          <w:trHeight w:val="621"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0DDC90D7">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智慧平台方案（</w:t>
            </w:r>
            <w:r>
              <w:rPr>
                <w:rFonts w:hint="eastAsia" w:ascii="宋体;SimSun" w:hAnsi="宋体;SimSun" w:eastAsia="宋体;SimSun" w:cs="宋体;SimSun"/>
                <w:color w:val="auto"/>
                <w:szCs w:val="21"/>
                <w:highlight w:val="none"/>
                <w:lang w:val="en-US" w:eastAsia="zh-CN"/>
              </w:rPr>
              <w:t>9</w:t>
            </w:r>
            <w:r>
              <w:rPr>
                <w:rFonts w:ascii="宋体;SimSun" w:hAnsi="宋体;SimSun" w:eastAsia="宋体;SimSun" w:cs="宋体;SimSun"/>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51F93FBC">
            <w:pPr>
              <w:keepNext w:val="0"/>
              <w:keepLines w:val="0"/>
              <w:widowControl/>
              <w:numPr>
                <w:ilvl w:val="0"/>
                <w:numId w:val="0"/>
              </w:numPr>
              <w:suppressLineNumbers w:val="0"/>
              <w:pBdr>
                <w:top w:val="none" w:color="auto" w:sz="0" w:space="0"/>
                <w:left w:val="none" w:color="auto" w:sz="0" w:space="0"/>
                <w:right w:val="none" w:color="auto" w:sz="0" w:space="0"/>
              </w:pBdr>
              <w:shd w:val="clear" w:fill="FFFFFF"/>
              <w:spacing w:before="0" w:beforeAutospacing="0" w:after="0" w:afterAutospacing="0" w:line="360" w:lineRule="exact"/>
              <w:ind w:right="0" w:firstLine="210"/>
              <w:rPr>
                <w:rFonts w:ascii="宋体;SimSun" w:hAnsi="宋体;SimSun" w:eastAsia="宋体;SimSun" w:cs="Times New Roman"/>
                <w:i w:val="0"/>
                <w:iCs w:val="0"/>
                <w:caps w:val="0"/>
                <w:color w:val="auto"/>
                <w:spacing w:val="0"/>
                <w:sz w:val="21"/>
                <w:szCs w:val="21"/>
                <w:highlight w:val="none"/>
              </w:rPr>
            </w:pPr>
            <w:r>
              <w:rPr>
                <w:rFonts w:ascii="宋体;SimSun" w:hAnsi="宋体;SimSun" w:eastAsia="宋体;SimSun" w:cs="Times New Roman"/>
                <w:color w:val="auto"/>
                <w:szCs w:val="21"/>
                <w:highlight w:val="none"/>
              </w:rPr>
              <w:t>针对本项目的软件系统方案，</w:t>
            </w:r>
            <w:r>
              <w:rPr>
                <w:rFonts w:hint="default" w:ascii="宋体;SimSun" w:hAnsi="宋体;SimSun" w:eastAsia="宋体;SimSun" w:cs="Times New Roman"/>
                <w:i w:val="0"/>
                <w:iCs w:val="0"/>
                <w:caps w:val="0"/>
                <w:color w:val="auto"/>
                <w:spacing w:val="0"/>
                <w:sz w:val="21"/>
                <w:szCs w:val="21"/>
                <w:highlight w:val="none"/>
                <w:shd w:val="clear" w:fill="FFFFFF"/>
              </w:rPr>
              <w:t>方案内容包括但不限于①安全生产管理系统、②敏捷应急系统、③环保管理系统、④封闭园区系统、⑤能碳管理系统、⑥消防管理系统、⑦危化品停车场管理系统、⑧产业信息管理系统、⑨公共管廊管理系统、⑩智能视频分析等10项内容。评分标准如下：</w:t>
            </w:r>
          </w:p>
          <w:p w14:paraId="59D4BA6A">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十项及以上内容，所有内容与本项目采购需求高度契合、逻辑严密、针对性极强，充分体现出对软件系统业务场景与技术架构的深刻理解，具备极高可行性、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无任何内容缺陷</w:t>
            </w:r>
            <w:r>
              <w:rPr>
                <w:rFonts w:hint="default" w:ascii="宋体;SimSun" w:hAnsi="宋体;SimSun" w:eastAsia="宋体;SimSun" w:cs="Times New Roman"/>
                <w:i w:val="0"/>
                <w:iCs w:val="0"/>
                <w:caps w:val="0"/>
                <w:color w:val="auto"/>
                <w:spacing w:val="0"/>
                <w:sz w:val="21"/>
                <w:szCs w:val="21"/>
                <w:highlight w:val="none"/>
                <w:shd w:val="clear" w:fill="auto"/>
              </w:rPr>
              <w:t>，方案前瞻性与可落地性突出，可直接落地执行。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9分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520239EC">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十项及以上内容，所有内容与本项目采购需求高度契合、逻辑严谨、针对性极强、具备极高可行性，无明显内容缺陷，可直接落地执行。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8分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7F8F9966">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十项内容，所有内容与采购需求高度契合、逻辑合理、针对性强、具备极高可行性，仅存在极轻微表述类缺陷，完全不影响方案落地及执行。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7分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4258AC21">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十项内容，所有内容与采购需求紧密相关、整体逻辑清晰、合理可行，仅存在少量轻微内容缺陷（如细节不够细致），不影响整体方案落地。</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6分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017D5A84">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十项内容，所有内容与采购需求相关、整体逻辑通顺、具备基本可行性，存在少量内容缺陷，但不影响方案核心功能落地。</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5分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0B8CA9DE">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中8</w:t>
            </w:r>
            <w:r>
              <w:rPr>
                <w:rFonts w:hint="eastAsia" w:ascii="宋体;SimSun" w:hAnsi="宋体;SimSun" w:eastAsia="宋体;SimSun" w:cs="Times New Roman"/>
                <w:i w:val="0"/>
                <w:iCs w:val="0"/>
                <w:caps w:val="0"/>
                <w:color w:val="auto"/>
                <w:spacing w:val="0"/>
                <w:sz w:val="21"/>
                <w:szCs w:val="21"/>
                <w:highlight w:val="none"/>
                <w:shd w:val="clear"/>
                <w:lang w:eastAsia="zh-CN"/>
              </w:rPr>
              <w:t>-</w:t>
            </w:r>
            <w:r>
              <w:rPr>
                <w:rFonts w:hint="default" w:ascii="宋体;SimSun" w:hAnsi="宋体;SimSun" w:eastAsia="宋体;SimSun" w:cs="Times New Roman"/>
                <w:i w:val="0"/>
                <w:iCs w:val="0"/>
                <w:caps w:val="0"/>
                <w:color w:val="auto"/>
                <w:spacing w:val="0"/>
                <w:sz w:val="21"/>
                <w:szCs w:val="21"/>
                <w:highlight w:val="none"/>
                <w:shd w:val="clear" w:fill="auto"/>
              </w:rPr>
              <w:t>9项内容，内容与采购需求相关、逻辑清晰、具备可行性，仅存在少量内容缺陷。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4分</w:t>
            </w:r>
            <w:r>
              <w:rPr>
                <w:rStyle w:val="41"/>
                <w:rFonts w:hint="eastAsia" w:ascii="宋体;SimSun" w:hAnsi="宋体;SimSun" w:eastAsia="宋体;SimSun" w:cs="Times New Roman"/>
                <w:b w:val="0"/>
                <w:bCs w:val="0"/>
                <w:i w:val="0"/>
                <w:iCs w:val="0"/>
                <w:caps w:val="0"/>
                <w:color w:val="auto"/>
                <w:spacing w:val="0"/>
                <w:sz w:val="21"/>
                <w:szCs w:val="21"/>
                <w:highlight w:val="none"/>
                <w:shd w:val="clear" w:fill="FFFFFF"/>
                <w:lang w:eastAsia="zh-CN"/>
              </w:rPr>
              <w:t>。</w:t>
            </w:r>
          </w:p>
          <w:p w14:paraId="0BEF34BE">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中6</w:t>
            </w:r>
            <w:r>
              <w:rPr>
                <w:rFonts w:hint="eastAsia" w:ascii="宋体;SimSun" w:hAnsi="宋体;SimSun" w:eastAsia="宋体;SimSun" w:cs="Times New Roman"/>
                <w:i w:val="0"/>
                <w:iCs w:val="0"/>
                <w:caps w:val="0"/>
                <w:color w:val="auto"/>
                <w:spacing w:val="0"/>
                <w:sz w:val="21"/>
                <w:szCs w:val="21"/>
                <w:highlight w:val="none"/>
                <w:shd w:val="clear"/>
                <w:lang w:eastAsia="zh-CN"/>
              </w:rPr>
              <w:t>-</w:t>
            </w:r>
            <w:r>
              <w:rPr>
                <w:rFonts w:hint="default" w:ascii="宋体;SimSun" w:hAnsi="宋体;SimSun" w:eastAsia="宋体;SimSun" w:cs="Times New Roman"/>
                <w:i w:val="0"/>
                <w:iCs w:val="0"/>
                <w:caps w:val="0"/>
                <w:color w:val="auto"/>
                <w:spacing w:val="0"/>
                <w:sz w:val="21"/>
                <w:szCs w:val="21"/>
                <w:highlight w:val="none"/>
                <w:shd w:val="clear" w:fill="auto"/>
              </w:rPr>
              <w:t>7项内容，内容与采购需求相关、逻辑基本清晰，存在少量内容缺陷，不影响核心功能落地。</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3分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6F397572">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中4</w:t>
            </w:r>
            <w:r>
              <w:rPr>
                <w:rFonts w:hint="eastAsia" w:ascii="宋体;SimSun" w:hAnsi="宋体;SimSun" w:eastAsia="宋体;SimSun" w:cs="Times New Roman"/>
                <w:i w:val="0"/>
                <w:iCs w:val="0"/>
                <w:caps w:val="0"/>
                <w:color w:val="auto"/>
                <w:spacing w:val="0"/>
                <w:sz w:val="21"/>
                <w:szCs w:val="21"/>
                <w:highlight w:val="none"/>
                <w:shd w:val="clear"/>
                <w:lang w:eastAsia="zh-CN"/>
              </w:rPr>
              <w:t>-</w:t>
            </w:r>
            <w:r>
              <w:rPr>
                <w:rFonts w:hint="default" w:ascii="宋体;SimSun" w:hAnsi="宋体;SimSun" w:eastAsia="宋体;SimSun" w:cs="Times New Roman"/>
                <w:i w:val="0"/>
                <w:iCs w:val="0"/>
                <w:caps w:val="0"/>
                <w:color w:val="auto"/>
                <w:spacing w:val="0"/>
                <w:sz w:val="21"/>
                <w:szCs w:val="21"/>
                <w:highlight w:val="none"/>
                <w:shd w:val="clear" w:fill="auto"/>
              </w:rPr>
              <w:t>5项内容，内容与采购需求关联性一般，存在较多内容缺陷。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2分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0F36F239">
            <w:pPr>
              <w:keepNext w:val="0"/>
              <w:keepLines w:val="0"/>
              <w:widowControl/>
              <w:numPr>
                <w:ilvl w:val="0"/>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w:t>
            </w:r>
            <w:r>
              <w:rPr>
                <w:rFonts w:hint="eastAsia" w:ascii="宋体;SimSun" w:hAnsi="宋体;SimSun" w:eastAsia="宋体;SimSun" w:cs="Times New Roman"/>
                <w:i w:val="0"/>
                <w:iCs w:val="0"/>
                <w:caps w:val="0"/>
                <w:color w:val="auto"/>
                <w:spacing w:val="0"/>
                <w:sz w:val="21"/>
                <w:szCs w:val="21"/>
                <w:highlight w:val="none"/>
                <w:shd w:val="clear"/>
                <w:lang w:eastAsia="zh-CN"/>
              </w:rPr>
              <w:t>①-⑩</w:t>
            </w:r>
            <w:r>
              <w:rPr>
                <w:rFonts w:hint="default" w:ascii="宋体;SimSun" w:hAnsi="宋体;SimSun" w:eastAsia="宋体;SimSun" w:cs="Times New Roman"/>
                <w:i w:val="0"/>
                <w:iCs w:val="0"/>
                <w:caps w:val="0"/>
                <w:color w:val="auto"/>
                <w:spacing w:val="0"/>
                <w:sz w:val="21"/>
                <w:szCs w:val="21"/>
                <w:highlight w:val="none"/>
                <w:shd w:val="clear" w:fill="auto"/>
              </w:rPr>
              <w:t>中1</w:t>
            </w:r>
            <w:r>
              <w:rPr>
                <w:rFonts w:hint="eastAsia" w:ascii="宋体;SimSun" w:hAnsi="宋体;SimSun" w:eastAsia="宋体;SimSun" w:cs="Times New Roman"/>
                <w:i w:val="0"/>
                <w:iCs w:val="0"/>
                <w:caps w:val="0"/>
                <w:color w:val="auto"/>
                <w:spacing w:val="0"/>
                <w:sz w:val="21"/>
                <w:szCs w:val="21"/>
                <w:highlight w:val="none"/>
                <w:shd w:val="clear"/>
                <w:lang w:eastAsia="zh-CN"/>
              </w:rPr>
              <w:t>-</w:t>
            </w:r>
            <w:r>
              <w:rPr>
                <w:rFonts w:hint="default" w:ascii="宋体;SimSun" w:hAnsi="宋体;SimSun" w:eastAsia="宋体;SimSun" w:cs="Times New Roman"/>
                <w:i w:val="0"/>
                <w:iCs w:val="0"/>
                <w:caps w:val="0"/>
                <w:color w:val="auto"/>
                <w:spacing w:val="0"/>
                <w:sz w:val="21"/>
                <w:szCs w:val="21"/>
                <w:highlight w:val="none"/>
                <w:shd w:val="clear" w:fill="auto"/>
              </w:rPr>
              <w:t>3项内容，与采购需求匹配度极低，存在严重缺陷，难以支撑基础软件系统搭建。</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1分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4D3853C1">
            <w:pPr>
              <w:widowControl/>
              <w:numPr>
                <w:ilvl w:val="0"/>
                <w:numId w:val="0"/>
              </w:numPr>
              <w:pBdr>
                <w:bottom w:val="none" w:color="auto" w:sz="0" w:space="0"/>
              </w:pBdr>
              <w:spacing w:line="360" w:lineRule="exact"/>
              <w:ind w:firstLine="210"/>
              <w:rPr>
                <w:rFonts w:hint="eastAsia" w:ascii="宋体;SimSun" w:hAnsi="宋体;SimSun" w:eastAsia="宋体;SimSun" w:cs="Times New Roman"/>
                <w:color w:val="auto"/>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未提供任何一项相关内容，或提供的内容与本项目采购需求完全无关，或存在严重内容缺陷，方案完全无法满足项目基本要求，不具备可行性。</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0分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tc>
      </w:tr>
      <w:tr w14:paraId="58E32A8B">
        <w:tblPrEx>
          <w:tblCellMar>
            <w:top w:w="0" w:type="dxa"/>
            <w:left w:w="108" w:type="dxa"/>
            <w:bottom w:w="0" w:type="dxa"/>
            <w:right w:w="108" w:type="dxa"/>
          </w:tblCellMar>
        </w:tblPrEx>
        <w:trPr>
          <w:trHeight w:val="621"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3C710E47">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数字孪生平台方案（</w:t>
            </w:r>
            <w:r>
              <w:rPr>
                <w:rFonts w:hint="eastAsia" w:ascii="宋体;SimSun" w:hAnsi="宋体;SimSun" w:eastAsia="宋体;SimSun" w:cs="宋体;SimSun"/>
                <w:color w:val="auto"/>
                <w:szCs w:val="21"/>
                <w:highlight w:val="none"/>
                <w:lang w:val="en-US" w:eastAsia="zh-CN"/>
              </w:rPr>
              <w:t>6</w:t>
            </w:r>
            <w:r>
              <w:rPr>
                <w:rFonts w:ascii="宋体;SimSun" w:hAnsi="宋体;SimSun" w:eastAsia="宋体;SimSun" w:cs="宋体;SimSun"/>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7821368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exact"/>
              <w:ind w:right="0" w:firstLine="210"/>
              <w:rPr>
                <w:rFonts w:ascii="宋体;SimSun" w:hAnsi="宋体;SimSun" w:eastAsia="宋体;SimSun" w:cs="Times New Roman"/>
                <w:i w:val="0"/>
                <w:iCs w:val="0"/>
                <w:caps w:val="0"/>
                <w:color w:val="auto"/>
                <w:spacing w:val="0"/>
                <w:sz w:val="21"/>
                <w:szCs w:val="21"/>
                <w:highlight w:val="none"/>
              </w:rPr>
            </w:pPr>
            <w:r>
              <w:rPr>
                <w:rFonts w:ascii="宋体;SimSun" w:hAnsi="宋体;SimSun" w:eastAsia="宋体;SimSun" w:cs="Times New Roman"/>
                <w:color w:val="auto"/>
                <w:szCs w:val="21"/>
                <w:highlight w:val="none"/>
              </w:rPr>
              <w:t>针对本项目的数字孪生平台方案，</w:t>
            </w:r>
            <w:r>
              <w:rPr>
                <w:rFonts w:hint="default" w:ascii="宋体;SimSun" w:hAnsi="宋体;SimSun" w:eastAsia="宋体;SimSun" w:cs="Times New Roman"/>
                <w:i w:val="0"/>
                <w:iCs w:val="0"/>
                <w:caps w:val="0"/>
                <w:color w:val="auto"/>
                <w:spacing w:val="0"/>
                <w:sz w:val="21"/>
                <w:szCs w:val="21"/>
                <w:highlight w:val="none"/>
                <w:shd w:val="clear" w:fill="FFFFFF"/>
              </w:rPr>
              <w:t>方案内容包括但不限于①三维建模与优化功能、②数据采集与绑定功能、③数字孪生态势感知、④三维场景交互浏览、⑤数据看板等5项内容。评分标准如下：</w:t>
            </w:r>
          </w:p>
          <w:p w14:paraId="1E5A9853">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完整提供全部5项内容，所有内容与本项目采购需求高度契合、逻辑严密、针对性极强，充分体现出对数字孪生平台业务场景与技术架构的深刻理解，具备极高可行性、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无任何内容缺陷</w:t>
            </w:r>
            <w:r>
              <w:rPr>
                <w:rFonts w:hint="default" w:ascii="宋体;SimSun" w:hAnsi="宋体;SimSun" w:eastAsia="宋体;SimSun" w:cs="Times New Roman"/>
                <w:i w:val="0"/>
                <w:iCs w:val="0"/>
                <w:caps w:val="0"/>
                <w:color w:val="auto"/>
                <w:spacing w:val="0"/>
                <w:sz w:val="21"/>
                <w:szCs w:val="21"/>
                <w:highlight w:val="none"/>
                <w:shd w:val="clear" w:fill="auto"/>
              </w:rPr>
              <w:t>，方案前瞻性与可落地性突出，可直接落地执行。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6分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57DEFD2A">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完整提供全部5项内容，所有内容与本项目采购需求高度契合、逻辑严谨、针对性极强、具备极高可行性，无明显内容缺陷，可直接落地执行。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5分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400066F7">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完整提供全部5项内容，所有内容与采购需求高度契合、逻辑合理、针对性强、具备极高可行性，仅存在极轻微表述类缺陷，完全不影响方案落地及执行。</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4分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39DA2F2E">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完整提供全部5项内容，所有内容与采购需求紧密相关、整体逻辑清晰、合理可行，仅存在少量轻微内容缺陷（如细节不够细致），不影响整体方案落地；</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完整提供4项内容，内容与采购需求相关、逻辑清晰、具备可行性，仅存在少量内容缺陷。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3分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302DA140">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完整提供全部5项内容，但内容与采购需求关联性较弱，存在较多内容缺陷，影响方案部分落地性；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仅提供2</w:t>
            </w:r>
            <w:r>
              <w:rPr>
                <w:rFonts w:hint="eastAsia" w:ascii="宋体;SimSun" w:hAnsi="宋体;SimSun" w:eastAsia="宋体;SimSun" w:cs="Times New Roman"/>
                <w:i w:val="0"/>
                <w:iCs w:val="0"/>
                <w:caps w:val="0"/>
                <w:color w:val="auto"/>
                <w:spacing w:val="0"/>
                <w:sz w:val="21"/>
                <w:szCs w:val="21"/>
                <w:highlight w:val="none"/>
                <w:shd w:val="clear"/>
                <w:lang w:eastAsia="zh-CN"/>
              </w:rPr>
              <w:t>-</w:t>
            </w:r>
            <w:r>
              <w:rPr>
                <w:rFonts w:hint="default" w:ascii="宋体;SimSun" w:hAnsi="宋体;SimSun" w:eastAsia="宋体;SimSun" w:cs="Times New Roman"/>
                <w:i w:val="0"/>
                <w:iCs w:val="0"/>
                <w:caps w:val="0"/>
                <w:color w:val="auto"/>
                <w:spacing w:val="0"/>
                <w:sz w:val="21"/>
                <w:szCs w:val="21"/>
                <w:highlight w:val="none"/>
                <w:shd w:val="clear" w:fill="auto"/>
              </w:rPr>
              <w:t>3项内容，内容与采购需求关联性一般，存在较多内容缺陷。</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2分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74840244">
            <w:pPr>
              <w:keepNext w:val="0"/>
              <w:keepLines w:val="0"/>
              <w:widowControl/>
              <w:numPr>
                <w:ilvl w:val="-1"/>
                <w:numId w:val="0"/>
              </w:numPr>
              <w:suppressLineNumbers w:val="0"/>
              <w:pBdr>
                <w:bottom w:val="none" w:color="auto" w:sz="0" w:space="0"/>
              </w:pBdr>
              <w:spacing w:before="0" w:beforeAutospacing="0" w:after="0" w:afterAutospacing="0" w:line="360" w:lineRule="exact"/>
              <w:ind w:left="0" w:right="0" w:firstLine="210"/>
              <w:rPr>
                <w:rFonts w:hint="eastAsia" w:ascii="宋体;SimSun" w:hAnsi="宋体;SimSun" w:eastAsia="宋体;SimSun" w:cs="Times New Roman"/>
                <w:color w:val="auto"/>
                <w:sz w:val="21"/>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完整提供全部5项内容，但内容存在严重缺陷，与采购需求严重不符，基本不具备可行性；</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或</w:t>
            </w:r>
            <w:r>
              <w:rPr>
                <w:rFonts w:hint="default" w:ascii="宋体;SimSun" w:hAnsi="宋体;SimSun" w:eastAsia="宋体;SimSun" w:cs="Times New Roman"/>
                <w:i w:val="0"/>
                <w:iCs w:val="0"/>
                <w:caps w:val="0"/>
                <w:color w:val="auto"/>
                <w:spacing w:val="0"/>
                <w:sz w:val="21"/>
                <w:szCs w:val="21"/>
                <w:highlight w:val="none"/>
                <w:shd w:val="clear" w:fill="auto"/>
              </w:rPr>
              <w:t>仅提供1项内容，与采购需求匹配度极低，存在严重缺陷，难以支撑基础数字孪生平台搭建。</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1分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p w14:paraId="0C4C47BE">
            <w:pPr>
              <w:widowControl/>
              <w:numPr>
                <w:ilvl w:val="0"/>
                <w:numId w:val="0"/>
              </w:numPr>
              <w:spacing w:line="360" w:lineRule="exact"/>
              <w:ind w:firstLine="210"/>
              <w:rPr>
                <w:rFonts w:hint="eastAsia" w:ascii="宋体;SimSun" w:hAnsi="宋体;SimSun" w:eastAsia="宋体;SimSun" w:cs="Times New Roman"/>
                <w:color w:val="auto"/>
                <w:szCs w:val="21"/>
                <w:highlight w:val="none"/>
                <w:lang w:eastAsia="zh-CN"/>
              </w:rPr>
            </w:pPr>
            <w:r>
              <w:rPr>
                <w:rFonts w:hint="default" w:ascii="宋体;SimSun" w:hAnsi="宋体;SimSun" w:eastAsia="宋体;SimSun" w:cs="Times New Roman"/>
                <w:i w:val="0"/>
                <w:iCs w:val="0"/>
                <w:caps w:val="0"/>
                <w:color w:val="auto"/>
                <w:spacing w:val="0"/>
                <w:sz w:val="21"/>
                <w:szCs w:val="21"/>
                <w:highlight w:val="none"/>
                <w:shd w:val="clear" w:fill="auto"/>
              </w:rPr>
              <w:t>未提供任何一项相关内容，或提供的内容与本项目采购需求完全无关，或存在严重内容缺陷，方案完全无法满足项目基本要求，不具备可行性。</w:t>
            </w:r>
            <w:r>
              <w:rPr>
                <w:rFonts w:hint="eastAsia" w:ascii="宋体;SimSun" w:hAnsi="宋体;SimSun" w:eastAsia="宋体;SimSun" w:cs="Times New Roman"/>
                <w:i w:val="0"/>
                <w:iCs w:val="0"/>
                <w:caps w:val="0"/>
                <w:color w:val="auto"/>
                <w:spacing w:val="0"/>
                <w:sz w:val="21"/>
                <w:szCs w:val="21"/>
                <w:highlight w:val="none"/>
                <w:shd w:val="clear" w:fill="auto"/>
                <w:lang w:val="en-US" w:eastAsia="zh-CN"/>
              </w:rPr>
              <w:t>得</w:t>
            </w:r>
            <w:r>
              <w:rPr>
                <w:rStyle w:val="41"/>
                <w:rFonts w:hint="default" w:ascii="宋体;SimSun" w:hAnsi="宋体;SimSun" w:eastAsia="宋体;SimSun" w:cs="Times New Roman"/>
                <w:b w:val="0"/>
                <w:bCs w:val="0"/>
                <w:i w:val="0"/>
                <w:iCs w:val="0"/>
                <w:caps w:val="0"/>
                <w:color w:val="auto"/>
                <w:spacing w:val="0"/>
                <w:sz w:val="21"/>
                <w:szCs w:val="21"/>
                <w:highlight w:val="none"/>
                <w:shd w:val="clear" w:fill="FFFFFF"/>
              </w:rPr>
              <w:t>0分</w:t>
            </w:r>
            <w:r>
              <w:rPr>
                <w:rFonts w:hint="eastAsia" w:ascii="宋体;SimSun" w:hAnsi="宋体;SimSun" w:eastAsia="宋体;SimSun" w:cs="Times New Roman"/>
                <w:i w:val="0"/>
                <w:iCs w:val="0"/>
                <w:caps w:val="0"/>
                <w:color w:val="auto"/>
                <w:spacing w:val="0"/>
                <w:sz w:val="21"/>
                <w:szCs w:val="21"/>
                <w:highlight w:val="none"/>
                <w:shd w:val="clear" w:fill="auto"/>
                <w:lang w:eastAsia="zh-CN"/>
              </w:rPr>
              <w:t>。</w:t>
            </w:r>
          </w:p>
        </w:tc>
      </w:tr>
      <w:tr w14:paraId="19AEC4BF">
        <w:tblPrEx>
          <w:tblCellMar>
            <w:top w:w="0" w:type="dxa"/>
            <w:left w:w="108" w:type="dxa"/>
            <w:bottom w:w="0" w:type="dxa"/>
            <w:right w:w="108" w:type="dxa"/>
          </w:tblCellMar>
        </w:tblPrEx>
        <w:trPr>
          <w:trHeight w:val="621"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4367278A">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项目实施方案（5分）</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76426646">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针对本项目的实施方案，方案内容包括但不限于①团队管理、②实施计划、③风险管理、④质量控制、⑤后勤保障等内容。</w:t>
            </w:r>
          </w:p>
          <w:p w14:paraId="3AB9627F">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1.完整提供①-⑤五项及以上内容，所有内容均与本项目采购需求高度契合、逻辑严谨合理、针对性极强、具备极高可行性，无明显内容缺陷（缺陷指：方案与采购需求不符；方案内容不合理；针对性不强；可行性不强）。得5分</w:t>
            </w:r>
            <w:r>
              <w:rPr>
                <w:rFonts w:hint="eastAsia" w:ascii="宋体;SimSun" w:hAnsi="宋体;SimSun" w:eastAsia="宋体;SimSun" w:cs="Times New Roman"/>
                <w:color w:val="auto"/>
                <w:szCs w:val="21"/>
                <w:highlight w:val="none"/>
                <w:lang w:eastAsia="zh-CN"/>
              </w:rPr>
              <w:t>。</w:t>
            </w:r>
          </w:p>
          <w:p w14:paraId="2B8C4496">
            <w:pPr>
              <w:spacing w:line="360" w:lineRule="exact"/>
              <w:ind w:firstLine="210"/>
              <w:rPr>
                <w:rFonts w:hint="eastAsia" w:eastAsia="宋体;SimSun"/>
                <w:color w:val="auto"/>
                <w:highlight w:val="none"/>
                <w:lang w:eastAsia="zh-CN"/>
              </w:rPr>
            </w:pPr>
            <w:r>
              <w:rPr>
                <w:rFonts w:ascii="宋体;SimSun" w:hAnsi="宋体;SimSun" w:eastAsia="宋体;SimSun" w:cs="Times New Roman"/>
                <w:color w:val="auto"/>
                <w:szCs w:val="21"/>
                <w:highlight w:val="none"/>
              </w:rPr>
              <w:t>2.完整提供①-⑤五项内容，所有内容与采购需求紧密相关，整体逻辑清晰、合理可行，仅存在少量轻微内容缺陷，不影响整体方案落地实施。得4分</w:t>
            </w:r>
            <w:r>
              <w:rPr>
                <w:rFonts w:hint="eastAsia" w:ascii="宋体;SimSun" w:hAnsi="宋体;SimSun" w:eastAsia="宋体;SimSun" w:cs="Times New Roman"/>
                <w:color w:val="auto"/>
                <w:szCs w:val="21"/>
                <w:highlight w:val="none"/>
                <w:lang w:eastAsia="zh-CN"/>
              </w:rPr>
              <w:t>。</w:t>
            </w:r>
          </w:p>
          <w:p w14:paraId="4EBFC61B">
            <w:pPr>
              <w:spacing w:line="360" w:lineRule="exact"/>
              <w:ind w:firstLine="210"/>
              <w:rPr>
                <w:rFonts w:hint="eastAsia" w:eastAsia="宋体;SimSun"/>
                <w:color w:val="auto"/>
                <w:highlight w:val="none"/>
                <w:lang w:eastAsia="zh-CN"/>
              </w:rPr>
            </w:pPr>
            <w:r>
              <w:rPr>
                <w:rFonts w:ascii="宋体;SimSun" w:hAnsi="宋体;SimSun" w:eastAsia="宋体;SimSun" w:cs="Times New Roman"/>
                <w:color w:val="auto"/>
                <w:szCs w:val="21"/>
                <w:highlight w:val="none"/>
              </w:rPr>
              <w:t>3.完整提供①-⑤中四项内容，但内容与采购需求关联性一般；或提供①②③④⑤中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4 项内容，内容基本合理，存在少量缺陷，对方案可行性影响较小。得3分</w:t>
            </w:r>
            <w:r>
              <w:rPr>
                <w:rFonts w:hint="eastAsia" w:ascii="宋体;SimSun" w:hAnsi="宋体;SimSun" w:eastAsia="宋体;SimSun" w:cs="Times New Roman"/>
                <w:color w:val="auto"/>
                <w:szCs w:val="21"/>
                <w:highlight w:val="none"/>
                <w:lang w:eastAsia="zh-CN"/>
              </w:rPr>
              <w:t>。</w:t>
            </w:r>
          </w:p>
          <w:p w14:paraId="54DBAA78">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4.仅提供①-⑤中 1-2 项内容，或虽提供多项内容但与采购需求关联性一般、存在较多内容缺陷，部分内容显著影响方案整体可行性与落地性。得2分</w:t>
            </w:r>
            <w:r>
              <w:rPr>
                <w:rFonts w:hint="eastAsia" w:ascii="宋体;SimSun" w:hAnsi="宋体;SimSun" w:eastAsia="宋体;SimSun" w:cs="Times New Roman"/>
                <w:color w:val="auto"/>
                <w:szCs w:val="21"/>
                <w:highlight w:val="none"/>
                <w:lang w:eastAsia="zh-CN"/>
              </w:rPr>
              <w:t>。</w:t>
            </w:r>
          </w:p>
          <w:p w14:paraId="280DF2B3">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5.提供内容极少且不完整，与采购需求匹配度较低，存在明显内容缺陷，方案落地性差，难以支撑项目实施。得1分</w:t>
            </w:r>
            <w:r>
              <w:rPr>
                <w:rFonts w:hint="eastAsia" w:ascii="宋体;SimSun" w:hAnsi="宋体;SimSun" w:eastAsia="宋体;SimSun" w:cs="Times New Roman"/>
                <w:color w:val="auto"/>
                <w:szCs w:val="21"/>
                <w:highlight w:val="none"/>
                <w:lang w:eastAsia="zh-CN"/>
              </w:rPr>
              <w:t>。</w:t>
            </w:r>
          </w:p>
          <w:p w14:paraId="2DFE61B0">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6.未提供任何一项相关内容，或提供的内容与本项目采购需求完全无关，或存在严重内容缺陷，方案完全无法满足项目基本要求，不具备实施可行性。得0分</w:t>
            </w:r>
            <w:r>
              <w:rPr>
                <w:rFonts w:hint="eastAsia" w:ascii="宋体;SimSun" w:hAnsi="宋体;SimSun" w:eastAsia="宋体;SimSun" w:cs="Times New Roman"/>
                <w:color w:val="auto"/>
                <w:szCs w:val="21"/>
                <w:highlight w:val="none"/>
                <w:lang w:eastAsia="zh-CN"/>
              </w:rPr>
              <w:t>。</w:t>
            </w:r>
          </w:p>
        </w:tc>
      </w:tr>
      <w:tr w14:paraId="562A4959">
        <w:tblPrEx>
          <w:tblCellMar>
            <w:top w:w="0" w:type="dxa"/>
            <w:left w:w="108" w:type="dxa"/>
            <w:bottom w:w="0" w:type="dxa"/>
            <w:right w:w="108" w:type="dxa"/>
          </w:tblCellMar>
        </w:tblPrEx>
        <w:trPr>
          <w:trHeight w:val="621"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613C520A">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售后服务方案（5分）</w:t>
            </w:r>
          </w:p>
        </w:tc>
        <w:tc>
          <w:tcPr>
            <w:tcW w:w="7855" w:type="dxa"/>
            <w:tcBorders>
              <w:top w:val="single" w:color="000000" w:sz="4" w:space="0"/>
              <w:left w:val="single" w:color="000000" w:sz="4" w:space="0"/>
              <w:bottom w:val="single" w:color="000000" w:sz="4" w:space="0"/>
              <w:right w:val="single" w:color="000000" w:sz="4" w:space="0"/>
            </w:tcBorders>
            <w:noWrap w:val="0"/>
            <w:vAlign w:val="center"/>
          </w:tcPr>
          <w:p w14:paraId="4A6098CF">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针对本项目的售后服务方案，方案内容包括但不限于①服务承诺、②服务体系、③人员配备、④服务流程等内容。</w:t>
            </w:r>
          </w:p>
          <w:p w14:paraId="585D8475">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1.完整提供①-④四项及以上内容，所有内容与本项目采购需求高度契合、逻辑合理、针对性强、具备极高可行性，无明显内容缺陷。得5分</w:t>
            </w:r>
            <w:r>
              <w:rPr>
                <w:rFonts w:hint="eastAsia" w:ascii="宋体;SimSun" w:hAnsi="宋体;SimSun" w:eastAsia="宋体;SimSun" w:cs="Times New Roman"/>
                <w:color w:val="auto"/>
                <w:szCs w:val="21"/>
                <w:highlight w:val="none"/>
                <w:lang w:eastAsia="zh-CN"/>
              </w:rPr>
              <w:t>。</w:t>
            </w:r>
          </w:p>
          <w:p w14:paraId="6CD6698B">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2.完整提供①-④四项内容，所有内容与采购需求紧密相关，整体合理可行，仅存在少量轻微内容缺陷，不影响整体服务方案落地。得4分</w:t>
            </w:r>
            <w:r>
              <w:rPr>
                <w:rFonts w:hint="eastAsia" w:ascii="宋体;SimSun" w:hAnsi="宋体;SimSun" w:eastAsia="宋体;SimSun" w:cs="Times New Roman"/>
                <w:color w:val="auto"/>
                <w:szCs w:val="21"/>
                <w:highlight w:val="none"/>
                <w:lang w:eastAsia="zh-CN"/>
              </w:rPr>
              <w:t>。</w:t>
            </w:r>
          </w:p>
          <w:p w14:paraId="04A8CE3F">
            <w:pPr>
              <w:spacing w:line="360" w:lineRule="exact"/>
              <w:ind w:firstLine="210"/>
              <w:rPr>
                <w:rFonts w:hint="eastAsia" w:eastAsia="宋体;SimSun"/>
                <w:color w:val="auto"/>
                <w:highlight w:val="none"/>
                <w:lang w:eastAsia="zh-CN"/>
              </w:rPr>
            </w:pPr>
            <w:r>
              <w:rPr>
                <w:rFonts w:ascii="宋体;SimSun" w:hAnsi="宋体;SimSun" w:eastAsia="宋体;SimSun" w:cs="Times New Roman"/>
                <w:color w:val="auto"/>
                <w:szCs w:val="21"/>
                <w:highlight w:val="none"/>
              </w:rPr>
              <w:t>3.完整提供①②③④四项内容，但内容与采购需求关联性一般；或提供①②③④中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4项内容，内容基本合理，存在少量缺陷，对方案可行性影响较小。得3分</w:t>
            </w:r>
            <w:r>
              <w:rPr>
                <w:rFonts w:hint="eastAsia" w:ascii="宋体;SimSun" w:hAnsi="宋体;SimSun" w:eastAsia="宋体;SimSun" w:cs="Times New Roman"/>
                <w:color w:val="auto"/>
                <w:szCs w:val="21"/>
                <w:highlight w:val="none"/>
                <w:lang w:eastAsia="zh-CN"/>
              </w:rPr>
              <w:t>。</w:t>
            </w:r>
          </w:p>
          <w:p w14:paraId="76AECD9F">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4.提供①-④中1-2项内容，或内容与采购需求关联性一般、存在较多内容缺陷，部分影响服务方案可行性。得2分</w:t>
            </w:r>
            <w:r>
              <w:rPr>
                <w:rFonts w:hint="eastAsia" w:ascii="宋体;SimSun" w:hAnsi="宋体;SimSun" w:eastAsia="宋体;SimSun" w:cs="Times New Roman"/>
                <w:color w:val="auto"/>
                <w:szCs w:val="21"/>
                <w:highlight w:val="none"/>
                <w:lang w:eastAsia="zh-CN"/>
              </w:rPr>
              <w:t>。</w:t>
            </w:r>
          </w:p>
          <w:p w14:paraId="15221B52">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5.仅提供零星内容，与采购需求匹配度低，存在严重缺陷，可行性差，难以支撑基础售后服务。得1分</w:t>
            </w:r>
            <w:r>
              <w:rPr>
                <w:rFonts w:hint="eastAsia" w:ascii="宋体;SimSun" w:hAnsi="宋体;SimSun" w:eastAsia="宋体;SimSun" w:cs="Times New Roman"/>
                <w:color w:val="auto"/>
                <w:szCs w:val="21"/>
                <w:highlight w:val="none"/>
                <w:lang w:eastAsia="zh-CN"/>
              </w:rPr>
              <w:t>。</w:t>
            </w:r>
          </w:p>
          <w:p w14:paraId="4B8F919E">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6.未提供任何相关内容，或内容与本项目采购需求无关，或存在严重内容缺陷，完全不具备可行性。得0分</w:t>
            </w:r>
            <w:r>
              <w:rPr>
                <w:rFonts w:hint="eastAsia" w:ascii="宋体;SimSun" w:hAnsi="宋体;SimSun" w:eastAsia="宋体;SimSun" w:cs="Times New Roman"/>
                <w:color w:val="auto"/>
                <w:szCs w:val="21"/>
                <w:highlight w:val="none"/>
                <w:lang w:eastAsia="zh-CN"/>
              </w:rPr>
              <w:t>。</w:t>
            </w:r>
          </w:p>
        </w:tc>
      </w:tr>
      <w:tr w14:paraId="052F846A">
        <w:tblPrEx>
          <w:tblCellMar>
            <w:top w:w="0" w:type="dxa"/>
            <w:left w:w="108" w:type="dxa"/>
            <w:bottom w:w="0" w:type="dxa"/>
            <w:right w:w="108" w:type="dxa"/>
          </w:tblCellMar>
        </w:tblPrEx>
        <w:trPr>
          <w:trHeight w:val="843"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04AFB9AF">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验收及培训方案（5分）</w:t>
            </w:r>
          </w:p>
        </w:tc>
        <w:tc>
          <w:tcPr>
            <w:tcW w:w="7855" w:type="dxa"/>
            <w:tcBorders>
              <w:top w:val="single" w:color="000000" w:sz="4" w:space="0"/>
              <w:left w:val="single" w:color="000000" w:sz="4" w:space="0"/>
              <w:bottom w:val="single" w:color="000000" w:sz="4" w:space="0"/>
              <w:right w:val="single" w:color="000000" w:sz="4" w:space="0"/>
            </w:tcBorders>
            <w:noWrap w:val="0"/>
          </w:tcPr>
          <w:p w14:paraId="4B9BB9BD">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针对本项目的验收及培训方案，方案内容包括但不限于①验收内容、②验收标准、③验收方式、④培训目标、⑤培训方式等内容。</w:t>
            </w:r>
          </w:p>
          <w:p w14:paraId="5B89EA97">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1.完整提供①-⑤五项及以上内容，所有内容与本项目采购需求高度契合、逻辑合理、针对性强、具备极高可行性，无明显内容缺陷。得5分</w:t>
            </w:r>
            <w:r>
              <w:rPr>
                <w:rFonts w:hint="eastAsia" w:ascii="宋体;SimSun" w:hAnsi="宋体;SimSun" w:eastAsia="宋体;SimSun" w:cs="Times New Roman"/>
                <w:color w:val="auto"/>
                <w:szCs w:val="21"/>
                <w:highlight w:val="none"/>
                <w:lang w:eastAsia="zh-CN"/>
              </w:rPr>
              <w:t>。</w:t>
            </w:r>
          </w:p>
          <w:p w14:paraId="0D0B1B2B">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2.完整提供①-⑤五项内容，所有内容与采购需求紧密相关，整体合理可行，仅存在少量轻微内容缺陷，不影响整体方案落地。得4分</w:t>
            </w:r>
            <w:r>
              <w:rPr>
                <w:rFonts w:hint="eastAsia" w:ascii="宋体;SimSun" w:hAnsi="宋体;SimSun" w:eastAsia="宋体;SimSun" w:cs="Times New Roman"/>
                <w:color w:val="auto"/>
                <w:szCs w:val="21"/>
                <w:highlight w:val="none"/>
                <w:lang w:eastAsia="zh-CN"/>
              </w:rPr>
              <w:t>。</w:t>
            </w:r>
          </w:p>
          <w:p w14:paraId="375BAB5F">
            <w:pPr>
              <w:spacing w:line="360" w:lineRule="exact"/>
              <w:ind w:firstLine="210"/>
              <w:rPr>
                <w:rFonts w:hint="eastAsia" w:eastAsia="宋体;SimSun"/>
                <w:color w:val="auto"/>
                <w:highlight w:val="none"/>
                <w:lang w:eastAsia="zh-CN"/>
              </w:rPr>
            </w:pPr>
            <w:r>
              <w:rPr>
                <w:rFonts w:ascii="宋体;SimSun" w:hAnsi="宋体;SimSun" w:eastAsia="宋体;SimSun" w:cs="Times New Roman"/>
                <w:color w:val="auto"/>
                <w:szCs w:val="21"/>
                <w:highlight w:val="none"/>
              </w:rPr>
              <w:t>3.完整提供①-⑤中四项内容，但内容与采购需求关联性一般；或提供①②③④⑤中 1</w:t>
            </w:r>
            <w:r>
              <w:rPr>
                <w:rFonts w:ascii="Cambria Math" w:hAnsi="Cambria Math" w:eastAsia="宋体;SimSun" w:cs="Cambria Math"/>
                <w:color w:val="auto"/>
                <w:szCs w:val="21"/>
                <w:highlight w:val="none"/>
              </w:rPr>
              <w:noBreakHyphen/>
            </w:r>
            <w:r>
              <w:rPr>
                <w:rFonts w:ascii="宋体;SimSun" w:hAnsi="宋体;SimSun" w:eastAsia="宋体;SimSun" w:cs="Times New Roman"/>
                <w:color w:val="auto"/>
                <w:szCs w:val="21"/>
                <w:highlight w:val="none"/>
              </w:rPr>
              <w:t>4项内容，内容基本合理，存在少量缺陷，对方案可行性影响较小。得3分</w:t>
            </w:r>
            <w:r>
              <w:rPr>
                <w:rFonts w:hint="eastAsia" w:ascii="宋体;SimSun" w:hAnsi="宋体;SimSun" w:eastAsia="宋体;SimSun" w:cs="Times New Roman"/>
                <w:color w:val="auto"/>
                <w:szCs w:val="21"/>
                <w:highlight w:val="none"/>
                <w:lang w:eastAsia="zh-CN"/>
              </w:rPr>
              <w:t>。</w:t>
            </w:r>
          </w:p>
          <w:p w14:paraId="27944580">
            <w:pPr>
              <w:spacing w:line="360" w:lineRule="exact"/>
              <w:ind w:firstLine="210"/>
              <w:rPr>
                <w:rFonts w:hint="eastAsia" w:eastAsia="宋体;SimSun"/>
                <w:color w:val="auto"/>
                <w:highlight w:val="none"/>
                <w:lang w:eastAsia="zh-CN"/>
              </w:rPr>
            </w:pPr>
            <w:r>
              <w:rPr>
                <w:rFonts w:ascii="宋体;SimSun" w:hAnsi="宋体;SimSun" w:eastAsia="宋体;SimSun" w:cs="Times New Roman"/>
                <w:color w:val="auto"/>
                <w:szCs w:val="21"/>
                <w:highlight w:val="none"/>
              </w:rPr>
              <w:t>4.提供①-⑤中1-2项内容，或内容与采购需求关联性一般、存在较多内容缺陷，部分影响方案可行性。得2分</w:t>
            </w:r>
            <w:r>
              <w:rPr>
                <w:rFonts w:hint="eastAsia" w:ascii="宋体;SimSun" w:hAnsi="宋体;SimSun" w:eastAsia="宋体;SimSun" w:cs="Times New Roman"/>
                <w:color w:val="auto"/>
                <w:szCs w:val="21"/>
                <w:highlight w:val="none"/>
                <w:lang w:eastAsia="zh-CN"/>
              </w:rPr>
              <w:t>。</w:t>
            </w:r>
          </w:p>
          <w:p w14:paraId="7BD30B96">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5.仅提供零星内容，与采购需求匹配度低，存在严重缺陷，可行性差，难以支撑基础验收及培训工作。得1分</w:t>
            </w:r>
            <w:r>
              <w:rPr>
                <w:rFonts w:hint="eastAsia" w:ascii="宋体;SimSun" w:hAnsi="宋体;SimSun" w:eastAsia="宋体;SimSun" w:cs="Times New Roman"/>
                <w:color w:val="auto"/>
                <w:szCs w:val="21"/>
                <w:highlight w:val="none"/>
                <w:lang w:eastAsia="zh-CN"/>
              </w:rPr>
              <w:t>。</w:t>
            </w:r>
          </w:p>
          <w:p w14:paraId="5B9945F9">
            <w:pPr>
              <w:spacing w:line="360" w:lineRule="exact"/>
              <w:ind w:firstLine="210"/>
              <w:rPr>
                <w:rFonts w:hint="eastAsia" w:ascii="宋体;SimSun" w:hAnsi="宋体;SimSun" w:eastAsia="宋体;SimSun" w:cs="Times New Roman"/>
                <w:color w:val="auto"/>
                <w:szCs w:val="21"/>
                <w:highlight w:val="none"/>
                <w:lang w:eastAsia="zh-CN"/>
              </w:rPr>
            </w:pPr>
            <w:r>
              <w:rPr>
                <w:rFonts w:ascii="宋体;SimSun" w:hAnsi="宋体;SimSun" w:eastAsia="宋体;SimSun" w:cs="Times New Roman"/>
                <w:color w:val="auto"/>
                <w:szCs w:val="21"/>
                <w:highlight w:val="none"/>
              </w:rPr>
              <w:t>6.未提供任何相关内容，或内容与本项目采购需求无关，或存在严重内容缺陷，完全不具备可行性。得0分</w:t>
            </w:r>
            <w:r>
              <w:rPr>
                <w:rFonts w:hint="eastAsia" w:ascii="宋体;SimSun" w:hAnsi="宋体;SimSun" w:eastAsia="宋体;SimSun" w:cs="Times New Roman"/>
                <w:color w:val="auto"/>
                <w:szCs w:val="21"/>
                <w:highlight w:val="none"/>
                <w:lang w:eastAsia="zh-CN"/>
              </w:rPr>
              <w:t>。</w:t>
            </w:r>
          </w:p>
        </w:tc>
      </w:tr>
      <w:tr w14:paraId="720E1439">
        <w:tblPrEx>
          <w:tblCellMar>
            <w:top w:w="0" w:type="dxa"/>
            <w:left w:w="108" w:type="dxa"/>
            <w:bottom w:w="0" w:type="dxa"/>
            <w:right w:w="108" w:type="dxa"/>
          </w:tblCellMar>
        </w:tblPrEx>
        <w:trPr>
          <w:trHeight w:val="1240"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7E7282EE">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投标人业绩</w:t>
            </w:r>
          </w:p>
          <w:p w14:paraId="47D831D7">
            <w:pPr>
              <w:spacing w:line="400" w:lineRule="exact"/>
              <w:jc w:val="center"/>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top"/>
          </w:tcPr>
          <w:p w14:paraId="3CBA0B56">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自2021年1月1日至投标截止之日，投标人完成的类似项目业绩：</w:t>
            </w:r>
          </w:p>
          <w:p w14:paraId="74FBE879">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1、每提供一项类似园区信息化平台建设项目业绩的</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有一个</w:t>
            </w:r>
            <w:r>
              <w:rPr>
                <w:rFonts w:hint="eastAsia" w:ascii="宋体" w:hAnsi="宋体" w:eastAsia="宋体" w:cs="Times New Roman"/>
                <w:color w:val="auto"/>
                <w:szCs w:val="21"/>
                <w:highlight w:val="none"/>
              </w:rPr>
              <w:t>得1</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分；本项最高得</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分。</w:t>
            </w:r>
          </w:p>
          <w:p w14:paraId="74E15507">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2、类似业绩中包含安全生产、环境管理、应急指挥、能源管理相关建设内容</w:t>
            </w:r>
            <w:r>
              <w:rPr>
                <w:rFonts w:hint="eastAsia" w:ascii="宋体" w:hAnsi="宋体" w:eastAsia="宋体" w:cs="Times New Roman"/>
                <w:color w:val="auto"/>
                <w:szCs w:val="21"/>
                <w:highlight w:val="none"/>
                <w:lang w:eastAsia="zh-CN"/>
              </w:rPr>
              <w:t>的，</w:t>
            </w:r>
            <w:r>
              <w:rPr>
                <w:rFonts w:hint="eastAsia" w:ascii="宋体" w:hAnsi="宋体" w:eastAsia="宋体" w:cs="Times New Roman"/>
                <w:color w:val="auto"/>
                <w:szCs w:val="21"/>
                <w:highlight w:val="none"/>
              </w:rPr>
              <w:t>得</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分</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每</w:t>
            </w:r>
            <w:r>
              <w:rPr>
                <w:rFonts w:hint="eastAsia" w:ascii="宋体" w:hAnsi="宋体" w:eastAsia="宋体" w:cs="Times New Roman"/>
                <w:color w:val="auto"/>
                <w:szCs w:val="21"/>
                <w:highlight w:val="none"/>
                <w:lang w:val="en-US" w:eastAsia="zh-CN"/>
              </w:rPr>
              <w:t>缺</w:t>
            </w:r>
            <w:r>
              <w:rPr>
                <w:rFonts w:hint="eastAsia" w:ascii="宋体" w:hAnsi="宋体" w:eastAsia="宋体" w:cs="Times New Roman"/>
                <w:color w:val="auto"/>
                <w:szCs w:val="21"/>
                <w:highlight w:val="none"/>
              </w:rPr>
              <w:t>一项，</w:t>
            </w:r>
            <w:r>
              <w:rPr>
                <w:rFonts w:hint="eastAsia" w:ascii="宋体" w:hAnsi="宋体" w:eastAsia="宋体" w:cs="Times New Roman"/>
                <w:color w:val="auto"/>
                <w:szCs w:val="21"/>
                <w:highlight w:val="none"/>
                <w:lang w:val="en-US" w:eastAsia="zh-CN"/>
              </w:rPr>
              <w:t>扣1.5</w:t>
            </w:r>
            <w:r>
              <w:rPr>
                <w:rFonts w:hint="eastAsia" w:ascii="宋体" w:hAnsi="宋体" w:eastAsia="宋体" w:cs="Times New Roman"/>
                <w:color w:val="auto"/>
                <w:szCs w:val="21"/>
                <w:highlight w:val="none"/>
              </w:rPr>
              <w:t>分</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扣完为止</w:t>
            </w:r>
            <w:r>
              <w:rPr>
                <w:rFonts w:hint="eastAsia" w:ascii="宋体" w:hAnsi="宋体" w:eastAsia="宋体" w:cs="Times New Roman"/>
                <w:color w:val="auto"/>
                <w:szCs w:val="21"/>
                <w:highlight w:val="none"/>
              </w:rPr>
              <w:t>。</w:t>
            </w:r>
          </w:p>
          <w:p w14:paraId="0BF3C525">
            <w:pPr>
              <w:spacing w:line="360" w:lineRule="exact"/>
              <w:ind w:firstLine="21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评审备注：</w:t>
            </w:r>
          </w:p>
          <w:p w14:paraId="142328A5">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（1）业绩证明材料：须提供合同协议书，合同关键页清晰体现项目名称、实施内容、签订时间；评标委员会依据合同原文内容判定是否包含指定建设内容；无合同原文佐证不予加分；</w:t>
            </w:r>
          </w:p>
          <w:p w14:paraId="637B21E2">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（2）业绩时间以合同签订日期为准。</w:t>
            </w:r>
          </w:p>
          <w:p w14:paraId="1D6D8476">
            <w:pPr>
              <w:spacing w:line="360" w:lineRule="exact"/>
              <w:ind w:firstLine="210"/>
              <w:rPr>
                <w:rFonts w:ascii="宋体;SimSun" w:hAnsi="宋体;SimSun" w:eastAsia="宋体;SimSun"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）每项业绩需提供项目验收报告，否则不予计分。</w:t>
            </w:r>
          </w:p>
        </w:tc>
      </w:tr>
      <w:tr w14:paraId="7B757C52">
        <w:tblPrEx>
          <w:tblCellMar>
            <w:top w:w="0" w:type="dxa"/>
            <w:left w:w="108" w:type="dxa"/>
            <w:bottom w:w="0" w:type="dxa"/>
            <w:right w:w="108" w:type="dxa"/>
          </w:tblCellMar>
        </w:tblPrEx>
        <w:trPr>
          <w:trHeight w:val="1240"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267EBED3">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软件实力</w:t>
            </w:r>
          </w:p>
          <w:p w14:paraId="47C48988">
            <w:pPr>
              <w:spacing w:line="400" w:lineRule="exact"/>
              <w:jc w:val="center"/>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top"/>
          </w:tcPr>
          <w:p w14:paraId="61BF8A1E">
            <w:pPr>
              <w:spacing w:line="360" w:lineRule="exact"/>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投标人所投产品具有中华人民共和国国家版权局颁发的计算机软件著作权证书，含有类似字样：</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特殊作业管控”、</w:t>
            </w:r>
            <w:r>
              <w:rPr>
                <w:rFonts w:hint="eastAsia" w:ascii="宋体" w:hAnsi="宋体" w:eastAsia="宋体" w:cs="Times New Roman"/>
                <w:color w:val="auto"/>
                <w:szCs w:val="21"/>
                <w:highlight w:val="none"/>
              </w:rPr>
              <w:t>“易燃易爆有毒有害气体泄漏监测”、“</w:t>
            </w:r>
            <w:r>
              <w:rPr>
                <w:rFonts w:hint="eastAsia" w:ascii="宋体" w:hAnsi="宋体" w:cs="宋体"/>
                <w:color w:val="auto"/>
                <w:sz w:val="22"/>
                <w:highlight w:val="none"/>
                <w:lang w:bidi="ar"/>
              </w:rPr>
              <w:t>微服务</w:t>
            </w:r>
            <w:r>
              <w:rPr>
                <w:rFonts w:hint="eastAsia" w:ascii="宋体" w:hAnsi="宋体" w:eastAsia="宋体" w:cs="Times New Roman"/>
                <w:color w:val="auto"/>
                <w:szCs w:val="21"/>
                <w:highlight w:val="none"/>
              </w:rPr>
              <w:t>”、“三级防控体系”、“车辆路径规划”、“地下水监测”、“特征污染物管理”</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数字孪生”</w:t>
            </w:r>
            <w:r>
              <w:rPr>
                <w:rFonts w:hint="eastAsia" w:ascii="宋体" w:hAnsi="宋体" w:eastAsia="宋体" w:cs="Times New Roman"/>
                <w:color w:val="auto"/>
                <w:szCs w:val="21"/>
                <w:highlight w:val="none"/>
              </w:rPr>
              <w:t>。每具备一个得</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分，最高得</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分。</w:t>
            </w:r>
          </w:p>
          <w:p w14:paraId="2909552B">
            <w:pPr>
              <w:spacing w:line="360" w:lineRule="exact"/>
              <w:rPr>
                <w:rFonts w:ascii="宋体;SimSun" w:hAnsi="宋体;SimSun" w:eastAsia="宋体;SimSun" w:cs="Times New Roman"/>
                <w:b/>
                <w:bCs/>
                <w:color w:val="auto"/>
                <w:szCs w:val="21"/>
                <w:highlight w:val="none"/>
              </w:rPr>
            </w:pPr>
            <w:r>
              <w:rPr>
                <w:rFonts w:hint="eastAsia" w:ascii="宋体" w:hAnsi="宋体" w:eastAsia="宋体" w:cs="Times New Roman"/>
                <w:b/>
                <w:bCs/>
                <w:color w:val="auto"/>
                <w:szCs w:val="21"/>
                <w:highlight w:val="none"/>
              </w:rPr>
              <w:t>注：</w:t>
            </w:r>
            <w:r>
              <w:rPr>
                <w:rFonts w:ascii="宋体" w:hAnsi="宋体" w:eastAsia="宋体" w:cs="Times New Roman"/>
                <w:b/>
                <w:bCs/>
                <w:color w:val="auto"/>
                <w:szCs w:val="21"/>
                <w:highlight w:val="none"/>
              </w:rPr>
              <w:t>1</w:t>
            </w:r>
            <w:r>
              <w:rPr>
                <w:rFonts w:hint="eastAsia" w:ascii="宋体" w:hAnsi="宋体" w:eastAsia="宋体" w:cs="Times New Roman"/>
                <w:b/>
                <w:bCs/>
                <w:color w:val="auto"/>
                <w:szCs w:val="21"/>
                <w:highlight w:val="none"/>
              </w:rPr>
              <w:t>、须提供证书原件的扫描件并加盖投标单位公章，未提供的不得分；</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 xml:space="preserve">、如证书名称表述不一致但意思相近的，投标人可以提供证书的相关说明材料，由评委认定后给予计分； </w:t>
            </w:r>
          </w:p>
        </w:tc>
      </w:tr>
      <w:tr w14:paraId="12DE0CFB">
        <w:tblPrEx>
          <w:tblCellMar>
            <w:top w:w="0" w:type="dxa"/>
            <w:left w:w="108" w:type="dxa"/>
            <w:bottom w:w="0" w:type="dxa"/>
            <w:right w:w="108" w:type="dxa"/>
          </w:tblCellMar>
        </w:tblPrEx>
        <w:trPr>
          <w:trHeight w:val="3455"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09AB454E">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人员团队</w:t>
            </w:r>
          </w:p>
          <w:p w14:paraId="38D97577">
            <w:pPr>
              <w:spacing w:line="400" w:lineRule="exact"/>
              <w:jc w:val="center"/>
              <w:rPr>
                <w:rFonts w:ascii="宋体;SimSun" w:hAnsi="宋体;SimSun" w:eastAsia="宋体;SimSun" w:cs="宋体;SimSun"/>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w:t>
            </w:r>
          </w:p>
        </w:tc>
        <w:tc>
          <w:tcPr>
            <w:tcW w:w="7855" w:type="dxa"/>
            <w:tcBorders>
              <w:top w:val="single" w:color="000000" w:sz="4" w:space="0"/>
              <w:left w:val="single" w:color="000000" w:sz="4" w:space="0"/>
              <w:bottom w:val="single" w:color="000000" w:sz="4" w:space="0"/>
              <w:right w:val="single" w:color="000000" w:sz="4" w:space="0"/>
            </w:tcBorders>
            <w:noWrap w:val="0"/>
            <w:vAlign w:val="top"/>
          </w:tcPr>
          <w:p w14:paraId="4B60CC71">
            <w:pPr>
              <w:spacing w:line="360" w:lineRule="exact"/>
              <w:ind w:firstLine="21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1、投标人拟投入本项目的项目经理具有信息系统项目管理师证书的，得2分。未提供证书不得分。</w:t>
            </w:r>
          </w:p>
          <w:p w14:paraId="0E47646A">
            <w:pPr>
              <w:spacing w:line="360" w:lineRule="exact"/>
              <w:ind w:firstLine="21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2、投标人拟投入本项目的技术负责人具有系统架构设计师证书的，得2分。未提供证书不得分。</w:t>
            </w:r>
          </w:p>
          <w:p w14:paraId="1DCA39D5">
            <w:pPr>
              <w:spacing w:line="360" w:lineRule="exact"/>
              <w:ind w:firstLine="21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3、投标人拟投入本项目的项目团队（除项目负责人和技术负责人外）具有软件设计师证书、数据库系统工程师、网络规划设计师证书的，每提供1个证书得</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分，最高得</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分，未提供证书不得分，同一人证书不重复计算、同一类型证书不重复计算。</w:t>
            </w:r>
          </w:p>
          <w:p w14:paraId="6C6D9556">
            <w:pPr>
              <w:spacing w:line="360" w:lineRule="exact"/>
              <w:ind w:firstLine="210"/>
              <w:rPr>
                <w:rFonts w:ascii="宋体;SimSun" w:hAnsi="宋体;SimSun" w:eastAsia="宋体;SimSun" w:cs="Times New Roman"/>
                <w:color w:val="auto"/>
                <w:szCs w:val="21"/>
                <w:highlight w:val="none"/>
              </w:rPr>
            </w:pPr>
            <w:r>
              <w:rPr>
                <w:rFonts w:hint="eastAsia" w:ascii="宋体" w:hAnsi="宋体" w:eastAsia="宋体" w:cs="Times New Roman"/>
                <w:color w:val="auto"/>
                <w:szCs w:val="21"/>
                <w:highlight w:val="none"/>
              </w:rPr>
              <w:t>提供有效相关证书扫描件加盖投标人公章，并提供单位为其缴纳的近6个月内</w:t>
            </w:r>
            <w:r>
              <w:rPr>
                <w:rFonts w:hint="eastAsia" w:ascii="宋体" w:hAnsi="宋体" w:eastAsia="宋体" w:cs="Times New Roman"/>
                <w:color w:val="auto"/>
                <w:szCs w:val="21"/>
                <w:highlight w:val="none"/>
                <w:lang w:val="en-US" w:eastAsia="zh-CN"/>
              </w:rPr>
              <w:t>任意</w:t>
            </w:r>
            <w:r>
              <w:rPr>
                <w:rFonts w:hint="eastAsia" w:ascii="宋体" w:hAnsi="宋体" w:eastAsia="宋体" w:cs="Times New Roman"/>
                <w:color w:val="auto"/>
                <w:szCs w:val="21"/>
                <w:highlight w:val="none"/>
              </w:rPr>
              <w:t>1个月的社保缴纳证明材料，否则不得分。</w:t>
            </w:r>
          </w:p>
        </w:tc>
      </w:tr>
      <w:tr w14:paraId="20D875EA">
        <w:tblPrEx>
          <w:tblCellMar>
            <w:top w:w="0" w:type="dxa"/>
            <w:left w:w="108" w:type="dxa"/>
            <w:bottom w:w="0" w:type="dxa"/>
            <w:right w:w="108" w:type="dxa"/>
          </w:tblCellMar>
        </w:tblPrEx>
        <w:trPr>
          <w:trHeight w:val="1299" w:hRule="atLeast"/>
          <w:jc w:val="center"/>
        </w:trPr>
        <w:tc>
          <w:tcPr>
            <w:tcW w:w="1900" w:type="dxa"/>
            <w:tcBorders>
              <w:top w:val="single" w:color="000000" w:sz="4" w:space="0"/>
              <w:left w:val="single" w:color="000000" w:sz="4" w:space="0"/>
              <w:bottom w:val="single" w:color="000000" w:sz="4" w:space="0"/>
              <w:right w:val="single" w:color="000000" w:sz="4" w:space="0"/>
            </w:tcBorders>
            <w:noWrap w:val="0"/>
            <w:vAlign w:val="center"/>
          </w:tcPr>
          <w:p w14:paraId="6DEB1B18">
            <w:pPr>
              <w:spacing w:line="400" w:lineRule="exact"/>
              <w:jc w:val="center"/>
              <w:rPr>
                <w:rFonts w:ascii="宋体;SimSun" w:hAnsi="宋体;SimSun" w:eastAsia="宋体;SimSun" w:cs="宋体;SimSun"/>
                <w:color w:val="auto"/>
                <w:szCs w:val="21"/>
                <w:highlight w:val="none"/>
              </w:rPr>
            </w:pPr>
            <w:r>
              <w:rPr>
                <w:rFonts w:ascii="宋体;SimSun" w:hAnsi="宋体;SimSun" w:eastAsia="宋体;SimSun" w:cs="宋体;SimSun"/>
                <w:color w:val="auto"/>
                <w:szCs w:val="21"/>
                <w:highlight w:val="none"/>
              </w:rPr>
              <w:t>硬件设备技术参数响应（18分）</w:t>
            </w:r>
          </w:p>
        </w:tc>
        <w:tc>
          <w:tcPr>
            <w:tcW w:w="7855" w:type="dxa"/>
            <w:tcBorders>
              <w:top w:val="single" w:color="000000" w:sz="4" w:space="0"/>
              <w:left w:val="single" w:color="000000" w:sz="4" w:space="0"/>
              <w:bottom w:val="single" w:color="000000" w:sz="4" w:space="0"/>
              <w:right w:val="single" w:color="000000" w:sz="4" w:space="0"/>
            </w:tcBorders>
            <w:noWrap w:val="0"/>
          </w:tcPr>
          <w:p w14:paraId="1E9EF7E8">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投标人所投硬件产品技术参数全部满足以下技术参数指标的得18分；标有▲的参数每有一项满足得2分，本项最高得18分。</w:t>
            </w:r>
          </w:p>
          <w:p w14:paraId="09AE32A1">
            <w:pPr>
              <w:spacing w:line="360" w:lineRule="exact"/>
              <w:ind w:firstLine="210"/>
              <w:rPr>
                <w:rFonts w:hint="eastAsia" w:ascii="宋体;SimSun" w:hAnsi="宋体;SimSun" w:eastAsia="宋体;SimSun" w:cs="Times New Roman"/>
                <w:color w:val="auto"/>
                <w:szCs w:val="21"/>
                <w:highlight w:val="none"/>
                <w:lang w:val="en-US" w:eastAsia="zh-CN"/>
              </w:rPr>
            </w:pPr>
            <w:r>
              <w:rPr>
                <w:rFonts w:hint="eastAsia" w:ascii="宋体;SimSun" w:hAnsi="宋体;SimSun" w:eastAsia="宋体;SimSun" w:cs="Times New Roman"/>
                <w:color w:val="auto"/>
                <w:szCs w:val="21"/>
                <w:highlight w:val="none"/>
                <w:lang w:val="en-US" w:eastAsia="zh-CN"/>
              </w:rPr>
              <w:t>注：本项目要求提供第三方检测机构出具检测报告的技术参数，有国家标准、行业标准或者地方标准的，参照相关标准执行；无相关标准的，由投标人根据招标文件载明的技术参数要求自行提供符合性证明。</w:t>
            </w:r>
          </w:p>
          <w:p w14:paraId="4FC8C595">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1.指挥中心配套设备-指挥中心大屏设备-LED控制设备： </w:t>
            </w:r>
          </w:p>
          <w:p w14:paraId="032E8B03">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支持监控场景切换，</w:t>
            </w:r>
            <w:r>
              <w:rPr>
                <w:rFonts w:hint="eastAsia" w:ascii="宋体" w:hAnsi="宋体" w:eastAsia="宋体" w:cs="宋体"/>
                <w:lang w:eastAsia="zh-CN"/>
              </w:rPr>
              <w:t>可支持切换场景数≥4个</w:t>
            </w:r>
            <w:r>
              <w:rPr>
                <w:rFonts w:ascii="宋体;SimSun" w:hAnsi="宋体;SimSun" w:eastAsia="宋体;SimSun" w:cs="Times New Roman"/>
                <w:color w:val="auto"/>
                <w:szCs w:val="21"/>
                <w:highlight w:val="none"/>
              </w:rPr>
              <w:t>，场景切换时间≤2s。（提供第三方检测机构出具的具有CMA或CNAS标识的检测报告扫描件并加盖投标人公章）</w:t>
            </w:r>
          </w:p>
          <w:p w14:paraId="3E7E1AA0">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2.指挥中心配套设备-指挥中心音频会议扩声系统-全数字会议系统主机： </w:t>
            </w:r>
          </w:p>
          <w:p w14:paraId="295AB274">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采用128位AES Rijndael和</w:t>
            </w:r>
            <w:r>
              <w:rPr>
                <w:rFonts w:hint="eastAsia" w:ascii="宋体;SimSun" w:hAnsi="宋体;SimSun" w:eastAsia="宋体;SimSun" w:cs="Times New Roman"/>
                <w:color w:val="auto"/>
                <w:szCs w:val="21"/>
                <w:highlight w:val="none"/>
                <w:lang w:eastAsia="zh-CN"/>
              </w:rPr>
              <w:t>48</w:t>
            </w:r>
            <w:r>
              <w:rPr>
                <w:rFonts w:ascii="宋体;SimSun" w:hAnsi="宋体;SimSun" w:eastAsia="宋体;SimSun" w:cs="Times New Roman"/>
                <w:color w:val="auto"/>
                <w:szCs w:val="21"/>
                <w:highlight w:val="none"/>
              </w:rPr>
              <w:t>位PIN码加密保护，防止窃听和非授权访问，确保会议的私密性；（提供第三方检测机构出具的具有CMA或CNAS标识的检测报告扫描件并加盖投标人公章）</w:t>
            </w:r>
          </w:p>
          <w:p w14:paraId="64C90097">
            <w:pPr>
              <w:spacing w:line="360" w:lineRule="exact"/>
              <w:ind w:firstLine="210"/>
              <w:rPr>
                <w:color w:val="auto"/>
                <w:highlight w:val="none"/>
              </w:rPr>
            </w:pPr>
            <w:r>
              <w:rPr>
                <w:rFonts w:ascii="宋体;SimSun" w:hAnsi="宋体;SimSun" w:eastAsia="宋体;SimSun" w:cs="Times New Roman"/>
                <w:color w:val="auto"/>
                <w:szCs w:val="21"/>
                <w:highlight w:val="none"/>
              </w:rPr>
              <w:t xml:space="preserve">3.指挥中心配套设备-指挥中心视频监控及门禁控制系统-硬盘录像机： </w:t>
            </w:r>
          </w:p>
          <w:p w14:paraId="117A13DE">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支持摄像头属性调节页面直接展示视频效果，调节效果随参数调整实时展现。支持单独对算法模型文件进行升级（提供第三方检测机构出具的具有CMA或CNAS标识的检测报告扫描件并加盖投标人公章）</w:t>
            </w:r>
          </w:p>
          <w:p w14:paraId="5D03C09B">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4.指挥中心配套设备-融合通信系统-集群网关： </w:t>
            </w:r>
          </w:p>
          <w:p w14:paraId="5B2B6C58">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语音编码：支持ALAW、ULAW、G.729、G.723；最大功耗≤10W；热线号码可设定；支持信令端口设置；RTP端口范围可设定；RTP包长度可设定：PTTIN低电位有效值：≤0.7V，PTTOUT高电位输出：≧5V。（提供第三方检测机构出具的具有CMA或CNAS标识的检测报告扫描件并加盖投标人公章）</w:t>
            </w:r>
          </w:p>
          <w:p w14:paraId="0AD0FDED">
            <w:pPr>
              <w:spacing w:line="360" w:lineRule="exact"/>
              <w:ind w:firstLine="210"/>
              <w:rPr>
                <w:color w:val="auto"/>
                <w:highlight w:val="none"/>
              </w:rPr>
            </w:pPr>
            <w:r>
              <w:rPr>
                <w:rFonts w:ascii="宋体;SimSun" w:hAnsi="宋体;SimSun" w:eastAsia="宋体;SimSun" w:cs="Times New Roman"/>
                <w:color w:val="auto"/>
                <w:szCs w:val="21"/>
                <w:highlight w:val="none"/>
              </w:rPr>
              <w:t xml:space="preserve">5.环境监测预警系统-地下水监测-洗井采样单元： </w:t>
            </w:r>
          </w:p>
          <w:p w14:paraId="392F46F0">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采用低流量潜水采样泵洗井和取样，采样泵扬程不小于45 m，泵外径小于50mm。流速控制：功率、转速可调，20m以内压水扬程下的流速控制范围达到0.1-10L/min，实际流速调节分辨率高于5%RD，0.1L/min下流速波动≤±10%RD，兼顾VOCs等指标低速低扰动采样与大流量洗井抽水需求。（提供第三方检测机构出具的具有CMA或CNAS标识的检测报告并加盖投标人公章。）</w:t>
            </w:r>
          </w:p>
          <w:p w14:paraId="1512CD7C">
            <w:pPr>
              <w:spacing w:line="360" w:lineRule="exact"/>
              <w:ind w:firstLine="210"/>
              <w:rPr>
                <w:color w:val="auto"/>
                <w:highlight w:val="none"/>
              </w:rPr>
            </w:pPr>
            <w:r>
              <w:rPr>
                <w:rFonts w:ascii="宋体;SimSun" w:hAnsi="宋体;SimSun" w:eastAsia="宋体;SimSun" w:cs="Times New Roman"/>
                <w:color w:val="auto"/>
                <w:szCs w:val="21"/>
                <w:highlight w:val="none"/>
              </w:rPr>
              <w:t xml:space="preserve">6.环境监测预警系统-地表水监测站-氨氮分析仪、高锰酸盐指数分析仪、总磷分析仪、总氮分析仪需同时满足： </w:t>
            </w:r>
          </w:p>
          <w:p w14:paraId="46157FD2">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取样和定量系统具有光电计量功能，采用光电计量传感器与自带驱动的柱塞泵组合定量取样方式，定量/计量不受液体浊度、色度、悬浮物、粘度等影响，同时可以对取样状态进行判断，保证定量准确、有效；取样/计量核心动力泵与试剂/样品非接触，无泵管老化、衰减、堵塞等问题，无泵管消耗。（提供第三方检测（或计量）机构出具的检测（或评价分析）报告扫描件并加盖投标人公章）。</w:t>
            </w:r>
          </w:p>
          <w:p w14:paraId="166B7BA5">
            <w:pPr>
              <w:spacing w:line="360" w:lineRule="exact"/>
              <w:ind w:firstLine="210"/>
              <w:rPr>
                <w:color w:val="auto"/>
                <w:highlight w:val="none"/>
              </w:rPr>
            </w:pPr>
            <w:r>
              <w:rPr>
                <w:rFonts w:ascii="宋体;SimSun" w:hAnsi="宋体;SimSun" w:eastAsia="宋体;SimSun" w:cs="Times New Roman"/>
                <w:color w:val="auto"/>
                <w:szCs w:val="21"/>
                <w:highlight w:val="none"/>
              </w:rPr>
              <w:t>7.环境监测预警系统-上风向标准站</w:t>
            </w:r>
            <w:r>
              <w:rPr>
                <w:rFonts w:ascii="宋体;SimSun" w:hAnsi="宋体;SimSun" w:eastAsia="宋体;SimSun" w:cs="Times New Roman"/>
                <w:b/>
                <w:bCs/>
                <w:color w:val="auto"/>
                <w:szCs w:val="21"/>
                <w:highlight w:val="none"/>
              </w:rPr>
              <w:t>-</w:t>
            </w:r>
            <w:r>
              <w:rPr>
                <w:rFonts w:ascii="宋体;SimSun" w:hAnsi="宋体;SimSun" w:eastAsia="宋体;SimSun" w:cs="Times New Roman"/>
                <w:color w:val="auto"/>
                <w:szCs w:val="21"/>
                <w:highlight w:val="none"/>
              </w:rPr>
              <w:t xml:space="preserve">PM2.5分析仪： </w:t>
            </w:r>
          </w:p>
          <w:p w14:paraId="30E70962">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校准膜示值误差：校准膜示值误差：±0.5%；温度测量示值误差：±0.5℃；湿度测量示值误差：±2%RH；时钟误差：±1s；流量测试：平均流量偏差±0.3%，流量相对标准偏差≤0.2%，平均流量示值误差≤0.3%；有效数据率：≥99.9%；（提供第三方检测机构出具的具有CMA或CNAS标识的检测报告扫描件并加盖投标人公章）</w:t>
            </w:r>
          </w:p>
          <w:p w14:paraId="25D6D18F">
            <w:pPr>
              <w:spacing w:line="360" w:lineRule="exact"/>
              <w:ind w:firstLine="210"/>
              <w:rPr>
                <w:rFonts w:ascii="宋体;SimSun" w:hAnsi="宋体;SimSun" w:eastAsia="宋体;SimSun" w:cs="Times New Roman"/>
                <w:color w:val="auto"/>
                <w:szCs w:val="21"/>
                <w:highlight w:val="none"/>
              </w:rPr>
            </w:pPr>
            <w:r>
              <w:rPr>
                <w:rFonts w:ascii="宋体;SimSun" w:hAnsi="宋体;SimSun" w:eastAsia="宋体;SimSun" w:cs="Times New Roman"/>
                <w:color w:val="auto"/>
                <w:szCs w:val="21"/>
                <w:highlight w:val="none"/>
              </w:rPr>
              <w:t xml:space="preserve">8.网络及云服务-网闸： </w:t>
            </w:r>
          </w:p>
          <w:p w14:paraId="2E31F318">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产品应具备完善的安全审计功能，能够支持以下内容，审计数据生成、安全审计分析、用户身份关联、审计记录管理、限制审计记录访问、防止审计数据丢失等。（提供第三方检测机构出具的具有CMA或CNAS标识的检测报告扫描件并加盖投标人公章）</w:t>
            </w:r>
          </w:p>
          <w:p w14:paraId="3A0F08BC">
            <w:pPr>
              <w:spacing w:line="360" w:lineRule="exact"/>
              <w:ind w:firstLine="210"/>
              <w:rPr>
                <w:color w:val="auto"/>
                <w:highlight w:val="none"/>
              </w:rPr>
            </w:pPr>
            <w:r>
              <w:rPr>
                <w:rFonts w:ascii="宋体;SimSun" w:hAnsi="宋体;SimSun" w:eastAsia="宋体;SimSun" w:cs="宋体;SimSun"/>
                <w:color w:val="auto"/>
                <w:szCs w:val="21"/>
                <w:highlight w:val="none"/>
              </w:rPr>
              <w:t>▲</w:t>
            </w:r>
            <w:r>
              <w:rPr>
                <w:rFonts w:ascii="宋体;SimSun" w:hAnsi="宋体;SimSun" w:eastAsia="宋体;SimSun" w:cs="Times New Roman"/>
                <w:color w:val="auto"/>
                <w:szCs w:val="21"/>
                <w:highlight w:val="none"/>
              </w:rPr>
              <w:t>产品应具备完善的标识和鉴别功能，支持敏感标记、安全属性定义、属性初始化、属性修改、属性查询、鉴别数据初始化、鉴别时机、多鉴别机制、鉴别失败处理、抗重放、受保护的鉴别反馈、口令强度等。（提供第三方检测机构出具的具有CMA或CNAS标识的检测报告扫描件并加盖投标人公章）</w:t>
            </w:r>
          </w:p>
        </w:tc>
      </w:tr>
    </w:tbl>
    <w:p w14:paraId="68EF2EA6">
      <w:pPr>
        <w:ind w:firstLine="482"/>
        <w:rPr>
          <w:rFonts w:ascii="宋体;SimSun" w:hAnsi="宋体;SimSun" w:eastAsia="宋体;SimSun" w:cs="宋体;SimSun"/>
          <w:b/>
          <w:bCs/>
          <w:color w:val="auto"/>
          <w:sz w:val="24"/>
          <w:highlight w:val="none"/>
        </w:rPr>
      </w:pPr>
      <w:r>
        <w:rPr>
          <w:rFonts w:ascii="宋体;SimSun" w:hAnsi="宋体;SimSun" w:eastAsia="宋体;SimSun" w:cs="宋体;SimSun"/>
          <w:b/>
          <w:bCs/>
          <w:color w:val="auto"/>
          <w:sz w:val="24"/>
          <w:highlight w:val="none"/>
        </w:rPr>
        <w:t>五、中标标准：</w:t>
      </w:r>
    </w:p>
    <w:p w14:paraId="2E24F0EF">
      <w:pPr>
        <w:spacing w:line="360" w:lineRule="auto"/>
        <w:ind w:firstLine="480"/>
        <w:rPr>
          <w:color w:val="auto"/>
          <w:highlight w:val="none"/>
        </w:rPr>
        <w:sectPr>
          <w:headerReference r:id="rId9" w:type="default"/>
          <w:footerReference r:id="rId10" w:type="default"/>
          <w:pgSz w:w="11906" w:h="16838"/>
          <w:pgMar w:top="1134" w:right="1134" w:bottom="1134" w:left="1134" w:header="851" w:footer="992" w:gutter="0"/>
          <w:pgNumType w:start="1"/>
          <w:cols w:space="720" w:num="1"/>
          <w:docGrid w:linePitch="360" w:charSpace="0"/>
        </w:sectPr>
      </w:pPr>
      <w:r>
        <w:rPr>
          <w:color w:val="auto"/>
          <w:highlight w:val="none"/>
        </w:rPr>
        <w:t>评标结果按评审后得分由高到低顺序排列。得分相同的，按投标报价由低到高顺序排列。得分且投标报价相同的，名次并列。投标文件满足招标文件全部实质性要求，且按照评审因素的量化指标评审得分最高的投标人为排名第一的中标候选人。</w:t>
      </w:r>
    </w:p>
    <w:p w14:paraId="191C47FF">
      <w:pPr>
        <w:pStyle w:val="2"/>
        <w:spacing w:line="360" w:lineRule="auto"/>
        <w:jc w:val="center"/>
        <w:rPr>
          <w:rFonts w:ascii="宋体;SimSun" w:hAnsi="宋体;SimSun" w:eastAsia="宋体;SimSun" w:cs="宋体;SimSun"/>
          <w:b w:val="0"/>
          <w:color w:val="auto"/>
          <w:highlight w:val="none"/>
        </w:rPr>
      </w:pPr>
      <w:bookmarkStart w:id="5" w:name="__RefHeading___Toc162361615"/>
      <w:bookmarkEnd w:id="5"/>
      <w:r>
        <w:rPr>
          <w:rFonts w:ascii="宋体;SimSun" w:hAnsi="宋体;SimSun" w:eastAsia="宋体;SimSun" w:cs="宋体;SimSun"/>
          <w:b w:val="0"/>
          <w:color w:val="auto"/>
          <w:highlight w:val="none"/>
        </w:rPr>
        <w:t>第六章 投标文件格式</w:t>
      </w:r>
    </w:p>
    <w:p w14:paraId="35170F61">
      <w:pPr>
        <w:spacing w:line="500" w:lineRule="exact"/>
        <w:jc w:val="left"/>
        <w:rPr>
          <w:rFonts w:ascii="宋体;SimSun" w:hAnsi="宋体;SimSun" w:eastAsia="宋体;SimSun" w:cs="宋体;SimSun"/>
          <w:b/>
          <w:color w:val="auto"/>
          <w:sz w:val="24"/>
          <w:szCs w:val="24"/>
          <w:highlight w:val="none"/>
        </w:rPr>
      </w:pPr>
    </w:p>
    <w:p w14:paraId="568EAE9E">
      <w:pPr>
        <w:jc w:val="center"/>
        <w:rPr>
          <w:rFonts w:ascii="宋体;SimSun" w:hAnsi="宋体;SimSun" w:eastAsia="宋体;SimSun" w:cs="宋体;SimSun"/>
          <w:b/>
          <w:color w:val="auto"/>
          <w:sz w:val="52"/>
          <w:szCs w:val="52"/>
          <w:highlight w:val="none"/>
        </w:rPr>
      </w:pPr>
      <w:r>
        <w:rPr>
          <w:rFonts w:ascii="宋体;SimSun" w:hAnsi="宋体;SimSun" w:eastAsia="宋体;SimSun" w:cs="宋体;SimSun"/>
          <w:b/>
          <w:color w:val="auto"/>
          <w:sz w:val="52"/>
          <w:szCs w:val="52"/>
          <w:highlight w:val="none"/>
        </w:rPr>
        <w:t>连 云 港 市 政 府 采 购</w:t>
      </w:r>
    </w:p>
    <w:p w14:paraId="140DDE57">
      <w:pPr>
        <w:pStyle w:val="14"/>
        <w:rPr>
          <w:rFonts w:ascii="宋体;SimSun" w:hAnsi="宋体;SimSun" w:eastAsia="宋体;SimSun" w:cs="宋体;SimSun"/>
          <w:b w:val="0"/>
          <w:color w:val="auto"/>
          <w:sz w:val="52"/>
          <w:szCs w:val="52"/>
          <w:highlight w:val="none"/>
        </w:rPr>
      </w:pPr>
    </w:p>
    <w:p w14:paraId="24AB4ADF">
      <w:pPr>
        <w:rPr>
          <w:rFonts w:ascii="宋体;SimSun" w:hAnsi="宋体;SimSun" w:eastAsia="宋体;SimSun" w:cs="宋体;SimSun"/>
          <w:b/>
          <w:color w:val="auto"/>
          <w:sz w:val="52"/>
          <w:szCs w:val="52"/>
          <w:highlight w:val="none"/>
        </w:rPr>
      </w:pPr>
    </w:p>
    <w:p w14:paraId="6402EBEF">
      <w:pPr>
        <w:jc w:val="center"/>
        <w:rPr>
          <w:rFonts w:ascii="宋体;SimSun" w:hAnsi="宋体;SimSun" w:eastAsia="宋体;SimSun" w:cs="宋体;SimSun"/>
          <w:b/>
          <w:color w:val="auto"/>
          <w:sz w:val="72"/>
          <w:szCs w:val="21"/>
          <w:highlight w:val="none"/>
        </w:rPr>
      </w:pPr>
      <w:r>
        <w:rPr>
          <w:rFonts w:ascii="宋体;SimSun" w:hAnsi="宋体;SimSun" w:eastAsia="宋体;SimSun" w:cs="宋体;SimSun"/>
          <w:b/>
          <w:color w:val="auto"/>
          <w:sz w:val="72"/>
          <w:szCs w:val="21"/>
          <w:highlight w:val="none"/>
        </w:rPr>
        <w:t>投标文件</w:t>
      </w:r>
    </w:p>
    <w:p w14:paraId="5E33170B">
      <w:pPr>
        <w:ind w:firstLine="1084"/>
        <w:rPr>
          <w:rFonts w:ascii="宋体;SimSun" w:hAnsi="宋体;SimSun" w:eastAsia="宋体;SimSun" w:cs="宋体;SimSun"/>
          <w:b/>
          <w:color w:val="auto"/>
          <w:sz w:val="36"/>
          <w:szCs w:val="21"/>
          <w:highlight w:val="none"/>
        </w:rPr>
      </w:pPr>
    </w:p>
    <w:p w14:paraId="71DF127E">
      <w:pPr>
        <w:pStyle w:val="264"/>
        <w:rPr>
          <w:rFonts w:ascii="宋体;SimSun" w:hAnsi="宋体;SimSun" w:cs="宋体;SimSun"/>
          <w:b/>
          <w:color w:val="auto"/>
          <w:sz w:val="36"/>
          <w:szCs w:val="21"/>
          <w:highlight w:val="none"/>
        </w:rPr>
      </w:pPr>
    </w:p>
    <w:p w14:paraId="46FD2984">
      <w:pPr>
        <w:pStyle w:val="264"/>
        <w:rPr>
          <w:rFonts w:ascii="宋体;SimSun" w:hAnsi="宋体;SimSun" w:cs="宋体;SimSun"/>
          <w:b/>
          <w:color w:val="auto"/>
          <w:sz w:val="36"/>
          <w:szCs w:val="21"/>
          <w:highlight w:val="none"/>
        </w:rPr>
      </w:pPr>
    </w:p>
    <w:p w14:paraId="5C60B1B0">
      <w:pPr>
        <w:pStyle w:val="264"/>
        <w:rPr>
          <w:rFonts w:ascii="宋体;SimSun" w:hAnsi="宋体;SimSun" w:cs="宋体;SimSun"/>
          <w:color w:val="auto"/>
          <w:highlight w:val="none"/>
        </w:rPr>
      </w:pPr>
    </w:p>
    <w:p w14:paraId="634482AE">
      <w:pPr>
        <w:pStyle w:val="264"/>
        <w:rPr>
          <w:rFonts w:ascii="宋体;SimSun" w:hAnsi="宋体;SimSun" w:cs="宋体;SimSun"/>
          <w:color w:val="auto"/>
          <w:highlight w:val="none"/>
        </w:rPr>
      </w:pPr>
    </w:p>
    <w:p w14:paraId="460FF874">
      <w:pPr>
        <w:pStyle w:val="264"/>
        <w:rPr>
          <w:rFonts w:ascii="宋体;SimSun" w:hAnsi="宋体;SimSun" w:cs="宋体;SimSun"/>
          <w:color w:val="auto"/>
          <w:highlight w:val="none"/>
        </w:rPr>
      </w:pPr>
    </w:p>
    <w:p w14:paraId="4F890F50">
      <w:pPr>
        <w:pStyle w:val="264"/>
        <w:rPr>
          <w:rFonts w:ascii="宋体;SimSun" w:hAnsi="宋体;SimSun" w:cs="宋体;SimSun"/>
          <w:color w:val="auto"/>
          <w:highlight w:val="none"/>
        </w:rPr>
      </w:pPr>
    </w:p>
    <w:p w14:paraId="366AD047">
      <w:pPr>
        <w:ind w:firstLine="1084"/>
        <w:rPr>
          <w:rFonts w:ascii="宋体;SimSun" w:hAnsi="宋体;SimSun" w:eastAsia="宋体;SimSun" w:cs="宋体;SimSun"/>
          <w:b/>
          <w:color w:val="auto"/>
          <w:sz w:val="36"/>
          <w:szCs w:val="21"/>
          <w:highlight w:val="none"/>
        </w:rPr>
      </w:pPr>
    </w:p>
    <w:p w14:paraId="6EB0DB3D">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标 段 名 称：</w:t>
      </w:r>
    </w:p>
    <w:p w14:paraId="7715CE29">
      <w:pPr>
        <w:pStyle w:val="264"/>
        <w:rPr>
          <w:rFonts w:ascii="宋体;SimSun" w:hAnsi="宋体;SimSun" w:cs="宋体;SimSun"/>
          <w:b/>
          <w:color w:val="auto"/>
          <w:sz w:val="32"/>
          <w:szCs w:val="32"/>
          <w:highlight w:val="none"/>
        </w:rPr>
      </w:pPr>
    </w:p>
    <w:p w14:paraId="116ECEED">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标 段 编 号：</w:t>
      </w:r>
    </w:p>
    <w:p w14:paraId="4F915C98">
      <w:pPr>
        <w:pStyle w:val="264"/>
        <w:rPr>
          <w:rFonts w:ascii="宋体;SimSun" w:hAnsi="宋体;SimSun" w:cs="宋体;SimSun"/>
          <w:b/>
          <w:color w:val="auto"/>
          <w:sz w:val="32"/>
          <w:szCs w:val="32"/>
          <w:highlight w:val="none"/>
        </w:rPr>
      </w:pPr>
    </w:p>
    <w:p w14:paraId="0B639F6B">
      <w:pPr>
        <w:pStyle w:val="264"/>
        <w:rPr>
          <w:rFonts w:ascii="宋体;SimSun" w:hAnsi="宋体;SimSun" w:cs="宋体;SimSun"/>
          <w:b/>
          <w:color w:val="auto"/>
          <w:sz w:val="32"/>
          <w:szCs w:val="32"/>
          <w:highlight w:val="none"/>
        </w:rPr>
      </w:pPr>
    </w:p>
    <w:p w14:paraId="26683D14">
      <w:pPr>
        <w:pStyle w:val="264"/>
        <w:rPr>
          <w:rFonts w:ascii="宋体;SimSun" w:hAnsi="宋体;SimSun" w:cs="宋体;SimSun"/>
          <w:b/>
          <w:color w:val="auto"/>
          <w:sz w:val="32"/>
          <w:szCs w:val="32"/>
          <w:highlight w:val="none"/>
        </w:rPr>
      </w:pPr>
    </w:p>
    <w:p w14:paraId="075E0BB5">
      <w:pPr>
        <w:pStyle w:val="264"/>
        <w:rPr>
          <w:rFonts w:ascii="宋体;SimSun" w:hAnsi="宋体;SimSun" w:cs="宋体;SimSun"/>
          <w:b/>
          <w:color w:val="auto"/>
          <w:sz w:val="32"/>
          <w:szCs w:val="32"/>
          <w:highlight w:val="none"/>
        </w:rPr>
      </w:pPr>
    </w:p>
    <w:p w14:paraId="6147D239">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投标人名称：</w:t>
      </w:r>
    </w:p>
    <w:p w14:paraId="7B4C6A41">
      <w:pPr>
        <w:pStyle w:val="264"/>
        <w:rPr>
          <w:rFonts w:ascii="宋体;SimSun" w:hAnsi="宋体;SimSun" w:cs="宋体;SimSun"/>
          <w:b/>
          <w:color w:val="auto"/>
          <w:sz w:val="32"/>
          <w:szCs w:val="32"/>
          <w:highlight w:val="none"/>
        </w:rPr>
      </w:pPr>
    </w:p>
    <w:p w14:paraId="7A8C5889">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 xml:space="preserve">投标人地址： </w:t>
      </w:r>
    </w:p>
    <w:p w14:paraId="6AA8410A">
      <w:pPr>
        <w:pStyle w:val="264"/>
        <w:rPr>
          <w:rFonts w:ascii="宋体;SimSun" w:hAnsi="宋体;SimSun" w:cs="宋体;SimSun"/>
          <w:b/>
          <w:color w:val="auto"/>
          <w:sz w:val="32"/>
          <w:szCs w:val="32"/>
          <w:highlight w:val="none"/>
        </w:rPr>
      </w:pPr>
    </w:p>
    <w:p w14:paraId="4FAEC88E">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法定代表人：</w:t>
      </w:r>
    </w:p>
    <w:p w14:paraId="14435510">
      <w:pPr>
        <w:pStyle w:val="264"/>
        <w:rPr>
          <w:rFonts w:ascii="宋体;SimSun" w:hAnsi="宋体;SimSun" w:cs="宋体;SimSun"/>
          <w:b/>
          <w:color w:val="auto"/>
          <w:sz w:val="32"/>
          <w:szCs w:val="32"/>
          <w:highlight w:val="none"/>
        </w:rPr>
      </w:pPr>
    </w:p>
    <w:p w14:paraId="74563C44">
      <w:pPr>
        <w:ind w:firstLine="964"/>
        <w:rPr>
          <w:rFonts w:ascii="宋体;SimSun" w:hAnsi="宋体;SimSun" w:eastAsia="宋体;SimSun" w:cs="宋体;SimSun"/>
          <w:b/>
          <w:color w:val="auto"/>
          <w:sz w:val="32"/>
          <w:szCs w:val="32"/>
          <w:highlight w:val="none"/>
        </w:rPr>
      </w:pPr>
      <w:r>
        <w:rPr>
          <w:rFonts w:ascii="宋体;SimSun" w:hAnsi="宋体;SimSun" w:eastAsia="宋体;SimSun" w:cs="宋体;SimSun"/>
          <w:b/>
          <w:color w:val="auto"/>
          <w:sz w:val="32"/>
          <w:szCs w:val="32"/>
          <w:highlight w:val="none"/>
        </w:rPr>
        <w:t>日 期：</w:t>
      </w:r>
    </w:p>
    <w:p w14:paraId="1B469A7C">
      <w:pPr>
        <w:rPr>
          <w:rFonts w:ascii="宋体;SimSun" w:hAnsi="宋体;SimSun" w:eastAsia="宋体;SimSun" w:cs="宋体;SimSun"/>
          <w:b/>
          <w:color w:val="auto"/>
          <w:sz w:val="36"/>
          <w:szCs w:val="36"/>
          <w:highlight w:val="none"/>
        </w:rPr>
      </w:pPr>
    </w:p>
    <w:p w14:paraId="40E7E96B">
      <w:pPr>
        <w:keepNext/>
        <w:keepLines/>
        <w:spacing w:before="360" w:after="200" w:line="360" w:lineRule="auto"/>
        <w:jc w:val="left"/>
        <w:outlineLvl w:val="1"/>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t>一、法人或者其他组织的营业执照等证明文件，自然人的身份证明</w:t>
      </w:r>
    </w:p>
    <w:p w14:paraId="0E534C5B">
      <w:pPr>
        <w:rPr>
          <w:rFonts w:ascii="宋体;SimSun" w:hAnsi="宋体;SimSun" w:eastAsia="宋体;SimSun" w:cs="宋体;SimSun"/>
          <w:b/>
          <w:color w:val="auto"/>
          <w:sz w:val="36"/>
          <w:szCs w:val="36"/>
          <w:highlight w:val="none"/>
        </w:rPr>
      </w:pPr>
    </w:p>
    <w:p w14:paraId="79791E62">
      <w:pPr>
        <w:rPr>
          <w:rFonts w:ascii="宋体;SimSun" w:hAnsi="宋体;SimSun" w:eastAsia="宋体;SimSun" w:cs="宋体;SimSun"/>
          <w:b/>
          <w:color w:val="auto"/>
          <w:sz w:val="36"/>
          <w:szCs w:val="36"/>
          <w:highlight w:val="none"/>
        </w:rPr>
      </w:pPr>
    </w:p>
    <w:p w14:paraId="7B4435DC">
      <w:pPr>
        <w:rPr>
          <w:rFonts w:ascii="宋体;SimSun" w:hAnsi="宋体;SimSun" w:eastAsia="宋体;SimSun" w:cs="宋体;SimSun"/>
          <w:color w:val="auto"/>
          <w:highlight w:val="none"/>
        </w:rPr>
      </w:pPr>
    </w:p>
    <w:p w14:paraId="455434EE">
      <w:pPr>
        <w:rPr>
          <w:rFonts w:ascii="宋体;SimSun" w:hAnsi="宋体;SimSun" w:eastAsia="宋体;SimSun" w:cs="宋体;SimSun"/>
          <w:color w:val="auto"/>
          <w:highlight w:val="none"/>
        </w:rPr>
      </w:pPr>
    </w:p>
    <w:p w14:paraId="2326AECA">
      <w:pPr>
        <w:spacing w:line="500" w:lineRule="exact"/>
        <w:jc w:val="left"/>
        <w:rPr>
          <w:color w:val="auto"/>
          <w:highlight w:val="none"/>
        </w:rPr>
      </w:pPr>
      <w:r>
        <w:rPr>
          <w:rFonts w:ascii="宋体;SimSun" w:hAnsi="宋体;SimSun" w:eastAsia="宋体;SimSun" w:cs="宋体;SimSun"/>
          <w:b/>
          <w:color w:val="auto"/>
          <w:sz w:val="36"/>
          <w:highlight w:val="none"/>
        </w:rPr>
        <w:t>二、上一年度的财务状况报告</w:t>
      </w:r>
      <w:r>
        <w:rPr>
          <w:rFonts w:ascii="宋体;SimSun" w:hAnsi="宋体;SimSun" w:eastAsia="宋体;SimSun" w:cs="宋体;SimSun"/>
          <w:color w:val="auto"/>
          <w:sz w:val="24"/>
          <w:szCs w:val="24"/>
          <w:highlight w:val="none"/>
        </w:rPr>
        <w:t>（成立不满一年无需提供）</w:t>
      </w:r>
    </w:p>
    <w:p w14:paraId="3F180305">
      <w:pPr>
        <w:rPr>
          <w:rFonts w:ascii="宋体;SimSun" w:hAnsi="宋体;SimSun" w:eastAsia="宋体;SimSun" w:cs="宋体;SimSun"/>
          <w:color w:val="auto"/>
          <w:sz w:val="24"/>
          <w:szCs w:val="24"/>
          <w:highlight w:val="none"/>
        </w:rPr>
      </w:pPr>
    </w:p>
    <w:p w14:paraId="476031FB">
      <w:pPr>
        <w:spacing w:line="360" w:lineRule="auto"/>
        <w:ind w:firstLine="480"/>
        <w:rPr>
          <w:color w:val="auto"/>
          <w:highlight w:val="none"/>
        </w:rPr>
      </w:pPr>
      <w:r>
        <w:rPr>
          <w:rFonts w:ascii="宋体;SimSun" w:hAnsi="宋体;SimSun" w:eastAsia="宋体;SimSun" w:cs="宋体;SimSun"/>
          <w:color w:val="auto"/>
          <w:sz w:val="24"/>
          <w:szCs w:val="24"/>
          <w:highlight w:val="none"/>
        </w:rPr>
        <w:t>根据连财购〔2023〕4号文件精神，可以提供《财务状况报告及税收、社会保障资金缴纳情况承诺函》</w:t>
      </w:r>
    </w:p>
    <w:p w14:paraId="22954468">
      <w:pPr>
        <w:spacing w:line="360" w:lineRule="auto"/>
        <w:rPr>
          <w:rFonts w:ascii="宋体;SimSun" w:hAnsi="宋体;SimSun" w:eastAsia="宋体;SimSun" w:cs="宋体;SimSun"/>
          <w:color w:val="auto"/>
          <w:sz w:val="24"/>
          <w:szCs w:val="24"/>
          <w:highlight w:val="none"/>
        </w:rPr>
      </w:pPr>
    </w:p>
    <w:p w14:paraId="63E2B28C">
      <w:pPr>
        <w:rPr>
          <w:rFonts w:ascii="宋体;SimSun" w:hAnsi="宋体;SimSun" w:eastAsia="宋体;SimSun" w:cs="宋体;SimSun"/>
          <w:color w:val="auto"/>
          <w:sz w:val="24"/>
          <w:szCs w:val="24"/>
          <w:highlight w:val="none"/>
        </w:rPr>
      </w:pPr>
    </w:p>
    <w:p w14:paraId="20FC6951">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三、依法缴纳税收和社会保障资金的相关材料</w:t>
      </w:r>
    </w:p>
    <w:p w14:paraId="02254371">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p>
    <w:p w14:paraId="0B780E78">
      <w:pPr>
        <w:spacing w:line="500" w:lineRule="exact"/>
        <w:ind w:firstLine="480"/>
        <w:jc w:val="left"/>
        <w:rPr>
          <w:rFonts w:ascii="宋体;SimSun" w:hAnsi="宋体;SimSun" w:eastAsia="宋体;SimSun" w:cs="宋体;SimSun"/>
          <w:color w:val="auto"/>
          <w:sz w:val="24"/>
          <w:szCs w:val="24"/>
          <w:highlight w:val="none"/>
        </w:rPr>
      </w:pPr>
    </w:p>
    <w:p w14:paraId="1DD61AF3">
      <w:pPr>
        <w:rPr>
          <w:rFonts w:ascii="宋体;SimSun" w:hAnsi="宋体;SimSun" w:eastAsia="宋体;SimSun" w:cs="宋体;SimSun"/>
          <w:color w:val="auto"/>
          <w:sz w:val="24"/>
          <w:szCs w:val="24"/>
          <w:highlight w:val="none"/>
        </w:rPr>
      </w:pPr>
    </w:p>
    <w:p w14:paraId="2329E195">
      <w:pPr>
        <w:rPr>
          <w:rFonts w:ascii="宋体;SimSun" w:hAnsi="宋体;SimSun" w:eastAsia="宋体;SimSun" w:cs="宋体;SimSun"/>
          <w:b/>
          <w:color w:val="auto"/>
          <w:sz w:val="24"/>
          <w:szCs w:val="24"/>
          <w:highlight w:val="none"/>
        </w:rPr>
      </w:pPr>
      <w:r>
        <w:rPr>
          <w:color w:val="auto"/>
          <w:highlight w:val="none"/>
        </w:rPr>
        <w:br w:type="page" w:clear="all"/>
      </w:r>
    </w:p>
    <w:p w14:paraId="424EEFCD">
      <w:pPr>
        <w:rPr>
          <w:rFonts w:ascii="宋体;SimSun" w:hAnsi="宋体;SimSun" w:eastAsia="宋体;SimSun" w:cs="宋体;SimSun"/>
          <w:b/>
          <w:color w:val="auto"/>
          <w:sz w:val="24"/>
          <w:highlight w:val="none"/>
        </w:rPr>
      </w:pPr>
    </w:p>
    <w:p w14:paraId="5929C0E6">
      <w:pPr>
        <w:rPr>
          <w:rFonts w:ascii="宋体;SimSun" w:hAnsi="宋体;SimSun" w:eastAsia="宋体;SimSun" w:cs="宋体;SimSun"/>
          <w:b/>
          <w:color w:val="auto"/>
          <w:sz w:val="24"/>
          <w:highlight w:val="none"/>
        </w:rPr>
      </w:pPr>
      <w:r>
        <w:rPr>
          <w:rFonts w:ascii="宋体;SimSun" w:hAnsi="宋体;SimSun" w:eastAsia="宋体;SimSun" w:cs="宋体;SimSun"/>
          <w:b/>
          <w:color w:val="auto"/>
          <w:sz w:val="24"/>
          <w:highlight w:val="none"/>
        </w:rPr>
        <w:t>承诺函：</w:t>
      </w:r>
    </w:p>
    <w:p w14:paraId="518E7DB1">
      <w:pPr>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财务状况报告及税收、社会保障资金缴纳情况承诺函</w:t>
      </w:r>
    </w:p>
    <w:p w14:paraId="71523290">
      <w:pPr>
        <w:jc w:val="left"/>
        <w:rPr>
          <w:rFonts w:ascii="宋体;SimSun" w:hAnsi="宋体;SimSun" w:eastAsia="宋体;SimSun" w:cs="宋体;SimSun"/>
          <w:bCs/>
          <w:color w:val="auto"/>
          <w:sz w:val="36"/>
          <w:szCs w:val="24"/>
          <w:highlight w:val="none"/>
        </w:rPr>
      </w:pPr>
    </w:p>
    <w:p w14:paraId="2D5EC80C">
      <w:pPr>
        <w:spacing w:line="500" w:lineRule="exact"/>
        <w:jc w:val="left"/>
        <w:rPr>
          <w:color w:val="auto"/>
          <w:highlight w:val="none"/>
        </w:rPr>
      </w:pPr>
      <w:r>
        <w:rPr>
          <w:rFonts w:ascii="宋体;SimSun" w:hAnsi="宋体;SimSun" w:eastAsia="宋体;SimSun" w:cs="宋体;SimSun"/>
          <w:color w:val="auto"/>
          <w:sz w:val="24"/>
          <w:szCs w:val="24"/>
          <w:highlight w:val="none"/>
        </w:rPr>
        <w:t>致：</w:t>
      </w:r>
      <w:r>
        <w:rPr>
          <w:rFonts w:ascii="宋体;SimSun" w:hAnsi="宋体;SimSun" w:eastAsia="宋体;SimSun" w:cs="宋体;SimSun"/>
          <w:color w:val="auto"/>
          <w:sz w:val="24"/>
          <w:szCs w:val="24"/>
          <w:highlight w:val="none"/>
          <w:u w:val="single"/>
        </w:rPr>
        <w:t>采购人名称</w:t>
      </w:r>
    </w:p>
    <w:p w14:paraId="228BF160">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我方</w:t>
      </w:r>
      <w:r>
        <w:rPr>
          <w:rFonts w:ascii="宋体;SimSun" w:hAnsi="宋体;SimSun" w:eastAsia="宋体;SimSun" w:cs="宋体;SimSun"/>
          <w:color w:val="auto"/>
          <w:sz w:val="24"/>
          <w:szCs w:val="24"/>
          <w:highlight w:val="none"/>
          <w:u w:val="single"/>
        </w:rPr>
        <w:t>供应商名称</w:t>
      </w:r>
      <w:r>
        <w:rPr>
          <w:rFonts w:ascii="宋体;SimSun" w:hAnsi="宋体;SimSun" w:eastAsia="宋体;SimSun" w:cs="宋体;SimSun"/>
          <w:color w:val="auto"/>
          <w:sz w:val="24"/>
          <w:szCs w:val="24"/>
          <w:highlight w:val="none"/>
        </w:rPr>
        <w:t>参加</w:t>
      </w:r>
      <w:r>
        <w:rPr>
          <w:rFonts w:ascii="宋体;SimSun" w:hAnsi="宋体;SimSun" w:eastAsia="宋体;SimSun" w:cs="宋体;SimSun"/>
          <w:color w:val="auto"/>
          <w:sz w:val="24"/>
          <w:szCs w:val="24"/>
          <w:highlight w:val="none"/>
          <w:u w:val="single"/>
        </w:rPr>
        <w:t>项目名称</w:t>
      </w:r>
      <w:r>
        <w:rPr>
          <w:rFonts w:ascii="宋体;SimSun" w:hAnsi="宋体;SimSun" w:eastAsia="宋体;SimSun" w:cs="宋体;SimSun"/>
          <w:color w:val="auto"/>
          <w:sz w:val="24"/>
          <w:szCs w:val="24"/>
          <w:highlight w:val="none"/>
        </w:rPr>
        <w:t>（项目编号：</w:t>
      </w:r>
      <w:r>
        <w:rPr>
          <w:rFonts w:ascii="宋体;SimSun" w:hAnsi="宋体;SimSun" w:eastAsia="宋体;SimSun" w:cs="宋体;SimSun"/>
          <w:color w:val="auto"/>
          <w:sz w:val="24"/>
          <w:szCs w:val="24"/>
          <w:highlight w:val="none"/>
          <w:u w:val="single"/>
        </w:rPr>
        <w:t>项目编号</w:t>
      </w:r>
      <w:r>
        <w:rPr>
          <w:rFonts w:ascii="宋体;SimSun" w:hAnsi="宋体;SimSun" w:eastAsia="宋体;SimSun" w:cs="宋体;SimSu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248FB23">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（1）具有良好的商业信誉和健全的财务会计制度（财务状况报告）；</w:t>
      </w:r>
    </w:p>
    <w:p w14:paraId="7613D4B2">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（2）有依法缴纳税收和社会保障资金的良好记录。</w:t>
      </w:r>
    </w:p>
    <w:p w14:paraId="1C49E29D">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0934D7C">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特此承诺</w:t>
      </w:r>
    </w:p>
    <w:p w14:paraId="0C2F0ED9">
      <w:pPr>
        <w:spacing w:line="500" w:lineRule="exact"/>
        <w:ind w:firstLine="480"/>
        <w:jc w:val="left"/>
        <w:rPr>
          <w:rFonts w:ascii="宋体;SimSun" w:hAnsi="宋体;SimSun" w:eastAsia="宋体;SimSun" w:cs="宋体;SimSun"/>
          <w:color w:val="auto"/>
          <w:sz w:val="24"/>
          <w:szCs w:val="24"/>
          <w:highlight w:val="none"/>
        </w:rPr>
      </w:pPr>
    </w:p>
    <w:p w14:paraId="0878125F">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投标人（公章）：</w:t>
      </w:r>
    </w:p>
    <w:p w14:paraId="3D1F386A">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法定代表人（单位负责人）或委托代理人（签名或签章）：</w:t>
      </w:r>
    </w:p>
    <w:p w14:paraId="45CABE9E">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日期： 年 月 日</w:t>
      </w:r>
    </w:p>
    <w:p w14:paraId="7B10AF68">
      <w:pPr>
        <w:rPr>
          <w:rFonts w:ascii="宋体;SimSun" w:hAnsi="宋体;SimSun" w:eastAsia="宋体;SimSun" w:cs="宋体;SimSun"/>
          <w:color w:val="auto"/>
          <w:sz w:val="24"/>
          <w:szCs w:val="24"/>
          <w:highlight w:val="none"/>
        </w:rPr>
      </w:pPr>
    </w:p>
    <w:p w14:paraId="0049DF59">
      <w:pPr>
        <w:rPr>
          <w:rFonts w:ascii="宋体;SimSun" w:hAnsi="宋体;SimSun" w:eastAsia="宋体;SimSun" w:cs="宋体;SimSun"/>
          <w:color w:val="auto"/>
          <w:sz w:val="24"/>
          <w:szCs w:val="24"/>
          <w:highlight w:val="none"/>
        </w:rPr>
      </w:pPr>
    </w:p>
    <w:p w14:paraId="0538A576">
      <w:pPr>
        <w:rPr>
          <w:rFonts w:ascii="宋体;SimSun" w:hAnsi="宋体;SimSun" w:eastAsia="宋体;SimSun" w:cs="宋体;SimSun"/>
          <w:color w:val="auto"/>
          <w:highlight w:val="none"/>
        </w:rPr>
      </w:pPr>
      <w:r>
        <w:rPr>
          <w:color w:val="auto"/>
          <w:highlight w:val="none"/>
        </w:rPr>
        <w:br w:type="page" w:clear="all"/>
      </w:r>
    </w:p>
    <w:p w14:paraId="705579BD">
      <w:pPr>
        <w:rPr>
          <w:rFonts w:ascii="宋体;SimSun" w:hAnsi="宋体;SimSun" w:eastAsia="宋体;SimSun" w:cs="宋体;SimSun"/>
          <w:b/>
          <w:iCs/>
          <w:color w:val="auto"/>
          <w:sz w:val="36"/>
          <w:highlight w:val="none"/>
        </w:rPr>
      </w:pPr>
    </w:p>
    <w:p w14:paraId="003A26EC">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四、具备履行合同所必需的设备和专业技术能力的声明及证明材料</w:t>
      </w:r>
    </w:p>
    <w:p w14:paraId="32828507">
      <w:pPr>
        <w:spacing w:line="460" w:lineRule="exact"/>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具备履行合同所必需的设备和专业技术能力的声明及证明材料</w:t>
      </w:r>
    </w:p>
    <w:p w14:paraId="47715A95">
      <w:pPr>
        <w:spacing w:line="460" w:lineRule="exact"/>
        <w:jc w:val="center"/>
        <w:rPr>
          <w:rFonts w:ascii="宋体;SimSun" w:hAnsi="宋体;SimSun" w:eastAsia="宋体;SimSun" w:cs="宋体;SimSun"/>
          <w:bCs/>
          <w:color w:val="auto"/>
          <w:sz w:val="24"/>
          <w:szCs w:val="24"/>
          <w:highlight w:val="none"/>
        </w:rPr>
      </w:pPr>
    </w:p>
    <w:p w14:paraId="79A08501">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我单位郑重声明：我单位具备履行本项采购合同所必需的设备和专业技术能力，为履行本项采购合同我公司具备如下主要设备和主要专业技术能力：</w:t>
      </w:r>
    </w:p>
    <w:p w14:paraId="2AF3D642">
      <w:pPr>
        <w:spacing w:line="500" w:lineRule="exact"/>
        <w:ind w:firstLine="480"/>
        <w:jc w:val="left"/>
        <w:rPr>
          <w:rFonts w:ascii="宋体;SimSun" w:hAnsi="宋体;SimSun" w:eastAsia="宋体;SimSun" w:cs="宋体;SimSun"/>
          <w:color w:val="auto"/>
          <w:sz w:val="24"/>
          <w:szCs w:val="24"/>
          <w:highlight w:val="none"/>
        </w:rPr>
      </w:pPr>
    </w:p>
    <w:p w14:paraId="33D426DA">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主要设备有：。（须附证明材料）</w:t>
      </w:r>
    </w:p>
    <w:p w14:paraId="424F75FD">
      <w:pPr>
        <w:jc w:val="left"/>
        <w:rPr>
          <w:rFonts w:ascii="宋体;SimSun" w:hAnsi="宋体;SimSun" w:eastAsia="宋体;SimSun" w:cs="宋体;SimSun"/>
          <w:color w:val="auto"/>
          <w:sz w:val="24"/>
          <w:szCs w:val="24"/>
          <w:highlight w:val="none"/>
        </w:rPr>
      </w:pPr>
    </w:p>
    <w:p w14:paraId="70D103F5">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主要专业技术能力有：。（须附证明材料）</w:t>
      </w:r>
    </w:p>
    <w:p w14:paraId="1D9BADD1">
      <w:pPr>
        <w:spacing w:line="360" w:lineRule="auto"/>
        <w:ind w:firstLine="480"/>
        <w:rPr>
          <w:rFonts w:ascii="宋体;SimSun" w:hAnsi="宋体;SimSun" w:eastAsia="宋体;SimSun" w:cs="宋体;SimSun"/>
          <w:color w:val="auto"/>
          <w:sz w:val="24"/>
          <w:szCs w:val="24"/>
          <w:highlight w:val="none"/>
        </w:rPr>
      </w:pPr>
    </w:p>
    <w:p w14:paraId="64A05D0F">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附主要设备和主要专业技术能力的证明材料如下：</w:t>
      </w:r>
    </w:p>
    <w:p w14:paraId="5E26F020">
      <w:pPr>
        <w:spacing w:line="360" w:lineRule="auto"/>
        <w:ind w:firstLine="480"/>
        <w:rPr>
          <w:rFonts w:ascii="宋体;SimSun" w:hAnsi="宋体;SimSun" w:eastAsia="宋体;SimSun" w:cs="宋体;SimSun"/>
          <w:color w:val="auto"/>
          <w:sz w:val="24"/>
          <w:szCs w:val="24"/>
          <w:highlight w:val="none"/>
        </w:rPr>
      </w:pPr>
    </w:p>
    <w:p w14:paraId="23D5BE81">
      <w:pPr>
        <w:spacing w:line="360" w:lineRule="auto"/>
        <w:ind w:firstLine="480"/>
        <w:rPr>
          <w:rFonts w:ascii="宋体;SimSun" w:hAnsi="宋体;SimSun" w:eastAsia="宋体;SimSun" w:cs="宋体;SimSun"/>
          <w:color w:val="auto"/>
          <w:sz w:val="24"/>
          <w:szCs w:val="24"/>
          <w:highlight w:val="none"/>
        </w:rPr>
      </w:pPr>
    </w:p>
    <w:p w14:paraId="7286D9BE">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54A55972">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65718202">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31F5F81F">
      <w:pPr>
        <w:spacing w:line="360" w:lineRule="auto"/>
        <w:jc w:val="left"/>
        <w:rPr>
          <w:rFonts w:ascii="宋体;SimSun" w:hAnsi="宋体;SimSun" w:eastAsia="宋体;SimSun" w:cs="宋体;SimSun"/>
          <w:color w:val="auto"/>
          <w:sz w:val="24"/>
          <w:szCs w:val="24"/>
          <w:highlight w:val="none"/>
        </w:rPr>
      </w:pPr>
      <w:r>
        <w:rPr>
          <w:color w:val="auto"/>
          <w:highlight w:val="none"/>
        </w:rPr>
        <w:br w:type="page" w:clear="all"/>
      </w:r>
    </w:p>
    <w:p w14:paraId="06C36B96">
      <w:pPr>
        <w:rPr>
          <w:rFonts w:ascii="宋体;SimSun" w:hAnsi="宋体;SimSun" w:eastAsia="宋体;SimSun" w:cs="宋体;SimSun"/>
          <w:b/>
          <w:iCs/>
          <w:color w:val="auto"/>
          <w:sz w:val="36"/>
          <w:szCs w:val="24"/>
          <w:highlight w:val="none"/>
        </w:rPr>
      </w:pPr>
    </w:p>
    <w:p w14:paraId="39BF2DF7">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五、参加政府采购活动前3年内在经营活动中没有重大违法记录的书面声明</w:t>
      </w:r>
    </w:p>
    <w:p w14:paraId="6041721B">
      <w:pPr>
        <w:spacing w:line="460" w:lineRule="exact"/>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声 明</w:t>
      </w:r>
    </w:p>
    <w:p w14:paraId="1D099367">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273B1FB5">
      <w:pPr>
        <w:spacing w:line="500" w:lineRule="exact"/>
        <w:ind w:firstLine="480"/>
        <w:jc w:val="left"/>
        <w:rPr>
          <w:rFonts w:ascii="宋体;SimSun" w:hAnsi="宋体;SimSun" w:eastAsia="宋体;SimSun" w:cs="宋体;SimSun"/>
          <w:color w:val="auto"/>
          <w:sz w:val="24"/>
          <w:szCs w:val="24"/>
          <w:highlight w:val="none"/>
        </w:rPr>
      </w:pPr>
    </w:p>
    <w:p w14:paraId="7AA0DEAF">
      <w:pPr>
        <w:spacing w:line="500" w:lineRule="exact"/>
        <w:ind w:firstLine="480"/>
        <w:jc w:val="left"/>
        <w:rPr>
          <w:rFonts w:ascii="宋体;SimSun" w:hAnsi="宋体;SimSun" w:eastAsia="宋体;SimSun" w:cs="宋体;SimSun"/>
          <w:color w:val="auto"/>
          <w:sz w:val="24"/>
          <w:szCs w:val="24"/>
          <w:highlight w:val="none"/>
        </w:rPr>
      </w:pPr>
    </w:p>
    <w:p w14:paraId="3786393D">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65A77E2E">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61022C7F">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20B55068">
      <w:pPr>
        <w:rPr>
          <w:rFonts w:ascii="宋体;SimSun" w:hAnsi="宋体;SimSun" w:eastAsia="宋体;SimSun" w:cs="宋体;SimSun"/>
          <w:color w:val="auto"/>
          <w:sz w:val="24"/>
          <w:szCs w:val="24"/>
          <w:highlight w:val="none"/>
        </w:rPr>
      </w:pPr>
    </w:p>
    <w:p w14:paraId="2D5CFBCF">
      <w:pPr>
        <w:rPr>
          <w:rFonts w:ascii="宋体;SimSun" w:hAnsi="宋体;SimSun" w:eastAsia="宋体;SimSun" w:cs="宋体;SimSun"/>
          <w:color w:val="auto"/>
          <w:sz w:val="24"/>
          <w:szCs w:val="24"/>
          <w:highlight w:val="none"/>
        </w:rPr>
      </w:pPr>
      <w:r>
        <w:rPr>
          <w:color w:val="auto"/>
          <w:highlight w:val="none"/>
        </w:rPr>
        <w:br w:type="page" w:clear="all"/>
      </w:r>
    </w:p>
    <w:p w14:paraId="73879DE9">
      <w:pPr>
        <w:rPr>
          <w:rFonts w:ascii="宋体;SimSun" w:hAnsi="宋体;SimSun" w:eastAsia="宋体;SimSun" w:cs="宋体;SimSun"/>
          <w:b/>
          <w:iCs/>
          <w:color w:val="auto"/>
          <w:sz w:val="36"/>
          <w:highlight w:val="none"/>
        </w:rPr>
      </w:pPr>
    </w:p>
    <w:p w14:paraId="670CF380">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六、落实政府采购政策需满足的资格要求的证明文件</w:t>
      </w:r>
    </w:p>
    <w:p w14:paraId="02D38655">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（如有，请按要求提供）</w:t>
      </w:r>
    </w:p>
    <w:p w14:paraId="72C32199">
      <w:pPr>
        <w:rPr>
          <w:rFonts w:ascii="宋体;SimSun" w:hAnsi="宋体;SimSun" w:eastAsia="宋体;SimSun" w:cs="宋体;SimSun"/>
          <w:color w:val="auto"/>
          <w:sz w:val="24"/>
          <w:szCs w:val="24"/>
          <w:highlight w:val="none"/>
        </w:rPr>
      </w:pPr>
    </w:p>
    <w:p w14:paraId="143E8F27">
      <w:pPr>
        <w:rPr>
          <w:rFonts w:ascii="宋体;SimSun" w:hAnsi="宋体;SimSun" w:eastAsia="宋体;SimSun" w:cs="宋体;SimSun"/>
          <w:color w:val="auto"/>
          <w:sz w:val="24"/>
          <w:szCs w:val="24"/>
          <w:highlight w:val="none"/>
        </w:rPr>
      </w:pPr>
    </w:p>
    <w:p w14:paraId="75DA4C49">
      <w:pPr>
        <w:rPr>
          <w:rFonts w:ascii="宋体;SimSun" w:hAnsi="宋体;SimSun" w:eastAsia="宋体;SimSun" w:cs="宋体;SimSun"/>
          <w:color w:val="auto"/>
          <w:highlight w:val="none"/>
        </w:rPr>
      </w:pPr>
    </w:p>
    <w:p w14:paraId="1B665F12">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七、特定资格要求的证明文件</w:t>
      </w:r>
    </w:p>
    <w:p w14:paraId="39C3FA07">
      <w:pPr>
        <w:spacing w:line="500" w:lineRule="exact"/>
        <w:ind w:firstLine="480"/>
        <w:jc w:val="left"/>
        <w:rPr>
          <w:color w:val="auto"/>
          <w:highlight w:val="none"/>
        </w:rPr>
      </w:pPr>
      <w:r>
        <w:rPr>
          <w:rFonts w:ascii="宋体;SimSun" w:hAnsi="宋体;SimSun" w:eastAsia="宋体;SimSun" w:cs="宋体;SimSun"/>
          <w:color w:val="auto"/>
          <w:sz w:val="24"/>
          <w:szCs w:val="24"/>
          <w:highlight w:val="none"/>
        </w:rPr>
        <w:t>（如有，请按要求提供）</w:t>
      </w:r>
    </w:p>
    <w:p w14:paraId="59D0A58A">
      <w:pPr>
        <w:rPr>
          <w:rFonts w:ascii="宋体;SimSun" w:hAnsi="宋体;SimSun" w:eastAsia="宋体;SimSun" w:cs="宋体;SimSun"/>
          <w:color w:val="auto"/>
          <w:sz w:val="24"/>
          <w:szCs w:val="24"/>
          <w:highlight w:val="none"/>
        </w:rPr>
      </w:pPr>
    </w:p>
    <w:p w14:paraId="5A378275">
      <w:pPr>
        <w:rPr>
          <w:rFonts w:ascii="宋体;SimSun" w:hAnsi="宋体;SimSun" w:eastAsia="宋体;SimSun" w:cs="宋体;SimSun"/>
          <w:color w:val="auto"/>
          <w:sz w:val="24"/>
          <w:szCs w:val="24"/>
          <w:highlight w:val="none"/>
        </w:rPr>
      </w:pPr>
    </w:p>
    <w:p w14:paraId="0687D6D5">
      <w:pPr>
        <w:rPr>
          <w:rFonts w:ascii="宋体;SimSun" w:hAnsi="宋体;SimSun" w:eastAsia="宋体;SimSun" w:cs="宋体;SimSun"/>
          <w:color w:val="auto"/>
          <w:highlight w:val="none"/>
        </w:rPr>
      </w:pPr>
    </w:p>
    <w:p w14:paraId="59A168DF">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八、法律、行政法规规定的其他条件的证明文件</w:t>
      </w:r>
    </w:p>
    <w:p w14:paraId="0FEFF063">
      <w:pPr>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（如有，请按要求提供）</w:t>
      </w:r>
    </w:p>
    <w:p w14:paraId="035B54EB">
      <w:pPr>
        <w:rPr>
          <w:rFonts w:ascii="宋体;SimSun" w:hAnsi="宋体;SimSun" w:eastAsia="宋体;SimSun" w:cs="宋体;SimSun"/>
          <w:color w:val="auto"/>
          <w:sz w:val="24"/>
          <w:szCs w:val="24"/>
          <w:highlight w:val="none"/>
        </w:rPr>
      </w:pPr>
    </w:p>
    <w:p w14:paraId="4E23AAB0">
      <w:pPr>
        <w:rPr>
          <w:rFonts w:ascii="宋体;SimSun" w:hAnsi="宋体;SimSun" w:eastAsia="宋体;SimSun" w:cs="宋体;SimSun"/>
          <w:color w:val="auto"/>
          <w:sz w:val="24"/>
          <w:szCs w:val="24"/>
          <w:highlight w:val="none"/>
        </w:rPr>
      </w:pPr>
    </w:p>
    <w:p w14:paraId="40E70C63">
      <w:pPr>
        <w:rPr>
          <w:rFonts w:ascii="宋体;SimSun" w:hAnsi="宋体;SimSun" w:eastAsia="宋体;SimSun" w:cs="宋体;SimSun"/>
          <w:color w:val="auto"/>
          <w:highlight w:val="none"/>
        </w:rPr>
      </w:pPr>
      <w:r>
        <w:rPr>
          <w:color w:val="auto"/>
          <w:highlight w:val="none"/>
        </w:rPr>
        <w:br w:type="page" w:clear="all"/>
      </w:r>
    </w:p>
    <w:p w14:paraId="388D23A0">
      <w:pPr>
        <w:rPr>
          <w:rFonts w:ascii="宋体;SimSun" w:hAnsi="宋体;SimSun" w:eastAsia="宋体;SimSun" w:cs="宋体;SimSun"/>
          <w:b/>
          <w:iCs/>
          <w:color w:val="auto"/>
          <w:sz w:val="36"/>
          <w:highlight w:val="none"/>
        </w:rPr>
      </w:pPr>
    </w:p>
    <w:p w14:paraId="397BAEA6">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九、授权委托书与法定代表人（单位负责人）身份证明</w:t>
      </w:r>
    </w:p>
    <w:p w14:paraId="543D5068">
      <w:pPr>
        <w:spacing w:line="360" w:lineRule="exact"/>
        <w:jc w:val="center"/>
        <w:rPr>
          <w:rFonts w:ascii="宋体;SimSun" w:hAnsi="宋体;SimSun" w:eastAsia="宋体;SimSun" w:cs="宋体;SimSun"/>
          <w:b/>
          <w:iCs/>
          <w:color w:val="auto"/>
          <w:sz w:val="36"/>
          <w:szCs w:val="36"/>
          <w:highlight w:val="none"/>
        </w:rPr>
      </w:pPr>
    </w:p>
    <w:p w14:paraId="33DAF2B6">
      <w:pPr>
        <w:spacing w:line="360" w:lineRule="exact"/>
        <w:jc w:val="center"/>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t>授权委托书</w:t>
      </w:r>
    </w:p>
    <w:p w14:paraId="123A8415">
      <w:pPr>
        <w:spacing w:line="360" w:lineRule="auto"/>
        <w:rPr>
          <w:color w:val="auto"/>
          <w:highlight w:val="none"/>
        </w:rPr>
      </w:pPr>
      <w:r>
        <w:rPr>
          <w:rFonts w:ascii="宋体;SimSun" w:hAnsi="宋体;SimSun" w:eastAsia="宋体;SimSun" w:cs="宋体;SimSun"/>
          <w:color w:val="auto"/>
          <w:sz w:val="24"/>
          <w:szCs w:val="24"/>
          <w:highlight w:val="none"/>
        </w:rPr>
        <w:t>致：</w:t>
      </w:r>
      <w:r>
        <w:rPr>
          <w:rFonts w:ascii="宋体;SimSun" w:hAnsi="宋体;SimSun" w:eastAsia="宋体;SimSun" w:cs="宋体;SimSun"/>
          <w:color w:val="auto"/>
          <w:sz w:val="24"/>
          <w:szCs w:val="24"/>
          <w:highlight w:val="none"/>
          <w:u w:val="single"/>
        </w:rPr>
        <w:t>采购单位</w:t>
      </w:r>
    </w:p>
    <w:p w14:paraId="2B31EB4C">
      <w:pPr>
        <w:spacing w:line="360" w:lineRule="auto"/>
        <w:ind w:firstLine="420"/>
        <w:jc w:val="left"/>
        <w:rPr>
          <w:color w:val="auto"/>
          <w:highlight w:val="none"/>
        </w:rPr>
      </w:pPr>
      <w:r>
        <w:rPr>
          <w:rFonts w:ascii="宋体;SimSun" w:hAnsi="宋体;SimSun" w:eastAsia="宋体;SimSun" w:cs="宋体;SimSun"/>
          <w:color w:val="auto"/>
          <w:sz w:val="24"/>
          <w:szCs w:val="24"/>
          <w:highlight w:val="none"/>
        </w:rPr>
        <w:t>本人</w:t>
      </w:r>
      <w:r>
        <w:rPr>
          <w:rFonts w:ascii="宋体;SimSun" w:hAnsi="宋体;SimSun" w:eastAsia="宋体;SimSun" w:cs="宋体;SimSun"/>
          <w:color w:val="auto"/>
          <w:sz w:val="24"/>
          <w:szCs w:val="24"/>
          <w:highlight w:val="none"/>
          <w:u w:val="single"/>
        </w:rPr>
        <w:t>（姓名）</w:t>
      </w:r>
      <w:r>
        <w:rPr>
          <w:rFonts w:ascii="宋体;SimSun" w:hAnsi="宋体;SimSun" w:eastAsia="宋体;SimSun" w:cs="宋体;SimSun"/>
          <w:color w:val="auto"/>
          <w:sz w:val="24"/>
          <w:szCs w:val="24"/>
          <w:highlight w:val="none"/>
        </w:rPr>
        <w:t>系</w:t>
      </w:r>
      <w:r>
        <w:rPr>
          <w:rFonts w:ascii="宋体;SimSun" w:hAnsi="宋体;SimSun" w:eastAsia="宋体;SimSun" w:cs="宋体;SimSun"/>
          <w:color w:val="auto"/>
          <w:sz w:val="24"/>
          <w:szCs w:val="24"/>
          <w:highlight w:val="none"/>
          <w:u w:val="single"/>
        </w:rPr>
        <w:t>（投标人名称）</w:t>
      </w:r>
      <w:r>
        <w:rPr>
          <w:rFonts w:ascii="宋体;SimSun" w:hAnsi="宋体;SimSun" w:eastAsia="宋体;SimSun" w:cs="宋体;SimSun"/>
          <w:color w:val="auto"/>
          <w:sz w:val="24"/>
          <w:szCs w:val="24"/>
          <w:highlight w:val="none"/>
        </w:rPr>
        <w:t>的法定代表人（单位负责人），现委托</w:t>
      </w:r>
      <w:r>
        <w:rPr>
          <w:rFonts w:ascii="宋体;SimSun" w:hAnsi="宋体;SimSun" w:eastAsia="宋体;SimSun" w:cs="宋体;SimSun"/>
          <w:color w:val="auto"/>
          <w:sz w:val="24"/>
          <w:szCs w:val="24"/>
          <w:highlight w:val="none"/>
          <w:u w:val="single"/>
        </w:rPr>
        <w:t xml:space="preserve"> （姓名）</w:t>
      </w:r>
      <w:r>
        <w:rPr>
          <w:rFonts w:ascii="宋体;SimSun" w:hAnsi="宋体;SimSun" w:eastAsia="宋体;SimSun" w:cs="宋体;SimSun"/>
          <w:color w:val="auto"/>
          <w:sz w:val="24"/>
          <w:szCs w:val="24"/>
          <w:highlight w:val="none"/>
        </w:rPr>
        <w:t>为我方代理人，联系电话：。代理人根据授权，以我方名义签署、澄清确认、递交、撤回、修改</w:t>
      </w:r>
      <w:r>
        <w:rPr>
          <w:rFonts w:ascii="宋体;SimSun" w:hAnsi="宋体;SimSun" w:eastAsia="宋体;SimSun" w:cs="宋体;SimSun"/>
          <w:color w:val="auto"/>
          <w:sz w:val="24"/>
          <w:szCs w:val="24"/>
          <w:highlight w:val="none"/>
          <w:u w:val="single"/>
        </w:rPr>
        <w:t xml:space="preserve"> （项目名称） </w:t>
      </w:r>
      <w:r>
        <w:rPr>
          <w:rFonts w:ascii="宋体;SimSun" w:hAnsi="宋体;SimSun" w:eastAsia="宋体;SimSun" w:cs="宋体;SimSun"/>
          <w:color w:val="auto"/>
          <w:sz w:val="24"/>
          <w:szCs w:val="24"/>
          <w:highlight w:val="none"/>
        </w:rPr>
        <w:t>项目（项目编号：）投标文件和处理有关事宜，其法律后果由我方承担。</w:t>
      </w:r>
    </w:p>
    <w:p w14:paraId="287F3DAA">
      <w:pPr>
        <w:spacing w:line="360" w:lineRule="auto"/>
        <w:ind w:firstLine="42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委托期限：自本授权委托书签署之日起至响应有效期届满之日止。</w:t>
      </w:r>
    </w:p>
    <w:p w14:paraId="23DF2107">
      <w:pPr>
        <w:spacing w:line="360" w:lineRule="auto"/>
        <w:ind w:firstLine="42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代理人无转委托权。</w:t>
      </w:r>
      <w:r>
        <w:rPr>
          <w:rFonts w:ascii="宋体;SimSun" w:hAnsi="宋体;SimSun" w:eastAsia="宋体;SimSun" w:cs="宋体;SimSun"/>
          <w:color w:val="auto"/>
          <w:sz w:val="24"/>
          <w:szCs w:val="24"/>
          <w:highlight w:val="none"/>
        </w:rPr>
        <w:br w:type="textWrapping"/>
      </w:r>
    </w:p>
    <w:p w14:paraId="0DE0F31C">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投标人名称（加盖公章）：</w:t>
      </w:r>
    </w:p>
    <w:p w14:paraId="7278A5FA">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法定代表人（单位负责人）（签字、签章或印鉴）：</w:t>
      </w:r>
    </w:p>
    <w:p w14:paraId="5D0AAA55">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委托代理人（签字/签章）：</w:t>
      </w:r>
    </w:p>
    <w:p w14:paraId="43DD98D9">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6C368149">
      <w:pPr>
        <w:tabs>
          <w:tab w:val="left" w:pos="5580"/>
        </w:tabs>
        <w:spacing w:line="360" w:lineRule="auto"/>
        <w:ind w:firstLine="480"/>
        <w:rPr>
          <w:rFonts w:ascii="宋体;SimSun" w:hAnsi="宋体;SimSun" w:eastAsia="宋体;SimSun" w:cs="宋体;SimSun"/>
          <w:color w:val="auto"/>
          <w:sz w:val="24"/>
          <w:szCs w:val="20"/>
          <w:highlight w:val="none"/>
        </w:rPr>
      </w:pPr>
    </w:p>
    <w:p w14:paraId="61C1F96E">
      <w:pPr>
        <w:tabs>
          <w:tab w:val="left" w:pos="5580"/>
        </w:tabs>
        <w:spacing w:line="360" w:lineRule="auto"/>
        <w:jc w:val="left"/>
        <w:rPr>
          <w:color w:val="auto"/>
          <w:highlight w:val="none"/>
        </w:rPr>
      </w:pPr>
      <w:r>
        <w:rPr>
          <w:rFonts w:ascii="宋体;SimSun" w:hAnsi="宋体;SimSun" w:eastAsia="宋体;SimSun" w:cs="宋体;SimSun"/>
          <w:color w:val="auto"/>
          <w:sz w:val="24"/>
          <w:szCs w:val="20"/>
          <w:highlight w:val="none"/>
        </w:rPr>
        <w:t>法定代表人（单位负责人）有效期内的身份证</w:t>
      </w:r>
      <w:r>
        <w:rPr>
          <w:rFonts w:ascii="宋体;SimSun" w:hAnsi="宋体;SimSun" w:eastAsia="宋体;SimSun" w:cs="宋体;SimSun"/>
          <w:b/>
          <w:color w:val="auto"/>
          <w:sz w:val="24"/>
          <w:szCs w:val="20"/>
          <w:highlight w:val="none"/>
        </w:rPr>
        <w:t>正反面</w:t>
      </w:r>
      <w:r>
        <w:rPr>
          <w:color w:val="auto"/>
          <w:highlight w:val="none"/>
        </w:rPr>
        <w:t>电子件：</w:t>
      </w:r>
    </w:p>
    <w:tbl>
      <w:tblPr>
        <w:tblStyle w:val="39"/>
        <w:tblW w:w="9208" w:type="dxa"/>
        <w:tblInd w:w="-113" w:type="dxa"/>
        <w:tblLayout w:type="fixed"/>
        <w:tblCellMar>
          <w:top w:w="0" w:type="dxa"/>
          <w:left w:w="108" w:type="dxa"/>
          <w:bottom w:w="0" w:type="dxa"/>
          <w:right w:w="108" w:type="dxa"/>
        </w:tblCellMar>
      </w:tblPr>
      <w:tblGrid>
        <w:gridCol w:w="4672"/>
        <w:gridCol w:w="4536"/>
      </w:tblGrid>
      <w:tr w14:paraId="253B245C">
        <w:tblPrEx>
          <w:tblCellMar>
            <w:top w:w="0" w:type="dxa"/>
            <w:left w:w="108" w:type="dxa"/>
            <w:bottom w:w="0" w:type="dxa"/>
            <w:right w:w="108" w:type="dxa"/>
          </w:tblCellMar>
        </w:tblPrEx>
        <w:trPr>
          <w:trHeight w:val="1399" w:hRule="atLeast"/>
        </w:trPr>
        <w:tc>
          <w:tcPr>
            <w:tcW w:w="4672" w:type="dxa"/>
            <w:tcBorders>
              <w:top w:val="single" w:color="000000" w:sz="4" w:space="0"/>
              <w:left w:val="single" w:color="000000" w:sz="4" w:space="0"/>
              <w:bottom w:val="single" w:color="000000" w:sz="4" w:space="0"/>
              <w:right w:val="single" w:color="000000" w:sz="4" w:space="0"/>
            </w:tcBorders>
            <w:noWrap w:val="0"/>
          </w:tcPr>
          <w:p w14:paraId="5B884038">
            <w:pPr>
              <w:tabs>
                <w:tab w:val="left" w:pos="5580"/>
              </w:tabs>
              <w:spacing w:line="360" w:lineRule="auto"/>
              <w:jc w:val="left"/>
              <w:rPr>
                <w:rFonts w:ascii="宋体;SimSun" w:hAnsi="宋体;SimSun" w:eastAsia="宋体;SimSun" w:cs="宋体;SimSun"/>
                <w:color w:val="auto"/>
                <w:sz w:val="24"/>
                <w:szCs w:val="20"/>
                <w:highlight w:val="none"/>
              </w:rPr>
            </w:pPr>
          </w:p>
          <w:p w14:paraId="37C27A3D">
            <w:pPr>
              <w:tabs>
                <w:tab w:val="left" w:pos="5580"/>
              </w:tabs>
              <w:spacing w:line="360" w:lineRule="auto"/>
              <w:jc w:val="left"/>
              <w:rPr>
                <w:rFonts w:ascii="宋体;SimSun" w:hAnsi="宋体;SimSun" w:eastAsia="宋体;SimSun" w:cs="宋体;SimSun"/>
                <w:color w:val="auto"/>
                <w:sz w:val="24"/>
                <w:szCs w:val="20"/>
                <w:highlight w:val="none"/>
              </w:rPr>
            </w:pPr>
          </w:p>
          <w:p w14:paraId="55E21B7A">
            <w:pPr>
              <w:tabs>
                <w:tab w:val="left" w:pos="5580"/>
              </w:tabs>
              <w:spacing w:line="360" w:lineRule="auto"/>
              <w:jc w:val="left"/>
              <w:rPr>
                <w:rFonts w:ascii="宋体;SimSun" w:hAnsi="宋体;SimSun" w:eastAsia="宋体;SimSun" w:cs="宋体;SimSun"/>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14:paraId="555F8E71">
            <w:pPr>
              <w:tabs>
                <w:tab w:val="left" w:pos="5580"/>
              </w:tabs>
              <w:spacing w:line="360" w:lineRule="auto"/>
              <w:jc w:val="left"/>
              <w:rPr>
                <w:rFonts w:ascii="宋体;SimSun" w:hAnsi="宋体;SimSun" w:eastAsia="宋体;SimSun" w:cs="宋体;SimSun"/>
                <w:color w:val="auto"/>
                <w:sz w:val="24"/>
                <w:szCs w:val="20"/>
                <w:highlight w:val="none"/>
              </w:rPr>
            </w:pPr>
          </w:p>
          <w:p w14:paraId="13D89069">
            <w:pPr>
              <w:tabs>
                <w:tab w:val="left" w:pos="5580"/>
              </w:tabs>
              <w:spacing w:line="360" w:lineRule="auto"/>
              <w:jc w:val="left"/>
              <w:rPr>
                <w:rFonts w:ascii="宋体;SimSun" w:hAnsi="宋体;SimSun" w:eastAsia="宋体;SimSun" w:cs="宋体;SimSun"/>
                <w:color w:val="auto"/>
                <w:sz w:val="24"/>
                <w:szCs w:val="20"/>
                <w:highlight w:val="none"/>
              </w:rPr>
            </w:pPr>
          </w:p>
          <w:p w14:paraId="2EE86DA9">
            <w:pPr>
              <w:tabs>
                <w:tab w:val="left" w:pos="5580"/>
              </w:tabs>
              <w:spacing w:line="360" w:lineRule="auto"/>
              <w:jc w:val="left"/>
              <w:rPr>
                <w:rFonts w:ascii="宋体;SimSun" w:hAnsi="宋体;SimSun" w:eastAsia="宋体;SimSun" w:cs="宋体;SimSun"/>
                <w:color w:val="auto"/>
                <w:sz w:val="24"/>
                <w:szCs w:val="20"/>
                <w:highlight w:val="none"/>
              </w:rPr>
            </w:pPr>
          </w:p>
        </w:tc>
      </w:tr>
    </w:tbl>
    <w:p w14:paraId="4913EFCC">
      <w:pPr>
        <w:tabs>
          <w:tab w:val="left" w:pos="5580"/>
        </w:tabs>
        <w:spacing w:line="360" w:lineRule="auto"/>
        <w:jc w:val="left"/>
        <w:rPr>
          <w:color w:val="auto"/>
          <w:highlight w:val="none"/>
        </w:rPr>
      </w:pPr>
      <w:r>
        <w:rPr>
          <w:rFonts w:ascii="宋体;SimSun" w:hAnsi="宋体;SimSun" w:eastAsia="宋体;SimSun" w:cs="宋体;SimSun"/>
          <w:color w:val="auto"/>
          <w:sz w:val="24"/>
          <w:szCs w:val="20"/>
          <w:highlight w:val="none"/>
        </w:rPr>
        <w:t>委托代理人有效期内的身份证</w:t>
      </w:r>
      <w:r>
        <w:rPr>
          <w:rFonts w:ascii="宋体;SimSun" w:hAnsi="宋体;SimSun" w:eastAsia="宋体;SimSun" w:cs="宋体;SimSun"/>
          <w:b/>
          <w:color w:val="auto"/>
          <w:sz w:val="24"/>
          <w:szCs w:val="20"/>
          <w:highlight w:val="none"/>
        </w:rPr>
        <w:t>正反面</w:t>
      </w:r>
      <w:r>
        <w:rPr>
          <w:color w:val="auto"/>
          <w:highlight w:val="none"/>
        </w:rPr>
        <w:t>电子件：</w:t>
      </w:r>
    </w:p>
    <w:tbl>
      <w:tblPr>
        <w:tblStyle w:val="39"/>
        <w:tblW w:w="9208" w:type="dxa"/>
        <w:tblInd w:w="-113" w:type="dxa"/>
        <w:tblLayout w:type="fixed"/>
        <w:tblCellMar>
          <w:top w:w="0" w:type="dxa"/>
          <w:left w:w="108" w:type="dxa"/>
          <w:bottom w:w="0" w:type="dxa"/>
          <w:right w:w="108" w:type="dxa"/>
        </w:tblCellMar>
      </w:tblPr>
      <w:tblGrid>
        <w:gridCol w:w="4672"/>
        <w:gridCol w:w="4536"/>
      </w:tblGrid>
      <w:tr w14:paraId="1BFE9409">
        <w:tblPrEx>
          <w:tblCellMar>
            <w:top w:w="0" w:type="dxa"/>
            <w:left w:w="108" w:type="dxa"/>
            <w:bottom w:w="0" w:type="dxa"/>
            <w:right w:w="108" w:type="dxa"/>
          </w:tblCellMar>
        </w:tblPrEx>
        <w:trPr>
          <w:trHeight w:val="1399" w:hRule="atLeast"/>
        </w:trPr>
        <w:tc>
          <w:tcPr>
            <w:tcW w:w="4672" w:type="dxa"/>
            <w:tcBorders>
              <w:top w:val="single" w:color="000000" w:sz="4" w:space="0"/>
              <w:left w:val="single" w:color="000000" w:sz="4" w:space="0"/>
              <w:bottom w:val="single" w:color="000000" w:sz="4" w:space="0"/>
              <w:right w:val="single" w:color="000000" w:sz="4" w:space="0"/>
            </w:tcBorders>
            <w:noWrap w:val="0"/>
          </w:tcPr>
          <w:p w14:paraId="268499D0">
            <w:pPr>
              <w:tabs>
                <w:tab w:val="left" w:pos="5580"/>
              </w:tabs>
              <w:spacing w:line="360" w:lineRule="auto"/>
              <w:jc w:val="left"/>
              <w:rPr>
                <w:rFonts w:ascii="宋体;SimSun" w:hAnsi="宋体;SimSun" w:eastAsia="宋体;SimSun" w:cs="宋体;SimSun"/>
                <w:color w:val="auto"/>
                <w:sz w:val="24"/>
                <w:szCs w:val="20"/>
                <w:highlight w:val="none"/>
              </w:rPr>
            </w:pPr>
          </w:p>
          <w:p w14:paraId="70711362">
            <w:pPr>
              <w:tabs>
                <w:tab w:val="left" w:pos="5580"/>
              </w:tabs>
              <w:spacing w:line="360" w:lineRule="auto"/>
              <w:jc w:val="left"/>
              <w:rPr>
                <w:rFonts w:ascii="宋体;SimSun" w:hAnsi="宋体;SimSun" w:eastAsia="宋体;SimSun" w:cs="宋体;SimSun"/>
                <w:color w:val="auto"/>
                <w:sz w:val="24"/>
                <w:szCs w:val="20"/>
                <w:highlight w:val="none"/>
              </w:rPr>
            </w:pPr>
          </w:p>
          <w:p w14:paraId="2E629714">
            <w:pPr>
              <w:tabs>
                <w:tab w:val="left" w:pos="5580"/>
              </w:tabs>
              <w:spacing w:line="360" w:lineRule="auto"/>
              <w:jc w:val="left"/>
              <w:rPr>
                <w:rFonts w:ascii="宋体;SimSun" w:hAnsi="宋体;SimSun" w:eastAsia="宋体;SimSun" w:cs="宋体;SimSun"/>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14:paraId="532175CD">
            <w:pPr>
              <w:tabs>
                <w:tab w:val="left" w:pos="5580"/>
              </w:tabs>
              <w:spacing w:line="360" w:lineRule="auto"/>
              <w:jc w:val="left"/>
              <w:rPr>
                <w:rFonts w:ascii="宋体;SimSun" w:hAnsi="宋体;SimSun" w:eastAsia="宋体;SimSun" w:cs="宋体;SimSun"/>
                <w:color w:val="auto"/>
                <w:sz w:val="24"/>
                <w:szCs w:val="20"/>
                <w:highlight w:val="none"/>
              </w:rPr>
            </w:pPr>
          </w:p>
          <w:p w14:paraId="3A3415B5">
            <w:pPr>
              <w:tabs>
                <w:tab w:val="left" w:pos="5580"/>
              </w:tabs>
              <w:spacing w:line="360" w:lineRule="auto"/>
              <w:jc w:val="left"/>
              <w:rPr>
                <w:rFonts w:ascii="宋体;SimSun" w:hAnsi="宋体;SimSun" w:eastAsia="宋体;SimSun" w:cs="宋体;SimSun"/>
                <w:color w:val="auto"/>
                <w:sz w:val="24"/>
                <w:szCs w:val="20"/>
                <w:highlight w:val="none"/>
              </w:rPr>
            </w:pPr>
          </w:p>
          <w:p w14:paraId="5C8C408E">
            <w:pPr>
              <w:tabs>
                <w:tab w:val="left" w:pos="5580"/>
              </w:tabs>
              <w:spacing w:line="360" w:lineRule="auto"/>
              <w:jc w:val="left"/>
              <w:rPr>
                <w:rFonts w:ascii="宋体;SimSun" w:hAnsi="宋体;SimSun" w:eastAsia="宋体;SimSun" w:cs="宋体;SimSun"/>
                <w:color w:val="auto"/>
                <w:sz w:val="24"/>
                <w:szCs w:val="20"/>
                <w:highlight w:val="none"/>
              </w:rPr>
            </w:pPr>
          </w:p>
        </w:tc>
      </w:tr>
    </w:tbl>
    <w:p w14:paraId="4FE742D9">
      <w:pPr>
        <w:tabs>
          <w:tab w:val="left" w:pos="5580"/>
        </w:tabs>
        <w:spacing w:line="360" w:lineRule="auto"/>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填报说明：</w:t>
      </w:r>
    </w:p>
    <w:p w14:paraId="093FF6F2">
      <w:pPr>
        <w:tabs>
          <w:tab w:val="left" w:pos="5580"/>
        </w:tabs>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1、若供应商为事业单位或其他组织或分支机构（仅当招标文件注明允许分支机构投标的），则法定代表人（单位负责人）处的签署人可为单位负责人。</w:t>
      </w:r>
    </w:p>
    <w:p w14:paraId="7D4E420D">
      <w:pPr>
        <w:tabs>
          <w:tab w:val="left" w:pos="5580"/>
        </w:tabs>
        <w:spacing w:line="360" w:lineRule="auto"/>
        <w:ind w:firstLine="480"/>
        <w:jc w:val="left"/>
        <w:rPr>
          <w:color w:val="auto"/>
          <w:highlight w:val="none"/>
        </w:rPr>
      </w:pPr>
      <w:r>
        <w:rPr>
          <w:rFonts w:ascii="宋体;SimSun" w:hAnsi="宋体;SimSun" w:eastAsia="宋体;SimSun" w:cs="宋体;SimSun"/>
          <w:color w:val="auto"/>
          <w:sz w:val="24"/>
          <w:szCs w:val="24"/>
          <w:highlight w:val="none"/>
        </w:rPr>
        <w:t>2、若投标文件中全部签字之处均为法定代表人（单位负责人）本人签署，则可不提供本《授权委托书》，但须提供《法定代表人（单位负责人）身份证明》。</w:t>
      </w:r>
    </w:p>
    <w:p w14:paraId="42453947">
      <w:pPr>
        <w:tabs>
          <w:tab w:val="left" w:pos="5580"/>
        </w:tabs>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3、供应商为自然人的情形，可不提供本《授权委托书》。</w:t>
      </w:r>
    </w:p>
    <w:p w14:paraId="159F3BD0">
      <w:pPr>
        <w:tabs>
          <w:tab w:val="left" w:pos="5580"/>
        </w:tabs>
        <w:spacing w:line="360" w:lineRule="auto"/>
        <w:ind w:firstLine="480"/>
        <w:jc w:val="left"/>
        <w:rPr>
          <w:rFonts w:ascii="宋体;SimSun" w:hAnsi="宋体;SimSun" w:eastAsia="宋体;SimSun" w:cs="宋体;SimSun"/>
          <w:color w:val="auto"/>
          <w:sz w:val="24"/>
          <w:szCs w:val="24"/>
          <w:highlight w:val="none"/>
        </w:rPr>
      </w:pPr>
    </w:p>
    <w:p w14:paraId="5DF44B68">
      <w:pPr>
        <w:spacing w:line="360" w:lineRule="exact"/>
        <w:jc w:val="center"/>
        <w:rPr>
          <w:rFonts w:ascii="宋体;SimSun" w:hAnsi="宋体;SimSun" w:eastAsia="宋体;SimSun" w:cs="宋体;SimSun"/>
          <w:b/>
          <w:color w:val="auto"/>
          <w:sz w:val="36"/>
          <w:szCs w:val="36"/>
          <w:highlight w:val="none"/>
        </w:rPr>
      </w:pPr>
      <w:r>
        <w:rPr>
          <w:rFonts w:ascii="宋体;SimSun" w:hAnsi="宋体;SimSun" w:eastAsia="宋体;SimSun" w:cs="宋体;SimSun"/>
          <w:b/>
          <w:color w:val="auto"/>
          <w:sz w:val="36"/>
          <w:szCs w:val="36"/>
          <w:highlight w:val="none"/>
        </w:rPr>
        <w:t>法定代表人（单位负责人）身份证明</w:t>
      </w:r>
    </w:p>
    <w:p w14:paraId="4ABBBAF3">
      <w:pPr>
        <w:spacing w:line="200" w:lineRule="exact"/>
        <w:rPr>
          <w:rFonts w:ascii="宋体;SimSun" w:hAnsi="宋体;SimSun" w:eastAsia="宋体;SimSun" w:cs="宋体;SimSun"/>
          <w:b/>
          <w:color w:val="auto"/>
          <w:sz w:val="20"/>
          <w:szCs w:val="20"/>
          <w:highlight w:val="none"/>
        </w:rPr>
      </w:pPr>
    </w:p>
    <w:p w14:paraId="2A56554D">
      <w:pPr>
        <w:tabs>
          <w:tab w:val="left" w:pos="5580"/>
        </w:tabs>
        <w:spacing w:line="360" w:lineRule="auto"/>
        <w:rPr>
          <w:color w:val="auto"/>
          <w:highlight w:val="none"/>
        </w:rPr>
      </w:pPr>
      <w:r>
        <w:rPr>
          <w:rFonts w:ascii="宋体;SimSun" w:hAnsi="宋体;SimSun" w:eastAsia="宋体;SimSun" w:cs="宋体;SimSun"/>
          <w:color w:val="auto"/>
          <w:sz w:val="24"/>
          <w:szCs w:val="24"/>
          <w:highlight w:val="none"/>
        </w:rPr>
        <w:t>致：</w:t>
      </w:r>
      <w:r>
        <w:rPr>
          <w:rFonts w:ascii="宋体;SimSun" w:hAnsi="宋体;SimSun" w:eastAsia="宋体;SimSun" w:cs="宋体;SimSun"/>
          <w:color w:val="auto"/>
          <w:sz w:val="24"/>
          <w:szCs w:val="24"/>
          <w:highlight w:val="none"/>
          <w:u w:val="single"/>
        </w:rPr>
        <w:t xml:space="preserve"> 采购单位 </w:t>
      </w:r>
    </w:p>
    <w:p w14:paraId="3037E127">
      <w:pPr>
        <w:tabs>
          <w:tab w:val="left" w:pos="567"/>
          <w:tab w:val="left" w:pos="2412"/>
          <w:tab w:val="left" w:pos="3883"/>
          <w:tab w:val="left" w:pos="5352"/>
          <w:tab w:val="left" w:pos="6821"/>
        </w:tabs>
        <w:spacing w:before="120" w:line="360" w:lineRule="auto"/>
        <w:ind w:firstLine="480"/>
        <w:rPr>
          <w:rFonts w:ascii="宋体;SimSun" w:hAnsi="宋体;SimSun" w:eastAsia="宋体;SimSun" w:cs="宋体;SimSun"/>
          <w:color w:val="auto"/>
          <w:sz w:val="24"/>
          <w:szCs w:val="24"/>
          <w:highlight w:val="none"/>
        </w:rPr>
      </w:pPr>
    </w:p>
    <w:p w14:paraId="2FAA2570">
      <w:pPr>
        <w:tabs>
          <w:tab w:val="left" w:pos="567"/>
          <w:tab w:val="left" w:pos="2412"/>
          <w:tab w:val="left" w:pos="3883"/>
          <w:tab w:val="left" w:pos="5352"/>
          <w:tab w:val="left" w:pos="6821"/>
        </w:tabs>
        <w:spacing w:before="120" w:line="360" w:lineRule="auto"/>
        <w:ind w:firstLine="480"/>
        <w:rPr>
          <w:color w:val="auto"/>
          <w:highlight w:val="none"/>
        </w:rPr>
      </w:pPr>
      <w:r>
        <w:rPr>
          <w:rFonts w:ascii="宋体;SimSun" w:hAnsi="宋体;SimSun" w:eastAsia="宋体;SimSun" w:cs="宋体;SimSun"/>
          <w:color w:val="auto"/>
          <w:sz w:val="24"/>
          <w:szCs w:val="24"/>
          <w:highlight w:val="none"/>
        </w:rPr>
        <w:t>兹证明，姓名：性别：年龄：职务：系</w:t>
      </w:r>
      <w:r>
        <w:rPr>
          <w:rFonts w:ascii="宋体;SimSun" w:hAnsi="宋体;SimSun" w:eastAsia="宋体;SimSun" w:cs="宋体;SimSun"/>
          <w:color w:val="auto"/>
          <w:sz w:val="24"/>
          <w:szCs w:val="24"/>
          <w:highlight w:val="none"/>
          <w:u w:val="single"/>
        </w:rPr>
        <w:t>（投标人名称）</w:t>
      </w:r>
      <w:r>
        <w:rPr>
          <w:rFonts w:ascii="宋体;SimSun" w:hAnsi="宋体;SimSun" w:eastAsia="宋体;SimSun" w:cs="宋体;SimSun"/>
          <w:color w:val="auto"/>
          <w:sz w:val="24"/>
          <w:szCs w:val="24"/>
          <w:highlight w:val="none"/>
        </w:rPr>
        <w:t>的法定代表人（单位负责人）。</w:t>
      </w:r>
    </w:p>
    <w:p w14:paraId="1629652A">
      <w:pPr>
        <w:tabs>
          <w:tab w:val="left" w:pos="567"/>
          <w:tab w:val="left" w:pos="2412"/>
          <w:tab w:val="left" w:pos="3883"/>
          <w:tab w:val="left" w:pos="5352"/>
          <w:tab w:val="left" w:pos="6821"/>
        </w:tabs>
        <w:spacing w:before="120" w:line="335" w:lineRule="exact"/>
        <w:rPr>
          <w:rFonts w:ascii="宋体;SimSun" w:hAnsi="宋体;SimSun" w:eastAsia="宋体;SimSun" w:cs="宋体;SimSun"/>
          <w:color w:val="auto"/>
          <w:sz w:val="24"/>
          <w:szCs w:val="24"/>
          <w:highlight w:val="none"/>
        </w:rPr>
      </w:pPr>
    </w:p>
    <w:p w14:paraId="786D1B79">
      <w:pPr>
        <w:tabs>
          <w:tab w:val="left" w:pos="567"/>
        </w:tabs>
        <w:spacing w:before="120" w:line="576" w:lineRule="auto"/>
        <w:ind w:right="-46"/>
        <w:rPr>
          <w:color w:val="auto"/>
          <w:highlight w:val="none"/>
        </w:rPr>
      </w:pPr>
      <w:r>
        <w:rPr>
          <w:rFonts w:ascii="宋体;SimSun" w:hAnsi="宋体;SimSun" w:eastAsia="宋体;SimSun" w:cs="宋体;SimSun"/>
          <w:color w:val="auto"/>
          <w:spacing w:val="-3"/>
          <w:sz w:val="24"/>
          <w:szCs w:val="24"/>
          <w:highlight w:val="none"/>
        </w:rPr>
        <w:t>附：法定代表人（单位负责人</w:t>
      </w:r>
      <w:r>
        <w:rPr>
          <w:color w:val="auto"/>
          <w:highlight w:val="none"/>
        </w:rPr>
        <w:t>）有效期内的身份证正反面电子件。</w:t>
      </w:r>
    </w:p>
    <w:tbl>
      <w:tblPr>
        <w:tblStyle w:val="39"/>
        <w:tblW w:w="9208" w:type="dxa"/>
        <w:tblInd w:w="-113" w:type="dxa"/>
        <w:tblLayout w:type="fixed"/>
        <w:tblCellMar>
          <w:top w:w="0" w:type="dxa"/>
          <w:left w:w="108" w:type="dxa"/>
          <w:bottom w:w="0" w:type="dxa"/>
          <w:right w:w="108" w:type="dxa"/>
        </w:tblCellMar>
      </w:tblPr>
      <w:tblGrid>
        <w:gridCol w:w="4672"/>
        <w:gridCol w:w="4536"/>
      </w:tblGrid>
      <w:tr w14:paraId="11FE6B5E">
        <w:tblPrEx>
          <w:tblCellMar>
            <w:top w:w="0" w:type="dxa"/>
            <w:left w:w="108" w:type="dxa"/>
            <w:bottom w:w="0" w:type="dxa"/>
            <w:right w:w="108" w:type="dxa"/>
          </w:tblCellMar>
        </w:tblPrEx>
        <w:trPr>
          <w:trHeight w:val="1399" w:hRule="atLeast"/>
        </w:trPr>
        <w:tc>
          <w:tcPr>
            <w:tcW w:w="4672" w:type="dxa"/>
            <w:tcBorders>
              <w:top w:val="single" w:color="000000" w:sz="4" w:space="0"/>
              <w:left w:val="single" w:color="000000" w:sz="4" w:space="0"/>
              <w:bottom w:val="single" w:color="000000" w:sz="4" w:space="0"/>
              <w:right w:val="single" w:color="000000" w:sz="4" w:space="0"/>
            </w:tcBorders>
            <w:noWrap w:val="0"/>
          </w:tcPr>
          <w:p w14:paraId="72A66198">
            <w:pPr>
              <w:tabs>
                <w:tab w:val="left" w:pos="5580"/>
              </w:tabs>
              <w:spacing w:line="360" w:lineRule="auto"/>
              <w:jc w:val="left"/>
              <w:rPr>
                <w:rFonts w:ascii="宋体;SimSun" w:hAnsi="宋体;SimSun" w:eastAsia="宋体;SimSun" w:cs="宋体;SimSun"/>
                <w:color w:val="auto"/>
                <w:sz w:val="24"/>
                <w:szCs w:val="20"/>
                <w:highlight w:val="none"/>
              </w:rPr>
            </w:pPr>
          </w:p>
          <w:p w14:paraId="40B32C13">
            <w:pPr>
              <w:tabs>
                <w:tab w:val="left" w:pos="5580"/>
              </w:tabs>
              <w:spacing w:line="360" w:lineRule="auto"/>
              <w:jc w:val="left"/>
              <w:rPr>
                <w:rFonts w:ascii="宋体;SimSun" w:hAnsi="宋体;SimSun" w:eastAsia="宋体;SimSun" w:cs="宋体;SimSun"/>
                <w:color w:val="auto"/>
                <w:sz w:val="24"/>
                <w:szCs w:val="20"/>
                <w:highlight w:val="none"/>
              </w:rPr>
            </w:pPr>
          </w:p>
          <w:p w14:paraId="037104F6">
            <w:pPr>
              <w:tabs>
                <w:tab w:val="left" w:pos="5580"/>
              </w:tabs>
              <w:spacing w:line="360" w:lineRule="auto"/>
              <w:jc w:val="left"/>
              <w:rPr>
                <w:rFonts w:ascii="宋体;SimSun" w:hAnsi="宋体;SimSun" w:eastAsia="宋体;SimSun" w:cs="宋体;SimSun"/>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14:paraId="63005E8D">
            <w:pPr>
              <w:tabs>
                <w:tab w:val="left" w:pos="5580"/>
              </w:tabs>
              <w:spacing w:line="360" w:lineRule="auto"/>
              <w:jc w:val="left"/>
              <w:rPr>
                <w:rFonts w:ascii="宋体;SimSun" w:hAnsi="宋体;SimSun" w:eastAsia="宋体;SimSun" w:cs="宋体;SimSun"/>
                <w:color w:val="auto"/>
                <w:sz w:val="24"/>
                <w:szCs w:val="20"/>
                <w:highlight w:val="none"/>
              </w:rPr>
            </w:pPr>
          </w:p>
          <w:p w14:paraId="63B8BC40">
            <w:pPr>
              <w:tabs>
                <w:tab w:val="left" w:pos="5580"/>
              </w:tabs>
              <w:spacing w:line="360" w:lineRule="auto"/>
              <w:jc w:val="left"/>
              <w:rPr>
                <w:rFonts w:ascii="宋体;SimSun" w:hAnsi="宋体;SimSun" w:eastAsia="宋体;SimSun" w:cs="宋体;SimSun"/>
                <w:color w:val="auto"/>
                <w:sz w:val="24"/>
                <w:szCs w:val="20"/>
                <w:highlight w:val="none"/>
              </w:rPr>
            </w:pPr>
          </w:p>
          <w:p w14:paraId="6FE71D3F">
            <w:pPr>
              <w:tabs>
                <w:tab w:val="left" w:pos="5580"/>
              </w:tabs>
              <w:spacing w:line="360" w:lineRule="auto"/>
              <w:jc w:val="left"/>
              <w:rPr>
                <w:rFonts w:ascii="宋体;SimSun" w:hAnsi="宋体;SimSun" w:eastAsia="宋体;SimSun" w:cs="宋体;SimSun"/>
                <w:color w:val="auto"/>
                <w:sz w:val="24"/>
                <w:szCs w:val="20"/>
                <w:highlight w:val="none"/>
              </w:rPr>
            </w:pPr>
          </w:p>
        </w:tc>
      </w:tr>
    </w:tbl>
    <w:p w14:paraId="2E373C13">
      <w:pPr>
        <w:tabs>
          <w:tab w:val="left" w:pos="567"/>
        </w:tabs>
        <w:spacing w:before="120" w:line="576" w:lineRule="auto"/>
        <w:ind w:right="4305"/>
        <w:rPr>
          <w:rFonts w:ascii="宋体;SimSun" w:hAnsi="宋体;SimSun" w:eastAsia="宋体;SimSun" w:cs="宋体;SimSun"/>
          <w:color w:val="auto"/>
          <w:spacing w:val="-3"/>
          <w:sz w:val="24"/>
          <w:szCs w:val="24"/>
          <w:highlight w:val="none"/>
        </w:rPr>
      </w:pPr>
    </w:p>
    <w:p w14:paraId="154A9CC4">
      <w:pPr>
        <w:spacing w:line="360" w:lineRule="auto"/>
        <w:ind w:firstLine="480"/>
        <w:rPr>
          <w:color w:val="auto"/>
          <w:highlight w:val="none"/>
        </w:rPr>
      </w:pPr>
      <w:r>
        <w:rPr>
          <w:rFonts w:ascii="宋体;SimSun" w:hAnsi="宋体;SimSun" w:eastAsia="宋体;SimSun" w:cs="宋体;SimSun"/>
          <w:color w:val="auto"/>
          <w:sz w:val="24"/>
          <w:szCs w:val="24"/>
          <w:highlight w:val="none"/>
        </w:rPr>
        <w:t>投标人名称（加盖公章）</w:t>
      </w:r>
      <w:r>
        <w:rPr>
          <w:rFonts w:ascii="宋体;SimSun" w:hAnsi="宋体;SimSun" w:eastAsia="宋体;SimSun" w:cs="宋体;SimSun"/>
          <w:color w:val="auto"/>
          <w:sz w:val="24"/>
          <w:szCs w:val="24"/>
          <w:highlight w:val="none"/>
          <w:lang w:val="zh-CN"/>
        </w:rPr>
        <w:t>：</w:t>
      </w:r>
    </w:p>
    <w:p w14:paraId="07C91FB4">
      <w:pPr>
        <w:spacing w:line="360" w:lineRule="auto"/>
        <w:ind w:firstLine="468"/>
        <w:rPr>
          <w:color w:val="auto"/>
          <w:highlight w:val="none"/>
        </w:rPr>
      </w:pPr>
      <w:r>
        <w:rPr>
          <w:rFonts w:ascii="宋体;SimSun" w:hAnsi="宋体;SimSun" w:eastAsia="宋体;SimSun" w:cs="宋体;SimSun"/>
          <w:color w:val="auto"/>
          <w:spacing w:val="-3"/>
          <w:sz w:val="24"/>
          <w:szCs w:val="24"/>
          <w:highlight w:val="none"/>
        </w:rPr>
        <w:t>法定代表人（</w:t>
      </w:r>
      <w:r>
        <w:rPr>
          <w:rFonts w:ascii="宋体;SimSun" w:hAnsi="宋体;SimSun" w:eastAsia="宋体;SimSun" w:cs="宋体;SimSun"/>
          <w:color w:val="auto"/>
          <w:sz w:val="24"/>
          <w:szCs w:val="24"/>
          <w:highlight w:val="none"/>
        </w:rPr>
        <w:t>单位负责人</w:t>
      </w:r>
      <w:r>
        <w:rPr>
          <w:rFonts w:ascii="宋体;SimSun" w:hAnsi="宋体;SimSun" w:eastAsia="宋体;SimSun" w:cs="宋体;SimSun"/>
          <w:color w:val="auto"/>
          <w:spacing w:val="-3"/>
          <w:sz w:val="24"/>
          <w:szCs w:val="24"/>
          <w:highlight w:val="none"/>
        </w:rPr>
        <w:t>）（签字、签章或印鉴）：</w:t>
      </w:r>
    </w:p>
    <w:p w14:paraId="0A9A79E2">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5F89D79C">
      <w:pPr>
        <w:spacing w:line="360" w:lineRule="auto"/>
        <w:rPr>
          <w:rFonts w:ascii="宋体;SimSun" w:hAnsi="宋体;SimSun" w:eastAsia="宋体;SimSun" w:cs="宋体;SimSun"/>
          <w:color w:val="auto"/>
          <w:sz w:val="24"/>
          <w:szCs w:val="24"/>
          <w:highlight w:val="none"/>
        </w:rPr>
      </w:pPr>
    </w:p>
    <w:p w14:paraId="2ED0400D">
      <w:pPr>
        <w:rPr>
          <w:rFonts w:ascii="宋体;SimSun" w:hAnsi="宋体;SimSun" w:eastAsia="宋体;SimSun" w:cs="宋体;SimSun"/>
          <w:color w:val="auto"/>
          <w:sz w:val="24"/>
          <w:szCs w:val="24"/>
          <w:highlight w:val="none"/>
        </w:rPr>
      </w:pPr>
    </w:p>
    <w:p w14:paraId="785F5930">
      <w:pPr>
        <w:rPr>
          <w:rFonts w:ascii="宋体;SimSun" w:hAnsi="宋体;SimSun" w:eastAsia="宋体;SimSun" w:cs="宋体;SimSun"/>
          <w:color w:val="auto"/>
          <w:sz w:val="24"/>
          <w:szCs w:val="24"/>
          <w:highlight w:val="none"/>
        </w:rPr>
      </w:pPr>
    </w:p>
    <w:p w14:paraId="3F1AEA7A">
      <w:pPr>
        <w:rPr>
          <w:rFonts w:ascii="宋体;SimSun" w:hAnsi="宋体;SimSun" w:eastAsia="宋体;SimSun" w:cs="宋体;SimSun"/>
          <w:color w:val="auto"/>
          <w:highlight w:val="none"/>
        </w:rPr>
      </w:pPr>
    </w:p>
    <w:p w14:paraId="55B42B0E">
      <w:pPr>
        <w:rPr>
          <w:rFonts w:ascii="宋体;SimSun" w:hAnsi="宋体;SimSun" w:eastAsia="宋体;SimSun" w:cs="宋体;SimSun"/>
          <w:color w:val="auto"/>
          <w:highlight w:val="none"/>
        </w:rPr>
      </w:pPr>
    </w:p>
    <w:p w14:paraId="1CFAA3CA">
      <w:pPr>
        <w:rPr>
          <w:rFonts w:ascii="宋体;SimSun" w:hAnsi="宋体;SimSun" w:eastAsia="宋体;SimSun" w:cs="宋体;SimSun"/>
          <w:color w:val="auto"/>
          <w:highlight w:val="none"/>
        </w:rPr>
      </w:pPr>
    </w:p>
    <w:p w14:paraId="13F44827">
      <w:pPr>
        <w:rPr>
          <w:rFonts w:ascii="宋体;SimSun" w:hAnsi="宋体;SimSun" w:eastAsia="宋体;SimSun" w:cs="宋体;SimSun"/>
          <w:color w:val="auto"/>
          <w:highlight w:val="none"/>
        </w:rPr>
      </w:pPr>
    </w:p>
    <w:p w14:paraId="4639C926">
      <w:pPr>
        <w:rPr>
          <w:rFonts w:ascii="宋体;SimSun" w:hAnsi="宋体;SimSun" w:eastAsia="宋体;SimSun" w:cs="宋体;SimSun"/>
          <w:color w:val="auto"/>
          <w:highlight w:val="none"/>
        </w:rPr>
      </w:pPr>
    </w:p>
    <w:p w14:paraId="61EAE546">
      <w:pPr>
        <w:rPr>
          <w:rFonts w:ascii="宋体;SimSun" w:hAnsi="宋体;SimSun" w:eastAsia="宋体;SimSun" w:cs="宋体;SimSun"/>
          <w:color w:val="auto"/>
          <w:highlight w:val="none"/>
        </w:rPr>
      </w:pPr>
    </w:p>
    <w:p w14:paraId="38DA1A01">
      <w:pPr>
        <w:rPr>
          <w:rFonts w:ascii="宋体;SimSun" w:hAnsi="宋体;SimSun" w:eastAsia="宋体;SimSun" w:cs="宋体;SimSun"/>
          <w:color w:val="auto"/>
          <w:highlight w:val="none"/>
        </w:rPr>
      </w:pPr>
    </w:p>
    <w:p w14:paraId="5717F6FE">
      <w:pPr>
        <w:rPr>
          <w:rFonts w:ascii="宋体;SimSun" w:hAnsi="宋体;SimSun" w:eastAsia="宋体;SimSun" w:cs="宋体;SimSun"/>
          <w:color w:val="auto"/>
          <w:highlight w:val="none"/>
        </w:rPr>
      </w:pPr>
    </w:p>
    <w:p w14:paraId="061A3738">
      <w:pPr>
        <w:rPr>
          <w:rFonts w:ascii="宋体;SimSun" w:hAnsi="宋体;SimSun" w:eastAsia="宋体;SimSun" w:cs="宋体;SimSun"/>
          <w:color w:val="auto"/>
          <w:highlight w:val="none"/>
        </w:rPr>
      </w:pPr>
    </w:p>
    <w:p w14:paraId="62B691F6">
      <w:pPr>
        <w:rPr>
          <w:rFonts w:ascii="宋体;SimSun" w:hAnsi="宋体;SimSun" w:eastAsia="宋体;SimSun" w:cs="宋体;SimSun"/>
          <w:color w:val="auto"/>
          <w:highlight w:val="none"/>
        </w:rPr>
      </w:pPr>
    </w:p>
    <w:p w14:paraId="148D4940">
      <w:pPr>
        <w:rPr>
          <w:rFonts w:ascii="宋体;SimSun" w:hAnsi="宋体;SimSun" w:eastAsia="宋体;SimSun" w:cs="宋体;SimSun"/>
          <w:color w:val="auto"/>
          <w:highlight w:val="none"/>
        </w:rPr>
      </w:pPr>
    </w:p>
    <w:p w14:paraId="1636AD70">
      <w:pPr>
        <w:rPr>
          <w:rFonts w:ascii="宋体;SimSun" w:hAnsi="宋体;SimSun" w:eastAsia="宋体;SimSun" w:cs="宋体;SimSun"/>
          <w:color w:val="auto"/>
          <w:highlight w:val="none"/>
        </w:rPr>
      </w:pPr>
    </w:p>
    <w:p w14:paraId="4C191DA4">
      <w:pPr>
        <w:rPr>
          <w:rFonts w:ascii="宋体;SimSun" w:hAnsi="宋体;SimSun" w:eastAsia="宋体;SimSun" w:cs="宋体;SimSun"/>
          <w:color w:val="auto"/>
          <w:highlight w:val="none"/>
        </w:rPr>
      </w:pPr>
    </w:p>
    <w:p w14:paraId="17DFAD65">
      <w:pPr>
        <w:rPr>
          <w:rFonts w:ascii="宋体;SimSun" w:hAnsi="宋体;SimSun" w:eastAsia="宋体;SimSun" w:cs="宋体;SimSun"/>
          <w:color w:val="auto"/>
          <w:highlight w:val="none"/>
        </w:rPr>
      </w:pPr>
    </w:p>
    <w:p w14:paraId="77DD8B60">
      <w:pPr>
        <w:rPr>
          <w:rFonts w:ascii="宋体;SimSun" w:hAnsi="宋体;SimSun" w:eastAsia="宋体;SimSun" w:cs="宋体;SimSun"/>
          <w:color w:val="auto"/>
          <w:highlight w:val="none"/>
        </w:rPr>
      </w:pPr>
    </w:p>
    <w:p w14:paraId="60EC611E">
      <w:pPr>
        <w:rPr>
          <w:rFonts w:ascii="宋体;SimSun" w:hAnsi="宋体;SimSun" w:eastAsia="宋体;SimSun" w:cs="宋体;SimSun"/>
          <w:color w:val="auto"/>
          <w:highlight w:val="none"/>
        </w:rPr>
      </w:pPr>
    </w:p>
    <w:p w14:paraId="7FFF34C4">
      <w:pPr>
        <w:rPr>
          <w:rFonts w:ascii="宋体;SimSun" w:hAnsi="宋体;SimSun" w:eastAsia="宋体;SimSun" w:cs="宋体;SimSun"/>
          <w:color w:val="auto"/>
          <w:highlight w:val="none"/>
        </w:rPr>
      </w:pPr>
    </w:p>
    <w:p w14:paraId="5CE3F3AD">
      <w:pPr>
        <w:keepNext/>
        <w:keepLines/>
        <w:spacing w:before="260" w:after="260" w:line="412"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十、投标函</w:t>
      </w:r>
    </w:p>
    <w:p w14:paraId="5F2E44F3">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投标函</w:t>
      </w:r>
    </w:p>
    <w:p w14:paraId="42FE518E">
      <w:pPr>
        <w:spacing w:line="500" w:lineRule="exact"/>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致：江苏连云经济开发区管理委员会</w:t>
      </w:r>
    </w:p>
    <w:p w14:paraId="710305E6">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根据贵方的JSZC-_________________号招标文件，正式授权下述签字人___________(姓名)代表我方______________（投标人的名称），全权处理本次项目投标的有关事宜。</w:t>
      </w:r>
    </w:p>
    <w:p w14:paraId="49BE53ED">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据此函，__________签字人兹宣布同意如下：</w:t>
      </w:r>
    </w:p>
    <w:p w14:paraId="0D040747">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1.按招标文件规定的各项要求，向买方提供所需服务（包含与服务相关的货物等）。</w:t>
      </w:r>
    </w:p>
    <w:p w14:paraId="6AE68B81">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2.我们完全理解贵方不一定将合同授予最低报价的投标人。</w:t>
      </w:r>
    </w:p>
    <w:p w14:paraId="7DF68C3B">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3.我们已详细审核全部招标文件及其有效补充文件，我们知道必须放弃提出含糊不清或误解问题的权利。</w:t>
      </w:r>
    </w:p>
    <w:p w14:paraId="36CE70F4">
      <w:pPr>
        <w:spacing w:line="500" w:lineRule="exact"/>
        <w:ind w:firstLine="480"/>
        <w:jc w:val="left"/>
        <w:rPr>
          <w:color w:val="auto"/>
          <w:highlight w:val="none"/>
        </w:rPr>
      </w:pPr>
      <w:r>
        <w:rPr>
          <w:rFonts w:ascii="宋体;SimSun" w:hAnsi="宋体;SimSun" w:eastAsia="宋体;SimSun" w:cs="宋体;SimSun"/>
          <w:color w:val="auto"/>
          <w:sz w:val="24"/>
          <w:szCs w:val="21"/>
          <w:highlight w:val="none"/>
        </w:rPr>
        <w:t>4.我们同意从规定的开标日期起遵循本投标文件，并在规定的投标有效期期满之前均具有约束力。</w:t>
      </w:r>
    </w:p>
    <w:p w14:paraId="552F953B">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5.同意向贵方提供贵方可能另外要求的与投标有关的任何证据或资料，并保证我方已提供和将要提供的文件是真实的、准确的。</w:t>
      </w:r>
    </w:p>
    <w:p w14:paraId="58DA6719">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6.一旦我方中标，我方将根据招标文件的规定，严格履行合同的责任和义务，并保证在招标文件规定的时间内完成项目，交付买方验收、使用。</w:t>
      </w:r>
    </w:p>
    <w:p w14:paraId="2EA944B5">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7.与本投标有关的正式通讯地址为：</w:t>
      </w:r>
    </w:p>
    <w:p w14:paraId="19F3C586">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地 址：</w:t>
      </w:r>
    </w:p>
    <w:p w14:paraId="38679274">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邮 编：</w:t>
      </w:r>
    </w:p>
    <w:p w14:paraId="3C29C2BE">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电 话：</w:t>
      </w:r>
    </w:p>
    <w:p w14:paraId="30C9AA54">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传 真：</w:t>
      </w:r>
    </w:p>
    <w:p w14:paraId="60F4806D">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投标人开户行：</w:t>
      </w:r>
    </w:p>
    <w:p w14:paraId="0AF89D28">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账 号：</w:t>
      </w:r>
    </w:p>
    <w:p w14:paraId="07CB56DA">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投标人（盖章）：</w:t>
      </w:r>
    </w:p>
    <w:p w14:paraId="7171BB34">
      <w:pPr>
        <w:spacing w:line="500" w:lineRule="exact"/>
        <w:ind w:firstLine="480"/>
        <w:jc w:val="left"/>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法定代表人（单位负责人）或委托代理人（签字或盖章）：</w:t>
      </w:r>
    </w:p>
    <w:p w14:paraId="3D3415C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3C0D400E">
      <w:pPr>
        <w:keepNext/>
        <w:keepLines/>
        <w:spacing w:before="360" w:after="200" w:line="360" w:lineRule="auto"/>
        <w:jc w:val="left"/>
        <w:outlineLvl w:val="1"/>
        <w:rPr>
          <w:rFonts w:ascii="宋体;SimSun" w:hAnsi="宋体;SimSun" w:eastAsia="宋体;SimSun" w:cs="宋体;SimSun"/>
          <w:b/>
          <w:color w:val="auto"/>
          <w:sz w:val="36"/>
          <w:highlight w:val="none"/>
        </w:rPr>
      </w:pPr>
      <w:r>
        <w:rPr>
          <w:rFonts w:ascii="宋体;SimSun" w:hAnsi="宋体;SimSun" w:eastAsia="宋体;SimSun" w:cs="宋体;SimSun"/>
          <w:b/>
          <w:color w:val="auto"/>
          <w:sz w:val="36"/>
          <w:highlight w:val="none"/>
        </w:rPr>
        <w:t>十一、中小企业声明函（服务）</w:t>
      </w:r>
    </w:p>
    <w:p w14:paraId="27023391">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中小企业声明函</w:t>
      </w:r>
    </w:p>
    <w:p w14:paraId="700F0F7E">
      <w:pPr>
        <w:tabs>
          <w:tab w:val="left" w:pos="360"/>
        </w:tabs>
        <w:spacing w:line="360" w:lineRule="auto"/>
        <w:jc w:val="center"/>
        <w:rPr>
          <w:rFonts w:ascii="宋体;SimSun" w:hAnsi="宋体;SimSun" w:eastAsia="宋体;SimSun" w:cs="宋体;SimSun"/>
          <w:bCs/>
          <w:color w:val="auto"/>
          <w:sz w:val="24"/>
          <w:szCs w:val="24"/>
          <w:highlight w:val="none"/>
        </w:rPr>
      </w:pPr>
    </w:p>
    <w:p w14:paraId="58813B75">
      <w:pPr>
        <w:spacing w:line="500" w:lineRule="exact"/>
        <w:ind w:firstLine="480"/>
        <w:rPr>
          <w:color w:val="auto"/>
          <w:highlight w:val="none"/>
        </w:rPr>
      </w:pPr>
      <w:r>
        <w:rPr>
          <w:rFonts w:ascii="宋体;SimSun" w:hAnsi="宋体;SimSun" w:eastAsia="宋体;SimSun" w:cs="宋体;SimSun"/>
          <w:color w:val="auto"/>
          <w:sz w:val="24"/>
          <w:szCs w:val="24"/>
          <w:highlight w:val="none"/>
        </w:rPr>
        <w:t>本公司郑重声明，根据《政府采购促进中小企业发展管理办法》(财库〔2020〕46号)的规定，本公司参加</w:t>
      </w:r>
      <w:r>
        <w:rPr>
          <w:rFonts w:ascii="宋体;SimSun" w:hAnsi="宋体;SimSun" w:eastAsia="宋体;SimSun" w:cs="宋体;SimSun"/>
          <w:color w:val="auto"/>
          <w:sz w:val="24"/>
          <w:szCs w:val="24"/>
          <w:highlight w:val="none"/>
          <w:u w:val="single"/>
        </w:rPr>
        <w:t>（单位名称）</w:t>
      </w:r>
      <w:r>
        <w:rPr>
          <w:rFonts w:ascii="宋体;SimSun" w:hAnsi="宋体;SimSun" w:eastAsia="宋体;SimSun" w:cs="宋体;SimSun"/>
          <w:color w:val="auto"/>
          <w:sz w:val="24"/>
          <w:szCs w:val="24"/>
          <w:highlight w:val="none"/>
        </w:rPr>
        <w:t>的</w:t>
      </w:r>
      <w:r>
        <w:rPr>
          <w:rFonts w:ascii="宋体;SimSun" w:hAnsi="宋体;SimSun" w:eastAsia="宋体;SimSun" w:cs="宋体;SimSun"/>
          <w:color w:val="auto"/>
          <w:sz w:val="24"/>
          <w:szCs w:val="24"/>
          <w:highlight w:val="none"/>
          <w:u w:val="single"/>
        </w:rPr>
        <w:t>（项目名称）</w:t>
      </w:r>
      <w:r>
        <w:rPr>
          <w:rFonts w:ascii="宋体;SimSun" w:hAnsi="宋体;SimSun" w:eastAsia="宋体;SimSun" w:cs="宋体;SimSun"/>
          <w:color w:val="auto"/>
          <w:sz w:val="24"/>
          <w:szCs w:val="24"/>
          <w:highlight w:val="none"/>
        </w:rPr>
        <w:t>（项目编号：，分包号：）采购活动，提供的</w:t>
      </w:r>
      <w:r>
        <w:rPr>
          <w:rFonts w:ascii="宋体;SimSun" w:hAnsi="宋体;SimSun" w:eastAsia="宋体;SimSun" w:cs="宋体;SimSun"/>
          <w:color w:val="auto"/>
          <w:sz w:val="24"/>
          <w:highlight w:val="none"/>
        </w:rPr>
        <w:t>服务全部由符合政策要求的中小企业承接。</w:t>
      </w:r>
    </w:p>
    <w:p w14:paraId="07430481">
      <w:pPr>
        <w:spacing w:line="500" w:lineRule="exact"/>
        <w:ind w:firstLine="480"/>
        <w:rPr>
          <w:color w:val="auto"/>
          <w:highlight w:val="none"/>
        </w:rPr>
      </w:pPr>
      <w:r>
        <w:rPr>
          <w:rFonts w:ascii="宋体;SimSun" w:hAnsi="宋体;SimSun" w:eastAsia="宋体;SimSun" w:cs="宋体;SimSun"/>
          <w:color w:val="auto"/>
          <w:sz w:val="24"/>
          <w:szCs w:val="24"/>
          <w:highlight w:val="none"/>
          <w:u w:val="single"/>
        </w:rPr>
        <w:t>（标的名称）</w:t>
      </w:r>
      <w:r>
        <w:rPr>
          <w:rFonts w:ascii="宋体;SimSun" w:hAnsi="宋体;SimSun" w:eastAsia="宋体;SimSun" w:cs="宋体;SimSun"/>
          <w:color w:val="auto"/>
          <w:sz w:val="24"/>
          <w:szCs w:val="24"/>
          <w:highlight w:val="none"/>
        </w:rPr>
        <w:t>，属于</w:t>
      </w:r>
      <w:r>
        <w:rPr>
          <w:rFonts w:ascii="宋体;SimSun" w:hAnsi="宋体;SimSun" w:eastAsia="宋体;SimSun" w:cs="宋体;SimSun"/>
          <w:color w:val="auto"/>
          <w:sz w:val="24"/>
          <w:szCs w:val="24"/>
          <w:highlight w:val="none"/>
          <w:u w:val="single"/>
        </w:rPr>
        <w:t>（采购文件中明确的所属行业）</w:t>
      </w:r>
      <w:r>
        <w:rPr>
          <w:rFonts w:ascii="宋体;SimSun" w:hAnsi="宋体;SimSun" w:eastAsia="宋体;SimSun" w:cs="宋体;SimSun"/>
          <w:color w:val="auto"/>
          <w:sz w:val="24"/>
          <w:szCs w:val="24"/>
          <w:highlight w:val="none"/>
        </w:rPr>
        <w:t>行业；承接企业为</w:t>
      </w:r>
      <w:r>
        <w:rPr>
          <w:rFonts w:ascii="宋体;SimSun" w:hAnsi="宋体;SimSun" w:eastAsia="宋体;SimSun" w:cs="宋体;SimSun"/>
          <w:color w:val="auto"/>
          <w:sz w:val="24"/>
          <w:szCs w:val="24"/>
          <w:highlight w:val="none"/>
          <w:u w:val="single"/>
        </w:rPr>
        <w:t>（企业名称）</w:t>
      </w:r>
      <w:r>
        <w:rPr>
          <w:rFonts w:ascii="宋体;SimSun" w:hAnsi="宋体;SimSun" w:eastAsia="宋体;SimSun" w:cs="宋体;SimSun"/>
          <w:color w:val="auto"/>
          <w:sz w:val="24"/>
          <w:szCs w:val="24"/>
          <w:highlight w:val="none"/>
        </w:rPr>
        <w:t>，从业人员人，营业收入为万元，资产总额为万元，属于</w:t>
      </w:r>
      <w:r>
        <w:rPr>
          <w:rFonts w:ascii="宋体;SimSun" w:hAnsi="宋体;SimSun" w:eastAsia="宋体;SimSun" w:cs="宋体;SimSun"/>
          <w:color w:val="auto"/>
          <w:sz w:val="24"/>
          <w:szCs w:val="24"/>
          <w:highlight w:val="none"/>
          <w:u w:val="single"/>
        </w:rPr>
        <w:t>（中型企业、小型企业、微型企业）</w:t>
      </w:r>
      <w:r>
        <w:rPr>
          <w:rFonts w:ascii="宋体;SimSun" w:hAnsi="宋体;SimSun" w:eastAsia="宋体;SimSun" w:cs="宋体;SimSun"/>
          <w:color w:val="auto"/>
          <w:sz w:val="24"/>
          <w:szCs w:val="24"/>
          <w:highlight w:val="none"/>
        </w:rPr>
        <w:t>；</w:t>
      </w:r>
    </w:p>
    <w:p w14:paraId="31092CC8">
      <w:pPr>
        <w:spacing w:line="500" w:lineRule="exact"/>
        <w:ind w:firstLine="480"/>
        <w:rPr>
          <w:color w:val="auto"/>
          <w:highlight w:val="none"/>
        </w:rPr>
      </w:pPr>
      <w:r>
        <w:rPr>
          <w:rFonts w:ascii="宋体;SimSun" w:hAnsi="宋体;SimSun" w:eastAsia="宋体;SimSun" w:cs="宋体;SimSun"/>
          <w:color w:val="auto"/>
          <w:sz w:val="24"/>
          <w:szCs w:val="24"/>
          <w:highlight w:val="none"/>
        </w:rPr>
        <w:t>以上企业，不属于大企业的分支机构，不存在控股股东为大企业的情形，也不存在与大企业的负责人为同一人的情形。</w:t>
      </w:r>
    </w:p>
    <w:p w14:paraId="3B815BAF">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本企业对上述声明内容的真实性负责。如有虚假，将依法承担相应责任。</w:t>
      </w:r>
    </w:p>
    <w:p w14:paraId="6BD71610">
      <w:pPr>
        <w:spacing w:line="560" w:lineRule="exact"/>
        <w:ind w:right="1620"/>
        <w:rPr>
          <w:rFonts w:ascii="宋体;SimSun" w:hAnsi="宋体;SimSun" w:eastAsia="宋体;SimSun" w:cs="宋体;SimSun"/>
          <w:color w:val="auto"/>
          <w:sz w:val="24"/>
          <w:szCs w:val="24"/>
          <w:highlight w:val="none"/>
        </w:rPr>
      </w:pPr>
    </w:p>
    <w:p w14:paraId="0F57D4CA">
      <w:pPr>
        <w:spacing w:line="560" w:lineRule="exact"/>
        <w:ind w:right="1620" w:firstLine="28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企业名称（盖章）：</w:t>
      </w:r>
    </w:p>
    <w:p w14:paraId="017900AC">
      <w:pPr>
        <w:spacing w:line="560" w:lineRule="exact"/>
        <w:ind w:right="1140" w:firstLine="28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 期：</w:t>
      </w:r>
    </w:p>
    <w:p w14:paraId="3D0846FB">
      <w:pPr>
        <w:spacing w:line="360" w:lineRule="auto"/>
        <w:ind w:right="480"/>
        <w:jc w:val="left"/>
        <w:rPr>
          <w:rFonts w:ascii="宋体;SimSun" w:hAnsi="宋体;SimSun" w:eastAsia="宋体;SimSun" w:cs="宋体;SimSun"/>
          <w:color w:val="auto"/>
          <w:sz w:val="24"/>
          <w:szCs w:val="24"/>
          <w:highlight w:val="none"/>
        </w:rPr>
      </w:pPr>
    </w:p>
    <w:p w14:paraId="3F353354">
      <w:pPr>
        <w:spacing w:line="360" w:lineRule="auto"/>
        <w:ind w:right="480"/>
        <w:jc w:val="left"/>
        <w:rPr>
          <w:rFonts w:ascii="宋体;SimSun" w:hAnsi="宋体;SimSun" w:eastAsia="宋体;SimSun" w:cs="宋体;SimSun"/>
          <w:color w:val="auto"/>
          <w:sz w:val="24"/>
          <w:szCs w:val="24"/>
          <w:highlight w:val="none"/>
        </w:rPr>
      </w:pPr>
    </w:p>
    <w:p w14:paraId="127AD9D5">
      <w:pPr>
        <w:spacing w:line="360" w:lineRule="auto"/>
        <w:ind w:right="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填报说明：</w:t>
      </w:r>
    </w:p>
    <w:p w14:paraId="3133B1A1">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1、从业人员、营业收入、资产总额填报上一年度数据，无上一年度数据的新成立企业可不填报。</w:t>
      </w:r>
    </w:p>
    <w:p w14:paraId="75FFEDF2">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2、请供应商如实填写，所填内容将作为评审的依据，如填写不完整或不一致或填写有误，将承担一切不利后果。</w:t>
      </w:r>
    </w:p>
    <w:p w14:paraId="4AA65372">
      <w:pPr>
        <w:spacing w:line="360" w:lineRule="auto"/>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3、中标人的《中小企业声明函》随中标结果公开。</w:t>
      </w:r>
    </w:p>
    <w:p w14:paraId="4F5CA359">
      <w:pPr>
        <w:rPr>
          <w:rFonts w:ascii="宋体;SimSun" w:hAnsi="宋体;SimSun" w:eastAsia="宋体;SimSun" w:cs="宋体;SimSun"/>
          <w:color w:val="auto"/>
          <w:sz w:val="24"/>
          <w:szCs w:val="24"/>
          <w:highlight w:val="none"/>
        </w:rPr>
      </w:pPr>
    </w:p>
    <w:p w14:paraId="0121A83A">
      <w:pPr>
        <w:rPr>
          <w:rFonts w:ascii="宋体;SimSun" w:hAnsi="宋体;SimSun" w:eastAsia="宋体;SimSun" w:cs="宋体;SimSun"/>
          <w:color w:val="auto"/>
          <w:sz w:val="24"/>
          <w:szCs w:val="24"/>
          <w:highlight w:val="none"/>
        </w:rPr>
      </w:pPr>
    </w:p>
    <w:p w14:paraId="4772EAB6">
      <w:pPr>
        <w:rPr>
          <w:rFonts w:ascii="宋体;SimSun" w:hAnsi="宋体;SimSun" w:eastAsia="宋体;SimSun" w:cs="宋体;SimSun"/>
          <w:color w:val="auto"/>
          <w:highlight w:val="none"/>
        </w:rPr>
      </w:pPr>
    </w:p>
    <w:p w14:paraId="100614DE">
      <w:pPr>
        <w:rPr>
          <w:rFonts w:ascii="宋体;SimSun" w:hAnsi="宋体;SimSun" w:eastAsia="宋体;SimSun" w:cs="宋体;SimSun"/>
          <w:color w:val="auto"/>
          <w:highlight w:val="none"/>
        </w:rPr>
      </w:pPr>
    </w:p>
    <w:p w14:paraId="07B0CE7F">
      <w:pPr>
        <w:rPr>
          <w:rFonts w:ascii="宋体;SimSun" w:hAnsi="宋体;SimSun" w:eastAsia="宋体;SimSun" w:cs="宋体;SimSun"/>
          <w:color w:val="auto"/>
          <w:highlight w:val="none"/>
        </w:rPr>
      </w:pPr>
    </w:p>
    <w:p w14:paraId="57666C06">
      <w:pPr>
        <w:keepNext/>
        <w:keepLines/>
        <w:spacing w:before="360" w:after="200" w:line="360" w:lineRule="auto"/>
        <w:jc w:val="left"/>
        <w:outlineLvl w:val="1"/>
        <w:rPr>
          <w:rFonts w:ascii="宋体;SimSun" w:hAnsi="宋体;SimSun" w:eastAsia="宋体;SimSun" w:cs="宋体;SimSun"/>
          <w:b/>
          <w:color w:val="auto"/>
          <w:sz w:val="36"/>
          <w:highlight w:val="none"/>
        </w:rPr>
      </w:pPr>
      <w:r>
        <w:rPr>
          <w:rFonts w:ascii="宋体;SimSun" w:hAnsi="宋体;SimSun" w:eastAsia="宋体;SimSun" w:cs="宋体;SimSun"/>
          <w:b/>
          <w:color w:val="auto"/>
          <w:sz w:val="36"/>
          <w:highlight w:val="none"/>
        </w:rPr>
        <w:t>十二、残疾人福利性单位声明函</w:t>
      </w:r>
    </w:p>
    <w:p w14:paraId="04E4B37E">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残疾人福利性单位声明函</w:t>
      </w:r>
    </w:p>
    <w:p w14:paraId="468CB8EB">
      <w:pPr>
        <w:tabs>
          <w:tab w:val="left" w:pos="360"/>
        </w:tabs>
        <w:spacing w:line="360" w:lineRule="auto"/>
        <w:jc w:val="center"/>
        <w:rPr>
          <w:rFonts w:ascii="宋体;SimSun" w:hAnsi="宋体;SimSun" w:eastAsia="宋体;SimSun" w:cs="宋体;SimSun"/>
          <w:bCs/>
          <w:color w:val="auto"/>
          <w:sz w:val="24"/>
          <w:szCs w:val="21"/>
          <w:highlight w:val="none"/>
        </w:rPr>
      </w:pPr>
    </w:p>
    <w:p w14:paraId="76C9C09B">
      <w:pPr>
        <w:spacing w:line="500" w:lineRule="exact"/>
        <w:ind w:firstLine="480"/>
        <w:jc w:val="left"/>
        <w:rPr>
          <w:color w:val="auto"/>
          <w:highlight w:val="none"/>
        </w:rPr>
      </w:pPr>
      <w:r>
        <w:rPr>
          <w:rFonts w:ascii="宋体;SimSun" w:hAnsi="宋体;SimSun" w:eastAsia="宋体;SimSun" w:cs="宋体;SimSun"/>
          <w:color w:val="auto"/>
          <w:sz w:val="24"/>
          <w:szCs w:val="21"/>
          <w:highlight w:val="none"/>
        </w:rPr>
        <w:t>本单位郑重声明，根据《财政部 民政部 中国残疾人联合会关于促进残疾人就业政府采购政策的通知》（财库</w:t>
      </w:r>
      <w:r>
        <w:rPr>
          <w:rFonts w:ascii="宋体;SimSun" w:hAnsi="宋体;SimSun" w:eastAsia="宋体;SimSun" w:cs="宋体;SimSun"/>
          <w:color w:val="auto"/>
          <w:sz w:val="24"/>
          <w:szCs w:val="24"/>
          <w:highlight w:val="none"/>
        </w:rPr>
        <w:t>〔2017〕</w:t>
      </w:r>
      <w:r>
        <w:rPr>
          <w:rFonts w:ascii="宋体;SimSun" w:hAnsi="宋体;SimSun" w:eastAsia="宋体;SimSun" w:cs="宋体;SimSun"/>
          <w:color w:val="auto"/>
          <w:sz w:val="24"/>
          <w:szCs w:val="21"/>
          <w:highlight w:val="none"/>
        </w:rPr>
        <w:t>141号）的规定，本单位为符合条件的残疾人福利性单位，且本单位参加单位的项目（</w:t>
      </w:r>
      <w:r>
        <w:rPr>
          <w:rFonts w:ascii="宋体;SimSun" w:hAnsi="宋体;SimSun" w:eastAsia="宋体;SimSun" w:cs="宋体;SimSun"/>
          <w:color w:val="auto"/>
          <w:sz w:val="24"/>
          <w:szCs w:val="24"/>
          <w:highlight w:val="none"/>
        </w:rPr>
        <w:t>项目编号：，分包号：</w:t>
      </w:r>
      <w:r>
        <w:rPr>
          <w:rFonts w:ascii="宋体;SimSun" w:hAnsi="宋体;SimSun" w:eastAsia="宋体;SimSun" w:cs="宋体;SimSun"/>
          <w:color w:val="auto"/>
          <w:sz w:val="24"/>
          <w:szCs w:val="21"/>
          <w:highlight w:val="none"/>
        </w:rPr>
        <w:t>）采购活动由本单位提供全部服务。</w:t>
      </w:r>
    </w:p>
    <w:p w14:paraId="6B7CB384">
      <w:pPr>
        <w:spacing w:line="500" w:lineRule="exact"/>
        <w:ind w:firstLine="480"/>
        <w:rPr>
          <w:rFonts w:ascii="宋体;SimSun" w:hAnsi="宋体;SimSun" w:eastAsia="宋体;SimSun" w:cs="宋体;SimSun"/>
          <w:color w:val="auto"/>
          <w:sz w:val="24"/>
          <w:szCs w:val="21"/>
          <w:highlight w:val="none"/>
        </w:rPr>
      </w:pPr>
      <w:r>
        <w:rPr>
          <w:rFonts w:ascii="宋体;SimSun" w:hAnsi="宋体;SimSun" w:eastAsia="宋体;SimSun" w:cs="宋体;SimSun"/>
          <w:color w:val="auto"/>
          <w:sz w:val="24"/>
          <w:szCs w:val="21"/>
          <w:highlight w:val="none"/>
        </w:rPr>
        <w:t>本单位对上述声明的真实性负责。如有虚假，将依法承担相应责任。</w:t>
      </w:r>
    </w:p>
    <w:p w14:paraId="2C47211D">
      <w:pPr>
        <w:spacing w:line="500" w:lineRule="exact"/>
        <w:ind w:firstLine="480"/>
        <w:rPr>
          <w:rFonts w:ascii="宋体;SimSun" w:hAnsi="宋体;SimSun" w:eastAsia="宋体;SimSun" w:cs="宋体;SimSun"/>
          <w:color w:val="auto"/>
          <w:sz w:val="24"/>
          <w:szCs w:val="21"/>
          <w:highlight w:val="none"/>
        </w:rPr>
      </w:pPr>
    </w:p>
    <w:p w14:paraId="6A80C3D2">
      <w:pPr>
        <w:spacing w:line="560" w:lineRule="exact"/>
        <w:ind w:right="1620" w:firstLine="28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单位名称（盖章）：</w:t>
      </w:r>
    </w:p>
    <w:p w14:paraId="473D2EF7">
      <w:pPr>
        <w:spacing w:line="560" w:lineRule="exact"/>
        <w:ind w:right="1140" w:firstLine="28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 期：</w:t>
      </w:r>
    </w:p>
    <w:p w14:paraId="636B0231">
      <w:pPr>
        <w:rPr>
          <w:rFonts w:ascii="宋体;SimSun" w:hAnsi="宋体;SimSun" w:eastAsia="宋体;SimSun" w:cs="宋体;SimSun"/>
          <w:color w:val="auto"/>
          <w:sz w:val="24"/>
          <w:szCs w:val="24"/>
          <w:highlight w:val="none"/>
        </w:rPr>
      </w:pPr>
    </w:p>
    <w:p w14:paraId="368FDB7A">
      <w:pPr>
        <w:rPr>
          <w:rFonts w:ascii="宋体;SimSun" w:hAnsi="宋体;SimSun" w:eastAsia="宋体;SimSun" w:cs="宋体;SimSun"/>
          <w:color w:val="auto"/>
          <w:sz w:val="24"/>
          <w:szCs w:val="24"/>
          <w:highlight w:val="none"/>
        </w:rPr>
      </w:pPr>
    </w:p>
    <w:p w14:paraId="5C95AABE">
      <w:pPr>
        <w:spacing w:line="360" w:lineRule="auto"/>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填报说明：</w:t>
      </w:r>
    </w:p>
    <w:p w14:paraId="65751AD4">
      <w:pPr>
        <w:spacing w:line="360" w:lineRule="auto"/>
        <w:ind w:firstLine="480"/>
        <w:jc w:val="left"/>
        <w:rPr>
          <w:color w:val="auto"/>
          <w:highlight w:val="none"/>
        </w:rPr>
      </w:pPr>
      <w:r>
        <w:rPr>
          <w:rFonts w:ascii="宋体;SimSun" w:hAnsi="宋体;SimSun" w:eastAsia="宋体;SimSun" w:cs="宋体;SimSun"/>
          <w:bCs/>
          <w:color w:val="auto"/>
          <w:sz w:val="24"/>
          <w:szCs w:val="24"/>
          <w:highlight w:val="none"/>
        </w:rPr>
        <w:t>1、</w:t>
      </w:r>
      <w:r>
        <w:rPr>
          <w:rFonts w:ascii="宋体;SimSun" w:hAnsi="宋体;SimSun" w:eastAsia="宋体;SimSun" w:cs="宋体;SimSun"/>
          <w:color w:val="auto"/>
          <w:sz w:val="24"/>
          <w:szCs w:val="24"/>
          <w:highlight w:val="none"/>
        </w:rPr>
        <w:t>请供应商如实填写，</w:t>
      </w:r>
      <w:r>
        <w:rPr>
          <w:rFonts w:ascii="宋体;SimSun" w:hAnsi="宋体;SimSun" w:eastAsia="宋体;SimSun" w:cs="宋体;SimSun"/>
          <w:bCs/>
          <w:color w:val="auto"/>
          <w:sz w:val="24"/>
          <w:highlight w:val="none"/>
        </w:rPr>
        <w:t>所填内容将作为评审的依据</w:t>
      </w:r>
      <w:r>
        <w:rPr>
          <w:rFonts w:ascii="宋体;SimSun" w:hAnsi="宋体;SimSun" w:eastAsia="宋体;SimSun" w:cs="宋体;SimSun"/>
          <w:color w:val="auto"/>
          <w:sz w:val="24"/>
          <w:szCs w:val="24"/>
          <w:highlight w:val="none"/>
        </w:rPr>
        <w:t>，如填写不完整或不一致或填写有误，将承担一切不利后果。</w:t>
      </w:r>
    </w:p>
    <w:p w14:paraId="5AB2F2FD">
      <w:pPr>
        <w:spacing w:line="360" w:lineRule="auto"/>
        <w:ind w:firstLine="480"/>
        <w:jc w:val="left"/>
        <w:rPr>
          <w:color w:val="auto"/>
          <w:highlight w:val="none"/>
        </w:rPr>
      </w:pPr>
      <w:r>
        <w:rPr>
          <w:rFonts w:ascii="宋体;SimSun" w:hAnsi="宋体;SimSun" w:eastAsia="宋体;SimSun" w:cs="宋体;SimSun"/>
          <w:bCs/>
          <w:color w:val="auto"/>
          <w:sz w:val="24"/>
          <w:szCs w:val="24"/>
          <w:highlight w:val="none"/>
        </w:rPr>
        <w:t>2、中标人的《残疾人福利性单位声明函》随中标结果公开。</w:t>
      </w:r>
    </w:p>
    <w:p w14:paraId="5EBC2C30">
      <w:pPr>
        <w:rPr>
          <w:rFonts w:ascii="宋体;SimSun" w:hAnsi="宋体;SimSun" w:eastAsia="宋体;SimSun" w:cs="宋体;SimSun"/>
          <w:color w:val="auto"/>
          <w:sz w:val="24"/>
          <w:szCs w:val="24"/>
          <w:highlight w:val="none"/>
        </w:rPr>
      </w:pPr>
    </w:p>
    <w:p w14:paraId="6EEED71E">
      <w:pPr>
        <w:rPr>
          <w:rFonts w:ascii="宋体;SimSun" w:hAnsi="宋体;SimSun" w:eastAsia="宋体;SimSun" w:cs="宋体;SimSun"/>
          <w:color w:val="auto"/>
          <w:sz w:val="24"/>
          <w:szCs w:val="24"/>
          <w:highlight w:val="none"/>
        </w:rPr>
      </w:pPr>
    </w:p>
    <w:p w14:paraId="5481688A">
      <w:pPr>
        <w:rPr>
          <w:rFonts w:ascii="宋体;SimSun" w:hAnsi="宋体;SimSun" w:eastAsia="宋体;SimSun" w:cs="宋体;SimSun"/>
          <w:color w:val="auto"/>
          <w:highlight w:val="none"/>
        </w:rPr>
      </w:pPr>
    </w:p>
    <w:p w14:paraId="147E52D4">
      <w:pPr>
        <w:rPr>
          <w:rFonts w:ascii="宋体;SimSun" w:hAnsi="宋体;SimSun" w:eastAsia="宋体;SimSun" w:cs="宋体;SimSun"/>
          <w:color w:val="auto"/>
          <w:highlight w:val="none"/>
        </w:rPr>
      </w:pPr>
    </w:p>
    <w:p w14:paraId="16913D96">
      <w:pPr>
        <w:rPr>
          <w:rFonts w:ascii="宋体;SimSun" w:hAnsi="宋体;SimSun" w:eastAsia="宋体;SimSun" w:cs="宋体;SimSun"/>
          <w:color w:val="auto"/>
          <w:highlight w:val="none"/>
        </w:rPr>
      </w:pPr>
    </w:p>
    <w:p w14:paraId="316A6720">
      <w:pPr>
        <w:rPr>
          <w:rFonts w:ascii="宋体;SimSun" w:hAnsi="宋体;SimSun" w:eastAsia="宋体;SimSun" w:cs="宋体;SimSun"/>
          <w:color w:val="auto"/>
          <w:highlight w:val="none"/>
        </w:rPr>
      </w:pPr>
    </w:p>
    <w:p w14:paraId="5C8AE04C">
      <w:pPr>
        <w:rPr>
          <w:rFonts w:ascii="宋体;SimSun" w:hAnsi="宋体;SimSun" w:eastAsia="宋体;SimSun" w:cs="宋体;SimSun"/>
          <w:color w:val="auto"/>
          <w:highlight w:val="none"/>
        </w:rPr>
      </w:pPr>
    </w:p>
    <w:p w14:paraId="3C2FD6F7">
      <w:pPr>
        <w:rPr>
          <w:rFonts w:ascii="宋体;SimSun" w:hAnsi="宋体;SimSun" w:eastAsia="宋体;SimSun" w:cs="宋体;SimSun"/>
          <w:color w:val="auto"/>
          <w:highlight w:val="none"/>
        </w:rPr>
      </w:pPr>
    </w:p>
    <w:p w14:paraId="053E8F4B">
      <w:pPr>
        <w:rPr>
          <w:rFonts w:ascii="宋体;SimSun" w:hAnsi="宋体;SimSun" w:eastAsia="宋体;SimSun" w:cs="宋体;SimSun"/>
          <w:color w:val="auto"/>
          <w:highlight w:val="none"/>
        </w:rPr>
      </w:pPr>
    </w:p>
    <w:p w14:paraId="4CB1EF70">
      <w:pPr>
        <w:rPr>
          <w:rFonts w:ascii="宋体;SimSun" w:hAnsi="宋体;SimSun" w:eastAsia="宋体;SimSun" w:cs="宋体;SimSun"/>
          <w:color w:val="auto"/>
          <w:highlight w:val="none"/>
        </w:rPr>
      </w:pPr>
    </w:p>
    <w:p w14:paraId="227D4FE4">
      <w:pPr>
        <w:rPr>
          <w:rFonts w:ascii="宋体;SimSun" w:hAnsi="宋体;SimSun" w:eastAsia="宋体;SimSun" w:cs="宋体;SimSun"/>
          <w:color w:val="auto"/>
          <w:highlight w:val="none"/>
        </w:rPr>
      </w:pPr>
    </w:p>
    <w:p w14:paraId="6FF216AF">
      <w:pPr>
        <w:rPr>
          <w:rFonts w:ascii="宋体;SimSun" w:hAnsi="宋体;SimSun" w:eastAsia="宋体;SimSun" w:cs="宋体;SimSun"/>
          <w:color w:val="auto"/>
          <w:highlight w:val="none"/>
        </w:rPr>
      </w:pPr>
    </w:p>
    <w:p w14:paraId="11D074EF">
      <w:pPr>
        <w:rPr>
          <w:rFonts w:ascii="宋体;SimSun" w:hAnsi="宋体;SimSun" w:eastAsia="宋体;SimSun" w:cs="宋体;SimSun"/>
          <w:color w:val="auto"/>
          <w:highlight w:val="none"/>
        </w:rPr>
      </w:pPr>
    </w:p>
    <w:p w14:paraId="3AA8F602">
      <w:pPr>
        <w:rPr>
          <w:rFonts w:ascii="宋体;SimSun" w:hAnsi="宋体;SimSun" w:eastAsia="宋体;SimSun" w:cs="宋体;SimSun"/>
          <w:color w:val="auto"/>
          <w:highlight w:val="none"/>
        </w:rPr>
      </w:pPr>
    </w:p>
    <w:p w14:paraId="4E51EF83">
      <w:pPr>
        <w:rPr>
          <w:rFonts w:ascii="宋体;SimSun" w:hAnsi="宋体;SimSun" w:eastAsia="宋体;SimSun" w:cs="宋体;SimSun"/>
          <w:color w:val="auto"/>
          <w:highlight w:val="none"/>
        </w:rPr>
      </w:pPr>
    </w:p>
    <w:p w14:paraId="06251A64">
      <w:pPr>
        <w:rPr>
          <w:rFonts w:ascii="宋体;SimSun" w:hAnsi="宋体;SimSun" w:eastAsia="宋体;SimSun" w:cs="宋体;SimSun"/>
          <w:color w:val="auto"/>
          <w:highlight w:val="none"/>
        </w:rPr>
      </w:pPr>
    </w:p>
    <w:p w14:paraId="17721F85">
      <w:pPr>
        <w:rPr>
          <w:rFonts w:ascii="宋体;SimSun" w:hAnsi="宋体;SimSun" w:eastAsia="宋体;SimSun" w:cs="宋体;SimSun"/>
          <w:color w:val="auto"/>
          <w:highlight w:val="none"/>
        </w:rPr>
      </w:pPr>
    </w:p>
    <w:p w14:paraId="78422B1A">
      <w:pPr>
        <w:rPr>
          <w:rFonts w:ascii="宋体;SimSun" w:hAnsi="宋体;SimSun" w:eastAsia="宋体;SimSun" w:cs="宋体;SimSun"/>
          <w:color w:val="auto"/>
          <w:highlight w:val="none"/>
        </w:rPr>
      </w:pPr>
    </w:p>
    <w:p w14:paraId="515B6871">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十三、投标分项报价表</w:t>
      </w:r>
    </w:p>
    <w:p w14:paraId="25FAC2C7">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投标分项报价表</w:t>
      </w:r>
    </w:p>
    <w:p w14:paraId="20DC1D14">
      <w:pPr>
        <w:tabs>
          <w:tab w:val="left" w:pos="360"/>
        </w:tabs>
        <w:spacing w:line="360" w:lineRule="auto"/>
        <w:jc w:val="center"/>
        <w:rPr>
          <w:rFonts w:ascii="宋体;SimSun" w:hAnsi="宋体;SimSun" w:eastAsia="宋体;SimSun" w:cs="宋体;SimSun"/>
          <w:bCs/>
          <w:color w:val="auto"/>
          <w:sz w:val="36"/>
          <w:szCs w:val="28"/>
          <w:highlight w:val="none"/>
        </w:rPr>
      </w:pPr>
    </w:p>
    <w:p w14:paraId="552B34A2">
      <w:pPr>
        <w:spacing w:line="360" w:lineRule="auto"/>
        <w:ind w:firstLine="36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项目名称： 项目编号： 分包号：</w:t>
      </w:r>
    </w:p>
    <w:p w14:paraId="5E4E3342">
      <w:pPr>
        <w:spacing w:line="360" w:lineRule="auto"/>
        <w:jc w:val="right"/>
        <w:rPr>
          <w:color w:val="auto"/>
          <w:highlight w:val="none"/>
        </w:rPr>
      </w:pPr>
      <w:r>
        <w:rPr>
          <w:color w:val="auto"/>
          <w:highlight w:val="none"/>
        </w:rPr>
        <w:t>单位：元</w:t>
      </w:r>
    </w:p>
    <w:tbl>
      <w:tblPr>
        <w:tblStyle w:val="39"/>
        <w:tblW w:w="9639" w:type="dxa"/>
        <w:jc w:val="center"/>
        <w:tblLayout w:type="fixed"/>
        <w:tblCellMar>
          <w:top w:w="0" w:type="dxa"/>
          <w:left w:w="108" w:type="dxa"/>
          <w:bottom w:w="0" w:type="dxa"/>
          <w:right w:w="108" w:type="dxa"/>
        </w:tblCellMar>
      </w:tblPr>
      <w:tblGrid>
        <w:gridCol w:w="1134"/>
        <w:gridCol w:w="2083"/>
        <w:gridCol w:w="1462"/>
        <w:gridCol w:w="1133"/>
        <w:gridCol w:w="1134"/>
        <w:gridCol w:w="2693"/>
      </w:tblGrid>
      <w:tr w14:paraId="202DBA70">
        <w:tblPrEx>
          <w:tblCellMar>
            <w:top w:w="0" w:type="dxa"/>
            <w:left w:w="108" w:type="dxa"/>
            <w:bottom w:w="0" w:type="dxa"/>
            <w:right w:w="108" w:type="dxa"/>
          </w:tblCellMar>
        </w:tblPrEx>
        <w:trPr>
          <w:cantSplit/>
          <w:trHeight w:val="898"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A6F861D">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序号</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66B14DA4">
            <w:pPr>
              <w:spacing w:line="560" w:lineRule="exact"/>
              <w:jc w:val="center"/>
              <w:rPr>
                <w:rFonts w:ascii="宋体;SimSun" w:hAnsi="宋体;SimSun" w:eastAsia="宋体;SimSun" w:cs="宋体;SimSun"/>
                <w:color w:val="auto"/>
                <w:sz w:val="24"/>
                <w:highlight w:val="none"/>
              </w:rPr>
            </w:pPr>
            <w:r>
              <w:rPr>
                <w:rFonts w:ascii="宋体;SimSun" w:hAnsi="宋体;SimSun" w:eastAsia="宋体;SimSun" w:cs="宋体;SimSun"/>
                <w:color w:val="auto"/>
                <w:sz w:val="24"/>
                <w:highlight w:val="none"/>
              </w:rPr>
              <w:t>产品、服务（标的）名称</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14:paraId="4C48057A">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分项单位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5CD3FBF3">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数量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DE41888">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单价</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4623591A">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单项</w:t>
            </w:r>
          </w:p>
          <w:p w14:paraId="2ED94A07">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合计价</w:t>
            </w:r>
          </w:p>
        </w:tc>
      </w:tr>
      <w:tr w14:paraId="6E033FBC">
        <w:tblPrEx>
          <w:tblCellMar>
            <w:top w:w="0" w:type="dxa"/>
            <w:left w:w="108" w:type="dxa"/>
            <w:bottom w:w="0" w:type="dxa"/>
            <w:right w:w="108" w:type="dxa"/>
          </w:tblCellMar>
        </w:tblPrEx>
        <w:trPr>
          <w:cantSplit/>
          <w:trHeight w:val="501"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2B1C90D">
            <w:pPr>
              <w:spacing w:line="560" w:lineRule="exact"/>
              <w:jc w:val="center"/>
              <w:rPr>
                <w:rFonts w:ascii="宋体;SimSun" w:hAnsi="宋体;SimSun" w:eastAsia="宋体;SimSun" w:cs="宋体;SimSun"/>
                <w:color w:val="auto"/>
                <w:sz w:val="24"/>
                <w:highlight w:val="none"/>
                <w:lang w:eastAsia="en-US"/>
              </w:rPr>
            </w:pP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37C34633">
            <w:pPr>
              <w:spacing w:line="560" w:lineRule="exact"/>
              <w:jc w:val="center"/>
              <w:rPr>
                <w:rFonts w:ascii="宋体;SimSun" w:hAnsi="宋体;SimSun" w:eastAsia="宋体;SimSun" w:cs="宋体;SimSun"/>
                <w:color w:val="auto"/>
                <w:sz w:val="24"/>
                <w:highlight w:val="none"/>
                <w:lang w:eastAsia="en-US"/>
              </w:rPr>
            </w:pPr>
          </w:p>
        </w:tc>
        <w:tc>
          <w:tcPr>
            <w:tcW w:w="1462" w:type="dxa"/>
            <w:tcBorders>
              <w:top w:val="single" w:color="000000" w:sz="4" w:space="0"/>
              <w:left w:val="single" w:color="000000" w:sz="4" w:space="0"/>
              <w:bottom w:val="single" w:color="000000" w:sz="4" w:space="0"/>
              <w:right w:val="single" w:color="000000" w:sz="4" w:space="0"/>
            </w:tcBorders>
            <w:noWrap w:val="0"/>
            <w:vAlign w:val="center"/>
          </w:tcPr>
          <w:p w14:paraId="6D6F5347">
            <w:pPr>
              <w:spacing w:line="560" w:lineRule="exact"/>
              <w:jc w:val="center"/>
              <w:rPr>
                <w:rFonts w:ascii="宋体;SimSun" w:hAnsi="宋体;SimSun" w:eastAsia="宋体;SimSun" w:cs="宋体;SimSun"/>
                <w:color w:val="auto"/>
                <w:sz w:val="24"/>
                <w:highlight w:val="none"/>
                <w:lang w:eastAsia="en-US"/>
              </w:rPr>
            </w:pP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4006C969">
            <w:pPr>
              <w:spacing w:line="560" w:lineRule="exact"/>
              <w:jc w:val="center"/>
              <w:rPr>
                <w:rFonts w:ascii="宋体;SimSun" w:hAnsi="宋体;SimSun" w:eastAsia="宋体;SimSun" w:cs="宋体;SimSun"/>
                <w:color w:val="auto"/>
                <w:sz w:val="24"/>
                <w:highlight w:val="none"/>
                <w:lang w:eastAsia="en-US"/>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B8EECA4">
            <w:pPr>
              <w:spacing w:line="560" w:lineRule="exact"/>
              <w:jc w:val="center"/>
              <w:rPr>
                <w:rFonts w:ascii="宋体;SimSun" w:hAnsi="宋体;SimSun" w:eastAsia="宋体;SimSun" w:cs="宋体;SimSun"/>
                <w:color w:val="auto"/>
                <w:sz w:val="24"/>
                <w:highlight w:val="none"/>
                <w:lang w:eastAsia="en-US"/>
              </w:rPr>
            </w:pP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628C2A10">
            <w:pPr>
              <w:spacing w:line="560" w:lineRule="exact"/>
              <w:jc w:val="center"/>
              <w:rPr>
                <w:rFonts w:ascii="宋体;SimSun" w:hAnsi="宋体;SimSun" w:eastAsia="宋体;SimSun" w:cs="宋体;SimSun"/>
                <w:color w:val="auto"/>
                <w:sz w:val="24"/>
                <w:highlight w:val="none"/>
                <w:lang w:eastAsia="en-US"/>
              </w:rPr>
            </w:pPr>
          </w:p>
        </w:tc>
      </w:tr>
      <w:tr w14:paraId="18F73A13">
        <w:tblPrEx>
          <w:tblCellMar>
            <w:top w:w="0" w:type="dxa"/>
            <w:left w:w="108" w:type="dxa"/>
            <w:bottom w:w="0" w:type="dxa"/>
            <w:right w:w="108" w:type="dxa"/>
          </w:tblCellMar>
        </w:tblPrEx>
        <w:trPr>
          <w:cantSplit/>
          <w:trHeight w:val="501"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5A3CC286">
            <w:pPr>
              <w:spacing w:line="560" w:lineRule="exact"/>
              <w:jc w:val="center"/>
              <w:rPr>
                <w:rFonts w:ascii="宋体;SimSun" w:hAnsi="宋体;SimSun" w:eastAsia="宋体;SimSun" w:cs="宋体;SimSun"/>
                <w:color w:val="auto"/>
                <w:sz w:val="24"/>
                <w:highlight w:val="none"/>
                <w:lang w:eastAsia="en-US"/>
              </w:rPr>
            </w:pP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2A32622">
            <w:pPr>
              <w:spacing w:line="560" w:lineRule="exact"/>
              <w:jc w:val="center"/>
              <w:rPr>
                <w:rFonts w:ascii="宋体;SimSun" w:hAnsi="宋体;SimSun" w:eastAsia="宋体;SimSun" w:cs="宋体;SimSun"/>
                <w:color w:val="auto"/>
                <w:sz w:val="24"/>
                <w:highlight w:val="none"/>
                <w:lang w:eastAsia="en-US"/>
              </w:rPr>
            </w:pPr>
          </w:p>
        </w:tc>
        <w:tc>
          <w:tcPr>
            <w:tcW w:w="1462" w:type="dxa"/>
            <w:tcBorders>
              <w:top w:val="single" w:color="000000" w:sz="4" w:space="0"/>
              <w:left w:val="single" w:color="000000" w:sz="4" w:space="0"/>
              <w:bottom w:val="single" w:color="000000" w:sz="4" w:space="0"/>
              <w:right w:val="single" w:color="000000" w:sz="4" w:space="0"/>
            </w:tcBorders>
            <w:noWrap w:val="0"/>
            <w:vAlign w:val="center"/>
          </w:tcPr>
          <w:p w14:paraId="7ABD2147">
            <w:pPr>
              <w:spacing w:line="560" w:lineRule="exact"/>
              <w:jc w:val="center"/>
              <w:rPr>
                <w:rFonts w:ascii="宋体;SimSun" w:hAnsi="宋体;SimSun" w:eastAsia="宋体;SimSun" w:cs="宋体;SimSun"/>
                <w:color w:val="auto"/>
                <w:sz w:val="24"/>
                <w:highlight w:val="none"/>
                <w:lang w:eastAsia="en-US"/>
              </w:rPr>
            </w:pP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5EA7626D">
            <w:pPr>
              <w:spacing w:line="560" w:lineRule="exact"/>
              <w:jc w:val="center"/>
              <w:rPr>
                <w:rFonts w:ascii="宋体;SimSun" w:hAnsi="宋体;SimSun" w:eastAsia="宋体;SimSun" w:cs="宋体;SimSun"/>
                <w:color w:val="auto"/>
                <w:sz w:val="24"/>
                <w:highlight w:val="none"/>
                <w:lang w:eastAsia="en-US"/>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F343355">
            <w:pPr>
              <w:spacing w:line="560" w:lineRule="exact"/>
              <w:jc w:val="center"/>
              <w:rPr>
                <w:rFonts w:ascii="宋体;SimSun" w:hAnsi="宋体;SimSun" w:eastAsia="宋体;SimSun" w:cs="宋体;SimSun"/>
                <w:color w:val="auto"/>
                <w:sz w:val="24"/>
                <w:highlight w:val="none"/>
                <w:lang w:eastAsia="en-US"/>
              </w:rPr>
            </w:pP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43BE8191">
            <w:pPr>
              <w:spacing w:line="560" w:lineRule="exact"/>
              <w:jc w:val="center"/>
              <w:rPr>
                <w:rFonts w:ascii="宋体;SimSun" w:hAnsi="宋体;SimSun" w:eastAsia="宋体;SimSun" w:cs="宋体;SimSun"/>
                <w:color w:val="auto"/>
                <w:sz w:val="24"/>
                <w:highlight w:val="none"/>
                <w:lang w:eastAsia="en-US"/>
              </w:rPr>
            </w:pPr>
          </w:p>
        </w:tc>
      </w:tr>
      <w:tr w14:paraId="3C83A9B7">
        <w:tblPrEx>
          <w:tblCellMar>
            <w:top w:w="0" w:type="dxa"/>
            <w:left w:w="108" w:type="dxa"/>
            <w:bottom w:w="0" w:type="dxa"/>
            <w:right w:w="108" w:type="dxa"/>
          </w:tblCellMar>
        </w:tblPrEx>
        <w:trPr>
          <w:cantSplit/>
          <w:trHeight w:val="501"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D29808E">
            <w:pPr>
              <w:spacing w:line="560" w:lineRule="exact"/>
              <w:jc w:val="center"/>
              <w:rPr>
                <w:rFonts w:ascii="宋体;SimSun" w:hAnsi="宋体;SimSun" w:eastAsia="宋体;SimSun" w:cs="宋体;SimSun"/>
                <w:color w:val="auto"/>
                <w:sz w:val="24"/>
                <w:highlight w:val="none"/>
                <w:lang w:eastAsia="en-US"/>
              </w:rPr>
            </w:pP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7CA8742D">
            <w:pPr>
              <w:spacing w:line="560" w:lineRule="exact"/>
              <w:jc w:val="center"/>
              <w:rPr>
                <w:rFonts w:ascii="宋体;SimSun" w:hAnsi="宋体;SimSun" w:eastAsia="宋体;SimSun" w:cs="宋体;SimSun"/>
                <w:color w:val="auto"/>
                <w:sz w:val="24"/>
                <w:highlight w:val="none"/>
                <w:lang w:eastAsia="en-US"/>
              </w:rPr>
            </w:pPr>
          </w:p>
        </w:tc>
        <w:tc>
          <w:tcPr>
            <w:tcW w:w="1462" w:type="dxa"/>
            <w:tcBorders>
              <w:top w:val="single" w:color="000000" w:sz="4" w:space="0"/>
              <w:left w:val="single" w:color="000000" w:sz="4" w:space="0"/>
              <w:bottom w:val="single" w:color="000000" w:sz="4" w:space="0"/>
              <w:right w:val="single" w:color="000000" w:sz="4" w:space="0"/>
            </w:tcBorders>
            <w:noWrap w:val="0"/>
            <w:vAlign w:val="center"/>
          </w:tcPr>
          <w:p w14:paraId="5118D15A">
            <w:pPr>
              <w:spacing w:line="560" w:lineRule="exact"/>
              <w:jc w:val="center"/>
              <w:rPr>
                <w:rFonts w:ascii="宋体;SimSun" w:hAnsi="宋体;SimSun" w:eastAsia="宋体;SimSun" w:cs="宋体;SimSun"/>
                <w:color w:val="auto"/>
                <w:sz w:val="24"/>
                <w:highlight w:val="none"/>
                <w:lang w:eastAsia="en-US"/>
              </w:rPr>
            </w:pP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60EA5358">
            <w:pPr>
              <w:spacing w:line="560" w:lineRule="exact"/>
              <w:jc w:val="center"/>
              <w:rPr>
                <w:rFonts w:ascii="宋体;SimSun" w:hAnsi="宋体;SimSun" w:eastAsia="宋体;SimSun" w:cs="宋体;SimSun"/>
                <w:color w:val="auto"/>
                <w:sz w:val="24"/>
                <w:highlight w:val="none"/>
                <w:lang w:eastAsia="en-US"/>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815A881">
            <w:pPr>
              <w:spacing w:line="560" w:lineRule="exact"/>
              <w:jc w:val="center"/>
              <w:rPr>
                <w:rFonts w:ascii="宋体;SimSun" w:hAnsi="宋体;SimSun" w:eastAsia="宋体;SimSun" w:cs="宋体;SimSun"/>
                <w:color w:val="auto"/>
                <w:sz w:val="24"/>
                <w:highlight w:val="none"/>
                <w:lang w:eastAsia="en-US"/>
              </w:rPr>
            </w:pP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5D29294C">
            <w:pPr>
              <w:spacing w:line="560" w:lineRule="exact"/>
              <w:jc w:val="center"/>
              <w:rPr>
                <w:rFonts w:ascii="宋体;SimSun" w:hAnsi="宋体;SimSun" w:eastAsia="宋体;SimSun" w:cs="宋体;SimSun"/>
                <w:color w:val="auto"/>
                <w:sz w:val="24"/>
                <w:highlight w:val="none"/>
                <w:lang w:eastAsia="en-US"/>
              </w:rPr>
            </w:pPr>
          </w:p>
        </w:tc>
      </w:tr>
      <w:tr w14:paraId="716A9A1D">
        <w:tblPrEx>
          <w:tblCellMar>
            <w:top w:w="0" w:type="dxa"/>
            <w:left w:w="108" w:type="dxa"/>
            <w:bottom w:w="0" w:type="dxa"/>
            <w:right w:w="108" w:type="dxa"/>
          </w:tblCellMar>
        </w:tblPrEx>
        <w:trPr>
          <w:cantSplit/>
          <w:trHeight w:val="501" w:hRule="atLeast"/>
          <w:jc w:val="center"/>
        </w:trPr>
        <w:tc>
          <w:tcPr>
            <w:tcW w:w="6946" w:type="dxa"/>
            <w:gridSpan w:val="5"/>
            <w:tcBorders>
              <w:top w:val="single" w:color="000000" w:sz="4" w:space="0"/>
              <w:left w:val="single" w:color="000000" w:sz="4" w:space="0"/>
              <w:bottom w:val="single" w:color="000000" w:sz="4" w:space="0"/>
              <w:right w:val="single" w:color="000000" w:sz="4" w:space="0"/>
            </w:tcBorders>
            <w:noWrap w:val="0"/>
            <w:vAlign w:val="center"/>
          </w:tcPr>
          <w:p w14:paraId="00BC52AA">
            <w:pPr>
              <w:spacing w:line="560" w:lineRule="exact"/>
              <w:jc w:val="center"/>
              <w:rPr>
                <w:rFonts w:ascii="宋体;SimSun" w:hAnsi="宋体;SimSun" w:eastAsia="宋体;SimSun" w:cs="宋体;SimSun"/>
                <w:color w:val="auto"/>
                <w:sz w:val="24"/>
                <w:highlight w:val="none"/>
                <w:lang w:eastAsia="en-US"/>
              </w:rPr>
            </w:pPr>
            <w:r>
              <w:rPr>
                <w:rFonts w:ascii="宋体;SimSun" w:hAnsi="宋体;SimSun" w:eastAsia="宋体;SimSun" w:cs="宋体;SimSun"/>
                <w:color w:val="auto"/>
                <w:sz w:val="24"/>
                <w:highlight w:val="none"/>
                <w:lang w:eastAsia="en-US"/>
              </w:rPr>
              <w:t>总计（元）</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624CCE7B">
            <w:pPr>
              <w:spacing w:line="560" w:lineRule="exact"/>
              <w:jc w:val="center"/>
              <w:rPr>
                <w:rFonts w:ascii="宋体;SimSun" w:hAnsi="宋体;SimSun" w:eastAsia="宋体;SimSun" w:cs="宋体;SimSun"/>
                <w:color w:val="auto"/>
                <w:sz w:val="24"/>
                <w:highlight w:val="none"/>
                <w:lang w:eastAsia="en-US"/>
              </w:rPr>
            </w:pPr>
          </w:p>
        </w:tc>
      </w:tr>
    </w:tbl>
    <w:p w14:paraId="29BDDBEF">
      <w:pPr>
        <w:spacing w:line="360" w:lineRule="auto"/>
        <w:ind w:firstLine="420"/>
        <w:rPr>
          <w:rFonts w:ascii="宋体;SimSun" w:hAnsi="宋体;SimSun" w:eastAsia="宋体;SimSun" w:cs="宋体;SimSun"/>
          <w:color w:val="auto"/>
          <w:szCs w:val="24"/>
          <w:highlight w:val="none"/>
        </w:rPr>
      </w:pPr>
    </w:p>
    <w:p w14:paraId="6EB07F13">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7443B8CF">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01350D76">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29DD2526">
      <w:pPr>
        <w:spacing w:line="500" w:lineRule="exact"/>
        <w:ind w:firstLine="480"/>
        <w:rPr>
          <w:rFonts w:ascii="宋体;SimSun" w:hAnsi="宋体;SimSun" w:eastAsia="宋体;SimSun" w:cs="宋体;SimSun"/>
          <w:color w:val="auto"/>
          <w:sz w:val="24"/>
          <w:szCs w:val="24"/>
          <w:highlight w:val="none"/>
        </w:rPr>
      </w:pPr>
    </w:p>
    <w:p w14:paraId="331C6DB0">
      <w:pPr>
        <w:rPr>
          <w:rFonts w:ascii="宋体;SimSun" w:hAnsi="宋体;SimSun" w:eastAsia="宋体;SimSun" w:cs="宋体;SimSun"/>
          <w:color w:val="auto"/>
          <w:sz w:val="24"/>
          <w:szCs w:val="24"/>
          <w:highlight w:val="none"/>
        </w:rPr>
      </w:pPr>
    </w:p>
    <w:p w14:paraId="63EA4F4D">
      <w:pPr>
        <w:rPr>
          <w:rFonts w:ascii="宋体;SimSun" w:hAnsi="宋体;SimSun" w:eastAsia="宋体;SimSun" w:cs="宋体;SimSun"/>
          <w:color w:val="auto"/>
          <w:sz w:val="24"/>
          <w:szCs w:val="24"/>
          <w:highlight w:val="none"/>
        </w:rPr>
      </w:pPr>
    </w:p>
    <w:p w14:paraId="33A43B00">
      <w:pPr>
        <w:rPr>
          <w:rFonts w:ascii="宋体;SimSun" w:hAnsi="宋体;SimSun" w:eastAsia="宋体;SimSun" w:cs="宋体;SimSun"/>
          <w:color w:val="auto"/>
          <w:sz w:val="24"/>
          <w:szCs w:val="24"/>
          <w:highlight w:val="none"/>
        </w:rPr>
      </w:pPr>
    </w:p>
    <w:p w14:paraId="205C9B74">
      <w:pPr>
        <w:rPr>
          <w:rFonts w:ascii="宋体;SimSun" w:hAnsi="宋体;SimSun" w:eastAsia="宋体;SimSun" w:cs="宋体;SimSun"/>
          <w:color w:val="auto"/>
          <w:sz w:val="24"/>
          <w:szCs w:val="24"/>
          <w:highlight w:val="none"/>
        </w:rPr>
      </w:pPr>
    </w:p>
    <w:p w14:paraId="5F04232F">
      <w:pPr>
        <w:rPr>
          <w:rFonts w:ascii="宋体;SimSun" w:hAnsi="宋体;SimSun" w:eastAsia="宋体;SimSun" w:cs="宋体;SimSun"/>
          <w:color w:val="auto"/>
          <w:sz w:val="24"/>
          <w:szCs w:val="24"/>
          <w:highlight w:val="none"/>
        </w:rPr>
      </w:pPr>
    </w:p>
    <w:p w14:paraId="6B681721">
      <w:pPr>
        <w:rPr>
          <w:rFonts w:ascii="宋体;SimSun" w:hAnsi="宋体;SimSun" w:eastAsia="宋体;SimSun" w:cs="宋体;SimSun"/>
          <w:color w:val="auto"/>
          <w:highlight w:val="none"/>
        </w:rPr>
      </w:pPr>
    </w:p>
    <w:p w14:paraId="0F680D44">
      <w:pPr>
        <w:rPr>
          <w:rFonts w:ascii="宋体;SimSun" w:hAnsi="宋体;SimSun" w:eastAsia="宋体;SimSun" w:cs="宋体;SimSun"/>
          <w:color w:val="auto"/>
          <w:highlight w:val="none"/>
        </w:rPr>
      </w:pPr>
    </w:p>
    <w:p w14:paraId="63BBF795">
      <w:pPr>
        <w:rPr>
          <w:rFonts w:ascii="宋体;SimSun" w:hAnsi="宋体;SimSun" w:eastAsia="宋体;SimSun" w:cs="宋体;SimSun"/>
          <w:color w:val="auto"/>
          <w:highlight w:val="none"/>
        </w:rPr>
      </w:pPr>
    </w:p>
    <w:p w14:paraId="6B30BB0D">
      <w:pPr>
        <w:rPr>
          <w:rFonts w:ascii="宋体;SimSun" w:hAnsi="宋体;SimSun" w:eastAsia="宋体;SimSun" w:cs="宋体;SimSun"/>
          <w:color w:val="auto"/>
          <w:highlight w:val="none"/>
        </w:rPr>
      </w:pPr>
    </w:p>
    <w:p w14:paraId="72C8F317">
      <w:pPr>
        <w:rPr>
          <w:rFonts w:ascii="宋体;SimSun" w:hAnsi="宋体;SimSun" w:eastAsia="宋体;SimSun" w:cs="宋体;SimSun"/>
          <w:color w:val="auto"/>
          <w:highlight w:val="none"/>
        </w:rPr>
      </w:pPr>
    </w:p>
    <w:p w14:paraId="0ACC1217">
      <w:pPr>
        <w:rPr>
          <w:rFonts w:ascii="宋体;SimSun" w:hAnsi="宋体;SimSun" w:eastAsia="宋体;SimSun" w:cs="宋体;SimSun"/>
          <w:color w:val="auto"/>
          <w:highlight w:val="none"/>
        </w:rPr>
      </w:pPr>
    </w:p>
    <w:p w14:paraId="554BDD3F">
      <w:pPr>
        <w:rPr>
          <w:rFonts w:ascii="宋体;SimSun" w:hAnsi="宋体;SimSun" w:eastAsia="宋体;SimSun" w:cs="宋体;SimSun"/>
          <w:color w:val="auto"/>
          <w:highlight w:val="none"/>
        </w:rPr>
      </w:pPr>
    </w:p>
    <w:p w14:paraId="2593DE27">
      <w:pPr>
        <w:rPr>
          <w:rFonts w:ascii="宋体;SimSun" w:hAnsi="宋体;SimSun" w:eastAsia="宋体;SimSun" w:cs="宋体;SimSun"/>
          <w:color w:val="auto"/>
          <w:highlight w:val="none"/>
        </w:rPr>
      </w:pPr>
    </w:p>
    <w:p w14:paraId="0058954E">
      <w:pPr>
        <w:rPr>
          <w:rFonts w:ascii="宋体;SimSun" w:hAnsi="宋体;SimSun" w:eastAsia="宋体;SimSun" w:cs="宋体;SimSun"/>
          <w:color w:val="auto"/>
          <w:highlight w:val="none"/>
        </w:rPr>
      </w:pPr>
    </w:p>
    <w:p w14:paraId="2D23DD0E">
      <w:pPr>
        <w:rPr>
          <w:rFonts w:ascii="宋体;SimSun" w:hAnsi="宋体;SimSun" w:eastAsia="宋体;SimSun" w:cs="宋体;SimSun"/>
          <w:color w:val="auto"/>
          <w:highlight w:val="none"/>
        </w:rPr>
      </w:pPr>
    </w:p>
    <w:p w14:paraId="78DA4E81">
      <w:pPr>
        <w:rPr>
          <w:rFonts w:ascii="宋体;SimSun" w:hAnsi="宋体;SimSun" w:eastAsia="宋体;SimSun" w:cs="宋体;SimSun"/>
          <w:color w:val="auto"/>
          <w:highlight w:val="none"/>
        </w:rPr>
      </w:pPr>
    </w:p>
    <w:p w14:paraId="5B60363E">
      <w:pPr>
        <w:rPr>
          <w:rFonts w:ascii="宋体;SimSun" w:hAnsi="宋体;SimSun" w:eastAsia="宋体;SimSun" w:cs="宋体;SimSun"/>
          <w:color w:val="auto"/>
          <w:highlight w:val="none"/>
        </w:rPr>
      </w:pPr>
    </w:p>
    <w:p w14:paraId="2FB48A95">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十四、商务要求响应及偏离表</w:t>
      </w:r>
    </w:p>
    <w:p w14:paraId="0FC70846">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商务要求响应及偏离表</w:t>
      </w:r>
    </w:p>
    <w:p w14:paraId="26A728DC">
      <w:pPr>
        <w:spacing w:line="360" w:lineRule="auto"/>
        <w:ind w:firstLine="36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项目名称： 项目编号： 分包号：</w:t>
      </w:r>
    </w:p>
    <w:tbl>
      <w:tblPr>
        <w:tblStyle w:val="39"/>
        <w:tblW w:w="9746" w:type="dxa"/>
        <w:tblInd w:w="-113" w:type="dxa"/>
        <w:tblLayout w:type="fixed"/>
        <w:tblCellMar>
          <w:top w:w="0" w:type="dxa"/>
          <w:left w:w="108" w:type="dxa"/>
          <w:bottom w:w="0" w:type="dxa"/>
          <w:right w:w="108" w:type="dxa"/>
        </w:tblCellMar>
      </w:tblPr>
      <w:tblGrid>
        <w:gridCol w:w="1241"/>
        <w:gridCol w:w="3262"/>
        <w:gridCol w:w="3401"/>
        <w:gridCol w:w="1842"/>
      </w:tblGrid>
      <w:tr w14:paraId="4E19EC2E">
        <w:tblPrEx>
          <w:tblCellMar>
            <w:top w:w="0" w:type="dxa"/>
            <w:left w:w="108" w:type="dxa"/>
            <w:bottom w:w="0" w:type="dxa"/>
            <w:right w:w="108" w:type="dxa"/>
          </w:tblCellMar>
        </w:tblPrEx>
        <w:trPr>
          <w:cantSplit/>
        </w:trPr>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D42B1AA">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序号</w:t>
            </w:r>
          </w:p>
        </w:tc>
        <w:tc>
          <w:tcPr>
            <w:tcW w:w="3262" w:type="dxa"/>
            <w:tcBorders>
              <w:top w:val="single" w:color="000000" w:sz="4" w:space="0"/>
              <w:left w:val="single" w:color="000000" w:sz="4" w:space="0"/>
              <w:bottom w:val="single" w:color="000000" w:sz="4" w:space="0"/>
              <w:right w:val="single" w:color="000000" w:sz="4" w:space="0"/>
            </w:tcBorders>
            <w:noWrap w:val="0"/>
            <w:vAlign w:val="center"/>
          </w:tcPr>
          <w:p w14:paraId="625E1F49">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招标文件要求</w:t>
            </w:r>
          </w:p>
        </w:tc>
        <w:tc>
          <w:tcPr>
            <w:tcW w:w="3401" w:type="dxa"/>
            <w:tcBorders>
              <w:top w:val="single" w:color="000000" w:sz="4" w:space="0"/>
              <w:left w:val="single" w:color="000000" w:sz="4" w:space="0"/>
              <w:bottom w:val="single" w:color="000000" w:sz="4" w:space="0"/>
              <w:right w:val="single" w:color="000000" w:sz="4" w:space="0"/>
            </w:tcBorders>
            <w:noWrap w:val="0"/>
            <w:vAlign w:val="center"/>
          </w:tcPr>
          <w:p w14:paraId="5BF078C6">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投标响应情况</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488AC903">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超出、符合或偏离</w:t>
            </w:r>
          </w:p>
        </w:tc>
      </w:tr>
      <w:tr w14:paraId="4A5D71AE">
        <w:tblPrEx>
          <w:tblCellMar>
            <w:top w:w="0" w:type="dxa"/>
            <w:left w:w="108" w:type="dxa"/>
            <w:bottom w:w="0" w:type="dxa"/>
            <w:right w:w="108" w:type="dxa"/>
          </w:tblCellMar>
        </w:tblPrEx>
        <w:trPr>
          <w:cantSplit/>
          <w:trHeight w:val="640" w:hRule="atLeast"/>
        </w:trPr>
        <w:tc>
          <w:tcPr>
            <w:tcW w:w="1241" w:type="dxa"/>
            <w:tcBorders>
              <w:top w:val="single" w:color="000000" w:sz="4" w:space="0"/>
              <w:left w:val="single" w:color="000000" w:sz="4" w:space="0"/>
              <w:bottom w:val="single" w:color="000000" w:sz="4" w:space="0"/>
              <w:right w:val="single" w:color="000000" w:sz="4" w:space="0"/>
            </w:tcBorders>
            <w:noWrap w:val="0"/>
            <w:vAlign w:val="center"/>
          </w:tcPr>
          <w:p w14:paraId="73C0FB17">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1</w:t>
            </w:r>
          </w:p>
        </w:tc>
        <w:tc>
          <w:tcPr>
            <w:tcW w:w="3262" w:type="dxa"/>
            <w:tcBorders>
              <w:top w:val="single" w:color="000000" w:sz="4" w:space="0"/>
              <w:left w:val="single" w:color="000000" w:sz="4" w:space="0"/>
              <w:bottom w:val="single" w:color="000000" w:sz="4" w:space="0"/>
              <w:right w:val="single" w:color="000000" w:sz="4" w:space="0"/>
            </w:tcBorders>
            <w:noWrap w:val="0"/>
            <w:vAlign w:val="center"/>
          </w:tcPr>
          <w:p w14:paraId="069615D8">
            <w:pPr>
              <w:jc w:val="center"/>
              <w:rPr>
                <w:rFonts w:ascii="宋体;SimSun" w:hAnsi="宋体;SimSun" w:eastAsia="宋体;SimSun" w:cs="宋体;SimSun"/>
                <w:color w:val="auto"/>
                <w:sz w:val="24"/>
                <w:szCs w:val="24"/>
                <w:highlight w:val="none"/>
                <w:lang w:eastAsia="en-US"/>
              </w:rPr>
            </w:pPr>
          </w:p>
        </w:tc>
        <w:tc>
          <w:tcPr>
            <w:tcW w:w="3401" w:type="dxa"/>
            <w:tcBorders>
              <w:top w:val="single" w:color="000000" w:sz="4" w:space="0"/>
              <w:left w:val="single" w:color="000000" w:sz="4" w:space="0"/>
              <w:bottom w:val="single" w:color="000000" w:sz="4" w:space="0"/>
              <w:right w:val="single" w:color="000000" w:sz="4" w:space="0"/>
            </w:tcBorders>
            <w:noWrap w:val="0"/>
            <w:vAlign w:val="center"/>
          </w:tcPr>
          <w:p w14:paraId="4A641E29">
            <w:pPr>
              <w:jc w:val="center"/>
              <w:rPr>
                <w:rFonts w:ascii="宋体;SimSun" w:hAnsi="宋体;SimSun" w:eastAsia="宋体;SimSun" w:cs="宋体;SimSun"/>
                <w:color w:val="auto"/>
                <w:sz w:val="24"/>
                <w:szCs w:val="24"/>
                <w:highlight w:val="none"/>
                <w:lang w:eastAsia="en-US"/>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0DEBBB3">
            <w:pPr>
              <w:jc w:val="center"/>
              <w:rPr>
                <w:rFonts w:ascii="宋体;SimSun" w:hAnsi="宋体;SimSun" w:eastAsia="宋体;SimSun" w:cs="宋体;SimSun"/>
                <w:color w:val="auto"/>
                <w:sz w:val="24"/>
                <w:szCs w:val="24"/>
                <w:highlight w:val="none"/>
                <w:lang w:eastAsia="en-US"/>
              </w:rPr>
            </w:pPr>
          </w:p>
        </w:tc>
      </w:tr>
      <w:tr w14:paraId="3B6DEC40">
        <w:tblPrEx>
          <w:tblCellMar>
            <w:top w:w="0" w:type="dxa"/>
            <w:left w:w="108" w:type="dxa"/>
            <w:bottom w:w="0" w:type="dxa"/>
            <w:right w:w="108" w:type="dxa"/>
          </w:tblCellMar>
        </w:tblPrEx>
        <w:trPr>
          <w:cantSplit/>
          <w:trHeight w:val="640" w:hRule="atLeast"/>
        </w:trPr>
        <w:tc>
          <w:tcPr>
            <w:tcW w:w="1241" w:type="dxa"/>
            <w:tcBorders>
              <w:top w:val="single" w:color="000000" w:sz="4" w:space="0"/>
              <w:left w:val="single" w:color="000000" w:sz="4" w:space="0"/>
              <w:bottom w:val="single" w:color="000000" w:sz="4" w:space="0"/>
              <w:right w:val="single" w:color="000000" w:sz="4" w:space="0"/>
            </w:tcBorders>
            <w:noWrap w:val="0"/>
            <w:vAlign w:val="center"/>
          </w:tcPr>
          <w:p w14:paraId="39FDBD4D">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2</w:t>
            </w:r>
          </w:p>
        </w:tc>
        <w:tc>
          <w:tcPr>
            <w:tcW w:w="3262" w:type="dxa"/>
            <w:tcBorders>
              <w:top w:val="single" w:color="000000" w:sz="4" w:space="0"/>
              <w:left w:val="single" w:color="000000" w:sz="4" w:space="0"/>
              <w:bottom w:val="single" w:color="000000" w:sz="4" w:space="0"/>
              <w:right w:val="single" w:color="000000" w:sz="4" w:space="0"/>
            </w:tcBorders>
            <w:noWrap w:val="0"/>
            <w:vAlign w:val="center"/>
          </w:tcPr>
          <w:p w14:paraId="6E4ECA01">
            <w:pPr>
              <w:jc w:val="center"/>
              <w:rPr>
                <w:rFonts w:ascii="宋体;SimSun" w:hAnsi="宋体;SimSun" w:eastAsia="宋体;SimSun" w:cs="宋体;SimSun"/>
                <w:color w:val="auto"/>
                <w:sz w:val="24"/>
                <w:szCs w:val="24"/>
                <w:highlight w:val="none"/>
                <w:lang w:eastAsia="en-US"/>
              </w:rPr>
            </w:pPr>
          </w:p>
        </w:tc>
        <w:tc>
          <w:tcPr>
            <w:tcW w:w="3401" w:type="dxa"/>
            <w:tcBorders>
              <w:top w:val="single" w:color="000000" w:sz="4" w:space="0"/>
              <w:left w:val="single" w:color="000000" w:sz="4" w:space="0"/>
              <w:bottom w:val="single" w:color="000000" w:sz="4" w:space="0"/>
              <w:right w:val="single" w:color="000000" w:sz="4" w:space="0"/>
            </w:tcBorders>
            <w:noWrap w:val="0"/>
            <w:vAlign w:val="center"/>
          </w:tcPr>
          <w:p w14:paraId="33328834">
            <w:pPr>
              <w:jc w:val="center"/>
              <w:rPr>
                <w:rFonts w:ascii="宋体;SimSun" w:hAnsi="宋体;SimSun" w:eastAsia="宋体;SimSun" w:cs="宋体;SimSun"/>
                <w:color w:val="auto"/>
                <w:sz w:val="24"/>
                <w:szCs w:val="24"/>
                <w:highlight w:val="none"/>
                <w:lang w:eastAsia="en-US"/>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6A9723D0">
            <w:pPr>
              <w:jc w:val="center"/>
              <w:rPr>
                <w:rFonts w:ascii="宋体;SimSun" w:hAnsi="宋体;SimSun" w:eastAsia="宋体;SimSun" w:cs="宋体;SimSun"/>
                <w:color w:val="auto"/>
                <w:sz w:val="24"/>
                <w:szCs w:val="24"/>
                <w:highlight w:val="none"/>
                <w:lang w:eastAsia="en-US"/>
              </w:rPr>
            </w:pPr>
          </w:p>
        </w:tc>
      </w:tr>
      <w:tr w14:paraId="53760EB0">
        <w:tblPrEx>
          <w:tblCellMar>
            <w:top w:w="0" w:type="dxa"/>
            <w:left w:w="108" w:type="dxa"/>
            <w:bottom w:w="0" w:type="dxa"/>
            <w:right w:w="108" w:type="dxa"/>
          </w:tblCellMar>
        </w:tblPrEx>
        <w:trPr>
          <w:cantSplit/>
          <w:trHeight w:val="640" w:hRule="atLeast"/>
        </w:trPr>
        <w:tc>
          <w:tcPr>
            <w:tcW w:w="1241" w:type="dxa"/>
            <w:tcBorders>
              <w:top w:val="single" w:color="000000" w:sz="4" w:space="0"/>
              <w:left w:val="single" w:color="000000" w:sz="4" w:space="0"/>
              <w:bottom w:val="single" w:color="000000" w:sz="4" w:space="0"/>
              <w:right w:val="single" w:color="000000" w:sz="4" w:space="0"/>
            </w:tcBorders>
            <w:noWrap w:val="0"/>
            <w:vAlign w:val="center"/>
          </w:tcPr>
          <w:p w14:paraId="369A6717">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3</w:t>
            </w:r>
          </w:p>
        </w:tc>
        <w:tc>
          <w:tcPr>
            <w:tcW w:w="3262" w:type="dxa"/>
            <w:tcBorders>
              <w:top w:val="single" w:color="000000" w:sz="4" w:space="0"/>
              <w:left w:val="single" w:color="000000" w:sz="4" w:space="0"/>
              <w:bottom w:val="single" w:color="000000" w:sz="4" w:space="0"/>
              <w:right w:val="single" w:color="000000" w:sz="4" w:space="0"/>
            </w:tcBorders>
            <w:noWrap w:val="0"/>
            <w:vAlign w:val="center"/>
          </w:tcPr>
          <w:p w14:paraId="47BEC83A">
            <w:pPr>
              <w:jc w:val="center"/>
              <w:rPr>
                <w:rFonts w:ascii="宋体;SimSun" w:hAnsi="宋体;SimSun" w:eastAsia="宋体;SimSun" w:cs="宋体;SimSun"/>
                <w:color w:val="auto"/>
                <w:sz w:val="24"/>
                <w:szCs w:val="24"/>
                <w:highlight w:val="none"/>
                <w:lang w:eastAsia="en-US"/>
              </w:rPr>
            </w:pPr>
          </w:p>
        </w:tc>
        <w:tc>
          <w:tcPr>
            <w:tcW w:w="3401" w:type="dxa"/>
            <w:tcBorders>
              <w:top w:val="single" w:color="000000" w:sz="4" w:space="0"/>
              <w:left w:val="single" w:color="000000" w:sz="4" w:space="0"/>
              <w:bottom w:val="single" w:color="000000" w:sz="4" w:space="0"/>
              <w:right w:val="single" w:color="000000" w:sz="4" w:space="0"/>
            </w:tcBorders>
            <w:noWrap w:val="0"/>
            <w:vAlign w:val="center"/>
          </w:tcPr>
          <w:p w14:paraId="51EDD9C2">
            <w:pPr>
              <w:jc w:val="center"/>
              <w:rPr>
                <w:rFonts w:ascii="宋体;SimSun" w:hAnsi="宋体;SimSun" w:eastAsia="宋体;SimSun" w:cs="宋体;SimSun"/>
                <w:color w:val="auto"/>
                <w:sz w:val="24"/>
                <w:szCs w:val="24"/>
                <w:highlight w:val="none"/>
                <w:lang w:eastAsia="en-US"/>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29B6101">
            <w:pPr>
              <w:jc w:val="center"/>
              <w:rPr>
                <w:rFonts w:ascii="宋体;SimSun" w:hAnsi="宋体;SimSun" w:eastAsia="宋体;SimSun" w:cs="宋体;SimSun"/>
                <w:color w:val="auto"/>
                <w:sz w:val="24"/>
                <w:szCs w:val="24"/>
                <w:highlight w:val="none"/>
                <w:lang w:eastAsia="en-US"/>
              </w:rPr>
            </w:pPr>
          </w:p>
        </w:tc>
      </w:tr>
      <w:tr w14:paraId="06D6841A">
        <w:tblPrEx>
          <w:tblCellMar>
            <w:top w:w="0" w:type="dxa"/>
            <w:left w:w="108" w:type="dxa"/>
            <w:bottom w:w="0" w:type="dxa"/>
            <w:right w:w="108" w:type="dxa"/>
          </w:tblCellMar>
        </w:tblPrEx>
        <w:trPr>
          <w:cantSplit/>
          <w:trHeight w:val="640" w:hRule="atLeast"/>
        </w:trPr>
        <w:tc>
          <w:tcPr>
            <w:tcW w:w="1241" w:type="dxa"/>
            <w:tcBorders>
              <w:top w:val="single" w:color="000000" w:sz="4" w:space="0"/>
              <w:left w:val="single" w:color="000000" w:sz="4" w:space="0"/>
              <w:bottom w:val="single" w:color="000000" w:sz="4" w:space="0"/>
              <w:right w:val="single" w:color="000000" w:sz="4" w:space="0"/>
            </w:tcBorders>
            <w:noWrap w:val="0"/>
            <w:vAlign w:val="center"/>
          </w:tcPr>
          <w:p w14:paraId="686FFC87">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w:t>
            </w:r>
          </w:p>
        </w:tc>
        <w:tc>
          <w:tcPr>
            <w:tcW w:w="3262" w:type="dxa"/>
            <w:tcBorders>
              <w:top w:val="single" w:color="000000" w:sz="4" w:space="0"/>
              <w:left w:val="single" w:color="000000" w:sz="4" w:space="0"/>
              <w:bottom w:val="single" w:color="000000" w:sz="4" w:space="0"/>
              <w:right w:val="single" w:color="000000" w:sz="4" w:space="0"/>
            </w:tcBorders>
            <w:noWrap w:val="0"/>
            <w:vAlign w:val="center"/>
          </w:tcPr>
          <w:p w14:paraId="0FDC01AA">
            <w:pPr>
              <w:jc w:val="center"/>
              <w:rPr>
                <w:rFonts w:ascii="宋体;SimSun" w:hAnsi="宋体;SimSun" w:eastAsia="宋体;SimSun" w:cs="宋体;SimSun"/>
                <w:color w:val="auto"/>
                <w:sz w:val="24"/>
                <w:szCs w:val="24"/>
                <w:highlight w:val="none"/>
                <w:lang w:eastAsia="en-US"/>
              </w:rPr>
            </w:pPr>
          </w:p>
        </w:tc>
        <w:tc>
          <w:tcPr>
            <w:tcW w:w="3401" w:type="dxa"/>
            <w:tcBorders>
              <w:top w:val="single" w:color="000000" w:sz="4" w:space="0"/>
              <w:left w:val="single" w:color="000000" w:sz="4" w:space="0"/>
              <w:bottom w:val="single" w:color="000000" w:sz="4" w:space="0"/>
              <w:right w:val="single" w:color="000000" w:sz="4" w:space="0"/>
            </w:tcBorders>
            <w:noWrap w:val="0"/>
            <w:vAlign w:val="center"/>
          </w:tcPr>
          <w:p w14:paraId="1200F843">
            <w:pPr>
              <w:jc w:val="center"/>
              <w:rPr>
                <w:rFonts w:ascii="宋体;SimSun" w:hAnsi="宋体;SimSun" w:eastAsia="宋体;SimSun" w:cs="宋体;SimSun"/>
                <w:color w:val="auto"/>
                <w:sz w:val="24"/>
                <w:szCs w:val="24"/>
                <w:highlight w:val="none"/>
                <w:lang w:eastAsia="en-US"/>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F03F946">
            <w:pPr>
              <w:jc w:val="center"/>
              <w:rPr>
                <w:rFonts w:ascii="宋体;SimSun" w:hAnsi="宋体;SimSun" w:eastAsia="宋体;SimSun" w:cs="宋体;SimSun"/>
                <w:color w:val="auto"/>
                <w:sz w:val="24"/>
                <w:szCs w:val="24"/>
                <w:highlight w:val="none"/>
                <w:lang w:eastAsia="en-US"/>
              </w:rPr>
            </w:pPr>
          </w:p>
        </w:tc>
      </w:tr>
    </w:tbl>
    <w:p w14:paraId="21C6687F">
      <w:pPr>
        <w:spacing w:line="500" w:lineRule="exact"/>
        <w:ind w:firstLine="480"/>
        <w:rPr>
          <w:rFonts w:ascii="宋体;SimSun" w:hAnsi="宋体;SimSun" w:eastAsia="宋体;SimSun" w:cs="宋体;SimSun"/>
          <w:color w:val="auto"/>
          <w:sz w:val="24"/>
          <w:szCs w:val="24"/>
          <w:highlight w:val="none"/>
        </w:rPr>
      </w:pPr>
    </w:p>
    <w:p w14:paraId="204FBEA1">
      <w:pPr>
        <w:spacing w:line="500" w:lineRule="exact"/>
        <w:ind w:firstLine="480"/>
        <w:rPr>
          <w:rFonts w:ascii="宋体;SimSun" w:hAnsi="宋体;SimSun" w:eastAsia="宋体;SimSun" w:cs="宋体;SimSun"/>
          <w:color w:val="auto"/>
          <w:sz w:val="24"/>
          <w:szCs w:val="24"/>
          <w:highlight w:val="none"/>
        </w:rPr>
      </w:pPr>
    </w:p>
    <w:p w14:paraId="70242351">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4963F687">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2E0F7D7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0391251B">
      <w:pPr>
        <w:rPr>
          <w:rFonts w:ascii="宋体;SimSun" w:hAnsi="宋体;SimSun" w:eastAsia="宋体;SimSun" w:cs="宋体;SimSun"/>
          <w:color w:val="auto"/>
          <w:sz w:val="24"/>
          <w:szCs w:val="24"/>
          <w:highlight w:val="none"/>
        </w:rPr>
      </w:pPr>
      <w:bookmarkStart w:id="6" w:name="_格式2__法定代表人授权书"/>
      <w:bookmarkEnd w:id="6"/>
    </w:p>
    <w:p w14:paraId="3CFBA48B">
      <w:pPr>
        <w:rPr>
          <w:rFonts w:ascii="宋体;SimSun" w:hAnsi="宋体;SimSun" w:eastAsia="宋体;SimSun" w:cs="宋体;SimSun"/>
          <w:color w:val="auto"/>
          <w:sz w:val="24"/>
          <w:szCs w:val="24"/>
          <w:highlight w:val="none"/>
        </w:rPr>
      </w:pPr>
    </w:p>
    <w:p w14:paraId="30B6F205">
      <w:pPr>
        <w:rPr>
          <w:rFonts w:ascii="宋体;SimSun" w:hAnsi="宋体;SimSun" w:eastAsia="宋体;SimSun" w:cs="宋体;SimSun"/>
          <w:color w:val="auto"/>
          <w:highlight w:val="none"/>
        </w:rPr>
      </w:pPr>
    </w:p>
    <w:p w14:paraId="3619780B">
      <w:pPr>
        <w:rPr>
          <w:rFonts w:ascii="宋体;SimSun" w:hAnsi="宋体;SimSun" w:eastAsia="宋体;SimSun" w:cs="宋体;SimSun"/>
          <w:color w:val="auto"/>
          <w:highlight w:val="none"/>
        </w:rPr>
      </w:pPr>
    </w:p>
    <w:p w14:paraId="620B901D">
      <w:pPr>
        <w:rPr>
          <w:rFonts w:ascii="宋体;SimSun" w:hAnsi="宋体;SimSun" w:eastAsia="宋体;SimSun" w:cs="宋体;SimSun"/>
          <w:color w:val="auto"/>
          <w:highlight w:val="none"/>
        </w:rPr>
      </w:pPr>
    </w:p>
    <w:p w14:paraId="40838564">
      <w:pPr>
        <w:rPr>
          <w:rFonts w:ascii="宋体;SimSun" w:hAnsi="宋体;SimSun" w:eastAsia="宋体;SimSun" w:cs="宋体;SimSun"/>
          <w:color w:val="auto"/>
          <w:highlight w:val="none"/>
        </w:rPr>
      </w:pPr>
    </w:p>
    <w:p w14:paraId="5B5A3AE9">
      <w:pPr>
        <w:rPr>
          <w:rFonts w:ascii="宋体;SimSun" w:hAnsi="宋体;SimSun" w:eastAsia="宋体;SimSun" w:cs="宋体;SimSun"/>
          <w:color w:val="auto"/>
          <w:highlight w:val="none"/>
        </w:rPr>
      </w:pPr>
    </w:p>
    <w:p w14:paraId="0DE72B96">
      <w:pPr>
        <w:rPr>
          <w:rFonts w:ascii="宋体;SimSun" w:hAnsi="宋体;SimSun" w:eastAsia="宋体;SimSun" w:cs="宋体;SimSun"/>
          <w:color w:val="auto"/>
          <w:highlight w:val="none"/>
        </w:rPr>
      </w:pPr>
    </w:p>
    <w:p w14:paraId="7F6C6DC0">
      <w:pPr>
        <w:rPr>
          <w:rFonts w:ascii="宋体;SimSun" w:hAnsi="宋体;SimSun" w:eastAsia="宋体;SimSun" w:cs="宋体;SimSun"/>
          <w:color w:val="auto"/>
          <w:highlight w:val="none"/>
        </w:rPr>
      </w:pPr>
    </w:p>
    <w:p w14:paraId="598D63BA">
      <w:pPr>
        <w:rPr>
          <w:rFonts w:ascii="宋体;SimSun" w:hAnsi="宋体;SimSun" w:eastAsia="宋体;SimSun" w:cs="宋体;SimSun"/>
          <w:color w:val="auto"/>
          <w:highlight w:val="none"/>
        </w:rPr>
      </w:pPr>
    </w:p>
    <w:p w14:paraId="36EEDFA4">
      <w:pPr>
        <w:rPr>
          <w:rFonts w:ascii="宋体;SimSun" w:hAnsi="宋体;SimSun" w:eastAsia="宋体;SimSun" w:cs="宋体;SimSun"/>
          <w:color w:val="auto"/>
          <w:highlight w:val="none"/>
        </w:rPr>
      </w:pPr>
    </w:p>
    <w:p w14:paraId="601D5C68">
      <w:pPr>
        <w:rPr>
          <w:rFonts w:ascii="宋体;SimSun" w:hAnsi="宋体;SimSun" w:eastAsia="宋体;SimSun" w:cs="宋体;SimSun"/>
          <w:color w:val="auto"/>
          <w:highlight w:val="none"/>
        </w:rPr>
      </w:pPr>
    </w:p>
    <w:p w14:paraId="386AC120">
      <w:pPr>
        <w:rPr>
          <w:rFonts w:ascii="宋体;SimSun" w:hAnsi="宋体;SimSun" w:eastAsia="宋体;SimSun" w:cs="宋体;SimSun"/>
          <w:color w:val="auto"/>
          <w:highlight w:val="none"/>
        </w:rPr>
      </w:pPr>
    </w:p>
    <w:p w14:paraId="40444971">
      <w:pPr>
        <w:rPr>
          <w:rFonts w:ascii="宋体;SimSun" w:hAnsi="宋体;SimSun" w:eastAsia="宋体;SimSun" w:cs="宋体;SimSun"/>
          <w:color w:val="auto"/>
          <w:highlight w:val="none"/>
        </w:rPr>
      </w:pPr>
    </w:p>
    <w:p w14:paraId="6D76FEBA">
      <w:pPr>
        <w:rPr>
          <w:rFonts w:ascii="宋体;SimSun" w:hAnsi="宋体;SimSun" w:eastAsia="宋体;SimSun" w:cs="宋体;SimSun"/>
          <w:color w:val="auto"/>
          <w:highlight w:val="none"/>
        </w:rPr>
      </w:pPr>
    </w:p>
    <w:p w14:paraId="505F5996">
      <w:pPr>
        <w:rPr>
          <w:rFonts w:ascii="宋体;SimSun" w:hAnsi="宋体;SimSun" w:eastAsia="宋体;SimSun" w:cs="宋体;SimSun"/>
          <w:color w:val="auto"/>
          <w:highlight w:val="none"/>
        </w:rPr>
      </w:pPr>
    </w:p>
    <w:p w14:paraId="0AEB0611">
      <w:pPr>
        <w:rPr>
          <w:rFonts w:ascii="宋体;SimSun" w:hAnsi="宋体;SimSun" w:eastAsia="宋体;SimSun" w:cs="宋体;SimSun"/>
          <w:color w:val="auto"/>
          <w:highlight w:val="none"/>
        </w:rPr>
      </w:pPr>
    </w:p>
    <w:p w14:paraId="1C01AA99">
      <w:pPr>
        <w:rPr>
          <w:rFonts w:ascii="宋体;SimSun" w:hAnsi="宋体;SimSun" w:eastAsia="宋体;SimSun" w:cs="宋体;SimSun"/>
          <w:color w:val="auto"/>
          <w:highlight w:val="none"/>
        </w:rPr>
      </w:pPr>
    </w:p>
    <w:p w14:paraId="0499C32C">
      <w:pPr>
        <w:rPr>
          <w:rFonts w:ascii="宋体;SimSun" w:hAnsi="宋体;SimSun" w:eastAsia="宋体;SimSun" w:cs="宋体;SimSun"/>
          <w:color w:val="auto"/>
          <w:highlight w:val="none"/>
        </w:rPr>
        <w:sectPr>
          <w:headerReference r:id="rId11" w:type="default"/>
          <w:footerReference r:id="rId12" w:type="default"/>
          <w:pgSz w:w="11906" w:h="16838"/>
          <w:pgMar w:top="1134" w:right="1134" w:bottom="1134" w:left="1134" w:header="851" w:footer="992" w:gutter="0"/>
          <w:pgNumType w:start="1"/>
          <w:cols w:space="720" w:num="1"/>
          <w:docGrid w:linePitch="360" w:charSpace="0"/>
        </w:sectPr>
      </w:pPr>
    </w:p>
    <w:p w14:paraId="6FF5152C">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十五、技术要求响应及偏离表</w:t>
      </w:r>
    </w:p>
    <w:p w14:paraId="5602B907">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技术要求响应及偏离表</w:t>
      </w:r>
    </w:p>
    <w:p w14:paraId="016DC6D4">
      <w:pPr>
        <w:spacing w:line="360" w:lineRule="auto"/>
        <w:jc w:val="left"/>
        <w:rPr>
          <w:color w:val="auto"/>
          <w:highlight w:val="none"/>
        </w:rPr>
      </w:pPr>
      <w:r>
        <w:rPr>
          <w:rFonts w:ascii="宋体;SimSun" w:hAnsi="宋体;SimSun" w:eastAsia="宋体;SimSun" w:cs="宋体;SimSun"/>
          <w:color w:val="auto"/>
          <w:sz w:val="36"/>
          <w:szCs w:val="24"/>
          <w:highlight w:val="none"/>
        </w:rPr>
        <w:t xml:space="preserve">项目名称： 项目编号： 分包号： </w:t>
      </w:r>
    </w:p>
    <w:tbl>
      <w:tblPr>
        <w:tblStyle w:val="39"/>
        <w:tblW w:w="8504" w:type="dxa"/>
        <w:jc w:val="center"/>
        <w:tblLayout w:type="fixed"/>
        <w:tblCellMar>
          <w:top w:w="0" w:type="dxa"/>
          <w:left w:w="108" w:type="dxa"/>
          <w:bottom w:w="0" w:type="dxa"/>
          <w:right w:w="108" w:type="dxa"/>
        </w:tblCellMar>
      </w:tblPr>
      <w:tblGrid>
        <w:gridCol w:w="808"/>
        <w:gridCol w:w="3274"/>
        <w:gridCol w:w="3023"/>
        <w:gridCol w:w="1399"/>
      </w:tblGrid>
      <w:tr w14:paraId="1F275B53">
        <w:tblPrEx>
          <w:tblCellMar>
            <w:top w:w="0" w:type="dxa"/>
            <w:left w:w="108" w:type="dxa"/>
            <w:bottom w:w="0" w:type="dxa"/>
            <w:right w:w="108" w:type="dxa"/>
          </w:tblCellMar>
        </w:tblPrEx>
        <w:trPr>
          <w:cantSplit/>
          <w:jc w:val="center"/>
        </w:trPr>
        <w:tc>
          <w:tcPr>
            <w:tcW w:w="808" w:type="dxa"/>
            <w:tcBorders>
              <w:top w:val="single" w:color="000000" w:sz="4" w:space="0"/>
              <w:left w:val="single" w:color="000000" w:sz="4" w:space="0"/>
              <w:bottom w:val="single" w:color="000000" w:sz="4" w:space="0"/>
              <w:right w:val="single" w:color="000000" w:sz="4" w:space="0"/>
            </w:tcBorders>
            <w:noWrap w:val="0"/>
            <w:vAlign w:val="center"/>
          </w:tcPr>
          <w:p w14:paraId="738AC6EA">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序号</w:t>
            </w:r>
          </w:p>
        </w:tc>
        <w:tc>
          <w:tcPr>
            <w:tcW w:w="3274" w:type="dxa"/>
            <w:tcBorders>
              <w:top w:val="single" w:color="000000" w:sz="4" w:space="0"/>
              <w:left w:val="single" w:color="000000" w:sz="4" w:space="0"/>
              <w:bottom w:val="single" w:color="000000" w:sz="4" w:space="0"/>
              <w:right w:val="single" w:color="000000" w:sz="4" w:space="0"/>
            </w:tcBorders>
            <w:noWrap w:val="0"/>
            <w:vAlign w:val="center"/>
          </w:tcPr>
          <w:p w14:paraId="7A42913B">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招标文件要求</w:t>
            </w:r>
          </w:p>
        </w:tc>
        <w:tc>
          <w:tcPr>
            <w:tcW w:w="3023" w:type="dxa"/>
            <w:tcBorders>
              <w:top w:val="single" w:color="000000" w:sz="4" w:space="0"/>
              <w:left w:val="single" w:color="000000" w:sz="4" w:space="0"/>
              <w:bottom w:val="single" w:color="000000" w:sz="4" w:space="0"/>
              <w:right w:val="single" w:color="000000" w:sz="4" w:space="0"/>
            </w:tcBorders>
            <w:noWrap w:val="0"/>
            <w:vAlign w:val="center"/>
          </w:tcPr>
          <w:p w14:paraId="0D373A65">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投标响应情况</w:t>
            </w: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17498AB9">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超出、符合或偏离</w:t>
            </w:r>
          </w:p>
        </w:tc>
      </w:tr>
      <w:tr w14:paraId="32AE16D2">
        <w:tblPrEx>
          <w:tblCellMar>
            <w:top w:w="0" w:type="dxa"/>
            <w:left w:w="108" w:type="dxa"/>
            <w:bottom w:w="0" w:type="dxa"/>
            <w:right w:w="108" w:type="dxa"/>
          </w:tblCellMar>
        </w:tblPrEx>
        <w:trPr>
          <w:cantSplit/>
          <w:trHeight w:val="640" w:hRule="atLeast"/>
          <w:jc w:val="center"/>
        </w:trPr>
        <w:tc>
          <w:tcPr>
            <w:tcW w:w="808" w:type="dxa"/>
            <w:tcBorders>
              <w:top w:val="single" w:color="000000" w:sz="4" w:space="0"/>
              <w:left w:val="single" w:color="000000" w:sz="4" w:space="0"/>
              <w:bottom w:val="single" w:color="000000" w:sz="4" w:space="0"/>
              <w:right w:val="single" w:color="000000" w:sz="4" w:space="0"/>
            </w:tcBorders>
            <w:noWrap w:val="0"/>
            <w:vAlign w:val="center"/>
          </w:tcPr>
          <w:p w14:paraId="290632F4">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1</w:t>
            </w:r>
          </w:p>
        </w:tc>
        <w:tc>
          <w:tcPr>
            <w:tcW w:w="3274" w:type="dxa"/>
            <w:tcBorders>
              <w:top w:val="single" w:color="000000" w:sz="4" w:space="0"/>
              <w:left w:val="single" w:color="000000" w:sz="4" w:space="0"/>
              <w:bottom w:val="single" w:color="000000" w:sz="4" w:space="0"/>
              <w:right w:val="single" w:color="000000" w:sz="4" w:space="0"/>
            </w:tcBorders>
            <w:noWrap w:val="0"/>
            <w:vAlign w:val="center"/>
          </w:tcPr>
          <w:p w14:paraId="10027D16">
            <w:pPr>
              <w:jc w:val="center"/>
              <w:rPr>
                <w:rFonts w:ascii="宋体;SimSun" w:hAnsi="宋体;SimSun" w:eastAsia="宋体;SimSun" w:cs="宋体;SimSun"/>
                <w:color w:val="auto"/>
                <w:sz w:val="24"/>
                <w:szCs w:val="24"/>
                <w:highlight w:val="none"/>
                <w:lang w:eastAsia="en-US"/>
              </w:rPr>
            </w:pPr>
          </w:p>
        </w:tc>
        <w:tc>
          <w:tcPr>
            <w:tcW w:w="3023" w:type="dxa"/>
            <w:tcBorders>
              <w:top w:val="single" w:color="000000" w:sz="4" w:space="0"/>
              <w:left w:val="single" w:color="000000" w:sz="4" w:space="0"/>
              <w:bottom w:val="single" w:color="000000" w:sz="4" w:space="0"/>
              <w:right w:val="single" w:color="000000" w:sz="4" w:space="0"/>
            </w:tcBorders>
            <w:noWrap w:val="0"/>
            <w:vAlign w:val="center"/>
          </w:tcPr>
          <w:p w14:paraId="4B89BAB4">
            <w:pPr>
              <w:jc w:val="center"/>
              <w:rPr>
                <w:rFonts w:ascii="宋体;SimSun" w:hAnsi="宋体;SimSun" w:eastAsia="宋体;SimSun" w:cs="宋体;SimSun"/>
                <w:color w:val="auto"/>
                <w:sz w:val="24"/>
                <w:szCs w:val="24"/>
                <w:highlight w:val="none"/>
                <w:lang w:eastAsia="en-US"/>
              </w:rPr>
            </w:pP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64F45218">
            <w:pPr>
              <w:jc w:val="center"/>
              <w:rPr>
                <w:rFonts w:ascii="宋体;SimSun" w:hAnsi="宋体;SimSun" w:eastAsia="宋体;SimSun" w:cs="宋体;SimSun"/>
                <w:color w:val="auto"/>
                <w:sz w:val="24"/>
                <w:szCs w:val="24"/>
                <w:highlight w:val="none"/>
                <w:lang w:eastAsia="en-US"/>
              </w:rPr>
            </w:pPr>
          </w:p>
        </w:tc>
      </w:tr>
      <w:tr w14:paraId="1E187946">
        <w:tblPrEx>
          <w:tblCellMar>
            <w:top w:w="0" w:type="dxa"/>
            <w:left w:w="108" w:type="dxa"/>
            <w:bottom w:w="0" w:type="dxa"/>
            <w:right w:w="108" w:type="dxa"/>
          </w:tblCellMar>
        </w:tblPrEx>
        <w:trPr>
          <w:cantSplit/>
          <w:trHeight w:val="640" w:hRule="atLeast"/>
          <w:jc w:val="center"/>
        </w:trPr>
        <w:tc>
          <w:tcPr>
            <w:tcW w:w="808" w:type="dxa"/>
            <w:tcBorders>
              <w:top w:val="single" w:color="000000" w:sz="4" w:space="0"/>
              <w:left w:val="single" w:color="000000" w:sz="4" w:space="0"/>
              <w:bottom w:val="single" w:color="000000" w:sz="4" w:space="0"/>
              <w:right w:val="single" w:color="000000" w:sz="4" w:space="0"/>
            </w:tcBorders>
            <w:noWrap w:val="0"/>
            <w:vAlign w:val="center"/>
          </w:tcPr>
          <w:p w14:paraId="0BCC69BF">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2</w:t>
            </w:r>
          </w:p>
        </w:tc>
        <w:tc>
          <w:tcPr>
            <w:tcW w:w="3274" w:type="dxa"/>
            <w:tcBorders>
              <w:top w:val="single" w:color="000000" w:sz="4" w:space="0"/>
              <w:left w:val="single" w:color="000000" w:sz="4" w:space="0"/>
              <w:bottom w:val="single" w:color="000000" w:sz="4" w:space="0"/>
              <w:right w:val="single" w:color="000000" w:sz="4" w:space="0"/>
            </w:tcBorders>
            <w:noWrap w:val="0"/>
            <w:vAlign w:val="center"/>
          </w:tcPr>
          <w:p w14:paraId="6C40F1AE">
            <w:pPr>
              <w:jc w:val="center"/>
              <w:rPr>
                <w:rFonts w:ascii="宋体;SimSun" w:hAnsi="宋体;SimSun" w:eastAsia="宋体;SimSun" w:cs="宋体;SimSun"/>
                <w:color w:val="auto"/>
                <w:sz w:val="24"/>
                <w:szCs w:val="24"/>
                <w:highlight w:val="none"/>
                <w:lang w:eastAsia="en-US"/>
              </w:rPr>
            </w:pPr>
          </w:p>
        </w:tc>
        <w:tc>
          <w:tcPr>
            <w:tcW w:w="3023" w:type="dxa"/>
            <w:tcBorders>
              <w:top w:val="single" w:color="000000" w:sz="4" w:space="0"/>
              <w:left w:val="single" w:color="000000" w:sz="4" w:space="0"/>
              <w:bottom w:val="single" w:color="000000" w:sz="4" w:space="0"/>
              <w:right w:val="single" w:color="000000" w:sz="4" w:space="0"/>
            </w:tcBorders>
            <w:noWrap w:val="0"/>
            <w:vAlign w:val="center"/>
          </w:tcPr>
          <w:p w14:paraId="722144BE">
            <w:pPr>
              <w:jc w:val="center"/>
              <w:rPr>
                <w:rFonts w:ascii="宋体;SimSun" w:hAnsi="宋体;SimSun" w:eastAsia="宋体;SimSun" w:cs="宋体;SimSun"/>
                <w:color w:val="auto"/>
                <w:sz w:val="24"/>
                <w:szCs w:val="24"/>
                <w:highlight w:val="none"/>
                <w:lang w:eastAsia="en-US"/>
              </w:rPr>
            </w:pP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76642CBA">
            <w:pPr>
              <w:jc w:val="center"/>
              <w:rPr>
                <w:rFonts w:ascii="宋体;SimSun" w:hAnsi="宋体;SimSun" w:eastAsia="宋体;SimSun" w:cs="宋体;SimSun"/>
                <w:color w:val="auto"/>
                <w:sz w:val="24"/>
                <w:szCs w:val="24"/>
                <w:highlight w:val="none"/>
                <w:lang w:eastAsia="en-US"/>
              </w:rPr>
            </w:pPr>
          </w:p>
        </w:tc>
      </w:tr>
      <w:tr w14:paraId="5605838C">
        <w:tblPrEx>
          <w:tblCellMar>
            <w:top w:w="0" w:type="dxa"/>
            <w:left w:w="108" w:type="dxa"/>
            <w:bottom w:w="0" w:type="dxa"/>
            <w:right w:w="108" w:type="dxa"/>
          </w:tblCellMar>
        </w:tblPrEx>
        <w:trPr>
          <w:cantSplit/>
          <w:trHeight w:val="640" w:hRule="atLeast"/>
          <w:jc w:val="center"/>
        </w:trPr>
        <w:tc>
          <w:tcPr>
            <w:tcW w:w="808" w:type="dxa"/>
            <w:tcBorders>
              <w:top w:val="single" w:color="000000" w:sz="4" w:space="0"/>
              <w:left w:val="single" w:color="000000" w:sz="4" w:space="0"/>
              <w:bottom w:val="single" w:color="000000" w:sz="4" w:space="0"/>
              <w:right w:val="single" w:color="000000" w:sz="4" w:space="0"/>
            </w:tcBorders>
            <w:noWrap w:val="0"/>
            <w:vAlign w:val="center"/>
          </w:tcPr>
          <w:p w14:paraId="7B6C1EF7">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3</w:t>
            </w:r>
          </w:p>
        </w:tc>
        <w:tc>
          <w:tcPr>
            <w:tcW w:w="3274" w:type="dxa"/>
            <w:tcBorders>
              <w:top w:val="single" w:color="000000" w:sz="4" w:space="0"/>
              <w:left w:val="single" w:color="000000" w:sz="4" w:space="0"/>
              <w:bottom w:val="single" w:color="000000" w:sz="4" w:space="0"/>
              <w:right w:val="single" w:color="000000" w:sz="4" w:space="0"/>
            </w:tcBorders>
            <w:noWrap w:val="0"/>
            <w:vAlign w:val="center"/>
          </w:tcPr>
          <w:p w14:paraId="3D2A67B7">
            <w:pPr>
              <w:jc w:val="center"/>
              <w:rPr>
                <w:rFonts w:ascii="宋体;SimSun" w:hAnsi="宋体;SimSun" w:eastAsia="宋体;SimSun" w:cs="宋体;SimSun"/>
                <w:color w:val="auto"/>
                <w:sz w:val="24"/>
                <w:szCs w:val="24"/>
                <w:highlight w:val="none"/>
                <w:lang w:eastAsia="en-US"/>
              </w:rPr>
            </w:pPr>
          </w:p>
        </w:tc>
        <w:tc>
          <w:tcPr>
            <w:tcW w:w="3023" w:type="dxa"/>
            <w:tcBorders>
              <w:top w:val="single" w:color="000000" w:sz="4" w:space="0"/>
              <w:left w:val="single" w:color="000000" w:sz="4" w:space="0"/>
              <w:bottom w:val="single" w:color="000000" w:sz="4" w:space="0"/>
              <w:right w:val="single" w:color="000000" w:sz="4" w:space="0"/>
            </w:tcBorders>
            <w:noWrap w:val="0"/>
            <w:vAlign w:val="center"/>
          </w:tcPr>
          <w:p w14:paraId="7410A124">
            <w:pPr>
              <w:jc w:val="center"/>
              <w:rPr>
                <w:rFonts w:ascii="宋体;SimSun" w:hAnsi="宋体;SimSun" w:eastAsia="宋体;SimSun" w:cs="宋体;SimSun"/>
                <w:color w:val="auto"/>
                <w:sz w:val="24"/>
                <w:szCs w:val="24"/>
                <w:highlight w:val="none"/>
                <w:lang w:eastAsia="en-US"/>
              </w:rPr>
            </w:pP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022385CC">
            <w:pPr>
              <w:jc w:val="center"/>
              <w:rPr>
                <w:rFonts w:ascii="宋体;SimSun" w:hAnsi="宋体;SimSun" w:eastAsia="宋体;SimSun" w:cs="宋体;SimSun"/>
                <w:color w:val="auto"/>
                <w:sz w:val="24"/>
                <w:szCs w:val="24"/>
                <w:highlight w:val="none"/>
                <w:lang w:eastAsia="en-US"/>
              </w:rPr>
            </w:pPr>
          </w:p>
        </w:tc>
      </w:tr>
      <w:tr w14:paraId="59DF0AD1">
        <w:tblPrEx>
          <w:tblCellMar>
            <w:top w:w="0" w:type="dxa"/>
            <w:left w:w="108" w:type="dxa"/>
            <w:bottom w:w="0" w:type="dxa"/>
            <w:right w:w="108" w:type="dxa"/>
          </w:tblCellMar>
        </w:tblPrEx>
        <w:trPr>
          <w:cantSplit/>
          <w:trHeight w:val="640" w:hRule="atLeast"/>
          <w:jc w:val="center"/>
        </w:trPr>
        <w:tc>
          <w:tcPr>
            <w:tcW w:w="808" w:type="dxa"/>
            <w:tcBorders>
              <w:top w:val="single" w:color="000000" w:sz="4" w:space="0"/>
              <w:left w:val="single" w:color="000000" w:sz="4" w:space="0"/>
              <w:bottom w:val="single" w:color="000000" w:sz="4" w:space="0"/>
              <w:right w:val="single" w:color="000000" w:sz="4" w:space="0"/>
            </w:tcBorders>
            <w:noWrap w:val="0"/>
            <w:vAlign w:val="center"/>
          </w:tcPr>
          <w:p w14:paraId="42554DFD">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w:t>
            </w:r>
          </w:p>
        </w:tc>
        <w:tc>
          <w:tcPr>
            <w:tcW w:w="3274" w:type="dxa"/>
            <w:tcBorders>
              <w:top w:val="single" w:color="000000" w:sz="4" w:space="0"/>
              <w:left w:val="single" w:color="000000" w:sz="4" w:space="0"/>
              <w:bottom w:val="single" w:color="000000" w:sz="4" w:space="0"/>
              <w:right w:val="single" w:color="000000" w:sz="4" w:space="0"/>
            </w:tcBorders>
            <w:noWrap w:val="0"/>
            <w:vAlign w:val="center"/>
          </w:tcPr>
          <w:p w14:paraId="1EE0086B">
            <w:pPr>
              <w:jc w:val="center"/>
              <w:rPr>
                <w:rFonts w:ascii="宋体;SimSun" w:hAnsi="宋体;SimSun" w:eastAsia="宋体;SimSun" w:cs="宋体;SimSun"/>
                <w:color w:val="auto"/>
                <w:sz w:val="24"/>
                <w:szCs w:val="24"/>
                <w:highlight w:val="none"/>
                <w:lang w:eastAsia="en-US"/>
              </w:rPr>
            </w:pPr>
          </w:p>
        </w:tc>
        <w:tc>
          <w:tcPr>
            <w:tcW w:w="3023" w:type="dxa"/>
            <w:tcBorders>
              <w:top w:val="single" w:color="000000" w:sz="4" w:space="0"/>
              <w:left w:val="single" w:color="000000" w:sz="4" w:space="0"/>
              <w:bottom w:val="single" w:color="000000" w:sz="4" w:space="0"/>
              <w:right w:val="single" w:color="000000" w:sz="4" w:space="0"/>
            </w:tcBorders>
            <w:noWrap w:val="0"/>
            <w:vAlign w:val="center"/>
          </w:tcPr>
          <w:p w14:paraId="0CC8D25A">
            <w:pPr>
              <w:jc w:val="center"/>
              <w:rPr>
                <w:rFonts w:ascii="宋体;SimSun" w:hAnsi="宋体;SimSun" w:eastAsia="宋体;SimSun" w:cs="宋体;SimSun"/>
                <w:color w:val="auto"/>
                <w:sz w:val="24"/>
                <w:szCs w:val="24"/>
                <w:highlight w:val="none"/>
                <w:lang w:eastAsia="en-US"/>
              </w:rPr>
            </w:pPr>
          </w:p>
        </w:tc>
        <w:tc>
          <w:tcPr>
            <w:tcW w:w="1399" w:type="dxa"/>
            <w:tcBorders>
              <w:top w:val="single" w:color="000000" w:sz="4" w:space="0"/>
              <w:left w:val="single" w:color="000000" w:sz="4" w:space="0"/>
              <w:bottom w:val="single" w:color="000000" w:sz="4" w:space="0"/>
              <w:right w:val="single" w:color="000000" w:sz="4" w:space="0"/>
            </w:tcBorders>
            <w:noWrap w:val="0"/>
            <w:vAlign w:val="center"/>
          </w:tcPr>
          <w:p w14:paraId="49B72902">
            <w:pPr>
              <w:jc w:val="center"/>
              <w:rPr>
                <w:rFonts w:ascii="宋体;SimSun" w:hAnsi="宋体;SimSun" w:eastAsia="宋体;SimSun" w:cs="宋体;SimSun"/>
                <w:color w:val="auto"/>
                <w:sz w:val="24"/>
                <w:szCs w:val="24"/>
                <w:highlight w:val="none"/>
                <w:lang w:eastAsia="en-US"/>
              </w:rPr>
            </w:pPr>
          </w:p>
        </w:tc>
      </w:tr>
    </w:tbl>
    <w:p w14:paraId="705EF988">
      <w:pPr>
        <w:spacing w:line="500" w:lineRule="exact"/>
        <w:ind w:firstLine="480"/>
        <w:rPr>
          <w:rFonts w:ascii="宋体;SimSun" w:hAnsi="宋体;SimSun" w:eastAsia="宋体;SimSun" w:cs="宋体;SimSun"/>
          <w:color w:val="auto"/>
          <w:sz w:val="24"/>
          <w:szCs w:val="24"/>
          <w:highlight w:val="none"/>
        </w:rPr>
      </w:pPr>
    </w:p>
    <w:p w14:paraId="1CB8D0E9">
      <w:pPr>
        <w:spacing w:line="500" w:lineRule="exact"/>
        <w:ind w:firstLine="480"/>
        <w:rPr>
          <w:rFonts w:ascii="宋体;SimSun" w:hAnsi="宋体;SimSun" w:eastAsia="宋体;SimSun" w:cs="宋体;SimSun"/>
          <w:color w:val="auto"/>
          <w:sz w:val="24"/>
          <w:szCs w:val="24"/>
          <w:highlight w:val="none"/>
        </w:rPr>
      </w:pPr>
    </w:p>
    <w:p w14:paraId="10D5F9E2">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43A1C9A4">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08003F64">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25CBD5A1">
      <w:pPr>
        <w:rPr>
          <w:rFonts w:ascii="宋体;SimSun" w:hAnsi="宋体;SimSun" w:eastAsia="宋体;SimSun" w:cs="宋体;SimSun"/>
          <w:color w:val="auto"/>
          <w:sz w:val="24"/>
          <w:szCs w:val="24"/>
          <w:highlight w:val="none"/>
        </w:rPr>
      </w:pPr>
    </w:p>
    <w:p w14:paraId="75BEFE2A">
      <w:pPr>
        <w:rPr>
          <w:rFonts w:ascii="宋体;SimSun" w:hAnsi="宋体;SimSun" w:eastAsia="宋体;SimSun" w:cs="宋体;SimSun"/>
          <w:iCs/>
          <w:color w:val="auto"/>
          <w:sz w:val="36"/>
          <w:szCs w:val="24"/>
          <w:highlight w:val="none"/>
        </w:rPr>
      </w:pPr>
    </w:p>
    <w:p w14:paraId="2C881430">
      <w:pPr>
        <w:rPr>
          <w:rFonts w:ascii="宋体;SimSun" w:hAnsi="宋体;SimSun" w:eastAsia="宋体;SimSun" w:cs="宋体;SimSun"/>
          <w:iCs/>
          <w:color w:val="auto"/>
          <w:sz w:val="36"/>
          <w:szCs w:val="36"/>
          <w:highlight w:val="none"/>
        </w:rPr>
      </w:pPr>
    </w:p>
    <w:p w14:paraId="445F72A8">
      <w:pPr>
        <w:rPr>
          <w:rFonts w:ascii="宋体;SimSun" w:hAnsi="宋体;SimSun" w:eastAsia="宋体;SimSun" w:cs="宋体;SimSun"/>
          <w:iCs/>
          <w:color w:val="auto"/>
          <w:sz w:val="36"/>
          <w:szCs w:val="36"/>
          <w:highlight w:val="none"/>
        </w:rPr>
      </w:pPr>
    </w:p>
    <w:p w14:paraId="72032D57">
      <w:pPr>
        <w:rPr>
          <w:rFonts w:ascii="宋体;SimSun" w:hAnsi="宋体;SimSun" w:eastAsia="宋体;SimSun" w:cs="宋体;SimSun"/>
          <w:color w:val="auto"/>
          <w:sz w:val="36"/>
          <w:szCs w:val="36"/>
          <w:highlight w:val="none"/>
        </w:rPr>
        <w:sectPr>
          <w:headerReference r:id="rId13" w:type="default"/>
          <w:footerReference r:id="rId14" w:type="default"/>
          <w:pgSz w:w="11906" w:h="16838"/>
          <w:pgMar w:top="1134" w:right="1134" w:bottom="1134" w:left="1134" w:header="851" w:footer="992" w:gutter="0"/>
          <w:pgNumType w:start="1"/>
          <w:cols w:space="720" w:num="1"/>
          <w:docGrid w:linePitch="360" w:charSpace="0"/>
        </w:sectPr>
      </w:pPr>
    </w:p>
    <w:p w14:paraId="424F27D7">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十六、类似项目业绩一览表</w:t>
      </w:r>
    </w:p>
    <w:p w14:paraId="4B6B9BE5">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类似项目业绩一览表</w:t>
      </w:r>
    </w:p>
    <w:p w14:paraId="612DFECA">
      <w:pPr>
        <w:spacing w:line="360" w:lineRule="auto"/>
        <w:ind w:firstLine="24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项目名称： 项目编号： 分包号：</w:t>
      </w:r>
    </w:p>
    <w:tbl>
      <w:tblPr>
        <w:tblStyle w:val="39"/>
        <w:tblW w:w="9638" w:type="dxa"/>
        <w:jc w:val="center"/>
        <w:tblLayout w:type="fixed"/>
        <w:tblCellMar>
          <w:top w:w="0" w:type="dxa"/>
          <w:left w:w="108" w:type="dxa"/>
          <w:bottom w:w="0" w:type="dxa"/>
          <w:right w:w="108" w:type="dxa"/>
        </w:tblCellMar>
      </w:tblPr>
      <w:tblGrid>
        <w:gridCol w:w="1417"/>
        <w:gridCol w:w="2693"/>
        <w:gridCol w:w="1986"/>
        <w:gridCol w:w="1983"/>
        <w:gridCol w:w="1559"/>
      </w:tblGrid>
      <w:tr w14:paraId="69DDAB19">
        <w:tblPrEx>
          <w:tblCellMar>
            <w:top w:w="0" w:type="dxa"/>
            <w:left w:w="108" w:type="dxa"/>
            <w:bottom w:w="0" w:type="dxa"/>
            <w:right w:w="108" w:type="dxa"/>
          </w:tblCellMar>
        </w:tblPrEx>
        <w:trPr>
          <w:cantSplit/>
          <w:jc w:val="center"/>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539A2A8">
            <w:pPr>
              <w:spacing w:line="48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序号</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630BCDC6">
            <w:pPr>
              <w:spacing w:line="48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项目名称</w:t>
            </w:r>
          </w:p>
        </w:tc>
        <w:tc>
          <w:tcPr>
            <w:tcW w:w="1986" w:type="dxa"/>
            <w:tcBorders>
              <w:top w:val="single" w:color="000000" w:sz="4" w:space="0"/>
              <w:left w:val="single" w:color="000000" w:sz="4" w:space="0"/>
              <w:bottom w:val="single" w:color="000000" w:sz="4" w:space="0"/>
              <w:right w:val="single" w:color="000000" w:sz="4" w:space="0"/>
            </w:tcBorders>
            <w:noWrap w:val="0"/>
            <w:vAlign w:val="center"/>
          </w:tcPr>
          <w:p w14:paraId="715D0440">
            <w:pPr>
              <w:spacing w:line="48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签订时间</w:t>
            </w:r>
          </w:p>
        </w:tc>
        <w:tc>
          <w:tcPr>
            <w:tcW w:w="1983" w:type="dxa"/>
            <w:tcBorders>
              <w:top w:val="single" w:color="000000" w:sz="4" w:space="0"/>
              <w:left w:val="single" w:color="000000" w:sz="4" w:space="0"/>
              <w:bottom w:val="single" w:color="000000" w:sz="4" w:space="0"/>
              <w:right w:val="single" w:color="000000" w:sz="4" w:space="0"/>
            </w:tcBorders>
            <w:noWrap w:val="0"/>
            <w:vAlign w:val="center"/>
          </w:tcPr>
          <w:p w14:paraId="7D2FF8B9">
            <w:pPr>
              <w:spacing w:line="48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采购单位</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ED365FF">
            <w:pPr>
              <w:spacing w:line="48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主要标的</w:t>
            </w:r>
          </w:p>
        </w:tc>
      </w:tr>
      <w:tr w14:paraId="5C35F35A">
        <w:tblPrEx>
          <w:tblCellMar>
            <w:top w:w="0" w:type="dxa"/>
            <w:left w:w="108" w:type="dxa"/>
            <w:bottom w:w="0" w:type="dxa"/>
            <w:right w:w="108" w:type="dxa"/>
          </w:tblCellMar>
        </w:tblPrEx>
        <w:trPr>
          <w:cantSplit/>
          <w:trHeight w:val="640" w:hRule="atLeast"/>
          <w:jc w:val="center"/>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727C016">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1</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1346CE8E">
            <w:pPr>
              <w:jc w:val="center"/>
              <w:rPr>
                <w:rFonts w:ascii="宋体;SimSun" w:hAnsi="宋体;SimSun" w:eastAsia="宋体;SimSun" w:cs="宋体;SimSun"/>
                <w:color w:val="auto"/>
                <w:sz w:val="24"/>
                <w:szCs w:val="24"/>
                <w:highlight w:val="none"/>
                <w:lang w:eastAsia="en-US"/>
              </w:rPr>
            </w:pPr>
          </w:p>
        </w:tc>
        <w:tc>
          <w:tcPr>
            <w:tcW w:w="1986" w:type="dxa"/>
            <w:tcBorders>
              <w:top w:val="single" w:color="000000" w:sz="4" w:space="0"/>
              <w:left w:val="single" w:color="000000" w:sz="4" w:space="0"/>
              <w:bottom w:val="single" w:color="000000" w:sz="4" w:space="0"/>
              <w:right w:val="single" w:color="000000" w:sz="4" w:space="0"/>
            </w:tcBorders>
            <w:noWrap w:val="0"/>
          </w:tcPr>
          <w:p w14:paraId="19AB1737">
            <w:pPr>
              <w:jc w:val="center"/>
              <w:rPr>
                <w:rFonts w:ascii="宋体;SimSun" w:hAnsi="宋体;SimSun" w:eastAsia="宋体;SimSun" w:cs="宋体;SimSun"/>
                <w:color w:val="auto"/>
                <w:sz w:val="24"/>
                <w:szCs w:val="24"/>
                <w:highlight w:val="none"/>
                <w:lang w:eastAsia="en-US"/>
              </w:rPr>
            </w:pPr>
          </w:p>
        </w:tc>
        <w:tc>
          <w:tcPr>
            <w:tcW w:w="1983" w:type="dxa"/>
            <w:tcBorders>
              <w:top w:val="single" w:color="000000" w:sz="4" w:space="0"/>
              <w:left w:val="single" w:color="000000" w:sz="4" w:space="0"/>
              <w:bottom w:val="single" w:color="000000" w:sz="4" w:space="0"/>
              <w:right w:val="single" w:color="000000" w:sz="4" w:space="0"/>
            </w:tcBorders>
            <w:noWrap w:val="0"/>
            <w:vAlign w:val="center"/>
          </w:tcPr>
          <w:p w14:paraId="1C041B81">
            <w:pPr>
              <w:jc w:val="center"/>
              <w:rPr>
                <w:rFonts w:ascii="宋体;SimSun" w:hAnsi="宋体;SimSun" w:eastAsia="宋体;SimSun" w:cs="宋体;SimSun"/>
                <w:color w:val="auto"/>
                <w:sz w:val="24"/>
                <w:szCs w:val="24"/>
                <w:highlight w:val="none"/>
                <w:lang w:eastAsia="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8CE0EEF">
            <w:pPr>
              <w:jc w:val="center"/>
              <w:rPr>
                <w:rFonts w:ascii="宋体;SimSun" w:hAnsi="宋体;SimSun" w:eastAsia="宋体;SimSun" w:cs="宋体;SimSun"/>
                <w:color w:val="auto"/>
                <w:sz w:val="24"/>
                <w:szCs w:val="24"/>
                <w:highlight w:val="none"/>
                <w:lang w:eastAsia="en-US"/>
              </w:rPr>
            </w:pPr>
          </w:p>
        </w:tc>
      </w:tr>
      <w:tr w14:paraId="4943FC1B">
        <w:tblPrEx>
          <w:tblCellMar>
            <w:top w:w="0" w:type="dxa"/>
            <w:left w:w="108" w:type="dxa"/>
            <w:bottom w:w="0" w:type="dxa"/>
            <w:right w:w="108" w:type="dxa"/>
          </w:tblCellMar>
        </w:tblPrEx>
        <w:trPr>
          <w:cantSplit/>
          <w:trHeight w:val="640" w:hRule="atLeast"/>
          <w:jc w:val="center"/>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561EBFD2">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2</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0F9849C1">
            <w:pPr>
              <w:jc w:val="center"/>
              <w:rPr>
                <w:rFonts w:ascii="宋体;SimSun" w:hAnsi="宋体;SimSun" w:eastAsia="宋体;SimSun" w:cs="宋体;SimSun"/>
                <w:color w:val="auto"/>
                <w:sz w:val="24"/>
                <w:szCs w:val="24"/>
                <w:highlight w:val="none"/>
                <w:lang w:eastAsia="en-US"/>
              </w:rPr>
            </w:pPr>
          </w:p>
        </w:tc>
        <w:tc>
          <w:tcPr>
            <w:tcW w:w="1986" w:type="dxa"/>
            <w:tcBorders>
              <w:top w:val="single" w:color="000000" w:sz="4" w:space="0"/>
              <w:left w:val="single" w:color="000000" w:sz="4" w:space="0"/>
              <w:bottom w:val="single" w:color="000000" w:sz="4" w:space="0"/>
              <w:right w:val="single" w:color="000000" w:sz="4" w:space="0"/>
            </w:tcBorders>
            <w:noWrap w:val="0"/>
          </w:tcPr>
          <w:p w14:paraId="00E8E238">
            <w:pPr>
              <w:jc w:val="center"/>
              <w:rPr>
                <w:rFonts w:ascii="宋体;SimSun" w:hAnsi="宋体;SimSun" w:eastAsia="宋体;SimSun" w:cs="宋体;SimSun"/>
                <w:color w:val="auto"/>
                <w:sz w:val="24"/>
                <w:szCs w:val="24"/>
                <w:highlight w:val="none"/>
                <w:lang w:eastAsia="en-US"/>
              </w:rPr>
            </w:pPr>
          </w:p>
        </w:tc>
        <w:tc>
          <w:tcPr>
            <w:tcW w:w="1983" w:type="dxa"/>
            <w:tcBorders>
              <w:top w:val="single" w:color="000000" w:sz="4" w:space="0"/>
              <w:left w:val="single" w:color="000000" w:sz="4" w:space="0"/>
              <w:bottom w:val="single" w:color="000000" w:sz="4" w:space="0"/>
              <w:right w:val="single" w:color="000000" w:sz="4" w:space="0"/>
            </w:tcBorders>
            <w:noWrap w:val="0"/>
            <w:vAlign w:val="center"/>
          </w:tcPr>
          <w:p w14:paraId="301752A0">
            <w:pPr>
              <w:jc w:val="center"/>
              <w:rPr>
                <w:rFonts w:ascii="宋体;SimSun" w:hAnsi="宋体;SimSun" w:eastAsia="宋体;SimSun" w:cs="宋体;SimSun"/>
                <w:color w:val="auto"/>
                <w:sz w:val="24"/>
                <w:szCs w:val="24"/>
                <w:highlight w:val="none"/>
                <w:lang w:eastAsia="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3B27FBC">
            <w:pPr>
              <w:jc w:val="center"/>
              <w:rPr>
                <w:rFonts w:ascii="宋体;SimSun" w:hAnsi="宋体;SimSun" w:eastAsia="宋体;SimSun" w:cs="宋体;SimSun"/>
                <w:color w:val="auto"/>
                <w:sz w:val="24"/>
                <w:szCs w:val="24"/>
                <w:highlight w:val="none"/>
                <w:lang w:eastAsia="en-US"/>
              </w:rPr>
            </w:pPr>
          </w:p>
        </w:tc>
      </w:tr>
      <w:tr w14:paraId="07159C7C">
        <w:tblPrEx>
          <w:tblCellMar>
            <w:top w:w="0" w:type="dxa"/>
            <w:left w:w="108" w:type="dxa"/>
            <w:bottom w:w="0" w:type="dxa"/>
            <w:right w:w="108" w:type="dxa"/>
          </w:tblCellMar>
        </w:tblPrEx>
        <w:trPr>
          <w:cantSplit/>
          <w:trHeight w:val="640" w:hRule="atLeast"/>
          <w:jc w:val="center"/>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5B597754">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3</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6389D90E">
            <w:pPr>
              <w:jc w:val="center"/>
              <w:rPr>
                <w:rFonts w:ascii="宋体;SimSun" w:hAnsi="宋体;SimSun" w:eastAsia="宋体;SimSun" w:cs="宋体;SimSun"/>
                <w:color w:val="auto"/>
                <w:sz w:val="24"/>
                <w:szCs w:val="24"/>
                <w:highlight w:val="none"/>
                <w:lang w:eastAsia="en-US"/>
              </w:rPr>
            </w:pPr>
          </w:p>
        </w:tc>
        <w:tc>
          <w:tcPr>
            <w:tcW w:w="1986" w:type="dxa"/>
            <w:tcBorders>
              <w:top w:val="single" w:color="000000" w:sz="4" w:space="0"/>
              <w:left w:val="single" w:color="000000" w:sz="4" w:space="0"/>
              <w:bottom w:val="single" w:color="000000" w:sz="4" w:space="0"/>
              <w:right w:val="single" w:color="000000" w:sz="4" w:space="0"/>
            </w:tcBorders>
            <w:noWrap w:val="0"/>
          </w:tcPr>
          <w:p w14:paraId="79D43E90">
            <w:pPr>
              <w:jc w:val="center"/>
              <w:rPr>
                <w:rFonts w:ascii="宋体;SimSun" w:hAnsi="宋体;SimSun" w:eastAsia="宋体;SimSun" w:cs="宋体;SimSun"/>
                <w:color w:val="auto"/>
                <w:sz w:val="24"/>
                <w:szCs w:val="24"/>
                <w:highlight w:val="none"/>
                <w:lang w:eastAsia="en-US"/>
              </w:rPr>
            </w:pPr>
          </w:p>
        </w:tc>
        <w:tc>
          <w:tcPr>
            <w:tcW w:w="1983" w:type="dxa"/>
            <w:tcBorders>
              <w:top w:val="single" w:color="000000" w:sz="4" w:space="0"/>
              <w:left w:val="single" w:color="000000" w:sz="4" w:space="0"/>
              <w:bottom w:val="single" w:color="000000" w:sz="4" w:space="0"/>
              <w:right w:val="single" w:color="000000" w:sz="4" w:space="0"/>
            </w:tcBorders>
            <w:noWrap w:val="0"/>
            <w:vAlign w:val="center"/>
          </w:tcPr>
          <w:p w14:paraId="37CF9345">
            <w:pPr>
              <w:jc w:val="center"/>
              <w:rPr>
                <w:rFonts w:ascii="宋体;SimSun" w:hAnsi="宋体;SimSun" w:eastAsia="宋体;SimSun" w:cs="宋体;SimSun"/>
                <w:color w:val="auto"/>
                <w:sz w:val="24"/>
                <w:szCs w:val="24"/>
                <w:highlight w:val="none"/>
                <w:lang w:eastAsia="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A48CE0A">
            <w:pPr>
              <w:jc w:val="center"/>
              <w:rPr>
                <w:rFonts w:ascii="宋体;SimSun" w:hAnsi="宋体;SimSun" w:eastAsia="宋体;SimSun" w:cs="宋体;SimSun"/>
                <w:color w:val="auto"/>
                <w:sz w:val="24"/>
                <w:szCs w:val="24"/>
                <w:highlight w:val="none"/>
                <w:lang w:eastAsia="en-US"/>
              </w:rPr>
            </w:pPr>
          </w:p>
        </w:tc>
      </w:tr>
      <w:tr w14:paraId="39FFC645">
        <w:tblPrEx>
          <w:tblCellMar>
            <w:top w:w="0" w:type="dxa"/>
            <w:left w:w="108" w:type="dxa"/>
            <w:bottom w:w="0" w:type="dxa"/>
            <w:right w:w="108" w:type="dxa"/>
          </w:tblCellMar>
        </w:tblPrEx>
        <w:trPr>
          <w:cantSplit/>
          <w:trHeight w:val="640" w:hRule="atLeast"/>
          <w:jc w:val="center"/>
        </w:trPr>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26225D5">
            <w:pPr>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2D97E5A4">
            <w:pPr>
              <w:jc w:val="center"/>
              <w:rPr>
                <w:rFonts w:ascii="宋体;SimSun" w:hAnsi="宋体;SimSun" w:eastAsia="宋体;SimSun" w:cs="宋体;SimSun"/>
                <w:color w:val="auto"/>
                <w:sz w:val="24"/>
                <w:szCs w:val="24"/>
                <w:highlight w:val="none"/>
                <w:lang w:eastAsia="en-US"/>
              </w:rPr>
            </w:pPr>
          </w:p>
        </w:tc>
        <w:tc>
          <w:tcPr>
            <w:tcW w:w="1986" w:type="dxa"/>
            <w:tcBorders>
              <w:top w:val="single" w:color="000000" w:sz="4" w:space="0"/>
              <w:left w:val="single" w:color="000000" w:sz="4" w:space="0"/>
              <w:bottom w:val="single" w:color="000000" w:sz="4" w:space="0"/>
              <w:right w:val="single" w:color="000000" w:sz="4" w:space="0"/>
            </w:tcBorders>
            <w:noWrap w:val="0"/>
          </w:tcPr>
          <w:p w14:paraId="34B79D42">
            <w:pPr>
              <w:jc w:val="center"/>
              <w:rPr>
                <w:rFonts w:ascii="宋体;SimSun" w:hAnsi="宋体;SimSun" w:eastAsia="宋体;SimSun" w:cs="宋体;SimSun"/>
                <w:color w:val="auto"/>
                <w:sz w:val="24"/>
                <w:szCs w:val="24"/>
                <w:highlight w:val="none"/>
                <w:lang w:eastAsia="en-US"/>
              </w:rPr>
            </w:pPr>
          </w:p>
        </w:tc>
        <w:tc>
          <w:tcPr>
            <w:tcW w:w="1983" w:type="dxa"/>
            <w:tcBorders>
              <w:top w:val="single" w:color="000000" w:sz="4" w:space="0"/>
              <w:left w:val="single" w:color="000000" w:sz="4" w:space="0"/>
              <w:bottom w:val="single" w:color="000000" w:sz="4" w:space="0"/>
              <w:right w:val="single" w:color="000000" w:sz="4" w:space="0"/>
            </w:tcBorders>
            <w:noWrap w:val="0"/>
            <w:vAlign w:val="center"/>
          </w:tcPr>
          <w:p w14:paraId="1708ADCE">
            <w:pPr>
              <w:jc w:val="center"/>
              <w:rPr>
                <w:rFonts w:ascii="宋体;SimSun" w:hAnsi="宋体;SimSun" w:eastAsia="宋体;SimSun" w:cs="宋体;SimSun"/>
                <w:color w:val="auto"/>
                <w:sz w:val="24"/>
                <w:szCs w:val="24"/>
                <w:highlight w:val="none"/>
                <w:lang w:eastAsia="en-US"/>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11CE846">
            <w:pPr>
              <w:jc w:val="center"/>
              <w:rPr>
                <w:rFonts w:ascii="宋体;SimSun" w:hAnsi="宋体;SimSun" w:eastAsia="宋体;SimSun" w:cs="宋体;SimSun"/>
                <w:color w:val="auto"/>
                <w:sz w:val="24"/>
                <w:szCs w:val="24"/>
                <w:highlight w:val="none"/>
                <w:lang w:eastAsia="en-US"/>
              </w:rPr>
            </w:pPr>
          </w:p>
        </w:tc>
      </w:tr>
    </w:tbl>
    <w:p w14:paraId="2BD727EC">
      <w:pPr>
        <w:spacing w:line="500" w:lineRule="exact"/>
        <w:ind w:firstLine="480"/>
        <w:rPr>
          <w:rFonts w:ascii="宋体;SimSun" w:hAnsi="宋体;SimSun" w:eastAsia="宋体;SimSun" w:cs="宋体;SimSun"/>
          <w:color w:val="auto"/>
          <w:sz w:val="24"/>
          <w:szCs w:val="24"/>
          <w:highlight w:val="none"/>
        </w:rPr>
      </w:pPr>
    </w:p>
    <w:p w14:paraId="0658C361">
      <w:pPr>
        <w:spacing w:line="500" w:lineRule="exact"/>
        <w:ind w:firstLine="480"/>
        <w:rPr>
          <w:rFonts w:ascii="宋体;SimSun" w:hAnsi="宋体;SimSun" w:eastAsia="宋体;SimSun" w:cs="宋体;SimSun"/>
          <w:color w:val="auto"/>
          <w:sz w:val="24"/>
          <w:szCs w:val="24"/>
          <w:highlight w:val="none"/>
        </w:rPr>
      </w:pPr>
    </w:p>
    <w:p w14:paraId="5BEC97BC">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5E9A3387">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1515E259">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5585C85E">
      <w:pPr>
        <w:rPr>
          <w:rFonts w:ascii="宋体;SimSun" w:hAnsi="宋体;SimSun" w:eastAsia="宋体;SimSun" w:cs="宋体;SimSun"/>
          <w:color w:val="auto"/>
          <w:sz w:val="24"/>
          <w:szCs w:val="24"/>
          <w:highlight w:val="none"/>
        </w:rPr>
      </w:pPr>
    </w:p>
    <w:p w14:paraId="51727522">
      <w:pPr>
        <w:rPr>
          <w:rFonts w:ascii="宋体;SimSun" w:hAnsi="宋体;SimSun" w:eastAsia="宋体;SimSun" w:cs="宋体;SimSun"/>
          <w:color w:val="auto"/>
          <w:sz w:val="24"/>
          <w:szCs w:val="24"/>
          <w:highlight w:val="none"/>
        </w:rPr>
      </w:pPr>
    </w:p>
    <w:p w14:paraId="0D4FD4F2">
      <w:pPr>
        <w:rPr>
          <w:rFonts w:ascii="宋体;SimSun" w:hAnsi="宋体;SimSun" w:eastAsia="宋体;SimSun" w:cs="宋体;SimSun"/>
          <w:iCs/>
          <w:color w:val="auto"/>
          <w:sz w:val="36"/>
          <w:highlight w:val="none"/>
        </w:rPr>
      </w:pPr>
    </w:p>
    <w:p w14:paraId="3982409E">
      <w:pPr>
        <w:rPr>
          <w:rFonts w:ascii="宋体;SimSun" w:hAnsi="宋体;SimSun" w:eastAsia="宋体;SimSun" w:cs="宋体;SimSun"/>
          <w:iCs/>
          <w:color w:val="auto"/>
          <w:sz w:val="36"/>
          <w:highlight w:val="none"/>
        </w:rPr>
      </w:pPr>
    </w:p>
    <w:p w14:paraId="6238B3E3">
      <w:pPr>
        <w:rPr>
          <w:rFonts w:ascii="宋体;SimSun" w:hAnsi="宋体;SimSun" w:eastAsia="宋体;SimSun" w:cs="宋体;SimSun"/>
          <w:iCs/>
          <w:color w:val="auto"/>
          <w:sz w:val="36"/>
          <w:highlight w:val="none"/>
        </w:rPr>
      </w:pPr>
    </w:p>
    <w:p w14:paraId="39DEF4D3">
      <w:pPr>
        <w:rPr>
          <w:rFonts w:ascii="宋体;SimSun" w:hAnsi="宋体;SimSun" w:eastAsia="宋体;SimSun" w:cs="宋体;SimSun"/>
          <w:iCs/>
          <w:color w:val="auto"/>
          <w:sz w:val="36"/>
          <w:highlight w:val="none"/>
        </w:rPr>
        <w:sectPr>
          <w:headerReference r:id="rId15" w:type="default"/>
          <w:footerReference r:id="rId16" w:type="default"/>
          <w:pgSz w:w="11906" w:h="16838"/>
          <w:pgMar w:top="1134" w:right="1134" w:bottom="1134" w:left="1134" w:header="851" w:footer="992" w:gutter="0"/>
          <w:pgNumType w:start="1"/>
          <w:cols w:space="720" w:num="1"/>
          <w:docGrid w:linePitch="360" w:charSpace="0"/>
        </w:sectPr>
      </w:pPr>
    </w:p>
    <w:p w14:paraId="51D41B56">
      <w:pPr>
        <w:keepNext/>
        <w:keepLines/>
        <w:spacing w:before="360" w:after="200" w:line="360" w:lineRule="auto"/>
        <w:jc w:val="left"/>
        <w:outlineLvl w:val="1"/>
        <w:rPr>
          <w:rFonts w:ascii="宋体;SimSun" w:hAnsi="宋体;SimSun" w:eastAsia="宋体;SimSun" w:cs="宋体;SimSun"/>
          <w:b/>
          <w:iCs/>
          <w:color w:val="auto"/>
          <w:sz w:val="36"/>
          <w:highlight w:val="none"/>
        </w:rPr>
      </w:pPr>
      <w:r>
        <w:rPr>
          <w:rFonts w:ascii="宋体;SimSun" w:hAnsi="宋体;SimSun" w:eastAsia="宋体;SimSun" w:cs="宋体;SimSun"/>
          <w:b/>
          <w:iCs/>
          <w:color w:val="auto"/>
          <w:sz w:val="36"/>
          <w:highlight w:val="none"/>
        </w:rPr>
        <w:t>十七、项目团队人员一览表</w:t>
      </w:r>
    </w:p>
    <w:p w14:paraId="4023C84A">
      <w:pPr>
        <w:tabs>
          <w:tab w:val="left" w:pos="360"/>
        </w:tabs>
        <w:spacing w:line="360" w:lineRule="auto"/>
        <w:jc w:val="center"/>
        <w:rPr>
          <w:rFonts w:ascii="宋体;SimSun" w:hAnsi="宋体;SimSun" w:eastAsia="宋体;SimSun" w:cs="宋体;SimSun"/>
          <w:bCs/>
          <w:color w:val="auto"/>
          <w:sz w:val="36"/>
          <w:szCs w:val="28"/>
          <w:highlight w:val="none"/>
        </w:rPr>
      </w:pPr>
      <w:r>
        <w:rPr>
          <w:rFonts w:ascii="宋体;SimSun" w:hAnsi="宋体;SimSun" w:eastAsia="宋体;SimSun" w:cs="宋体;SimSun"/>
          <w:bCs/>
          <w:color w:val="auto"/>
          <w:sz w:val="36"/>
          <w:szCs w:val="28"/>
          <w:highlight w:val="none"/>
        </w:rPr>
        <w:t>项目团队人员一览表</w:t>
      </w:r>
    </w:p>
    <w:p w14:paraId="37B3336B">
      <w:pPr>
        <w:spacing w:line="360" w:lineRule="auto"/>
        <w:ind w:firstLine="60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项目名称： 项目编号： 分包号：</w:t>
      </w:r>
    </w:p>
    <w:tbl>
      <w:tblPr>
        <w:tblStyle w:val="39"/>
        <w:tblW w:w="9566" w:type="dxa"/>
        <w:jc w:val="center"/>
        <w:tblLayout w:type="fixed"/>
        <w:tblCellMar>
          <w:top w:w="0" w:type="dxa"/>
          <w:left w:w="108" w:type="dxa"/>
          <w:bottom w:w="0" w:type="dxa"/>
          <w:right w:w="108" w:type="dxa"/>
        </w:tblCellMar>
      </w:tblPr>
      <w:tblGrid>
        <w:gridCol w:w="1099"/>
        <w:gridCol w:w="1418"/>
        <w:gridCol w:w="2410"/>
        <w:gridCol w:w="1275"/>
        <w:gridCol w:w="1275"/>
        <w:gridCol w:w="2089"/>
      </w:tblGrid>
      <w:tr w14:paraId="7F40A631">
        <w:tblPrEx>
          <w:tblCellMar>
            <w:top w:w="0" w:type="dxa"/>
            <w:left w:w="108" w:type="dxa"/>
            <w:bottom w:w="0" w:type="dxa"/>
            <w:right w:w="108" w:type="dxa"/>
          </w:tblCellMar>
        </w:tblPrEx>
        <w:trPr>
          <w:cantSplit/>
          <w:jc w:val="center"/>
        </w:trPr>
        <w:tc>
          <w:tcPr>
            <w:tcW w:w="1099" w:type="dxa"/>
            <w:tcBorders>
              <w:top w:val="single" w:color="000000" w:sz="4" w:space="0"/>
              <w:left w:val="single" w:color="000000" w:sz="4" w:space="0"/>
              <w:bottom w:val="single" w:color="000000" w:sz="4" w:space="0"/>
              <w:right w:val="single" w:color="000000" w:sz="4" w:space="0"/>
            </w:tcBorders>
            <w:noWrap w:val="0"/>
            <w:vAlign w:val="center"/>
          </w:tcPr>
          <w:p w14:paraId="27245612">
            <w:pPr>
              <w:spacing w:line="36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姓名</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BA48ACF">
            <w:pPr>
              <w:spacing w:line="36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本项目拟担任职务</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884A12C">
            <w:pPr>
              <w:spacing w:line="36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技术职称、专业资质</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03BE3E5">
            <w:pPr>
              <w:spacing w:line="36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学历</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50ED06B">
            <w:pPr>
              <w:spacing w:line="360" w:lineRule="auto"/>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年龄</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6C880131">
            <w:pPr>
              <w:spacing w:line="360" w:lineRule="auto"/>
              <w:jc w:val="center"/>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主要资历及担任过的职务</w:t>
            </w:r>
          </w:p>
        </w:tc>
      </w:tr>
      <w:tr w14:paraId="61DC985B">
        <w:tblPrEx>
          <w:tblCellMar>
            <w:top w:w="0" w:type="dxa"/>
            <w:left w:w="108" w:type="dxa"/>
            <w:bottom w:w="0" w:type="dxa"/>
            <w:right w:w="108" w:type="dxa"/>
          </w:tblCellMar>
        </w:tblPrEx>
        <w:trPr>
          <w:cantSplit/>
          <w:trHeight w:val="640" w:hRule="atLeast"/>
          <w:jc w:val="center"/>
        </w:trPr>
        <w:tc>
          <w:tcPr>
            <w:tcW w:w="1099" w:type="dxa"/>
            <w:tcBorders>
              <w:top w:val="single" w:color="000000" w:sz="4" w:space="0"/>
              <w:left w:val="single" w:color="000000" w:sz="4" w:space="0"/>
              <w:bottom w:val="single" w:color="000000" w:sz="4" w:space="0"/>
              <w:right w:val="single" w:color="000000" w:sz="4" w:space="0"/>
            </w:tcBorders>
            <w:noWrap w:val="0"/>
            <w:vAlign w:val="center"/>
          </w:tcPr>
          <w:p w14:paraId="46707D07">
            <w:pPr>
              <w:jc w:val="center"/>
              <w:rPr>
                <w:rFonts w:ascii="宋体;SimSun" w:hAnsi="宋体;SimSun" w:eastAsia="宋体;SimSun" w:cs="宋体;SimSun"/>
                <w:color w:val="auto"/>
                <w:sz w:val="24"/>
                <w:szCs w:val="24"/>
                <w:highlight w:val="none"/>
              </w:rPr>
            </w:pP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53AD968">
            <w:pPr>
              <w:jc w:val="center"/>
              <w:rPr>
                <w:rFonts w:ascii="宋体;SimSun" w:hAnsi="宋体;SimSun" w:eastAsia="宋体;SimSun" w:cs="宋体;SimSun"/>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tcPr>
          <w:p w14:paraId="5A538425">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tcPr>
          <w:p w14:paraId="7ED061CF">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A93B446">
            <w:pPr>
              <w:jc w:val="center"/>
              <w:rPr>
                <w:rFonts w:ascii="宋体;SimSun" w:hAnsi="宋体;SimSun" w:eastAsia="宋体;SimSun" w:cs="宋体;SimSun"/>
                <w:color w:val="auto"/>
                <w:sz w:val="24"/>
                <w:szCs w:val="24"/>
                <w:highlight w:val="none"/>
              </w:rPr>
            </w:pP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7677CF2D">
            <w:pPr>
              <w:jc w:val="center"/>
              <w:rPr>
                <w:rFonts w:ascii="宋体;SimSun" w:hAnsi="宋体;SimSun" w:eastAsia="宋体;SimSun" w:cs="宋体;SimSun"/>
                <w:color w:val="auto"/>
                <w:sz w:val="24"/>
                <w:szCs w:val="24"/>
                <w:highlight w:val="none"/>
              </w:rPr>
            </w:pPr>
          </w:p>
        </w:tc>
      </w:tr>
      <w:tr w14:paraId="46949CB2">
        <w:tblPrEx>
          <w:tblCellMar>
            <w:top w:w="0" w:type="dxa"/>
            <w:left w:w="108" w:type="dxa"/>
            <w:bottom w:w="0" w:type="dxa"/>
            <w:right w:w="108" w:type="dxa"/>
          </w:tblCellMar>
        </w:tblPrEx>
        <w:trPr>
          <w:cantSplit/>
          <w:trHeight w:val="640" w:hRule="atLeast"/>
          <w:jc w:val="center"/>
        </w:trPr>
        <w:tc>
          <w:tcPr>
            <w:tcW w:w="1099" w:type="dxa"/>
            <w:tcBorders>
              <w:top w:val="single" w:color="000000" w:sz="4" w:space="0"/>
              <w:left w:val="single" w:color="000000" w:sz="4" w:space="0"/>
              <w:bottom w:val="single" w:color="000000" w:sz="4" w:space="0"/>
              <w:right w:val="single" w:color="000000" w:sz="4" w:space="0"/>
            </w:tcBorders>
            <w:noWrap w:val="0"/>
            <w:vAlign w:val="center"/>
          </w:tcPr>
          <w:p w14:paraId="2B31B669">
            <w:pPr>
              <w:jc w:val="center"/>
              <w:rPr>
                <w:rFonts w:ascii="宋体;SimSun" w:hAnsi="宋体;SimSun" w:eastAsia="宋体;SimSun" w:cs="宋体;SimSun"/>
                <w:color w:val="auto"/>
                <w:sz w:val="24"/>
                <w:szCs w:val="24"/>
                <w:highlight w:val="none"/>
              </w:rPr>
            </w:pP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580272B">
            <w:pPr>
              <w:jc w:val="center"/>
              <w:rPr>
                <w:rFonts w:ascii="宋体;SimSun" w:hAnsi="宋体;SimSun" w:eastAsia="宋体;SimSun" w:cs="宋体;SimSun"/>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tcPr>
          <w:p w14:paraId="2EF75543">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tcPr>
          <w:p w14:paraId="482D89B0">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1F738AB">
            <w:pPr>
              <w:jc w:val="center"/>
              <w:rPr>
                <w:rFonts w:ascii="宋体;SimSun" w:hAnsi="宋体;SimSun" w:eastAsia="宋体;SimSun" w:cs="宋体;SimSun"/>
                <w:color w:val="auto"/>
                <w:sz w:val="24"/>
                <w:szCs w:val="24"/>
                <w:highlight w:val="none"/>
              </w:rPr>
            </w:pP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17429A72">
            <w:pPr>
              <w:jc w:val="center"/>
              <w:rPr>
                <w:rFonts w:ascii="宋体;SimSun" w:hAnsi="宋体;SimSun" w:eastAsia="宋体;SimSun" w:cs="宋体;SimSun"/>
                <w:color w:val="auto"/>
                <w:sz w:val="24"/>
                <w:szCs w:val="24"/>
                <w:highlight w:val="none"/>
              </w:rPr>
            </w:pPr>
          </w:p>
        </w:tc>
      </w:tr>
      <w:tr w14:paraId="22C659C7">
        <w:tblPrEx>
          <w:tblCellMar>
            <w:top w:w="0" w:type="dxa"/>
            <w:left w:w="108" w:type="dxa"/>
            <w:bottom w:w="0" w:type="dxa"/>
            <w:right w:w="108" w:type="dxa"/>
          </w:tblCellMar>
        </w:tblPrEx>
        <w:trPr>
          <w:cantSplit/>
          <w:trHeight w:val="640" w:hRule="atLeast"/>
          <w:jc w:val="center"/>
        </w:trPr>
        <w:tc>
          <w:tcPr>
            <w:tcW w:w="1099" w:type="dxa"/>
            <w:tcBorders>
              <w:top w:val="single" w:color="000000" w:sz="4" w:space="0"/>
              <w:left w:val="single" w:color="000000" w:sz="4" w:space="0"/>
              <w:bottom w:val="single" w:color="000000" w:sz="4" w:space="0"/>
              <w:right w:val="single" w:color="000000" w:sz="4" w:space="0"/>
            </w:tcBorders>
            <w:noWrap w:val="0"/>
            <w:vAlign w:val="center"/>
          </w:tcPr>
          <w:p w14:paraId="33CFE6E8">
            <w:pPr>
              <w:jc w:val="center"/>
              <w:rPr>
                <w:rFonts w:ascii="宋体;SimSun" w:hAnsi="宋体;SimSun" w:eastAsia="宋体;SimSun" w:cs="宋体;SimSun"/>
                <w:color w:val="auto"/>
                <w:sz w:val="24"/>
                <w:szCs w:val="24"/>
                <w:highlight w:val="none"/>
              </w:rPr>
            </w:pP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0C7EB96">
            <w:pPr>
              <w:jc w:val="center"/>
              <w:rPr>
                <w:rFonts w:ascii="宋体;SimSun" w:hAnsi="宋体;SimSun" w:eastAsia="宋体;SimSun" w:cs="宋体;SimSun"/>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tcPr>
          <w:p w14:paraId="1AEDE032">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tcPr>
          <w:p w14:paraId="759F626F">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4AD54D1">
            <w:pPr>
              <w:jc w:val="center"/>
              <w:rPr>
                <w:rFonts w:ascii="宋体;SimSun" w:hAnsi="宋体;SimSun" w:eastAsia="宋体;SimSun" w:cs="宋体;SimSun"/>
                <w:color w:val="auto"/>
                <w:sz w:val="24"/>
                <w:szCs w:val="24"/>
                <w:highlight w:val="none"/>
              </w:rPr>
            </w:pP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315DF39E">
            <w:pPr>
              <w:jc w:val="center"/>
              <w:rPr>
                <w:rFonts w:ascii="宋体;SimSun" w:hAnsi="宋体;SimSun" w:eastAsia="宋体;SimSun" w:cs="宋体;SimSun"/>
                <w:color w:val="auto"/>
                <w:sz w:val="24"/>
                <w:szCs w:val="24"/>
                <w:highlight w:val="none"/>
              </w:rPr>
            </w:pPr>
          </w:p>
        </w:tc>
      </w:tr>
      <w:tr w14:paraId="38F90797">
        <w:tblPrEx>
          <w:tblCellMar>
            <w:top w:w="0" w:type="dxa"/>
            <w:left w:w="108" w:type="dxa"/>
            <w:bottom w:w="0" w:type="dxa"/>
            <w:right w:w="108" w:type="dxa"/>
          </w:tblCellMar>
        </w:tblPrEx>
        <w:trPr>
          <w:cantSplit/>
          <w:trHeight w:val="640" w:hRule="atLeast"/>
          <w:jc w:val="center"/>
        </w:trPr>
        <w:tc>
          <w:tcPr>
            <w:tcW w:w="1099" w:type="dxa"/>
            <w:tcBorders>
              <w:top w:val="single" w:color="000000" w:sz="4" w:space="0"/>
              <w:left w:val="single" w:color="000000" w:sz="4" w:space="0"/>
              <w:bottom w:val="single" w:color="000000" w:sz="4" w:space="0"/>
              <w:right w:val="single" w:color="000000" w:sz="4" w:space="0"/>
            </w:tcBorders>
            <w:noWrap w:val="0"/>
            <w:vAlign w:val="center"/>
          </w:tcPr>
          <w:p w14:paraId="04E0C278">
            <w:pPr>
              <w:jc w:val="center"/>
              <w:rPr>
                <w:rFonts w:ascii="宋体;SimSun" w:hAnsi="宋体;SimSun" w:eastAsia="宋体;SimSun" w:cs="宋体;SimSun"/>
                <w:color w:val="auto"/>
                <w:sz w:val="24"/>
                <w:szCs w:val="24"/>
                <w:highlight w:val="none"/>
              </w:rPr>
            </w:pP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A6B2FAD">
            <w:pPr>
              <w:jc w:val="center"/>
              <w:rPr>
                <w:rFonts w:ascii="宋体;SimSun" w:hAnsi="宋体;SimSun" w:eastAsia="宋体;SimSun" w:cs="宋体;SimSun"/>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tcPr>
          <w:p w14:paraId="79DA9C9D">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tcPr>
          <w:p w14:paraId="4F41EECC">
            <w:pPr>
              <w:jc w:val="center"/>
              <w:rPr>
                <w:rFonts w:ascii="宋体;SimSun" w:hAnsi="宋体;SimSun" w:eastAsia="宋体;SimSun" w:cs="宋体;SimSun"/>
                <w:color w:val="auto"/>
                <w:sz w:val="24"/>
                <w:szCs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8845C43">
            <w:pPr>
              <w:jc w:val="center"/>
              <w:rPr>
                <w:rFonts w:ascii="宋体;SimSun" w:hAnsi="宋体;SimSun" w:eastAsia="宋体;SimSun" w:cs="宋体;SimSun"/>
                <w:color w:val="auto"/>
                <w:sz w:val="24"/>
                <w:szCs w:val="24"/>
                <w:highlight w:val="none"/>
              </w:rPr>
            </w:pP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681AA8AF">
            <w:pPr>
              <w:jc w:val="center"/>
              <w:rPr>
                <w:rFonts w:ascii="宋体;SimSun" w:hAnsi="宋体;SimSun" w:eastAsia="宋体;SimSun" w:cs="宋体;SimSun"/>
                <w:color w:val="auto"/>
                <w:sz w:val="24"/>
                <w:szCs w:val="24"/>
                <w:highlight w:val="none"/>
              </w:rPr>
            </w:pPr>
          </w:p>
        </w:tc>
      </w:tr>
    </w:tbl>
    <w:p w14:paraId="3E2CC108">
      <w:pPr>
        <w:spacing w:line="500" w:lineRule="exact"/>
        <w:ind w:firstLine="480"/>
        <w:rPr>
          <w:rFonts w:ascii="宋体;SimSun" w:hAnsi="宋体;SimSun" w:eastAsia="宋体;SimSun" w:cs="宋体;SimSun"/>
          <w:color w:val="auto"/>
          <w:sz w:val="24"/>
          <w:szCs w:val="24"/>
          <w:highlight w:val="none"/>
        </w:rPr>
      </w:pPr>
    </w:p>
    <w:p w14:paraId="4CE7FD33">
      <w:pPr>
        <w:spacing w:line="500" w:lineRule="exact"/>
        <w:ind w:firstLine="480"/>
        <w:rPr>
          <w:rFonts w:ascii="宋体;SimSun" w:hAnsi="宋体;SimSun" w:eastAsia="宋体;SimSun" w:cs="宋体;SimSun"/>
          <w:color w:val="auto"/>
          <w:sz w:val="24"/>
          <w:szCs w:val="24"/>
          <w:highlight w:val="none"/>
        </w:rPr>
      </w:pPr>
    </w:p>
    <w:p w14:paraId="2D32CC9B">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投标人（盖章）：</w:t>
      </w:r>
    </w:p>
    <w:p w14:paraId="48DB7220">
      <w:pPr>
        <w:spacing w:line="360" w:lineRule="auto"/>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法定代表人（单位负责人）或委托代理人（签字或盖章）：</w:t>
      </w:r>
    </w:p>
    <w:p w14:paraId="02EF2383">
      <w:pPr>
        <w:spacing w:line="500" w:lineRule="exact"/>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日期： 年 月 日</w:t>
      </w:r>
    </w:p>
    <w:p w14:paraId="0F86571F">
      <w:pPr>
        <w:rPr>
          <w:rFonts w:ascii="宋体;SimSun" w:hAnsi="宋体;SimSun" w:eastAsia="宋体;SimSun" w:cs="宋体;SimSun"/>
          <w:color w:val="auto"/>
          <w:sz w:val="24"/>
          <w:szCs w:val="24"/>
          <w:highlight w:val="none"/>
        </w:rPr>
      </w:pPr>
    </w:p>
    <w:p w14:paraId="02780717">
      <w:pPr>
        <w:rPr>
          <w:rFonts w:ascii="宋体;SimSun" w:hAnsi="宋体;SimSun" w:eastAsia="宋体;SimSun" w:cs="宋体;SimSun"/>
          <w:color w:val="auto"/>
          <w:sz w:val="24"/>
          <w:szCs w:val="24"/>
          <w:highlight w:val="none"/>
        </w:rPr>
      </w:pPr>
    </w:p>
    <w:p w14:paraId="04EDC20F">
      <w:pPr>
        <w:rPr>
          <w:rFonts w:ascii="宋体;SimSun" w:hAnsi="宋体;SimSun" w:eastAsia="宋体;SimSun" w:cs="宋体;SimSun"/>
          <w:color w:val="auto"/>
          <w:highlight w:val="none"/>
        </w:rPr>
      </w:pPr>
    </w:p>
    <w:p w14:paraId="0179131E">
      <w:pPr>
        <w:ind w:firstLine="48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注：投标人根据项目需求、评分办法编制项目团队人员一览表，格式不做固定要求。</w:t>
      </w:r>
    </w:p>
    <w:p w14:paraId="5890C211">
      <w:pPr>
        <w:rPr>
          <w:rFonts w:ascii="宋体;SimSun" w:hAnsi="宋体;SimSun" w:eastAsia="宋体;SimSun" w:cs="宋体;SimSun"/>
          <w:color w:val="auto"/>
          <w:sz w:val="24"/>
          <w:szCs w:val="24"/>
          <w:highlight w:val="none"/>
        </w:rPr>
      </w:pPr>
    </w:p>
    <w:p w14:paraId="78436740">
      <w:pPr>
        <w:rPr>
          <w:rFonts w:ascii="宋体;SimSun" w:hAnsi="宋体;SimSun" w:eastAsia="宋体;SimSun" w:cs="宋体;SimSun"/>
          <w:color w:val="auto"/>
          <w:sz w:val="24"/>
          <w:szCs w:val="24"/>
          <w:highlight w:val="none"/>
        </w:rPr>
      </w:pPr>
    </w:p>
    <w:p w14:paraId="118D7B55">
      <w:pPr>
        <w:rPr>
          <w:rFonts w:ascii="宋体;SimSun" w:hAnsi="宋体;SimSun" w:eastAsia="宋体;SimSun" w:cs="宋体;SimSun"/>
          <w:color w:val="auto"/>
          <w:highlight w:val="none"/>
        </w:rPr>
      </w:pPr>
    </w:p>
    <w:p w14:paraId="731BD0B9">
      <w:pPr>
        <w:rPr>
          <w:rFonts w:ascii="宋体;SimSun" w:hAnsi="宋体;SimSun" w:eastAsia="宋体;SimSun" w:cs="宋体;SimSun"/>
          <w:color w:val="auto"/>
          <w:highlight w:val="none"/>
        </w:rPr>
      </w:pPr>
    </w:p>
    <w:p w14:paraId="7EF0F197">
      <w:pPr>
        <w:rPr>
          <w:rFonts w:ascii="宋体;SimSun" w:hAnsi="宋体;SimSun" w:eastAsia="宋体;SimSun" w:cs="宋体;SimSun"/>
          <w:color w:val="auto"/>
          <w:highlight w:val="none"/>
        </w:rPr>
      </w:pPr>
    </w:p>
    <w:p w14:paraId="50DD54C9">
      <w:pPr>
        <w:rPr>
          <w:rFonts w:ascii="宋体;SimSun" w:hAnsi="宋体;SimSun" w:eastAsia="宋体;SimSun" w:cs="宋体;SimSun"/>
          <w:color w:val="auto"/>
          <w:highlight w:val="none"/>
        </w:rPr>
      </w:pPr>
    </w:p>
    <w:p w14:paraId="28BD4F44">
      <w:pPr>
        <w:rPr>
          <w:rFonts w:ascii="宋体;SimSun" w:hAnsi="宋体;SimSun" w:eastAsia="宋体;SimSun" w:cs="宋体;SimSun"/>
          <w:color w:val="auto"/>
          <w:highlight w:val="none"/>
        </w:rPr>
      </w:pPr>
    </w:p>
    <w:p w14:paraId="5B5B4289">
      <w:pPr>
        <w:rPr>
          <w:rFonts w:ascii="宋体;SimSun" w:hAnsi="宋体;SimSun" w:eastAsia="宋体;SimSun" w:cs="宋体;SimSun"/>
          <w:color w:val="auto"/>
          <w:highlight w:val="none"/>
        </w:rPr>
      </w:pPr>
    </w:p>
    <w:p w14:paraId="40F6ECD0">
      <w:pPr>
        <w:rPr>
          <w:rFonts w:ascii="宋体;SimSun" w:hAnsi="宋体;SimSun" w:eastAsia="宋体;SimSun" w:cs="宋体;SimSun"/>
          <w:color w:val="auto"/>
          <w:highlight w:val="none"/>
        </w:rPr>
      </w:pPr>
    </w:p>
    <w:p w14:paraId="5348E13B">
      <w:pPr>
        <w:rPr>
          <w:rFonts w:ascii="宋体;SimSun" w:hAnsi="宋体;SimSun" w:eastAsia="宋体;SimSun" w:cs="宋体;SimSun"/>
          <w:color w:val="auto"/>
          <w:highlight w:val="none"/>
        </w:rPr>
      </w:pPr>
    </w:p>
    <w:p w14:paraId="277E6177">
      <w:pPr>
        <w:rPr>
          <w:rFonts w:ascii="宋体;SimSun" w:hAnsi="宋体;SimSun" w:eastAsia="宋体;SimSun" w:cs="宋体;SimSun"/>
          <w:color w:val="auto"/>
          <w:highlight w:val="none"/>
        </w:rPr>
      </w:pPr>
    </w:p>
    <w:p w14:paraId="121C8635">
      <w:pPr>
        <w:rPr>
          <w:rFonts w:ascii="宋体;SimSun" w:hAnsi="宋体;SimSun" w:eastAsia="宋体;SimSun" w:cs="宋体;SimSun"/>
          <w:color w:val="auto"/>
          <w:highlight w:val="none"/>
        </w:rPr>
      </w:pPr>
    </w:p>
    <w:p w14:paraId="4FE4C838">
      <w:pPr>
        <w:rPr>
          <w:rFonts w:ascii="宋体;SimSun" w:hAnsi="宋体;SimSun" w:eastAsia="宋体;SimSun" w:cs="宋体;SimSun"/>
          <w:color w:val="auto"/>
          <w:highlight w:val="none"/>
        </w:rPr>
      </w:pPr>
    </w:p>
    <w:p w14:paraId="6DEB2A64">
      <w:pPr>
        <w:rPr>
          <w:rFonts w:ascii="宋体;SimSun" w:hAnsi="宋体;SimSun" w:eastAsia="宋体;SimSun" w:cs="宋体;SimSun"/>
          <w:color w:val="auto"/>
          <w:highlight w:val="none"/>
        </w:rPr>
      </w:pPr>
    </w:p>
    <w:p w14:paraId="64FC21C8">
      <w:pPr>
        <w:keepNext/>
        <w:keepLines/>
        <w:spacing w:before="360" w:after="200" w:line="360" w:lineRule="auto"/>
        <w:jc w:val="left"/>
        <w:outlineLvl w:val="1"/>
        <w:rPr>
          <w:rFonts w:ascii="宋体;SimSun" w:hAnsi="宋体;SimSun" w:eastAsia="宋体;SimSun" w:cs="宋体;SimSun"/>
          <w:b/>
          <w:color w:val="auto"/>
          <w:sz w:val="36"/>
          <w:highlight w:val="none"/>
        </w:rPr>
      </w:pPr>
      <w:r>
        <w:rPr>
          <w:rFonts w:ascii="宋体;SimSun" w:hAnsi="宋体;SimSun" w:eastAsia="宋体;SimSun" w:cs="宋体;SimSun"/>
          <w:b/>
          <w:color w:val="auto"/>
          <w:sz w:val="36"/>
          <w:highlight w:val="none"/>
        </w:rPr>
        <w:t>十八、开标一览表</w:t>
      </w:r>
    </w:p>
    <w:p w14:paraId="06AB52D6">
      <w:pPr>
        <w:spacing w:line="360" w:lineRule="auto"/>
        <w:jc w:val="left"/>
        <w:rPr>
          <w:color w:val="auto"/>
          <w:highlight w:val="none"/>
        </w:rPr>
      </w:pPr>
      <w:r>
        <w:rPr>
          <w:rFonts w:ascii="宋体;SimSun" w:hAnsi="宋体;SimSun" w:eastAsia="宋体;SimSun" w:cs="宋体;SimSun"/>
          <w:color w:val="auto"/>
          <w:sz w:val="24"/>
          <w:szCs w:val="24"/>
          <w:highlight w:val="none"/>
        </w:rPr>
        <w:t>项目编号： 分包号：</w:t>
      </w:r>
    </w:p>
    <w:p w14:paraId="7584EF98">
      <w:pPr>
        <w:spacing w:line="500" w:lineRule="exact"/>
        <w:ind w:firstLine="480"/>
        <w:jc w:val="right"/>
        <w:rPr>
          <w:color w:val="auto"/>
          <w:highlight w:val="none"/>
        </w:rPr>
      </w:pPr>
      <w:r>
        <w:rPr>
          <w:color w:val="auto"/>
          <w:highlight w:val="none"/>
        </w:rPr>
        <w:t>货币单位：人民币元</w:t>
      </w:r>
    </w:p>
    <w:tbl>
      <w:tblPr>
        <w:tblStyle w:val="39"/>
        <w:tblW w:w="9747" w:type="dxa"/>
        <w:tblInd w:w="-113" w:type="dxa"/>
        <w:tblLayout w:type="fixed"/>
        <w:tblCellMar>
          <w:top w:w="0" w:type="dxa"/>
          <w:left w:w="108" w:type="dxa"/>
          <w:bottom w:w="0" w:type="dxa"/>
          <w:right w:w="108" w:type="dxa"/>
        </w:tblCellMar>
      </w:tblPr>
      <w:tblGrid>
        <w:gridCol w:w="2840"/>
        <w:gridCol w:w="2840"/>
        <w:gridCol w:w="4067"/>
      </w:tblGrid>
      <w:tr w14:paraId="4187D9E6">
        <w:tblPrEx>
          <w:tblCellMar>
            <w:top w:w="0" w:type="dxa"/>
            <w:left w:w="108" w:type="dxa"/>
            <w:bottom w:w="0" w:type="dxa"/>
            <w:right w:w="108" w:type="dxa"/>
          </w:tblCellMar>
        </w:tblPrEx>
        <w:tc>
          <w:tcPr>
            <w:tcW w:w="2840" w:type="dxa"/>
            <w:tcBorders>
              <w:top w:val="single" w:color="000000" w:sz="4" w:space="0"/>
              <w:left w:val="single" w:color="000000" w:sz="4" w:space="0"/>
              <w:bottom w:val="single" w:color="000000" w:sz="4" w:space="0"/>
              <w:right w:val="single" w:color="000000" w:sz="4" w:space="0"/>
            </w:tcBorders>
            <w:noWrap w:val="0"/>
          </w:tcPr>
          <w:p w14:paraId="7906B43F">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项目名称</w:t>
            </w:r>
          </w:p>
        </w:tc>
        <w:tc>
          <w:tcPr>
            <w:tcW w:w="2840" w:type="dxa"/>
            <w:tcBorders>
              <w:top w:val="single" w:color="000000" w:sz="4" w:space="0"/>
              <w:left w:val="single" w:color="000000" w:sz="4" w:space="0"/>
              <w:bottom w:val="single" w:color="000000" w:sz="4" w:space="0"/>
              <w:right w:val="single" w:color="000000" w:sz="4" w:space="0"/>
            </w:tcBorders>
            <w:noWrap w:val="0"/>
          </w:tcPr>
          <w:p w14:paraId="124C7ADB">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项目内容</w:t>
            </w:r>
          </w:p>
        </w:tc>
        <w:tc>
          <w:tcPr>
            <w:tcW w:w="4067" w:type="dxa"/>
            <w:tcBorders>
              <w:top w:val="single" w:color="000000" w:sz="4" w:space="0"/>
              <w:left w:val="single" w:color="000000" w:sz="4" w:space="0"/>
              <w:bottom w:val="single" w:color="000000" w:sz="4" w:space="0"/>
              <w:right w:val="single" w:color="000000" w:sz="4" w:space="0"/>
            </w:tcBorders>
            <w:noWrap w:val="0"/>
          </w:tcPr>
          <w:p w14:paraId="05BB35B2">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总价（小写）</w:t>
            </w:r>
          </w:p>
        </w:tc>
      </w:tr>
      <w:tr w14:paraId="3CFBB010">
        <w:tblPrEx>
          <w:tblCellMar>
            <w:top w:w="0" w:type="dxa"/>
            <w:left w:w="108" w:type="dxa"/>
            <w:bottom w:w="0" w:type="dxa"/>
            <w:right w:w="108" w:type="dxa"/>
          </w:tblCellMar>
        </w:tblPrEx>
        <w:tc>
          <w:tcPr>
            <w:tcW w:w="2840" w:type="dxa"/>
            <w:tcBorders>
              <w:top w:val="single" w:color="000000" w:sz="4" w:space="0"/>
              <w:left w:val="single" w:color="000000" w:sz="4" w:space="0"/>
              <w:bottom w:val="single" w:color="000000" w:sz="4" w:space="0"/>
              <w:right w:val="single" w:color="000000" w:sz="4" w:space="0"/>
            </w:tcBorders>
            <w:noWrap w:val="0"/>
          </w:tcPr>
          <w:p w14:paraId="7FB26663">
            <w:pPr>
              <w:spacing w:line="500" w:lineRule="exact"/>
              <w:jc w:val="center"/>
              <w:rPr>
                <w:rFonts w:ascii="宋体;SimSun" w:hAnsi="宋体;SimSun" w:eastAsia="宋体;SimSun" w:cs="宋体;SimSun"/>
                <w:color w:val="auto"/>
                <w:sz w:val="24"/>
                <w:szCs w:val="24"/>
                <w:highlight w:val="none"/>
                <w:lang w:eastAsia="en-US"/>
              </w:rPr>
            </w:pPr>
          </w:p>
        </w:tc>
        <w:tc>
          <w:tcPr>
            <w:tcW w:w="2840" w:type="dxa"/>
            <w:tcBorders>
              <w:top w:val="single" w:color="000000" w:sz="4" w:space="0"/>
              <w:left w:val="single" w:color="000000" w:sz="4" w:space="0"/>
              <w:bottom w:val="single" w:color="000000" w:sz="4" w:space="0"/>
              <w:right w:val="single" w:color="000000" w:sz="4" w:space="0"/>
            </w:tcBorders>
            <w:noWrap w:val="0"/>
          </w:tcPr>
          <w:p w14:paraId="737331B2">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详见投标文件</w:t>
            </w:r>
          </w:p>
        </w:tc>
        <w:tc>
          <w:tcPr>
            <w:tcW w:w="4067" w:type="dxa"/>
            <w:tcBorders>
              <w:top w:val="single" w:color="000000" w:sz="4" w:space="0"/>
              <w:left w:val="single" w:color="000000" w:sz="4" w:space="0"/>
              <w:bottom w:val="single" w:color="000000" w:sz="4" w:space="0"/>
              <w:right w:val="single" w:color="000000" w:sz="4" w:space="0"/>
            </w:tcBorders>
            <w:noWrap w:val="0"/>
          </w:tcPr>
          <w:p w14:paraId="75E37BAB">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 xml:space="preserve"> 元</w:t>
            </w:r>
          </w:p>
        </w:tc>
      </w:tr>
      <w:tr w14:paraId="189A880F">
        <w:tblPrEx>
          <w:tblCellMar>
            <w:top w:w="0" w:type="dxa"/>
            <w:left w:w="108" w:type="dxa"/>
            <w:bottom w:w="0" w:type="dxa"/>
            <w:right w:w="108" w:type="dxa"/>
          </w:tblCellMar>
        </w:tblPrEx>
        <w:tc>
          <w:tcPr>
            <w:tcW w:w="2840" w:type="dxa"/>
            <w:tcBorders>
              <w:top w:val="single" w:color="000000" w:sz="4" w:space="0"/>
              <w:left w:val="single" w:color="000000" w:sz="4" w:space="0"/>
              <w:bottom w:val="single" w:color="000000" w:sz="4" w:space="0"/>
              <w:right w:val="single" w:color="000000" w:sz="4" w:space="0"/>
            </w:tcBorders>
            <w:noWrap w:val="0"/>
          </w:tcPr>
          <w:p w14:paraId="7581B097">
            <w:pPr>
              <w:spacing w:line="500" w:lineRule="exact"/>
              <w:jc w:val="center"/>
              <w:rPr>
                <w:rFonts w:ascii="宋体;SimSun" w:hAnsi="宋体;SimSun" w:eastAsia="宋体;SimSun" w:cs="宋体;SimSun"/>
                <w:color w:val="auto"/>
                <w:sz w:val="24"/>
                <w:szCs w:val="24"/>
                <w:highlight w:val="none"/>
                <w:lang w:eastAsia="en-US"/>
              </w:rPr>
            </w:pPr>
            <w:r>
              <w:rPr>
                <w:rFonts w:ascii="宋体;SimSun" w:hAnsi="宋体;SimSun" w:eastAsia="宋体;SimSun" w:cs="宋体;SimSun"/>
                <w:color w:val="auto"/>
                <w:sz w:val="24"/>
                <w:szCs w:val="24"/>
                <w:highlight w:val="none"/>
                <w:lang w:eastAsia="en-US"/>
              </w:rPr>
              <w:t>总价（大写）</w:t>
            </w:r>
          </w:p>
        </w:tc>
        <w:tc>
          <w:tcPr>
            <w:tcW w:w="6907" w:type="dxa"/>
            <w:gridSpan w:val="2"/>
            <w:tcBorders>
              <w:top w:val="single" w:color="000000" w:sz="4" w:space="0"/>
              <w:left w:val="single" w:color="000000" w:sz="4" w:space="0"/>
              <w:bottom w:val="single" w:color="000000" w:sz="4" w:space="0"/>
              <w:right w:val="single" w:color="000000" w:sz="4" w:space="0"/>
            </w:tcBorders>
            <w:noWrap w:val="0"/>
          </w:tcPr>
          <w:p w14:paraId="69C8047F">
            <w:pPr>
              <w:spacing w:line="500" w:lineRule="exact"/>
              <w:jc w:val="center"/>
              <w:rPr>
                <w:rFonts w:ascii="宋体;SimSun" w:hAnsi="宋体;SimSun" w:eastAsia="宋体;SimSun" w:cs="宋体;SimSun"/>
                <w:color w:val="auto"/>
                <w:sz w:val="24"/>
                <w:szCs w:val="24"/>
                <w:highlight w:val="none"/>
                <w:lang w:eastAsia="en-US"/>
              </w:rPr>
            </w:pPr>
          </w:p>
        </w:tc>
      </w:tr>
    </w:tbl>
    <w:p w14:paraId="2ECFBECF">
      <w:pPr>
        <w:spacing w:line="500" w:lineRule="exact"/>
        <w:ind w:firstLine="360"/>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投标人公章： （电子签章）</w:t>
      </w:r>
    </w:p>
    <w:p w14:paraId="33F02A4A">
      <w:pPr>
        <w:spacing w:line="500" w:lineRule="exact"/>
        <w:rPr>
          <w:rFonts w:ascii="宋体;SimSun" w:hAnsi="宋体;SimSun" w:eastAsia="宋体;SimSun" w:cs="宋体;SimSun"/>
          <w:color w:val="auto"/>
          <w:sz w:val="24"/>
          <w:szCs w:val="24"/>
          <w:highlight w:val="none"/>
        </w:rPr>
      </w:pPr>
    </w:p>
    <w:p w14:paraId="782F9F39">
      <w:pPr>
        <w:spacing w:line="500" w:lineRule="exact"/>
        <w:rPr>
          <w:rFonts w:ascii="宋体;SimSun" w:hAnsi="宋体;SimSun" w:eastAsia="宋体;SimSun" w:cs="宋体;SimSun"/>
          <w:color w:val="auto"/>
          <w:sz w:val="24"/>
          <w:szCs w:val="24"/>
          <w:highlight w:val="none"/>
        </w:rPr>
      </w:pPr>
    </w:p>
    <w:p w14:paraId="21042AD8">
      <w:pPr>
        <w:widowControl/>
        <w:jc w:val="left"/>
        <w:rPr>
          <w:rFonts w:ascii="宋体;SimSun" w:hAnsi="宋体;SimSun" w:eastAsia="宋体;SimSun" w:cs="宋体;SimSun"/>
          <w:bCs/>
          <w:color w:val="auto"/>
          <w:sz w:val="40"/>
          <w:szCs w:val="32"/>
          <w:highlight w:val="none"/>
        </w:rPr>
      </w:pPr>
    </w:p>
    <w:p w14:paraId="77C23C8E">
      <w:pPr>
        <w:widowControl/>
        <w:jc w:val="left"/>
        <w:rPr>
          <w:rFonts w:ascii="宋体;SimSun" w:hAnsi="宋体;SimSun" w:eastAsia="宋体;SimSun" w:cs="宋体;SimSun"/>
          <w:bCs/>
          <w:color w:val="auto"/>
          <w:sz w:val="40"/>
          <w:szCs w:val="32"/>
          <w:highlight w:val="none"/>
        </w:rPr>
      </w:pPr>
    </w:p>
    <w:p w14:paraId="5DBDE908">
      <w:pPr>
        <w:widowControl/>
        <w:jc w:val="left"/>
        <w:rPr>
          <w:rFonts w:ascii="宋体;SimSun" w:hAnsi="宋体;SimSun" w:eastAsia="宋体;SimSun" w:cs="宋体;SimSun"/>
          <w:bCs/>
          <w:color w:val="auto"/>
          <w:sz w:val="40"/>
          <w:szCs w:val="32"/>
          <w:highlight w:val="none"/>
        </w:rPr>
      </w:pPr>
    </w:p>
    <w:p w14:paraId="1628F477">
      <w:pPr>
        <w:widowControl/>
        <w:jc w:val="left"/>
        <w:rPr>
          <w:rFonts w:ascii="宋体;SimSun" w:hAnsi="宋体;SimSun" w:eastAsia="宋体;SimSun" w:cs="宋体;SimSun"/>
          <w:bCs/>
          <w:color w:val="auto"/>
          <w:sz w:val="40"/>
          <w:szCs w:val="32"/>
          <w:highlight w:val="none"/>
        </w:rPr>
      </w:pPr>
    </w:p>
    <w:p w14:paraId="26F73764">
      <w:pPr>
        <w:widowControl/>
        <w:jc w:val="left"/>
        <w:rPr>
          <w:rFonts w:ascii="宋体;SimSun" w:hAnsi="宋体;SimSun" w:eastAsia="宋体;SimSun" w:cs="宋体;SimSun"/>
          <w:bCs/>
          <w:color w:val="auto"/>
          <w:sz w:val="40"/>
          <w:szCs w:val="32"/>
          <w:highlight w:val="none"/>
        </w:rPr>
      </w:pPr>
    </w:p>
    <w:p w14:paraId="0BE70A5A">
      <w:pPr>
        <w:widowControl/>
        <w:jc w:val="left"/>
        <w:rPr>
          <w:rFonts w:ascii="宋体;SimSun" w:hAnsi="宋体;SimSun" w:eastAsia="宋体;SimSun" w:cs="宋体;SimSun"/>
          <w:bCs/>
          <w:color w:val="auto"/>
          <w:sz w:val="40"/>
          <w:szCs w:val="32"/>
          <w:highlight w:val="none"/>
        </w:rPr>
      </w:pPr>
    </w:p>
    <w:p w14:paraId="209C425D">
      <w:pPr>
        <w:widowControl/>
        <w:jc w:val="left"/>
        <w:rPr>
          <w:rFonts w:ascii="宋体;SimSun" w:hAnsi="宋体;SimSun" w:eastAsia="宋体;SimSun" w:cs="宋体;SimSun"/>
          <w:bCs/>
          <w:color w:val="auto"/>
          <w:sz w:val="40"/>
          <w:szCs w:val="32"/>
          <w:highlight w:val="none"/>
        </w:rPr>
      </w:pPr>
    </w:p>
    <w:p w14:paraId="5DA3C1AC">
      <w:pPr>
        <w:widowControl/>
        <w:jc w:val="left"/>
        <w:rPr>
          <w:rFonts w:ascii="宋体;SimSun" w:hAnsi="宋体;SimSun" w:eastAsia="宋体;SimSun" w:cs="宋体;SimSun"/>
          <w:bCs/>
          <w:color w:val="auto"/>
          <w:sz w:val="40"/>
          <w:szCs w:val="32"/>
          <w:highlight w:val="none"/>
        </w:rPr>
      </w:pPr>
    </w:p>
    <w:p w14:paraId="1745A215">
      <w:pPr>
        <w:widowControl/>
        <w:jc w:val="left"/>
        <w:rPr>
          <w:rFonts w:ascii="宋体;SimSun" w:hAnsi="宋体;SimSun" w:eastAsia="宋体;SimSun" w:cs="宋体;SimSun"/>
          <w:bCs/>
          <w:color w:val="auto"/>
          <w:sz w:val="40"/>
          <w:szCs w:val="32"/>
          <w:highlight w:val="none"/>
        </w:rPr>
      </w:pPr>
    </w:p>
    <w:p w14:paraId="0BFBAE6B">
      <w:pPr>
        <w:widowControl/>
        <w:jc w:val="left"/>
        <w:rPr>
          <w:rFonts w:ascii="宋体;SimSun" w:hAnsi="宋体;SimSun" w:eastAsia="宋体;SimSun" w:cs="宋体;SimSun"/>
          <w:bCs/>
          <w:color w:val="auto"/>
          <w:sz w:val="40"/>
          <w:szCs w:val="32"/>
          <w:highlight w:val="none"/>
        </w:rPr>
      </w:pPr>
    </w:p>
    <w:p w14:paraId="175142F8">
      <w:pPr>
        <w:widowControl/>
        <w:jc w:val="left"/>
        <w:rPr>
          <w:rFonts w:ascii="宋体;SimSun" w:hAnsi="宋体;SimSun" w:eastAsia="宋体;SimSun" w:cs="宋体;SimSun"/>
          <w:bCs/>
          <w:color w:val="auto"/>
          <w:sz w:val="40"/>
          <w:szCs w:val="32"/>
          <w:highlight w:val="none"/>
        </w:rPr>
      </w:pPr>
    </w:p>
    <w:p w14:paraId="661066F9">
      <w:pPr>
        <w:widowControl/>
        <w:jc w:val="left"/>
        <w:rPr>
          <w:rFonts w:ascii="宋体;SimSun" w:hAnsi="宋体;SimSun" w:eastAsia="宋体;SimSun" w:cs="宋体;SimSun"/>
          <w:bCs/>
          <w:color w:val="auto"/>
          <w:sz w:val="40"/>
          <w:szCs w:val="32"/>
          <w:highlight w:val="none"/>
        </w:rPr>
      </w:pPr>
    </w:p>
    <w:p w14:paraId="402736E3">
      <w:pPr>
        <w:widowControl/>
        <w:jc w:val="left"/>
        <w:rPr>
          <w:rFonts w:ascii="宋体;SimSun" w:hAnsi="宋体;SimSun" w:eastAsia="宋体;SimSun" w:cs="宋体;SimSun"/>
          <w:bCs/>
          <w:color w:val="auto"/>
          <w:sz w:val="40"/>
          <w:szCs w:val="40"/>
          <w:highlight w:val="none"/>
        </w:rPr>
      </w:pPr>
    </w:p>
    <w:p w14:paraId="2B3E1BAE">
      <w:pPr>
        <w:widowControl/>
        <w:jc w:val="left"/>
        <w:rPr>
          <w:rFonts w:ascii="宋体;SimSun" w:hAnsi="宋体;SimSun" w:eastAsia="宋体;SimSun" w:cs="宋体;SimSun"/>
          <w:bCs/>
          <w:color w:val="auto"/>
          <w:sz w:val="40"/>
          <w:szCs w:val="40"/>
          <w:highlight w:val="none"/>
        </w:rPr>
      </w:pPr>
    </w:p>
    <w:p w14:paraId="03A68AB6">
      <w:pPr>
        <w:widowControl/>
        <w:jc w:val="left"/>
        <w:rPr>
          <w:rFonts w:ascii="宋体;SimSun" w:hAnsi="宋体;SimSun" w:eastAsia="宋体;SimSun" w:cs="宋体;SimSun"/>
          <w:color w:val="auto"/>
          <w:sz w:val="40"/>
          <w:szCs w:val="40"/>
          <w:highlight w:val="none"/>
        </w:rPr>
      </w:pPr>
    </w:p>
    <w:p w14:paraId="4825139F">
      <w:pPr>
        <w:widowControl/>
        <w:jc w:val="left"/>
        <w:rPr>
          <w:rFonts w:ascii="宋体;SimSun" w:hAnsi="宋体;SimSun" w:eastAsia="宋体;SimSun" w:cs="宋体;SimSun"/>
          <w:bCs/>
          <w:color w:val="auto"/>
          <w:sz w:val="40"/>
          <w:szCs w:val="32"/>
          <w:highlight w:val="none"/>
        </w:rPr>
      </w:pPr>
    </w:p>
    <w:p w14:paraId="5499C498">
      <w:pPr>
        <w:widowControl/>
        <w:jc w:val="left"/>
        <w:rPr>
          <w:rFonts w:ascii="宋体;SimSun" w:hAnsi="宋体;SimSun" w:eastAsia="宋体;SimSun" w:cs="宋体;SimSun"/>
          <w:bCs/>
          <w:color w:val="auto"/>
          <w:sz w:val="40"/>
          <w:szCs w:val="32"/>
          <w:highlight w:val="none"/>
        </w:rPr>
      </w:pPr>
    </w:p>
    <w:p w14:paraId="2D998CB5">
      <w:pPr>
        <w:jc w:val="center"/>
        <w:rPr>
          <w:rFonts w:ascii="宋体;SimSun" w:hAnsi="宋体;SimSun" w:eastAsia="宋体;SimSun" w:cs="宋体;SimSun"/>
          <w:bCs/>
          <w:color w:val="auto"/>
          <w:sz w:val="40"/>
          <w:szCs w:val="32"/>
          <w:highlight w:val="none"/>
        </w:rPr>
      </w:pPr>
    </w:p>
    <w:p w14:paraId="2EE94900">
      <w:pPr>
        <w:keepNext/>
        <w:keepLines/>
        <w:spacing w:before="360" w:after="200" w:line="360" w:lineRule="auto"/>
        <w:jc w:val="left"/>
        <w:outlineLvl w:val="1"/>
        <w:rPr>
          <w:rFonts w:hint="eastAsia" w:ascii="宋体;SimSun" w:hAnsi="宋体;SimSun" w:eastAsia="宋体;SimSun" w:cs="宋体;SimSun"/>
          <w:b/>
          <w:iCs/>
          <w:color w:val="auto"/>
          <w:sz w:val="36"/>
          <w:highlight w:val="none"/>
        </w:rPr>
      </w:pPr>
      <w:r>
        <w:rPr>
          <w:rFonts w:hint="eastAsia" w:ascii="宋体;SimSun" w:hAnsi="宋体;SimSun" w:eastAsia="宋体;SimSun" w:cs="宋体;SimSun"/>
          <w:b/>
          <w:iCs/>
          <w:color w:val="auto"/>
          <w:sz w:val="36"/>
          <w:highlight w:val="none"/>
          <w:lang w:val="en-US" w:eastAsia="zh-CN"/>
        </w:rPr>
        <w:t>十九、</w:t>
      </w:r>
      <w:r>
        <w:rPr>
          <w:rFonts w:hint="eastAsia" w:ascii="宋体;SimSun" w:hAnsi="宋体;SimSun" w:eastAsia="宋体;SimSun" w:cs="宋体;SimSun"/>
          <w:b/>
          <w:iCs/>
          <w:color w:val="auto"/>
          <w:sz w:val="36"/>
          <w:highlight w:val="none"/>
        </w:rPr>
        <w:t>关于符合本国产品标准的声明函（采购包号：XX）</w:t>
      </w:r>
    </w:p>
    <w:p w14:paraId="41D54234">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82FEBAC">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w:t>
      </w:r>
      <w:r>
        <w:rPr>
          <w:rStyle w:val="298"/>
          <w:rFonts w:hint="eastAsia" w:ascii="宋体" w:hAnsi="宋体" w:eastAsia="宋体" w:cs="宋体"/>
          <w:i w:val="0"/>
          <w:color w:val="auto"/>
          <w:sz w:val="24"/>
          <w:szCs w:val="24"/>
          <w:highlight w:val="none"/>
          <w:u w:val="single"/>
          <w:shd w:val="clear" w:color="auto" w:fill="FFFFFF"/>
        </w:rPr>
        <w:t>（产品名称1）</w:t>
      </w:r>
      <w:r>
        <w:rPr>
          <w:rStyle w:val="298"/>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298"/>
          <w:rFonts w:hint="eastAsia" w:ascii="宋体" w:hAnsi="宋体" w:eastAsia="宋体" w:cs="宋体"/>
          <w:i w:val="0"/>
          <w:color w:val="auto"/>
          <w:sz w:val="24"/>
          <w:szCs w:val="24"/>
          <w:highlight w:val="none"/>
          <w:u w:val="single"/>
          <w:shd w:val="clear" w:color="auto" w:fill="FFFFFF"/>
        </w:rPr>
        <w:t>（厂名）</w:t>
      </w:r>
      <w:r>
        <w:rPr>
          <w:rStyle w:val="298"/>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298"/>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2533B680">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Style w:val="298"/>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Style w:val="298"/>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298"/>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在中国境内完成。</w:t>
      </w:r>
    </w:p>
    <w:p w14:paraId="77370089">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4C649FA7">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71E10E66">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p>
    <w:p w14:paraId="556006BE">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公司（单位）名称（加盖CA电子公章）：　        </w:t>
      </w:r>
    </w:p>
    <w:p w14:paraId="513C894E">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rPr>
        <w:t>___年____月____日</w:t>
      </w:r>
      <w:r>
        <w:rPr>
          <w:rFonts w:hint="eastAsia" w:ascii="宋体" w:hAnsi="宋体" w:eastAsia="宋体" w:cs="宋体"/>
          <w:color w:val="auto"/>
          <w:sz w:val="24"/>
          <w:szCs w:val="24"/>
          <w:highlight w:val="none"/>
          <w:shd w:val="clear" w:color="auto" w:fill="FFFFFF"/>
        </w:rPr>
        <w:t>        </w:t>
      </w:r>
    </w:p>
    <w:p w14:paraId="3C75F633">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710A0080">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54DD701A">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229C3FD4">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49907FB5">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78E0D534">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1725A897">
      <w:pPr>
        <w:pStyle w:val="297"/>
        <w:keepNext w:val="0"/>
        <w:keepLines w:val="0"/>
        <w:pageBreakBefore w:val="0"/>
        <w:widowControl/>
        <w:spacing w:before="0" w:beforeAutospacing="0" w:after="0" w:afterAutospacing="0" w:line="360" w:lineRule="auto"/>
        <w:ind w:firstLine="204"/>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6.《声明函》中标注“</w:t>
      </w:r>
      <w:r>
        <w:rPr>
          <w:rFonts w:hint="eastAsia" w:ascii="宋体" w:hAnsi="宋体" w:eastAsia="宋体" w:cs="宋体"/>
          <w:color w:val="auto"/>
          <w:sz w:val="24"/>
          <w:szCs w:val="24"/>
          <w:highlight w:val="none"/>
          <w:u w:val="single"/>
          <w:shd w:val="clear" w:color="auto" w:fill="FFFFFF"/>
        </w:rPr>
        <w:t xml:space="preserve">  </w:t>
      </w:r>
      <w:r>
        <w:rPr>
          <w:rStyle w:val="298"/>
          <w:rFonts w:hint="eastAsia" w:ascii="宋体" w:hAnsi="宋体" w:eastAsia="宋体" w:cs="宋体"/>
          <w:i w:val="0"/>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”的地方无需填写。</w:t>
      </w:r>
    </w:p>
    <w:p w14:paraId="5FE48B72">
      <w:pPr>
        <w:keepNext w:val="0"/>
        <w:keepLines w:val="0"/>
        <w:pageBreakBefore w:val="0"/>
        <w:ind w:firstLine="340"/>
        <w:jc w:val="both"/>
        <w:rPr>
          <w:rFonts w:ascii="宋体;SimSun" w:hAnsi="宋体;SimSun" w:eastAsia="宋体;SimSun" w:cs="宋体;SimSun"/>
          <w:bCs/>
          <w:color w:val="auto"/>
          <w:sz w:val="40"/>
          <w:szCs w:val="32"/>
          <w:highlight w:val="none"/>
        </w:rPr>
      </w:pPr>
    </w:p>
    <w:p w14:paraId="4C0ABDA0">
      <w:pPr>
        <w:jc w:val="center"/>
        <w:rPr>
          <w:rFonts w:ascii="宋体;SimSun" w:hAnsi="宋体;SimSun" w:eastAsia="宋体;SimSun" w:cs="宋体;SimSun"/>
          <w:bCs/>
          <w:color w:val="auto"/>
          <w:sz w:val="40"/>
          <w:szCs w:val="32"/>
          <w:highlight w:val="none"/>
        </w:rPr>
      </w:pPr>
    </w:p>
    <w:p w14:paraId="09ECE188">
      <w:pPr>
        <w:jc w:val="center"/>
        <w:rPr>
          <w:rFonts w:ascii="宋体;SimSun" w:hAnsi="宋体;SimSun" w:eastAsia="宋体;SimSun" w:cs="宋体;SimSun"/>
          <w:bCs/>
          <w:color w:val="auto"/>
          <w:sz w:val="40"/>
          <w:szCs w:val="32"/>
          <w:highlight w:val="none"/>
        </w:rPr>
      </w:pPr>
    </w:p>
    <w:p w14:paraId="55DFA1D0">
      <w:pPr>
        <w:jc w:val="center"/>
        <w:rPr>
          <w:rFonts w:ascii="宋体;SimSun" w:hAnsi="宋体;SimSun" w:eastAsia="宋体;SimSun" w:cs="宋体;SimSun"/>
          <w:bCs/>
          <w:color w:val="auto"/>
          <w:sz w:val="40"/>
          <w:szCs w:val="32"/>
          <w:highlight w:val="none"/>
        </w:rPr>
      </w:pPr>
    </w:p>
    <w:p w14:paraId="7D9DD18D">
      <w:pPr>
        <w:jc w:val="center"/>
        <w:rPr>
          <w:rFonts w:ascii="宋体;SimSun" w:hAnsi="宋体;SimSun" w:eastAsia="宋体;SimSun" w:cs="宋体;SimSun"/>
          <w:bCs/>
          <w:color w:val="auto"/>
          <w:sz w:val="40"/>
          <w:szCs w:val="32"/>
          <w:highlight w:val="none"/>
        </w:rPr>
      </w:pPr>
    </w:p>
    <w:p w14:paraId="7E62F442">
      <w:pPr>
        <w:jc w:val="center"/>
        <w:rPr>
          <w:rFonts w:ascii="宋体;SimSun" w:hAnsi="宋体;SimSun" w:eastAsia="宋体;SimSun" w:cs="宋体;SimSun"/>
          <w:bCs/>
          <w:color w:val="auto"/>
          <w:sz w:val="40"/>
          <w:szCs w:val="32"/>
          <w:highlight w:val="none"/>
        </w:rPr>
      </w:pPr>
    </w:p>
    <w:p w14:paraId="67EEBB07">
      <w:pPr>
        <w:jc w:val="center"/>
        <w:rPr>
          <w:rFonts w:ascii="宋体;SimSun" w:hAnsi="宋体;SimSun" w:eastAsia="宋体;SimSun" w:cs="宋体;SimSun"/>
          <w:bCs/>
          <w:color w:val="auto"/>
          <w:sz w:val="40"/>
          <w:szCs w:val="32"/>
          <w:highlight w:val="none"/>
        </w:rPr>
      </w:pPr>
    </w:p>
    <w:p w14:paraId="3918EB9A">
      <w:pPr>
        <w:jc w:val="center"/>
        <w:rPr>
          <w:rFonts w:ascii="宋体;SimSun" w:hAnsi="宋体;SimSun" w:eastAsia="宋体;SimSun" w:cs="宋体;SimSun"/>
          <w:bCs/>
          <w:color w:val="auto"/>
          <w:sz w:val="40"/>
          <w:szCs w:val="32"/>
          <w:highlight w:val="none"/>
        </w:rPr>
      </w:pPr>
    </w:p>
    <w:p w14:paraId="2D3DF0B4">
      <w:pPr>
        <w:jc w:val="center"/>
        <w:rPr>
          <w:rFonts w:ascii="宋体;SimSun" w:hAnsi="宋体;SimSun" w:eastAsia="宋体;SimSun" w:cs="宋体;SimSun"/>
          <w:bCs/>
          <w:color w:val="auto"/>
          <w:sz w:val="40"/>
          <w:szCs w:val="32"/>
          <w:highlight w:val="none"/>
        </w:rPr>
      </w:pPr>
      <w:r>
        <w:rPr>
          <w:rFonts w:ascii="宋体;SimSun" w:hAnsi="宋体;SimSun" w:eastAsia="宋体;SimSun" w:cs="宋体;SimSun"/>
          <w:bCs/>
          <w:color w:val="auto"/>
          <w:sz w:val="40"/>
          <w:szCs w:val="32"/>
          <w:highlight w:val="none"/>
        </w:rPr>
        <w:t>质疑函范本</w:t>
      </w:r>
    </w:p>
    <w:p w14:paraId="514CC78F">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致：</w:t>
      </w:r>
    </w:p>
    <w:p w14:paraId="03E32FA9">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一、质疑供应商基本信息</w:t>
      </w:r>
    </w:p>
    <w:p w14:paraId="17FBE1E8">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质疑供应商：</w:t>
      </w:r>
    </w:p>
    <w:p w14:paraId="58A476FC">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地址：邮编：</w:t>
      </w:r>
    </w:p>
    <w:p w14:paraId="5513F365">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联系人：联系电话：</w:t>
      </w:r>
    </w:p>
    <w:p w14:paraId="046C0BB6">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授权代表：</w:t>
      </w:r>
    </w:p>
    <w:p w14:paraId="2E267354">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联系电话：</w:t>
      </w:r>
    </w:p>
    <w:p w14:paraId="63EF184E">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地址：邮编：</w:t>
      </w:r>
    </w:p>
    <w:p w14:paraId="7F761A10">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二、质疑项目基本情况</w:t>
      </w:r>
    </w:p>
    <w:p w14:paraId="76BE3431">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质疑项目的名称：</w:t>
      </w:r>
    </w:p>
    <w:p w14:paraId="1465F76F">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质疑项目的编号：包号：</w:t>
      </w:r>
    </w:p>
    <w:p w14:paraId="752310E9">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采购人名称：</w:t>
      </w:r>
    </w:p>
    <w:p w14:paraId="68988310">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采购文件获取日期：</w:t>
      </w:r>
    </w:p>
    <w:p w14:paraId="5857ADD3">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三、质疑事项具体内容</w:t>
      </w:r>
    </w:p>
    <w:p w14:paraId="02AD0189">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质疑事项1：</w:t>
      </w:r>
    </w:p>
    <w:p w14:paraId="5176CC74">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事实依据：</w:t>
      </w:r>
    </w:p>
    <w:p w14:paraId="484CCCE0">
      <w:pPr>
        <w:spacing w:line="500" w:lineRule="exact"/>
        <w:rPr>
          <w:rFonts w:ascii="宋体;SimSun" w:hAnsi="宋体;SimSun" w:eastAsia="宋体;SimSun" w:cs="宋体;SimSun"/>
          <w:color w:val="auto"/>
          <w:sz w:val="24"/>
          <w:szCs w:val="24"/>
          <w:highlight w:val="none"/>
          <w:u w:val="single"/>
        </w:rPr>
      </w:pPr>
    </w:p>
    <w:p w14:paraId="232E954B">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法律依据：</w:t>
      </w:r>
    </w:p>
    <w:p w14:paraId="2C643BE7">
      <w:pPr>
        <w:spacing w:line="500" w:lineRule="exact"/>
        <w:rPr>
          <w:rFonts w:ascii="宋体;SimSun" w:hAnsi="宋体;SimSun" w:eastAsia="宋体;SimSun" w:cs="宋体;SimSun"/>
          <w:color w:val="auto"/>
          <w:sz w:val="24"/>
          <w:szCs w:val="24"/>
          <w:highlight w:val="none"/>
          <w:u w:val="single"/>
        </w:rPr>
      </w:pPr>
    </w:p>
    <w:p w14:paraId="6F71CA5B">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质疑事项2</w:t>
      </w:r>
    </w:p>
    <w:p w14:paraId="18B93451">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w:t>
      </w:r>
    </w:p>
    <w:p w14:paraId="60EACDEC">
      <w:pPr>
        <w:spacing w:line="500" w:lineRule="exact"/>
        <w:rPr>
          <w:rFonts w:ascii="宋体;SimSun" w:hAnsi="宋体;SimSun" w:eastAsia="宋体;SimSun" w:cs="宋体;SimSun"/>
          <w:bCs/>
          <w:color w:val="auto"/>
          <w:sz w:val="24"/>
          <w:szCs w:val="24"/>
          <w:highlight w:val="none"/>
        </w:rPr>
      </w:pPr>
      <w:r>
        <w:rPr>
          <w:rFonts w:ascii="宋体;SimSun" w:hAnsi="宋体;SimSun" w:eastAsia="宋体;SimSun" w:cs="宋体;SimSun"/>
          <w:bCs/>
          <w:color w:val="auto"/>
          <w:sz w:val="24"/>
          <w:szCs w:val="24"/>
          <w:highlight w:val="none"/>
        </w:rPr>
        <w:t>四、与质疑事项相关的质疑请求</w:t>
      </w:r>
    </w:p>
    <w:p w14:paraId="77814776">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请求：</w:t>
      </w:r>
    </w:p>
    <w:p w14:paraId="0B5813E7">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签字（签章）： 公章： </w:t>
      </w:r>
    </w:p>
    <w:p w14:paraId="7166EF68">
      <w:pPr>
        <w:spacing w:line="500" w:lineRule="exac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 xml:space="preserve">日期： </w:t>
      </w:r>
    </w:p>
    <w:p w14:paraId="49ADCD34">
      <w:pPr>
        <w:spacing w:line="500" w:lineRule="exact"/>
        <w:rPr>
          <w:rFonts w:ascii="宋体;SimSun" w:hAnsi="宋体;SimSun" w:eastAsia="宋体;SimSun" w:cs="宋体;SimSun"/>
          <w:b/>
          <w:color w:val="auto"/>
          <w:sz w:val="24"/>
          <w:szCs w:val="24"/>
          <w:highlight w:val="none"/>
        </w:rPr>
      </w:pPr>
    </w:p>
    <w:p w14:paraId="4D718475">
      <w:pPr>
        <w:spacing w:line="500" w:lineRule="exact"/>
        <w:rPr>
          <w:rFonts w:ascii="宋体;SimSun" w:hAnsi="宋体;SimSun" w:eastAsia="宋体;SimSun" w:cs="宋体;SimSun"/>
          <w:b/>
          <w:color w:val="auto"/>
          <w:sz w:val="24"/>
          <w:szCs w:val="24"/>
          <w:highlight w:val="none"/>
        </w:rPr>
      </w:pPr>
    </w:p>
    <w:p w14:paraId="0A063760">
      <w:pPr>
        <w:spacing w:line="500" w:lineRule="exact"/>
        <w:rPr>
          <w:rFonts w:ascii="宋体;SimSun" w:hAnsi="宋体;SimSun" w:eastAsia="宋体;SimSun" w:cs="宋体;SimSun"/>
          <w:b/>
          <w:color w:val="auto"/>
          <w:sz w:val="24"/>
          <w:szCs w:val="24"/>
          <w:highlight w:val="none"/>
        </w:rPr>
      </w:pPr>
      <w:r>
        <w:rPr>
          <w:rFonts w:ascii="宋体;SimSun" w:hAnsi="宋体;SimSun" w:eastAsia="宋体;SimSun" w:cs="宋体;SimSun"/>
          <w:b/>
          <w:color w:val="auto"/>
          <w:sz w:val="24"/>
          <w:szCs w:val="24"/>
          <w:highlight w:val="none"/>
        </w:rPr>
        <w:t>质疑函制作说明：</w:t>
      </w:r>
    </w:p>
    <w:p w14:paraId="28131D34">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1.供应商提出质疑时，应提交质疑函和必要的证明材料。</w:t>
      </w:r>
    </w:p>
    <w:p w14:paraId="00973C27">
      <w:pPr>
        <w:widowControl/>
        <w:spacing w:line="500" w:lineRule="exact"/>
        <w:ind w:firstLine="480"/>
        <w:jc w:val="left"/>
        <w:rPr>
          <w:color w:val="auto"/>
          <w:highlight w:val="none"/>
        </w:rPr>
      </w:pPr>
      <w:r>
        <w:rPr>
          <w:rFonts w:ascii="宋体;SimSun" w:hAnsi="宋体;SimSun" w:eastAsia="宋体;SimSun" w:cs="宋体;SimSun"/>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D1ACC3C">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3.质疑供应商若对项目的某一分包进行质疑，质疑函中应列明具体分包号。</w:t>
      </w:r>
    </w:p>
    <w:p w14:paraId="270ECE09">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4.质疑函的质疑事项应具体、明确，并有必要的事实依据和法律依据。</w:t>
      </w:r>
    </w:p>
    <w:p w14:paraId="4442A002">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5.质疑函的质疑请求应与质疑事项相关。</w:t>
      </w:r>
    </w:p>
    <w:p w14:paraId="075BB9E4">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095CD19F">
      <w:pPr>
        <w:widowControl/>
        <w:spacing w:line="500" w:lineRule="exact"/>
        <w:ind w:firstLine="480"/>
        <w:jc w:val="left"/>
        <w:rPr>
          <w:rFonts w:ascii="宋体;SimSun" w:hAnsi="宋体;SimSun" w:eastAsia="宋体;SimSun" w:cs="宋体;SimSun"/>
          <w:color w:val="auto"/>
          <w:sz w:val="24"/>
          <w:szCs w:val="24"/>
          <w:highlight w:val="none"/>
        </w:rPr>
      </w:pPr>
      <w:r>
        <w:rPr>
          <w:rFonts w:ascii="宋体;SimSun" w:hAnsi="宋体;SimSun" w:eastAsia="宋体;SimSun" w:cs="宋体;SimSun"/>
          <w:color w:val="auto"/>
          <w:sz w:val="24"/>
          <w:szCs w:val="24"/>
          <w:highlight w:val="none"/>
        </w:rPr>
        <w:t>具体要求详见第二章 投标人须知 八、询问与质疑。</w:t>
      </w:r>
    </w:p>
    <w:p w14:paraId="30D86970">
      <w:pPr>
        <w:pStyle w:val="255"/>
        <w:rPr>
          <w:rFonts w:cs="宋体;SimSun"/>
          <w:color w:val="auto"/>
          <w:sz w:val="24"/>
          <w:szCs w:val="24"/>
          <w:highlight w:val="none"/>
        </w:rPr>
      </w:pPr>
    </w:p>
    <w:p w14:paraId="1C67CFD4">
      <w:pPr>
        <w:widowControl/>
        <w:spacing w:line="500" w:lineRule="exact"/>
        <w:ind w:firstLine="480"/>
        <w:jc w:val="left"/>
        <w:rPr>
          <w:rFonts w:ascii="宋体;SimSun" w:hAnsi="宋体;SimSun" w:eastAsia="宋体;SimSun" w:cs="宋体;SimSun"/>
          <w:color w:val="auto"/>
          <w:sz w:val="24"/>
          <w:szCs w:val="24"/>
          <w:highlight w:val="none"/>
        </w:rPr>
      </w:pPr>
    </w:p>
    <w:p w14:paraId="734CD850">
      <w:pPr>
        <w:rPr>
          <w:rFonts w:ascii="宋体;SimSun" w:hAnsi="宋体;SimSun" w:eastAsia="宋体;SimSun" w:cs="宋体;SimSun"/>
          <w:color w:val="auto"/>
          <w:sz w:val="24"/>
          <w:szCs w:val="24"/>
          <w:highlight w:val="none"/>
        </w:rPr>
      </w:pPr>
    </w:p>
    <w:p w14:paraId="34B45396">
      <w:pPr>
        <w:rPr>
          <w:rFonts w:ascii="宋体;SimSun" w:hAnsi="宋体;SimSun" w:eastAsia="宋体;SimSun" w:cs="宋体;SimSun"/>
          <w:color w:val="auto"/>
          <w:sz w:val="24"/>
          <w:szCs w:val="24"/>
          <w:highlight w:val="none"/>
        </w:rPr>
      </w:pPr>
    </w:p>
    <w:p w14:paraId="6B7349E1">
      <w:pPr>
        <w:rPr>
          <w:rFonts w:ascii="宋体;SimSun" w:hAnsi="宋体;SimSun" w:eastAsia="宋体;SimSun" w:cs="宋体;SimSun"/>
          <w:color w:val="auto"/>
          <w:highlight w:val="none"/>
        </w:rPr>
      </w:pPr>
    </w:p>
    <w:p w14:paraId="6403E48E">
      <w:pPr>
        <w:rPr>
          <w:rFonts w:ascii="宋体;SimSun" w:hAnsi="宋体;SimSun" w:eastAsia="宋体;SimSun" w:cs="宋体;SimSun"/>
          <w:color w:val="auto"/>
          <w:highlight w:val="none"/>
        </w:rPr>
      </w:pPr>
    </w:p>
    <w:sectPr>
      <w:headerReference r:id="rId17" w:type="default"/>
      <w:footerReference r:id="rId18" w:type="default"/>
      <w:pgSz w:w="11906" w:h="16838"/>
      <w:pgMar w:top="1134" w:right="1134" w:bottom="1134" w:left="1134"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黑体">
    <w:altName w:val="黑体"/>
    <w:panose1 w:val="020B0503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Lohit Devanagari">
    <w:altName w:val="Verdana"/>
    <w:panose1 w:val="020B06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宋体;SimSun">
    <w:altName w:val="宋体"/>
    <w:panose1 w:val="02010600030101010101"/>
    <w:charset w:val="00"/>
    <w:family w:val="auto"/>
    <w:pitch w:val="default"/>
    <w:sig w:usb0="00000000" w:usb1="00000000" w:usb2="00000000" w:usb3="00000000" w:csb0="00000000" w:csb1="00000000"/>
  </w:font>
  <w:font w:name="Liberation Serif">
    <w:altName w:val="Segoe Print"/>
    <w:panose1 w:val="02020603050405020304"/>
    <w:charset w:val="00"/>
    <w:family w:val="auto"/>
    <w:pitch w:val="default"/>
    <w:sig w:usb0="00000000" w:usb1="00000000" w:usb2="00000021" w:usb3="00000000" w:csb0="600001BF" w:csb1="DFF70000"/>
  </w:font>
  <w:font w:name="Segoe Print">
    <w:panose1 w:val="02000600000000000000"/>
    <w:charset w:val="00"/>
    <w:family w:val="auto"/>
    <w:pitch w:val="default"/>
    <w:sig w:usb0="0000028F" w:usb1="00000000" w:usb2="00000000" w:usb3="00000000" w:csb0="2000009F" w:csb1="47010000"/>
  </w:font>
  <w:font w:name="MS Mincho;ＭＳ 明朝">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方正仿宋_GBK;微软雅黑">
    <w:altName w:val="仿宋"/>
    <w:panose1 w:val="020B0503020202020204"/>
    <w:charset w:val="00"/>
    <w:family w:val="auto"/>
    <w:pitch w:val="default"/>
    <w:sig w:usb0="00000000" w:usb1="00000000" w:usb2="00000000" w:usb3="00000000" w:csb0="00000000" w:csb1="00000000"/>
  </w:font>
  <w:font w:name="方正魏碑_GBK">
    <w:altName w:val="宋体"/>
    <w:panose1 w:val="03000509000000000000"/>
    <w:charset w:val="86"/>
    <w:family w:val="auto"/>
    <w:pitch w:val="default"/>
    <w:sig w:usb0="00000000" w:usb1="00000000" w:usb2="00000000" w:usb3="00000000" w:csb0="00040000"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AD7EF">
    <w:pPr>
      <w:pStyle w:val="262"/>
      <w:jc w:val="center"/>
    </w:pPr>
  </w:p>
  <w:p w14:paraId="2CE8A805">
    <w:pPr>
      <w:pStyle w:val="26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E886">
    <w:pPr>
      <w:pStyle w:val="262"/>
      <w:jc w:val="center"/>
    </w:pPr>
  </w:p>
  <w:p w14:paraId="60F88F0D">
    <w:pPr>
      <w:pStyle w:val="26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4A639">
    <w:pPr>
      <w:pStyle w:val="262"/>
      <w:jc w:val="center"/>
    </w:pPr>
  </w:p>
  <w:p w14:paraId="512CF6A4">
    <w:pPr>
      <w:pStyle w:val="26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5F41A">
    <w:pPr>
      <w:pStyle w:val="262"/>
      <w:jc w:val="center"/>
    </w:pPr>
  </w:p>
  <w:p w14:paraId="0CB9D76F">
    <w:pPr>
      <w:pStyle w:val="26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A0FEE">
    <w:pPr>
      <w:pStyle w:val="262"/>
      <w:jc w:val="center"/>
    </w:pPr>
  </w:p>
  <w:p w14:paraId="59686E18">
    <w:pPr>
      <w:pStyle w:val="26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ECE28">
    <w:pPr>
      <w:pStyle w:val="262"/>
      <w:jc w:val="center"/>
    </w:pPr>
    <w:r>
      <w:fldChar w:fldCharType="begin"/>
    </w:r>
    <w:r>
      <w:instrText xml:space="preserve"> PAGE </w:instrText>
    </w:r>
    <w:r>
      <w:fldChar w:fldCharType="separate"/>
    </w:r>
    <w:r>
      <w:t>12</w:t>
    </w:r>
    <w:r>
      <w:fldChar w:fldCharType="end"/>
    </w:r>
  </w:p>
  <w:p w14:paraId="00662E55">
    <w:pPr>
      <w:pStyle w:val="26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ACEF8">
    <w:pPr>
      <w:pStyle w:val="262"/>
      <w:jc w:val="center"/>
    </w:pPr>
    <w:r>
      <w:fldChar w:fldCharType="begin"/>
    </w:r>
    <w:r>
      <w:instrText xml:space="preserve"> PAGE </w:instrText>
    </w:r>
    <w:r>
      <w:fldChar w:fldCharType="separate"/>
    </w:r>
    <w:r>
      <w:t>15</w:t>
    </w:r>
    <w:r>
      <w:fldChar w:fldCharType="end"/>
    </w:r>
  </w:p>
  <w:p w14:paraId="57DCC0D7">
    <w:pPr>
      <w:pStyle w:val="26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40032">
    <w:pPr>
      <w:pStyle w:val="262"/>
      <w:jc w:val="center"/>
    </w:pPr>
    <w:r>
      <w:fldChar w:fldCharType="begin"/>
    </w:r>
    <w:r>
      <w:instrText xml:space="preserve"> PAGE </w:instrText>
    </w:r>
    <w:r>
      <w:fldChar w:fldCharType="separate"/>
    </w:r>
    <w:r>
      <w:t>1</w:t>
    </w:r>
    <w:r>
      <w:fldChar w:fldCharType="end"/>
    </w:r>
  </w:p>
  <w:p w14:paraId="7F100008">
    <w:pPr>
      <w:pStyle w:val="26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2F5D1">
    <w:pPr>
      <w:pStyle w:val="262"/>
      <w:jc w:val="center"/>
    </w:pPr>
    <w:r>
      <w:fldChar w:fldCharType="begin"/>
    </w:r>
    <w:r>
      <w:instrText xml:space="preserve"> PAGE </w:instrText>
    </w:r>
    <w:r>
      <w:fldChar w:fldCharType="separate"/>
    </w:r>
    <w:r>
      <w:t>1</w:t>
    </w:r>
    <w:r>
      <w:fldChar w:fldCharType="end"/>
    </w:r>
  </w:p>
  <w:p w14:paraId="66A77E6F">
    <w:pPr>
      <w:pStyle w:val="262"/>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93A62">
    <w:pPr>
      <w:pStyle w:val="262"/>
      <w:jc w:val="center"/>
    </w:pPr>
    <w:r>
      <w:fldChar w:fldCharType="begin"/>
    </w:r>
    <w:r>
      <w:instrText xml:space="preserve"> PAGE </w:instrText>
    </w:r>
    <w:r>
      <w:fldChar w:fldCharType="separate"/>
    </w:r>
    <w:r>
      <w:t>4</w:t>
    </w:r>
    <w:r>
      <w:fldChar w:fldCharType="end"/>
    </w:r>
  </w:p>
  <w:p w14:paraId="76FFF4EC">
    <w:pPr>
      <w:pStyle w:val="26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5EAD">
    <w:r>
      <mc:AlternateContent>
        <mc:Choice Requires="wps">
          <w:drawing>
            <wp:anchor distT="0" distB="0" distL="0" distR="0" simplePos="0" relativeHeight="251659264" behindDoc="1" locked="0" layoutInCell="0" allowOverlap="1">
              <wp:simplePos x="0" y="0"/>
              <wp:positionH relativeFrom="page">
                <wp:align>right</wp:align>
              </wp:positionH>
              <wp:positionV relativeFrom="page">
                <wp:align>bottom</wp:align>
              </wp:positionV>
              <wp:extent cx="2200275" cy="349885"/>
              <wp:effectExtent l="0" t="0" r="0" b="0"/>
              <wp:wrapNone/>
              <wp:docPr id="1738" name="Watermark"/>
              <wp:cNvGraphicFramePr/>
              <a:graphic xmlns:a="http://schemas.openxmlformats.org/drawingml/2006/main">
                <a:graphicData uri="http://schemas.microsoft.com/office/word/2010/wordprocessingShape">
                  <wps:wsp>
                    <wps:cNvSpPr txBox="1"/>
                    <wps:spPr>
                      <a:xfrm>
                        <a:off x="0" y="0"/>
                        <a:ext cx="2200000" cy="350000"/>
                      </a:xfrm>
                      <a:prstGeom prst="rect">
                        <a:avLst/>
                      </a:prstGeom>
                      <a:noFill/>
                      <a:ln>
                        <a:noFill/>
                      </a:ln>
                    </wps:spPr>
                    <wps:txbx>
                      <w:txbxContent>
                        <w:p w14:paraId="3195C3B7">
                          <w:pPr>
                            <w:jc w:val="right"/>
                          </w:pPr>
                        </w:p>
                      </w:txbxContent>
                    </wps:txbx>
                    <wps:bodyPr wrap="square" lIns="0" tIns="0" rIns="91440" bIns="45720" anchor="b" anchorCtr="0"/>
                  </wps:wsp>
                </a:graphicData>
              </a:graphic>
            </wp:anchor>
          </w:drawing>
        </mc:Choice>
        <mc:Fallback>
          <w:pict>
            <v:shape id="Watermark" o:spid="_x0000_s1026" o:spt="202" type="#_x0000_t202" style="position:absolute;left:0pt;height:27.55pt;width:173.25pt;mso-position-horizontal:right;mso-position-horizontal-relative:page;mso-position-vertical:bottom;mso-position-vertical-relative:page;z-index:-251657216;v-text-anchor:bottom;mso-width-relative:page;mso-height-relative:page;" filled="f" stroked="f" coordsize="21600,21600" o:allowincell="f" o:gfxdata="UEsDBAoAAAAAAIdO4kAAAAAAAAAAAAAAAAAEAAAAZHJzL1BLAwQUAAAACACHTuJAvLbXZNUAAAAE&#10;AQAADwAAAGRycy9kb3ducmV2LnhtbE2PQWvCQBCF74L/YZlCL1I3qY1IzEZQ2ouHQq2UHsfsNAlm&#10;Z8PuRtN/320v9TLweI/3vik2o+nEhZxvLStI5wkI4srqlmsFx/eXhxUIH5A1dpZJwTd52JTTSYG5&#10;tld+o8sh1CKWsM9RQRNCn0vpq4YM+rntiaP3ZZ3BEKWrpXZ4jeWmk49JspQGW44LDfa0a6g6Hwaj&#10;YP/q989hix/j4ngetzPtBvp0St3fpckaRKAx/IfhFz+iQxmZTnZg7UWnID4S/m70Fk/LDMRJQZal&#10;IMtC3sKXP1BLAwQUAAAACACHTuJAJxmOBsQBAACWAwAADgAAAGRycy9lMm9Eb2MueG1srVPBbtsw&#10;DL0P2D8Iui9O0nRdgzgFtqDDgGEb0BU7KzIdC5NEjVJi5+9HyUm6dZce5oNMUvQj3yO9uhucFQeg&#10;aNDXcjaZSgFeY2P8rpaP3+/fvJMiJuUbZdFDLY8Q5d369atVH5Ywxw5tAyQYxMdlH2rZpRSWVRV1&#10;B07FCQbwfNkiOZXYpV3VkOoZ3dlqPp2+rXqkJhBqiJGjm/FSnhDpJYDYtkbDBvXegU8jKoFViSnF&#10;zoQo16XbtgWdvrZthCRsLZlpKicXYXubz2q9UssdqdAZfWpBvaSFZ5ycMp6LXqA2KimxJ/MPlDOa&#10;MGKbJhpdNRIpijCL2fSZNg+dClC4sNQxXESP/w9Wfzl8I2Ea3oSbK568V45n/kMl4PnRz6xPH+KS&#10;0x4CJ6bhPQ6ce45HDmbaQ0suv5mQ4HtW93hRF4YkNAfnPH1+pNB8d3VdbIavnr4OFNNHQCeyUUvi&#10;6RVR1eFzTGPqOSUX83hvrC0TtP6vAGPmSJVbH1vMVhq2w4nPFpsj0+l58LWMv/aKQAr7ybOyeUvO&#10;BhXjdrZY5H0pzuL6Zs6O8rpD3qPt2fyQylblLnMtHlehdlqtvA9/+iXr6Xda/w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8ttdk1QAAAAQBAAAPAAAAAAAAAAEAIAAAACIAAABkcnMvZG93bnJldi54&#10;bWxQSwECFAAUAAAACACHTuJAJxmOBsQBAACWAwAADgAAAAAAAAABACAAAAAkAQAAZHJzL2Uyb0Rv&#10;Yy54bWxQSwUGAAAAAAYABgBZAQAAWgUAAAAA&#10;">
              <v:fill on="f" focussize="0,0"/>
              <v:stroke on="f"/>
              <v:imagedata o:title=""/>
              <o:lock v:ext="edit" aspectratio="f"/>
              <v:textbox inset="0mm,0mm,2.54mm,1.27mm">
                <w:txbxContent>
                  <w:p w14:paraId="3195C3B7">
                    <w:pPr>
                      <w:jc w:val="right"/>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B56F7">
    <w:pPr>
      <w:pStyle w:val="26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06535">
    <w:pPr>
      <w:pStyle w:val="26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E02">
    <w:pPr>
      <w:pStyle w:val="26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165A5">
    <w:pPr>
      <w:pStyle w:val="26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3BFA1">
    <w:pPr>
      <w:pStyle w:val="26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A96603"/>
    <w:multiLevelType w:val="multilevel"/>
    <w:tmpl w:val="9BA96603"/>
    <w:lvl w:ilvl="0" w:tentative="0">
      <w:start w:val="1"/>
      <w:numFmt w:val="decimal"/>
      <w:lvlText w:val="%1)"/>
      <w:lvlJc w:val="left"/>
      <w:pPr>
        <w:tabs>
          <w:tab w:val="left" w:pos="0"/>
        </w:tabs>
        <w:ind w:left="425" w:hanging="425"/>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
    <w:nsid w:val="CF092B84"/>
    <w:multiLevelType w:val="multilevel"/>
    <w:tmpl w:val="CF092B84"/>
    <w:lvl w:ilvl="0" w:tentative="0">
      <w:start w:val="6"/>
      <w:numFmt w:val="decimal"/>
      <w:pStyle w:val="272"/>
      <w:suff w:val="space"/>
      <w:lvlText w:val="%1"/>
      <w:lvlJc w:val="left"/>
      <w:pPr>
        <w:tabs>
          <w:tab w:val="left" w:pos="0"/>
        </w:tabs>
        <w:ind w:left="0" w:firstLine="0"/>
      </w:pPr>
    </w:lvl>
    <w:lvl w:ilvl="1" w:tentative="0">
      <w:start w:val="1"/>
      <w:numFmt w:val="decimal"/>
      <w:suff w:val="space"/>
      <w:lvlText w:val="%1.%2"/>
      <w:lvlJc w:val="left"/>
      <w:pPr>
        <w:tabs>
          <w:tab w:val="left" w:pos="0"/>
        </w:tabs>
        <w:ind w:left="0" w:firstLine="0"/>
      </w:pPr>
    </w:lvl>
    <w:lvl w:ilvl="2" w:tentative="0">
      <w:start w:val="1"/>
      <w:numFmt w:val="decimal"/>
      <w:suff w:val="space"/>
      <w:lvlText w:val="%1.%2.%3"/>
      <w:lvlJc w:val="left"/>
      <w:pPr>
        <w:tabs>
          <w:tab w:val="left" w:pos="0"/>
        </w:tabs>
        <w:ind w:left="0" w:firstLine="0"/>
      </w:pPr>
    </w:lvl>
    <w:lvl w:ilvl="3" w:tentative="0">
      <w:start w:val="1"/>
      <w:numFmt w:val="decimal"/>
      <w:suff w:val="space"/>
      <w:lvlText w:val="%1.%2.%3.%4"/>
      <w:lvlJc w:val="left"/>
      <w:pPr>
        <w:tabs>
          <w:tab w:val="left" w:pos="0"/>
        </w:tabs>
        <w:ind w:left="0" w:firstLine="0"/>
      </w:pPr>
    </w:lvl>
    <w:lvl w:ilvl="4" w:tentative="0">
      <w:start w:val="1"/>
      <w:numFmt w:val="decimal"/>
      <w:suff w:val="space"/>
      <w:lvlText w:val="%1.%2.%3.%4.%5"/>
      <w:lvlJc w:val="left"/>
      <w:pPr>
        <w:tabs>
          <w:tab w:val="left" w:pos="0"/>
        </w:tabs>
        <w:ind w:left="0" w:firstLine="0"/>
      </w:pPr>
    </w:lvl>
    <w:lvl w:ilvl="5" w:tentative="0">
      <w:start w:val="1"/>
      <w:numFmt w:val="decimal"/>
      <w:lvlText w:val="表%1.%2-%6"/>
      <w:lvlJc w:val="center"/>
      <w:pPr>
        <w:tabs>
          <w:tab w:val="left" w:pos="720"/>
        </w:tabs>
        <w:ind w:left="0" w:firstLine="0"/>
      </w:pPr>
    </w:lvl>
    <w:lvl w:ilvl="6" w:tentative="0">
      <w:start w:val="1"/>
      <w:numFmt w:val="decimal"/>
      <w:lvlText w:val="图%1.%2-%7"/>
      <w:lvlJc w:val="center"/>
      <w:pPr>
        <w:tabs>
          <w:tab w:val="left" w:pos="720"/>
        </w:tabs>
        <w:ind w:left="0" w:firstLine="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2">
    <w:nsid w:val="FF83D68C"/>
    <w:multiLevelType w:val="multilevel"/>
    <w:tmpl w:val="FF83D68C"/>
    <w:lvl w:ilvl="0" w:tentative="0">
      <w:start w:val="1"/>
      <w:numFmt w:val="decimal"/>
      <w:lvlText w:val="%1."/>
      <w:lvlJc w:val="left"/>
      <w:pPr>
        <w:tabs>
          <w:tab w:val="left" w:pos="312"/>
        </w:tabs>
        <w:ind w:left="0" w:firstLine="0"/>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3">
    <w:nsid w:val="0053208E"/>
    <w:multiLevelType w:val="multilevel"/>
    <w:tmpl w:val="0053208E"/>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pStyle w:val="6"/>
      <w:suff w:val="nothing"/>
      <w:lvlText w:val=""/>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4">
    <w:nsid w:val="30F9B3B1"/>
    <w:multiLevelType w:val="multilevel"/>
    <w:tmpl w:val="30F9B3B1"/>
    <w:lvl w:ilvl="0" w:tentative="0">
      <w:start w:val="1"/>
      <w:numFmt w:val="decimal"/>
      <w:lvlText w:val="%1."/>
      <w:lvlJc w:val="left"/>
      <w:pPr>
        <w:tabs>
          <w:tab w:val="left" w:pos="312"/>
        </w:tabs>
        <w:ind w:left="0" w:firstLine="0"/>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5">
    <w:nsid w:val="3A0806F9"/>
    <w:multiLevelType w:val="multilevel"/>
    <w:tmpl w:val="3A0806F9"/>
    <w:lvl w:ilvl="0" w:tentative="0">
      <w:start w:val="1"/>
      <w:numFmt w:val="decimal"/>
      <w:lvlText w:val="%1."/>
      <w:lvlJc w:val="left"/>
      <w:pPr>
        <w:tabs>
          <w:tab w:val="left" w:pos="312"/>
        </w:tabs>
        <w:ind w:left="0" w:firstLine="0"/>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6">
    <w:nsid w:val="5E5D8FA6"/>
    <w:multiLevelType w:val="multilevel"/>
    <w:tmpl w:val="5E5D8FA6"/>
    <w:lvl w:ilvl="0" w:tentative="0">
      <w:start w:val="1"/>
      <w:numFmt w:val="decimal"/>
      <w:lvlText w:val="%1."/>
      <w:lvlJc w:val="left"/>
      <w:pPr>
        <w:tabs>
          <w:tab w:val="left" w:pos="312"/>
        </w:tabs>
        <w:ind w:left="0" w:firstLine="0"/>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num w:numId="1">
    <w:abstractNumId w:val="3"/>
  </w:num>
  <w:num w:numId="2">
    <w:abstractNumId w:val="1"/>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15A2A"/>
    <w:rsid w:val="0AAF3B94"/>
    <w:rsid w:val="1A163A8A"/>
    <w:rsid w:val="1A265279"/>
    <w:rsid w:val="1BA825C4"/>
    <w:rsid w:val="5C47254E"/>
    <w:rsid w:val="5EF77F28"/>
    <w:rsid w:val="64B64B38"/>
    <w:rsid w:val="67196268"/>
    <w:rsid w:val="74461AC1"/>
    <w:rsid w:val="7B2E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8"/>
    <w:qFormat/>
    <w:uiPriority w:val="0"/>
    <w:pPr>
      <w:widowControl w:val="0"/>
      <w:jc w:val="both"/>
    </w:pPr>
    <w:rPr>
      <w:rFonts w:hint="default" w:ascii="Calibri" w:hAnsi="Calibri" w:eastAsia="Arial" w:cs="Arial"/>
      <w:sz w:val="21"/>
      <w:szCs w:val="22"/>
      <w:lang w:val="en-US" w:eastAsia="zh-CN" w:bidi="ar-SA"/>
    </w:rPr>
  </w:style>
  <w:style w:type="paragraph" w:styleId="2">
    <w:name w:val="heading 1"/>
    <w:basedOn w:val="1"/>
    <w:next w:val="1"/>
    <w:qFormat/>
    <w:uiPriority w:val="9"/>
    <w:pPr>
      <w:keepNext/>
      <w:keepLines/>
      <w:numPr>
        <w:ilvl w:val="0"/>
        <w:numId w:val="1"/>
      </w:numPr>
      <w:spacing w:before="340" w:after="330" w:line="576" w:lineRule="auto"/>
      <w:outlineLvl w:val="0"/>
    </w:pPr>
    <w:rPr>
      <w:b/>
      <w:bCs/>
      <w:sz w:val="44"/>
      <w:szCs w:val="44"/>
    </w:rPr>
  </w:style>
  <w:style w:type="paragraph" w:styleId="3">
    <w:name w:val="heading 2"/>
    <w:basedOn w:val="1"/>
    <w:next w:val="1"/>
    <w:unhideWhenUsed/>
    <w:qFormat/>
    <w:uiPriority w:val="9"/>
    <w:pPr>
      <w:keepNext/>
      <w:keepLines/>
      <w:numPr>
        <w:ilvl w:val="1"/>
        <w:numId w:val="1"/>
      </w:numPr>
      <w:spacing w:before="260" w:after="260" w:line="412" w:lineRule="auto"/>
      <w:outlineLvl w:val="1"/>
    </w:pPr>
    <w:rPr>
      <w:rFonts w:ascii="Cambria" w:hAnsi="Cambria"/>
      <w:b/>
      <w:bCs/>
      <w:sz w:val="32"/>
      <w:szCs w:val="32"/>
    </w:rPr>
  </w:style>
  <w:style w:type="paragraph" w:styleId="4">
    <w:name w:val="heading 3"/>
    <w:basedOn w:val="1"/>
    <w:next w:val="1"/>
    <w:semiHidden/>
    <w:unhideWhenUsed/>
    <w:qFormat/>
    <w:uiPriority w:val="9"/>
    <w:pPr>
      <w:keepNext/>
      <w:keepLines/>
      <w:numPr>
        <w:ilvl w:val="2"/>
        <w:numId w:val="1"/>
      </w:numPr>
      <w:spacing w:before="260" w:after="260" w:line="412" w:lineRule="auto"/>
      <w:outlineLvl w:val="2"/>
    </w:pPr>
    <w:rPr>
      <w:b/>
      <w:bCs/>
      <w:sz w:val="32"/>
      <w:szCs w:val="32"/>
    </w:rPr>
  </w:style>
  <w:style w:type="paragraph" w:styleId="5">
    <w:name w:val="heading 4"/>
    <w:basedOn w:val="1"/>
    <w:next w:val="1"/>
    <w:semiHidden/>
    <w:unhideWhenUsed/>
    <w:qFormat/>
    <w:uiPriority w:val="9"/>
    <w:pPr>
      <w:keepNext/>
      <w:keepLines/>
      <w:numPr>
        <w:ilvl w:val="3"/>
        <w:numId w:val="1"/>
      </w:numPr>
      <w:spacing w:before="320" w:after="200"/>
      <w:outlineLvl w:val="3"/>
    </w:pPr>
    <w:rPr>
      <w:rFonts w:ascii="Arial" w:hAnsi="Arial"/>
      <w:b/>
      <w:bCs/>
      <w:sz w:val="26"/>
      <w:szCs w:val="26"/>
    </w:rPr>
  </w:style>
  <w:style w:type="paragraph" w:styleId="6">
    <w:name w:val="heading 5"/>
    <w:basedOn w:val="1"/>
    <w:next w:val="1"/>
    <w:semiHidden/>
    <w:unhideWhenUsed/>
    <w:qFormat/>
    <w:uiPriority w:val="9"/>
    <w:pPr>
      <w:keepNext/>
      <w:keepLines/>
      <w:numPr>
        <w:ilvl w:val="4"/>
        <w:numId w:val="1"/>
      </w:numPr>
      <w:spacing w:before="320" w:after="200"/>
      <w:outlineLvl w:val="4"/>
    </w:pPr>
    <w:rPr>
      <w:rFonts w:ascii="Arial" w:hAnsi="Arial"/>
      <w:b/>
      <w:bCs/>
      <w:sz w:val="24"/>
      <w:szCs w:val="24"/>
    </w:rPr>
  </w:style>
  <w:style w:type="paragraph" w:styleId="7">
    <w:name w:val="heading 6"/>
    <w:basedOn w:val="1"/>
    <w:next w:val="1"/>
    <w:semiHidden/>
    <w:unhideWhenUsed/>
    <w:qFormat/>
    <w:uiPriority w:val="9"/>
    <w:pPr>
      <w:keepNext/>
      <w:keepLines/>
      <w:numPr>
        <w:ilvl w:val="5"/>
        <w:numId w:val="1"/>
      </w:numPr>
      <w:spacing w:before="320" w:after="200"/>
      <w:outlineLvl w:val="5"/>
    </w:pPr>
    <w:rPr>
      <w:rFonts w:ascii="Arial" w:hAnsi="Arial"/>
      <w:b/>
      <w:bCs/>
      <w:sz w:val="22"/>
    </w:rPr>
  </w:style>
  <w:style w:type="paragraph" w:styleId="8">
    <w:name w:val="heading 7"/>
    <w:basedOn w:val="1"/>
    <w:next w:val="1"/>
    <w:qFormat/>
    <w:uiPriority w:val="0"/>
    <w:pPr>
      <w:keepNext/>
      <w:keepLines/>
      <w:numPr>
        <w:ilvl w:val="6"/>
        <w:numId w:val="1"/>
      </w:numPr>
      <w:spacing w:before="320" w:after="200"/>
      <w:outlineLvl w:val="6"/>
    </w:pPr>
    <w:rPr>
      <w:rFonts w:ascii="Arial" w:hAnsi="Arial"/>
      <w:b/>
      <w:bCs/>
      <w:i/>
      <w:iCs/>
      <w:sz w:val="22"/>
    </w:rPr>
  </w:style>
  <w:style w:type="paragraph" w:styleId="9">
    <w:name w:val="heading 8"/>
    <w:basedOn w:val="1"/>
    <w:next w:val="1"/>
    <w:qFormat/>
    <w:uiPriority w:val="0"/>
    <w:pPr>
      <w:keepNext/>
      <w:keepLines/>
      <w:numPr>
        <w:ilvl w:val="7"/>
        <w:numId w:val="1"/>
      </w:numPr>
      <w:spacing w:before="320" w:after="200"/>
      <w:outlineLvl w:val="7"/>
    </w:pPr>
    <w:rPr>
      <w:rFonts w:ascii="Arial" w:hAnsi="Arial"/>
      <w:i/>
      <w:iCs/>
      <w:sz w:val="22"/>
    </w:rPr>
  </w:style>
  <w:style w:type="paragraph" w:styleId="10">
    <w:name w:val="heading 9"/>
    <w:basedOn w:val="1"/>
    <w:next w:val="1"/>
    <w:qFormat/>
    <w:uiPriority w:val="0"/>
    <w:pPr>
      <w:keepNext/>
      <w:keepLines/>
      <w:numPr>
        <w:ilvl w:val="8"/>
        <w:numId w:val="1"/>
      </w:numPr>
      <w:spacing w:before="320" w:after="200"/>
      <w:outlineLvl w:val="8"/>
    </w:pPr>
    <w:rPr>
      <w:rFonts w:ascii="Arial" w:hAnsi="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after="57"/>
      <w:ind w:left="1701"/>
    </w:pPr>
  </w:style>
  <w:style w:type="paragraph" w:styleId="12">
    <w:name w:val="caption"/>
    <w:basedOn w:val="1"/>
    <w:next w:val="1"/>
    <w:qFormat/>
    <w:uiPriority w:val="0"/>
    <w:pPr>
      <w:spacing w:line="276" w:lineRule="auto"/>
    </w:pPr>
    <w:rPr>
      <w:b/>
      <w:bCs/>
      <w:color w:val="4F81BD"/>
      <w:sz w:val="18"/>
      <w:szCs w:val="18"/>
    </w:rPr>
  </w:style>
  <w:style w:type="paragraph" w:styleId="13">
    <w:name w:val="toa heading"/>
    <w:qFormat/>
    <w:uiPriority w:val="0"/>
    <w:rPr>
      <w:rFonts w:hint="default" w:ascii="Calibri" w:hAnsi="Calibri" w:eastAsia="Arial" w:cs="Arial"/>
      <w:sz w:val="20"/>
      <w:szCs w:val="20"/>
      <w:lang w:val="en-US" w:eastAsia="zh-CN" w:bidi="ar-SA"/>
    </w:rPr>
  </w:style>
  <w:style w:type="paragraph" w:styleId="14">
    <w:name w:val="Body Text"/>
    <w:basedOn w:val="1"/>
    <w:next w:val="1"/>
    <w:qFormat/>
    <w:uiPriority w:val="0"/>
    <w:rPr>
      <w:rFonts w:ascii="金山简黑体;黑体" w:hAnsi="金山简黑体;黑体" w:eastAsia="金山简黑体;黑体" w:cs="Courier New"/>
      <w:b/>
      <w:spacing w:val="-8"/>
      <w:sz w:val="44"/>
      <w:szCs w:val="20"/>
    </w:rPr>
  </w:style>
  <w:style w:type="paragraph" w:styleId="15">
    <w:name w:val="Body Text Indent"/>
    <w:basedOn w:val="1"/>
    <w:next w:val="1"/>
    <w:qFormat/>
    <w:uiPriority w:val="0"/>
    <w:pPr>
      <w:ind w:firstLine="600"/>
    </w:pPr>
    <w:rPr>
      <w:rFonts w:eastAsia="仿宋_GB2312"/>
      <w:sz w:val="30"/>
      <w:szCs w:val="30"/>
    </w:rPr>
  </w:style>
  <w:style w:type="paragraph" w:styleId="16">
    <w:name w:val="toc 5"/>
    <w:basedOn w:val="1"/>
    <w:next w:val="1"/>
    <w:qFormat/>
    <w:uiPriority w:val="0"/>
    <w:pPr>
      <w:spacing w:after="57"/>
      <w:ind w:left="1134"/>
    </w:pPr>
  </w:style>
  <w:style w:type="paragraph" w:styleId="17">
    <w:name w:val="toc 3"/>
    <w:basedOn w:val="1"/>
    <w:next w:val="1"/>
    <w:qFormat/>
    <w:uiPriority w:val="0"/>
    <w:pPr>
      <w:spacing w:after="57"/>
      <w:ind w:left="567"/>
    </w:pPr>
  </w:style>
  <w:style w:type="paragraph" w:styleId="18">
    <w:name w:val="toc 8"/>
    <w:basedOn w:val="1"/>
    <w:next w:val="1"/>
    <w:qFormat/>
    <w:uiPriority w:val="0"/>
    <w:pPr>
      <w:spacing w:after="57"/>
      <w:ind w:left="1984"/>
    </w:pPr>
  </w:style>
  <w:style w:type="paragraph" w:styleId="19">
    <w:name w:val="endnote text"/>
    <w:basedOn w:val="1"/>
    <w:qFormat/>
    <w:uiPriority w:val="0"/>
    <w:rPr>
      <w:sz w:val="20"/>
    </w:rPr>
  </w:style>
  <w:style w:type="paragraph" w:styleId="20">
    <w:name w:val="Balloon Text"/>
    <w:basedOn w:val="1"/>
    <w:qFormat/>
    <w:uiPriority w:val="0"/>
    <w:rPr>
      <w:sz w:val="18"/>
      <w:szCs w:val="18"/>
    </w:rPr>
  </w:style>
  <w:style w:type="paragraph" w:styleId="21">
    <w:name w:val="footer"/>
    <w:basedOn w:val="1"/>
    <w:qFormat/>
    <w:uiPriority w:val="0"/>
    <w:pPr>
      <w:tabs>
        <w:tab w:val="center" w:pos="4153"/>
        <w:tab w:val="right" w:pos="8306"/>
      </w:tabs>
      <w:jc w:val="left"/>
    </w:pPr>
    <w:rPr>
      <w:sz w:val="18"/>
      <w:szCs w:val="18"/>
    </w:rPr>
  </w:style>
  <w:style w:type="paragraph" w:styleId="22">
    <w:name w:val="envelope return"/>
    <w:basedOn w:val="1"/>
    <w:qFormat/>
    <w:uiPriority w:val="0"/>
    <w:rPr>
      <w:rFonts w:ascii="Arial" w:hAnsi="Arial"/>
    </w:rPr>
  </w:style>
  <w:style w:type="paragraph" w:styleId="23">
    <w:name w:val="header"/>
    <w:basedOn w:val="1"/>
    <w:qFormat/>
    <w:uiPriority w:val="0"/>
    <w:pPr>
      <w:tabs>
        <w:tab w:val="center" w:pos="4153"/>
        <w:tab w:val="right" w:pos="8306"/>
      </w:tabs>
      <w:jc w:val="center"/>
    </w:pPr>
    <w:rPr>
      <w:sz w:val="18"/>
      <w:szCs w:val="18"/>
    </w:rPr>
  </w:style>
  <w:style w:type="paragraph" w:styleId="24">
    <w:name w:val="toc 1"/>
    <w:basedOn w:val="1"/>
    <w:next w:val="1"/>
    <w:qFormat/>
    <w:uiPriority w:val="0"/>
    <w:pPr>
      <w:tabs>
        <w:tab w:val="right" w:leader="dot" w:pos="9628"/>
      </w:tabs>
      <w:spacing w:line="360" w:lineRule="auto"/>
      <w:jc w:val="center"/>
    </w:pPr>
    <w:rPr>
      <w:sz w:val="32"/>
    </w:rPr>
  </w:style>
  <w:style w:type="paragraph" w:styleId="25">
    <w:name w:val="toc 4"/>
    <w:basedOn w:val="1"/>
    <w:next w:val="1"/>
    <w:qFormat/>
    <w:uiPriority w:val="0"/>
    <w:pPr>
      <w:spacing w:after="57"/>
      <w:ind w:left="850"/>
    </w:pPr>
  </w:style>
  <w:style w:type="paragraph" w:styleId="26">
    <w:name w:val="index heading"/>
    <w:basedOn w:val="27"/>
    <w:qFormat/>
    <w:uiPriority w:val="0"/>
  </w:style>
  <w:style w:type="paragraph" w:customStyle="1" w:styleId="27">
    <w:name w:val="Heading"/>
    <w:basedOn w:val="1"/>
    <w:next w:val="1"/>
    <w:qFormat/>
    <w:uiPriority w:val="0"/>
    <w:pPr>
      <w:spacing w:before="300" w:after="200"/>
      <w:contextualSpacing/>
    </w:pPr>
    <w:rPr>
      <w:sz w:val="48"/>
      <w:szCs w:val="48"/>
    </w:rPr>
  </w:style>
  <w:style w:type="paragraph" w:styleId="28">
    <w:name w:val="Subtitle"/>
    <w:basedOn w:val="1"/>
    <w:next w:val="1"/>
    <w:qFormat/>
    <w:uiPriority w:val="11"/>
    <w:pPr>
      <w:spacing w:before="200" w:after="200"/>
    </w:pPr>
    <w:rPr>
      <w:sz w:val="24"/>
      <w:szCs w:val="24"/>
    </w:rPr>
  </w:style>
  <w:style w:type="paragraph" w:styleId="29">
    <w:name w:val="List"/>
    <w:basedOn w:val="14"/>
    <w:qFormat/>
    <w:uiPriority w:val="0"/>
    <w:rPr>
      <w:rFonts w:cs="Lohit Devanagari"/>
    </w:rPr>
  </w:style>
  <w:style w:type="paragraph" w:styleId="30">
    <w:name w:val="footnote text"/>
    <w:basedOn w:val="1"/>
    <w:qFormat/>
    <w:uiPriority w:val="0"/>
    <w:pPr>
      <w:spacing w:after="40"/>
    </w:pPr>
    <w:rPr>
      <w:sz w:val="18"/>
    </w:rPr>
  </w:style>
  <w:style w:type="paragraph" w:styleId="31">
    <w:name w:val="toc 6"/>
    <w:basedOn w:val="1"/>
    <w:next w:val="1"/>
    <w:qFormat/>
    <w:uiPriority w:val="0"/>
    <w:pPr>
      <w:spacing w:after="57"/>
      <w:ind w:left="1417"/>
    </w:pPr>
  </w:style>
  <w:style w:type="paragraph" w:styleId="32">
    <w:name w:val="table of figures"/>
    <w:basedOn w:val="1"/>
    <w:next w:val="1"/>
    <w:unhideWhenUsed/>
    <w:qFormat/>
    <w:uiPriority w:val="99"/>
    <w:pPr>
      <w:spacing w:after="0" w:afterAutospacing="0"/>
    </w:pPr>
  </w:style>
  <w:style w:type="paragraph" w:styleId="33">
    <w:name w:val="toc 2"/>
    <w:basedOn w:val="1"/>
    <w:next w:val="1"/>
    <w:qFormat/>
    <w:uiPriority w:val="0"/>
    <w:pPr>
      <w:spacing w:after="57"/>
      <w:ind w:left="283"/>
    </w:pPr>
  </w:style>
  <w:style w:type="paragraph" w:styleId="34">
    <w:name w:val="toc 9"/>
    <w:basedOn w:val="1"/>
    <w:next w:val="1"/>
    <w:qFormat/>
    <w:uiPriority w:val="0"/>
    <w:pPr>
      <w:spacing w:after="57"/>
      <w:ind w:left="2268"/>
    </w:pPr>
  </w:style>
  <w:style w:type="paragraph" w:styleId="35">
    <w:name w:val="Normal (Web)"/>
    <w:basedOn w:val="1"/>
    <w:qFormat/>
    <w:uiPriority w:val="0"/>
    <w:pPr>
      <w:widowControl/>
      <w:spacing w:before="100" w:after="100"/>
      <w:jc w:val="left"/>
    </w:pPr>
    <w:rPr>
      <w:rFonts w:ascii="宋体;SimSun" w:hAnsi="宋体;SimSun" w:eastAsia="宋体;SimSun" w:cs="宋体;SimSun"/>
      <w:sz w:val="24"/>
      <w:szCs w:val="24"/>
    </w:rPr>
  </w:style>
  <w:style w:type="paragraph" w:styleId="36">
    <w:name w:val="Title"/>
    <w:basedOn w:val="1"/>
    <w:next w:val="1"/>
    <w:link w:val="48"/>
    <w:qFormat/>
    <w:uiPriority w:val="10"/>
    <w:pPr>
      <w:spacing w:before="300" w:after="200"/>
      <w:contextualSpacing/>
    </w:pPr>
    <w:rPr>
      <w:sz w:val="48"/>
      <w:szCs w:val="48"/>
    </w:rPr>
  </w:style>
  <w:style w:type="paragraph" w:styleId="37">
    <w:name w:val="annotation subject"/>
    <w:basedOn w:val="38"/>
    <w:next w:val="38"/>
    <w:qFormat/>
    <w:uiPriority w:val="0"/>
    <w:pPr>
      <w:spacing w:line="240" w:lineRule="auto"/>
      <w:ind w:firstLine="0"/>
    </w:pPr>
    <w:rPr>
      <w:rFonts w:ascii="Calibri" w:hAnsi="Calibri" w:eastAsia="Arial" w:cs="Arial"/>
      <w:b/>
      <w:bCs/>
      <w:szCs w:val="22"/>
    </w:rPr>
  </w:style>
  <w:style w:type="paragraph" w:customStyle="1" w:styleId="38">
    <w:name w:val="批注文字1"/>
    <w:basedOn w:val="1"/>
    <w:qFormat/>
    <w:uiPriority w:val="0"/>
    <w:pPr>
      <w:spacing w:line="360" w:lineRule="auto"/>
      <w:ind w:firstLine="922"/>
      <w:jc w:val="left"/>
    </w:pPr>
    <w:rPr>
      <w:rFonts w:ascii="Times New Roman" w:hAnsi="Times New Roman" w:eastAsia="宋体;SimSun" w:cs="Times New Roman"/>
      <w:szCs w:val="24"/>
    </w:rPr>
  </w:style>
  <w:style w:type="table" w:styleId="40">
    <w:name w:val="Table Grid"/>
    <w:basedOn w:val="3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basedOn w:val="41"/>
    <w:semiHidden/>
    <w:unhideWhenUsed/>
    <w:qFormat/>
    <w:uiPriority w:val="99"/>
    <w:rPr>
      <w:vertAlign w:val="superscript"/>
    </w:rPr>
  </w:style>
  <w:style w:type="character" w:styleId="44">
    <w:name w:val="FollowedHyperlink"/>
    <w:qFormat/>
    <w:uiPriority w:val="0"/>
    <w:rPr>
      <w:color w:val="800080"/>
      <w:u w:val="single"/>
    </w:rPr>
  </w:style>
  <w:style w:type="character" w:styleId="45">
    <w:name w:val="Emphasis"/>
    <w:qFormat/>
    <w:uiPriority w:val="0"/>
    <w:rPr>
      <w:i/>
    </w:rPr>
  </w:style>
  <w:style w:type="character" w:styleId="46">
    <w:name w:val="Hyperlink"/>
    <w:qFormat/>
    <w:uiPriority w:val="0"/>
    <w:rPr>
      <w:color w:val="0000FF"/>
      <w:u w:val="none"/>
    </w:rPr>
  </w:style>
  <w:style w:type="character" w:styleId="47">
    <w:name w:val="footnote reference"/>
    <w:basedOn w:val="41"/>
    <w:unhideWhenUsed/>
    <w:qFormat/>
    <w:uiPriority w:val="99"/>
    <w:rPr>
      <w:vertAlign w:val="superscript"/>
    </w:rPr>
  </w:style>
  <w:style w:type="character" w:customStyle="1" w:styleId="48">
    <w:name w:val="Title Char"/>
    <w:basedOn w:val="41"/>
    <w:link w:val="36"/>
    <w:qFormat/>
    <w:uiPriority w:val="10"/>
    <w:rPr>
      <w:sz w:val="48"/>
      <w:szCs w:val="48"/>
    </w:rPr>
  </w:style>
  <w:style w:type="character" w:customStyle="1" w:styleId="49">
    <w:name w:val="Subtitle Char"/>
    <w:basedOn w:val="41"/>
    <w:qFormat/>
    <w:uiPriority w:val="11"/>
    <w:rPr>
      <w:sz w:val="24"/>
      <w:szCs w:val="24"/>
    </w:rPr>
  </w:style>
  <w:style w:type="character" w:customStyle="1" w:styleId="50">
    <w:name w:val="Quote Char"/>
    <w:qFormat/>
    <w:uiPriority w:val="29"/>
    <w:rPr>
      <w:i/>
    </w:rPr>
  </w:style>
  <w:style w:type="character" w:customStyle="1" w:styleId="51">
    <w:name w:val="Intense Quote Char"/>
    <w:qFormat/>
    <w:uiPriority w:val="30"/>
    <w:rPr>
      <w:i/>
    </w:rPr>
  </w:style>
  <w:style w:type="table" w:customStyle="1" w:styleId="52">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3">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1 Light - Accent 1"/>
    <w:basedOn w:val="3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60">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1">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2">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3">
    <w:name w:val="Grid Table 1 Light - Accent 5"/>
    <w:basedOn w:val="3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64">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5">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2 - Accent 1"/>
    <w:basedOn w:val="3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7">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8">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9">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0">
    <w:name w:val="Grid Table 2 - Accent 5"/>
    <w:basedOn w:val="3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1">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2">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 Accent 1"/>
    <w:basedOn w:val="3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4">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3 - Accent 5"/>
    <w:basedOn w:val="3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8">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 Accent 1"/>
    <w:basedOn w:val="39"/>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81">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4 - Accent 5"/>
    <w:basedOn w:val="39"/>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5">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88">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89">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0">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1">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92">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3">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Grid Table 6 Colorful - Accent 1"/>
    <w:basedOn w:val="39"/>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95">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6">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97">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8">
    <w:name w:val="Grid Table 6 Colorful - Accent 5"/>
    <w:basedOn w:val="39"/>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9">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00">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7 Colorful - Accent 1"/>
    <w:basedOn w:val="39"/>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2">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7 Colorful - Accent 5"/>
    <w:basedOn w:val="39"/>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06">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07">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8">
    <w:name w:val="List Table 1 Light - Accent 1"/>
    <w:basedOn w:val="39"/>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09">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0">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1">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2">
    <w:name w:val="List Table 1 Light - Accent 5"/>
    <w:basedOn w:val="39"/>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13">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4">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List Table 2 - Accent 1"/>
    <w:basedOn w:val="39"/>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6">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7">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8">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9">
    <w:name w:val="List Table 2 - Accent 5"/>
    <w:basedOn w:val="39"/>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0">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1">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2">
    <w:name w:val="List Table 3 - Accent 1"/>
    <w:basedOn w:val="39"/>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23">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4">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25">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26">
    <w:name w:val="List Table 3 - Accent 5"/>
    <w:basedOn w:val="39"/>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27">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28">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4 - Accent 1"/>
    <w:basedOn w:val="39"/>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0">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4 - Accent 5"/>
    <w:basedOn w:val="39"/>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4">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6">
    <w:name w:val="List Table 5 Dark - Accent 1"/>
    <w:basedOn w:val="39"/>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37">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38">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39">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0">
    <w:name w:val="List Table 5 Dark - Accent 5"/>
    <w:basedOn w:val="39"/>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41">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2">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3">
    <w:name w:val="List Table 6 Colorful - Accent 1"/>
    <w:basedOn w:val="39"/>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44">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6">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List Table 6 Colorful - Accent 5"/>
    <w:basedOn w:val="39"/>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8">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9">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List Table 7 Colorful - Accent 1"/>
    <w:basedOn w:val="39"/>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1">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7 Colorful - Accent 5"/>
    <w:basedOn w:val="39"/>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5">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Lined - Accent 1"/>
    <w:basedOn w:val="39"/>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8">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9">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0">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1">
    <w:name w:val="Lined - Accent 5"/>
    <w:basedOn w:val="39"/>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62">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3">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Bordered &amp; Lined - Accent 1"/>
    <w:basedOn w:val="39"/>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5">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Bordered &amp; Lined - Accent 5"/>
    <w:basedOn w:val="39"/>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69">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1">
    <w:name w:val="Bordered - Accent 1"/>
    <w:basedOn w:val="3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72">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3">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4">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5">
    <w:name w:val="Bordered - Accent 5"/>
    <w:basedOn w:val="3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76">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77">
    <w:name w:val="Footnote Text Char"/>
    <w:qFormat/>
    <w:uiPriority w:val="99"/>
    <w:rPr>
      <w:sz w:val="18"/>
    </w:rPr>
  </w:style>
  <w:style w:type="character" w:customStyle="1" w:styleId="178">
    <w:name w:val="Endnote Text Char"/>
    <w:qFormat/>
    <w:uiPriority w:val="99"/>
    <w:rPr>
      <w:sz w:val="20"/>
    </w:rPr>
  </w:style>
  <w:style w:type="paragraph" w:customStyle="1" w:styleId="179">
    <w:name w:val="TOC Heading"/>
    <w:unhideWhenUsed/>
    <w:qFormat/>
    <w:uiPriority w:val="39"/>
    <w:rPr>
      <w:rFonts w:hint="default" w:ascii="Liberation Serif" w:hAnsi="Liberation Serif" w:cs="Lohit Devanagari" w:eastAsiaTheme="minorEastAsia"/>
    </w:rPr>
  </w:style>
  <w:style w:type="character" w:customStyle="1" w:styleId="180">
    <w:name w:val="WW8Num2z1"/>
    <w:qFormat/>
    <w:uiPriority w:val="0"/>
    <w:rPr>
      <w:rFonts w:ascii="Courier New" w:hAnsi="Courier New" w:cs="Courier New"/>
    </w:rPr>
  </w:style>
  <w:style w:type="character" w:customStyle="1" w:styleId="181">
    <w:name w:val="WW8Num2z2"/>
    <w:qFormat/>
    <w:uiPriority w:val="0"/>
    <w:rPr>
      <w:rFonts w:ascii="Wingdings" w:hAnsi="Wingdings" w:cs="Wingdings"/>
    </w:rPr>
  </w:style>
  <w:style w:type="character" w:customStyle="1" w:styleId="182">
    <w:name w:val="WW8Num2z3"/>
    <w:qFormat/>
    <w:uiPriority w:val="0"/>
    <w:rPr>
      <w:rFonts w:ascii="Symbol" w:hAnsi="Symbol" w:cs="Symbol"/>
    </w:rPr>
  </w:style>
  <w:style w:type="character" w:customStyle="1" w:styleId="183">
    <w:name w:val="WW8Num3z1"/>
    <w:qFormat/>
    <w:uiPriority w:val="0"/>
    <w:rPr>
      <w:rFonts w:ascii="Courier New" w:hAnsi="Courier New" w:cs="Courier New"/>
    </w:rPr>
  </w:style>
  <w:style w:type="character" w:customStyle="1" w:styleId="184">
    <w:name w:val="WW8Num3z2"/>
    <w:qFormat/>
    <w:uiPriority w:val="0"/>
    <w:rPr>
      <w:rFonts w:ascii="Wingdings" w:hAnsi="Wingdings" w:cs="Wingdings"/>
    </w:rPr>
  </w:style>
  <w:style w:type="character" w:customStyle="1" w:styleId="185">
    <w:name w:val="WW8Num3z3"/>
    <w:qFormat/>
    <w:uiPriority w:val="0"/>
    <w:rPr>
      <w:rFonts w:ascii="Symbol" w:hAnsi="Symbol" w:cs="Symbol"/>
    </w:rPr>
  </w:style>
  <w:style w:type="character" w:customStyle="1" w:styleId="186">
    <w:name w:val="WW8Num5z1"/>
    <w:qFormat/>
    <w:uiPriority w:val="0"/>
    <w:rPr>
      <w:rFonts w:ascii="Courier New" w:hAnsi="Courier New" w:cs="Courier New"/>
    </w:rPr>
  </w:style>
  <w:style w:type="character" w:customStyle="1" w:styleId="187">
    <w:name w:val="WW8Num5z2"/>
    <w:qFormat/>
    <w:uiPriority w:val="0"/>
    <w:rPr>
      <w:rFonts w:ascii="Wingdings" w:hAnsi="Wingdings" w:cs="Wingdings"/>
    </w:rPr>
  </w:style>
  <w:style w:type="character" w:customStyle="1" w:styleId="188">
    <w:name w:val="WW8Num5z3"/>
    <w:qFormat/>
    <w:uiPriority w:val="0"/>
    <w:rPr>
      <w:rFonts w:ascii="Symbol" w:hAnsi="Symbol" w:cs="Symbol"/>
    </w:rPr>
  </w:style>
  <w:style w:type="character" w:customStyle="1" w:styleId="189">
    <w:name w:val="WW8Num6z1"/>
    <w:qFormat/>
    <w:uiPriority w:val="0"/>
    <w:rPr>
      <w:rFonts w:ascii="Courier New" w:hAnsi="Courier New" w:cs="Courier New"/>
    </w:rPr>
  </w:style>
  <w:style w:type="character" w:customStyle="1" w:styleId="190">
    <w:name w:val="WW8Num6z2"/>
    <w:qFormat/>
    <w:uiPriority w:val="0"/>
    <w:rPr>
      <w:rFonts w:ascii="Wingdings" w:hAnsi="Wingdings" w:cs="Wingdings"/>
    </w:rPr>
  </w:style>
  <w:style w:type="character" w:customStyle="1" w:styleId="191">
    <w:name w:val="WW8Num6z3"/>
    <w:qFormat/>
    <w:uiPriority w:val="0"/>
    <w:rPr>
      <w:rFonts w:ascii="Symbol" w:hAnsi="Symbol" w:cs="Symbol"/>
    </w:rPr>
  </w:style>
  <w:style w:type="character" w:customStyle="1" w:styleId="192">
    <w:name w:val="WW8Num7z1"/>
    <w:qFormat/>
    <w:uiPriority w:val="0"/>
    <w:rPr>
      <w:rFonts w:ascii="Courier New" w:hAnsi="Courier New" w:cs="Courier New"/>
    </w:rPr>
  </w:style>
  <w:style w:type="character" w:customStyle="1" w:styleId="193">
    <w:name w:val="WW8Num7z2"/>
    <w:qFormat/>
    <w:uiPriority w:val="0"/>
    <w:rPr>
      <w:rFonts w:ascii="Wingdings" w:hAnsi="Wingdings" w:cs="Wingdings"/>
    </w:rPr>
  </w:style>
  <w:style w:type="character" w:customStyle="1" w:styleId="194">
    <w:name w:val="WW8Num7z3"/>
    <w:qFormat/>
    <w:uiPriority w:val="0"/>
    <w:rPr>
      <w:rFonts w:ascii="Symbol" w:hAnsi="Symbol" w:cs="Symbol"/>
    </w:rPr>
  </w:style>
  <w:style w:type="character" w:customStyle="1" w:styleId="195">
    <w:name w:val="WW8Num1z0"/>
    <w:qFormat/>
    <w:uiPriority w:val="0"/>
  </w:style>
  <w:style w:type="character" w:customStyle="1" w:styleId="196">
    <w:name w:val="WW8Num1z1"/>
    <w:qFormat/>
    <w:uiPriority w:val="0"/>
    <w:rPr>
      <w:rFonts w:ascii="Courier New" w:hAnsi="Courier New" w:eastAsia="Courier New" w:cs="Courier New"/>
    </w:rPr>
  </w:style>
  <w:style w:type="character" w:customStyle="1" w:styleId="197">
    <w:name w:val="WW8Num1z2"/>
    <w:qFormat/>
    <w:uiPriority w:val="0"/>
    <w:rPr>
      <w:rFonts w:ascii="Wingdings" w:hAnsi="Wingdings" w:eastAsia="Wingdings" w:cs="Wingdings"/>
    </w:rPr>
  </w:style>
  <w:style w:type="character" w:customStyle="1" w:styleId="198">
    <w:name w:val="WW8Num1z3"/>
    <w:qFormat/>
    <w:uiPriority w:val="0"/>
    <w:rPr>
      <w:rFonts w:ascii="Symbol" w:hAnsi="Symbol" w:eastAsia="Symbol" w:cs="Symbol"/>
    </w:rPr>
  </w:style>
  <w:style w:type="character" w:customStyle="1" w:styleId="199">
    <w:name w:val="WW8Num3z0"/>
    <w:qFormat/>
    <w:uiPriority w:val="0"/>
  </w:style>
  <w:style w:type="character" w:customStyle="1" w:styleId="200">
    <w:name w:val="WW8Num4z1"/>
    <w:qFormat/>
    <w:uiPriority w:val="0"/>
    <w:rPr>
      <w:rFonts w:ascii="Courier New" w:hAnsi="Courier New" w:eastAsia="Courier New" w:cs="Courier New"/>
    </w:rPr>
  </w:style>
  <w:style w:type="character" w:customStyle="1" w:styleId="201">
    <w:name w:val="WW8Num4z2"/>
    <w:qFormat/>
    <w:uiPriority w:val="0"/>
    <w:rPr>
      <w:rFonts w:ascii="Wingdings" w:hAnsi="Wingdings" w:eastAsia="Wingdings" w:cs="Wingdings"/>
    </w:rPr>
  </w:style>
  <w:style w:type="character" w:customStyle="1" w:styleId="202">
    <w:name w:val="WW8Num4z3"/>
    <w:qFormat/>
    <w:uiPriority w:val="0"/>
    <w:rPr>
      <w:rFonts w:ascii="Symbol" w:hAnsi="Symbol" w:eastAsia="Symbol" w:cs="Symbol"/>
    </w:rPr>
  </w:style>
  <w:style w:type="character" w:customStyle="1" w:styleId="203">
    <w:name w:val="默认段落字体1"/>
    <w:qFormat/>
    <w:uiPriority w:val="0"/>
  </w:style>
  <w:style w:type="character" w:customStyle="1" w:styleId="204">
    <w:name w:val="文档结构图 字符"/>
    <w:qFormat/>
    <w:uiPriority w:val="0"/>
    <w:rPr>
      <w:rFonts w:ascii="宋体;SimSun" w:hAnsi="宋体;SimSun" w:eastAsia="宋体;SimSun" w:cs="宋体;SimSun"/>
      <w:sz w:val="18"/>
      <w:szCs w:val="18"/>
    </w:rPr>
  </w:style>
  <w:style w:type="character" w:customStyle="1" w:styleId="205">
    <w:name w:val="批注文字 字符"/>
    <w:qFormat/>
    <w:uiPriority w:val="0"/>
    <w:rPr>
      <w:rFonts w:ascii="Times New Roman" w:hAnsi="Times New Roman" w:eastAsia="宋体;SimSun" w:cs="Times New Roman"/>
      <w:szCs w:val="24"/>
    </w:rPr>
  </w:style>
  <w:style w:type="character" w:customStyle="1" w:styleId="206">
    <w:name w:val="正文文本缩进 字符"/>
    <w:qFormat/>
    <w:uiPriority w:val="0"/>
    <w:rPr>
      <w:rFonts w:eastAsia="仿宋_GB2312"/>
      <w:sz w:val="30"/>
      <w:szCs w:val="30"/>
    </w:rPr>
  </w:style>
  <w:style w:type="character" w:customStyle="1" w:styleId="207">
    <w:name w:val="纯文本 字符"/>
    <w:qFormat/>
    <w:uiPriority w:val="0"/>
    <w:rPr>
      <w:rFonts w:ascii="宋体;SimSun" w:hAnsi="宋体;SimSun" w:eastAsia="宋体;SimSun" w:cs="Times New Roman"/>
      <w:szCs w:val="20"/>
    </w:rPr>
  </w:style>
  <w:style w:type="character" w:customStyle="1" w:styleId="208">
    <w:name w:val="日期 字符"/>
    <w:qFormat/>
    <w:uiPriority w:val="0"/>
  </w:style>
  <w:style w:type="character" w:customStyle="1" w:styleId="209">
    <w:name w:val="尾注文本 字符"/>
    <w:qFormat/>
    <w:uiPriority w:val="0"/>
    <w:rPr>
      <w:sz w:val="20"/>
    </w:rPr>
  </w:style>
  <w:style w:type="character" w:customStyle="1" w:styleId="210">
    <w:name w:val="批注框文本 字符"/>
    <w:qFormat/>
    <w:uiPriority w:val="0"/>
    <w:rPr>
      <w:sz w:val="18"/>
      <w:szCs w:val="18"/>
    </w:rPr>
  </w:style>
  <w:style w:type="character" w:customStyle="1" w:styleId="211">
    <w:name w:val="页脚 字符"/>
    <w:qFormat/>
    <w:uiPriority w:val="0"/>
    <w:rPr>
      <w:rFonts w:ascii="Calibri" w:hAnsi="Calibri" w:eastAsia="Arial" w:cs="Arial"/>
      <w:sz w:val="18"/>
      <w:szCs w:val="18"/>
    </w:rPr>
  </w:style>
  <w:style w:type="character" w:customStyle="1" w:styleId="212">
    <w:name w:val="页眉 字符"/>
    <w:qFormat/>
    <w:uiPriority w:val="0"/>
    <w:rPr>
      <w:rFonts w:ascii="Calibri" w:hAnsi="Calibri" w:eastAsia="Arial" w:cs="Arial"/>
      <w:sz w:val="18"/>
      <w:szCs w:val="18"/>
    </w:rPr>
  </w:style>
  <w:style w:type="character" w:customStyle="1" w:styleId="213">
    <w:name w:val="副标题 字符"/>
    <w:qFormat/>
    <w:uiPriority w:val="0"/>
    <w:rPr>
      <w:sz w:val="24"/>
      <w:szCs w:val="24"/>
    </w:rPr>
  </w:style>
  <w:style w:type="character" w:customStyle="1" w:styleId="214">
    <w:name w:val="脚注文本 字符"/>
    <w:qFormat/>
    <w:uiPriority w:val="0"/>
    <w:rPr>
      <w:sz w:val="18"/>
    </w:rPr>
  </w:style>
  <w:style w:type="character" w:customStyle="1" w:styleId="215">
    <w:name w:val="标题 字符"/>
    <w:qFormat/>
    <w:uiPriority w:val="0"/>
    <w:rPr>
      <w:sz w:val="48"/>
      <w:szCs w:val="48"/>
    </w:rPr>
  </w:style>
  <w:style w:type="character" w:customStyle="1" w:styleId="216">
    <w:name w:val="批注主题 字符"/>
    <w:qFormat/>
    <w:uiPriority w:val="0"/>
    <w:rPr>
      <w:b/>
      <w:bCs/>
    </w:rPr>
  </w:style>
  <w:style w:type="character" w:customStyle="1" w:styleId="217">
    <w:name w:val="Strong Emphasis"/>
    <w:qFormat/>
    <w:uiPriority w:val="0"/>
    <w:rPr>
      <w:b/>
    </w:rPr>
  </w:style>
  <w:style w:type="character" w:customStyle="1" w:styleId="218">
    <w:name w:val="Endnote Characters"/>
    <w:qFormat/>
    <w:uiPriority w:val="0"/>
    <w:rPr>
      <w:vertAlign w:val="superscript"/>
    </w:rPr>
  </w:style>
  <w:style w:type="character" w:customStyle="1" w:styleId="219">
    <w:name w:val="批注引用1"/>
    <w:qFormat/>
    <w:uiPriority w:val="0"/>
    <w:rPr>
      <w:sz w:val="21"/>
      <w:szCs w:val="21"/>
    </w:rPr>
  </w:style>
  <w:style w:type="character" w:customStyle="1" w:styleId="220">
    <w:name w:val="Footnote Characters"/>
    <w:qFormat/>
    <w:uiPriority w:val="0"/>
    <w:rPr>
      <w:vertAlign w:val="superscript"/>
    </w:rPr>
  </w:style>
  <w:style w:type="character" w:customStyle="1" w:styleId="221">
    <w:name w:val="标题 1 Char"/>
    <w:qFormat/>
    <w:uiPriority w:val="0"/>
    <w:rPr>
      <w:b/>
      <w:bCs/>
      <w:sz w:val="44"/>
      <w:szCs w:val="44"/>
    </w:rPr>
  </w:style>
  <w:style w:type="character" w:customStyle="1" w:styleId="222">
    <w:name w:val="标题 2 Char"/>
    <w:qFormat/>
    <w:uiPriority w:val="0"/>
    <w:rPr>
      <w:rFonts w:ascii="Cambria" w:hAnsi="Cambria" w:eastAsia="Arial" w:cs="Arial"/>
      <w:b/>
      <w:bCs/>
      <w:sz w:val="32"/>
      <w:szCs w:val="32"/>
    </w:rPr>
  </w:style>
  <w:style w:type="character" w:customStyle="1" w:styleId="223">
    <w:name w:val="标题 3 Char"/>
    <w:qFormat/>
    <w:uiPriority w:val="0"/>
    <w:rPr>
      <w:b/>
      <w:bCs/>
      <w:sz w:val="32"/>
      <w:szCs w:val="32"/>
    </w:rPr>
  </w:style>
  <w:style w:type="character" w:customStyle="1" w:styleId="224">
    <w:name w:val="Heading 4 Char"/>
    <w:qFormat/>
    <w:uiPriority w:val="0"/>
    <w:rPr>
      <w:rFonts w:ascii="Arial" w:hAnsi="Arial" w:eastAsia="Arial" w:cs="Arial"/>
      <w:b/>
      <w:bCs/>
      <w:sz w:val="26"/>
      <w:szCs w:val="26"/>
    </w:rPr>
  </w:style>
  <w:style w:type="character" w:customStyle="1" w:styleId="225">
    <w:name w:val="Heading 5 Char"/>
    <w:qFormat/>
    <w:uiPriority w:val="0"/>
    <w:rPr>
      <w:rFonts w:ascii="Arial" w:hAnsi="Arial" w:eastAsia="Arial" w:cs="Arial"/>
      <w:b/>
      <w:bCs/>
      <w:sz w:val="24"/>
      <w:szCs w:val="24"/>
    </w:rPr>
  </w:style>
  <w:style w:type="character" w:customStyle="1" w:styleId="226">
    <w:name w:val="Heading 6 Char"/>
    <w:qFormat/>
    <w:uiPriority w:val="0"/>
    <w:rPr>
      <w:rFonts w:ascii="Arial" w:hAnsi="Arial" w:eastAsia="Arial" w:cs="Arial"/>
      <w:b/>
      <w:bCs/>
      <w:sz w:val="22"/>
      <w:szCs w:val="22"/>
    </w:rPr>
  </w:style>
  <w:style w:type="character" w:customStyle="1" w:styleId="227">
    <w:name w:val="Heading 7 Char"/>
    <w:qFormat/>
    <w:uiPriority w:val="0"/>
    <w:rPr>
      <w:rFonts w:ascii="Arial" w:hAnsi="Arial" w:eastAsia="Arial" w:cs="Arial"/>
      <w:b/>
      <w:bCs/>
      <w:i/>
      <w:iCs/>
      <w:sz w:val="22"/>
      <w:szCs w:val="22"/>
    </w:rPr>
  </w:style>
  <w:style w:type="character" w:customStyle="1" w:styleId="228">
    <w:name w:val="Heading 8 Char"/>
    <w:qFormat/>
    <w:uiPriority w:val="0"/>
    <w:rPr>
      <w:rFonts w:ascii="Arial" w:hAnsi="Arial" w:eastAsia="Arial" w:cs="Arial"/>
      <w:i/>
      <w:iCs/>
      <w:sz w:val="22"/>
      <w:szCs w:val="22"/>
    </w:rPr>
  </w:style>
  <w:style w:type="character" w:customStyle="1" w:styleId="229">
    <w:name w:val="Heading 9 Char"/>
    <w:qFormat/>
    <w:uiPriority w:val="0"/>
    <w:rPr>
      <w:rFonts w:ascii="Arial" w:hAnsi="Arial" w:eastAsia="Arial" w:cs="Arial"/>
      <w:i/>
      <w:iCs/>
      <w:sz w:val="21"/>
      <w:szCs w:val="21"/>
    </w:rPr>
  </w:style>
  <w:style w:type="character" w:customStyle="1" w:styleId="230">
    <w:name w:val="页脚 Char"/>
    <w:qFormat/>
    <w:uiPriority w:val="0"/>
    <w:rPr>
      <w:sz w:val="18"/>
      <w:szCs w:val="18"/>
    </w:rPr>
  </w:style>
  <w:style w:type="character" w:customStyle="1" w:styleId="231">
    <w:name w:val="页眉 Char"/>
    <w:qFormat/>
    <w:uiPriority w:val="0"/>
    <w:rPr>
      <w:sz w:val="18"/>
      <w:szCs w:val="18"/>
    </w:rPr>
  </w:style>
  <w:style w:type="character" w:customStyle="1" w:styleId="232">
    <w:name w:val="Default Char"/>
    <w:qFormat/>
    <w:uiPriority w:val="0"/>
    <w:rPr>
      <w:rFonts w:ascii="MS Mincho;ＭＳ 明朝" w:hAnsi="MS Mincho;ＭＳ 明朝" w:eastAsia="宋体;SimSun" w:cs="Times New Roman"/>
      <w:color w:val="000000"/>
      <w:szCs w:val="24"/>
    </w:rPr>
  </w:style>
  <w:style w:type="character" w:customStyle="1" w:styleId="233">
    <w:name w:val="Heading 1 Char"/>
    <w:qFormat/>
    <w:uiPriority w:val="0"/>
    <w:rPr>
      <w:rFonts w:ascii="Arial" w:hAnsi="Arial" w:eastAsia="Arial" w:cs="Arial"/>
      <w:sz w:val="40"/>
      <w:szCs w:val="40"/>
    </w:rPr>
  </w:style>
  <w:style w:type="character" w:customStyle="1" w:styleId="234">
    <w:name w:val="Heading 2 Char"/>
    <w:qFormat/>
    <w:uiPriority w:val="0"/>
    <w:rPr>
      <w:rFonts w:ascii="Arial" w:hAnsi="Arial" w:eastAsia="Arial" w:cs="Arial"/>
      <w:sz w:val="34"/>
    </w:rPr>
  </w:style>
  <w:style w:type="character" w:customStyle="1" w:styleId="235">
    <w:name w:val="Heading 3 Char"/>
    <w:qFormat/>
    <w:uiPriority w:val="0"/>
    <w:rPr>
      <w:rFonts w:ascii="Arial" w:hAnsi="Arial" w:eastAsia="Arial" w:cs="Arial"/>
      <w:sz w:val="30"/>
      <w:szCs w:val="30"/>
    </w:rPr>
  </w:style>
  <w:style w:type="character" w:customStyle="1" w:styleId="236">
    <w:name w:val="引用 字符"/>
    <w:qFormat/>
    <w:uiPriority w:val="0"/>
    <w:rPr>
      <w:i/>
    </w:rPr>
  </w:style>
  <w:style w:type="character" w:customStyle="1" w:styleId="237">
    <w:name w:val="明显引用 字符"/>
    <w:qFormat/>
    <w:uiPriority w:val="0"/>
    <w:rPr>
      <w:i/>
    </w:rPr>
  </w:style>
  <w:style w:type="character" w:customStyle="1" w:styleId="238">
    <w:name w:val="Header Char"/>
    <w:qFormat/>
    <w:uiPriority w:val="0"/>
  </w:style>
  <w:style w:type="character" w:customStyle="1" w:styleId="239">
    <w:name w:val="Footer Char"/>
    <w:qFormat/>
    <w:uiPriority w:val="0"/>
  </w:style>
  <w:style w:type="character" w:customStyle="1" w:styleId="240">
    <w:name w:val="Caption Char"/>
    <w:qFormat/>
    <w:uiPriority w:val="0"/>
  </w:style>
  <w:style w:type="character" w:customStyle="1" w:styleId="241">
    <w:name w:val="15"/>
    <w:qFormat/>
    <w:uiPriority w:val="0"/>
    <w:rPr>
      <w:rFonts w:ascii="Times New Roman" w:hAnsi="Times New Roman" w:cs="Times New Roman"/>
    </w:rPr>
  </w:style>
  <w:style w:type="character" w:customStyle="1" w:styleId="242">
    <w:name w:val="font31"/>
    <w:qFormat/>
    <w:uiPriority w:val="0"/>
    <w:rPr>
      <w:rFonts w:ascii="方正仿宋_GBK;微软雅黑" w:hAnsi="方正仿宋_GBK;微软雅黑" w:eastAsia="方正仿宋_GBK;微软雅黑" w:cs="方正仿宋_GBK;微软雅黑"/>
      <w:color w:val="000000"/>
      <w:sz w:val="24"/>
      <w:szCs w:val="24"/>
      <w:u w:val="none"/>
    </w:rPr>
  </w:style>
  <w:style w:type="character" w:customStyle="1" w:styleId="243">
    <w:name w:val="font41"/>
    <w:qFormat/>
    <w:uiPriority w:val="0"/>
    <w:rPr>
      <w:rFonts w:ascii="Times New Roman" w:hAnsi="Times New Roman" w:cs="Times New Roman"/>
      <w:color w:val="000000"/>
      <w:sz w:val="24"/>
      <w:szCs w:val="24"/>
      <w:u w:val="none"/>
    </w:rPr>
  </w:style>
  <w:style w:type="character" w:customStyle="1" w:styleId="244">
    <w:name w:val="font51"/>
    <w:qFormat/>
    <w:uiPriority w:val="0"/>
    <w:rPr>
      <w:rFonts w:ascii="方正仿宋_GBK;微软雅黑" w:hAnsi="方正仿宋_GBK;微软雅黑" w:eastAsia="方正仿宋_GBK;微软雅黑" w:cs="方正仿宋_GBK;微软雅黑"/>
      <w:color w:val="333333"/>
      <w:sz w:val="24"/>
      <w:szCs w:val="24"/>
      <w:u w:val="none"/>
    </w:rPr>
  </w:style>
  <w:style w:type="character" w:customStyle="1" w:styleId="245">
    <w:name w:val="font61"/>
    <w:qFormat/>
    <w:uiPriority w:val="0"/>
    <w:rPr>
      <w:rFonts w:ascii="Times New Roman" w:hAnsi="Times New Roman" w:cs="Times New Roman"/>
      <w:color w:val="333333"/>
      <w:sz w:val="24"/>
      <w:szCs w:val="24"/>
      <w:u w:val="none"/>
    </w:rPr>
  </w:style>
  <w:style w:type="character" w:customStyle="1" w:styleId="246">
    <w:name w:val="font81"/>
    <w:qFormat/>
    <w:uiPriority w:val="0"/>
    <w:rPr>
      <w:rFonts w:ascii="Times New Roman" w:hAnsi="Times New Roman" w:cs="Times New Roman"/>
      <w:color w:val="000000"/>
      <w:sz w:val="28"/>
      <w:szCs w:val="28"/>
      <w:u w:val="none"/>
    </w:rPr>
  </w:style>
  <w:style w:type="character" w:customStyle="1" w:styleId="247">
    <w:name w:val="font71"/>
    <w:qFormat/>
    <w:uiPriority w:val="0"/>
    <w:rPr>
      <w:rFonts w:ascii="方正仿宋_GBK;微软雅黑" w:hAnsi="方正仿宋_GBK;微软雅黑" w:eastAsia="方正仿宋_GBK;微软雅黑" w:cs="方正仿宋_GBK;微软雅黑"/>
      <w:color w:val="000000"/>
      <w:sz w:val="28"/>
      <w:szCs w:val="28"/>
      <w:u w:val="none"/>
    </w:rPr>
  </w:style>
  <w:style w:type="character" w:customStyle="1" w:styleId="248">
    <w:name w:val="NormalCharacter"/>
    <w:qFormat/>
    <w:uiPriority w:val="0"/>
    <w:rPr>
      <w:sz w:val="20"/>
      <w:szCs w:val="20"/>
    </w:rPr>
  </w:style>
  <w:style w:type="character" w:customStyle="1" w:styleId="249">
    <w:name w:val="font141"/>
    <w:qFormat/>
    <w:uiPriority w:val="0"/>
    <w:rPr>
      <w:rFonts w:ascii="仿宋" w:hAnsi="仿宋" w:eastAsia="仿宋" w:cs="仿宋"/>
      <w:color w:val="000000"/>
      <w:sz w:val="22"/>
      <w:szCs w:val="22"/>
      <w:u w:val="none"/>
    </w:rPr>
  </w:style>
  <w:style w:type="character" w:customStyle="1" w:styleId="250">
    <w:name w:val="Index Link"/>
    <w:qFormat/>
    <w:uiPriority w:val="0"/>
  </w:style>
  <w:style w:type="paragraph" w:customStyle="1" w:styleId="251">
    <w:name w:val="Index"/>
    <w:basedOn w:val="1"/>
    <w:qFormat/>
    <w:uiPriority w:val="0"/>
    <w:pPr>
      <w:suppressLineNumbers/>
    </w:pPr>
    <w:rPr>
      <w:rFonts w:cs="Lohit Devanagari"/>
    </w:rPr>
  </w:style>
  <w:style w:type="paragraph" w:customStyle="1" w:styleId="252">
    <w:name w:val="正文缩进1"/>
    <w:basedOn w:val="1"/>
    <w:qFormat/>
    <w:uiPriority w:val="0"/>
    <w:pPr>
      <w:ind w:firstLine="420"/>
    </w:pPr>
    <w:rPr>
      <w:szCs w:val="20"/>
    </w:rPr>
  </w:style>
  <w:style w:type="paragraph" w:customStyle="1" w:styleId="253">
    <w:name w:val="文档结构图1"/>
    <w:basedOn w:val="1"/>
    <w:qFormat/>
    <w:uiPriority w:val="0"/>
    <w:rPr>
      <w:rFonts w:ascii="宋体;SimSun" w:hAnsi="宋体;SimSun" w:eastAsia="宋体;SimSun" w:cs="宋体;SimSun"/>
      <w:sz w:val="18"/>
      <w:szCs w:val="18"/>
    </w:rPr>
  </w:style>
  <w:style w:type="paragraph" w:customStyle="1" w:styleId="254">
    <w:name w:val="引文目录标题1"/>
    <w:next w:val="1"/>
    <w:qFormat/>
    <w:uiPriority w:val="0"/>
    <w:pPr>
      <w:widowControl w:val="0"/>
      <w:spacing w:before="120"/>
      <w:jc w:val="both"/>
    </w:pPr>
    <w:rPr>
      <w:rFonts w:hint="default" w:ascii="Arial" w:hAnsi="Arial" w:eastAsia="宋体;SimSun" w:cs="Arial"/>
      <w:sz w:val="24"/>
      <w:szCs w:val="24"/>
      <w:lang w:val="en-US" w:eastAsia="zh-CN" w:bidi="ar-SA"/>
    </w:rPr>
  </w:style>
  <w:style w:type="paragraph" w:customStyle="1" w:styleId="255">
    <w:name w:val="纯文本2"/>
    <w:basedOn w:val="1"/>
    <w:qFormat/>
    <w:uiPriority w:val="0"/>
    <w:rPr>
      <w:rFonts w:ascii="宋体;SimSun" w:hAnsi="宋体;SimSun" w:eastAsia="宋体;SimSun" w:cs="Times New Roman"/>
      <w:szCs w:val="20"/>
    </w:rPr>
  </w:style>
  <w:style w:type="paragraph" w:customStyle="1" w:styleId="256">
    <w:name w:val="日期1"/>
    <w:basedOn w:val="1"/>
    <w:next w:val="1"/>
    <w:qFormat/>
    <w:uiPriority w:val="0"/>
    <w:pPr>
      <w:ind w:left="100"/>
    </w:pPr>
  </w:style>
  <w:style w:type="paragraph" w:customStyle="1" w:styleId="257">
    <w:name w:val="Header and Footer"/>
    <w:basedOn w:val="1"/>
    <w:qFormat/>
    <w:uiPriority w:val="0"/>
    <w:pPr>
      <w:suppressLineNumbers/>
      <w:tabs>
        <w:tab w:val="center" w:pos="4986"/>
        <w:tab w:val="right" w:pos="9972"/>
      </w:tabs>
    </w:pPr>
  </w:style>
  <w:style w:type="paragraph" w:customStyle="1" w:styleId="258">
    <w:name w:val="图表目录1"/>
    <w:basedOn w:val="1"/>
    <w:next w:val="1"/>
    <w:qFormat/>
    <w:uiPriority w:val="0"/>
  </w:style>
  <w:style w:type="paragraph" w:customStyle="1" w:styleId="259">
    <w:name w:val="正文文本首行缩进1"/>
    <w:basedOn w:val="14"/>
    <w:qFormat/>
    <w:uiPriority w:val="0"/>
    <w:pPr>
      <w:ind w:firstLine="420"/>
    </w:pPr>
  </w:style>
  <w:style w:type="paragraph" w:customStyle="1" w:styleId="260">
    <w:name w:val="正文文本首行缩进 21"/>
    <w:basedOn w:val="15"/>
    <w:qFormat/>
    <w:uiPriority w:val="0"/>
    <w:pPr>
      <w:spacing w:after="120"/>
      <w:ind w:left="420" w:firstLine="210"/>
    </w:pPr>
  </w:style>
  <w:style w:type="paragraph" w:customStyle="1" w:styleId="261">
    <w:name w:val="正文1"/>
    <w:basedOn w:val="252"/>
    <w:qFormat/>
    <w:uiPriority w:val="0"/>
    <w:rPr>
      <w:rFonts w:eastAsia="宋体;SimSun" w:cs="Times New Roman"/>
      <w:szCs w:val="21"/>
    </w:rPr>
  </w:style>
  <w:style w:type="paragraph" w:customStyle="1" w:styleId="262">
    <w:name w:val="WW-Footer"/>
    <w:basedOn w:val="1"/>
    <w:qFormat/>
    <w:uiPriority w:val="0"/>
    <w:pPr>
      <w:tabs>
        <w:tab w:val="center" w:pos="4153"/>
        <w:tab w:val="right" w:pos="8306"/>
      </w:tabs>
      <w:jc w:val="left"/>
    </w:pPr>
    <w:rPr>
      <w:sz w:val="18"/>
      <w:szCs w:val="18"/>
    </w:rPr>
  </w:style>
  <w:style w:type="paragraph" w:customStyle="1" w:styleId="263">
    <w:name w:val="WW-Header"/>
    <w:basedOn w:val="1"/>
    <w:qFormat/>
    <w:uiPriority w:val="0"/>
    <w:pPr>
      <w:pBdr>
        <w:bottom w:val="single" w:color="000000" w:sz="6" w:space="1"/>
      </w:pBdr>
      <w:tabs>
        <w:tab w:val="center" w:pos="4153"/>
        <w:tab w:val="right" w:pos="8306"/>
      </w:tabs>
      <w:jc w:val="center"/>
    </w:pPr>
    <w:rPr>
      <w:sz w:val="18"/>
      <w:szCs w:val="18"/>
    </w:rPr>
  </w:style>
  <w:style w:type="paragraph" w:customStyle="1" w:styleId="264">
    <w:name w:val="Default"/>
    <w:qFormat/>
    <w:uiPriority w:val="0"/>
    <w:pPr>
      <w:widowControl w:val="0"/>
    </w:pPr>
    <w:rPr>
      <w:rFonts w:hint="default" w:ascii="MS Mincho;ＭＳ 明朝" w:hAnsi="MS Mincho;ＭＳ 明朝" w:eastAsia="宋体;SimSun" w:cs="Calibri"/>
      <w:color w:val="000000"/>
      <w:sz w:val="21"/>
      <w:szCs w:val="24"/>
      <w:lang w:val="en-US" w:eastAsia="zh-CN" w:bidi="ar-SA"/>
    </w:rPr>
  </w:style>
  <w:style w:type="paragraph" w:styleId="265">
    <w:name w:val="List Paragraph"/>
    <w:basedOn w:val="1"/>
    <w:qFormat/>
    <w:uiPriority w:val="0"/>
    <w:pPr>
      <w:ind w:left="720"/>
      <w:contextualSpacing/>
    </w:pPr>
  </w:style>
  <w:style w:type="paragraph" w:styleId="266">
    <w:name w:val="No Spacing"/>
    <w:qFormat/>
    <w:uiPriority w:val="0"/>
    <w:rPr>
      <w:rFonts w:hint="default" w:ascii="Calibri" w:hAnsi="Calibri" w:eastAsia="Arial" w:cs="Arial"/>
      <w:sz w:val="20"/>
      <w:szCs w:val="20"/>
      <w:lang w:val="en-US" w:eastAsia="zh-CN" w:bidi="ar-SA"/>
    </w:rPr>
  </w:style>
  <w:style w:type="paragraph" w:styleId="267">
    <w:name w:val="Quote"/>
    <w:basedOn w:val="1"/>
    <w:next w:val="1"/>
    <w:qFormat/>
    <w:uiPriority w:val="0"/>
    <w:pPr>
      <w:ind w:left="720" w:right="720"/>
    </w:pPr>
    <w:rPr>
      <w:i/>
    </w:rPr>
  </w:style>
  <w:style w:type="paragraph" w:styleId="268">
    <w:name w:val="Intense Quote"/>
    <w:basedOn w:val="1"/>
    <w:next w:val="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269">
    <w:name w:val="UserStyle_0"/>
    <w:basedOn w:val="1"/>
    <w:qFormat/>
    <w:uiPriority w:val="0"/>
    <w:pPr>
      <w:widowControl/>
    </w:pPr>
    <w:rPr>
      <w:sz w:val="20"/>
      <w:szCs w:val="20"/>
    </w:rPr>
  </w:style>
  <w:style w:type="paragraph" w:customStyle="1" w:styleId="270">
    <w:name w:val="纯文本1"/>
    <w:qFormat/>
    <w:uiPriority w:val="0"/>
    <w:pPr>
      <w:widowControl w:val="0"/>
      <w:jc w:val="both"/>
    </w:pPr>
    <w:rPr>
      <w:rFonts w:hint="default" w:ascii="宋体;SimSun" w:hAnsi="宋体;SimSun" w:eastAsia="宋体;SimSun" w:cs="Courier New"/>
      <w:sz w:val="21"/>
      <w:szCs w:val="20"/>
      <w:lang w:val="en-US" w:eastAsia="zh-CN" w:bidi="ar-SA"/>
    </w:rPr>
  </w:style>
  <w:style w:type="paragraph" w:customStyle="1" w:styleId="271">
    <w:name w:val="正文文本1"/>
    <w:next w:val="1"/>
    <w:qFormat/>
    <w:uiPriority w:val="0"/>
    <w:pPr>
      <w:widowControl w:val="0"/>
      <w:spacing w:after="120"/>
      <w:jc w:val="both"/>
    </w:pPr>
    <w:rPr>
      <w:rFonts w:hint="default" w:ascii="Times New Roman" w:hAnsi="Times New Roman" w:eastAsia="宋体;SimSun" w:cs="Times New Roman"/>
      <w:sz w:val="21"/>
      <w:szCs w:val="20"/>
      <w:lang w:val="en-US" w:eastAsia="zh-CN" w:bidi="ar-SA"/>
    </w:rPr>
  </w:style>
  <w:style w:type="paragraph" w:customStyle="1" w:styleId="272">
    <w:name w:val="1级标题tc"/>
    <w:next w:val="273"/>
    <w:qFormat/>
    <w:uiPriority w:val="0"/>
    <w:pPr>
      <w:keepNext/>
      <w:keepLines/>
      <w:pageBreakBefore/>
      <w:numPr>
        <w:ilvl w:val="0"/>
        <w:numId w:val="2"/>
      </w:numPr>
      <w:spacing w:before="50" w:after="50" w:line="500" w:lineRule="exact"/>
      <w:ind w:firstLine="200"/>
      <w:outlineLvl w:val="0"/>
    </w:pPr>
    <w:rPr>
      <w:rFonts w:hint="default" w:ascii="Times New Roman" w:hAnsi="Times New Roman" w:eastAsia="宋体;SimSun" w:cs="Times New Roman"/>
      <w:b/>
      <w:bCs/>
      <w:sz w:val="32"/>
      <w:szCs w:val="44"/>
      <w:lang w:val="zh-CN" w:eastAsia="zh-CN" w:bidi="ar-SA"/>
    </w:rPr>
  </w:style>
  <w:style w:type="paragraph" w:customStyle="1" w:styleId="273">
    <w:name w:val="正文tc"/>
    <w:qFormat/>
    <w:uiPriority w:val="0"/>
    <w:pPr>
      <w:spacing w:line="500" w:lineRule="exact"/>
      <w:ind w:firstLine="200"/>
      <w:jc w:val="both"/>
    </w:pPr>
    <w:rPr>
      <w:rFonts w:hint="default" w:ascii="Times New Roman" w:hAnsi="Times New Roman" w:eastAsia="宋体;SimSun" w:cs="Times New Roman"/>
      <w:sz w:val="24"/>
      <w:szCs w:val="24"/>
      <w:lang w:val="zh-CN" w:eastAsia="zh-CN" w:bidi="ar-SA"/>
    </w:rPr>
  </w:style>
  <w:style w:type="paragraph" w:customStyle="1" w:styleId="274">
    <w:name w:val="2级标题tc"/>
    <w:next w:val="273"/>
    <w:qFormat/>
    <w:uiPriority w:val="0"/>
    <w:pPr>
      <w:keepNext/>
      <w:keepLines/>
      <w:tabs>
        <w:tab w:val="left" w:pos="0"/>
      </w:tabs>
      <w:spacing w:before="50" w:after="50" w:line="500" w:lineRule="exact"/>
      <w:ind w:firstLine="200"/>
      <w:jc w:val="both"/>
      <w:outlineLvl w:val="1"/>
    </w:pPr>
    <w:rPr>
      <w:rFonts w:hint="default" w:ascii="Times New Roman" w:hAnsi="Times New Roman" w:eastAsia="宋体;SimSun" w:cs="Times New Roman"/>
      <w:b/>
      <w:bCs/>
      <w:sz w:val="30"/>
      <w:szCs w:val="28"/>
      <w:lang w:val="zh-CN" w:eastAsia="zh-CN" w:bidi="ar-SA"/>
    </w:rPr>
  </w:style>
  <w:style w:type="paragraph" w:customStyle="1" w:styleId="275">
    <w:name w:val="表名tc"/>
    <w:next w:val="273"/>
    <w:qFormat/>
    <w:uiPriority w:val="0"/>
    <w:pPr>
      <w:keepNext/>
      <w:tabs>
        <w:tab w:val="left" w:pos="0"/>
        <w:tab w:val="left" w:pos="720"/>
      </w:tabs>
      <w:spacing w:line="500" w:lineRule="exact"/>
      <w:jc w:val="center"/>
      <w:outlineLvl w:val="5"/>
    </w:pPr>
    <w:rPr>
      <w:rFonts w:hint="default" w:ascii="Times New Roman" w:hAnsi="Times New Roman" w:eastAsia="宋体;SimSun" w:cs="Times New Roman"/>
      <w:b/>
      <w:sz w:val="24"/>
      <w:szCs w:val="24"/>
      <w:lang w:val="zh-CN" w:eastAsia="zh-CN" w:bidi="ar-SA"/>
    </w:rPr>
  </w:style>
  <w:style w:type="paragraph" w:customStyle="1" w:styleId="276">
    <w:name w:val="表内tc"/>
    <w:qFormat/>
    <w:uiPriority w:val="0"/>
    <w:pPr>
      <w:jc w:val="center"/>
    </w:pPr>
    <w:rPr>
      <w:rFonts w:hint="default" w:ascii="Times New Roman" w:hAnsi="Times New Roman" w:eastAsia="宋体;SimSun" w:cs="Times New Roman"/>
      <w:sz w:val="21"/>
      <w:szCs w:val="21"/>
      <w:lang w:val="en-US" w:eastAsia="zh-CN" w:bidi="ar-SA"/>
    </w:rPr>
  </w:style>
  <w:style w:type="paragraph" w:customStyle="1" w:styleId="277">
    <w:name w:val="Revision"/>
    <w:qFormat/>
    <w:uiPriority w:val="0"/>
    <w:rPr>
      <w:rFonts w:hint="default" w:ascii="Calibri" w:hAnsi="Calibri" w:eastAsia="Arial" w:cs="Arial"/>
      <w:sz w:val="21"/>
      <w:szCs w:val="22"/>
      <w:lang w:val="en-US" w:eastAsia="zh-CN" w:bidi="ar-SA"/>
    </w:rPr>
  </w:style>
  <w:style w:type="paragraph" w:customStyle="1" w:styleId="278">
    <w:name w:val="msonormal"/>
    <w:basedOn w:val="1"/>
    <w:qFormat/>
    <w:uiPriority w:val="0"/>
    <w:pPr>
      <w:widowControl/>
      <w:spacing w:before="100" w:after="100"/>
      <w:jc w:val="left"/>
    </w:pPr>
    <w:rPr>
      <w:rFonts w:ascii="宋体;SimSun" w:hAnsi="宋体;SimSun" w:eastAsia="宋体;SimSun" w:cs="宋体;SimSun"/>
      <w:sz w:val="24"/>
      <w:szCs w:val="24"/>
    </w:rPr>
  </w:style>
  <w:style w:type="paragraph" w:customStyle="1" w:styleId="279">
    <w:name w:val="font5"/>
    <w:basedOn w:val="1"/>
    <w:qFormat/>
    <w:uiPriority w:val="0"/>
    <w:pPr>
      <w:widowControl/>
      <w:spacing w:before="100" w:after="100"/>
      <w:jc w:val="left"/>
    </w:pPr>
    <w:rPr>
      <w:rFonts w:ascii="宋体;SimSun" w:hAnsi="宋体;SimSun" w:eastAsia="宋体;SimSun" w:cs="宋体;SimSun"/>
      <w:sz w:val="18"/>
      <w:szCs w:val="18"/>
    </w:rPr>
  </w:style>
  <w:style w:type="paragraph" w:customStyle="1" w:styleId="280">
    <w:name w:val="xl66"/>
    <w:basedOn w:val="1"/>
    <w:qFormat/>
    <w:uiPriority w:val="0"/>
    <w:pPr>
      <w:widowControl/>
      <w:spacing w:before="100" w:after="100"/>
      <w:jc w:val="left"/>
    </w:pPr>
    <w:rPr>
      <w:rFonts w:ascii="宋体;SimSun" w:hAnsi="宋体;SimSun" w:eastAsia="宋体;SimSun" w:cs="宋体;SimSun"/>
      <w:sz w:val="24"/>
      <w:szCs w:val="24"/>
    </w:rPr>
  </w:style>
  <w:style w:type="paragraph" w:customStyle="1" w:styleId="28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b/>
      <w:bCs/>
      <w:sz w:val="24"/>
      <w:szCs w:val="24"/>
    </w:rPr>
  </w:style>
  <w:style w:type="paragraph" w:customStyle="1" w:styleId="28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sz w:val="20"/>
      <w:szCs w:val="20"/>
    </w:rPr>
  </w:style>
  <w:style w:type="paragraph" w:customStyle="1" w:styleId="28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left"/>
    </w:pPr>
    <w:rPr>
      <w:rFonts w:ascii="宋体;SimSun" w:hAnsi="宋体;SimSun" w:eastAsia="宋体;SimSun" w:cs="宋体;SimSun"/>
      <w:b/>
      <w:bCs/>
      <w:sz w:val="24"/>
      <w:szCs w:val="24"/>
    </w:rPr>
  </w:style>
  <w:style w:type="paragraph" w:customStyle="1" w:styleId="28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left"/>
    </w:pPr>
    <w:rPr>
      <w:rFonts w:ascii="宋体;SimSun" w:hAnsi="宋体;SimSun" w:eastAsia="宋体;SimSun" w:cs="宋体;SimSun"/>
      <w:sz w:val="24"/>
      <w:szCs w:val="24"/>
    </w:rPr>
  </w:style>
  <w:style w:type="paragraph" w:customStyle="1" w:styleId="28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sz w:val="24"/>
      <w:szCs w:val="24"/>
    </w:rPr>
  </w:style>
  <w:style w:type="paragraph" w:customStyle="1" w:styleId="286">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after="100"/>
      <w:jc w:val="center"/>
    </w:pPr>
    <w:rPr>
      <w:rFonts w:ascii="宋体;SimSun" w:hAnsi="宋体;SimSun" w:eastAsia="宋体;SimSun" w:cs="宋体;SimSun"/>
      <w:sz w:val="20"/>
      <w:szCs w:val="20"/>
    </w:rPr>
  </w:style>
  <w:style w:type="paragraph" w:customStyle="1" w:styleId="287">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after="100"/>
      <w:jc w:val="left"/>
    </w:pPr>
    <w:rPr>
      <w:rFonts w:ascii="宋体;SimSun" w:hAnsi="宋体;SimSun" w:eastAsia="宋体;SimSun" w:cs="宋体;SimSun"/>
      <w:sz w:val="20"/>
      <w:szCs w:val="20"/>
    </w:rPr>
  </w:style>
  <w:style w:type="paragraph" w:customStyle="1" w:styleId="28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b/>
      <w:bCs/>
      <w:sz w:val="24"/>
      <w:szCs w:val="24"/>
    </w:rPr>
  </w:style>
  <w:style w:type="paragraph" w:customStyle="1" w:styleId="28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left"/>
    </w:pPr>
    <w:rPr>
      <w:rFonts w:ascii="宋体;SimSun" w:hAnsi="宋体;SimSun" w:eastAsia="宋体;SimSun" w:cs="宋体;SimSun"/>
      <w:sz w:val="24"/>
      <w:szCs w:val="24"/>
    </w:rPr>
  </w:style>
  <w:style w:type="paragraph" w:customStyle="1" w:styleId="290">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sz w:val="20"/>
      <w:szCs w:val="20"/>
    </w:rPr>
  </w:style>
  <w:style w:type="paragraph" w:customStyle="1" w:styleId="29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after="100"/>
      <w:jc w:val="center"/>
    </w:pPr>
    <w:rPr>
      <w:rFonts w:ascii="宋体;SimSun" w:hAnsi="宋体;SimSun" w:eastAsia="宋体;SimSun" w:cs="宋体;SimSun"/>
      <w:sz w:val="20"/>
      <w:szCs w:val="20"/>
    </w:rPr>
  </w:style>
  <w:style w:type="paragraph" w:customStyle="1" w:styleId="292">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sz w:val="24"/>
      <w:szCs w:val="24"/>
    </w:rPr>
  </w:style>
  <w:style w:type="paragraph" w:customStyle="1" w:styleId="29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left"/>
    </w:pPr>
    <w:rPr>
      <w:rFonts w:ascii="宋体;SimSun" w:hAnsi="宋体;SimSun" w:eastAsia="宋体;SimSun" w:cs="宋体;SimSun"/>
      <w:sz w:val="16"/>
      <w:szCs w:val="16"/>
    </w:rPr>
  </w:style>
  <w:style w:type="paragraph" w:customStyle="1" w:styleId="29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after="100"/>
      <w:jc w:val="center"/>
    </w:pPr>
    <w:rPr>
      <w:rFonts w:ascii="宋体;SimSun" w:hAnsi="宋体;SimSun" w:eastAsia="宋体;SimSun" w:cs="宋体;SimSun"/>
      <w:sz w:val="16"/>
      <w:szCs w:val="16"/>
    </w:rPr>
  </w:style>
  <w:style w:type="paragraph" w:customStyle="1" w:styleId="295">
    <w:name w:val="Table Contents"/>
    <w:basedOn w:val="1"/>
    <w:qFormat/>
    <w:uiPriority w:val="0"/>
    <w:pPr>
      <w:suppressLineNumbers/>
    </w:pPr>
  </w:style>
  <w:style w:type="paragraph" w:customStyle="1" w:styleId="296">
    <w:name w:val="Table Heading"/>
    <w:basedOn w:val="295"/>
    <w:qFormat/>
    <w:uiPriority w:val="0"/>
    <w:pPr>
      <w:jc w:val="center"/>
    </w:pPr>
    <w:rPr>
      <w:b/>
      <w:bCs/>
    </w:rPr>
  </w:style>
  <w:style w:type="paragraph" w:customStyle="1" w:styleId="297">
    <w:name w:val="普通(网站)11"/>
    <w:qFormat/>
    <w:uiPriority w:val="99"/>
    <w:pPr>
      <w:widowControl/>
      <w:spacing w:before="100" w:beforeAutospacing="1" w:after="100" w:afterAutospacing="1"/>
      <w:jc w:val="left"/>
    </w:pPr>
    <w:rPr>
      <w:rFonts w:hint="default" w:ascii="宋体" w:hAnsi="宋体" w:eastAsia="宋体" w:cs="宋体"/>
      <w:sz w:val="24"/>
      <w:szCs w:val="24"/>
      <w:lang w:val="en-US" w:eastAsia="zh-CN" w:bidi="ar-SA"/>
    </w:rPr>
  </w:style>
  <w:style w:type="character" w:customStyle="1" w:styleId="298">
    <w:name w:val="强调1"/>
    <w:link w:val="1"/>
    <w:qFormat/>
    <w:uiPriority w:val="0"/>
    <w:rPr>
      <w:rFonts w:ascii="Calibri" w:hAnsi="Calibri" w:eastAsia="Arial" w:cs="Arial"/>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png"/><Relationship Id="rId21" Type="http://schemas.openxmlformats.org/officeDocument/2006/relationships/image" Target="media/image2.wmf"/><Relationship Id="rId20" Type="http://schemas.openxmlformats.org/officeDocument/2006/relationships/image" Target="media/image1.wmf"/><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210</Pages>
  <Words>6426</Words>
  <Characters>6922</Characters>
  <TotalTime>5</TotalTime>
  <ScaleCrop>false</ScaleCrop>
  <LinksUpToDate>false</LinksUpToDate>
  <CharactersWithSpaces>7015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2026-07-21T14:43:00Z</dcterms:created>
  <dc:creator>连云港市公共资源交易中心</dc:creator>
  <dc:description>2024年3月11日修订</dc:description>
  <cp:lastModifiedBy>会唱歌的拖鞋</cp:lastModifiedBy>
  <dcterms:modified xsi:type="dcterms:W3CDTF">2026-08-24T08:02:26Z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C6B191A4D4CB4BCCAF5C2D8F42F7A770_13</vt:lpwstr>
  </property>
  <property fmtid="{D5CDD505-2E9C-101B-9397-08002B2CF9AE}" pid="3" name="KSOProductBuildVer">
    <vt:lpwstr>2052-12.1.0.28043</vt:lpwstr>
  </property>
  <property fmtid="{D5CDD505-2E9C-101B-9397-08002B2CF9AE}" pid="4" name="KSOTemplateDocerSaveRecord">
    <vt:lpwstr>eyJoZGlkIjoiNjY0ZjQ5NjY1ODJiMmFlMTZhNDRlMGY0OGUzNjA2NzUiLCJ1c2VySWQiOiIyNTU1NjEyMzUifQ==</vt:lpwstr>
  </property>
</Properties>
</file>