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10"/>
        <w:ind w:left="420"/>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pStyle w:val="682"/>
        <w:ind w:left="1260"/>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jc w:val="center"/>
        <w:spacing w:line="360" w:lineRule="auto"/>
        <w:rPr>
          <w:rFonts w:ascii="宋体" w:hAnsi="宋体" w:cs="宋体"/>
          <w:b/>
          <w:color w:val="000000" w:themeColor="text1"/>
          <w:sz w:val="44"/>
          <w:szCs w:val="44"/>
          <w14:textFill>
            <w14:solidFill>
              <w14:schemeClr w14:val="tx1"/>
            </w14:solidFill>
          </w14:textFill>
        </w:rPr>
      </w:pPr>
      <w:r>
        <w:rPr>
          <w:rFonts w:hint="eastAsia" w:ascii="Arial" w:hAnsi="Arial" w:eastAsia="黑体" w:cs="Arial"/>
          <w:b/>
          <w:bCs/>
          <w:color w:val="000000" w:themeColor="text1"/>
          <w:sz w:val="60"/>
          <w:szCs w:val="60"/>
          <w:lang w:val="zh-CN"/>
          <w14:textFill>
            <w14:solidFill>
              <w14:schemeClr w14:val="tx1"/>
            </w14:solidFill>
          </w14:textFill>
        </w:rPr>
        <w:t xml:space="preserve">东山站监测能力提升项目</w:t>
      </w:r>
      <w:r/>
    </w:p>
    <w:p>
      <w:pPr>
        <w:pStyle w:val="710"/>
        <w:ind w:left="420"/>
        <w:rPr>
          <w:color w:val="000000" w:themeColor="text1"/>
          <w14:textFill>
            <w14:solidFill>
              <w14:schemeClr w14:val="tx1"/>
            </w14:solidFill>
          </w14:textFill>
        </w:rPr>
      </w:pPr>
      <w:r>
        <w:rPr>
          <w:color w:val="000000" w:themeColor="text1"/>
          <w14:textFill>
            <w14:solidFill>
              <w14:schemeClr w14:val="tx1"/>
            </w14:solidFill>
          </w14:textFill>
        </w:rPr>
      </w:r>
      <w:r/>
    </w:p>
    <w:p>
      <w:pPr>
        <w:pStyle w:val="710"/>
        <w:ind w:left="420"/>
        <w:rPr>
          <w:color w:val="000000" w:themeColor="text1"/>
          <w14:textFill>
            <w14:solidFill>
              <w14:schemeClr w14:val="tx1"/>
            </w14:solidFill>
          </w14:textFill>
        </w:rPr>
      </w:pPr>
      <w:r>
        <w:rPr>
          <w:color w:val="000000" w:themeColor="text1"/>
          <w14:textFill>
            <w14:solidFill>
              <w14:schemeClr w14:val="tx1"/>
            </w14:solidFill>
          </w14:textFill>
        </w:rPr>
      </w:r>
      <w:r/>
    </w:p>
    <w:p>
      <w:pPr>
        <w:pStyle w:val="710"/>
        <w:ind w:left="420"/>
        <w:rPr>
          <w:color w:val="000000" w:themeColor="text1"/>
          <w14:textFill>
            <w14:solidFill>
              <w14:schemeClr w14:val="tx1"/>
            </w14:solidFill>
          </w14:textFill>
        </w:rPr>
      </w:pPr>
      <w:r>
        <w:rPr>
          <w:color w:val="000000" w:themeColor="text1"/>
          <w14:textFill>
            <w14:solidFill>
              <w14:schemeClr w14:val="tx1"/>
            </w14:solidFill>
          </w14:textFill>
        </w:rPr>
      </w:r>
      <w:r/>
    </w:p>
    <w:p>
      <w:pPr>
        <w:pStyle w:val="710"/>
        <w:ind w:left="420"/>
        <w:rPr>
          <w:color w:val="000000" w:themeColor="text1"/>
          <w14:textFill>
            <w14:solidFill>
              <w14:schemeClr w14:val="tx1"/>
            </w14:solidFill>
          </w14:textFill>
        </w:rPr>
      </w:pPr>
      <w:r>
        <w:rPr>
          <w:color w:val="000000" w:themeColor="text1"/>
          <w14:textFill>
            <w14:solidFill>
              <w14:schemeClr w14:val="tx1"/>
            </w14:solidFill>
          </w14:textFill>
        </w:rPr>
      </w:r>
      <w:r/>
    </w:p>
    <w:p>
      <w:pPr>
        <w:pStyle w:val="710"/>
        <w:ind w:left="420"/>
        <w:rPr>
          <w:color w:val="000000" w:themeColor="text1"/>
          <w14:textFill>
            <w14:solidFill>
              <w14:schemeClr w14:val="tx1"/>
            </w14:solidFill>
          </w14:textFill>
        </w:rPr>
      </w:pPr>
      <w:r>
        <w:rPr>
          <w:color w:val="000000" w:themeColor="text1"/>
          <w14:textFill>
            <w14:solidFill>
              <w14:schemeClr w14:val="tx1"/>
            </w14:solidFill>
          </w14:textFill>
        </w:rPr>
      </w:r>
      <w:r/>
    </w:p>
    <w:p>
      <w:pPr>
        <w:pStyle w:val="913"/>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p>
      <w:pPr>
        <w:jc w:val="center"/>
        <w:spacing w:line="360" w:lineRule="auto"/>
        <w:tabs>
          <w:tab w:val="left" w:pos="390" w:leader="none"/>
          <w:tab w:val="center" w:pos="4404" w:leader="none"/>
        </w:tabs>
        <w:rPr>
          <w:rFonts w:ascii="宋体" w:hAnsi="宋体" w:cs="宋体"/>
          <w:b/>
          <w:bCs/>
          <w:color w:val="000000" w:themeColor="text1"/>
          <w:sz w:val="44"/>
          <w:szCs w:val="44"/>
          <w14:textFill>
            <w14:solidFill>
              <w14:schemeClr w14:val="tx1"/>
            </w14:solidFill>
          </w14:textFill>
        </w:rPr>
      </w:pPr>
      <w:r>
        <w:rPr>
          <w:rFonts w:hint="eastAsia" w:ascii="Arial" w:hAnsi="宋体" w:cs="Arial"/>
          <w:b/>
          <w:color w:val="000000" w:themeColor="text1"/>
          <w:sz w:val="72"/>
          <w:szCs w:val="72"/>
          <w14:textFill>
            <w14:solidFill>
              <w14:schemeClr w14:val="tx1"/>
            </w14:solidFill>
          </w14:textFill>
        </w:rPr>
        <w:t xml:space="preserve">竞争性磋商文件</w:t>
      </w:r>
      <w:r/>
    </w:p>
    <w:p>
      <w:pPr>
        <w:jc w:val="center"/>
        <w:spacing w:line="360" w:lineRule="auto"/>
        <w:rPr>
          <w:rFonts w:ascii="宋体" w:hAnsi="宋体" w:cs="宋体"/>
          <w:b/>
          <w:bCs/>
          <w:color w:val="000000" w:themeColor="text1"/>
          <w:sz w:val="44"/>
          <w:szCs w:val="44"/>
          <w14:textFill>
            <w14:solidFill>
              <w14:schemeClr w14:val="tx1"/>
            </w14:solidFill>
          </w14:textFill>
        </w:rPr>
      </w:pPr>
      <w:r>
        <w:rPr>
          <w:rFonts w:ascii="宋体" w:hAnsi="宋体" w:cs="宋体"/>
          <w:b/>
          <w:bCs/>
          <w:color w:val="000000" w:themeColor="text1"/>
          <w:sz w:val="44"/>
          <w:szCs w:val="44"/>
          <w14:textFill>
            <w14:solidFill>
              <w14:schemeClr w14:val="tx1"/>
            </w14:solidFill>
          </w14:textFill>
        </w:rPr>
      </w:r>
      <w:r/>
    </w:p>
    <w:p>
      <w:pPr>
        <w:jc w:val="center"/>
        <w:spacing w:line="360" w:lineRule="auto"/>
        <w:widowControl/>
        <w:rPr>
          <w:rFonts w:ascii="方正小标宋_GBK" w:hAnsi="Arial" w:eastAsia="方正小标宋_GBK" w:cs="Arial"/>
          <w:color w:val="000000" w:themeColor="text1"/>
          <w:sz w:val="32"/>
          <w:szCs w:val="32"/>
          <w14:textFill>
            <w14:solidFill>
              <w14:schemeClr w14:val="tx1"/>
            </w14:solidFill>
          </w14:textFill>
        </w:rPr>
      </w:pPr>
      <w:r>
        <w:rPr>
          <w:rFonts w:hint="eastAsia" w:ascii="Arial" w:hAnsi="Arial" w:cs="Arial"/>
          <w:b/>
          <w:color w:val="000000" w:themeColor="text1"/>
          <w:sz w:val="32"/>
          <w:szCs w:val="32"/>
          <w14:textFill>
            <w14:solidFill>
              <w14:schemeClr w14:val="tx1"/>
            </w14:solidFill>
          </w14:textFill>
        </w:rPr>
        <w:t xml:space="preserve">项目编号：</w:t>
      </w:r>
      <w:r>
        <w:rPr>
          <w:rFonts w:ascii="方正小标宋_GBK" w:hAnsi="Arial" w:eastAsia="方正小标宋_GBK" w:cs="Arial"/>
          <w:color w:val="000000" w:themeColor="text1"/>
          <w:sz w:val="32"/>
          <w:szCs w:val="32"/>
          <w14:textFill>
            <w14:solidFill>
              <w14:schemeClr w14:val="tx1"/>
            </w14:solidFill>
          </w14:textFill>
        </w:rPr>
        <w:t xml:space="preserve">JSZC-320000-NJGJ-C2026-0021</w:t>
      </w:r>
      <w:r/>
    </w:p>
    <w:p>
      <w:pPr>
        <w:jc w:val="center"/>
        <w:spacing w:line="360" w:lineRule="auto"/>
        <w:widowControl/>
        <w:rPr>
          <w:rFonts w:ascii="Arial" w:hAnsi="Arial" w:eastAsia="方正小标宋_GBK" w:cs="Arial"/>
          <w:b/>
          <w:color w:val="000000" w:themeColor="text1"/>
          <w:sz w:val="32"/>
          <w:szCs w:val="32"/>
          <w14:textFill>
            <w14:solidFill>
              <w14:schemeClr w14:val="tx1"/>
            </w14:solidFill>
          </w14:textFill>
        </w:rPr>
      </w:pPr>
      <w:r>
        <w:rPr>
          <w:rFonts w:ascii="Arial" w:hAnsi="Arial" w:eastAsia="方正小标宋_GBK" w:cs="Arial"/>
          <w:b/>
          <w:color w:val="000000" w:themeColor="text1"/>
          <w:sz w:val="32"/>
          <w:szCs w:val="32"/>
          <w14:textFill>
            <w14:solidFill>
              <w14:schemeClr w14:val="tx1"/>
            </w14:solidFill>
          </w14:textFill>
        </w:rPr>
      </w:r>
      <w:r/>
    </w:p>
    <w:p>
      <w:pPr>
        <w:pStyle w:val="710"/>
        <w:ind w:left="420"/>
        <w:rPr>
          <w:color w:val="000000" w:themeColor="text1"/>
          <w14:textFill>
            <w14:solidFill>
              <w14:schemeClr w14:val="tx1"/>
            </w14:solidFill>
          </w14:textFill>
        </w:rPr>
      </w:pPr>
      <w:r>
        <w:rPr>
          <w:color w:val="000000" w:themeColor="text1"/>
          <w14:textFill>
            <w14:solidFill>
              <w14:schemeClr w14:val="tx1"/>
            </w14:solidFill>
          </w14:textFill>
        </w:rPr>
      </w:r>
      <w:r/>
    </w:p>
    <w:p>
      <w:pPr>
        <w:pStyle w:val="710"/>
        <w:ind w:left="420"/>
        <w:rPr>
          <w:color w:val="000000" w:themeColor="text1"/>
          <w14:textFill>
            <w14:solidFill>
              <w14:schemeClr w14:val="tx1"/>
            </w14:solidFill>
          </w14:textFill>
        </w:rPr>
      </w:pPr>
      <w:r>
        <w:rPr>
          <w:color w:val="000000" w:themeColor="text1"/>
          <w14:textFill>
            <w14:solidFill>
              <w14:schemeClr w14:val="tx1"/>
            </w14:solidFill>
          </w14:textFill>
        </w:rPr>
      </w:r>
      <w:r/>
    </w:p>
    <w:p>
      <w:pPr>
        <w:pStyle w:val="710"/>
        <w:ind w:left="420"/>
        <w:rPr>
          <w:color w:val="000000" w:themeColor="text1"/>
          <w14:textFill>
            <w14:solidFill>
              <w14:schemeClr w14:val="tx1"/>
            </w14:solidFill>
          </w14:textFill>
        </w:rPr>
      </w:pPr>
      <w:r>
        <w:rPr>
          <w:color w:val="000000" w:themeColor="text1"/>
          <w14:textFill>
            <w14:solidFill>
              <w14:schemeClr w14:val="tx1"/>
            </w14:solidFill>
          </w14:textFill>
        </w:rPr>
      </w:r>
      <w:r/>
    </w:p>
    <w:p>
      <w:pPr>
        <w:pStyle w:val="710"/>
        <w:ind w:left="420"/>
        <w:rPr>
          <w:color w:val="000000" w:themeColor="text1"/>
          <w14:textFill>
            <w14:solidFill>
              <w14:schemeClr w14:val="tx1"/>
            </w14:solidFill>
          </w14:textFill>
        </w:rPr>
      </w:pPr>
      <w:r>
        <w:rPr>
          <w:color w:val="000000" w:themeColor="text1"/>
          <w14:textFill>
            <w14:solidFill>
              <w14:schemeClr w14:val="tx1"/>
            </w14:solidFill>
          </w14:textFill>
        </w:rPr>
      </w:r>
      <w:r/>
    </w:p>
    <w:p>
      <w:pPr>
        <w:pStyle w:val="710"/>
        <w:ind w:left="420"/>
        <w:rPr>
          <w:color w:val="000000" w:themeColor="text1"/>
          <w14:textFill>
            <w14:solidFill>
              <w14:schemeClr w14:val="tx1"/>
            </w14:solidFill>
          </w14:textFill>
        </w:rPr>
      </w:pPr>
      <w:r>
        <w:rPr>
          <w:color w:val="000000" w:themeColor="text1"/>
          <w14:textFill>
            <w14:solidFill>
              <w14:schemeClr w14:val="tx1"/>
            </w14:solidFill>
          </w14:textFill>
        </w:rPr>
      </w:r>
      <w:r/>
    </w:p>
    <w:p>
      <w:pPr>
        <w:pStyle w:val="710"/>
        <w:ind w:left="420"/>
        <w:rPr>
          <w:color w:val="000000" w:themeColor="text1"/>
          <w14:textFill>
            <w14:solidFill>
              <w14:schemeClr w14:val="tx1"/>
            </w14:solidFill>
          </w14:textFill>
        </w:rPr>
      </w:pPr>
      <w:r>
        <w:rPr>
          <w:color w:val="000000" w:themeColor="text1"/>
          <w14:textFill>
            <w14:solidFill>
              <w14:schemeClr w14:val="tx1"/>
            </w14:solidFill>
          </w14:textFill>
        </w:rPr>
      </w:r>
      <w:r/>
    </w:p>
    <w:p>
      <w:pPr>
        <w:pStyle w:val="710"/>
        <w:ind w:left="420"/>
        <w:rPr>
          <w:color w:val="000000" w:themeColor="text1"/>
          <w14:textFill>
            <w14:solidFill>
              <w14:schemeClr w14:val="tx1"/>
            </w14:solidFill>
          </w14:textFill>
        </w:rPr>
      </w:pPr>
      <w:r>
        <w:rPr>
          <w:color w:val="000000" w:themeColor="text1"/>
          <w14:textFill>
            <w14:solidFill>
              <w14:schemeClr w14:val="tx1"/>
            </w14:solidFill>
          </w14:textFill>
        </w:rPr>
      </w:r>
      <w:r/>
    </w:p>
    <w:p>
      <w:pPr>
        <w:pStyle w:val="710"/>
        <w:ind w:left="420"/>
        <w:rPr>
          <w:color w:val="000000" w:themeColor="text1"/>
          <w14:textFill>
            <w14:solidFill>
              <w14:schemeClr w14:val="tx1"/>
            </w14:solidFill>
          </w14:textFill>
        </w:rPr>
      </w:pPr>
      <w:r>
        <w:rPr>
          <w:color w:val="000000" w:themeColor="text1"/>
          <w14:textFill>
            <w14:solidFill>
              <w14:schemeClr w14:val="tx1"/>
            </w14:solidFill>
          </w14:textFill>
        </w:rPr>
      </w:r>
      <w:r/>
    </w:p>
    <w:p>
      <w:pPr>
        <w:jc w:val="center"/>
        <w:spacing w:line="360" w:lineRule="auto"/>
        <w:rPr>
          <w:rFonts w:ascii="宋体" w:hAnsi="宋体" w:cs="宋体"/>
          <w:color w:val="000000" w:themeColor="text1"/>
          <w:sz w:val="48"/>
          <w:szCs w:val="48"/>
          <w14:textFill>
            <w14:solidFill>
              <w14:schemeClr w14:val="tx1"/>
            </w14:solidFill>
          </w14:textFill>
        </w:rPr>
      </w:pPr>
      <w:r>
        <w:rPr>
          <w:rFonts w:hint="eastAsia" w:ascii="Arial" w:hAnsi="Arial" w:cs="Arial"/>
          <w:b/>
          <w:color w:val="000000" w:themeColor="text1"/>
          <w:sz w:val="32"/>
          <w:szCs w:val="32"/>
          <w14:textFill>
            <w14:solidFill>
              <w14:schemeClr w14:val="tx1"/>
            </w14:solidFill>
          </w14:textFill>
        </w:rPr>
        <w:t xml:space="preserve">采购人：江苏省水文水资源勘测局南京分局</w:t>
      </w:r>
      <w:r/>
    </w:p>
    <w:p>
      <w:pPr>
        <w:jc w:val="center"/>
        <w:spacing w:line="360" w:lineRule="auto"/>
        <w:widowControl/>
        <w:rPr>
          <w:rFonts w:ascii="Arial" w:hAnsi="Arial" w:cs="Arial"/>
          <w:b/>
          <w:color w:val="000000" w:themeColor="text1"/>
          <w:sz w:val="32"/>
          <w:szCs w:val="32"/>
          <w14:textFill>
            <w14:solidFill>
              <w14:schemeClr w14:val="tx1"/>
            </w14:solidFill>
          </w14:textFill>
        </w:rPr>
      </w:pPr>
      <w:r>
        <w:rPr>
          <w:rFonts w:hint="eastAsia" w:ascii="Arial" w:hAnsi="宋体" w:cs="Arial"/>
          <w:b/>
          <w:color w:val="000000" w:themeColor="text1"/>
          <w:sz w:val="32"/>
          <w:szCs w:val="32"/>
          <w14:textFill>
            <w14:solidFill>
              <w14:schemeClr w14:val="tx1"/>
            </w14:solidFill>
          </w14:textFill>
        </w:rPr>
        <w:t xml:space="preserve">采购代理机构：南京国景工程项目管理有限公司</w:t>
      </w:r>
      <w:r/>
    </w:p>
    <w:p>
      <w:pPr>
        <w:jc w:val="center"/>
        <w:spacing w:line="360" w:lineRule="auto"/>
        <w:widowControl/>
        <w:rPr>
          <w:rFonts w:ascii="宋体" w:hAnsi="宋体" w:cs="宋体"/>
          <w:color w:val="000000" w:themeColor="text1"/>
          <w:sz w:val="36"/>
          <w:lang w:val="zh-CN"/>
          <w14:textFill>
            <w14:solidFill>
              <w14:schemeClr w14:val="tx1"/>
            </w14:solidFill>
          </w14:textFill>
        </w:rPr>
      </w:pPr>
      <w:r>
        <w:rPr>
          <w:rFonts w:hint="eastAsia" w:ascii="Arial" w:hAnsi="Arial" w:cs="Arial"/>
          <w:b/>
          <w:color w:val="000000" w:themeColor="text1"/>
          <w:sz w:val="32"/>
          <w:szCs w:val="32"/>
          <w14:textFill>
            <w14:solidFill>
              <w14:schemeClr w14:val="tx1"/>
            </w14:solidFill>
          </w14:textFill>
        </w:rPr>
        <w:t xml:space="preserve"> 2026年9月</w:t>
      </w:r>
      <w:r>
        <w:rPr>
          <w:rFonts w:hint="eastAsia" w:ascii="宋体" w:hAnsi="宋体" w:cs="宋体"/>
          <w:color w:val="000000" w:themeColor="text1"/>
          <w:sz w:val="24"/>
          <w:szCs w:val="24"/>
          <w14:textFill>
            <w14:solidFill>
              <w14:schemeClr w14:val="tx1"/>
            </w14:solidFill>
          </w14:textFill>
        </w:rPr>
        <w:br w:type="page" w:clear="all"/>
      </w:r>
      <w:r>
        <w:rPr>
          <w:rFonts w:hint="eastAsia" w:ascii="宋体" w:hAnsi="宋体" w:cs="宋体"/>
          <w:b/>
          <w:bCs/>
          <w:color w:val="000000" w:themeColor="text1"/>
          <w:sz w:val="36"/>
          <w:lang w:val="zh-CN"/>
          <w14:textFill>
            <w14:solidFill>
              <w14:schemeClr w14:val="tx1"/>
            </w14:solidFill>
          </w14:textFill>
        </w:rPr>
        <w:t xml:space="preserve">目录</w:t>
      </w:r>
      <w:r/>
    </w:p>
    <w:p>
      <w:pPr>
        <w:pStyle w:val="930"/>
        <w:spacing w:line="360" w:lineRule="auto"/>
        <w:tabs>
          <w:tab w:val="right" w:pos="8296" w:leader="dot"/>
        </w:tabs>
        <w:rPr>
          <w:rFonts w:ascii="宋体" w:hAnsi="宋体"/>
          <w:b w:val="0"/>
          <w:caps w:val="0"/>
          <w:color w:val="000000" w:themeColor="text1"/>
          <w:sz w:val="28"/>
          <w:szCs w:val="28"/>
          <w14:textFill>
            <w14:solidFill>
              <w14:schemeClr w14:val="tx1"/>
            </w14:solidFill>
          </w14:textFill>
        </w:rPr>
      </w:pPr>
      <w:r>
        <w:rPr>
          <w:rFonts w:hint="eastAsia" w:ascii="宋体" w:hAnsi="宋体" w:cs="宋体"/>
          <w:b w:val="0"/>
          <w:color w:val="000000" w:themeColor="text1"/>
          <w:sz w:val="28"/>
          <w:szCs w:val="28"/>
          <w:lang w:val="zh-CN"/>
          <w14:textFill>
            <w14:solidFill>
              <w14:schemeClr w14:val="tx1"/>
            </w14:solidFill>
          </w14:textFill>
        </w:rPr>
        <w:fldChar w:fldCharType="begin"/>
      </w:r>
      <w:r>
        <w:rPr>
          <w:rFonts w:hint="eastAsia" w:ascii="宋体" w:hAnsi="宋体" w:cs="宋体"/>
          <w:b w:val="0"/>
          <w:color w:val="000000" w:themeColor="text1"/>
          <w:sz w:val="28"/>
          <w:szCs w:val="28"/>
          <w:lang w:val="zh-CN"/>
          <w14:textFill>
            <w14:solidFill>
              <w14:schemeClr w14:val="tx1"/>
            </w14:solidFill>
          </w14:textFill>
        </w:rPr>
        <w:instrText xml:space="preserve">TOC \o "1-1" \h \u </w:instrText>
      </w:r>
      <w:r>
        <w:rPr>
          <w:rFonts w:hint="eastAsia" w:ascii="宋体" w:hAnsi="宋体" w:cs="宋体"/>
          <w:b w:val="0"/>
          <w:color w:val="000000" w:themeColor="text1"/>
          <w:sz w:val="28"/>
          <w:szCs w:val="28"/>
          <w:lang w:val="zh-CN"/>
          <w14:textFill>
            <w14:solidFill>
              <w14:schemeClr w14:val="tx1"/>
            </w14:solidFill>
          </w14:textFill>
        </w:rPr>
        <w:fldChar w:fldCharType="separate"/>
      </w:r>
      <w:r>
        <w:fldChar w:fldCharType="begin"/>
      </w:r>
      <w:r>
        <w:instrText xml:space="preserve"> HYPERLINK \l "_Toc149805855" </w:instrText>
      </w:r>
      <w:r>
        <w:fldChar w:fldCharType="separate"/>
      </w:r>
      <w:r>
        <w:rPr>
          <w:rStyle w:val="958"/>
          <w:rFonts w:hint="eastAsia" w:ascii="宋体" w:hAnsi="宋体" w:cs="宋体"/>
          <w:color w:val="000000" w:themeColor="text1"/>
          <w:sz w:val="28"/>
          <w:szCs w:val="28"/>
          <w:lang w:val="zh-CN"/>
          <w14:textFill>
            <w14:solidFill>
              <w14:schemeClr w14:val="tx1"/>
            </w14:solidFill>
          </w14:textFill>
        </w:rPr>
        <w:t xml:space="preserve">第一章</w:t>
      </w:r>
      <w:r>
        <w:rPr>
          <w:rStyle w:val="958"/>
          <w:rFonts w:ascii="宋体" w:hAnsi="宋体" w:cs="宋体"/>
          <w:color w:val="000000" w:themeColor="text1"/>
          <w:sz w:val="28"/>
          <w:szCs w:val="28"/>
          <w:lang w:val="zh-CN"/>
          <w14:textFill>
            <w14:solidFill>
              <w14:schemeClr w14:val="tx1"/>
            </w14:solidFill>
          </w14:textFill>
        </w:rPr>
        <w:t xml:space="preserve"> </w:t>
      </w:r>
      <w:r>
        <w:rPr>
          <w:rStyle w:val="958"/>
          <w:rFonts w:hint="eastAsia" w:ascii="宋体" w:hAnsi="宋体" w:cs="宋体"/>
          <w:color w:val="000000" w:themeColor="text1"/>
          <w:sz w:val="28"/>
          <w:szCs w:val="28"/>
          <w:lang w:val="zh-CN"/>
          <w14:textFill>
            <w14:solidFill>
              <w14:schemeClr w14:val="tx1"/>
            </w14:solidFill>
          </w14:textFill>
        </w:rPr>
        <w:t xml:space="preserve"> 竞争性磋商公告</w:t>
      </w:r>
      <w:r>
        <w:rPr>
          <w:rStyle w:val="958"/>
          <w:rFonts w:hint="eastAsia" w:ascii="宋体" w:hAnsi="宋体" w:cs="宋体"/>
          <w:color w:val="000000" w:themeColor="text1"/>
          <w:sz w:val="28"/>
          <w:szCs w:val="28"/>
          <w:lang w:val="zh-CN"/>
          <w14:textFill>
            <w14:solidFill>
              <w14:schemeClr w14:val="tx1"/>
            </w14:solidFill>
          </w14:textFill>
        </w:rPr>
        <w:fldChar w:fldCharType="end"/>
      </w:r>
      <w:r/>
    </w:p>
    <w:p>
      <w:pPr>
        <w:pStyle w:val="930"/>
        <w:spacing w:line="360" w:lineRule="auto"/>
        <w:tabs>
          <w:tab w:val="right" w:pos="8296" w:leader="dot"/>
        </w:tabs>
        <w:rPr>
          <w:rFonts w:ascii="宋体" w:hAnsi="宋体"/>
          <w:b w:val="0"/>
          <w:caps w:val="0"/>
          <w:color w:val="000000" w:themeColor="text1"/>
          <w:sz w:val="28"/>
          <w:szCs w:val="28"/>
          <w14:textFill>
            <w14:solidFill>
              <w14:schemeClr w14:val="tx1"/>
            </w14:solidFill>
          </w14:textFill>
        </w:rPr>
      </w:pPr>
      <w:r>
        <w:fldChar w:fldCharType="begin"/>
      </w:r>
      <w:r>
        <w:instrText xml:space="preserve"> HYPERLINK \l "_Toc149805856" </w:instrText>
      </w:r>
      <w:r>
        <w:fldChar w:fldCharType="separate"/>
      </w:r>
      <w:r>
        <w:rPr>
          <w:rStyle w:val="958"/>
          <w:rFonts w:hint="eastAsia" w:ascii="宋体" w:hAnsi="宋体" w:cs="宋体"/>
          <w:color w:val="000000" w:themeColor="text1"/>
          <w:sz w:val="28"/>
          <w:szCs w:val="28"/>
          <w:lang w:val="zh-CN"/>
          <w14:textFill>
            <w14:solidFill>
              <w14:schemeClr w14:val="tx1"/>
            </w14:solidFill>
          </w14:textFill>
        </w:rPr>
        <w:t xml:space="preserve">第二章</w:t>
      </w:r>
      <w:r>
        <w:rPr>
          <w:rStyle w:val="958"/>
          <w:rFonts w:ascii="宋体" w:hAnsi="宋体" w:cs="宋体"/>
          <w:color w:val="000000" w:themeColor="text1"/>
          <w:sz w:val="28"/>
          <w:szCs w:val="28"/>
          <w:lang w:val="zh-CN"/>
          <w14:textFill>
            <w14:solidFill>
              <w14:schemeClr w14:val="tx1"/>
            </w14:solidFill>
          </w14:textFill>
        </w:rPr>
        <w:t xml:space="preserve">  </w:t>
      </w:r>
      <w:r>
        <w:rPr>
          <w:rStyle w:val="958"/>
          <w:rFonts w:hint="eastAsia" w:ascii="宋体" w:hAnsi="宋体" w:cs="宋体"/>
          <w:color w:val="000000" w:themeColor="text1"/>
          <w:sz w:val="28"/>
          <w:szCs w:val="28"/>
          <w:lang w:val="zh-CN"/>
          <w14:textFill>
            <w14:solidFill>
              <w14:schemeClr w14:val="tx1"/>
            </w14:solidFill>
          </w14:textFill>
        </w:rPr>
        <w:t xml:space="preserve">竞争性磋商须知</w:t>
      </w:r>
      <w:r>
        <w:rPr>
          <w:rStyle w:val="958"/>
          <w:rFonts w:hint="eastAsia" w:ascii="宋体" w:hAnsi="宋体" w:cs="宋体"/>
          <w:color w:val="000000" w:themeColor="text1"/>
          <w:sz w:val="28"/>
          <w:szCs w:val="28"/>
          <w:lang w:val="zh-CN"/>
          <w14:textFill>
            <w14:solidFill>
              <w14:schemeClr w14:val="tx1"/>
            </w14:solidFill>
          </w14:textFill>
        </w:rPr>
        <w:fldChar w:fldCharType="end"/>
      </w:r>
      <w:r/>
    </w:p>
    <w:p>
      <w:pPr>
        <w:pStyle w:val="930"/>
        <w:spacing w:line="360" w:lineRule="auto"/>
        <w:tabs>
          <w:tab w:val="right" w:pos="8296" w:leader="dot"/>
        </w:tabs>
        <w:rPr>
          <w:rFonts w:ascii="宋体" w:hAnsi="宋体"/>
          <w:b w:val="0"/>
          <w:caps w:val="0"/>
          <w:color w:val="000000" w:themeColor="text1"/>
          <w:sz w:val="28"/>
          <w:szCs w:val="28"/>
          <w14:textFill>
            <w14:solidFill>
              <w14:schemeClr w14:val="tx1"/>
            </w14:solidFill>
          </w14:textFill>
        </w:rPr>
      </w:pPr>
      <w:r>
        <w:fldChar w:fldCharType="begin"/>
      </w:r>
      <w:r>
        <w:instrText xml:space="preserve"> HYPERLINK \l "_Toc149805857" </w:instrText>
      </w:r>
      <w:r>
        <w:fldChar w:fldCharType="separate"/>
      </w:r>
      <w:r>
        <w:rPr>
          <w:rStyle w:val="958"/>
          <w:rFonts w:hint="eastAsia" w:ascii="宋体" w:hAnsi="宋体"/>
          <w:color w:val="000000" w:themeColor="text1"/>
          <w:sz w:val="28"/>
          <w:szCs w:val="28"/>
          <w14:textFill>
            <w14:solidFill>
              <w14:schemeClr w14:val="tx1"/>
            </w14:solidFill>
          </w14:textFill>
        </w:rPr>
        <w:t xml:space="preserve">第三章</w:t>
      </w:r>
      <w:r>
        <w:rPr>
          <w:rStyle w:val="958"/>
          <w:rFonts w:ascii="宋体" w:hAnsi="宋体"/>
          <w:color w:val="000000" w:themeColor="text1"/>
          <w:sz w:val="28"/>
          <w:szCs w:val="28"/>
          <w14:textFill>
            <w14:solidFill>
              <w14:schemeClr w14:val="tx1"/>
            </w14:solidFill>
          </w14:textFill>
        </w:rPr>
        <w:t xml:space="preserve">  </w:t>
      </w:r>
      <w:r>
        <w:rPr>
          <w:rStyle w:val="958"/>
          <w:rFonts w:hint="eastAsia" w:ascii="宋体" w:hAnsi="宋体"/>
          <w:color w:val="000000" w:themeColor="text1"/>
          <w:sz w:val="28"/>
          <w:szCs w:val="28"/>
          <w14:textFill>
            <w14:solidFill>
              <w14:schemeClr w14:val="tx1"/>
            </w14:solidFill>
          </w14:textFill>
        </w:rPr>
        <w:t xml:space="preserve">评标标准</w:t>
      </w:r>
      <w:r>
        <w:rPr>
          <w:rStyle w:val="958"/>
          <w:rFonts w:hint="eastAsia" w:ascii="宋体" w:hAnsi="宋体"/>
          <w:color w:val="000000" w:themeColor="text1"/>
          <w:sz w:val="28"/>
          <w:szCs w:val="28"/>
          <w14:textFill>
            <w14:solidFill>
              <w14:schemeClr w14:val="tx1"/>
            </w14:solidFill>
          </w14:textFill>
        </w:rPr>
        <w:fldChar w:fldCharType="end"/>
      </w:r>
      <w:r/>
    </w:p>
    <w:p>
      <w:pPr>
        <w:pStyle w:val="930"/>
        <w:spacing w:line="360" w:lineRule="auto"/>
        <w:tabs>
          <w:tab w:val="right" w:pos="8296" w:leader="dot"/>
        </w:tabs>
        <w:rPr>
          <w:rFonts w:ascii="宋体" w:hAnsi="宋体"/>
          <w:b w:val="0"/>
          <w:caps w:val="0"/>
          <w:color w:val="000000" w:themeColor="text1"/>
          <w:sz w:val="28"/>
          <w:szCs w:val="28"/>
          <w14:textFill>
            <w14:solidFill>
              <w14:schemeClr w14:val="tx1"/>
            </w14:solidFill>
          </w14:textFill>
        </w:rPr>
      </w:pPr>
      <w:r>
        <w:fldChar w:fldCharType="begin"/>
      </w:r>
      <w:r>
        <w:instrText xml:space="preserve"> HYPERLINK \l "_Toc149805858" </w:instrText>
      </w:r>
      <w:r>
        <w:fldChar w:fldCharType="separate"/>
      </w:r>
      <w:r>
        <w:rPr>
          <w:rStyle w:val="958"/>
          <w:rFonts w:hint="eastAsia" w:ascii="宋体" w:hAnsi="宋体"/>
          <w:color w:val="000000" w:themeColor="text1"/>
          <w:sz w:val="28"/>
          <w:szCs w:val="28"/>
          <w14:textFill>
            <w14:solidFill>
              <w14:schemeClr w14:val="tx1"/>
            </w14:solidFill>
          </w14:textFill>
        </w:rPr>
        <w:t xml:space="preserve">第四章</w:t>
      </w:r>
      <w:r>
        <w:rPr>
          <w:rStyle w:val="958"/>
          <w:rFonts w:ascii="宋体" w:hAnsi="宋体"/>
          <w:color w:val="000000" w:themeColor="text1"/>
          <w:sz w:val="28"/>
          <w:szCs w:val="28"/>
          <w14:textFill>
            <w14:solidFill>
              <w14:schemeClr w14:val="tx1"/>
            </w14:solidFill>
          </w14:textFill>
        </w:rPr>
        <w:t xml:space="preserve"> </w:t>
      </w:r>
      <w:r>
        <w:rPr>
          <w:rStyle w:val="958"/>
          <w:rFonts w:hint="eastAsia" w:ascii="宋体" w:hAnsi="宋体"/>
          <w:color w:val="000000" w:themeColor="text1"/>
          <w:sz w:val="28"/>
          <w:szCs w:val="28"/>
          <w14:textFill>
            <w14:solidFill>
              <w14:schemeClr w14:val="tx1"/>
            </w14:solidFill>
          </w14:textFill>
        </w:rPr>
        <w:t xml:space="preserve"> 采购需求</w:t>
      </w:r>
      <w:r>
        <w:rPr>
          <w:rStyle w:val="958"/>
          <w:rFonts w:hint="eastAsia" w:ascii="宋体" w:hAnsi="宋体"/>
          <w:color w:val="000000" w:themeColor="text1"/>
          <w:sz w:val="28"/>
          <w:szCs w:val="28"/>
          <w14:textFill>
            <w14:solidFill>
              <w14:schemeClr w14:val="tx1"/>
            </w14:solidFill>
          </w14:textFill>
        </w:rPr>
        <w:fldChar w:fldCharType="end"/>
      </w:r>
      <w:r/>
    </w:p>
    <w:p>
      <w:pPr>
        <w:pStyle w:val="930"/>
        <w:spacing w:line="360" w:lineRule="auto"/>
        <w:tabs>
          <w:tab w:val="right" w:pos="8296" w:leader="dot"/>
        </w:tabs>
        <w:rPr>
          <w:rFonts w:ascii="宋体" w:hAnsi="宋体"/>
          <w:b w:val="0"/>
          <w:caps w:val="0"/>
          <w:color w:val="000000" w:themeColor="text1"/>
          <w:sz w:val="28"/>
          <w:szCs w:val="28"/>
          <w14:textFill>
            <w14:solidFill>
              <w14:schemeClr w14:val="tx1"/>
            </w14:solidFill>
          </w14:textFill>
        </w:rPr>
      </w:pPr>
      <w:r>
        <w:fldChar w:fldCharType="begin"/>
      </w:r>
      <w:r>
        <w:instrText xml:space="preserve"> HYPERLINK \l "_Toc149805859" </w:instrText>
      </w:r>
      <w:r>
        <w:fldChar w:fldCharType="separate"/>
      </w:r>
      <w:r>
        <w:rPr>
          <w:rStyle w:val="958"/>
          <w:rFonts w:hint="eastAsia" w:ascii="宋体" w:hAnsi="宋体"/>
          <w:color w:val="000000" w:themeColor="text1"/>
          <w:sz w:val="28"/>
          <w:szCs w:val="28"/>
          <w14:textFill>
            <w14:solidFill>
              <w14:schemeClr w14:val="tx1"/>
            </w14:solidFill>
          </w14:textFill>
        </w:rPr>
        <w:t xml:space="preserve">第五章</w:t>
      </w:r>
      <w:r>
        <w:rPr>
          <w:rStyle w:val="958"/>
          <w:rFonts w:ascii="宋体" w:hAnsi="宋体"/>
          <w:color w:val="000000" w:themeColor="text1"/>
          <w:sz w:val="28"/>
          <w:szCs w:val="28"/>
          <w14:textFill>
            <w14:solidFill>
              <w14:schemeClr w14:val="tx1"/>
            </w14:solidFill>
          </w14:textFill>
        </w:rPr>
        <w:t xml:space="preserve"> </w:t>
      </w:r>
      <w:r>
        <w:rPr>
          <w:rStyle w:val="958"/>
          <w:rFonts w:hint="eastAsia" w:ascii="宋体" w:hAnsi="宋体"/>
          <w:color w:val="000000" w:themeColor="text1"/>
          <w:sz w:val="28"/>
          <w:szCs w:val="28"/>
          <w14:textFill>
            <w14:solidFill>
              <w14:schemeClr w14:val="tx1"/>
            </w14:solidFill>
          </w14:textFill>
        </w:rPr>
        <w:t xml:space="preserve"> 合同主要条款</w:t>
      </w:r>
      <w:r>
        <w:rPr>
          <w:rStyle w:val="958"/>
          <w:rFonts w:hint="eastAsia" w:ascii="宋体" w:hAnsi="宋体"/>
          <w:color w:val="000000" w:themeColor="text1"/>
          <w:sz w:val="28"/>
          <w:szCs w:val="28"/>
          <w14:textFill>
            <w14:solidFill>
              <w14:schemeClr w14:val="tx1"/>
            </w14:solidFill>
          </w14:textFill>
        </w:rPr>
        <w:fldChar w:fldCharType="end"/>
      </w:r>
      <w:r/>
    </w:p>
    <w:p>
      <w:pPr>
        <w:pStyle w:val="930"/>
        <w:spacing w:line="360" w:lineRule="auto"/>
        <w:tabs>
          <w:tab w:val="right" w:pos="8296" w:leader="dot"/>
        </w:tabs>
        <w:rPr>
          <w:rFonts w:ascii="宋体" w:hAnsi="宋体"/>
          <w:b w:val="0"/>
          <w:caps w:val="0"/>
          <w:color w:val="000000" w:themeColor="text1"/>
          <w:sz w:val="28"/>
          <w:szCs w:val="28"/>
          <w14:textFill>
            <w14:solidFill>
              <w14:schemeClr w14:val="tx1"/>
            </w14:solidFill>
          </w14:textFill>
        </w:rPr>
      </w:pPr>
      <w:r>
        <w:fldChar w:fldCharType="begin"/>
      </w:r>
      <w:r>
        <w:instrText xml:space="preserve"> HYPERLINK \l "_Toc149805860" </w:instrText>
      </w:r>
      <w:r>
        <w:fldChar w:fldCharType="separate"/>
      </w:r>
      <w:r>
        <w:rPr>
          <w:rStyle w:val="958"/>
          <w:rFonts w:hint="eastAsia" w:ascii="宋体" w:hAnsi="宋体" w:cs="宋体"/>
          <w:color w:val="000000" w:themeColor="text1"/>
          <w:sz w:val="28"/>
          <w:szCs w:val="28"/>
          <w:lang w:val="zh-CN"/>
          <w14:textFill>
            <w14:solidFill>
              <w14:schemeClr w14:val="tx1"/>
            </w14:solidFill>
          </w14:textFill>
        </w:rPr>
        <w:t xml:space="preserve">第六章</w:t>
      </w:r>
      <w:r>
        <w:rPr>
          <w:rStyle w:val="958"/>
          <w:rFonts w:ascii="宋体" w:hAnsi="宋体" w:cs="宋体"/>
          <w:color w:val="000000" w:themeColor="text1"/>
          <w:sz w:val="28"/>
          <w:szCs w:val="28"/>
          <w14:textFill>
            <w14:solidFill>
              <w14:schemeClr w14:val="tx1"/>
            </w14:solidFill>
          </w14:textFill>
        </w:rPr>
        <w:t xml:space="preserve">  </w:t>
      </w:r>
      <w:r>
        <w:rPr>
          <w:rStyle w:val="958"/>
          <w:rFonts w:hint="eastAsia" w:ascii="宋体" w:hAnsi="宋体" w:cs="宋体"/>
          <w:color w:val="000000" w:themeColor="text1"/>
          <w:sz w:val="28"/>
          <w:szCs w:val="28"/>
          <w:lang w:val="zh-CN"/>
          <w14:textFill>
            <w14:solidFill>
              <w14:schemeClr w14:val="tx1"/>
            </w14:solidFill>
          </w14:textFill>
        </w:rPr>
        <w:t xml:space="preserve">附件</w:t>
      </w:r>
      <w:r>
        <w:rPr>
          <w:rStyle w:val="958"/>
          <w:rFonts w:hint="eastAsia" w:ascii="宋体" w:hAnsi="宋体" w:cs="宋体"/>
          <w:color w:val="000000" w:themeColor="text1"/>
          <w:sz w:val="28"/>
          <w:szCs w:val="28"/>
          <w:lang w:val="zh-CN"/>
          <w14:textFill>
            <w14:solidFill>
              <w14:schemeClr w14:val="tx1"/>
            </w14:solidFill>
          </w14:textFill>
        </w:rPr>
        <w:fldChar w:fldCharType="end"/>
      </w:r>
      <w:r/>
    </w:p>
    <w:p>
      <w:pPr>
        <w:jc w:val="center"/>
        <w:spacing w:line="360" w:lineRule="auto"/>
        <w:rPr>
          <w:rFonts w:ascii="宋体" w:hAnsi="宋体" w:cs="宋体"/>
          <w:b/>
          <w:bCs/>
          <w:color w:val="000000" w:themeColor="text1"/>
          <w:sz w:val="72"/>
          <w:szCs w:val="30"/>
          <w:lang w:val="zh-CN"/>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fldChar w:fldCharType="end"/>
      </w:r>
      <w:r/>
    </w:p>
    <w:p>
      <w:pPr>
        <w:jc w:val="center"/>
        <w:spacing w:line="360" w:lineRule="auto"/>
        <w:rPr>
          <w:rFonts w:ascii="宋体" w:hAnsi="宋体" w:cs="宋体"/>
          <w:b/>
          <w:bCs/>
          <w:color w:val="000000" w:themeColor="text1"/>
          <w:sz w:val="24"/>
          <w:szCs w:val="24"/>
          <w:lang w:val="zh-CN"/>
          <w14:textFill>
            <w14:solidFill>
              <w14:schemeClr w14:val="tx1"/>
            </w14:solidFill>
          </w14:textFill>
        </w:rPr>
        <w:sectPr>
          <w:footerReference w:type="default" r:id="rId10"/>
          <w:footnotePr/>
          <w:endnotePr/>
          <w:type w:val="nextPage"/>
          <w:pgSz w:w="11906" w:h="16838" w:orient="portrait"/>
          <w:pgMar w:top="1417" w:right="1417" w:bottom="1417" w:left="1417" w:header="851" w:footer="794" w:gutter="0"/>
          <w:cols w:num="1" w:sep="0" w:space="0" w:equalWidth="1"/>
          <w:docGrid w:linePitch="360"/>
        </w:sectPr>
      </w:pPr>
      <w:r>
        <w:rPr>
          <w:rFonts w:ascii="宋体" w:hAnsi="宋体" w:cs="宋体"/>
          <w:b/>
          <w:bCs/>
          <w:color w:val="000000" w:themeColor="text1"/>
          <w:sz w:val="24"/>
          <w:szCs w:val="24"/>
          <w:lang w:val="zh-CN"/>
          <w14:textFill>
            <w14:solidFill>
              <w14:schemeClr w14:val="tx1"/>
            </w14:solidFill>
          </w14:textFill>
        </w:rPr>
      </w:r>
      <w:r/>
    </w:p>
    <w:p>
      <w:pPr>
        <w:pStyle w:val="948"/>
        <w:rPr>
          <w:rFonts w:ascii="宋体" w:hAnsi="宋体" w:cs="宋体"/>
          <w:color w:val="000000" w:themeColor="text1"/>
          <w14:textFill>
            <w14:solidFill>
              <w14:schemeClr w14:val="tx1"/>
            </w14:solidFill>
          </w14:textFill>
        </w:rPr>
      </w:pPr>
      <w:r/>
      <w:bookmarkStart w:id="0" w:name="_Toc534273792"/>
      <w:r/>
      <w:bookmarkStart w:id="1" w:name="_Toc149805855"/>
      <w:r/>
      <w:bookmarkStart w:id="2" w:name="_Toc4587"/>
      <w:r>
        <w:rPr>
          <w:rFonts w:hint="eastAsia" w:ascii="宋体" w:hAnsi="宋体" w:cs="宋体"/>
          <w:color w:val="000000" w:themeColor="text1"/>
          <w:lang w:val="zh-CN"/>
          <w14:textFill>
            <w14:solidFill>
              <w14:schemeClr w14:val="tx1"/>
            </w14:solidFill>
          </w14:textFill>
        </w:rPr>
        <w:t xml:space="preserve">第一章 竞争性磋商</w:t>
      </w:r>
      <w:bookmarkEnd w:id="0"/>
      <w:r>
        <w:rPr>
          <w:rFonts w:hint="eastAsia" w:ascii="宋体" w:hAnsi="宋体" w:cs="宋体"/>
          <w:color w:val="000000" w:themeColor="text1"/>
          <w:lang w:val="zh-CN"/>
          <w14:textFill>
            <w14:solidFill>
              <w14:schemeClr w14:val="tx1"/>
            </w14:solidFill>
          </w14:textFill>
        </w:rPr>
        <w:t xml:space="preserve">公告</w:t>
      </w:r>
      <w:bookmarkEnd w:id="1"/>
      <w:r/>
      <w:bookmarkEnd w:id="2"/>
      <w:r/>
      <w:r/>
    </w:p>
    <w:p>
      <w:pPr>
        <w:pStyle w:val="946"/>
        <w:ind w:firstLine="375"/>
        <w:spacing w:after="75" w:afterAutospacing="0" w:line="360" w:lineRule="atLeast"/>
        <w:shd w:val="clear" w:color="auto" w:fill="ffffff"/>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shd w:val="clear" w:color="auto" w:fill="ffffff"/>
          <w:lang w:val="zh-CN"/>
          <w14:textFill>
            <w14:solidFill>
              <w14:schemeClr w14:val="tx1"/>
            </w14:solidFill>
          </w14:textFill>
        </w:rPr>
        <w:t xml:space="preserve">东山站监测能力提升项目</w:t>
      </w:r>
      <w:r>
        <w:rPr>
          <w:rFonts w:hint="eastAsia" w:ascii="宋体" w:hAnsi="宋体" w:cs="宋体"/>
          <w:color w:val="000000" w:themeColor="text1"/>
          <w:spacing w:val="15"/>
          <w:sz w:val="21"/>
          <w:szCs w:val="21"/>
          <w:shd w:val="clear" w:color="auto" w:fill="ffffff"/>
          <w14:textFill>
            <w14:solidFill>
              <w14:schemeClr w14:val="tx1"/>
            </w14:solidFill>
          </w14:textFill>
        </w:rPr>
        <w:t xml:space="preserve">的</w:t>
      </w:r>
      <w:r>
        <w:rPr>
          <w:rFonts w:hint="eastAsia" w:ascii="宋体" w:hAnsi="宋体" w:cs="宋体"/>
          <w:color w:val="000000" w:themeColor="text1"/>
          <w:spacing w:val="15"/>
          <w:sz w:val="21"/>
          <w:szCs w:val="21"/>
          <w:shd w:val="clear" w:color="auto" w:fill="ffffff"/>
          <w:lang w:val="zh-CN"/>
          <w14:textFill>
            <w14:solidFill>
              <w14:schemeClr w14:val="tx1"/>
            </w14:solidFill>
          </w14:textFill>
        </w:rPr>
        <w:t xml:space="preserve">潜在供应商应在</w:t>
      </w:r>
      <w:r>
        <w:rPr>
          <w:rFonts w:hint="eastAsia" w:ascii="宋体" w:hAnsi="宋体" w:cs="宋体"/>
          <w:color w:val="000000" w:themeColor="text1"/>
          <w:spacing w:val="15"/>
          <w:sz w:val="21"/>
          <w:szCs w:val="21"/>
          <w:u w:val="single"/>
          <w:shd w:val="clear" w:color="auto" w:fill="ffffff"/>
          <w:lang w:val="zh-CN"/>
          <w14:textFill>
            <w14:solidFill>
              <w14:schemeClr w14:val="tx1"/>
            </w14:solidFill>
          </w14:textFill>
        </w:rPr>
        <w:t xml:space="preserve">苏采云系统（网址： http：//jszfcg.jsczt.cn/）</w:t>
      </w:r>
      <w:r>
        <w:rPr>
          <w:rFonts w:hint="eastAsia" w:ascii="宋体" w:hAnsi="宋体" w:cs="宋体"/>
          <w:color w:val="000000" w:themeColor="text1"/>
          <w:spacing w:val="15"/>
          <w:sz w:val="21"/>
          <w:szCs w:val="21"/>
          <w:shd w:val="clear" w:color="auto" w:fill="ffffff"/>
          <w:lang w:val="zh-CN"/>
          <w14:textFill>
            <w14:solidFill>
              <w14:schemeClr w14:val="tx1"/>
            </w14:solidFill>
          </w14:textFill>
        </w:rPr>
        <w:t xml:space="preserve">获取采购文件</w:t>
      </w:r>
      <w:r>
        <w:rPr>
          <w:rFonts w:hint="eastAsia" w:ascii="宋体" w:hAnsi="宋体" w:cs="宋体"/>
          <w:color w:val="000000" w:themeColor="text1"/>
          <w:spacing w:val="15"/>
          <w:sz w:val="21"/>
          <w:szCs w:val="21"/>
          <w:shd w:val="clear" w:color="auto" w:fill="ffffff"/>
          <w14:textFill>
            <w14:solidFill>
              <w14:schemeClr w14:val="tx1"/>
            </w14:solidFill>
          </w14:textFill>
        </w:rPr>
        <w:t xml:space="preserve">，并于2026年9月24</w:t>
      </w:r>
      <w:r>
        <w:rPr>
          <w:rFonts w:hint="eastAsia" w:ascii="宋体" w:hAnsi="宋体" w:cs="宋体"/>
          <w:color w:val="000000" w:themeColor="text1"/>
          <w:spacing w:val="15"/>
          <w:sz w:val="21"/>
          <w:szCs w:val="21"/>
          <w:shd w:val="clear" w:color="auto" w:fill="ffffff"/>
          <w:lang w:val="zh-CN"/>
          <w14:textFill>
            <w14:solidFill>
              <w14:schemeClr w14:val="tx1"/>
            </w14:solidFill>
          </w14:textFill>
        </w:rPr>
        <w:t xml:space="preserve">日</w:t>
      </w:r>
      <w:r>
        <w:rPr>
          <w:rFonts w:hint="eastAsia" w:ascii="宋体" w:hAnsi="宋体" w:cs="宋体"/>
          <w:color w:val="000000" w:themeColor="text1"/>
          <w:spacing w:val="15"/>
          <w:sz w:val="21"/>
          <w:szCs w:val="21"/>
          <w:shd w:val="clear" w:color="auto" w:fill="ffffff"/>
          <w14:textFill>
            <w14:solidFill>
              <w14:schemeClr w14:val="tx1"/>
            </w14:solidFill>
          </w14:textFill>
        </w:rPr>
        <w:t xml:space="preserve">09</w:t>
      </w:r>
      <w:r>
        <w:rPr>
          <w:rFonts w:hint="eastAsia" w:ascii="宋体" w:hAnsi="宋体" w:cs="宋体"/>
          <w:color w:val="000000" w:themeColor="text1"/>
          <w:spacing w:val="15"/>
          <w:sz w:val="21"/>
          <w:szCs w:val="21"/>
          <w:shd w:val="clear" w:color="auto" w:fill="ffffff"/>
          <w:lang w:val="zh-CN"/>
          <w14:textFill>
            <w14:solidFill>
              <w14:schemeClr w14:val="tx1"/>
            </w14:solidFill>
          </w14:textFill>
        </w:rPr>
        <w:t xml:space="preserve">点</w:t>
      </w:r>
      <w:r>
        <w:rPr>
          <w:rFonts w:hint="eastAsia" w:ascii="宋体" w:hAnsi="宋体" w:cs="宋体"/>
          <w:color w:val="000000" w:themeColor="text1"/>
          <w:spacing w:val="15"/>
          <w:sz w:val="21"/>
          <w:szCs w:val="21"/>
          <w:shd w:val="clear" w:color="auto" w:fill="ffffff"/>
          <w14:textFill>
            <w14:solidFill>
              <w14:schemeClr w14:val="tx1"/>
            </w14:solidFill>
          </w14:textFill>
        </w:rPr>
        <w:t xml:space="preserve">30</w:t>
      </w:r>
      <w:r>
        <w:rPr>
          <w:rFonts w:hint="eastAsia" w:ascii="宋体" w:hAnsi="宋体" w:cs="宋体"/>
          <w:color w:val="000000" w:themeColor="text1"/>
          <w:spacing w:val="15"/>
          <w:sz w:val="21"/>
          <w:szCs w:val="21"/>
          <w:shd w:val="clear" w:color="auto" w:fill="ffffff"/>
          <w:lang w:val="zh-CN"/>
          <w14:textFill>
            <w14:solidFill>
              <w14:schemeClr w14:val="tx1"/>
            </w14:solidFill>
          </w14:textFill>
        </w:rPr>
        <w:t xml:space="preserve">分</w:t>
      </w:r>
      <w:r>
        <w:rPr>
          <w:rFonts w:hint="eastAsia" w:ascii="宋体" w:hAnsi="宋体" w:cs="宋体"/>
          <w:color w:val="000000" w:themeColor="text1"/>
          <w:spacing w:val="15"/>
          <w:sz w:val="21"/>
          <w:szCs w:val="21"/>
          <w:shd w:val="clear" w:color="auto" w:fill="ffffff"/>
          <w14:textFill>
            <w14:solidFill>
              <w14:schemeClr w14:val="tx1"/>
            </w14:solidFill>
          </w14:textFill>
        </w:rPr>
        <w:t xml:space="preserve">（</w:t>
      </w:r>
      <w:r>
        <w:rPr>
          <w:rFonts w:hint="eastAsia" w:ascii="宋体" w:hAnsi="宋体" w:cs="宋体"/>
          <w:color w:val="000000" w:themeColor="text1"/>
          <w:spacing w:val="15"/>
          <w:sz w:val="21"/>
          <w:szCs w:val="21"/>
          <w:shd w:val="clear" w:color="auto" w:fill="ffffff"/>
          <w:lang w:val="zh-CN"/>
          <w14:textFill>
            <w14:solidFill>
              <w14:schemeClr w14:val="tx1"/>
            </w14:solidFill>
          </w14:textFill>
        </w:rPr>
        <w:t xml:space="preserve">北京时间</w:t>
      </w:r>
      <w:r>
        <w:rPr>
          <w:rFonts w:hint="eastAsia" w:ascii="宋体" w:hAnsi="宋体" w:cs="宋体"/>
          <w:color w:val="000000" w:themeColor="text1"/>
          <w:spacing w:val="15"/>
          <w:sz w:val="21"/>
          <w:szCs w:val="21"/>
          <w:shd w:val="clear" w:color="auto" w:fill="ffffff"/>
          <w14:textFill>
            <w14:solidFill>
              <w14:schemeClr w14:val="tx1"/>
            </w14:solidFill>
          </w14:textFill>
        </w:rPr>
        <w:t xml:space="preserve">）</w:t>
      </w:r>
      <w:r>
        <w:rPr>
          <w:rFonts w:hint="eastAsia" w:ascii="宋体" w:hAnsi="宋体" w:cs="宋体"/>
          <w:color w:val="000000" w:themeColor="text1"/>
          <w:spacing w:val="15"/>
          <w:sz w:val="21"/>
          <w:szCs w:val="21"/>
          <w:shd w:val="clear" w:color="auto" w:fill="ffffff"/>
          <w:lang w:val="zh-CN"/>
          <w14:textFill>
            <w14:solidFill>
              <w14:schemeClr w14:val="tx1"/>
            </w14:solidFill>
          </w14:textFill>
        </w:rPr>
        <w:t xml:space="preserve">前递交</w:t>
      </w:r>
      <w:r>
        <w:rPr>
          <w:rFonts w:hint="eastAsia" w:ascii="宋体" w:hAnsi="宋体" w:cs="宋体"/>
          <w:color w:val="000000" w:themeColor="text1"/>
          <w:spacing w:val="15"/>
          <w:sz w:val="21"/>
          <w:szCs w:val="21"/>
          <w:shd w:val="clear" w:color="auto" w:fill="ffffff"/>
          <w14:textFill>
            <w14:solidFill>
              <w14:schemeClr w14:val="tx1"/>
            </w14:solidFill>
          </w14:textFill>
        </w:rPr>
        <w:t xml:space="preserve">响应</w:t>
      </w:r>
      <w:r>
        <w:rPr>
          <w:rFonts w:hint="eastAsia" w:ascii="宋体" w:hAnsi="宋体" w:cs="宋体"/>
          <w:color w:val="000000" w:themeColor="text1"/>
          <w:spacing w:val="15"/>
          <w:sz w:val="21"/>
          <w:szCs w:val="21"/>
          <w:shd w:val="clear" w:color="auto" w:fill="ffffff"/>
          <w:lang w:val="zh-CN"/>
          <w14:textFill>
            <w14:solidFill>
              <w14:schemeClr w14:val="tx1"/>
            </w14:solidFill>
          </w14:textFill>
        </w:rPr>
        <w:t xml:space="preserve">文件。</w:t>
      </w:r>
      <w:r/>
    </w:p>
    <w:p>
      <w:pPr>
        <w:pStyle w:val="946"/>
        <w:ind w:firstLine="375"/>
        <w:spacing w:before="75" w:beforeAutospacing="0" w:after="75" w:afterAutospacing="0" w:line="360" w:lineRule="atLeast"/>
        <w:shd w:val="clear" w:color="auto" w:fill="ffffff"/>
        <w:rPr>
          <w:rFonts w:ascii="宋体" w:hAnsi="宋体" w:cs="宋体"/>
          <w:b/>
          <w:bCs/>
          <w:color w:val="000000" w:themeColor="text1"/>
          <w:sz w:val="21"/>
          <w:szCs w:val="21"/>
          <w:shd w:val="clear" w:color="auto" w:fill="ffffff"/>
          <w14:textFill>
            <w14:solidFill>
              <w14:schemeClr w14:val="tx1"/>
            </w14:solidFill>
          </w14:textFill>
        </w:rPr>
      </w:pPr>
      <w:r>
        <w:rPr>
          <w:rFonts w:hint="eastAsia" w:ascii="宋体" w:hAnsi="宋体" w:cs="宋体"/>
          <w:b/>
          <w:bCs/>
          <w:color w:val="000000" w:themeColor="text1"/>
          <w:sz w:val="21"/>
          <w:szCs w:val="21"/>
          <w:shd w:val="clear" w:color="auto" w:fill="ffffff"/>
          <w14:textFill>
            <w14:solidFill>
              <w14:schemeClr w14:val="tx1"/>
            </w14:solidFill>
          </w14:textFill>
        </w:rPr>
        <w:t xml:space="preserve">一、项目基本情况</w:t>
      </w:r>
      <w:r/>
    </w:p>
    <w:p>
      <w:pPr>
        <w:pStyle w:val="946"/>
        <w:ind w:firstLine="420"/>
        <w:spacing w:before="75" w:beforeAutospacing="0" w:after="75" w:afterAutospacing="0" w:line="360" w:lineRule="atLeast"/>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（一）项目编号：JSZC-320000-NJGJ-C2026-0021</w:t>
      </w:r>
      <w:r/>
    </w:p>
    <w:p>
      <w:pPr>
        <w:pStyle w:val="946"/>
        <w:ind w:firstLine="420"/>
        <w:spacing w:before="75" w:beforeAutospacing="0" w:after="75" w:afterAutospacing="0" w:line="360" w:lineRule="atLeast"/>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（二）项目名称：</w:t>
      </w:r>
      <w:r>
        <w:rPr>
          <w:rFonts w:hint="eastAsia" w:ascii="宋体" w:hAnsi="宋体" w:cs="宋体"/>
          <w:color w:val="000000" w:themeColor="text1"/>
          <w:sz w:val="21"/>
          <w:szCs w:val="21"/>
          <w:lang w:val="zh-CN"/>
          <w14:textFill>
            <w14:solidFill>
              <w14:schemeClr w14:val="tx1"/>
            </w14:solidFill>
          </w14:textFill>
        </w:rPr>
        <w:t xml:space="preserve">东山站监测能力提升项目</w:t>
      </w:r>
      <w:r/>
    </w:p>
    <w:p>
      <w:pPr>
        <w:pStyle w:val="946"/>
        <w:ind w:firstLine="420"/>
        <w:spacing w:before="75" w:beforeAutospacing="0" w:after="75" w:afterAutospacing="0" w:line="360" w:lineRule="atLeast"/>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（三）采购方式：竞争性磋商</w:t>
      </w:r>
      <w:r/>
    </w:p>
    <w:p>
      <w:pPr>
        <w:pStyle w:val="946"/>
        <w:ind w:firstLine="420"/>
        <w:spacing w:before="75" w:beforeAutospacing="0" w:after="75" w:afterAutospacing="0" w:line="360" w:lineRule="atLeast"/>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（四）预算金额：</w:t>
      </w:r>
      <w:r>
        <w:rPr>
          <w:rFonts w:hint="eastAsia" w:ascii="宋体" w:hAnsi="宋体" w:cs="宋体"/>
          <w:color w:val="000000" w:themeColor="text1"/>
          <w:sz w:val="21"/>
          <w:szCs w:val="21"/>
          <w14:textFill>
            <w14:solidFill>
              <w14:schemeClr w14:val="tx1"/>
            </w14:solidFill>
          </w14:textFill>
        </w:rPr>
        <w:t xml:space="preserve">200万元</w:t>
      </w:r>
      <w:r/>
    </w:p>
    <w:p>
      <w:pPr>
        <w:pStyle w:val="946"/>
        <w:ind w:firstLine="420"/>
        <w:spacing w:before="75" w:beforeAutospacing="0" w:after="75" w:afterAutospacing="0" w:line="360" w:lineRule="atLeast"/>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（五）最高限价：</w:t>
      </w:r>
      <w:r>
        <w:rPr>
          <w:rFonts w:ascii="宋体" w:hAnsi="宋体" w:cs="宋体"/>
          <w:color w:val="000000" w:themeColor="text1"/>
          <w:sz w:val="21"/>
          <w:szCs w:val="21"/>
          <w14:textFill>
            <w14:solidFill>
              <w14:schemeClr w14:val="tx1"/>
            </w14:solidFill>
          </w14:textFill>
        </w:rPr>
        <w:t xml:space="preserve">198</w:t>
      </w:r>
      <w:r>
        <w:rPr>
          <w:rFonts w:hint="eastAsia" w:ascii="宋体" w:hAnsi="宋体" w:cs="宋体"/>
          <w:color w:val="000000" w:themeColor="text1"/>
          <w:sz w:val="21"/>
          <w:szCs w:val="21"/>
          <w14:textFill>
            <w14:solidFill>
              <w14:schemeClr w14:val="tx1"/>
            </w14:solidFill>
          </w14:textFill>
        </w:rPr>
        <w:t xml:space="preserve">万元（投标报价不得超过采购项目最高限价，否则按无效投标处理）</w:t>
      </w:r>
      <w:r/>
    </w:p>
    <w:p>
      <w:pPr>
        <w:pStyle w:val="946"/>
        <w:ind w:firstLine="420"/>
        <w:spacing w:before="75" w:beforeAutospacing="0" w:after="75" w:afterAutospacing="0" w:line="360" w:lineRule="atLeast"/>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（六）采购需求：</w:t>
      </w:r>
      <w:r>
        <w:rPr>
          <w:rFonts w:hint="eastAsia" w:ascii="宋体" w:hAnsi="宋体" w:cs="宋体"/>
          <w:color w:val="000000" w:themeColor="text1"/>
          <w:sz w:val="21"/>
          <w:szCs w:val="21"/>
          <w:lang w:val="zh-CN"/>
          <w14:textFill>
            <w14:solidFill>
              <w14:schemeClr w14:val="tx1"/>
            </w14:solidFill>
          </w14:textFill>
        </w:rPr>
        <w:t xml:space="preserve">东山站监测能力提升项目，</w:t>
      </w:r>
      <w:r>
        <w:rPr>
          <w:rFonts w:hint="eastAsia" w:ascii="宋体" w:hAnsi="宋体" w:cs="宋体"/>
          <w:color w:val="000000" w:themeColor="text1"/>
          <w:sz w:val="21"/>
          <w:szCs w:val="21"/>
          <w14:textFill>
            <w14:solidFill>
              <w14:schemeClr w14:val="tx1"/>
            </w14:solidFill>
          </w14:textFill>
        </w:rPr>
        <w:t xml:space="preserve">具体详见竞争性磋商文件。</w:t>
      </w:r>
      <w:r/>
    </w:p>
    <w:p>
      <w:pPr>
        <w:pStyle w:val="946"/>
        <w:ind w:firstLine="420"/>
        <w:spacing w:before="75" w:beforeAutospacing="0" w:after="75" w:afterAutospacing="0" w:line="360" w:lineRule="atLeast"/>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（七）合同履行期限：70日历天。</w:t>
      </w:r>
      <w:r/>
    </w:p>
    <w:p>
      <w:pPr>
        <w:pStyle w:val="946"/>
        <w:ind w:firstLine="420"/>
        <w:spacing w:before="75" w:beforeAutospacing="0" w:after="75" w:afterAutospacing="0" w:line="360" w:lineRule="atLeast"/>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（八）本项目标的所属行业：工业。</w:t>
      </w:r>
      <w:r/>
    </w:p>
    <w:p>
      <w:pPr>
        <w:pStyle w:val="946"/>
        <w:ind w:firstLine="420"/>
        <w:spacing w:before="75" w:beforeAutospacing="0" w:after="75" w:afterAutospacing="0" w:line="360" w:lineRule="atLeast"/>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（九）本项目</w:t>
      </w:r>
      <w:r>
        <w:rPr>
          <w:rFonts w:hint="eastAsia" w:ascii="宋体" w:hAnsi="宋体" w:cs="宋体"/>
          <w:b/>
          <w:bCs/>
          <w:color w:val="000000" w:themeColor="text1"/>
          <w:sz w:val="21"/>
          <w:szCs w:val="21"/>
          <w14:textFill>
            <w14:solidFill>
              <w14:schemeClr w14:val="tx1"/>
            </w14:solidFill>
          </w14:textFill>
        </w:rPr>
        <w:t xml:space="preserve">不专门</w:t>
      </w:r>
      <w:r>
        <w:rPr>
          <w:rFonts w:hint="eastAsia" w:ascii="宋体" w:hAnsi="宋体" w:cs="宋体"/>
          <w:color w:val="000000" w:themeColor="text1"/>
          <w:sz w:val="21"/>
          <w:szCs w:val="21"/>
          <w14:textFill>
            <w14:solidFill>
              <w14:schemeClr w14:val="tx1"/>
            </w14:solidFill>
          </w14:textFill>
        </w:rPr>
        <w:t xml:space="preserve">面向中小企业采购。</w:t>
      </w:r>
      <w:r/>
    </w:p>
    <w:p>
      <w:pPr>
        <w:pStyle w:val="946"/>
        <w:ind w:firstLine="420"/>
        <w:spacing w:before="75" w:beforeAutospacing="0" w:after="75" w:afterAutospacing="0" w:line="360" w:lineRule="atLeast"/>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（十）本项目</w:t>
      </w:r>
      <w:r>
        <w:rPr>
          <w:rFonts w:hint="eastAsia" w:ascii="宋体" w:hAnsi="宋体" w:cs="宋体"/>
          <w:b/>
          <w:bCs/>
          <w:color w:val="000000" w:themeColor="text1"/>
          <w:sz w:val="21"/>
          <w:szCs w:val="21"/>
          <w14:textFill>
            <w14:solidFill>
              <w14:schemeClr w14:val="tx1"/>
            </w14:solidFill>
          </w14:textFill>
        </w:rPr>
        <w:t xml:space="preserve">不接受</w:t>
      </w:r>
      <w:r>
        <w:rPr>
          <w:rFonts w:hint="eastAsia" w:ascii="宋体" w:hAnsi="宋体" w:cs="宋体"/>
          <w:color w:val="000000" w:themeColor="text1"/>
          <w:sz w:val="21"/>
          <w:szCs w:val="21"/>
          <w14:textFill>
            <w14:solidFill>
              <w14:schemeClr w14:val="tx1"/>
            </w14:solidFill>
          </w14:textFill>
        </w:rPr>
        <w:t xml:space="preserve">联合体。</w:t>
      </w:r>
      <w:r/>
    </w:p>
    <w:p>
      <w:pPr>
        <w:pStyle w:val="946"/>
        <w:ind w:firstLine="420"/>
        <w:spacing w:before="75" w:beforeAutospacing="0" w:after="75" w:afterAutospacing="0" w:line="360" w:lineRule="atLeast"/>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（十一）本项目不接受进口产品。</w:t>
      </w:r>
      <w:r/>
    </w:p>
    <w:p>
      <w:pPr>
        <w:pStyle w:val="946"/>
        <w:ind w:firstLine="375"/>
        <w:spacing w:before="75" w:beforeAutospacing="0" w:after="75" w:afterAutospacing="0" w:line="360" w:lineRule="atLeast"/>
        <w:shd w:val="clear" w:color="auto" w:fill="ffffff"/>
        <w:rPr>
          <w:rFonts w:ascii="宋体" w:hAnsi="宋体" w:cs="宋体"/>
          <w:b/>
          <w:bCs/>
          <w:color w:val="000000" w:themeColor="text1"/>
          <w:sz w:val="21"/>
          <w:szCs w:val="21"/>
          <w:shd w:val="clear" w:color="auto" w:fill="ffffff"/>
          <w14:textFill>
            <w14:solidFill>
              <w14:schemeClr w14:val="tx1"/>
            </w14:solidFill>
          </w14:textFill>
        </w:rPr>
      </w:pPr>
      <w:r>
        <w:rPr>
          <w:rFonts w:hint="eastAsia" w:ascii="宋体" w:hAnsi="宋体" w:cs="宋体"/>
          <w:b/>
          <w:bCs/>
          <w:color w:val="000000" w:themeColor="text1"/>
          <w:sz w:val="21"/>
          <w:szCs w:val="21"/>
          <w:shd w:val="clear" w:color="auto" w:fill="ffffff"/>
          <w14:textFill>
            <w14:solidFill>
              <w14:schemeClr w14:val="tx1"/>
            </w14:solidFill>
          </w14:textFill>
        </w:rPr>
        <w:t xml:space="preserve">二、申请人的资格要求：</w:t>
      </w:r>
      <w:r/>
    </w:p>
    <w:p>
      <w:pPr>
        <w:pStyle w:val="946"/>
        <w:ind w:firstLine="420"/>
        <w:spacing w:before="75" w:beforeAutospacing="0" w:after="75" w:afterAutospacing="0" w:line="360" w:lineRule="atLeast"/>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（一）满足《中华人民共和国政府采购法》第二十二条规定：</w:t>
      </w:r>
      <w:r/>
    </w:p>
    <w:p>
      <w:pPr>
        <w:pStyle w:val="946"/>
        <w:ind w:firstLine="420"/>
        <w:spacing w:before="75" w:beforeAutospacing="0" w:after="75" w:afterAutospacing="0" w:line="360" w:lineRule="atLeast"/>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1.具有独立承担民事责任的能力（提供法人或者其他组织的营业执照、税务登记证、组织机构代码证，或三证合一，自然人的身份证明，复印件加盖公章）；</w:t>
      </w:r>
      <w:r/>
    </w:p>
    <w:p>
      <w:pPr>
        <w:pStyle w:val="946"/>
        <w:ind w:firstLine="420"/>
        <w:spacing w:before="75" w:beforeAutospacing="0" w:after="75" w:afterAutospacing="0" w:line="360" w:lineRule="atLeast"/>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2.具有良好的商业信誉和健全的财务会计制度（提供2026年2月（含）以来任意一个月的资产负债表和利润表，或2025年年度审计报告，或银行出具的针对本项目的资信证明，或财政部门认可的专业担保机构出具的投标担保函，复印件加盖公章；法人或者其它组织成立不满一年不需提供）；</w:t>
      </w:r>
      <w:r/>
    </w:p>
    <w:p>
      <w:pPr>
        <w:pStyle w:val="946"/>
        <w:ind w:firstLine="420"/>
        <w:spacing w:before="75" w:beforeAutospacing="0" w:after="75" w:afterAutospacing="0" w:line="360" w:lineRule="atLeast"/>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3.具有履行合同所必需的设备和专业技术能力（根据项目需求提供履行合同所必需的设备和专业技术能力的声明及证明材料复印件加盖公章）；</w:t>
      </w:r>
      <w:r/>
    </w:p>
    <w:p>
      <w:pPr>
        <w:pStyle w:val="946"/>
        <w:ind w:firstLine="420"/>
        <w:spacing w:before="75" w:beforeAutospacing="0" w:after="75" w:afterAutospacing="0" w:line="360" w:lineRule="atLeast"/>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4.有依法缴纳税收和社会保障资金的良好记录（提供参加本次政府采购活动前（至少一个月）依法缴纳税收和社会保障资金的相关材料复印件加盖公章）；</w:t>
      </w:r>
      <w:r/>
    </w:p>
    <w:p>
      <w:pPr>
        <w:pStyle w:val="946"/>
        <w:ind w:firstLine="420"/>
        <w:spacing w:before="75" w:beforeAutospacing="0" w:after="75" w:afterAutospacing="0" w:line="360" w:lineRule="atLeast"/>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5.参加政府采购活动前三年内，在经营活动中没有重大违法记录（提供参加本次政府采购活动前3年内在经营活动中没有重大违法记录的书面声明原件）；</w:t>
      </w:r>
      <w:r/>
    </w:p>
    <w:p>
      <w:pPr>
        <w:pStyle w:val="946"/>
        <w:ind w:firstLine="420"/>
        <w:spacing w:before="75" w:beforeAutospacing="0" w:after="75" w:afterAutospacing="0" w:line="360" w:lineRule="atLeast"/>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6.满足法律、行政法规规定的其他条件（提供承诺书加盖公章）。</w:t>
      </w:r>
      <w:r/>
    </w:p>
    <w:p>
      <w:pPr>
        <w:pStyle w:val="946"/>
        <w:ind w:firstLine="420"/>
        <w:spacing w:before="75" w:beforeAutospacing="0" w:after="75" w:afterAutospacing="0" w:line="360" w:lineRule="atLeast"/>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（二）落实政府采购政策需满足的资格要求：如属于专门面向中小企业采购的项目，供应商应为中小微企业、监狱企业、残疾人福利性单位，</w:t>
      </w:r>
      <w:r>
        <w:rPr>
          <w:rFonts w:hint="eastAsia" w:ascii="宋体" w:hAnsi="宋体" w:cs="宋体"/>
          <w:color w:val="000000" w:themeColor="text1"/>
          <w:sz w:val="21"/>
          <w:szCs w:val="21"/>
          <w:lang w:val="en-US" w:eastAsia="zh-CN"/>
          <w14:textFill>
            <w14:solidFill>
              <w14:schemeClr w14:val="tx1"/>
            </w14:solidFill>
          </w14:textFill>
        </w:rPr>
        <w:t xml:space="preserve">不属于</w:t>
      </w:r>
      <w:r>
        <w:rPr>
          <w:rFonts w:hint="eastAsia" w:ascii="宋体" w:hAnsi="宋体" w:cs="宋体"/>
          <w:color w:val="000000" w:themeColor="text1"/>
          <w:sz w:val="21"/>
          <w:szCs w:val="21"/>
          <w14:textFill>
            <w14:solidFill>
              <w14:schemeClr w14:val="tx1"/>
            </w14:solidFill>
          </w14:textFill>
        </w:rPr>
        <w:t xml:space="preserve">则采用以下第4种方式落实政府采购促进中小企业发展的要求：</w:t>
      </w:r>
      <w:r/>
    </w:p>
    <w:p>
      <w:pPr>
        <w:pStyle w:val="946"/>
        <w:ind w:firstLine="420"/>
        <w:spacing w:before="75" w:beforeAutospacing="0" w:after="75" w:afterAutospacing="0" w:line="360" w:lineRule="atLeast"/>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1.本项目整体专门面向中小企业采购货物；</w:t>
      </w:r>
      <w:r/>
    </w:p>
    <w:p>
      <w:pPr>
        <w:pStyle w:val="946"/>
        <w:ind w:firstLine="420"/>
        <w:spacing w:before="75" w:beforeAutospacing="0" w:after="75" w:afterAutospacing="0" w:line="360" w:lineRule="atLeast"/>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2.本项目整体专门面向小微企业采购货物；</w:t>
      </w:r>
      <w:r/>
    </w:p>
    <w:p>
      <w:pPr>
        <w:pStyle w:val="946"/>
        <w:ind w:firstLine="420"/>
        <w:spacing w:before="75" w:beforeAutospacing="0" w:after="75" w:afterAutospacing="0" w:line="360" w:lineRule="atLeast"/>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3.本项目通过以下第几种方式预留部分采购份额采购中小企业服务：</w:t>
      </w:r>
      <w:r/>
    </w:p>
    <w:p>
      <w:pPr>
        <w:pStyle w:val="946"/>
        <w:ind w:firstLine="420"/>
        <w:spacing w:before="75" w:beforeAutospacing="0" w:after="75" w:afterAutospacing="0" w:line="360" w:lineRule="atLeast"/>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（1）本项目要求供应商以联合体形式参加，企业合同金额应当达到的比例为%。</w:t>
      </w:r>
      <w:r/>
    </w:p>
    <w:p>
      <w:pPr>
        <w:pStyle w:val="946"/>
        <w:ind w:firstLine="420"/>
        <w:spacing w:before="75" w:beforeAutospacing="0" w:after="75" w:afterAutospacing="0" w:line="360" w:lineRule="atLeast"/>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（2）本项目要求供应商进行合同分包，企业合同金额应当达到的比例为%。</w:t>
      </w:r>
      <w:r/>
    </w:p>
    <w:p>
      <w:pPr>
        <w:pStyle w:val="946"/>
        <w:ind w:firstLine="420"/>
        <w:spacing w:before="75" w:beforeAutospacing="0" w:after="75" w:afterAutospacing="0" w:line="360" w:lineRule="atLeast"/>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4.本项目为非预留份额的采购项目或采购包，执行价格扣除优惠政策，具体详见第三章评标办法与标准。</w:t>
      </w:r>
      <w:r/>
    </w:p>
    <w:p>
      <w:pPr>
        <w:pStyle w:val="946"/>
        <w:ind w:firstLine="420"/>
        <w:spacing w:before="75" w:beforeAutospacing="0" w:after="75" w:afterAutospacing="0" w:line="360" w:lineRule="atLeast"/>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（三）采购人根据采购项目的特殊要求规定的特定条件：无 </w:t>
      </w:r>
      <w:r/>
    </w:p>
    <w:p>
      <w:pPr>
        <w:pStyle w:val="946"/>
        <w:ind w:firstLine="420"/>
        <w:spacing w:before="75" w:beforeAutospacing="0" w:after="75" w:afterAutospacing="0" w:line="360" w:lineRule="atLeast"/>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（四）拒绝下述供应商参加本次采购活动</w:t>
      </w:r>
      <w:r/>
    </w:p>
    <w:p>
      <w:pPr>
        <w:pStyle w:val="946"/>
        <w:ind w:firstLine="420"/>
        <w:spacing w:before="75" w:beforeAutospacing="0" w:after="75" w:afterAutospacing="0" w:line="360" w:lineRule="atLeast"/>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1.供应商单位负责人为同一人或者存在直接控股、管理关系的不同供应商，参加同一合同项下的政府采购活动。</w:t>
      </w:r>
      <w:r/>
    </w:p>
    <w:p>
      <w:pPr>
        <w:pStyle w:val="946"/>
        <w:ind w:firstLine="420"/>
        <w:spacing w:before="75" w:beforeAutospacing="0" w:after="75" w:afterAutospacing="0" w:line="360" w:lineRule="atLeast"/>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2.为采购项目提供整体设计、规范编制或者项目管理、监理、检测等服务的供应商，参加本项目的采购活动。</w:t>
      </w:r>
      <w:r/>
    </w:p>
    <w:p>
      <w:pPr>
        <w:pStyle w:val="946"/>
        <w:ind w:firstLine="420"/>
        <w:spacing w:before="75" w:beforeAutospacing="0" w:after="75" w:afterAutospacing="0" w:line="360" w:lineRule="atLeast"/>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3.供应商被“信用中国”网站（www.creditchina.gov.cn）、“中国政府采购网”(www.ccgp.gov.cn)列入失信被执行人、重大税收违法失信主体、政府采购严重违法失信行为记录名单。</w:t>
      </w:r>
      <w:r/>
    </w:p>
    <w:p>
      <w:pPr>
        <w:pStyle w:val="946"/>
        <w:ind w:firstLine="420"/>
        <w:spacing w:before="75" w:beforeAutospacing="0" w:after="75" w:afterAutospacing="0" w:line="360" w:lineRule="atLeast"/>
        <w:rPr>
          <w:rFonts w:ascii="宋体" w:hAnsi="宋体" w:cs="宋体"/>
          <w:b/>
          <w:bCs/>
          <w:color w:val="000000" w:themeColor="text1"/>
          <w:sz w:val="21"/>
          <w:szCs w:val="21"/>
          <w14:textFill>
            <w14:solidFill>
              <w14:schemeClr w14:val="tx1"/>
            </w14:solidFill>
          </w14:textFill>
        </w:rPr>
      </w:pPr>
      <w:r>
        <w:rPr>
          <w:rFonts w:hint="eastAsia" w:ascii="宋体" w:hAnsi="宋体" w:cs="宋体"/>
          <w:b/>
          <w:bCs/>
          <w:color w:val="000000" w:themeColor="text1"/>
          <w:sz w:val="21"/>
          <w:szCs w:val="21"/>
          <w14:textFill>
            <w14:solidFill>
              <w14:schemeClr w14:val="tx1"/>
            </w14:solidFill>
          </w14:textFill>
        </w:rPr>
        <w:t xml:space="preserve">三、获取采购文件</w:t>
      </w:r>
      <w:r/>
    </w:p>
    <w:p>
      <w:pPr>
        <w:pStyle w:val="946"/>
        <w:ind w:firstLine="420"/>
        <w:spacing w:before="75" w:beforeAutospacing="0" w:after="75" w:afterAutospacing="0" w:line="360" w:lineRule="atLeast"/>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（一）时间：自磋商文件公告发布之日起5个工作日</w:t>
      </w:r>
      <w:r/>
    </w:p>
    <w:p>
      <w:pPr>
        <w:pStyle w:val="946"/>
        <w:ind w:firstLine="420"/>
        <w:spacing w:before="75" w:beforeAutospacing="0" w:after="75" w:afterAutospacing="0" w:line="360" w:lineRule="atLeast"/>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（二）地点：江苏省政府采购管理交易系统（苏采云）（以下简称“苏采云”）（网址： http：//jszfcg.jsczt.cn/）</w:t>
      </w:r>
      <w:r/>
    </w:p>
    <w:p>
      <w:pPr>
        <w:pStyle w:val="946"/>
        <w:ind w:firstLine="420"/>
        <w:spacing w:before="75" w:beforeAutospacing="0" w:after="75" w:afterAutospacing="0" w:line="360" w:lineRule="atLeast"/>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（三）获取方式：苏采云系统注册登记成功后在系统内免费下载 </w:t>
      </w:r>
      <w:r/>
    </w:p>
    <w:p>
      <w:pPr>
        <w:pStyle w:val="946"/>
        <w:ind w:firstLine="420"/>
        <w:spacing w:before="75" w:beforeAutospacing="0" w:after="75" w:afterAutospacing="0" w:line="360" w:lineRule="atLeast"/>
        <w:rPr>
          <w:rFonts w:ascii="宋体" w:hAnsi="宋体" w:cs="宋体"/>
          <w:b/>
          <w:bCs/>
          <w:color w:val="000000" w:themeColor="text1"/>
          <w:sz w:val="21"/>
          <w:szCs w:val="21"/>
          <w14:textFill>
            <w14:solidFill>
              <w14:schemeClr w14:val="tx1"/>
            </w14:solidFill>
          </w14:textFill>
        </w:rPr>
      </w:pPr>
      <w:r>
        <w:rPr>
          <w:rFonts w:hint="eastAsia" w:ascii="宋体" w:hAnsi="宋体" w:cs="宋体"/>
          <w:b/>
          <w:bCs/>
          <w:color w:val="000000" w:themeColor="text1"/>
          <w:sz w:val="21"/>
          <w:szCs w:val="21"/>
          <w14:textFill>
            <w14:solidFill>
              <w14:schemeClr w14:val="tx1"/>
            </w14:solidFill>
          </w14:textFill>
        </w:rPr>
        <w:t xml:space="preserve">四、响应文件提交</w:t>
      </w:r>
      <w:r/>
    </w:p>
    <w:p>
      <w:pPr>
        <w:pStyle w:val="946"/>
        <w:ind w:firstLine="420"/>
        <w:spacing w:before="75" w:beforeAutospacing="0" w:after="75" w:afterAutospacing="0" w:line="360" w:lineRule="atLeast"/>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（一）截止时间：2026年9月24日09时30分。(北京时间）</w:t>
      </w:r>
      <w:r/>
    </w:p>
    <w:p>
      <w:pPr>
        <w:pStyle w:val="946"/>
        <w:ind w:firstLine="420"/>
        <w:spacing w:before="75" w:beforeAutospacing="0" w:after="75" w:afterAutospacing="0" w:line="360" w:lineRule="atLeast"/>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（二）地点：苏采云（网址： http：//jszfcg.jsczt.cn/）</w:t>
      </w:r>
      <w:r/>
    </w:p>
    <w:p>
      <w:pPr>
        <w:pStyle w:val="946"/>
        <w:ind w:firstLine="420"/>
        <w:spacing w:before="75" w:beforeAutospacing="0" w:after="75" w:afterAutospacing="0" w:line="360" w:lineRule="atLeast"/>
        <w:rPr>
          <w:rFonts w:ascii="宋体" w:hAnsi="宋体" w:cs="宋体"/>
          <w:b/>
          <w:bCs/>
          <w:color w:val="000000" w:themeColor="text1"/>
          <w:sz w:val="21"/>
          <w:szCs w:val="21"/>
          <w14:textFill>
            <w14:solidFill>
              <w14:schemeClr w14:val="tx1"/>
            </w14:solidFill>
          </w14:textFill>
        </w:rPr>
      </w:pPr>
      <w:r>
        <w:rPr>
          <w:rFonts w:hint="eastAsia" w:ascii="宋体" w:hAnsi="宋体" w:cs="宋体"/>
          <w:b/>
          <w:bCs/>
          <w:color w:val="000000" w:themeColor="text1"/>
          <w:sz w:val="21"/>
          <w:szCs w:val="21"/>
          <w14:textFill>
            <w14:solidFill>
              <w14:schemeClr w14:val="tx1"/>
            </w14:solidFill>
          </w14:textFill>
        </w:rPr>
        <w:t xml:space="preserve">五、开启</w:t>
      </w:r>
      <w:r/>
    </w:p>
    <w:p>
      <w:pPr>
        <w:pStyle w:val="946"/>
        <w:ind w:firstLine="420"/>
        <w:spacing w:before="75" w:beforeAutospacing="0" w:after="75" w:afterAutospacing="0" w:line="360" w:lineRule="atLeast"/>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（一）时间：2026年9月24日09时30分。(北京时间）</w:t>
      </w:r>
      <w:r/>
    </w:p>
    <w:p>
      <w:pPr>
        <w:pStyle w:val="946"/>
        <w:ind w:firstLine="420"/>
        <w:spacing w:before="75" w:beforeAutospacing="0" w:after="75" w:afterAutospacing="0" w:line="360" w:lineRule="atLeast"/>
        <w:rPr>
          <w:rFonts w:ascii="宋体" w:hAnsi="宋体" w:cs="宋体"/>
          <w:b/>
          <w:bCs/>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（二）地点：</w:t>
      </w:r>
      <w:r>
        <w:rPr>
          <w:rFonts w:hint="eastAsia"/>
          <w:color w:val="000000" w:themeColor="text1"/>
          <w:spacing w:val="15"/>
          <w:sz w:val="21"/>
          <w:szCs w:val="21"/>
          <w:shd w:val="clear" w:color="auto" w:fill="ffffff"/>
          <w14:textFill>
            <w14:solidFill>
              <w14:schemeClr w14:val="tx1"/>
            </w14:solidFill>
          </w14:textFill>
        </w:rPr>
        <w:t xml:space="preserve">苏采云系统开标大厅</w:t>
      </w:r>
      <w:r/>
    </w:p>
    <w:p>
      <w:pPr>
        <w:pStyle w:val="946"/>
        <w:ind w:firstLine="420"/>
        <w:spacing w:before="75" w:beforeAutospacing="0" w:after="75" w:afterAutospacing="0" w:line="360" w:lineRule="atLeast"/>
        <w:rPr>
          <w:rFonts w:ascii="宋体" w:hAnsi="宋体" w:cs="宋体"/>
          <w:b/>
          <w:bCs/>
          <w:color w:val="000000" w:themeColor="text1"/>
          <w:sz w:val="21"/>
          <w:szCs w:val="21"/>
          <w14:textFill>
            <w14:solidFill>
              <w14:schemeClr w14:val="tx1"/>
            </w14:solidFill>
          </w14:textFill>
        </w:rPr>
      </w:pPr>
      <w:r>
        <w:rPr>
          <w:rFonts w:hint="eastAsia" w:ascii="宋体" w:hAnsi="宋体" w:cs="宋体"/>
          <w:b/>
          <w:bCs/>
          <w:color w:val="000000" w:themeColor="text1"/>
          <w:sz w:val="21"/>
          <w:szCs w:val="21"/>
          <w14:textFill>
            <w14:solidFill>
              <w14:schemeClr w14:val="tx1"/>
            </w14:solidFill>
          </w14:textFill>
        </w:rPr>
        <w:t xml:space="preserve">六、公告期限</w:t>
      </w:r>
      <w:r/>
    </w:p>
    <w:p>
      <w:pPr>
        <w:pStyle w:val="946"/>
        <w:ind w:firstLine="420"/>
        <w:spacing w:before="75" w:beforeAutospacing="0" w:after="75" w:afterAutospacing="0" w:line="360" w:lineRule="atLeast"/>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自本公告发布之日起3个工作日。</w:t>
      </w:r>
      <w:r/>
    </w:p>
    <w:p>
      <w:pPr>
        <w:pStyle w:val="946"/>
        <w:ind w:firstLine="420"/>
        <w:spacing w:before="75" w:beforeAutospacing="0" w:after="75" w:afterAutospacing="0" w:line="360" w:lineRule="atLeast"/>
        <w:rPr>
          <w:rFonts w:ascii="宋体" w:hAnsi="宋体" w:cs="宋体"/>
          <w:b/>
          <w:bCs/>
          <w:color w:val="000000" w:themeColor="text1"/>
          <w:sz w:val="21"/>
          <w:szCs w:val="21"/>
          <w14:textFill>
            <w14:solidFill>
              <w14:schemeClr w14:val="tx1"/>
            </w14:solidFill>
          </w14:textFill>
        </w:rPr>
      </w:pPr>
      <w:r>
        <w:rPr>
          <w:rFonts w:hint="eastAsia" w:ascii="宋体" w:hAnsi="宋体" w:cs="宋体"/>
          <w:b/>
          <w:bCs/>
          <w:color w:val="000000" w:themeColor="text1"/>
          <w:sz w:val="21"/>
          <w:szCs w:val="21"/>
          <w14:textFill>
            <w14:solidFill>
              <w14:schemeClr w14:val="tx1"/>
            </w14:solidFill>
          </w14:textFill>
        </w:rPr>
        <w:t xml:space="preserve">七、其他补充事宜</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（一）本项目在</w:t>
      </w:r>
      <w:r>
        <w:rPr>
          <w:rFonts w:hint="eastAsia" w:ascii="宋体" w:hAnsi="宋体" w:cs="宋体"/>
          <w:b/>
          <w:bCs/>
          <w:color w:val="000000" w:themeColor="text1"/>
          <w:szCs w:val="21"/>
          <w:lang w:val="zh-CN"/>
          <w14:textFill>
            <w14:solidFill>
              <w14:schemeClr w14:val="tx1"/>
            </w14:solidFill>
          </w14:textFill>
        </w:rPr>
        <w:t xml:space="preserve">江苏政府采购网</w:t>
      </w:r>
      <w:r>
        <w:rPr>
          <w:rFonts w:hint="eastAsia" w:ascii="宋体" w:hAnsi="宋体" w:cs="宋体"/>
          <w:color w:val="000000" w:themeColor="text1"/>
          <w:szCs w:val="21"/>
          <w14:textFill>
            <w14:solidFill>
              <w14:schemeClr w14:val="tx1"/>
            </w14:solidFill>
          </w14:textFill>
        </w:rPr>
        <w:t xml:space="preserve">网站发布公告。</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（二）</w:t>
      </w:r>
      <w:r>
        <w:rPr>
          <w:rFonts w:hint="eastAsia" w:ascii="宋体" w:hAnsi="宋体" w:cs="宋体"/>
          <w:color w:val="000000" w:themeColor="text1"/>
          <w:szCs w:val="21"/>
          <w:lang w:val="zh-CN"/>
          <w14:textFill>
            <w14:solidFill>
              <w14:schemeClr w14:val="tx1"/>
            </w14:solidFill>
          </w14:textFill>
        </w:rPr>
        <w:t xml:space="preserve">集中</w:t>
      </w:r>
      <w:r>
        <w:rPr>
          <w:rFonts w:hint="eastAsia" w:ascii="宋体" w:hAnsi="宋体" w:cs="宋体"/>
          <w:color w:val="000000" w:themeColor="text1"/>
          <w:szCs w:val="21"/>
          <w14:textFill>
            <w14:solidFill>
              <w14:schemeClr w14:val="tx1"/>
            </w14:solidFill>
          </w14:textFill>
        </w:rPr>
        <w:t xml:space="preserve">勘察现场：采购人不组织集中考察，供应商可自行勘察。请务必对项目现场和周围环境进行仔细认真地查勘，在随后的采购中，对现场资料和数据所作出的推论、解释和结论及由此造成的后果由供应商负责。</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（三）关于“苏采云”系统的提示说明</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1.潜在供应商访问电子招标响应交易平台的网络地址和方法：</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2.潜在供应商访问“苏采云”系统的网络地址和方法：“苏采云”系统的网址：http：//jszfcg.jsczt.cn/。</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3.“CA数字证书”的获取：响应供应商需办理“CA数字证书”，CA办理指南及“苏采云”操作手册可至江苏省政府采购网―办事指南-资料下载中心下载。</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通过苏采云系统首页（http：//jszfcg.jscz.gov.cn/）的“苏采云控件驱动下载”，选择“政务CA、方正签章控件驱动安装包及安装说明”下载安装，具体安装方法详见下载文件内的《安装说明》。</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4.采购文件（后缀名为“.kedt”）、供应商操作手册及政府采购客户端工具可通过“苏采云”系统--已报名项目--报名详情页面内相应链接进行下载。</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5.请潜在供应商提前安装相应的控件（详见《江苏省政府采购管理交易系统（苏采云）供应商操作手册》）并使用谷歌浏览器登录“苏采云”系统参与不见面开评标。</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四）本次采购采用“江苏省政府采购管理交易系统（苏采云）”，招标、投标、评标和中标结果发布全程电子化，开标方式为不见面开标。投标人应该按照《江苏省政府采购管理交易系统（苏采云）供应商操作手册》参加投标活动。如供应商未按要求操作，由此所产生的风险由投标人自行承担。</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（五）有关本次采购的事项若存在变动或修改，敬请及时关注“江苏政府采购网”（www.ccgp-jiangsu.gov.cn）发布的信息更正公告。 </w:t>
      </w:r>
      <w:r/>
    </w:p>
    <w:p>
      <w:pPr>
        <w:pStyle w:val="946"/>
        <w:ind w:firstLine="420"/>
        <w:spacing w:before="75" w:beforeAutospacing="0" w:after="75" w:afterAutospacing="0" w:line="360" w:lineRule="atLeast"/>
        <w:rPr>
          <w:rFonts w:ascii="宋体" w:hAnsi="宋体" w:cs="宋体"/>
          <w:b/>
          <w:bCs/>
          <w:color w:val="000000" w:themeColor="text1"/>
          <w:sz w:val="21"/>
          <w:szCs w:val="21"/>
          <w14:textFill>
            <w14:solidFill>
              <w14:schemeClr w14:val="tx1"/>
            </w14:solidFill>
          </w14:textFill>
        </w:rPr>
      </w:pPr>
      <w:r>
        <w:rPr>
          <w:rFonts w:hint="eastAsia" w:ascii="宋体" w:hAnsi="宋体" w:cs="宋体"/>
          <w:b/>
          <w:bCs/>
          <w:color w:val="000000" w:themeColor="text1"/>
          <w:sz w:val="21"/>
          <w:szCs w:val="21"/>
          <w14:textFill>
            <w14:solidFill>
              <w14:schemeClr w14:val="tx1"/>
            </w14:solidFill>
          </w14:textFill>
        </w:rPr>
        <w:t xml:space="preserve">八、对本次采购提出询问，请按以下方式联系。</w:t>
      </w:r>
      <w:r/>
    </w:p>
    <w:p>
      <w:pPr>
        <w:pStyle w:val="946"/>
        <w:ind w:firstLine="420"/>
        <w:spacing w:before="75" w:beforeAutospacing="0" w:after="75" w:afterAutospacing="0" w:line="360" w:lineRule="atLeast"/>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（一）采购人信息</w:t>
      </w:r>
      <w:r/>
    </w:p>
    <w:p>
      <w:pPr>
        <w:pStyle w:val="946"/>
        <w:ind w:firstLine="420"/>
        <w:spacing w:before="75" w:beforeAutospacing="0" w:after="75" w:afterAutospacing="0" w:line="360" w:lineRule="atLeast"/>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单位</w:t>
      </w:r>
      <w:r>
        <w:rPr>
          <w:rFonts w:hint="eastAsia" w:ascii="宋体" w:hAnsi="宋体" w:cs="宋体"/>
          <w:color w:val="000000" w:themeColor="text1"/>
          <w:sz w:val="21"/>
          <w:szCs w:val="21"/>
          <w:lang w:val="zh-CN"/>
          <w14:textFill>
            <w14:solidFill>
              <w14:schemeClr w14:val="tx1"/>
            </w14:solidFill>
          </w14:textFill>
        </w:rPr>
        <w:t xml:space="preserve">名称：</w:t>
      </w:r>
      <w:r>
        <w:rPr>
          <w:rFonts w:hint="eastAsia" w:ascii="宋体" w:hAnsi="宋体" w:cs="宋体"/>
          <w:color w:val="000000" w:themeColor="text1"/>
          <w:sz w:val="21"/>
          <w:szCs w:val="21"/>
          <w14:textFill>
            <w14:solidFill>
              <w14:schemeClr w14:val="tx1"/>
            </w14:solidFill>
          </w14:textFill>
        </w:rPr>
        <w:t xml:space="preserve">江苏省水文水资源勘测局南京分局</w:t>
      </w:r>
      <w:r/>
    </w:p>
    <w:p>
      <w:pPr>
        <w:pStyle w:val="946"/>
        <w:ind w:firstLine="420"/>
        <w:spacing w:before="75" w:beforeAutospacing="0" w:after="75" w:afterAutospacing="0" w:line="360" w:lineRule="atLeast"/>
        <w:rPr>
          <w:rFonts w:ascii="宋体" w:hAnsi="宋体" w:cs="宋体"/>
          <w:color w:val="000000" w:themeColor="text1"/>
          <w:sz w:val="21"/>
          <w:szCs w:val="21"/>
          <w:lang w:val="zh-CN"/>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单位</w:t>
      </w:r>
      <w:r>
        <w:rPr>
          <w:rFonts w:hint="eastAsia" w:ascii="宋体" w:hAnsi="宋体" w:cs="宋体"/>
          <w:color w:val="000000" w:themeColor="text1"/>
          <w:sz w:val="21"/>
          <w:szCs w:val="21"/>
          <w:lang w:val="zh-CN"/>
          <w14:textFill>
            <w14:solidFill>
              <w14:schemeClr w14:val="tx1"/>
            </w14:solidFill>
          </w14:textFill>
        </w:rPr>
        <w:t xml:space="preserve">地址：南京市鼓楼区汉口路81号</w:t>
      </w:r>
      <w:r/>
    </w:p>
    <w:p>
      <w:pPr>
        <w:pStyle w:val="946"/>
        <w:ind w:firstLine="420"/>
        <w:spacing w:before="75" w:beforeAutospacing="0" w:after="75" w:afterAutospacing="0" w:line="360" w:lineRule="atLeast"/>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联系人：陆主任</w:t>
      </w:r>
      <w:r/>
    </w:p>
    <w:p>
      <w:pPr>
        <w:pStyle w:val="946"/>
        <w:ind w:firstLine="420"/>
        <w:spacing w:before="75" w:beforeAutospacing="0" w:after="75" w:afterAutospacing="0" w:line="360" w:lineRule="atLeast"/>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lang w:val="zh-CN"/>
          <w14:textFill>
            <w14:solidFill>
              <w14:schemeClr w14:val="tx1"/>
            </w14:solidFill>
          </w14:textFill>
        </w:rPr>
        <w:t xml:space="preserve">联系</w:t>
      </w:r>
      <w:r>
        <w:rPr>
          <w:rFonts w:hint="eastAsia" w:ascii="宋体" w:hAnsi="宋体" w:cs="宋体"/>
          <w:color w:val="000000" w:themeColor="text1"/>
          <w:sz w:val="21"/>
          <w:szCs w:val="21"/>
          <w14:textFill>
            <w14:solidFill>
              <w14:schemeClr w14:val="tx1"/>
            </w14:solidFill>
          </w14:textFill>
        </w:rPr>
        <w:t xml:space="preserve">电话</w:t>
      </w:r>
      <w:r>
        <w:rPr>
          <w:rFonts w:hint="eastAsia" w:ascii="宋体" w:hAnsi="宋体" w:cs="宋体"/>
          <w:color w:val="000000" w:themeColor="text1"/>
          <w:sz w:val="21"/>
          <w:szCs w:val="21"/>
          <w:lang w:val="zh-CN"/>
          <w14:textFill>
            <w14:solidFill>
              <w14:schemeClr w14:val="tx1"/>
            </w14:solidFill>
          </w14:textFill>
        </w:rPr>
        <w:t xml:space="preserve">：025-68221875</w:t>
      </w:r>
      <w:r/>
    </w:p>
    <w:p>
      <w:pPr>
        <w:pStyle w:val="946"/>
        <w:ind w:firstLine="420"/>
        <w:spacing w:before="75" w:beforeAutospacing="0" w:after="75" w:afterAutospacing="0" w:line="360" w:lineRule="atLeast"/>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（二）采购代理机构信息</w:t>
      </w:r>
      <w:r/>
    </w:p>
    <w:p>
      <w:pPr>
        <w:pStyle w:val="946"/>
        <w:ind w:firstLine="420"/>
        <w:spacing w:before="75" w:beforeAutospacing="0" w:after="75" w:afterAutospacing="0" w:line="360" w:lineRule="atLeast"/>
        <w:rPr>
          <w:rFonts w:ascii="宋体" w:hAnsi="宋体" w:cs="宋体"/>
          <w:color w:val="000000" w:themeColor="text1"/>
          <w:sz w:val="21"/>
          <w:szCs w:val="21"/>
          <w:lang w:val="zh-CN"/>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单位</w:t>
      </w:r>
      <w:r>
        <w:rPr>
          <w:rFonts w:hint="eastAsia" w:ascii="宋体" w:hAnsi="宋体" w:cs="宋体"/>
          <w:color w:val="000000" w:themeColor="text1"/>
          <w:sz w:val="21"/>
          <w:szCs w:val="21"/>
          <w:lang w:val="zh-CN"/>
          <w14:textFill>
            <w14:solidFill>
              <w14:schemeClr w14:val="tx1"/>
            </w14:solidFill>
          </w14:textFill>
        </w:rPr>
        <w:t xml:space="preserve">名称：</w:t>
      </w:r>
      <w:r>
        <w:rPr>
          <w:rFonts w:hint="eastAsia" w:ascii="宋体" w:hAnsi="宋体" w:cs="宋体"/>
          <w:color w:val="000000" w:themeColor="text1"/>
          <w:sz w:val="21"/>
          <w:szCs w:val="21"/>
          <w14:textFill>
            <w14:solidFill>
              <w14:schemeClr w14:val="tx1"/>
            </w14:solidFill>
          </w14:textFill>
        </w:rPr>
        <w:t xml:space="preserve">南京国景工程项目管理有限公司</w:t>
      </w:r>
      <w:r/>
    </w:p>
    <w:p>
      <w:pPr>
        <w:pStyle w:val="946"/>
        <w:ind w:firstLine="420"/>
        <w:spacing w:before="75" w:beforeAutospacing="0" w:after="75" w:afterAutospacing="0" w:line="360" w:lineRule="atLeast"/>
        <w:rPr>
          <w:rFonts w:ascii="宋体" w:hAnsi="宋体" w:cs="宋体"/>
          <w:color w:val="000000" w:themeColor="text1"/>
          <w:sz w:val="21"/>
          <w:szCs w:val="21"/>
          <w:lang w:val="zh-CN"/>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单位</w:t>
      </w:r>
      <w:r>
        <w:rPr>
          <w:rFonts w:hint="eastAsia" w:ascii="宋体" w:hAnsi="宋体" w:cs="宋体"/>
          <w:color w:val="000000" w:themeColor="text1"/>
          <w:sz w:val="21"/>
          <w:szCs w:val="21"/>
          <w:lang w:val="zh-CN"/>
          <w14:textFill>
            <w14:solidFill>
              <w14:schemeClr w14:val="tx1"/>
            </w14:solidFill>
          </w14:textFill>
        </w:rPr>
        <w:t xml:space="preserve">地址：</w:t>
      </w:r>
      <w:r>
        <w:rPr>
          <w:rFonts w:hint="eastAsia" w:ascii="宋体" w:hAnsi="宋体" w:cs="宋体"/>
          <w:color w:val="000000" w:themeColor="text1"/>
          <w:sz w:val="21"/>
          <w:szCs w:val="21"/>
          <w14:textFill>
            <w14:solidFill>
              <w14:schemeClr w14:val="tx1"/>
            </w14:solidFill>
          </w14:textFill>
        </w:rPr>
        <w:t xml:space="preserve">南京市鼓楼区定淮门12号熊猫新兴软件园16-2</w:t>
      </w:r>
      <w:r/>
    </w:p>
    <w:p>
      <w:pPr>
        <w:pStyle w:val="946"/>
        <w:ind w:firstLine="420"/>
        <w:spacing w:before="75" w:beforeAutospacing="0" w:after="75" w:afterAutospacing="0" w:line="360" w:lineRule="atLeast"/>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联系人：单工</w:t>
      </w:r>
      <w:r/>
    </w:p>
    <w:p>
      <w:pPr>
        <w:pStyle w:val="946"/>
        <w:ind w:firstLine="420"/>
        <w:spacing w:before="75" w:beforeAutospacing="0" w:after="75" w:afterAutospacing="0" w:line="360" w:lineRule="atLeast"/>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lang w:val="zh-CN"/>
          <w14:textFill>
            <w14:solidFill>
              <w14:schemeClr w14:val="tx1"/>
            </w14:solidFill>
          </w14:textFill>
        </w:rPr>
        <w:t xml:space="preserve">联系</w:t>
      </w:r>
      <w:r>
        <w:rPr>
          <w:rFonts w:hint="eastAsia" w:ascii="宋体" w:hAnsi="宋体" w:cs="宋体"/>
          <w:color w:val="000000" w:themeColor="text1"/>
          <w:sz w:val="21"/>
          <w:szCs w:val="21"/>
          <w14:textFill>
            <w14:solidFill>
              <w14:schemeClr w14:val="tx1"/>
            </w14:solidFill>
          </w14:textFill>
        </w:rPr>
        <w:t xml:space="preserve">电话</w:t>
      </w:r>
      <w:r>
        <w:rPr>
          <w:rFonts w:hint="eastAsia" w:ascii="宋体" w:hAnsi="宋体" w:cs="宋体"/>
          <w:color w:val="000000" w:themeColor="text1"/>
          <w:sz w:val="21"/>
          <w:szCs w:val="21"/>
          <w:lang w:val="zh-CN"/>
          <w14:textFill>
            <w14:solidFill>
              <w14:schemeClr w14:val="tx1"/>
            </w14:solidFill>
          </w14:textFill>
        </w:rPr>
        <w:t xml:space="preserve">：</w:t>
      </w:r>
      <w:r>
        <w:rPr>
          <w:rFonts w:ascii="宋体" w:hAnsi="宋体" w:cs="宋体"/>
          <w:color w:val="000000" w:themeColor="text1"/>
          <w:sz w:val="21"/>
          <w:szCs w:val="21"/>
          <w14:textFill>
            <w14:solidFill>
              <w14:schemeClr w14:val="tx1"/>
            </w14:solidFill>
          </w14:textFill>
        </w:rPr>
        <w:t xml:space="preserve">18362097574</w:t>
      </w:r>
      <w:r/>
    </w:p>
    <w:p>
      <w:pPr>
        <w:pStyle w:val="946"/>
        <w:ind w:firstLine="420"/>
        <w:spacing w:before="75" w:beforeAutospacing="0" w:after="75" w:afterAutospacing="0" w:line="360" w:lineRule="atLeast"/>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（三）项目联系方式</w:t>
      </w:r>
      <w:r/>
    </w:p>
    <w:p>
      <w:pPr>
        <w:pStyle w:val="946"/>
        <w:ind w:firstLine="420"/>
        <w:spacing w:before="75" w:beforeAutospacing="0" w:after="75" w:afterAutospacing="0" w:line="360" w:lineRule="atLeast"/>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项目联系人：单工</w:t>
      </w:r>
      <w:r/>
    </w:p>
    <w:p>
      <w:pPr>
        <w:pStyle w:val="946"/>
        <w:ind w:firstLine="420"/>
        <w:spacing w:before="75" w:beforeAutospacing="0" w:after="75" w:afterAutospacing="0" w:line="360" w:lineRule="atLeast"/>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电话：</w:t>
      </w:r>
      <w:r>
        <w:rPr>
          <w:rFonts w:ascii="宋体" w:hAnsi="宋体" w:cs="宋体"/>
          <w:color w:val="000000" w:themeColor="text1"/>
          <w:sz w:val="21"/>
          <w:szCs w:val="21"/>
          <w14:textFill>
            <w14:solidFill>
              <w14:schemeClr w14:val="tx1"/>
            </w14:solidFill>
          </w14:textFill>
        </w:rPr>
        <w:t xml:space="preserve">18362097574</w:t>
      </w:r>
      <w:r/>
    </w:p>
    <w:p>
      <w:pPr>
        <w:pStyle w:val="946"/>
        <w:ind w:firstLine="420"/>
        <w:spacing w:before="75" w:beforeAutospacing="0" w:after="75" w:afterAutospacing="0" w:line="360" w:lineRule="atLeast"/>
        <w:rPr>
          <w:rFonts w:ascii="宋体" w:hAnsi="宋体" w:cs="宋体"/>
          <w:color w:val="000000" w:themeColor="text1"/>
          <w:sz w:val="21"/>
          <w:szCs w:val="21"/>
          <w:lang w:val="zh-CN"/>
          <w14:textFill>
            <w14:solidFill>
              <w14:schemeClr w14:val="tx1"/>
            </w14:solidFill>
          </w14:textFill>
        </w:rPr>
      </w:pPr>
      <w:r>
        <w:rPr>
          <w:rFonts w:hint="eastAsia" w:ascii="宋体" w:hAnsi="宋体" w:cs="宋体"/>
          <w:color w:val="000000" w:themeColor="text1"/>
          <w:sz w:val="21"/>
          <w:szCs w:val="21"/>
          <w:lang w:val="zh-CN"/>
          <w14:textFill>
            <w14:solidFill>
              <w14:schemeClr w14:val="tx1"/>
            </w14:solidFill>
          </w14:textFill>
        </w:rPr>
        <w:t xml:space="preserve"> </w:t>
      </w:r>
      <w:r/>
    </w:p>
    <w:p>
      <w:pPr>
        <w:pStyle w:val="946"/>
        <w:ind w:firstLine="420"/>
        <w:spacing w:before="75" w:beforeAutospacing="0" w:after="75" w:afterAutospacing="0" w:line="360" w:lineRule="atLeast"/>
        <w:rPr>
          <w:rFonts w:ascii="宋体" w:hAnsi="宋体" w:cs="宋体"/>
          <w:color w:val="000000" w:themeColor="text1"/>
          <w:sz w:val="21"/>
          <w:szCs w:val="21"/>
          <w14:textFill>
            <w14:solidFill>
              <w14:schemeClr w14:val="tx1"/>
            </w14:solidFill>
          </w14:textFill>
        </w:rPr>
      </w:pPr>
      <w:r>
        <w:rPr>
          <w:rFonts w:ascii="宋体" w:hAnsi="宋体" w:cs="宋体"/>
          <w:color w:val="000000" w:themeColor="text1"/>
          <w:sz w:val="21"/>
          <w:szCs w:val="21"/>
          <w14:textFill>
            <w14:solidFill>
              <w14:schemeClr w14:val="tx1"/>
            </w14:solidFill>
          </w14:textFill>
        </w:rPr>
      </w:r>
      <w:r/>
    </w:p>
    <w:p>
      <w:pPr>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p>
      <w:pPr>
        <w:pStyle w:val="948"/>
        <w:rPr>
          <w:rFonts w:ascii="宋体" w:hAnsi="宋体" w:cs="宋体"/>
          <w:color w:val="000000" w:themeColor="text1"/>
          <w:lang w:val="zh-CN"/>
          <w14:textFill>
            <w14:solidFill>
              <w14:schemeClr w14:val="tx1"/>
            </w14:solidFill>
          </w14:textFill>
        </w:rPr>
      </w:pPr>
      <w:r>
        <w:rPr>
          <w:rFonts w:hint="eastAsia" w:ascii="宋体" w:hAnsi="宋体" w:cs="宋体"/>
          <w:color w:val="000000" w:themeColor="text1"/>
          <w:lang w:val="zh-CN"/>
          <w14:textFill>
            <w14:solidFill>
              <w14:schemeClr w14:val="tx1"/>
            </w14:solidFill>
          </w14:textFill>
        </w:rPr>
        <w:br w:type="page" w:clear="all"/>
      </w:r>
      <w:bookmarkStart w:id="3" w:name="_Toc534273793"/>
      <w:r/>
      <w:bookmarkStart w:id="4" w:name="_Toc149805856"/>
      <w:r/>
      <w:bookmarkStart w:id="5" w:name="_Toc7520"/>
      <w:r>
        <w:rPr>
          <w:rFonts w:hint="eastAsia" w:ascii="宋体" w:hAnsi="宋体" w:cs="宋体"/>
          <w:color w:val="000000" w:themeColor="text1"/>
          <w:lang w:val="zh-CN"/>
          <w14:textFill>
            <w14:solidFill>
              <w14:schemeClr w14:val="tx1"/>
            </w14:solidFill>
          </w14:textFill>
        </w:rPr>
        <w:t xml:space="preserve">第二章  竞争性磋商须知</w:t>
      </w:r>
      <w:bookmarkEnd w:id="3"/>
      <w:r/>
      <w:bookmarkEnd w:id="4"/>
      <w:r/>
      <w:bookmarkEnd w:id="5"/>
      <w:r/>
      <w:r/>
    </w:p>
    <w:p>
      <w:pPr>
        <w:ind w:firstLine="420"/>
        <w:spacing w:before="100" w:beforeAutospacing="1" w:line="360" w:lineRule="auto"/>
        <w:rPr>
          <w:rFonts w:ascii="宋体" w:hAnsi="宋体" w:cs="宋体"/>
          <w:b/>
          <w:bCs/>
          <w:color w:val="000000" w:themeColor="text1"/>
          <w:szCs w:val="21"/>
          <w:lang w:val="zh-CN"/>
          <w14:textFill>
            <w14:solidFill>
              <w14:schemeClr w14:val="tx1"/>
            </w14:solidFill>
          </w14:textFill>
        </w:rPr>
      </w:pPr>
      <w:r>
        <w:rPr>
          <w:rFonts w:hint="eastAsia" w:ascii="宋体" w:hAnsi="宋体" w:cs="宋体"/>
          <w:b/>
          <w:bCs/>
          <w:color w:val="000000" w:themeColor="text1"/>
          <w:szCs w:val="21"/>
          <w:lang w:val="zh-CN"/>
          <w14:textFill>
            <w14:solidFill>
              <w14:schemeClr w14:val="tx1"/>
            </w14:solidFill>
          </w14:textFill>
        </w:rPr>
        <w:t xml:space="preserve">一、总则</w:t>
      </w:r>
      <w:r/>
    </w:p>
    <w:p>
      <w:pPr>
        <w:ind w:firstLine="422"/>
        <w:spacing w:line="360" w:lineRule="auto"/>
        <w:rPr>
          <w:rFonts w:ascii="宋体" w:hAnsi="宋体" w:cs="宋体"/>
          <w:b/>
          <w:color w:val="000000" w:themeColor="text1"/>
          <w:szCs w:val="21"/>
          <w:lang w:val="zh-CN"/>
          <w14:textFill>
            <w14:solidFill>
              <w14:schemeClr w14:val="tx1"/>
            </w14:solidFill>
          </w14:textFill>
        </w:rPr>
      </w:pPr>
      <w:r>
        <w:rPr>
          <w:rFonts w:hint="eastAsia" w:ascii="宋体" w:hAnsi="宋体" w:cs="宋体"/>
          <w:b/>
          <w:color w:val="000000" w:themeColor="text1"/>
          <w:szCs w:val="21"/>
          <w:lang w:val="zh-CN"/>
          <w14:textFill>
            <w14:solidFill>
              <w14:schemeClr w14:val="tx1"/>
            </w14:solidFill>
          </w14:textFill>
        </w:rPr>
        <w:t xml:space="preserve">1.参照法律</w:t>
      </w:r>
      <w:r/>
    </w:p>
    <w:p>
      <w:pPr>
        <w:ind w:firstLine="420"/>
        <w:spacing w:line="360" w:lineRule="auto"/>
        <w:rPr>
          <w:rFonts w:ascii="宋体" w:hAnsi="宋体" w:cs="宋体"/>
          <w:color w:val="000000" w:themeColor="text1"/>
          <w:sz w:val="24"/>
          <w:szCs w:val="24"/>
          <w:lang w:val="zh-CN"/>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参照</w:t>
      </w:r>
      <w:r>
        <w:rPr>
          <w:rFonts w:hint="eastAsia" w:ascii="宋体" w:hAnsi="宋体" w:cs="宋体"/>
          <w:color w:val="000000" w:themeColor="text1"/>
          <w:szCs w:val="21"/>
          <w:lang w:val="zh-CN"/>
          <w14:textFill>
            <w14:solidFill>
              <w14:schemeClr w14:val="tx1"/>
            </w14:solidFill>
          </w14:textFill>
        </w:rPr>
        <w:t xml:space="preserve">《中华人民共和国政府采购法》、《中华人民共和国政府采购法实施条例》、《</w:t>
      </w:r>
      <w:r>
        <w:rPr>
          <w:rFonts w:hint="eastAsia" w:ascii="宋体" w:hAnsi="宋体" w:cs="宋体"/>
          <w:color w:val="000000" w:themeColor="text1"/>
          <w:szCs w:val="21"/>
          <w14:textFill>
            <w14:solidFill>
              <w14:schemeClr w14:val="tx1"/>
            </w14:solidFill>
          </w14:textFill>
        </w:rPr>
        <w:t xml:space="preserve">政府采购竞争性磋商采购方式管理暂行办法</w:t>
      </w:r>
      <w:r>
        <w:rPr>
          <w:rFonts w:hint="eastAsia" w:ascii="宋体" w:hAnsi="宋体" w:cs="宋体"/>
          <w:color w:val="000000" w:themeColor="text1"/>
          <w:szCs w:val="21"/>
          <w:lang w:val="zh-CN"/>
          <w14:textFill>
            <w14:solidFill>
              <w14:schemeClr w14:val="tx1"/>
            </w14:solidFill>
          </w14:textFill>
        </w:rPr>
        <w:t xml:space="preserve">》</w:t>
      </w:r>
      <w:r>
        <w:rPr>
          <w:rFonts w:hint="eastAsia" w:ascii="宋体" w:hAnsi="宋体" w:cs="宋体"/>
          <w:color w:val="000000" w:themeColor="text1"/>
          <w:szCs w:val="21"/>
          <w14:textFill>
            <w14:solidFill>
              <w14:schemeClr w14:val="tx1"/>
            </w14:solidFill>
          </w14:textFill>
        </w:rPr>
        <w:t xml:space="preserve">等</w:t>
      </w:r>
      <w:r>
        <w:rPr>
          <w:rFonts w:hint="eastAsia" w:ascii="宋体" w:hAnsi="宋体" w:cs="宋体"/>
          <w:color w:val="000000" w:themeColor="text1"/>
          <w:szCs w:val="21"/>
          <w:lang w:val="zh-CN"/>
          <w14:textFill>
            <w14:solidFill>
              <w14:schemeClr w14:val="tx1"/>
            </w14:solidFill>
          </w14:textFill>
        </w:rPr>
        <w:t xml:space="preserve">有关法律、规章和规定等。</w:t>
      </w:r>
      <w:r/>
    </w:p>
    <w:p>
      <w:pPr>
        <w:ind w:firstLine="422"/>
        <w:spacing w:line="360" w:lineRule="auto"/>
        <w:rPr>
          <w:rFonts w:ascii="宋体" w:hAnsi="宋体" w:cs="宋体"/>
          <w:b/>
          <w:color w:val="000000" w:themeColor="text1"/>
          <w:szCs w:val="21"/>
          <w:lang w:val="zh-CN"/>
          <w14:textFill>
            <w14:solidFill>
              <w14:schemeClr w14:val="tx1"/>
            </w14:solidFill>
          </w14:textFill>
        </w:rPr>
      </w:pPr>
      <w:r>
        <w:rPr>
          <w:rFonts w:hint="eastAsia" w:ascii="宋体" w:hAnsi="宋体" w:cs="宋体"/>
          <w:b/>
          <w:color w:val="000000" w:themeColor="text1"/>
          <w:szCs w:val="21"/>
          <w:lang w:val="zh-CN"/>
          <w14:textFill>
            <w14:solidFill>
              <w14:schemeClr w14:val="tx1"/>
            </w14:solidFill>
          </w14:textFill>
        </w:rPr>
        <w:t xml:space="preserve">2.定义</w:t>
      </w:r>
      <w:r/>
    </w:p>
    <w:p>
      <w:pPr>
        <w:ind w:firstLine="420"/>
        <w:spacing w:line="360" w:lineRule="auto"/>
        <w:shd w:val="clear" w:color="auto" w:fill="ffffff"/>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2.1 “采购人”是指依法进行政府采购的国家机关、事业单位、团体组织。</w:t>
      </w:r>
      <w:r/>
    </w:p>
    <w:p>
      <w:pPr>
        <w:ind w:firstLine="420"/>
        <w:spacing w:line="360" w:lineRule="auto"/>
        <w:shd w:val="clear" w:color="auto" w:fill="ffffff"/>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2.2 “供应商”是指参加竞争性磋商，并符合采购文件规定资格条件的法人、其他组织或者自然人。</w:t>
      </w:r>
      <w:r/>
    </w:p>
    <w:p>
      <w:pPr>
        <w:ind w:firstLine="420"/>
        <w:spacing w:line="360" w:lineRule="auto"/>
        <w:shd w:val="clear" w:color="auto" w:fill="ffffff"/>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2.3 “采购代理机构”是指集中采购机构和集中采购机构以外的采购代理机构，集中采购机构以外的采购代理机构，是从事采购代理业务的社会中介机构。</w:t>
      </w:r>
      <w:r/>
    </w:p>
    <w:p>
      <w:pPr>
        <w:ind w:firstLine="420"/>
        <w:spacing w:line="360" w:lineRule="auto"/>
        <w:shd w:val="clear" w:color="auto" w:fill="ffffff"/>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2.4 “货物和服务”指本采购文件中所述</w:t>
      </w:r>
      <w:r>
        <w:rPr>
          <w:rFonts w:hint="eastAsia" w:ascii="宋体" w:hAnsi="宋体" w:cs="宋体"/>
          <w:bCs/>
          <w:color w:val="000000" w:themeColor="text1"/>
          <w:szCs w:val="21"/>
          <w14:textFill>
            <w14:solidFill>
              <w14:schemeClr w14:val="tx1"/>
            </w14:solidFill>
          </w14:textFill>
        </w:rPr>
        <w:t xml:space="preserve">产品</w:t>
      </w:r>
      <w:r>
        <w:rPr>
          <w:rFonts w:hint="eastAsia" w:ascii="宋体" w:hAnsi="宋体" w:cs="宋体"/>
          <w:color w:val="000000" w:themeColor="text1"/>
          <w:szCs w:val="21"/>
          <w14:textFill>
            <w14:solidFill>
              <w14:schemeClr w14:val="tx1"/>
            </w14:solidFill>
          </w14:textFill>
        </w:rPr>
        <w:t xml:space="preserve">及相关服务。</w:t>
      </w:r>
      <w:r/>
    </w:p>
    <w:p>
      <w:pPr>
        <w:ind w:firstLine="420"/>
        <w:spacing w:line="360" w:lineRule="auto"/>
        <w:shd w:val="clear" w:color="auto" w:fill="ffffff"/>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2.5 “用户或使用单位”是指使用服务的单位。</w:t>
      </w:r>
      <w:r/>
    </w:p>
    <w:p>
      <w:pPr>
        <w:ind w:firstLine="420"/>
        <w:spacing w:line="360" w:lineRule="auto"/>
        <w:rPr>
          <w:rFonts w:ascii="宋体" w:hAnsi="宋体" w:cs="宋体"/>
          <w:b/>
          <w:color w:val="000000" w:themeColor="text1"/>
          <w:szCs w:val="21"/>
          <w:lang w:val="zh-CN"/>
          <w14:textFill>
            <w14:solidFill>
              <w14:schemeClr w14:val="tx1"/>
            </w14:solidFill>
          </w14:textFill>
        </w:rPr>
      </w:pPr>
      <w:r>
        <w:rPr>
          <w:rFonts w:hint="eastAsia" w:ascii="宋体" w:hAnsi="宋体" w:cs="宋体"/>
          <w:b/>
          <w:color w:val="000000" w:themeColor="text1"/>
          <w:szCs w:val="21"/>
          <w:lang w:val="zh-CN"/>
          <w14:textFill>
            <w14:solidFill>
              <w14:schemeClr w14:val="tx1"/>
            </w14:solidFill>
          </w14:textFill>
        </w:rPr>
        <w:t xml:space="preserve">3.政策功能</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3.1 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附件），否则不得享受相关中小企业扶持政策。（“中小企业划型标准”详见《关于印发中小企业划型标准规定的通知》工信部联企业〔2011〕300号及《国家统计局关于印发&lt;统计上大中小微型企业划分办法（2017）&gt;的通知》国统字〔2017〕213号）</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3.2 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3.3 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3.4 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供应商应当提供国家确定的认证机构出具的、处于有效期之内的节能产品、环境标志产品认证证书。</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3.5 强制采购信息安全产品。参加政府采购活动的信息安全产品供应商应当选择经国家认证的信息安全产品投标，并提供由国家信息安全认证中心按国家标准认证颁发的有效认证证书。</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3.6 进口产品政策</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（1）除招标公告载明接受进口产品参加外，不允许进口产品参加。进口产品认定依照《财政部关于政府采购进口产品管理有关问题的通知》（财办库〔2008〕248号）的规定。</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（2）允许进口产品参加的，满足需求的国内产品可以参加。</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（3）允许进口产品参加的，优先采购向我国企业转让技术、与我国企业签订消化吸收再创新方案的供应商的进口产品。</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3.7 未按要求提供相关材料的，不享受相关政策。</w:t>
      </w:r>
      <w:r/>
    </w:p>
    <w:p>
      <w:pPr>
        <w:ind w:firstLine="420"/>
        <w:spacing w:line="360" w:lineRule="auto"/>
        <w:rPr>
          <w:rFonts w:ascii="宋体" w:hAnsi="宋体" w:cs="宋体"/>
          <w:b/>
          <w:color w:val="000000" w:themeColor="text1"/>
          <w:szCs w:val="21"/>
          <w:lang w:val="zh-CN"/>
          <w14:textFill>
            <w14:solidFill>
              <w14:schemeClr w14:val="tx1"/>
            </w14:solidFill>
          </w14:textFill>
        </w:rPr>
      </w:pPr>
      <w:r>
        <w:rPr>
          <w:rFonts w:hint="eastAsia" w:ascii="宋体" w:hAnsi="宋体" w:cs="宋体"/>
          <w:b/>
          <w:color w:val="000000" w:themeColor="text1"/>
          <w:szCs w:val="21"/>
          <w:lang w:val="zh-CN"/>
          <w14:textFill>
            <w14:solidFill>
              <w14:schemeClr w14:val="tx1"/>
            </w14:solidFill>
          </w14:textFill>
        </w:rPr>
        <w:t xml:space="preserve">二、磋商响应文件编制</w:t>
      </w:r>
      <w:r/>
    </w:p>
    <w:p>
      <w:pPr>
        <w:ind w:firstLine="420"/>
        <w:spacing w:line="360" w:lineRule="auto"/>
        <w:rPr>
          <w:rFonts w:ascii="宋体" w:hAnsi="宋体" w:cs="宋体"/>
          <w:b/>
          <w:bCs/>
          <w:color w:val="000000" w:themeColor="text1"/>
          <w:szCs w:val="21"/>
          <w:lang w:val="zh-CN"/>
          <w14:textFill>
            <w14:solidFill>
              <w14:schemeClr w14:val="tx1"/>
            </w14:solidFill>
          </w14:textFill>
        </w:rPr>
      </w:pPr>
      <w:r>
        <w:rPr>
          <w:rFonts w:hint="eastAsia" w:ascii="宋体" w:hAnsi="宋体" w:cs="宋体"/>
          <w:b/>
          <w:bCs/>
          <w:color w:val="000000" w:themeColor="text1"/>
          <w:szCs w:val="21"/>
          <w:lang w:val="zh-CN"/>
          <w14:textFill>
            <w14:solidFill>
              <w14:schemeClr w14:val="tx1"/>
            </w14:solidFill>
          </w14:textFill>
        </w:rPr>
        <w:t xml:space="preserve">1.磋商响应文件的语言、计量单位、货币和编制</w:t>
      </w:r>
      <w:r/>
    </w:p>
    <w:p>
      <w:pPr>
        <w:ind w:firstLine="420"/>
        <w:spacing w:line="360" w:lineRule="auto"/>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1.1 供应商提交的磋商响应文件、技术文件和资料，包括图纸中的说明，以及供应商与采购代理机构就有关磋商的所有来往函电均应使用中文。响应文件中若有英文或其他语言文字的资料，应提供相应的中文翻译资料。对不同文本响应文件的解释发生异议的，以中文文本为准。</w:t>
      </w:r>
      <w:r/>
    </w:p>
    <w:p>
      <w:pPr>
        <w:ind w:firstLine="420"/>
        <w:spacing w:line="360" w:lineRule="auto"/>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1.2 供应商所使用的计量单位应为国家法定计量单位。</w:t>
      </w:r>
      <w:r/>
    </w:p>
    <w:p>
      <w:pPr>
        <w:ind w:firstLine="420"/>
        <w:spacing w:line="360" w:lineRule="auto"/>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1.3 供应商应用人民币报价。报价产品如果是进口产品的，应提供人民币与外币之间的汇率；报价单位为“元”。</w:t>
      </w:r>
      <w:r/>
    </w:p>
    <w:p>
      <w:pPr>
        <w:ind w:firstLine="420"/>
        <w:spacing w:line="360" w:lineRule="auto"/>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1.4 磋商响应文件应字迹清楚、内容齐全、不得涂改。如有修改，修改处须有供应商公章或投标专用章和法定代表人或其授权磋商代表签字。</w:t>
      </w:r>
      <w:r/>
    </w:p>
    <w:p>
      <w:pPr>
        <w:ind w:firstLine="420"/>
        <w:spacing w:line="360" w:lineRule="auto"/>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1.5 磋商响应文件应按照竞争性磋商文件规定的顺序，统一用A4规格幅面打印、装订成册并编制目录，由于编排混乱导致响应文件被误读或查找不到，责任由供应商承担。</w:t>
      </w:r>
      <w:r/>
    </w:p>
    <w:p>
      <w:pPr>
        <w:ind w:firstLine="420"/>
        <w:spacing w:line="360" w:lineRule="auto"/>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1.6 供应商应在磋商响应文件中写清相应的项目编号、项目名称、供应商全称、地址、电话、传真等。</w:t>
      </w:r>
      <w:r/>
    </w:p>
    <w:p>
      <w:pPr>
        <w:ind w:firstLine="420"/>
        <w:spacing w:line="360" w:lineRule="auto"/>
        <w:rPr>
          <w:rFonts w:ascii="宋体" w:hAnsi="宋体" w:cs="宋体"/>
          <w:b/>
          <w:bCs/>
          <w:color w:val="000000" w:themeColor="text1"/>
          <w:szCs w:val="21"/>
          <w:lang w:val="zh-CN"/>
          <w14:textFill>
            <w14:solidFill>
              <w14:schemeClr w14:val="tx1"/>
            </w14:solidFill>
          </w14:textFill>
        </w:rPr>
      </w:pPr>
      <w:r>
        <w:rPr>
          <w:rFonts w:hint="eastAsia" w:ascii="宋体" w:hAnsi="宋体" w:cs="宋体"/>
          <w:b/>
          <w:bCs/>
          <w:color w:val="000000" w:themeColor="text1"/>
          <w:szCs w:val="21"/>
          <w:lang w:val="zh-CN"/>
          <w14:textFill>
            <w14:solidFill>
              <w14:schemeClr w14:val="tx1"/>
            </w14:solidFill>
          </w14:textFill>
        </w:rPr>
        <w:t xml:space="preserve">2.磋商响应文件的组成</w:t>
      </w:r>
      <w:r/>
    </w:p>
    <w:p>
      <w:pPr>
        <w:ind w:firstLine="420"/>
        <w:spacing w:line="360" w:lineRule="auto"/>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2.1 供应商应当根据竞争性磋商文件要求编制磋商响应文件，并根据自己的商务能力、技术水平对竞争性磋商文件提出的要求和条件逐条标明是否响应。</w:t>
      </w:r>
      <w:r/>
    </w:p>
    <w:p>
      <w:pPr>
        <w:ind w:firstLine="420"/>
        <w:spacing w:line="360" w:lineRule="auto"/>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2.2 磋商响应文件由商务部分、技术部分、价格部分，以及其他部分组成。</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2.3 本次采购的最小单位是包。采购项目的技术要求中未分包的，供应商对要求提供的服务不得部分投标；采购项目的技术要求中已经分包的，可以以包为单位投标。</w:t>
      </w:r>
      <w:r/>
    </w:p>
    <w:p>
      <w:pPr>
        <w:ind w:firstLine="420"/>
        <w:spacing w:line="360" w:lineRule="auto"/>
        <w:rPr>
          <w:rFonts w:ascii="宋体" w:hAnsi="宋体" w:cs="宋体"/>
          <w:bCs/>
          <w:color w:val="000000" w:themeColor="text1"/>
          <w:szCs w:val="21"/>
          <w:lang w:val="zh-CN"/>
          <w14:textFill>
            <w14:solidFill>
              <w14:schemeClr w14:val="tx1"/>
            </w14:solidFill>
          </w14:textFill>
        </w:rPr>
      </w:pPr>
      <w:r>
        <w:rPr>
          <w:rFonts w:hint="eastAsia" w:ascii="宋体" w:hAnsi="宋体" w:cs="宋体"/>
          <w:bCs/>
          <w:color w:val="000000" w:themeColor="text1"/>
          <w:szCs w:val="21"/>
          <w:lang w:val="zh-CN"/>
          <w14:textFill>
            <w14:solidFill>
              <w14:schemeClr w14:val="tx1"/>
            </w14:solidFill>
          </w14:textFill>
        </w:rPr>
        <w:t xml:space="preserve">2.4 磋商响应文件的商务部分。商务部分是证明供应商有资格参加磋商和成交后有能力履行合同的文件，</w:t>
      </w:r>
      <w:r>
        <w:rPr>
          <w:rFonts w:hint="eastAsia" w:ascii="宋体" w:hAnsi="宋体" w:cs="宋体"/>
          <w:bCs/>
          <w:color w:val="000000" w:themeColor="text1"/>
          <w:szCs w:val="21"/>
          <w14:textFill>
            <w14:solidFill>
              <w14:schemeClr w14:val="tx1"/>
            </w14:solidFill>
          </w14:textFill>
        </w:rPr>
        <w:t xml:space="preserve">这些文件应能满足竞争性磋商采购的要求</w:t>
      </w:r>
      <w:r>
        <w:rPr>
          <w:rFonts w:hint="eastAsia" w:ascii="宋体" w:hAnsi="宋体" w:cs="宋体"/>
          <w:bCs/>
          <w:color w:val="000000" w:themeColor="text1"/>
          <w:szCs w:val="21"/>
          <w:lang w:val="zh-CN"/>
          <w14:textFill>
            <w14:solidFill>
              <w14:schemeClr w14:val="tx1"/>
            </w14:solidFill>
          </w14:textFill>
        </w:rPr>
        <w:t xml:space="preserve">，包括但不限于下列文件</w:t>
      </w:r>
      <w:r>
        <w:rPr>
          <w:rFonts w:hint="eastAsia" w:ascii="宋体" w:hAnsi="宋体" w:cs="宋体"/>
          <w:bCs/>
          <w:color w:val="000000" w:themeColor="text1"/>
          <w:szCs w:val="21"/>
          <w14:textFill>
            <w14:solidFill>
              <w14:schemeClr w14:val="tx1"/>
            </w14:solidFill>
          </w14:textFill>
        </w:rPr>
        <w:t xml:space="preserve">（（1）-（5）所述材料如提供不全或不满足磋商文件的实质性要求，评标委员会有权否决供应商的投标）</w:t>
      </w:r>
      <w:r>
        <w:rPr>
          <w:rFonts w:hint="eastAsia" w:ascii="宋体" w:hAnsi="宋体" w:cs="宋体"/>
          <w:bCs/>
          <w:color w:val="000000" w:themeColor="text1"/>
          <w:szCs w:val="21"/>
          <w:lang w:val="zh-CN"/>
          <w14:textFill>
            <w14:solidFill>
              <w14:schemeClr w14:val="tx1"/>
            </w14:solidFill>
          </w14:textFill>
        </w:rPr>
        <w:t xml:space="preserve">：</w:t>
      </w:r>
      <w:r/>
    </w:p>
    <w:p>
      <w:pPr>
        <w:ind w:firstLine="420"/>
        <w:jc w:val="left"/>
        <w:spacing w:line="360" w:lineRule="auto"/>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（1）竞争性磋商申请及声明</w:t>
      </w:r>
      <w:r>
        <w:rPr>
          <w:rFonts w:hint="eastAsia" w:ascii="宋体" w:hAnsi="宋体" w:cs="宋体"/>
          <w:color w:val="000000" w:themeColor="text1"/>
          <w:szCs w:val="21"/>
          <w14:textFill>
            <w14:solidFill>
              <w14:schemeClr w14:val="tx1"/>
            </w14:solidFill>
          </w14:textFill>
        </w:rPr>
        <w:t xml:space="preserve">（格式见附件）</w:t>
      </w:r>
      <w:r>
        <w:rPr>
          <w:rFonts w:hint="eastAsia" w:ascii="宋体" w:hAnsi="宋体" w:cs="宋体"/>
          <w:color w:val="000000" w:themeColor="text1"/>
          <w:szCs w:val="21"/>
          <w:lang w:val="zh-CN"/>
          <w14:textFill>
            <w14:solidFill>
              <w14:schemeClr w14:val="tx1"/>
            </w14:solidFill>
          </w14:textFill>
        </w:rPr>
        <w:t xml:space="preserve">；</w:t>
      </w:r>
      <w:r/>
    </w:p>
    <w:p>
      <w:pPr>
        <w:ind w:firstLine="420"/>
        <w:jc w:val="left"/>
        <w:spacing w:line="360" w:lineRule="auto"/>
        <w:widowControl/>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（2）法定代表人授权委托书及委托代理人的身份证复印件</w:t>
      </w:r>
      <w:r>
        <w:rPr>
          <w:rFonts w:hint="eastAsia" w:ascii="宋体" w:hAnsi="宋体" w:cs="宋体"/>
          <w:color w:val="000000" w:themeColor="text1"/>
          <w:szCs w:val="21"/>
          <w14:textFill>
            <w14:solidFill>
              <w14:schemeClr w14:val="tx1"/>
            </w14:solidFill>
          </w14:textFill>
        </w:rPr>
        <w:t xml:space="preserve">（格式见附件）</w:t>
      </w:r>
      <w:r>
        <w:rPr>
          <w:rFonts w:hint="eastAsia" w:ascii="宋体" w:hAnsi="宋体" w:cs="宋体"/>
          <w:color w:val="000000" w:themeColor="text1"/>
          <w:szCs w:val="21"/>
          <w:lang w:val="zh-CN"/>
          <w14:textFill>
            <w14:solidFill>
              <w14:schemeClr w14:val="tx1"/>
            </w14:solidFill>
          </w14:textFill>
        </w:rPr>
        <w:t xml:space="preserve">；</w:t>
      </w:r>
      <w:r/>
    </w:p>
    <w:p>
      <w:pPr>
        <w:ind w:firstLine="420"/>
        <w:jc w:val="left"/>
        <w:spacing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w:t>
      </w:r>
      <w:r>
        <w:rPr>
          <w:rFonts w:hint="eastAsia" w:ascii="宋体" w:hAnsi="宋体" w:cs="宋体"/>
          <w:color w:val="000000" w:themeColor="text1"/>
          <w:szCs w:val="21"/>
          <w14:textFill>
            <w14:solidFill>
              <w14:schemeClr w14:val="tx1"/>
            </w14:solidFill>
          </w14:textFill>
        </w:rPr>
        <w:t xml:space="preserve">3</w:t>
      </w:r>
      <w:r>
        <w:rPr>
          <w:rFonts w:hint="eastAsia" w:ascii="宋体" w:hAnsi="宋体" w:cs="宋体"/>
          <w:color w:val="000000" w:themeColor="text1"/>
          <w:szCs w:val="21"/>
          <w:lang w:val="zh-CN"/>
          <w14:textFill>
            <w14:solidFill>
              <w14:schemeClr w14:val="tx1"/>
            </w14:solidFill>
          </w14:textFill>
        </w:rPr>
        <w:t xml:space="preserve">）</w:t>
      </w:r>
      <w:r>
        <w:rPr>
          <w:rFonts w:hint="eastAsia" w:ascii="宋体" w:hAnsi="宋体" w:cs="宋体"/>
          <w:color w:val="000000" w:themeColor="text1"/>
          <w:szCs w:val="21"/>
          <w14:textFill>
            <w14:solidFill>
              <w14:schemeClr w14:val="tx1"/>
            </w14:solidFill>
          </w14:textFill>
        </w:rPr>
        <w:t xml:space="preserve">第一章竞争性磋商公告中 （一）《中华人民共和国政府采购法》规定的资格条件证明文件；</w:t>
      </w:r>
      <w:r/>
    </w:p>
    <w:p>
      <w:pPr>
        <w:ind w:firstLine="420"/>
        <w:jc w:val="left"/>
        <w:spacing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（4）第一章竞争性磋商公告中 （三） 采购人根据采购项目的特殊要求规定的特定条件证明文件；</w:t>
      </w:r>
      <w:r/>
    </w:p>
    <w:p>
      <w:pPr>
        <w:ind w:firstLine="420"/>
        <w:jc w:val="left"/>
        <w:spacing w:line="360" w:lineRule="auto"/>
        <w:widowControl/>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（5）报价一览表（格式见附件）；</w:t>
      </w:r>
      <w:r/>
    </w:p>
    <w:p>
      <w:pPr>
        <w:ind w:firstLine="420"/>
        <w:jc w:val="left"/>
        <w:spacing w:line="360" w:lineRule="auto"/>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w:t>
      </w:r>
      <w:r>
        <w:rPr>
          <w:rFonts w:hint="eastAsia" w:ascii="宋体" w:hAnsi="宋体" w:cs="宋体"/>
          <w:color w:val="000000" w:themeColor="text1"/>
          <w:szCs w:val="21"/>
          <w14:textFill>
            <w14:solidFill>
              <w14:schemeClr w14:val="tx1"/>
            </w14:solidFill>
          </w14:textFill>
        </w:rPr>
        <w:t xml:space="preserve">6</w:t>
      </w:r>
      <w:r>
        <w:rPr>
          <w:rFonts w:hint="eastAsia" w:ascii="宋体" w:hAnsi="宋体" w:cs="宋体"/>
          <w:color w:val="000000" w:themeColor="text1"/>
          <w:szCs w:val="21"/>
          <w:lang w:val="zh-CN"/>
          <w14:textFill>
            <w14:solidFill>
              <w14:schemeClr w14:val="tx1"/>
            </w14:solidFill>
          </w14:textFill>
        </w:rPr>
        <w:t xml:space="preserve">）分项报价表（如果有）；</w:t>
      </w:r>
      <w:r/>
    </w:p>
    <w:p>
      <w:pPr>
        <w:ind w:firstLine="420"/>
        <w:jc w:val="left"/>
        <w:spacing w:line="360" w:lineRule="auto"/>
        <w:rPr>
          <w:rFonts w:ascii="宋体" w:hAnsi="宋体" w:cs="宋体"/>
          <w:color w:val="000000" w:themeColor="text1"/>
          <w:szCs w:val="21"/>
          <w:shd w:val="pct10" w:color="auto" w:fill="ffffff"/>
          <w:lang w:val="zh-CN"/>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（7）</w:t>
      </w:r>
      <w:r>
        <w:rPr>
          <w:rFonts w:hint="eastAsia" w:ascii="宋体" w:hAnsi="宋体" w:cs="宋体"/>
          <w:color w:val="000000" w:themeColor="text1"/>
          <w:szCs w:val="21"/>
          <w:lang w:val="zh-CN"/>
          <w14:textFill>
            <w14:solidFill>
              <w14:schemeClr w14:val="tx1"/>
            </w14:solidFill>
          </w14:textFill>
        </w:rPr>
        <w:t xml:space="preserve">《商务条款偏离表》；</w:t>
      </w:r>
      <w:r/>
    </w:p>
    <w:p>
      <w:pPr>
        <w:ind w:firstLine="420"/>
        <w:jc w:val="left"/>
        <w:spacing w:line="360" w:lineRule="auto"/>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w:t>
      </w:r>
      <w:r>
        <w:rPr>
          <w:rFonts w:hint="eastAsia" w:ascii="宋体" w:hAnsi="宋体" w:cs="宋体"/>
          <w:color w:val="000000" w:themeColor="text1"/>
          <w:szCs w:val="21"/>
          <w14:textFill>
            <w14:solidFill>
              <w14:schemeClr w14:val="tx1"/>
            </w14:solidFill>
          </w14:textFill>
        </w:rPr>
        <w:t xml:space="preserve">8</w:t>
      </w:r>
      <w:r>
        <w:rPr>
          <w:rFonts w:hint="eastAsia" w:ascii="宋体" w:hAnsi="宋体" w:cs="宋体"/>
          <w:color w:val="000000" w:themeColor="text1"/>
          <w:szCs w:val="21"/>
          <w:lang w:val="zh-CN"/>
          <w14:textFill>
            <w14:solidFill>
              <w14:schemeClr w14:val="tx1"/>
            </w14:solidFill>
          </w14:textFill>
        </w:rPr>
        <w:t xml:space="preserve">）供应商认为需要提供的其他资格证明文件和商务资料。</w:t>
      </w:r>
      <w:r/>
    </w:p>
    <w:p>
      <w:pPr>
        <w:ind w:firstLine="420"/>
        <w:spacing w:line="360" w:lineRule="auto"/>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2.5 磋商响应文件的技术部分。技术部分是证明</w:t>
      </w:r>
      <w:r>
        <w:rPr>
          <w:rFonts w:hint="eastAsia" w:ascii="宋体" w:hAnsi="宋体" w:cs="宋体"/>
          <w:color w:val="000000" w:themeColor="text1"/>
          <w:szCs w:val="21"/>
          <w14:textFill>
            <w14:solidFill>
              <w14:schemeClr w14:val="tx1"/>
            </w14:solidFill>
          </w14:textFill>
        </w:rPr>
        <w:t xml:space="preserve">供应商提供的服务是合格的、并符合竞争性磋商文件要求的证明文件，以及</w:t>
      </w:r>
      <w:r>
        <w:rPr>
          <w:rFonts w:hint="eastAsia" w:ascii="宋体" w:hAnsi="宋体" w:cs="宋体"/>
          <w:color w:val="000000" w:themeColor="text1"/>
          <w:szCs w:val="21"/>
          <w:lang w:val="zh-CN"/>
          <w14:textFill>
            <w14:solidFill>
              <w14:schemeClr w14:val="tx1"/>
            </w14:solidFill>
          </w14:textFill>
        </w:rPr>
        <w:t xml:space="preserve">对服务的详细说明，这些文件可以是文字资料、图纸和数据等。提供的服务如与竞争性磋商文件要求有不符之处，应说明其差别之所在。包括但不限于下列文件。</w:t>
      </w:r>
      <w:r/>
    </w:p>
    <w:p>
      <w:pPr>
        <w:ind w:firstLine="420"/>
        <w:jc w:val="left"/>
        <w:spacing w:line="360" w:lineRule="auto"/>
        <w:widowControl/>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（1）项目技术方案或服务说明； </w:t>
      </w:r>
      <w:r/>
    </w:p>
    <w:p>
      <w:pPr>
        <w:ind w:firstLine="420"/>
        <w:spacing w:line="360" w:lineRule="auto"/>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（2）《采购需求条款偏离表》；</w:t>
      </w:r>
      <w:r/>
    </w:p>
    <w:p>
      <w:pPr>
        <w:ind w:firstLine="420"/>
        <w:jc w:val="left"/>
        <w:spacing w:line="360" w:lineRule="auto"/>
        <w:widowControl/>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（3）供应商认为需要</w:t>
      </w:r>
      <w:r>
        <w:rPr>
          <w:rFonts w:hint="eastAsia" w:ascii="宋体" w:hAnsi="宋体" w:cs="宋体"/>
          <w:color w:val="000000" w:themeColor="text1"/>
          <w:szCs w:val="21"/>
          <w:lang w:val="zh-CN"/>
          <w14:textFill>
            <w14:solidFill>
              <w14:schemeClr w14:val="tx1"/>
            </w14:solidFill>
          </w14:textFill>
        </w:rPr>
        <w:t xml:space="preserve">提供的其他技术资料。</w:t>
      </w:r>
      <w:r/>
    </w:p>
    <w:p>
      <w:pPr>
        <w:ind w:firstLine="420"/>
        <w:spacing w:line="360" w:lineRule="auto"/>
        <w:rPr>
          <w:rFonts w:ascii="宋体" w:hAnsi="宋体" w:cs="宋体"/>
          <w:b/>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2.6 磋商响应文件的价格部分</w:t>
      </w:r>
      <w:r/>
    </w:p>
    <w:p>
      <w:pPr>
        <w:ind w:firstLine="420"/>
        <w:spacing w:line="360" w:lineRule="auto"/>
        <w:rPr>
          <w:rFonts w:ascii="宋体" w:hAnsi="宋体" w:cs="宋体"/>
          <w:color w:val="000000" w:themeColor="text1"/>
          <w:szCs w:val="21"/>
          <w:lang w:val="zh-CN"/>
          <w14:textFill>
            <w14:solidFill>
              <w14:schemeClr w14:val="tx1"/>
            </w14:solidFill>
          </w14:textFill>
        </w:rPr>
      </w:pPr>
      <w:r>
        <w:rPr>
          <w:rFonts w:ascii="宋体" w:hAnsi="宋体" w:cs="宋体"/>
          <w:color w:val="000000" w:themeColor="text1"/>
          <w:szCs w:val="21"/>
          <w:lang w:val="zh-CN"/>
          <w14:textFill>
            <w14:solidFill>
              <w14:schemeClr w14:val="tx1"/>
            </w14:solidFill>
          </w14:textFill>
        </w:rPr>
        <w:t xml:space="preserve">（1）</w:t>
      </w:r>
      <w:r>
        <w:rPr>
          <w:rFonts w:hint="eastAsia" w:ascii="宋体" w:hAnsi="宋体" w:cs="宋体"/>
          <w:color w:val="000000" w:themeColor="text1"/>
          <w:szCs w:val="21"/>
          <w:lang w:val="zh-CN"/>
          <w14:textFill>
            <w14:solidFill>
              <w14:schemeClr w14:val="tx1"/>
            </w14:solidFill>
          </w14:textFill>
        </w:rPr>
        <w:t xml:space="preserve">价格部分内容是对标的价格构成的说明，磋商文件如没有特别说明的话，仅接受一个价格。</w:t>
      </w:r>
      <w:r/>
    </w:p>
    <w:p>
      <w:pPr>
        <w:ind w:firstLine="420"/>
        <w:spacing w:line="360" w:lineRule="auto"/>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2）报价应包含为履行本项目合同项下所有义务的全部费用（包括但不限于技术资料、设计成果、人员培训等发生的所有含税费用、支付给员工的工资和国家强制缴纳的各种社会保障资金），以及供应商认为需要的其他费用等。</w:t>
      </w:r>
      <w:r/>
    </w:p>
    <w:p>
      <w:pPr>
        <w:ind w:firstLine="420"/>
        <w:spacing w:line="360" w:lineRule="auto"/>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（3）供应商应在《报价一览表》等标明标的的单价、总价等。</w:t>
      </w:r>
      <w:r/>
    </w:p>
    <w:p>
      <w:pPr>
        <w:ind w:firstLine="420"/>
        <w:spacing w:line="360" w:lineRule="auto"/>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（4）</w:t>
      </w:r>
      <w:r>
        <w:rPr>
          <w:rFonts w:hint="eastAsia" w:ascii="宋体" w:hAnsi="宋体" w:cs="宋体"/>
          <w:b/>
          <w:bCs/>
          <w:color w:val="000000" w:themeColor="text1"/>
          <w:szCs w:val="21"/>
          <w:lang w:val="zh-CN"/>
          <w14:textFill>
            <w14:solidFill>
              <w14:schemeClr w14:val="tx1"/>
            </w14:solidFill>
          </w14:textFill>
        </w:rPr>
        <w:t xml:space="preserve">响应文件所报的投标价格不得超过磋商文件规定的预算价、限价，超过磋商文件规定的，响应文件按无效处理。</w:t>
      </w:r>
      <w:r/>
    </w:p>
    <w:p>
      <w:pPr>
        <w:ind w:firstLine="420"/>
        <w:spacing w:line="360" w:lineRule="auto"/>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2.7磋商响应文件的其他部分。其他部分由供应商根据编制磋商响应文件需要提供的其他相关文件组成。</w:t>
      </w:r>
      <w:r/>
    </w:p>
    <w:p>
      <w:pPr>
        <w:ind w:firstLine="420"/>
        <w:spacing w:line="360" w:lineRule="auto"/>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2.8如标书制作工具中格式和内容与“江苏政府采购网”发布的磋商文件不一致的，以上述网站发布的磋商文件为准。</w:t>
      </w:r>
      <w:r/>
    </w:p>
    <w:p>
      <w:pPr>
        <w:ind w:firstLine="420"/>
        <w:spacing w:line="360" w:lineRule="auto"/>
        <w:rPr>
          <w:rFonts w:ascii="宋体" w:hAnsi="宋体" w:cs="宋体"/>
          <w:color w:val="000000" w:themeColor="text1"/>
          <w:szCs w:val="21"/>
          <w:lang w:val="zh-CN"/>
          <w14:textFill>
            <w14:solidFill>
              <w14:schemeClr w14:val="tx1"/>
            </w14:solidFill>
          </w14:textFill>
        </w:rPr>
      </w:pPr>
      <w:r>
        <w:rPr>
          <w:rFonts w:hint="eastAsia" w:ascii="宋体" w:hAnsi="宋体" w:cs="宋体"/>
          <w:b/>
          <w:bCs/>
          <w:color w:val="000000" w:themeColor="text1"/>
          <w:szCs w:val="21"/>
          <w:lang w:val="zh-CN"/>
          <w14:textFill>
            <w14:solidFill>
              <w14:schemeClr w14:val="tx1"/>
            </w14:solidFill>
          </w14:textFill>
        </w:rPr>
        <w:t xml:space="preserve">3.磋商保证金</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无。</w:t>
      </w:r>
      <w:r/>
    </w:p>
    <w:p>
      <w:pPr>
        <w:ind w:firstLine="420"/>
        <w:spacing w:line="360" w:lineRule="auto"/>
        <w:rPr>
          <w:rFonts w:ascii="宋体" w:hAnsi="宋体" w:cs="宋体"/>
          <w:b/>
          <w:color w:val="000000" w:themeColor="text1"/>
          <w:szCs w:val="21"/>
          <w:lang w:val="zh-CN"/>
          <w14:textFill>
            <w14:solidFill>
              <w14:schemeClr w14:val="tx1"/>
            </w14:solidFill>
          </w14:textFill>
        </w:rPr>
      </w:pPr>
      <w:r>
        <w:rPr>
          <w:rFonts w:hint="eastAsia" w:ascii="宋体" w:hAnsi="宋体" w:cs="宋体"/>
          <w:b/>
          <w:color w:val="000000" w:themeColor="text1"/>
          <w:szCs w:val="21"/>
          <w:lang w:val="zh-CN"/>
          <w14:textFill>
            <w14:solidFill>
              <w14:schemeClr w14:val="tx1"/>
            </w14:solidFill>
          </w14:textFill>
        </w:rPr>
        <w:t xml:space="preserve">三、磋商响应文件的递交与解密</w:t>
      </w:r>
      <w:r/>
    </w:p>
    <w:p>
      <w:pPr>
        <w:ind w:firstLine="420"/>
        <w:spacing w:line="360" w:lineRule="auto"/>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w:t>
      </w:r>
      <w:r>
        <w:rPr>
          <w:rFonts w:hint="eastAsia" w:ascii="宋体" w:hAnsi="宋体" w:cs="宋体"/>
          <w:color w:val="000000" w:themeColor="text1"/>
          <w:szCs w:val="21"/>
          <w:lang w:val="zh-CN"/>
          <w14:textFill>
            <w14:solidFill>
              <w14:schemeClr w14:val="tx1"/>
            </w14:solidFill>
          </w14:textFill>
        </w:rPr>
        <w:t xml:space="preserve">.1供应商应当按照《操作手册》的规定递交电子响应文件，在磋商响应截止时间前制作并上传电子响应文件。招标代理机构拒绝接收提交响应文件截止时间后上传的任何电子响应文件。</w:t>
      </w:r>
      <w:r/>
    </w:p>
    <w:p>
      <w:pPr>
        <w:ind w:firstLine="420"/>
        <w:spacing w:line="360" w:lineRule="auto"/>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w:t>
      </w:r>
      <w:r>
        <w:rPr>
          <w:rFonts w:hint="eastAsia" w:ascii="宋体" w:hAnsi="宋体" w:cs="宋体"/>
          <w:color w:val="000000" w:themeColor="text1"/>
          <w:szCs w:val="21"/>
          <w:lang w:val="zh-CN"/>
          <w14:textFill>
            <w14:solidFill>
              <w14:schemeClr w14:val="tx1"/>
            </w14:solidFill>
          </w14:textFill>
        </w:rPr>
        <w:t xml:space="preserve">.2供应商应当按照《操作手册》规定，在“苏采云”系统规定的时间内对响应文件进行解密。</w:t>
      </w:r>
      <w:r/>
    </w:p>
    <w:p>
      <w:pPr>
        <w:ind w:firstLine="420"/>
        <w:spacing w:line="360" w:lineRule="auto"/>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w:t>
      </w:r>
      <w:r>
        <w:rPr>
          <w:rFonts w:hint="eastAsia" w:ascii="宋体" w:hAnsi="宋体" w:cs="宋体"/>
          <w:color w:val="000000" w:themeColor="text1"/>
          <w:szCs w:val="21"/>
          <w:lang w:val="zh-CN"/>
          <w14:textFill>
            <w14:solidFill>
              <w14:schemeClr w14:val="tx1"/>
            </w14:solidFill>
          </w14:textFill>
        </w:rPr>
        <w:t xml:space="preserve">.3供应商应充分考虑到网络环境、网络带宽等风险因素，如因供应商自身原因造成电子响应文件未在“苏采云”系统规定的时间内成功解密的，按照本磋商文件规定做无效响应处理。</w:t>
      </w:r>
      <w:r/>
    </w:p>
    <w:p>
      <w:pPr>
        <w:ind w:firstLine="420"/>
        <w:spacing w:line="360" w:lineRule="auto"/>
        <w:tabs>
          <w:tab w:val="left" w:pos="5355" w:leader="none"/>
        </w:tabs>
        <w:rPr>
          <w:rFonts w:ascii="宋体" w:hAnsi="宋体" w:cs="宋体"/>
          <w:b/>
          <w:bCs/>
          <w:color w:val="000000" w:themeColor="text1"/>
          <w:szCs w:val="21"/>
          <w:lang w:val="zh-CN"/>
          <w14:textFill>
            <w14:solidFill>
              <w14:schemeClr w14:val="tx1"/>
            </w14:solidFill>
          </w14:textFill>
        </w:rPr>
      </w:pPr>
      <w:r>
        <w:rPr>
          <w:rFonts w:hint="eastAsia" w:ascii="宋体" w:hAnsi="宋体" w:cs="宋体"/>
          <w:b/>
          <w:bCs/>
          <w:color w:val="000000" w:themeColor="text1"/>
          <w:szCs w:val="21"/>
          <w:lang w:val="zh-CN"/>
          <w14:textFill>
            <w14:solidFill>
              <w14:schemeClr w14:val="tx1"/>
            </w14:solidFill>
          </w14:textFill>
        </w:rPr>
        <w:t xml:space="preserve">2.诚实信用</w:t>
      </w:r>
      <w:r/>
    </w:p>
    <w:p>
      <w:pPr>
        <w:ind w:firstLine="420"/>
        <w:spacing w:line="360" w:lineRule="auto"/>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2.1 供应商之间不得相互串通报价，不得妨碍其他供应商的公平竞争，不得损害采购人或者其他供应商的合法权益。</w:t>
      </w:r>
      <w:r/>
    </w:p>
    <w:p>
      <w:pPr>
        <w:ind w:firstLine="420"/>
        <w:spacing w:line="360" w:lineRule="auto"/>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2.2 供应商不得以向采购代理机构工作人员、磋商小组成员行贿或者采取其他不正当手段谋取成交。</w:t>
      </w:r>
      <w:r/>
    </w:p>
    <w:p>
      <w:pPr>
        <w:ind w:firstLine="422"/>
        <w:spacing w:line="360" w:lineRule="auto"/>
        <w:rPr>
          <w:rFonts w:ascii="宋体" w:hAnsi="宋体" w:cs="宋体"/>
          <w:color w:val="000000" w:themeColor="text1"/>
          <w:szCs w:val="21"/>
          <w:lang w:val="zh-CN"/>
          <w14:textFill>
            <w14:solidFill>
              <w14:schemeClr w14:val="tx1"/>
            </w14:solidFill>
          </w14:textFill>
        </w:rPr>
      </w:pPr>
      <w:r>
        <w:rPr>
          <w:rFonts w:hint="eastAsia" w:ascii="宋体" w:hAnsi="宋体" w:cs="宋体"/>
          <w:b/>
          <w:bCs/>
          <w:color w:val="000000" w:themeColor="text1"/>
          <w:szCs w:val="21"/>
          <w:lang w:val="zh-CN"/>
          <w14:textFill>
            <w14:solidFill>
              <w14:schemeClr w14:val="tx1"/>
            </w14:solidFill>
          </w14:textFill>
        </w:rPr>
        <w:t xml:space="preserve">四、磋商</w:t>
      </w:r>
      <w:r/>
    </w:p>
    <w:p>
      <w:pPr>
        <w:ind w:firstLine="420"/>
        <w:spacing w:line="360" w:lineRule="auto"/>
        <w:rPr>
          <w:rFonts w:ascii="宋体" w:hAnsi="宋体" w:cs="宋体"/>
          <w:b/>
          <w:bCs/>
          <w:color w:val="000000" w:themeColor="text1"/>
          <w:szCs w:val="21"/>
          <w:lang w:val="zh-CN"/>
          <w14:textFill>
            <w14:solidFill>
              <w14:schemeClr w14:val="tx1"/>
            </w14:solidFill>
          </w14:textFill>
        </w:rPr>
      </w:pPr>
      <w:r>
        <w:rPr>
          <w:rFonts w:hint="eastAsia" w:ascii="宋体" w:hAnsi="宋体" w:cs="宋体"/>
          <w:b/>
          <w:bCs/>
          <w:color w:val="000000" w:themeColor="text1"/>
          <w:szCs w:val="21"/>
          <w:lang w:val="zh-CN"/>
          <w14:textFill>
            <w14:solidFill>
              <w14:schemeClr w14:val="tx1"/>
            </w14:solidFill>
          </w14:textFill>
        </w:rPr>
        <w:t xml:space="preserve">1.磋商组织</w:t>
      </w:r>
      <w:r/>
    </w:p>
    <w:p>
      <w:pPr>
        <w:ind w:firstLine="420"/>
        <w:spacing w:line="360" w:lineRule="auto"/>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在递交磋商响应文件时间截止后，采购代理机构在规定的时间和地点组织磋商小组分别与供应商进行磋商。</w:t>
      </w:r>
      <w:r/>
    </w:p>
    <w:p>
      <w:pPr>
        <w:ind w:firstLine="420"/>
        <w:spacing w:line="360" w:lineRule="auto"/>
        <w:rPr>
          <w:rFonts w:ascii="宋体" w:hAnsi="宋体" w:cs="宋体"/>
          <w:b/>
          <w:color w:val="000000" w:themeColor="text1"/>
          <w:szCs w:val="21"/>
          <w:lang w:val="zh-CN"/>
          <w14:textFill>
            <w14:solidFill>
              <w14:schemeClr w14:val="tx1"/>
            </w14:solidFill>
          </w14:textFill>
        </w:rPr>
      </w:pPr>
      <w:r>
        <w:rPr>
          <w:rFonts w:hint="eastAsia" w:ascii="宋体" w:hAnsi="宋体" w:cs="宋体"/>
          <w:b/>
          <w:color w:val="000000" w:themeColor="text1"/>
          <w:szCs w:val="21"/>
          <w:lang w:val="zh-CN"/>
          <w14:textFill>
            <w14:solidFill>
              <w14:schemeClr w14:val="tx1"/>
            </w14:solidFill>
          </w14:textFill>
        </w:rPr>
        <w:t xml:space="preserve">2.磋商程序</w:t>
      </w:r>
      <w:r/>
    </w:p>
    <w:p>
      <w:pPr>
        <w:ind w:firstLine="420"/>
        <w:spacing w:line="360" w:lineRule="auto"/>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2.1磋商小组审阅供应商所递交的响应文件，凡不具备资格条件的供应商不得进入磋商程序。</w:t>
      </w:r>
      <w:r/>
    </w:p>
    <w:p>
      <w:pPr>
        <w:ind w:firstLine="420"/>
        <w:spacing w:line="360" w:lineRule="auto"/>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2.2磋商小组将与通过资格审查和符合性审查的供应商分别进行磋商。磋商小组通过“苏采云”系统向供应商发出《磋商函》，供应商应当按照要求在“苏采云”系统提交《磋商响应函》并加盖电子公章。</w:t>
      </w:r>
      <w:r/>
    </w:p>
    <w:p>
      <w:pPr>
        <w:ind w:firstLine="420"/>
        <w:spacing w:line="360" w:lineRule="auto"/>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2.3磋商过程中，磋商小组可以根据磋商文件和磋商情况实质性变动采购需求中的技术、服务要求以及合同草案条款，但不得变动磋商文件中的其他内容。实质性变动的内容，须经采购人代表确认。</w:t>
      </w:r>
      <w:r/>
    </w:p>
    <w:p>
      <w:pPr>
        <w:ind w:firstLine="420"/>
        <w:spacing w:line="360" w:lineRule="auto"/>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对磋商文件作出的实质性变动是磋商文件的有效组成部分，磋商小组应当及时以书面形式同时通知所有参加磋商的供应商。</w:t>
      </w:r>
      <w:r/>
    </w:p>
    <w:p>
      <w:pPr>
        <w:ind w:firstLine="420"/>
        <w:spacing w:line="360" w:lineRule="auto"/>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2.4如磋商文件有实质性变动的，供应商应当按照磋商文件的变动情况和磋商小组的要求在苏采云系统中重新提交响应文件，并加盖电子公章。</w:t>
      </w:r>
      <w:r/>
    </w:p>
    <w:p>
      <w:pPr>
        <w:ind w:firstLine="420"/>
        <w:spacing w:line="360" w:lineRule="auto"/>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2.5磋商结束后，磋商小组将在“苏采云”系统向所有实质性响应的供应商发出《最后报价要求函》及最后报价格式表，要求所有实质性响应的供应商在规定时间内提交最后报价并加盖电子公章，提交最后报价的供应商不得少于3家。最后报价是供应商响应文件的有效组成部分，除项目扩大了供货范围，增加了采购内容、提高了技术要求外，原则上不得高于上一轮报价。</w:t>
      </w:r>
      <w:r>
        <w:rPr>
          <w:rFonts w:hint="eastAsia" w:ascii="宋体" w:hAnsi="宋体" w:cs="宋体"/>
          <w:b/>
          <w:bCs/>
          <w:color w:val="000000" w:themeColor="text1"/>
          <w:szCs w:val="21"/>
          <w:lang w:val="zh-CN"/>
          <w14:textFill>
            <w14:solidFill>
              <w14:schemeClr w14:val="tx1"/>
            </w14:solidFill>
          </w14:textFill>
        </w:rPr>
        <w:t xml:space="preserve">最后报价高于或低于供应商在响应文件首次报价的，分项报价（除暂列金额、不可竞争费以外的所有费用）同比例调整。</w:t>
      </w:r>
      <w:r>
        <w:rPr>
          <w:rFonts w:hint="eastAsia" w:ascii="宋体" w:hAnsi="宋体" w:cs="宋体"/>
          <w:color w:val="000000" w:themeColor="text1"/>
          <w:szCs w:val="21"/>
          <w:lang w:val="zh-CN"/>
          <w14:textFill>
            <w14:solidFill>
              <w14:schemeClr w14:val="tx1"/>
            </w14:solidFill>
          </w14:textFill>
        </w:rPr>
        <w:t xml:space="preserve">符合《政府采购竞争性磋商采购方式管理暂行办法》第三条第四项及《财政部关于竞争性磋商采购方式管理暂行办法有关问题的补充通知》（财库〔2015〕124号）规定情形的，提交最后报价的供应商可以为2家。</w:t>
      </w:r>
      <w:r/>
    </w:p>
    <w:p>
      <w:pPr>
        <w:ind w:firstLine="420"/>
        <w:spacing w:line="360" w:lineRule="auto"/>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2.6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p>
    <w:p>
      <w:pPr>
        <w:ind w:firstLine="420"/>
        <w:spacing w:line="360" w:lineRule="auto"/>
        <w:rPr>
          <w:rFonts w:ascii="宋体" w:hAnsi="宋体" w:cs="宋体"/>
          <w:b/>
          <w:color w:val="000000" w:themeColor="text1"/>
          <w:szCs w:val="21"/>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2.</w:t>
      </w:r>
      <w:r>
        <w:rPr>
          <w:rFonts w:hint="eastAsia" w:ascii="宋体" w:hAnsi="宋体" w:cs="宋体"/>
          <w:color w:val="000000" w:themeColor="text1"/>
          <w:szCs w:val="21"/>
          <w14:textFill>
            <w14:solidFill>
              <w14:schemeClr w14:val="tx1"/>
            </w14:solidFill>
          </w14:textFill>
        </w:rPr>
        <w:t xml:space="preserve">7</w:t>
      </w:r>
      <w:r>
        <w:rPr>
          <w:rFonts w:hint="eastAsia" w:ascii="宋体" w:hAnsi="宋体" w:cs="宋体"/>
          <w:color w:val="000000" w:themeColor="text1"/>
          <w:szCs w:val="21"/>
          <w:lang w:val="zh-CN"/>
          <w14:textFill>
            <w14:solidFill>
              <w14:schemeClr w14:val="tx1"/>
            </w14:solidFill>
          </w14:textFill>
        </w:rPr>
        <w:t xml:space="preserve"> 出现下列情形之一的响应文件按照无效处理：</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w:t>
      </w:r>
      <w:bookmarkStart w:id="6" w:name="OLE_LINK8"/>
      <w:r>
        <w:rPr>
          <w:rFonts w:hint="eastAsia" w:ascii="宋体" w:hAnsi="宋体" w:cs="宋体"/>
          <w:color w:val="000000" w:themeColor="text1"/>
          <w:szCs w:val="21"/>
          <w14:textFill>
            <w14:solidFill>
              <w14:schemeClr w14:val="tx1"/>
            </w14:solidFill>
          </w14:textFill>
        </w:rPr>
        <w:t xml:space="preserve">不满足“第一章竞争性磋商公告 二、申请人资格要求”的规定的</w:t>
      </w:r>
      <w:bookmarkEnd w:id="6"/>
      <w:r>
        <w:rPr>
          <w:rFonts w:hint="eastAsia" w:ascii="宋体" w:hAnsi="宋体" w:cs="宋体"/>
          <w:color w:val="000000" w:themeColor="text1"/>
          <w:szCs w:val="21"/>
          <w14:textFill>
            <w14:solidFill>
              <w14:schemeClr w14:val="tx1"/>
            </w14:solidFill>
          </w14:textFill>
        </w:rPr>
        <w:t xml:space="preserve">； </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w:t>
      </w:r>
      <w:bookmarkStart w:id="7" w:name="OLE_LINK3"/>
      <w:r>
        <w:rPr>
          <w:rFonts w:hint="eastAsia" w:ascii="宋体" w:hAnsi="宋体" w:cs="宋体"/>
          <w:color w:val="000000" w:themeColor="text1"/>
          <w:szCs w:val="21"/>
          <w14:textFill>
            <w14:solidFill>
              <w14:schemeClr w14:val="tx1"/>
            </w14:solidFill>
          </w14:textFill>
        </w:rPr>
        <w:t xml:space="preserve">响应文件所报的投标价格超过磋商文件规定的预算价、限价的</w:t>
      </w:r>
      <w:bookmarkEnd w:id="7"/>
      <w:r>
        <w:rPr>
          <w:rFonts w:hint="eastAsia" w:ascii="宋体" w:hAnsi="宋体" w:cs="宋体"/>
          <w:color w:val="000000" w:themeColor="text1"/>
          <w:szCs w:val="21"/>
          <w14:textFill>
            <w14:solidFill>
              <w14:schemeClr w14:val="tx1"/>
            </w14:solidFill>
          </w14:textFill>
        </w:rPr>
        <w:t xml:space="preserve">；</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w:t>
      </w:r>
      <w:bookmarkStart w:id="8" w:name="OLE_LINK9"/>
      <w:r>
        <w:rPr>
          <w:rFonts w:hint="eastAsia" w:ascii="宋体" w:hAnsi="宋体" w:cs="宋体"/>
          <w:color w:val="000000" w:themeColor="text1"/>
          <w:szCs w:val="21"/>
          <w14:textFill>
            <w14:solidFill>
              <w14:schemeClr w14:val="tx1"/>
            </w14:solidFill>
          </w14:textFill>
        </w:rPr>
        <w:t xml:space="preserve">未实质性响应磋商文件要求的；</w:t>
      </w:r>
      <w:r>
        <w:rPr>
          <w:rFonts w:hint="eastAsia" w:ascii="宋体" w:hAnsi="宋体" w:cs="宋体"/>
          <w:color w:val="000000" w:themeColor="text1"/>
          <w:szCs w:val="21"/>
          <w:lang w:val="zh-CN"/>
          <w14:textFill>
            <w14:solidFill>
              <w14:schemeClr w14:val="tx1"/>
            </w14:solidFill>
          </w14:textFill>
        </w:rPr>
        <w:t xml:space="preserve">（</w:t>
      </w:r>
      <w:r>
        <w:rPr>
          <w:rFonts w:hint="eastAsia" w:ascii="宋体" w:hAnsi="宋体" w:cs="宋体"/>
          <w:b/>
          <w:bCs/>
          <w:color w:val="000000" w:themeColor="text1"/>
          <w:szCs w:val="21"/>
          <w14:textFill>
            <w14:solidFill>
              <w14:schemeClr w14:val="tx1"/>
            </w14:solidFill>
          </w14:textFill>
        </w:rPr>
        <w:t xml:space="preserve">实质性要求是指本磋商文件中用带星号（“★”）等其他文字说明的商务和技术要求。</w:t>
      </w:r>
      <w:r>
        <w:rPr>
          <w:rFonts w:hint="eastAsia" w:ascii="宋体" w:hAnsi="宋体" w:cs="宋体"/>
          <w:color w:val="000000" w:themeColor="text1"/>
          <w:szCs w:val="21"/>
          <w:lang w:val="zh-CN"/>
          <w14:textFill>
            <w14:solidFill>
              <w14:schemeClr w14:val="tx1"/>
            </w14:solidFill>
          </w14:textFill>
        </w:rPr>
        <w:t xml:space="preserve">）</w:t>
      </w:r>
      <w:bookmarkEnd w:id="8"/>
      <w:r/>
      <w:r/>
    </w:p>
    <w:p>
      <w:pPr>
        <w:ind w:firstLine="420"/>
        <w:spacing w:line="360" w:lineRule="auto"/>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（4）</w:t>
      </w:r>
      <w:bookmarkStart w:id="9" w:name="OLE_LINK6"/>
      <w:r>
        <w:rPr>
          <w:rFonts w:hint="eastAsia" w:ascii="宋体" w:hAnsi="宋体" w:cs="宋体"/>
          <w:color w:val="000000" w:themeColor="text1"/>
          <w:szCs w:val="21"/>
          <w:lang w:val="zh-CN"/>
          <w14:textFill>
            <w14:solidFill>
              <w14:schemeClr w14:val="tx1"/>
            </w14:solidFill>
          </w14:textFill>
        </w:rPr>
        <w:t xml:space="preserve">不符合法律、法规和磋商文件规定的其他实质性要求的</w:t>
      </w:r>
      <w:bookmarkEnd w:id="9"/>
      <w:r>
        <w:rPr>
          <w:rFonts w:hint="eastAsia" w:ascii="宋体" w:hAnsi="宋体" w:cs="宋体"/>
          <w:color w:val="000000" w:themeColor="text1"/>
          <w:szCs w:val="21"/>
          <w:lang w:val="zh-CN"/>
          <w14:textFill>
            <w14:solidFill>
              <w14:schemeClr w14:val="tx1"/>
            </w14:solidFill>
          </w14:textFill>
        </w:rPr>
        <w:t xml:space="preserve">；</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w:t>
      </w:r>
      <w:r>
        <w:rPr>
          <w:rFonts w:hint="eastAsia" w:ascii="宋体" w:hAnsi="宋体" w:cs="宋体"/>
          <w:color w:val="000000" w:themeColor="text1"/>
          <w:szCs w:val="21"/>
          <w14:textFill>
            <w14:solidFill>
              <w14:schemeClr w14:val="tx1"/>
            </w14:solidFill>
          </w14:textFill>
        </w:rPr>
        <w:t xml:space="preserve">5</w:t>
      </w:r>
      <w:r>
        <w:rPr>
          <w:rFonts w:hint="eastAsia" w:ascii="宋体" w:hAnsi="宋体" w:cs="宋体"/>
          <w:color w:val="000000" w:themeColor="text1"/>
          <w:szCs w:val="21"/>
          <w:lang w:val="zh-CN"/>
          <w14:textFill>
            <w14:solidFill>
              <w14:schemeClr w14:val="tx1"/>
            </w14:solidFill>
          </w14:textFill>
        </w:rPr>
        <w:t xml:space="preserve">）供应商未按照磋商文件要求</w:t>
      </w:r>
      <w:r>
        <w:rPr>
          <w:rFonts w:hint="eastAsia" w:ascii="宋体" w:hAnsi="宋体" w:cs="宋体"/>
          <w:color w:val="000000" w:themeColor="text1"/>
          <w:szCs w:val="21"/>
          <w14:textFill>
            <w14:solidFill>
              <w14:schemeClr w14:val="tx1"/>
            </w14:solidFill>
          </w14:textFill>
        </w:rPr>
        <w:t xml:space="preserve">签章的</w:t>
      </w:r>
      <w:r>
        <w:rPr>
          <w:rFonts w:hint="eastAsia" w:ascii="宋体" w:hAnsi="宋体" w:cs="宋体"/>
          <w:color w:val="000000" w:themeColor="text1"/>
          <w:szCs w:val="21"/>
          <w:lang w:val="zh-CN"/>
          <w14:textFill>
            <w14:solidFill>
              <w14:schemeClr w14:val="tx1"/>
            </w14:solidFill>
          </w14:textFill>
        </w:rPr>
        <w:t xml:space="preserve">。</w:t>
      </w:r>
      <w:r/>
    </w:p>
    <w:p>
      <w:pPr>
        <w:ind w:firstLine="420"/>
        <w:spacing w:line="360" w:lineRule="auto"/>
        <w:rPr>
          <w:rFonts w:ascii="宋体" w:hAnsi="宋体" w:cs="宋体"/>
          <w:bCs/>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2.8 </w:t>
      </w:r>
      <w:r>
        <w:rPr>
          <w:rFonts w:hint="eastAsia" w:ascii="宋体" w:hAnsi="宋体" w:cs="宋体"/>
          <w:bCs/>
          <w:color w:val="000000" w:themeColor="text1"/>
          <w:szCs w:val="21"/>
          <w:lang w:val="zh-CN"/>
          <w14:textFill>
            <w14:solidFill>
              <w14:schemeClr w14:val="tx1"/>
            </w14:solidFill>
          </w14:textFill>
        </w:rPr>
        <w:t xml:space="preserve">出现下列情形之一的磋商终止：</w:t>
      </w:r>
      <w:r/>
    </w:p>
    <w:p>
      <w:pPr>
        <w:ind w:firstLine="420"/>
        <w:spacing w:line="360" w:lineRule="auto"/>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（1）因情况变化，不再符合规定的竞争性磋商采购方式适用情形的；</w:t>
      </w:r>
      <w:r/>
    </w:p>
    <w:p>
      <w:pPr>
        <w:ind w:firstLine="420"/>
        <w:spacing w:line="360" w:lineRule="auto"/>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（2）出现影响采购公正的违法、违规行为的；</w:t>
      </w:r>
      <w:r/>
    </w:p>
    <w:p>
      <w:pPr>
        <w:ind w:firstLine="420"/>
        <w:spacing w:line="360" w:lineRule="auto"/>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3）除《政府采购竞争性磋商采购方式管理暂行办法》第三条第四项及《财政部关于竞争性磋商采购方式管理暂行办法有关问题的补充通知》（财库〔2015〕124号）规定情形外，在采购过程中符合要求的供应商或者报价未超过采购预算的供应商不足3家的；</w:t>
      </w:r>
      <w:r/>
    </w:p>
    <w:p>
      <w:pPr>
        <w:ind w:firstLine="420"/>
        <w:spacing w:line="360" w:lineRule="auto"/>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（4）在“苏采云”系统规定时间内成功解密电子响应文件的供应商不足3家的。</w:t>
      </w:r>
      <w:r/>
    </w:p>
    <w:p>
      <w:pPr>
        <w:ind w:firstLine="420"/>
        <w:spacing w:line="360" w:lineRule="auto"/>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2.9 磋商有效期为90天，从提交磋商响应文件的截止之日起算。磋商响应文件中承诺的磋商有效期应当不少于竞争性磋商文件中载明的磋商有效期。</w:t>
      </w:r>
      <w:r/>
    </w:p>
    <w:p>
      <w:pPr>
        <w:ind w:firstLine="422"/>
        <w:spacing w:line="360" w:lineRule="auto"/>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2.10政府采购评审中出现下列情形之一的，评审委员会应当启动异常低价投标（响应）审查程序：</w:t>
      </w:r>
      <w:r/>
    </w:p>
    <w:p>
      <w:pPr>
        <w:ind w:firstLine="422"/>
        <w:spacing w:line="360" w:lineRule="auto"/>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（1）投标（响应）报价低于全部通过符合性审查供应商投标（响应）报价平均值50%的，即投标（响应）报价&lt;全部通过符合性审查供应商投标（响应）报价平均值×50%；</w:t>
      </w:r>
      <w:r/>
    </w:p>
    <w:p>
      <w:pPr>
        <w:ind w:firstLine="422"/>
        <w:spacing w:line="360" w:lineRule="auto"/>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（2）投标（响应）报价低于通过符合性审查的次低报价供应商投标（响应）报价50%的，即投标（响应）报价&lt;通过符合性审查的次低报价供应商投标（响应）报价×50%；</w:t>
      </w:r>
      <w:r/>
    </w:p>
    <w:p>
      <w:pPr>
        <w:ind w:firstLine="422"/>
        <w:spacing w:line="360" w:lineRule="auto"/>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（3）投标（响应）报价低于采购项目最高限价45%的，即投标（响应）报价&lt;采购项目最高限价×45%；</w:t>
      </w:r>
      <w:r/>
    </w:p>
    <w:p>
      <w:pPr>
        <w:ind w:firstLine="422"/>
        <w:spacing w:line="360" w:lineRule="auto"/>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（4）评审委员会基于专业判断，认为供应商报价过低，有可能影响产品质量或者不能诚信履约的其他情形。</w:t>
      </w:r>
      <w:r/>
    </w:p>
    <w:p>
      <w:pPr>
        <w:ind w:firstLine="422"/>
        <w:spacing w:line="360" w:lineRule="auto"/>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相关法律法规对供应商报价有规定的，从其规定。</w:t>
      </w:r>
      <w:r/>
    </w:p>
    <w:p>
      <w:pPr>
        <w:ind w:firstLine="422"/>
        <w:spacing w:line="360" w:lineRule="auto"/>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2"/>
        <w:spacing w:line="360" w:lineRule="auto"/>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2"/>
        <w:spacing w:line="360" w:lineRule="auto"/>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22"/>
        <w:spacing w:line="360" w:lineRule="auto"/>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2"/>
        <w:spacing w:line="360" w:lineRule="auto"/>
        <w:rPr>
          <w:rFonts w:ascii="宋体" w:hAnsi="宋体" w:cs="宋体"/>
          <w:b/>
          <w:color w:val="000000" w:themeColor="text1"/>
          <w:szCs w:val="21"/>
          <w:lang w:val="zh-CN"/>
          <w14:textFill>
            <w14:solidFill>
              <w14:schemeClr w14:val="tx1"/>
            </w14:solidFill>
          </w14:textFill>
        </w:rPr>
      </w:pPr>
      <w:r>
        <w:rPr>
          <w:rFonts w:hint="eastAsia" w:ascii="宋体" w:hAnsi="宋体" w:cs="宋体"/>
          <w:b/>
          <w:color w:val="000000" w:themeColor="text1"/>
          <w:szCs w:val="21"/>
          <w:lang w:val="zh-CN"/>
          <w14:textFill>
            <w14:solidFill>
              <w14:schemeClr w14:val="tx1"/>
            </w14:solidFill>
          </w14:textFill>
        </w:rPr>
        <w:t xml:space="preserve">3.</w:t>
      </w:r>
      <w:r>
        <w:rPr>
          <w:rFonts w:hint="eastAsia" w:ascii="宋体" w:hAnsi="宋体" w:cs="宋体"/>
          <w:b/>
          <w:bCs/>
          <w:color w:val="000000" w:themeColor="text1"/>
          <w:szCs w:val="21"/>
          <w:lang w:val="zh-CN"/>
          <w14:textFill>
            <w14:solidFill>
              <w14:schemeClr w14:val="tx1"/>
            </w14:solidFill>
          </w14:textFill>
        </w:rPr>
        <w:t xml:space="preserve">评分方法和标准</w:t>
      </w:r>
      <w:r/>
    </w:p>
    <w:p>
      <w:pPr>
        <w:ind w:firstLine="420"/>
        <w:spacing w:line="360" w:lineRule="auto"/>
        <w:widowControl/>
        <w:rPr>
          <w:rFonts w:ascii="宋体" w:hAnsi="宋体" w:cs="宋体"/>
          <w:bCs/>
          <w:color w:val="000000" w:themeColor="text1"/>
          <w:szCs w:val="21"/>
          <w:lang w:val="zh-CN"/>
          <w14:textFill>
            <w14:solidFill>
              <w14:schemeClr w14:val="tx1"/>
            </w14:solidFill>
          </w14:textFill>
        </w:rPr>
      </w:pPr>
      <w:r>
        <w:rPr>
          <w:rFonts w:hint="eastAsia" w:ascii="宋体" w:hAnsi="宋体" w:cs="宋体"/>
          <w:bCs/>
          <w:color w:val="000000" w:themeColor="text1"/>
          <w:szCs w:val="21"/>
          <w:lang w:val="zh-CN"/>
          <w14:textFill>
            <w14:solidFill>
              <w14:schemeClr w14:val="tx1"/>
            </w14:solidFill>
          </w14:textFill>
        </w:rPr>
        <w:t xml:space="preserve">3.1 </w:t>
      </w:r>
      <w:r>
        <w:rPr>
          <w:rFonts w:hint="eastAsia" w:ascii="宋体" w:hAnsi="宋体" w:cs="宋体"/>
          <w:color w:val="000000" w:themeColor="text1"/>
          <w:szCs w:val="21"/>
          <w:lang w:val="zh-CN"/>
          <w14:textFill>
            <w14:solidFill>
              <w14:schemeClr w14:val="tx1"/>
            </w14:solidFill>
          </w14:textFill>
        </w:rPr>
        <w:t xml:space="preserve">采用综合评分法。即在最大限度地满足磋商文件实质性要求前提下，按照磋商文件中规定的各项因素进行综合评审后，以评审总得分最高的供应商作为成交候选供应商或者成交供应商的评分方法。</w:t>
      </w:r>
      <w:r/>
    </w:p>
    <w:p>
      <w:pPr>
        <w:ind w:firstLine="420"/>
        <w:spacing w:line="360" w:lineRule="auto"/>
        <w:rPr>
          <w:rFonts w:ascii="宋体" w:hAnsi="宋体" w:cs="宋体"/>
          <w:color w:val="000000" w:themeColor="text1"/>
          <w14:textFill>
            <w14:solidFill>
              <w14:schemeClr w14:val="tx1"/>
            </w14:solidFill>
          </w14:textFill>
        </w:rPr>
      </w:pPr>
      <w:r>
        <w:rPr>
          <w:rFonts w:hint="eastAsia" w:ascii="宋体" w:hAnsi="宋体" w:cs="宋体"/>
          <w:bCs/>
          <w:color w:val="000000" w:themeColor="text1"/>
          <w:szCs w:val="21"/>
          <w:lang w:val="zh-CN"/>
          <w14:textFill>
            <w14:solidFill>
              <w14:schemeClr w14:val="tx1"/>
            </w14:solidFill>
          </w14:textFill>
        </w:rPr>
        <w:t xml:space="preserve">3.2 </w:t>
      </w:r>
      <w:r>
        <w:rPr>
          <w:rFonts w:hint="eastAsia" w:ascii="宋体" w:hAnsi="宋体" w:cs="宋体"/>
          <w:color w:val="000000" w:themeColor="text1"/>
          <w:szCs w:val="21"/>
          <w14:textFill>
            <w14:solidFill>
              <w14:schemeClr w14:val="tx1"/>
            </w14:solidFill>
          </w14:textFill>
        </w:rPr>
        <w:t xml:space="preserve">综合评分的</w:t>
      </w:r>
      <w:r>
        <w:rPr>
          <w:rFonts w:hint="eastAsia" w:ascii="宋体" w:hAnsi="宋体" w:cs="宋体"/>
          <w:color w:val="000000" w:themeColor="text1"/>
          <w:szCs w:val="21"/>
          <w:lang w:val="zh-CN"/>
          <w14:textFill>
            <w14:solidFill>
              <w14:schemeClr w14:val="tx1"/>
            </w14:solidFill>
          </w14:textFill>
        </w:rPr>
        <w:t xml:space="preserve">主要因素是</w:t>
      </w:r>
      <w:r>
        <w:rPr>
          <w:rFonts w:hint="eastAsia" w:ascii="宋体" w:hAnsi="宋体" w:cs="宋体"/>
          <w:bCs/>
          <w:color w:val="000000" w:themeColor="text1"/>
          <w:szCs w:val="21"/>
          <w:lang w:val="zh-CN"/>
          <w14:textFill>
            <w14:solidFill>
              <w14:schemeClr w14:val="tx1"/>
            </w14:solidFill>
          </w14:textFill>
        </w:rPr>
        <w:t xml:space="preserve">：</w:t>
      </w:r>
      <w:r>
        <w:rPr>
          <w:rFonts w:hint="eastAsia" w:ascii="宋体" w:hAnsi="宋体" w:cs="宋体"/>
          <w:color w:val="000000" w:themeColor="text1"/>
          <w:szCs w:val="21"/>
          <w14:textFill>
            <w14:solidFill>
              <w14:schemeClr w14:val="tx1"/>
            </w14:solidFill>
          </w14:textFill>
        </w:rPr>
        <w:t xml:space="preserve">价格、服务、业绩等。</w:t>
      </w:r>
      <w:r/>
    </w:p>
    <w:p>
      <w:pPr>
        <w:ind w:firstLine="420"/>
        <w:spacing w:line="360" w:lineRule="auto"/>
        <w:shd w:val="clear" w:color="auto" w:fill="ffffff"/>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3.3 评分标准详见第三章。</w:t>
      </w:r>
      <w:r/>
    </w:p>
    <w:p>
      <w:pPr>
        <w:ind w:firstLine="420"/>
        <w:spacing w:line="360" w:lineRule="auto"/>
        <w:shd w:val="clear" w:color="auto" w:fill="ffffff"/>
        <w:widowControl/>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4.确定成交供应商</w:t>
      </w:r>
      <w:r/>
    </w:p>
    <w:p>
      <w:pPr>
        <w:ind w:firstLine="413"/>
        <w:spacing w:line="360" w:lineRule="auto"/>
        <w:rPr>
          <w:rFonts w:ascii="宋体" w:hAnsi="宋体" w:cs="宋体"/>
          <w:bCs/>
          <w:color w:val="000000" w:themeColor="text1"/>
          <w:szCs w:val="21"/>
          <w:lang w:val="zh-CN"/>
          <w14:textFill>
            <w14:solidFill>
              <w14:schemeClr w14:val="tx1"/>
            </w14:solidFill>
          </w14:textFill>
        </w:rPr>
      </w:pPr>
      <w:r>
        <w:rPr>
          <w:rFonts w:hint="eastAsia" w:ascii="宋体" w:hAnsi="宋体" w:cs="宋体"/>
          <w:bCs/>
          <w:color w:val="000000" w:themeColor="text1"/>
          <w:szCs w:val="21"/>
          <w:lang w:val="zh-CN"/>
          <w14:textFill>
            <w14:solidFill>
              <w14:schemeClr w14:val="tx1"/>
            </w14:solidFill>
          </w14:textFill>
        </w:rPr>
        <w:t xml:space="preserve">4.1综合比较与评价后按照得分高低顺序对供应商进行排列。评审得分相同的，按照最后报价由低到高顺序排列。评审得分且最后报价相同的，按技术指标优劣顺序排列。评标委员会将综合排名第一的供应商确定为供应商。</w:t>
      </w:r>
      <w:r/>
    </w:p>
    <w:p>
      <w:pPr>
        <w:ind w:firstLine="413"/>
        <w:spacing w:line="360" w:lineRule="auto"/>
        <w:rPr>
          <w:rFonts w:ascii="宋体" w:hAnsi="宋体" w:cs="宋体"/>
          <w:bCs/>
          <w:color w:val="000000" w:themeColor="text1"/>
          <w:szCs w:val="21"/>
          <w:lang w:val="zh-CN"/>
          <w14:textFill>
            <w14:solidFill>
              <w14:schemeClr w14:val="tx1"/>
            </w14:solidFill>
          </w14:textFill>
        </w:rPr>
      </w:pPr>
      <w:r>
        <w:rPr>
          <w:rFonts w:hint="eastAsia" w:ascii="宋体" w:hAnsi="宋体" w:cs="宋体"/>
          <w:bCs/>
          <w:color w:val="000000" w:themeColor="text1"/>
          <w:szCs w:val="21"/>
          <w:lang w:val="zh-CN"/>
          <w14:textFill>
            <w14:solidFill>
              <w14:schemeClr w14:val="tx1"/>
            </w14:solidFill>
          </w14:textFill>
        </w:rPr>
        <w:t xml:space="preserve">4.2 磋商小组根据磋商过程和结果编写磋商（评审）报告。</w:t>
      </w:r>
      <w:r/>
    </w:p>
    <w:p>
      <w:pPr>
        <w:ind w:firstLine="413"/>
        <w:spacing w:line="360" w:lineRule="auto"/>
        <w:rPr>
          <w:rFonts w:ascii="宋体" w:hAnsi="宋体" w:cs="宋体"/>
          <w:bCs/>
          <w:color w:val="000000" w:themeColor="text1"/>
          <w:szCs w:val="21"/>
          <w:lang w:val="zh-CN"/>
          <w14:textFill>
            <w14:solidFill>
              <w14:schemeClr w14:val="tx1"/>
            </w14:solidFill>
          </w14:textFill>
        </w:rPr>
      </w:pPr>
      <w:r>
        <w:rPr>
          <w:rFonts w:hint="eastAsia" w:ascii="宋体" w:hAnsi="宋体" w:cs="宋体"/>
          <w:bCs/>
          <w:color w:val="000000" w:themeColor="text1"/>
          <w:szCs w:val="21"/>
          <w:lang w:val="zh-CN"/>
          <w14:textFill>
            <w14:solidFill>
              <w14:schemeClr w14:val="tx1"/>
            </w14:solidFill>
          </w14:textFill>
        </w:rPr>
        <w:t xml:space="preserve">4.3 成交供应商确定后，采购人或者采购代理机构将在省级以上财政部门指定的政府采购信息发布媒体上公告成交结果，同时代理机构将向成交供应商发出《成交通知书》。成交供应商可在成交结果公告届满之日起三十日内，登录“苏采云”系统下载。    </w:t>
      </w:r>
      <w:r/>
    </w:p>
    <w:p>
      <w:pPr>
        <w:ind w:firstLine="413"/>
        <w:spacing w:line="360" w:lineRule="auto"/>
        <w:rPr>
          <w:rFonts w:ascii="宋体" w:hAnsi="宋体" w:cs="宋体"/>
          <w:bCs/>
          <w:color w:val="000000" w:themeColor="text1"/>
          <w:szCs w:val="21"/>
          <w:lang w:val="zh-CN"/>
          <w14:textFill>
            <w14:solidFill>
              <w14:schemeClr w14:val="tx1"/>
            </w14:solidFill>
          </w14:textFill>
        </w:rPr>
      </w:pPr>
      <w:r>
        <w:rPr>
          <w:rFonts w:hint="eastAsia" w:ascii="宋体" w:hAnsi="宋体" w:cs="宋体"/>
          <w:bCs/>
          <w:color w:val="000000" w:themeColor="text1"/>
          <w:szCs w:val="21"/>
          <w:lang w:val="zh-CN"/>
          <w14:textFill>
            <w14:solidFill>
              <w14:schemeClr w14:val="tx1"/>
            </w14:solidFill>
          </w14:textFill>
        </w:rPr>
        <w:t xml:space="preserve">因系统存储空间有限，成交结果公告届满之日起三十日后，“苏采云”系统不再保证提供下载《成交通知书》服务,因未及时下载而造成的不利后果由成交供应商自行承担。</w:t>
      </w:r>
      <w:r/>
    </w:p>
    <w:p>
      <w:pPr>
        <w:ind w:firstLine="413"/>
        <w:spacing w:line="360" w:lineRule="auto"/>
        <w:rPr>
          <w:rFonts w:ascii="宋体" w:hAnsi="宋体" w:cs="宋体"/>
          <w:bCs/>
          <w:color w:val="000000" w:themeColor="text1"/>
          <w:szCs w:val="21"/>
          <w:lang w:val="zh-CN"/>
          <w14:textFill>
            <w14:solidFill>
              <w14:schemeClr w14:val="tx1"/>
            </w14:solidFill>
          </w14:textFill>
        </w:rPr>
      </w:pPr>
      <w:r>
        <w:rPr>
          <w:rFonts w:hint="eastAsia" w:ascii="宋体" w:hAnsi="宋体" w:cs="宋体"/>
          <w:bCs/>
          <w:color w:val="000000" w:themeColor="text1"/>
          <w:szCs w:val="21"/>
          <w:lang w:val="zh-CN"/>
          <w14:textFill>
            <w14:solidFill>
              <w14:schemeClr w14:val="tx1"/>
            </w14:solidFill>
          </w14:textFill>
        </w:rPr>
        <w:t xml:space="preserve">4.4成交通知书对采购人和成交供应商具有同等法律效力。</w:t>
      </w:r>
      <w:r/>
    </w:p>
    <w:p>
      <w:pPr>
        <w:ind w:firstLine="413"/>
        <w:spacing w:line="360" w:lineRule="auto"/>
        <w:rPr>
          <w:rFonts w:ascii="宋体" w:hAnsi="宋体" w:cs="宋体"/>
          <w:bCs/>
          <w:color w:val="000000" w:themeColor="text1"/>
          <w:szCs w:val="21"/>
          <w:lang w:val="zh-CN"/>
          <w14:textFill>
            <w14:solidFill>
              <w14:schemeClr w14:val="tx1"/>
            </w14:solidFill>
          </w14:textFill>
        </w:rPr>
      </w:pPr>
      <w:r>
        <w:rPr>
          <w:rFonts w:hint="eastAsia" w:ascii="宋体" w:hAnsi="宋体" w:cs="宋体"/>
          <w:bCs/>
          <w:color w:val="000000" w:themeColor="text1"/>
          <w:szCs w:val="21"/>
          <w:lang w:val="zh-CN"/>
          <w14:textFill>
            <w14:solidFill>
              <w14:schemeClr w14:val="tx1"/>
            </w14:solidFill>
          </w14:textFill>
        </w:rPr>
        <w:t xml:space="preserve">4.5采购人与成交供应商应当在成交通知书发出之日起30日内，按照磋商文件确定的合同文本以及采购标的、规格型号、采购金额、采购数量、技术和服务要求等事项签订政府采购合同。</w:t>
      </w:r>
      <w:r/>
    </w:p>
    <w:p>
      <w:pPr>
        <w:ind w:firstLine="413"/>
        <w:spacing w:line="360" w:lineRule="auto"/>
        <w:rPr>
          <w:rFonts w:ascii="宋体" w:hAnsi="宋体" w:cs="宋体"/>
          <w:bCs/>
          <w:color w:val="000000" w:themeColor="text1"/>
          <w:szCs w:val="21"/>
          <w:lang w:val="zh-CN"/>
          <w14:textFill>
            <w14:solidFill>
              <w14:schemeClr w14:val="tx1"/>
            </w14:solidFill>
          </w14:textFill>
        </w:rPr>
      </w:pPr>
      <w:r>
        <w:rPr>
          <w:rFonts w:hint="eastAsia" w:ascii="宋体" w:hAnsi="宋体" w:cs="宋体"/>
          <w:bCs/>
          <w:color w:val="000000" w:themeColor="text1"/>
          <w:szCs w:val="21"/>
          <w:lang w:val="zh-CN"/>
          <w14:textFill>
            <w14:solidFill>
              <w14:schemeClr w14:val="tx1"/>
            </w14:solidFill>
          </w14:textFill>
        </w:rPr>
        <w:t xml:space="preserve">4.6 所有响应文件不论成交与否，均不退回。</w:t>
      </w:r>
      <w:r/>
    </w:p>
    <w:p>
      <w:pPr>
        <w:ind w:firstLine="420"/>
        <w:spacing w:line="360" w:lineRule="auto"/>
        <w:rPr>
          <w:rFonts w:ascii="宋体" w:hAnsi="宋体" w:cs="宋体"/>
          <w:b/>
          <w:bCs/>
          <w:color w:val="000000" w:themeColor="text1"/>
          <w:szCs w:val="21"/>
          <w:lang w:val="zh-CN"/>
          <w14:textFill>
            <w14:solidFill>
              <w14:schemeClr w14:val="tx1"/>
            </w14:solidFill>
          </w14:textFill>
        </w:rPr>
      </w:pPr>
      <w:r>
        <w:rPr>
          <w:rFonts w:hint="eastAsia" w:ascii="宋体" w:hAnsi="宋体" w:cs="宋体"/>
          <w:b/>
          <w:color w:val="000000" w:themeColor="text1"/>
          <w:szCs w:val="21"/>
          <w:lang w:val="zh-CN"/>
          <w14:textFill>
            <w14:solidFill>
              <w14:schemeClr w14:val="tx1"/>
            </w14:solidFill>
          </w14:textFill>
        </w:rPr>
        <w:t xml:space="preserve">5.</w:t>
      </w:r>
      <w:r>
        <w:rPr>
          <w:rFonts w:hint="eastAsia" w:ascii="宋体" w:hAnsi="宋体" w:cs="宋体"/>
          <w:b/>
          <w:bCs/>
          <w:color w:val="000000" w:themeColor="text1"/>
          <w:szCs w:val="21"/>
          <w:lang w:val="zh-CN"/>
          <w14:textFill>
            <w14:solidFill>
              <w14:schemeClr w14:val="tx1"/>
            </w14:solidFill>
          </w14:textFill>
        </w:rPr>
        <w:t xml:space="preserve">签订合同</w:t>
      </w:r>
      <w:r/>
    </w:p>
    <w:p>
      <w:pPr>
        <w:ind w:firstLine="420"/>
        <w:spacing w:line="360" w:lineRule="auto"/>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5</w:t>
      </w:r>
      <w:r>
        <w:rPr>
          <w:rFonts w:hint="eastAsia" w:ascii="宋体" w:hAnsi="宋体" w:cs="宋体"/>
          <w:color w:val="000000" w:themeColor="text1"/>
          <w:szCs w:val="21"/>
          <w:lang w:val="zh-CN"/>
          <w14:textFill>
            <w14:solidFill>
              <w14:schemeClr w14:val="tx1"/>
            </w14:solidFill>
          </w14:textFill>
        </w:rPr>
        <w:t xml:space="preserve">.</w:t>
      </w:r>
      <w:r>
        <w:rPr>
          <w:rFonts w:hint="eastAsia" w:ascii="宋体" w:hAnsi="宋体" w:cs="宋体"/>
          <w:color w:val="000000" w:themeColor="text1"/>
          <w:szCs w:val="21"/>
          <w14:textFill>
            <w14:solidFill>
              <w14:schemeClr w14:val="tx1"/>
            </w14:solidFill>
          </w14:textFill>
        </w:rPr>
        <w:t xml:space="preserve">1 成交供应商应当</w:t>
      </w:r>
      <w:r>
        <w:rPr>
          <w:rFonts w:hint="eastAsia" w:ascii="宋体" w:hAnsi="宋体" w:cs="宋体"/>
          <w:color w:val="000000" w:themeColor="text1"/>
          <w:szCs w:val="21"/>
          <w:lang w:val="zh-CN"/>
          <w14:textFill>
            <w14:solidFill>
              <w14:schemeClr w14:val="tx1"/>
            </w14:solidFill>
          </w14:textFill>
        </w:rPr>
        <w:t xml:space="preserve">自成交通知书发出之日起三十日内，</w:t>
      </w:r>
      <w:r>
        <w:rPr>
          <w:rFonts w:hint="eastAsia" w:ascii="宋体" w:hAnsi="宋体" w:cs="宋体"/>
          <w:color w:val="000000" w:themeColor="text1"/>
          <w:szCs w:val="21"/>
          <w14:textFill>
            <w14:solidFill>
              <w14:schemeClr w14:val="tx1"/>
            </w14:solidFill>
          </w14:textFill>
        </w:rPr>
        <w:t xml:space="preserve">与采购人签订合同，所签订的合同不得对竞争性磋商文件和响应文件作实质性修改。</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5.2 </w:t>
      </w:r>
      <w:r>
        <w:rPr>
          <w:rFonts w:hint="eastAsia" w:ascii="宋体" w:hAnsi="宋体" w:cs="宋体"/>
          <w:color w:val="000000" w:themeColor="text1"/>
          <w:szCs w:val="21"/>
          <w14:textFill>
            <w14:solidFill>
              <w14:schemeClr w14:val="tx1"/>
            </w14:solidFill>
          </w14:textFill>
        </w:rPr>
        <w:t xml:space="preserve">采购人不得向成交供应商提出任何不合理的要求作为签订合同的条件，不得与成交供应商私下订立背离合同实质性内容的协议。</w:t>
      </w:r>
      <w:r/>
    </w:p>
    <w:p>
      <w:pPr>
        <w:ind w:firstLine="420"/>
        <w:spacing w:line="360" w:lineRule="auto"/>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5.3 </w:t>
      </w:r>
      <w:r>
        <w:rPr>
          <w:color w:val="000000" w:themeColor="text1"/>
          <w:szCs w:val="21"/>
          <w:lang w:val="zh-CN"/>
          <w14:textFill>
            <w14:solidFill>
              <w14:schemeClr w14:val="tx1"/>
            </w14:solidFill>
          </w14:textFill>
        </w:rPr>
        <w:t xml:space="preserve">成交供应商因不可抗力或者自身原因不能履行合同的，</w:t>
      </w:r>
      <w:r>
        <w:rPr>
          <w:color w:val="000000" w:themeColor="text1"/>
          <w:szCs w:val="21"/>
          <w:shd w:val="clear" w:color="auto" w:fill="ffffff"/>
          <w:lang w:val="zh-CN"/>
          <w14:textFill>
            <w14:solidFill>
              <w14:schemeClr w14:val="tx1"/>
            </w14:solidFill>
          </w14:textFill>
        </w:rPr>
        <w:t xml:space="preserve">采购人可以按照</w:t>
      </w:r>
      <w:r>
        <w:rPr>
          <w:color w:val="000000" w:themeColor="text1"/>
          <w:szCs w:val="21"/>
          <w:lang w:val="zh-CN"/>
          <w14:textFill>
            <w14:solidFill>
              <w14:schemeClr w14:val="tx1"/>
            </w14:solidFill>
          </w14:textFill>
        </w:rPr>
        <w:t xml:space="preserve">《</w:t>
      </w:r>
      <w:r>
        <w:rPr>
          <w:color w:val="000000" w:themeColor="text1"/>
          <w:szCs w:val="21"/>
          <w14:textFill>
            <w14:solidFill>
              <w14:schemeClr w14:val="tx1"/>
            </w14:solidFill>
          </w14:textFill>
        </w:rPr>
        <w:t xml:space="preserve">政府采购竞争性磋商采购方式管理暂行办法</w:t>
      </w:r>
      <w:r>
        <w:rPr>
          <w:color w:val="000000" w:themeColor="text1"/>
          <w:szCs w:val="21"/>
          <w:lang w:val="zh-CN"/>
          <w14:textFill>
            <w14:solidFill>
              <w14:schemeClr w14:val="tx1"/>
            </w14:solidFill>
          </w14:textFill>
        </w:rPr>
        <w:t xml:space="preserve">》</w:t>
      </w:r>
      <w:r>
        <w:rPr>
          <w:color w:val="000000" w:themeColor="text1"/>
          <w:szCs w:val="21"/>
          <w:shd w:val="clear" w:color="auto" w:fill="ffffff"/>
          <w:lang w:val="zh-CN"/>
          <w14:textFill>
            <w14:solidFill>
              <w14:schemeClr w14:val="tx1"/>
            </w14:solidFill>
          </w14:textFill>
        </w:rPr>
        <w:t xml:space="preserve">第</w:t>
      </w:r>
      <w:r>
        <w:rPr>
          <w:color w:val="000000" w:themeColor="text1"/>
          <w:szCs w:val="21"/>
          <w:shd w:val="clear" w:color="auto" w:fill="ffffff"/>
          <w14:textFill>
            <w14:solidFill>
              <w14:schemeClr w14:val="tx1"/>
            </w14:solidFill>
          </w14:textFill>
        </w:rPr>
        <w:t xml:space="preserve">三</w:t>
      </w:r>
      <w:r>
        <w:rPr>
          <w:color w:val="000000" w:themeColor="text1"/>
          <w:szCs w:val="21"/>
          <w:shd w:val="clear" w:color="auto" w:fill="ffffff"/>
          <w:lang w:val="zh-CN"/>
          <w14:textFill>
            <w14:solidFill>
              <w14:schemeClr w14:val="tx1"/>
            </w14:solidFill>
          </w14:textFill>
        </w:rPr>
        <w:t xml:space="preserve">十</w:t>
      </w:r>
      <w:r>
        <w:rPr>
          <w:color w:val="000000" w:themeColor="text1"/>
          <w:szCs w:val="21"/>
          <w:shd w:val="clear" w:color="auto" w:fill="ffffff"/>
          <w14:textFill>
            <w14:solidFill>
              <w14:schemeClr w14:val="tx1"/>
            </w14:solidFill>
          </w14:textFill>
        </w:rPr>
        <w:t xml:space="preserve">三</w:t>
      </w:r>
      <w:r>
        <w:rPr>
          <w:color w:val="000000" w:themeColor="text1"/>
          <w:szCs w:val="21"/>
          <w:shd w:val="clear" w:color="auto" w:fill="ffffff"/>
          <w:lang w:val="zh-CN"/>
          <w14:textFill>
            <w14:solidFill>
              <w14:schemeClr w14:val="tx1"/>
            </w14:solidFill>
          </w14:textFill>
        </w:rPr>
        <w:t xml:space="preserve">条规定的原则确定其他供应商作为成交供应商并签订政府采购合同，也可以重新开展采购活动。</w:t>
      </w:r>
      <w:r>
        <w:rPr>
          <w:b/>
          <w:bCs/>
          <w:color w:val="000000" w:themeColor="text1"/>
          <w:szCs w:val="21"/>
          <w:shd w:val="clear" w:color="auto" w:fill="ffffff"/>
          <w14:textFill>
            <w14:solidFill>
              <w14:schemeClr w14:val="tx1"/>
            </w14:solidFill>
          </w14:textFill>
        </w:rPr>
        <w:t xml:space="preserve">放弃或</w:t>
      </w:r>
      <w:r>
        <w:rPr>
          <w:b/>
          <w:bCs/>
          <w:color w:val="000000" w:themeColor="text1"/>
          <w:szCs w:val="21"/>
          <w:shd w:val="clear" w:color="auto" w:fill="ffffff"/>
          <w:lang w:val="zh-CN"/>
          <w14:textFill>
            <w14:solidFill>
              <w14:schemeClr w14:val="tx1"/>
            </w14:solidFill>
          </w14:textFill>
        </w:rPr>
        <w:t xml:space="preserve">拒绝签订政府采购合同的成交供应商不得参加对该项目重新开展的采购活动，</w:t>
      </w:r>
      <w:r>
        <w:rPr>
          <w:b/>
          <w:bCs/>
          <w:color w:val="000000" w:themeColor="text1"/>
          <w:szCs w:val="21"/>
          <w14:textFill>
            <w14:solidFill>
              <w14:schemeClr w14:val="tx1"/>
            </w14:solidFill>
          </w14:textFill>
        </w:rPr>
        <w:t xml:space="preserve">磋商保证金不予退还，不收取磋商保证金的项目，成交供应商应向采购人支付采购人为磋商所发生的有关费用。情节严重的提请财政部门将其列入不良行为名单，在一至三年内不得参加政府采购活动，并予以通报。</w:t>
      </w:r>
      <w:r/>
    </w:p>
    <w:p>
      <w:pPr>
        <w:ind w:firstLine="420"/>
        <w:spacing w:line="360" w:lineRule="auto"/>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5.4 </w:t>
      </w:r>
      <w:r>
        <w:rPr>
          <w:color w:val="000000" w:themeColor="text1"/>
          <w:szCs w:val="21"/>
          <w:lang w:val="zh-CN"/>
          <w14:textFill>
            <w14:solidFill>
              <w14:schemeClr w14:val="tx1"/>
            </w14:solidFill>
          </w14:textFill>
        </w:rPr>
        <w:t xml:space="preserve">成交供应商</w:t>
      </w:r>
      <w:r>
        <w:rPr>
          <w:color w:val="000000" w:themeColor="text1"/>
          <w:szCs w:val="21"/>
          <w14:textFill>
            <w14:solidFill>
              <w14:schemeClr w14:val="tx1"/>
            </w14:solidFill>
          </w14:textFill>
        </w:rPr>
        <w:t xml:space="preserve">拒绝签订政府采购合同的</w:t>
      </w:r>
      <w:r>
        <w:rPr>
          <w:color w:val="000000" w:themeColor="text1"/>
          <w:szCs w:val="21"/>
          <w:lang w:val="zh-CN"/>
          <w14:textFill>
            <w14:solidFill>
              <w14:schemeClr w14:val="tx1"/>
            </w14:solidFill>
          </w14:textFill>
        </w:rPr>
        <w:t xml:space="preserve">，</w:t>
      </w:r>
      <w:r>
        <w:rPr>
          <w:color w:val="000000" w:themeColor="text1"/>
          <w:szCs w:val="21"/>
          <w:shd w:val="clear" w:color="auto" w:fill="ffffff"/>
          <w:lang w:val="zh-CN"/>
          <w14:textFill>
            <w14:solidFill>
              <w14:schemeClr w14:val="tx1"/>
            </w14:solidFill>
          </w14:textFill>
        </w:rPr>
        <w:t xml:space="preserve">采购人可以按照</w:t>
      </w:r>
      <w:r>
        <w:rPr>
          <w:color w:val="000000" w:themeColor="text1"/>
          <w:szCs w:val="21"/>
          <w:lang w:val="zh-CN"/>
          <w14:textFill>
            <w14:solidFill>
              <w14:schemeClr w14:val="tx1"/>
            </w14:solidFill>
          </w14:textFill>
        </w:rPr>
        <w:t xml:space="preserve">《</w:t>
      </w:r>
      <w:r>
        <w:rPr>
          <w:color w:val="000000" w:themeColor="text1"/>
          <w:szCs w:val="21"/>
          <w14:textFill>
            <w14:solidFill>
              <w14:schemeClr w14:val="tx1"/>
            </w14:solidFill>
          </w14:textFill>
        </w:rPr>
        <w:t xml:space="preserve">政府采购竞争性磋商采购方式管理暂行办法</w:t>
      </w:r>
      <w:r>
        <w:rPr>
          <w:color w:val="000000" w:themeColor="text1"/>
          <w:szCs w:val="21"/>
          <w:lang w:val="zh-CN"/>
          <w14:textFill>
            <w14:solidFill>
              <w14:schemeClr w14:val="tx1"/>
            </w14:solidFill>
          </w14:textFill>
        </w:rPr>
        <w:t xml:space="preserve">》</w:t>
      </w:r>
      <w:r>
        <w:rPr>
          <w:color w:val="000000" w:themeColor="text1"/>
          <w:szCs w:val="21"/>
          <w:shd w:val="clear" w:color="auto" w:fill="ffffff"/>
          <w:lang w:val="zh-CN"/>
          <w14:textFill>
            <w14:solidFill>
              <w14:schemeClr w14:val="tx1"/>
            </w14:solidFill>
          </w14:textFill>
        </w:rPr>
        <w:t xml:space="preserve">第</w:t>
      </w:r>
      <w:r>
        <w:rPr>
          <w:color w:val="000000" w:themeColor="text1"/>
          <w:szCs w:val="21"/>
          <w:shd w:val="clear" w:color="auto" w:fill="ffffff"/>
          <w14:textFill>
            <w14:solidFill>
              <w14:schemeClr w14:val="tx1"/>
            </w14:solidFill>
          </w14:textFill>
        </w:rPr>
        <w:t xml:space="preserve">三</w:t>
      </w:r>
      <w:r>
        <w:rPr>
          <w:color w:val="000000" w:themeColor="text1"/>
          <w:szCs w:val="21"/>
          <w:shd w:val="clear" w:color="auto" w:fill="ffffff"/>
          <w:lang w:val="zh-CN"/>
          <w14:textFill>
            <w14:solidFill>
              <w14:schemeClr w14:val="tx1"/>
            </w14:solidFill>
          </w14:textFill>
        </w:rPr>
        <w:t xml:space="preserve">十</w:t>
      </w:r>
      <w:r>
        <w:rPr>
          <w:color w:val="000000" w:themeColor="text1"/>
          <w:szCs w:val="21"/>
          <w:shd w:val="clear" w:color="auto" w:fill="ffffff"/>
          <w14:textFill>
            <w14:solidFill>
              <w14:schemeClr w14:val="tx1"/>
            </w14:solidFill>
          </w14:textFill>
        </w:rPr>
        <w:t xml:space="preserve">三</w:t>
      </w:r>
      <w:r>
        <w:rPr>
          <w:color w:val="000000" w:themeColor="text1"/>
          <w:szCs w:val="21"/>
          <w:shd w:val="clear" w:color="auto" w:fill="ffffff"/>
          <w:lang w:val="zh-CN"/>
          <w14:textFill>
            <w14:solidFill>
              <w14:schemeClr w14:val="tx1"/>
            </w14:solidFill>
          </w14:textFill>
        </w:rPr>
        <w:t xml:space="preserve">条规定的原则确定其他供应商作为成交供应商并签订政府采购合同，也可以重新开展采购活动。</w:t>
      </w:r>
      <w:r/>
    </w:p>
    <w:p>
      <w:pPr>
        <w:ind w:firstLine="420"/>
        <w:spacing w:line="360" w:lineRule="auto"/>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5.5</w:t>
      </w:r>
      <w:r>
        <w:rPr>
          <w:rFonts w:hint="eastAsia" w:ascii="宋体" w:hAnsi="宋体" w:cs="宋体"/>
          <w:color w:val="000000" w:themeColor="text1"/>
          <w:szCs w:val="21"/>
          <w:lang w:val="zh-CN"/>
          <w14:textFill>
            <w14:solidFill>
              <w14:schemeClr w14:val="tx1"/>
            </w14:solidFill>
          </w14:textFill>
        </w:rPr>
        <w:t xml:space="preserve"> 合同履行中，采购人需追加与合同标的相同的货物的，在不改变合同其他条款的前提下，可以与供应商协商签订补充合同，但所有补充合同的采购金额不得超过原合同采购金额的百分之十。</w:t>
      </w:r>
      <w:r/>
    </w:p>
    <w:p>
      <w:pPr>
        <w:ind w:firstLine="420"/>
        <w:spacing w:line="360" w:lineRule="auto"/>
        <w:rPr>
          <w:rFonts w:ascii="宋体" w:hAnsi="宋体" w:cs="宋体"/>
          <w:b/>
          <w:color w:val="000000" w:themeColor="text1"/>
          <w:szCs w:val="21"/>
          <w:lang w:val="zh-CN"/>
          <w14:textFill>
            <w14:solidFill>
              <w14:schemeClr w14:val="tx1"/>
            </w14:solidFill>
          </w14:textFill>
        </w:rPr>
      </w:pPr>
      <w:r>
        <w:rPr>
          <w:rFonts w:hint="eastAsia" w:ascii="宋体" w:hAnsi="宋体" w:cs="宋体"/>
          <w:b/>
          <w:color w:val="000000" w:themeColor="text1"/>
          <w:szCs w:val="21"/>
          <w:lang w:val="zh-CN"/>
          <w14:textFill>
            <w14:solidFill>
              <w14:schemeClr w14:val="tx1"/>
            </w14:solidFill>
          </w14:textFill>
        </w:rPr>
        <w:t xml:space="preserve">五、质疑与投诉</w:t>
      </w:r>
      <w:r/>
    </w:p>
    <w:p>
      <w:pPr>
        <w:ind w:firstLine="420"/>
        <w:spacing w:line="360" w:lineRule="auto"/>
        <w:rPr>
          <w:rFonts w:ascii="宋体" w:hAnsi="宋体" w:cs="宋体"/>
          <w:b/>
          <w:color w:val="000000" w:themeColor="text1"/>
          <w:szCs w:val="21"/>
          <w:lang w:val="zh-CN"/>
          <w14:textFill>
            <w14:solidFill>
              <w14:schemeClr w14:val="tx1"/>
            </w14:solidFill>
          </w14:textFill>
        </w:rPr>
      </w:pPr>
      <w:r>
        <w:rPr>
          <w:rFonts w:hint="eastAsia" w:ascii="宋体" w:hAnsi="宋体" w:cs="宋体"/>
          <w:b/>
          <w:color w:val="000000" w:themeColor="text1"/>
          <w:szCs w:val="21"/>
          <w:lang w:val="zh-CN"/>
          <w14:textFill>
            <w14:solidFill>
              <w14:schemeClr w14:val="tx1"/>
            </w14:solidFill>
          </w14:textFill>
        </w:rPr>
        <w:t xml:space="preserve">1.质疑</w:t>
      </w:r>
      <w:r/>
    </w:p>
    <w:p>
      <w:pPr>
        <w:ind w:firstLine="424"/>
        <w:spacing w:line="360" w:lineRule="auto"/>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1.1供应商认为磋商文件、磋商过程和成交结果使自己的权益受到损害的，可以在知道或者应知其权益受到损害之日起七个工作日内，以书面形式向采购代理机构提出质疑。</w:t>
      </w:r>
      <w:r/>
    </w:p>
    <w:p>
      <w:pPr>
        <w:ind w:firstLine="424"/>
        <w:spacing w:line="360" w:lineRule="auto"/>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1.2供应商应知其权益受到损害之日，是指：对可以质疑的采购文件提出质疑的，为收到采购文件之日或者采购文件公告期限届满之日；对采购过程提出质疑的，为各采购程序环节结束之日；对中标或者成交结果提出质疑的，为中标或者成交结果公告期限届满之日。</w:t>
      </w:r>
      <w:r/>
    </w:p>
    <w:p>
      <w:pPr>
        <w:ind w:firstLine="424"/>
        <w:spacing w:line="360" w:lineRule="auto"/>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1.3提出质疑的供应商应当是参与所质疑项目采购活动的供应商。潜在供应商已依法获取其可质疑的采购文件的，可以对该文件提出质疑。</w:t>
      </w:r>
      <w:r/>
    </w:p>
    <w:p>
      <w:pPr>
        <w:ind w:firstLine="424"/>
        <w:spacing w:line="360" w:lineRule="auto"/>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1.4供应商可以委托代理人进行质疑。其授权委托书应当载明代理人的姓名或者名称、代理事项、具体权限、期限和相关事项。供应商为自然人的，应当由本人签字；供应商为法人或者其他组织的，应当由法定代表人、主要负责人签字或者盖章，并加盖公章。代理人提出质疑和投诉，应当提交供应商签署的授权委托书。</w:t>
      </w:r>
      <w:r/>
    </w:p>
    <w:p>
      <w:pPr>
        <w:ind w:firstLine="424"/>
        <w:spacing w:line="360" w:lineRule="auto"/>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1.5以联合体形式参加政府采购活动的，其投诉应当由组成联合体的所有供应商共同提出。</w:t>
      </w:r>
      <w:r/>
    </w:p>
    <w:p>
      <w:pPr>
        <w:ind w:firstLine="424"/>
        <w:spacing w:line="360" w:lineRule="auto"/>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1.6供应商质疑应当有明确的请求和必要的证明材料。供应商必须在法定质疑期内一次性提出针对同一采购程序环节的质疑。</w:t>
      </w:r>
      <w:r/>
    </w:p>
    <w:p>
      <w:pPr>
        <w:ind w:firstLine="424"/>
        <w:spacing w:line="360" w:lineRule="auto"/>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1.7质疑函的主要内容须按照财政部制定的质疑函范本（财政部指定中国政府采购网发布）填写；供应商为自然人的，应当由本人签字；供应商为法人或者其他组织的，应当由法定代表人、主要负责人，或者其授权代表签字或者盖章，并加盖公章。</w:t>
      </w:r>
      <w:r/>
    </w:p>
    <w:p>
      <w:pPr>
        <w:ind w:firstLine="424"/>
        <w:spacing w:line="360" w:lineRule="auto"/>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1.8质疑函应当使用中文。相关当事人提供外文书证或者外国语视听资料的，应当附有中文译本，由翻译机构盖章或者翻译人员签名。</w:t>
      </w:r>
      <w:r/>
    </w:p>
    <w:p>
      <w:pPr>
        <w:ind w:firstLine="424"/>
        <w:spacing w:line="360" w:lineRule="auto"/>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1.9质疑函应当现场书面提交至采购代理机构联系人（详见竞争性磋商公告）处，提交时应出示有效身份证明。</w:t>
      </w:r>
      <w:r/>
    </w:p>
    <w:p>
      <w:pPr>
        <w:ind w:firstLine="420"/>
        <w:spacing w:line="360" w:lineRule="auto"/>
        <w:tabs>
          <w:tab w:val="left" w:pos="5355" w:leader="none"/>
        </w:tabs>
        <w:rPr>
          <w:rFonts w:ascii="宋体" w:hAnsi="宋体" w:cs="宋体"/>
          <w:b/>
          <w:color w:val="000000" w:themeColor="text1"/>
          <w:szCs w:val="21"/>
          <w:lang w:val="zh-CN"/>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六、</w:t>
      </w:r>
      <w:r>
        <w:rPr>
          <w:rFonts w:hint="eastAsia" w:ascii="宋体" w:hAnsi="宋体" w:cs="宋体"/>
          <w:b/>
          <w:color w:val="000000" w:themeColor="text1"/>
          <w:szCs w:val="21"/>
          <w:lang w:val="zh-CN"/>
          <w14:textFill>
            <w14:solidFill>
              <w14:schemeClr w14:val="tx1"/>
            </w14:solidFill>
          </w14:textFill>
        </w:rPr>
        <w:t xml:space="preserve">投诉</w:t>
      </w:r>
      <w:r/>
    </w:p>
    <w:p>
      <w:pPr>
        <w:ind w:firstLine="420"/>
        <w:spacing w:line="360" w:lineRule="auto"/>
        <w:tabs>
          <w:tab w:val="left" w:pos="5355" w:leader="none"/>
        </w:tabs>
        <w:rPr>
          <w:rFonts w:ascii="宋体" w:hAnsi="宋体" w:cs="宋体"/>
          <w:bCs/>
          <w:color w:val="000000" w:themeColor="text1"/>
          <w:szCs w:val="21"/>
          <w:lang w:val="zh-CN"/>
          <w14:textFill>
            <w14:solidFill>
              <w14:schemeClr w14:val="tx1"/>
            </w14:solidFill>
          </w14:textFill>
        </w:rPr>
      </w:pPr>
      <w:r>
        <w:rPr>
          <w:rFonts w:hint="eastAsia" w:ascii="宋体" w:hAnsi="宋体" w:cs="宋体"/>
          <w:bCs/>
          <w:color w:val="000000" w:themeColor="text1"/>
          <w:szCs w:val="21"/>
          <w:lang w:val="zh-CN"/>
          <w14:textFill>
            <w14:solidFill>
              <w14:schemeClr w14:val="tx1"/>
            </w14:solidFill>
          </w14:textFill>
        </w:rPr>
        <w:t xml:space="preserve">1.供应商对采购代理机构的答复不满意或者采购代理机构未在规定的时间内作出答复的，可以在答复期满后十五个工作日内向同级政府采购监督管理部门投诉。</w:t>
      </w:r>
      <w:r/>
    </w:p>
    <w:p>
      <w:pPr>
        <w:ind w:firstLine="420"/>
        <w:spacing w:line="360" w:lineRule="auto"/>
        <w:tabs>
          <w:tab w:val="left" w:pos="5355" w:leader="none"/>
        </w:tabs>
        <w:rPr>
          <w:rFonts w:ascii="宋体" w:hAnsi="宋体" w:cs="宋体"/>
          <w:bCs/>
          <w:color w:val="000000" w:themeColor="text1"/>
          <w:szCs w:val="21"/>
          <w:lang w:val="zh-CN"/>
          <w14:textFill>
            <w14:solidFill>
              <w14:schemeClr w14:val="tx1"/>
            </w14:solidFill>
          </w14:textFill>
        </w:rPr>
      </w:pPr>
      <w:r>
        <w:rPr>
          <w:rFonts w:hint="eastAsia" w:ascii="宋体" w:hAnsi="宋体" w:cs="宋体"/>
          <w:bCs/>
          <w:color w:val="000000" w:themeColor="text1"/>
          <w:szCs w:val="21"/>
          <w:lang w:val="zh-CN"/>
          <w14:textFill>
            <w14:solidFill>
              <w14:schemeClr w14:val="tx1"/>
            </w14:solidFill>
          </w14:textFill>
        </w:rPr>
        <w:t xml:space="preserve">2.供应商投诉应当有明确的请求和必要的证明材料。供应商投诉的事项不得超出已质疑事项的范围。</w:t>
      </w:r>
      <w:r/>
    </w:p>
    <w:p>
      <w:pPr>
        <w:ind w:firstLine="420"/>
        <w:spacing w:line="360" w:lineRule="auto"/>
        <w:tabs>
          <w:tab w:val="left" w:pos="5355" w:leader="none"/>
        </w:tabs>
        <w:rPr>
          <w:rFonts w:ascii="宋体" w:hAnsi="宋体" w:cs="宋体"/>
          <w:bCs/>
          <w:color w:val="000000" w:themeColor="text1"/>
          <w:szCs w:val="21"/>
          <w:lang w:val="zh-CN"/>
          <w14:textFill>
            <w14:solidFill>
              <w14:schemeClr w14:val="tx1"/>
            </w14:solidFill>
          </w14:textFill>
        </w:rPr>
      </w:pPr>
      <w:r>
        <w:rPr>
          <w:rFonts w:hint="eastAsia" w:ascii="宋体" w:hAnsi="宋体" w:cs="宋体"/>
          <w:bCs/>
          <w:color w:val="000000" w:themeColor="text1"/>
          <w:szCs w:val="21"/>
          <w:lang w:val="zh-CN"/>
          <w14:textFill>
            <w14:solidFill>
              <w14:schemeClr w14:val="tx1"/>
            </w14:solidFill>
          </w14:textFill>
        </w:rPr>
        <w:t xml:space="preserve">3.投诉人对政府采购监督管理部门的投诉处理决定不服或者政府采购监督管理部门逾期未作处理的，可以依法申请行政复议或者向人民法院提起行政诉讼。</w:t>
      </w:r>
      <w:r/>
    </w:p>
    <w:p>
      <w:pPr>
        <w:ind w:firstLine="420"/>
        <w:spacing w:line="360" w:lineRule="auto"/>
        <w:tabs>
          <w:tab w:val="left" w:pos="5355" w:leader="none"/>
        </w:tabs>
        <w:rPr>
          <w:rFonts w:ascii="宋体" w:hAnsi="宋体" w:cs="宋体"/>
          <w:bCs/>
          <w:color w:val="000000" w:themeColor="text1"/>
          <w:szCs w:val="21"/>
          <w:lang w:val="zh-CN"/>
          <w14:textFill>
            <w14:solidFill>
              <w14:schemeClr w14:val="tx1"/>
            </w14:solidFill>
          </w14:textFill>
        </w:rPr>
      </w:pPr>
      <w:r>
        <w:rPr>
          <w:rFonts w:hint="eastAsia" w:ascii="宋体" w:hAnsi="宋体" w:cs="宋体"/>
          <w:bCs/>
          <w:color w:val="000000" w:themeColor="text1"/>
          <w:szCs w:val="21"/>
          <w:lang w:val="zh-CN"/>
          <w14:textFill>
            <w14:solidFill>
              <w14:schemeClr w14:val="tx1"/>
            </w14:solidFill>
          </w14:textFill>
        </w:rPr>
        <w:t xml:space="preserve">4.投诉人在全国范围12个月内三次以上投诉查无实据的，由财政部门列入不良行为记录名单。</w:t>
      </w:r>
      <w:r/>
    </w:p>
    <w:p>
      <w:pPr>
        <w:ind w:firstLine="420"/>
        <w:spacing w:line="360" w:lineRule="auto"/>
        <w:tabs>
          <w:tab w:val="left" w:pos="5355" w:leader="none"/>
        </w:tabs>
        <w:rPr>
          <w:rFonts w:ascii="宋体" w:hAnsi="宋体" w:cs="宋体"/>
          <w:bCs/>
          <w:color w:val="000000" w:themeColor="text1"/>
          <w:szCs w:val="21"/>
          <w:lang w:val="zh-CN"/>
          <w14:textFill>
            <w14:solidFill>
              <w14:schemeClr w14:val="tx1"/>
            </w14:solidFill>
          </w14:textFill>
        </w:rPr>
      </w:pPr>
      <w:r>
        <w:rPr>
          <w:rFonts w:hint="eastAsia" w:ascii="宋体" w:hAnsi="宋体" w:cs="宋体"/>
          <w:bCs/>
          <w:color w:val="000000" w:themeColor="text1"/>
          <w:szCs w:val="21"/>
          <w:lang w:val="zh-CN"/>
          <w14:textFill>
            <w14:solidFill>
              <w14:schemeClr w14:val="tx1"/>
            </w14:solidFill>
          </w14:textFill>
        </w:rPr>
        <w:t xml:space="preserve">5.投诉人有下列行为之一的，属于虚假、恶意投诉，由财政部门列入不良行为记录名单，禁止其1至3年内参加政府采购活动：</w:t>
      </w:r>
      <w:r/>
    </w:p>
    <w:p>
      <w:pPr>
        <w:ind w:firstLine="420"/>
        <w:spacing w:line="360" w:lineRule="auto"/>
        <w:tabs>
          <w:tab w:val="left" w:pos="5355" w:leader="none"/>
        </w:tabs>
        <w:rPr>
          <w:rFonts w:ascii="宋体" w:hAnsi="宋体" w:cs="宋体"/>
          <w:bCs/>
          <w:color w:val="000000" w:themeColor="text1"/>
          <w:szCs w:val="21"/>
          <w:lang w:val="zh-CN"/>
          <w14:textFill>
            <w14:solidFill>
              <w14:schemeClr w14:val="tx1"/>
            </w14:solidFill>
          </w14:textFill>
        </w:rPr>
      </w:pPr>
      <w:r>
        <w:rPr>
          <w:rFonts w:hint="eastAsia" w:ascii="宋体" w:hAnsi="宋体" w:cs="宋体"/>
          <w:bCs/>
          <w:color w:val="000000" w:themeColor="text1"/>
          <w:szCs w:val="21"/>
          <w:lang w:val="zh-CN"/>
          <w14:textFill>
            <w14:solidFill>
              <w14:schemeClr w14:val="tx1"/>
            </w14:solidFill>
          </w14:textFill>
        </w:rPr>
        <w:t xml:space="preserve">（1）捏造事实；</w:t>
      </w:r>
      <w:r/>
    </w:p>
    <w:p>
      <w:pPr>
        <w:ind w:firstLine="420"/>
        <w:spacing w:line="360" w:lineRule="auto"/>
        <w:tabs>
          <w:tab w:val="left" w:pos="5355" w:leader="none"/>
        </w:tabs>
        <w:rPr>
          <w:rFonts w:ascii="宋体" w:hAnsi="宋体" w:cs="宋体"/>
          <w:bCs/>
          <w:color w:val="000000" w:themeColor="text1"/>
          <w:szCs w:val="21"/>
          <w:lang w:val="zh-CN"/>
          <w14:textFill>
            <w14:solidFill>
              <w14:schemeClr w14:val="tx1"/>
            </w14:solidFill>
          </w14:textFill>
        </w:rPr>
      </w:pPr>
      <w:r>
        <w:rPr>
          <w:rFonts w:hint="eastAsia" w:ascii="宋体" w:hAnsi="宋体" w:cs="宋体"/>
          <w:bCs/>
          <w:color w:val="000000" w:themeColor="text1"/>
          <w:szCs w:val="21"/>
          <w:lang w:val="zh-CN"/>
          <w14:textFill>
            <w14:solidFill>
              <w14:schemeClr w14:val="tx1"/>
            </w14:solidFill>
          </w14:textFill>
        </w:rPr>
        <w:t xml:space="preserve">（2）提供虚假材料；</w:t>
      </w:r>
      <w:r/>
    </w:p>
    <w:p>
      <w:pPr>
        <w:ind w:firstLine="420"/>
        <w:spacing w:line="360" w:lineRule="auto"/>
        <w:tabs>
          <w:tab w:val="left" w:pos="5355" w:leader="none"/>
        </w:tabs>
        <w:rPr>
          <w:rFonts w:ascii="宋体" w:hAnsi="宋体" w:cs="宋体"/>
          <w:bCs/>
          <w:color w:val="000000" w:themeColor="text1"/>
          <w:szCs w:val="21"/>
          <w:lang w:val="zh-CN"/>
          <w14:textFill>
            <w14:solidFill>
              <w14:schemeClr w14:val="tx1"/>
            </w14:solidFill>
          </w14:textFill>
        </w:rPr>
      </w:pPr>
      <w:r>
        <w:rPr>
          <w:rFonts w:hint="eastAsia" w:ascii="宋体" w:hAnsi="宋体" w:cs="宋体"/>
          <w:bCs/>
          <w:color w:val="000000" w:themeColor="text1"/>
          <w:szCs w:val="21"/>
          <w:lang w:val="zh-CN"/>
          <w14:textFill>
            <w14:solidFill>
              <w14:schemeClr w14:val="tx1"/>
            </w14:solidFill>
          </w14:textFill>
        </w:rPr>
        <w:t xml:space="preserve">（3）以非法手段取得证明材料。证据来源的合法性存在明显疑问，投诉人无法证明其取得方式合法的，视为以非法手段取得证明材料。</w:t>
      </w:r>
      <w:r/>
    </w:p>
    <w:p>
      <w:pPr>
        <w:ind w:firstLine="420"/>
        <w:spacing w:line="360" w:lineRule="auto"/>
        <w:tabs>
          <w:tab w:val="left" w:pos="5355" w:leader="none"/>
        </w:tabs>
        <w:rPr>
          <w:rFonts w:ascii="宋体" w:hAnsi="宋体" w:cs="宋体"/>
          <w:bCs/>
          <w:color w:val="000000" w:themeColor="text1"/>
          <w:szCs w:val="21"/>
          <w:lang w:val="zh-CN"/>
          <w14:textFill>
            <w14:solidFill>
              <w14:schemeClr w14:val="tx1"/>
            </w14:solidFill>
          </w14:textFill>
        </w:rPr>
      </w:pPr>
      <w:r>
        <w:rPr>
          <w:rFonts w:hint="eastAsia" w:ascii="宋体" w:hAnsi="宋体" w:cs="宋体"/>
          <w:bCs/>
          <w:color w:val="000000" w:themeColor="text1"/>
          <w:szCs w:val="21"/>
          <w:lang w:val="zh-CN"/>
          <w14:textFill>
            <w14:solidFill>
              <w14:schemeClr w14:val="tx1"/>
            </w14:solidFill>
          </w14:textFill>
        </w:rPr>
        <w:t xml:space="preserve">6.任何单位和个人对采购代理机构在采购活动中的违法行为，有权控告和检举，联系电话：025-86636139（招标采购代理机构质量管理部门）、025-86636853（招标采购代理机构纪检监察部门）</w:t>
      </w:r>
      <w:r/>
    </w:p>
    <w:p>
      <w:pPr>
        <w:ind w:firstLine="420"/>
        <w:spacing w:line="360" w:lineRule="auto"/>
        <w:tabs>
          <w:tab w:val="left" w:pos="5355" w:leader="none"/>
        </w:tabs>
        <w:rPr>
          <w:rFonts w:ascii="宋体" w:hAnsi="宋体" w:cs="宋体"/>
          <w:b/>
          <w:bCs/>
          <w:color w:val="000000" w:themeColor="text1"/>
          <w:szCs w:val="21"/>
          <w:lang w:val="zh-CN"/>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七</w:t>
      </w:r>
      <w:r>
        <w:rPr>
          <w:rFonts w:hint="eastAsia" w:ascii="宋体" w:hAnsi="宋体" w:cs="宋体"/>
          <w:b/>
          <w:color w:val="000000" w:themeColor="text1"/>
          <w:szCs w:val="21"/>
          <w:lang w:val="zh-CN"/>
          <w14:textFill>
            <w14:solidFill>
              <w14:schemeClr w14:val="tx1"/>
            </w14:solidFill>
          </w14:textFill>
        </w:rPr>
        <w:t xml:space="preserve">、</w:t>
      </w:r>
      <w:r>
        <w:rPr>
          <w:rFonts w:hint="eastAsia" w:ascii="宋体" w:hAnsi="宋体" w:cs="宋体"/>
          <w:b/>
          <w:bCs/>
          <w:color w:val="000000" w:themeColor="text1"/>
          <w:szCs w:val="21"/>
          <w:lang w:val="zh-CN"/>
          <w14:textFill>
            <w14:solidFill>
              <w14:schemeClr w14:val="tx1"/>
            </w14:solidFill>
          </w14:textFill>
        </w:rPr>
        <w:t xml:space="preserve">诚实信用</w:t>
      </w:r>
      <w:r/>
    </w:p>
    <w:p>
      <w:pPr>
        <w:ind w:firstLine="420"/>
        <w:spacing w:line="360" w:lineRule="auto"/>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1 供应商之间不得相互串通报价，不得妨碍其他供应商的公平竞争，不得损害采购人和其他供应商的合法权益。</w:t>
      </w:r>
      <w:r/>
    </w:p>
    <w:p>
      <w:pPr>
        <w:ind w:firstLine="420"/>
        <w:spacing w:line="360" w:lineRule="auto"/>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2.</w:t>
      </w:r>
      <w:r>
        <w:rPr>
          <w:color w:val="000000" w:themeColor="text1"/>
          <w:szCs w:val="21"/>
          <w:lang w:val="zh-CN"/>
          <w14:textFill>
            <w14:solidFill>
              <w14:schemeClr w14:val="tx1"/>
            </w14:solidFill>
          </w14:textFill>
        </w:rPr>
        <w:t xml:space="preserve">供应商不得以向采购代理机构工作人员、磋商</w:t>
      </w:r>
      <w:r>
        <w:rPr>
          <w:color w:val="000000" w:themeColor="text1"/>
          <w:szCs w:val="21"/>
          <w14:textFill>
            <w14:solidFill>
              <w14:schemeClr w14:val="tx1"/>
            </w14:solidFill>
          </w14:textFill>
        </w:rPr>
        <w:t xml:space="preserve">小组</w:t>
      </w:r>
      <w:r>
        <w:rPr>
          <w:color w:val="000000" w:themeColor="text1"/>
          <w:szCs w:val="21"/>
          <w:lang w:val="zh-CN"/>
          <w14:textFill>
            <w14:solidFill>
              <w14:schemeClr w14:val="tx1"/>
            </w14:solidFill>
          </w14:textFill>
        </w:rPr>
        <w:t xml:space="preserve">成员行贿或者采取其他不正当手段谋取成交。经查实供应商有此行为的，</w:t>
      </w:r>
      <w:r>
        <w:rPr>
          <w:color w:val="000000" w:themeColor="text1"/>
          <w:szCs w:val="21"/>
          <w14:textFill>
            <w14:solidFill>
              <w14:schemeClr w14:val="tx1"/>
            </w14:solidFill>
          </w14:textFill>
        </w:rPr>
        <w:t xml:space="preserve">将在本项目发布媒体上进行公告，政府采购管理部门将供应商列入不良行为记录名单，按照《政府采购法》有关规定处理。</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3. 供应商不得虚假质疑和恶意质疑，并对质疑内容的真实性承担责任。供应商或者其他利害关系人通过捏造事实、伪造证明材料等方式提出异议或投诉，阻碍采购活动正常进行的，属于严重不良行为，采购中心将提请财政部门将其列入不良行为记录名单，并依法予以处罚。</w:t>
      </w:r>
      <w:r/>
    </w:p>
    <w:p>
      <w:pPr>
        <w:ind w:firstLine="420"/>
        <w:spacing w:line="360" w:lineRule="auto"/>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4. 供应商不得虚假承诺，否则，按照提供虚假材料谋取成交处理。</w:t>
      </w:r>
      <w:r/>
    </w:p>
    <w:p>
      <w:pPr>
        <w:ind w:firstLine="420"/>
        <w:spacing w:line="360" w:lineRule="auto"/>
        <w:rPr>
          <w:rFonts w:ascii="宋体" w:hAnsi="宋体" w:cs="宋体"/>
          <w:b/>
          <w:bCs/>
          <w:color w:val="000000" w:themeColor="text1"/>
          <w:szCs w:val="21"/>
          <w:lang w:val="zh-CN"/>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八</w:t>
      </w:r>
      <w:r>
        <w:rPr>
          <w:rFonts w:hint="eastAsia" w:ascii="宋体" w:hAnsi="宋体" w:cs="宋体"/>
          <w:b/>
          <w:bCs/>
          <w:color w:val="000000" w:themeColor="text1"/>
          <w:szCs w:val="21"/>
          <w:lang w:val="zh-CN"/>
          <w14:textFill>
            <w14:solidFill>
              <w14:schemeClr w14:val="tx1"/>
            </w14:solidFill>
          </w14:textFill>
        </w:rPr>
        <w:t xml:space="preserve">、磋商费用</w:t>
      </w:r>
      <w:r/>
    </w:p>
    <w:p>
      <w:pPr>
        <w:ind w:firstLine="420"/>
        <w:spacing w:line="360" w:lineRule="auto"/>
        <w:rPr>
          <w:rFonts w:ascii="宋体" w:hAnsi="宋体" w:cs="宋体"/>
          <w:color w:val="000000" w:themeColor="text1"/>
          <w:szCs w:val="21"/>
          <w:lang w:val="zh-CN"/>
          <w14:textFill>
            <w14:solidFill>
              <w14:schemeClr w14:val="tx1"/>
            </w14:solidFill>
          </w14:textFill>
        </w:rPr>
      </w:pPr>
      <w:r/>
      <w:bookmarkStart w:id="10" w:name="_Toc149805857"/>
      <w:r/>
      <w:bookmarkStart w:id="11" w:name="_Toc24452"/>
      <w:r/>
      <w:bookmarkStart w:id="12" w:name="_Toc534273794"/>
      <w:r>
        <w:rPr>
          <w:rFonts w:hint="eastAsia" w:ascii="宋体" w:hAnsi="宋体" w:cs="宋体"/>
          <w:color w:val="000000" w:themeColor="text1"/>
          <w:szCs w:val="21"/>
          <w14:textFill>
            <w14:solidFill>
              <w14:schemeClr w14:val="tx1"/>
            </w14:solidFill>
          </w14:textFill>
        </w:rPr>
        <w:t xml:space="preserve">1.</w:t>
      </w:r>
      <w:r>
        <w:rPr>
          <w:rFonts w:hint="eastAsia" w:ascii="宋体" w:hAnsi="宋体" w:cs="宋体"/>
          <w:color w:val="000000" w:themeColor="text1"/>
          <w:szCs w:val="21"/>
          <w:lang w:val="zh-CN"/>
          <w14:textFill>
            <w14:solidFill>
              <w14:schemeClr w14:val="tx1"/>
            </w14:solidFill>
          </w14:textFill>
        </w:rPr>
        <w:t xml:space="preserve">供应商应承担所有与准备和参加磋商有关的费用，无论采购结果如何，采购代理机构和采购人在任何情况下均无义务和责任承担这些费用。</w:t>
      </w:r>
      <w:r/>
    </w:p>
    <w:p>
      <w:pPr>
        <w:ind w:firstLine="420"/>
        <w:spacing w:line="360" w:lineRule="auto"/>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w:t>
      </w:r>
      <w:r>
        <w:rPr>
          <w:rFonts w:hint="eastAsia" w:ascii="宋体" w:hAnsi="宋体" w:cs="宋体"/>
          <w:color w:val="000000" w:themeColor="text1"/>
          <w:szCs w:val="21"/>
          <w:lang w:val="zh-CN"/>
          <w14:textFill>
            <w14:solidFill>
              <w14:schemeClr w14:val="tx1"/>
            </w14:solidFill>
          </w14:textFill>
        </w:rPr>
        <w:t xml:space="preserve"> 本次采购，代理服务收费由采购人支付。</w:t>
      </w:r>
      <w:r/>
    </w:p>
    <w:p>
      <w:pPr>
        <w:pStyle w:val="996"/>
        <w:ind w:firstLine="902"/>
        <w:jc w:val="center"/>
        <w:rPr>
          <w:rFonts w:eastAsia="黑体"/>
          <w:color w:val="000000" w:themeColor="text1"/>
          <w:sz w:val="36"/>
          <w:szCs w:val="36"/>
          <w14:textFill>
            <w14:solidFill>
              <w14:schemeClr w14:val="tx1"/>
            </w14:solidFill>
          </w14:textFill>
        </w:rPr>
        <w:sectPr>
          <w:headerReference w:type="default" r:id="rId9"/>
          <w:footerReference w:type="default" r:id="rId11"/>
          <w:footnotePr/>
          <w:endnotePr/>
          <w:type w:val="nextPage"/>
          <w:pgSz w:w="11906" w:h="16838" w:orient="portrait"/>
          <w:pgMar w:top="1417" w:right="1417" w:bottom="1417" w:left="1417" w:header="851" w:footer="794" w:gutter="0"/>
          <w:pgNumType w:start="1"/>
          <w:cols w:num="1" w:sep="0" w:space="0" w:equalWidth="1"/>
          <w:docGrid w:linePitch="360"/>
        </w:sectPr>
        <w:outlineLvl w:val="0"/>
      </w:pPr>
      <w:r>
        <w:rPr>
          <w:rFonts w:eastAsia="黑体"/>
          <w:color w:val="000000" w:themeColor="text1"/>
          <w:sz w:val="36"/>
          <w:szCs w:val="36"/>
          <w14:textFill>
            <w14:solidFill>
              <w14:schemeClr w14:val="tx1"/>
            </w14:solidFill>
          </w14:textFill>
        </w:rPr>
      </w:r>
      <w:r/>
    </w:p>
    <w:p>
      <w:pPr>
        <w:pStyle w:val="996"/>
        <w:ind w:firstLine="902"/>
        <w:jc w:val="center"/>
        <w:rPr>
          <w:rFonts w:eastAsia="黑体"/>
          <w:color w:val="000000" w:themeColor="text1"/>
          <w:sz w:val="36"/>
          <w:szCs w:val="36"/>
          <w14:textFill>
            <w14:solidFill>
              <w14:schemeClr w14:val="tx1"/>
            </w14:solidFill>
          </w14:textFill>
        </w:rPr>
        <w:outlineLvl w:val="0"/>
      </w:pPr>
      <w:r>
        <w:rPr>
          <w:rFonts w:hint="eastAsia" w:eastAsia="黑体"/>
          <w:color w:val="000000" w:themeColor="text1"/>
          <w:sz w:val="36"/>
          <w:szCs w:val="36"/>
          <w14:textFill>
            <w14:solidFill>
              <w14:schemeClr w14:val="tx1"/>
            </w14:solidFill>
          </w14:textFill>
        </w:rPr>
        <w:t xml:space="preserve">第三章</w:t>
      </w:r>
      <w:r>
        <w:rPr>
          <w:rFonts w:eastAsia="黑体"/>
          <w:color w:val="000000" w:themeColor="text1"/>
          <w:sz w:val="36"/>
          <w:szCs w:val="36"/>
          <w14:textFill>
            <w14:solidFill>
              <w14:schemeClr w14:val="tx1"/>
            </w14:solidFill>
          </w14:textFill>
        </w:rPr>
        <w:t xml:space="preserve">  </w:t>
      </w:r>
      <w:r>
        <w:rPr>
          <w:rFonts w:hint="eastAsia" w:eastAsia="黑体"/>
          <w:color w:val="000000" w:themeColor="text1"/>
          <w:sz w:val="36"/>
          <w:szCs w:val="36"/>
          <w14:textFill>
            <w14:solidFill>
              <w14:schemeClr w14:val="tx1"/>
            </w14:solidFill>
          </w14:textFill>
        </w:rPr>
        <w:t xml:space="preserve">评标标准</w:t>
      </w:r>
      <w:bookmarkEnd w:id="10"/>
      <w:r/>
      <w:r/>
    </w:p>
    <w:p>
      <w:pPr>
        <w:ind w:firstLine="420"/>
        <w:spacing w:line="360" w:lineRule="auto"/>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本项目采用综合评分法，评分统计方法采用百分制（满分100分），将全部磋商小组成员评分直接进行算术平均，小数点后保留2位。按评审后得分由高到低顺序排列，得分相同的，按报价由低到高顺序排列，得分且报价相同的，按响应文件满足磋商文件全部实质性要求和评审因素的量化指标顺序排列，由磋商小组确定成交供应商。</w:t>
      </w:r>
      <w:r/>
    </w:p>
    <w:tbl>
      <w:tblPr>
        <w:tblStyle w:val="676"/>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93"/>
        <w:gridCol w:w="1663"/>
        <w:gridCol w:w="6033"/>
        <w:gridCol w:w="893"/>
      </w:tblGrid>
      <w:tr>
        <w:trPr/>
        <w:tc>
          <w:tcPr>
            <w:tcW w:w="373" w:type="pct"/>
            <w:vAlign w:val="center"/>
            <w:textDirection w:val="lrTb"/>
            <w:noWrap/>
          </w:tcPr>
          <w:p>
            <w:pPr>
              <w:jc w:val="center"/>
              <w:spacing w:line="360" w:lineRule="auto"/>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序号</w:t>
            </w:r>
            <w:r/>
          </w:p>
        </w:tc>
        <w:tc>
          <w:tcPr>
            <w:tcW w:w="896" w:type="pct"/>
            <w:vAlign w:val="center"/>
            <w:textDirection w:val="lrTb"/>
            <w:noWrap/>
          </w:tcPr>
          <w:p>
            <w:pPr>
              <w:jc w:val="center"/>
              <w:spacing w:line="360" w:lineRule="auto"/>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评分因素</w:t>
            </w:r>
            <w:r/>
          </w:p>
        </w:tc>
        <w:tc>
          <w:tcPr>
            <w:tcW w:w="3250" w:type="pct"/>
            <w:vAlign w:val="center"/>
            <w:textDirection w:val="lrTb"/>
            <w:noWrap w:val="false"/>
          </w:tcPr>
          <w:p>
            <w:pPr>
              <w:jc w:val="center"/>
              <w:spacing w:line="360" w:lineRule="auto"/>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评审标准</w:t>
            </w:r>
            <w:r/>
          </w:p>
        </w:tc>
        <w:tc>
          <w:tcPr>
            <w:tcW w:w="481" w:type="pct"/>
            <w:vAlign w:val="center"/>
            <w:textDirection w:val="lrTb"/>
            <w:noWrap w:val="false"/>
          </w:tcPr>
          <w:p>
            <w:pPr>
              <w:jc w:val="center"/>
              <w:spacing w:line="360" w:lineRule="auto"/>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分值</w:t>
            </w:r>
            <w:r/>
          </w:p>
        </w:tc>
      </w:tr>
      <w:tr>
        <w:trPr/>
        <w:tc>
          <w:tcPr>
            <w:tcW w:w="373" w:type="pct"/>
            <w:vAlign w:val="center"/>
            <w:textDirection w:val="lrTb"/>
            <w:noWrap/>
          </w:tcPr>
          <w:p>
            <w:pPr>
              <w:jc w:val="center"/>
              <w:spacing w:line="360" w:lineRule="auto"/>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1</w:t>
            </w:r>
            <w:r/>
          </w:p>
        </w:tc>
        <w:tc>
          <w:tcPr>
            <w:tcW w:w="896" w:type="pct"/>
            <w:vAlign w:val="center"/>
            <w:textDirection w:val="lrTb"/>
            <w:noWrap/>
          </w:tcPr>
          <w:p>
            <w:pPr>
              <w:jc w:val="center"/>
              <w:spacing w:line="360" w:lineRule="auto"/>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价格（45分）</w:t>
            </w:r>
            <w:r/>
          </w:p>
        </w:tc>
        <w:tc>
          <w:tcPr>
            <w:tcW w:w="3250" w:type="pct"/>
            <w:vAlign w:val="center"/>
            <w:textDirection w:val="lrTb"/>
            <w:noWrap w:val="false"/>
          </w:tcPr>
          <w:p>
            <w:pPr>
              <w:jc w:val="left"/>
              <w:spacing w:line="360" w:lineRule="auto"/>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采用低价优先法计算，即满足磋商文件要求且</w:t>
            </w:r>
            <w:r>
              <w:rPr>
                <w:rFonts w:hint="eastAsia" w:ascii="宋体" w:hAnsi="宋体" w:cs="宋体"/>
                <w:color w:val="000000" w:themeColor="text1"/>
                <w:szCs w:val="21"/>
                <w14:textFill>
                  <w14:solidFill>
                    <w14:schemeClr w14:val="tx1"/>
                  </w14:solidFill>
                </w14:textFill>
              </w:rPr>
              <w:t xml:space="preserve">最后磋商报价最低</w:t>
            </w:r>
            <w:r>
              <w:rPr>
                <w:rFonts w:hint="eastAsia" w:ascii="宋体" w:hAnsi="宋体" w:cs="宋体"/>
                <w:bCs/>
                <w:color w:val="000000" w:themeColor="text1"/>
                <w:szCs w:val="21"/>
                <w14:textFill>
                  <w14:solidFill>
                    <w14:schemeClr w14:val="tx1"/>
                  </w14:solidFill>
                </w14:textFill>
              </w:rPr>
              <w:t xml:space="preserve">的供应商的价格为评标基准价，其价格分为满分45分，其他供应商的价格分按照下列公式计算：投标报价得分=(评标基准价/最后磋商报价)*45。</w:t>
            </w:r>
            <w:r/>
          </w:p>
        </w:tc>
        <w:tc>
          <w:tcPr>
            <w:tcW w:w="481" w:type="pct"/>
            <w:vAlign w:val="center"/>
            <w:textDirection w:val="lrTb"/>
            <w:noWrap w:val="false"/>
          </w:tcPr>
          <w:p>
            <w:pPr>
              <w:jc w:val="center"/>
              <w:spacing w:line="360" w:lineRule="auto"/>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45</w:t>
            </w:r>
            <w:r/>
          </w:p>
        </w:tc>
      </w:tr>
      <w:tr>
        <w:trPr/>
        <w:tc>
          <w:tcPr>
            <w:tcW w:w="373" w:type="pct"/>
            <w:vAlign w:val="center"/>
            <w:textDirection w:val="lrTb"/>
            <w:noWrap/>
          </w:tcPr>
          <w:p>
            <w:pPr>
              <w:jc w:val="center"/>
              <w:spacing w:line="360" w:lineRule="auto"/>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2</w:t>
            </w:r>
            <w:r/>
          </w:p>
        </w:tc>
        <w:tc>
          <w:tcPr>
            <w:tcW w:w="896" w:type="pct"/>
            <w:vAlign w:val="center"/>
            <w:textDirection w:val="lrTb"/>
            <w:noWrap/>
          </w:tcPr>
          <w:p>
            <w:pPr>
              <w:jc w:val="center"/>
              <w:spacing w:line="360" w:lineRule="auto"/>
              <w:rPr>
                <w:rFonts w:ascii="宋体" w:hAnsi="宋体" w:cs="宋体"/>
                <w:bCs/>
                <w:color w:val="000000" w:themeColor="text1"/>
                <w:szCs w:val="21"/>
                <w14:textFill>
                  <w14:solidFill>
                    <w14:schemeClr w14:val="tx1"/>
                  </w14:solidFill>
                </w14:textFill>
              </w:rPr>
            </w:pPr>
            <w:r>
              <w:rPr>
                <w:rFonts w:ascii="宋体" w:hAnsi="宋体" w:cs="宋体"/>
                <w:bCs/>
                <w:color w:val="000000" w:themeColor="text1"/>
                <w:szCs w:val="21"/>
                <w14:textFill>
                  <w14:solidFill>
                    <w14:schemeClr w14:val="tx1"/>
                  </w14:solidFill>
                </w14:textFill>
              </w:rPr>
              <w:t xml:space="preserve">设备技术指标响应性</w:t>
            </w:r>
            <w:r>
              <w:rPr>
                <w:rFonts w:hint="eastAsia" w:ascii="宋体" w:hAnsi="宋体" w:cs="宋体"/>
                <w:bCs/>
                <w:color w:val="000000" w:themeColor="text1"/>
                <w:szCs w:val="21"/>
                <w14:textFill>
                  <w14:solidFill>
                    <w14:schemeClr w14:val="tx1"/>
                  </w14:solidFill>
                </w14:textFill>
              </w:rPr>
              <w:t xml:space="preserve">（33分）</w:t>
            </w:r>
            <w:r/>
          </w:p>
        </w:tc>
        <w:tc>
          <w:tcPr>
            <w:tcW w:w="3250" w:type="pct"/>
            <w:vAlign w:val="center"/>
            <w:textDirection w:val="lrTb"/>
            <w:noWrap w:val="false"/>
          </w:tcPr>
          <w:p>
            <w:pPr>
              <w:jc w:val="left"/>
              <w:spacing w:line="360" w:lineRule="auto"/>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系统设备配置、选型全部满足招标文件技术参数要求得33分，有1项不满足，扣0.5分。其中带“▲”的核心指标，有1项不满足，扣1分。</w:t>
            </w:r>
            <w:r/>
          </w:p>
          <w:p>
            <w:pPr>
              <w:jc w:val="left"/>
              <w:spacing w:line="360" w:lineRule="auto"/>
              <w:rPr>
                <w:rFonts w:ascii="宋体" w:hAnsi="宋体" w:cs="宋体"/>
                <w:bCs/>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注：需按照要求提供相关证明资料，证明资料须提供列有相应技术参数的（采购文件有明确要求的须提供明确的证明材料，采购文件无明确证明材料要求的可提供技术（或商务）偏离表或产品彩页或产品说明书或检测报告能够证明其所投产品能满足或达到招标要求），不能提供的将视为不满足，并按照规定扣分，扣完为止</w:t>
            </w:r>
            <w:r/>
          </w:p>
        </w:tc>
        <w:tc>
          <w:tcPr>
            <w:tcW w:w="481" w:type="pct"/>
            <w:vAlign w:val="center"/>
            <w:textDirection w:val="lrTb"/>
            <w:noWrap w:val="false"/>
          </w:tcPr>
          <w:p>
            <w:pPr>
              <w:jc w:val="center"/>
              <w:spacing w:line="360" w:lineRule="auto"/>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33</w:t>
            </w:r>
            <w:r/>
          </w:p>
        </w:tc>
      </w:tr>
      <w:tr>
        <w:trPr/>
        <w:tc>
          <w:tcPr>
            <w:tcW w:w="373" w:type="pct"/>
            <w:vAlign w:val="center"/>
            <w:textDirection w:val="lrTb"/>
            <w:noWrap/>
          </w:tcPr>
          <w:p>
            <w:pPr>
              <w:jc w:val="center"/>
              <w:spacing w:line="360" w:lineRule="auto"/>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3</w:t>
            </w:r>
            <w:r/>
          </w:p>
        </w:tc>
        <w:tc>
          <w:tcPr>
            <w:tcW w:w="896" w:type="pct"/>
            <w:vAlign w:val="center"/>
            <w:textDirection w:val="lrTb"/>
            <w:noWrap/>
          </w:tcPr>
          <w:p>
            <w:pPr>
              <w:jc w:val="center"/>
              <w:spacing w:line="360" w:lineRule="auto"/>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重难点分析及解决措施</w:t>
            </w:r>
            <w:r/>
          </w:p>
        </w:tc>
        <w:tc>
          <w:tcPr>
            <w:tcW w:w="3250" w:type="pct"/>
            <w:vAlign w:val="center"/>
            <w:textDirection w:val="lrTb"/>
            <w:noWrap w:val="false"/>
          </w:tcPr>
          <w:p>
            <w:pPr>
              <w:jc w:val="left"/>
              <w:spacing w:line="360" w:lineRule="auto"/>
              <w:rPr>
                <w:rFonts w:ascii="宋体" w:hAnsi="宋体" w:cs="宋体"/>
                <w:bCs/>
                <w:color w:val="000000" w:themeColor="text1"/>
                <w:szCs w:val="21"/>
                <w14:textFill>
                  <w14:solidFill>
                    <w14:schemeClr w14:val="tx1"/>
                  </w14:solidFill>
                </w14:textFill>
              </w:rPr>
            </w:pPr>
            <w:r>
              <w:rPr>
                <w:rFonts w:ascii="宋体" w:hAnsi="宋体" w:cs="宋体"/>
                <w:bCs/>
                <w:color w:val="000000" w:themeColor="text1"/>
                <w:szCs w:val="21"/>
                <w14:textFill>
                  <w14:solidFill>
                    <w14:schemeClr w14:val="tx1"/>
                  </w14:solidFill>
                </w14:textFill>
              </w:rPr>
              <w:t xml:space="preserve">供应商根据本项目制定重难点分析及解决措施</w:t>
            </w:r>
            <w:r>
              <w:rPr>
                <w:rFonts w:hint="eastAsia" w:ascii="宋体" w:hAnsi="宋体" w:cs="宋体"/>
                <w:bCs/>
                <w:color w:val="000000" w:themeColor="text1"/>
                <w:szCs w:val="21"/>
                <w14:textFill>
                  <w14:solidFill>
                    <w14:schemeClr w14:val="tx1"/>
                  </w14:solidFill>
                </w14:textFill>
              </w:rPr>
              <w:t xml:space="preserve">，包括项目现状了解、本项目实施内容理解、与水文站现有业务结合、本项目实施重难点及其应对措施等，</w:t>
            </w:r>
            <w:r>
              <w:rPr>
                <w:rFonts w:ascii="宋体" w:hAnsi="宋体" w:cs="宋体"/>
                <w:bCs/>
                <w:color w:val="000000" w:themeColor="text1"/>
                <w:szCs w:val="21"/>
                <w14:textFill>
                  <w14:solidFill>
                    <w14:schemeClr w14:val="tx1"/>
                  </w14:solidFill>
                </w14:textFill>
              </w:rPr>
              <w:t xml:space="preserve">由评标委员会进行综合评审。</w:t>
            </w:r>
            <w:r/>
          </w:p>
          <w:p>
            <w:pPr>
              <w:jc w:val="left"/>
              <w:spacing w:line="360" w:lineRule="auto"/>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方案详细、内容完整、条理清晰、合理可行、完全符合本项目需求，得5分；</w:t>
            </w:r>
            <w:r/>
          </w:p>
          <w:p>
            <w:pPr>
              <w:jc w:val="left"/>
              <w:spacing w:line="360" w:lineRule="auto"/>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内容较详细、主要内容未遗漏、条理较清晰、较符合本项目需求，得3分；</w:t>
            </w:r>
            <w:r/>
          </w:p>
          <w:p>
            <w:pPr>
              <w:jc w:val="left"/>
              <w:spacing w:line="360" w:lineRule="auto"/>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内容不详细、遗漏主要内容、基本合理可行、条理一般清晰、基本符合本项目需求，得1分；</w:t>
            </w:r>
            <w:r/>
          </w:p>
          <w:p>
            <w:pPr>
              <w:jc w:val="left"/>
              <w:spacing w:line="360" w:lineRule="auto"/>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未提供的不得分。</w:t>
            </w:r>
            <w:r/>
          </w:p>
        </w:tc>
        <w:tc>
          <w:tcPr>
            <w:tcW w:w="481" w:type="pct"/>
            <w:vAlign w:val="center"/>
            <w:textDirection w:val="lrTb"/>
            <w:noWrap w:val="false"/>
          </w:tcPr>
          <w:p>
            <w:pPr>
              <w:jc w:val="center"/>
              <w:spacing w:line="360" w:lineRule="auto"/>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5</w:t>
            </w:r>
            <w:r/>
          </w:p>
        </w:tc>
      </w:tr>
      <w:tr>
        <w:trPr/>
        <w:tc>
          <w:tcPr>
            <w:tcW w:w="373" w:type="pct"/>
            <w:vAlign w:val="center"/>
            <w:textDirection w:val="lrTb"/>
            <w:noWrap/>
          </w:tcPr>
          <w:p>
            <w:pPr>
              <w:jc w:val="center"/>
              <w:spacing w:line="360" w:lineRule="auto"/>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4</w:t>
            </w:r>
            <w:r/>
          </w:p>
        </w:tc>
        <w:tc>
          <w:tcPr>
            <w:tcW w:w="896" w:type="pct"/>
            <w:vAlign w:val="center"/>
            <w:textDirection w:val="lrTb"/>
            <w:noWrap/>
          </w:tcPr>
          <w:p>
            <w:pPr>
              <w:jc w:val="center"/>
              <w:spacing w:line="360" w:lineRule="auto"/>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安装实施方案</w:t>
            </w:r>
            <w:r/>
          </w:p>
        </w:tc>
        <w:tc>
          <w:tcPr>
            <w:tcW w:w="3250" w:type="pct"/>
            <w:vAlign w:val="center"/>
            <w:textDirection w:val="lrTb"/>
            <w:noWrap w:val="false"/>
          </w:tcPr>
          <w:p>
            <w:pPr>
              <w:jc w:val="left"/>
              <w:spacing w:line="360" w:lineRule="auto"/>
              <w:rPr>
                <w:rFonts w:ascii="宋体" w:hAnsi="宋体" w:cs="宋体"/>
                <w:bCs/>
                <w:color w:val="000000" w:themeColor="text1"/>
                <w:szCs w:val="21"/>
                <w14:textFill>
                  <w14:solidFill>
                    <w14:schemeClr w14:val="tx1"/>
                  </w14:solidFill>
                </w14:textFill>
              </w:rPr>
            </w:pPr>
            <w:r>
              <w:rPr>
                <w:rFonts w:ascii="宋体" w:hAnsi="宋体" w:cs="宋体"/>
                <w:bCs/>
                <w:color w:val="000000" w:themeColor="text1"/>
                <w:szCs w:val="21"/>
                <w14:textFill>
                  <w14:solidFill>
                    <w14:schemeClr w14:val="tx1"/>
                  </w14:solidFill>
                </w14:textFill>
              </w:rPr>
              <w:t xml:space="preserve">供应商根据本项目制定</w:t>
            </w:r>
            <w:r>
              <w:rPr>
                <w:rFonts w:hint="eastAsia" w:ascii="宋体" w:hAnsi="宋体" w:cs="宋体"/>
                <w:bCs/>
                <w:color w:val="000000" w:themeColor="text1"/>
                <w:szCs w:val="21"/>
                <w14:textFill>
                  <w14:solidFill>
                    <w14:schemeClr w14:val="tx1"/>
                  </w14:solidFill>
                </w14:textFill>
              </w:rPr>
              <w:t xml:space="preserve">安装实施</w:t>
            </w:r>
            <w:r>
              <w:rPr>
                <w:rFonts w:ascii="宋体" w:hAnsi="宋体" w:cs="宋体"/>
                <w:bCs/>
                <w:color w:val="000000" w:themeColor="text1"/>
                <w:szCs w:val="21"/>
                <w14:textFill>
                  <w14:solidFill>
                    <w14:schemeClr w14:val="tx1"/>
                  </w14:solidFill>
                </w14:textFill>
              </w:rPr>
              <w:t xml:space="preserve">方案</w:t>
            </w:r>
            <w:r>
              <w:rPr>
                <w:rFonts w:hint="eastAsia" w:ascii="宋体" w:hAnsi="宋体" w:cs="宋体"/>
                <w:bCs/>
                <w:color w:val="000000" w:themeColor="text1"/>
                <w:szCs w:val="21"/>
                <w14:textFill>
                  <w14:solidFill>
                    <w14:schemeClr w14:val="tx1"/>
                  </w14:solidFill>
                </w14:textFill>
              </w:rPr>
              <w:t xml:space="preserve">，包括项目基础设施建设改造部分实施方案、设备部分安装调试方案、AR全景展示系统实施与原有系统对接方案等，</w:t>
            </w:r>
            <w:r>
              <w:rPr>
                <w:rFonts w:ascii="宋体" w:hAnsi="宋体" w:cs="宋体"/>
                <w:bCs/>
                <w:color w:val="000000" w:themeColor="text1"/>
                <w:szCs w:val="21"/>
                <w14:textFill>
                  <w14:solidFill>
                    <w14:schemeClr w14:val="tx1"/>
                  </w14:solidFill>
                </w14:textFill>
              </w:rPr>
              <w:t xml:space="preserve">由评标委员会进行综合评审。</w:t>
            </w:r>
            <w:r/>
          </w:p>
          <w:p>
            <w:pPr>
              <w:jc w:val="left"/>
              <w:spacing w:line="360" w:lineRule="auto"/>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实施方案详细、内容完整、与本项目贴合程度高、兼容性好、条理清晰、合理可行、完全符合本项目需求，得5分；</w:t>
            </w:r>
            <w:r/>
          </w:p>
          <w:p>
            <w:pPr>
              <w:jc w:val="left"/>
              <w:spacing w:line="360" w:lineRule="auto"/>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安装实施较详细、主要内容未遗漏、条理较清晰、较符合本项目需求，得3分；</w:t>
            </w:r>
            <w:r/>
          </w:p>
          <w:p>
            <w:pPr>
              <w:jc w:val="left"/>
              <w:spacing w:line="360" w:lineRule="auto"/>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安装实施不详细、遗漏主要内容、基本合理可行、条理一般清晰、基本符合本项目需求，得1分；</w:t>
            </w:r>
            <w:r/>
          </w:p>
          <w:p>
            <w:pPr>
              <w:jc w:val="left"/>
              <w:spacing w:line="360" w:lineRule="auto"/>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未提供的不得分。</w:t>
            </w:r>
            <w:r/>
          </w:p>
        </w:tc>
        <w:tc>
          <w:tcPr>
            <w:tcW w:w="481" w:type="pct"/>
            <w:vAlign w:val="center"/>
            <w:textDirection w:val="lrTb"/>
            <w:noWrap w:val="false"/>
          </w:tcPr>
          <w:p>
            <w:pPr>
              <w:jc w:val="center"/>
              <w:spacing w:line="360" w:lineRule="auto"/>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5</w:t>
            </w:r>
            <w:r/>
          </w:p>
        </w:tc>
      </w:tr>
      <w:tr>
        <w:trPr/>
        <w:tc>
          <w:tcPr>
            <w:tcW w:w="373" w:type="pct"/>
            <w:vAlign w:val="center"/>
            <w:textDirection w:val="lrTb"/>
            <w:noWrap/>
          </w:tcPr>
          <w:p>
            <w:pPr>
              <w:jc w:val="center"/>
              <w:spacing w:line="360" w:lineRule="auto"/>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5</w:t>
            </w:r>
            <w:r/>
          </w:p>
        </w:tc>
        <w:tc>
          <w:tcPr>
            <w:tcW w:w="896" w:type="pct"/>
            <w:vAlign w:val="center"/>
            <w:textDirection w:val="lrTb"/>
            <w:noWrap/>
          </w:tcPr>
          <w:p>
            <w:pPr>
              <w:jc w:val="center"/>
              <w:spacing w:line="360" w:lineRule="auto"/>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施工组织、进度计划</w:t>
            </w:r>
            <w:r/>
          </w:p>
        </w:tc>
        <w:tc>
          <w:tcPr>
            <w:tcW w:w="3250" w:type="pct"/>
            <w:vAlign w:val="center"/>
            <w:textDirection w:val="lrTb"/>
            <w:noWrap w:val="false"/>
          </w:tcPr>
          <w:p>
            <w:pPr>
              <w:jc w:val="left"/>
              <w:spacing w:line="360" w:lineRule="auto"/>
              <w:rPr>
                <w:rFonts w:ascii="宋体" w:hAnsi="宋体" w:cs="宋体"/>
                <w:bCs/>
                <w:color w:val="000000" w:themeColor="text1"/>
                <w:szCs w:val="21"/>
                <w14:textFill>
                  <w14:solidFill>
                    <w14:schemeClr w14:val="tx1"/>
                  </w14:solidFill>
                </w14:textFill>
              </w:rPr>
            </w:pPr>
            <w:r>
              <w:rPr>
                <w:rFonts w:ascii="宋体" w:hAnsi="宋体" w:cs="宋体"/>
                <w:bCs/>
                <w:color w:val="000000" w:themeColor="text1"/>
                <w:szCs w:val="21"/>
                <w14:textFill>
                  <w14:solidFill>
                    <w14:schemeClr w14:val="tx1"/>
                  </w14:solidFill>
                </w14:textFill>
              </w:rPr>
              <w:t xml:space="preserve">供应商根据本项目制定</w:t>
            </w:r>
            <w:r>
              <w:rPr>
                <w:rFonts w:hint="eastAsia" w:ascii="宋体" w:hAnsi="宋体" w:cs="宋体"/>
                <w:bCs/>
                <w:color w:val="000000" w:themeColor="text1"/>
                <w:szCs w:val="21"/>
                <w14:textFill>
                  <w14:solidFill>
                    <w14:schemeClr w14:val="tx1"/>
                  </w14:solidFill>
                </w14:textFill>
              </w:rPr>
              <w:t xml:space="preserve">进度计划、施工组织方案，包括施工组织、人员安排、进度安排、进度保证措施、安全管理方案等内容，</w:t>
            </w:r>
            <w:r>
              <w:rPr>
                <w:rFonts w:ascii="宋体" w:hAnsi="宋体" w:cs="宋体"/>
                <w:bCs/>
                <w:color w:val="000000" w:themeColor="text1"/>
                <w:szCs w:val="21"/>
                <w14:textFill>
                  <w14:solidFill>
                    <w14:schemeClr w14:val="tx1"/>
                  </w14:solidFill>
                </w14:textFill>
              </w:rPr>
              <w:t xml:space="preserve">由评标委员会进行综合评审。</w:t>
            </w:r>
            <w:r/>
          </w:p>
          <w:p>
            <w:pPr>
              <w:jc w:val="left"/>
              <w:spacing w:line="360" w:lineRule="auto"/>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方案详细、内容完整、条理清晰、合理可行、完全符合本项目需求，得2分；内容较详细、主要内容未遗漏、条理较清晰、较符合本项目需求，得1分；</w:t>
            </w:r>
            <w:r/>
          </w:p>
          <w:p>
            <w:pPr>
              <w:jc w:val="left"/>
              <w:spacing w:line="360" w:lineRule="auto"/>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内容不详细、遗漏主要内容、基本合理可行、条理一般清晰、基本符合本项目需求，得0.5分；</w:t>
            </w:r>
            <w:r/>
          </w:p>
          <w:p>
            <w:pPr>
              <w:jc w:val="left"/>
              <w:spacing w:line="360" w:lineRule="auto"/>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未提供的不得分。</w:t>
            </w:r>
            <w:r/>
          </w:p>
        </w:tc>
        <w:tc>
          <w:tcPr>
            <w:tcW w:w="481" w:type="pct"/>
            <w:vAlign w:val="center"/>
            <w:textDirection w:val="lrTb"/>
            <w:noWrap w:val="false"/>
          </w:tcPr>
          <w:p>
            <w:pPr>
              <w:jc w:val="center"/>
              <w:spacing w:line="360" w:lineRule="auto"/>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2</w:t>
            </w:r>
            <w:r/>
          </w:p>
        </w:tc>
      </w:tr>
      <w:tr>
        <w:trPr/>
        <w:tc>
          <w:tcPr>
            <w:tcW w:w="373" w:type="pct"/>
            <w:vAlign w:val="center"/>
            <w:textDirection w:val="lrTb"/>
            <w:noWrap/>
          </w:tcPr>
          <w:p>
            <w:pPr>
              <w:jc w:val="center"/>
              <w:spacing w:line="360" w:lineRule="auto"/>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6</w:t>
            </w:r>
            <w:r/>
          </w:p>
        </w:tc>
        <w:tc>
          <w:tcPr>
            <w:tcW w:w="896" w:type="pct"/>
            <w:vAlign w:val="center"/>
            <w:textDirection w:val="lrTb"/>
            <w:noWrap/>
          </w:tcPr>
          <w:p>
            <w:pPr>
              <w:jc w:val="center"/>
              <w:spacing w:line="360" w:lineRule="auto"/>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系统设备培训</w:t>
            </w:r>
            <w:r/>
          </w:p>
        </w:tc>
        <w:tc>
          <w:tcPr>
            <w:tcW w:w="3250" w:type="pct"/>
            <w:vAlign w:val="center"/>
            <w:textDirection w:val="lrTb"/>
            <w:noWrap w:val="false"/>
          </w:tcPr>
          <w:p>
            <w:pPr>
              <w:jc w:val="left"/>
              <w:spacing w:line="360" w:lineRule="auto"/>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供应商根据本项目制定系统设备技术培训方案，包括培训方式、培训内容、培训进度时间、培训计划、培训质量保证措施等，由评标委员会进行综合评审。</w:t>
            </w:r>
            <w:r/>
          </w:p>
          <w:p>
            <w:pPr>
              <w:jc w:val="left"/>
              <w:spacing w:line="360" w:lineRule="auto"/>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培训方案详细、内容完整、条理清晰、合理可行、完全符合本项目需求，得2分；培训方案较详细、主要内容未遗漏、条理较清晰、较符合本项目需求，得1分；</w:t>
            </w:r>
            <w:r/>
          </w:p>
          <w:p>
            <w:pPr>
              <w:jc w:val="left"/>
              <w:spacing w:line="360" w:lineRule="auto"/>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培训方案不详细、遗漏主要内容、基本合理可行、条理一般清晰、基本符合本项目需求，得0.5分；</w:t>
            </w:r>
            <w:r/>
          </w:p>
          <w:p>
            <w:pPr>
              <w:jc w:val="left"/>
              <w:spacing w:line="360" w:lineRule="auto"/>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未提供的不得分。</w:t>
            </w:r>
            <w:r/>
          </w:p>
        </w:tc>
        <w:tc>
          <w:tcPr>
            <w:tcW w:w="481" w:type="pct"/>
            <w:vAlign w:val="center"/>
            <w:textDirection w:val="lrTb"/>
            <w:noWrap w:val="false"/>
          </w:tcPr>
          <w:p>
            <w:pPr>
              <w:jc w:val="center"/>
              <w:spacing w:line="360" w:lineRule="auto"/>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2</w:t>
            </w:r>
            <w:r/>
          </w:p>
        </w:tc>
      </w:tr>
      <w:tr>
        <w:trPr/>
        <w:tc>
          <w:tcPr>
            <w:tcW w:w="373" w:type="pct"/>
            <w:vAlign w:val="center"/>
            <w:textDirection w:val="lrTb"/>
            <w:noWrap/>
          </w:tcPr>
          <w:p>
            <w:pPr>
              <w:jc w:val="center"/>
              <w:spacing w:line="360" w:lineRule="auto"/>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7</w:t>
            </w:r>
            <w:r/>
          </w:p>
        </w:tc>
        <w:tc>
          <w:tcPr>
            <w:tcW w:w="896" w:type="pct"/>
            <w:vAlign w:val="center"/>
            <w:textDirection w:val="lrTb"/>
            <w:noWrap/>
          </w:tcPr>
          <w:p>
            <w:pPr>
              <w:jc w:val="center"/>
              <w:spacing w:line="360" w:lineRule="auto"/>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售后服务</w:t>
            </w:r>
            <w:r/>
          </w:p>
        </w:tc>
        <w:tc>
          <w:tcPr>
            <w:tcW w:w="3250" w:type="pct"/>
            <w:vAlign w:val="center"/>
            <w:textDirection w:val="lrTb"/>
            <w:noWrap w:val="false"/>
          </w:tcPr>
          <w:p>
            <w:pPr>
              <w:jc w:val="left"/>
              <w:spacing w:line="360" w:lineRule="auto"/>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供应商提供的售后服务方案，包括但不限于售后服务人员配置、服务体系、服务内容、响应时间、售后及服务承诺内容等，由评标委员会进行综合评审。</w:t>
            </w:r>
            <w:r/>
          </w:p>
          <w:p>
            <w:pPr>
              <w:jc w:val="left"/>
              <w:spacing w:line="360" w:lineRule="auto"/>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售后服务方案详细、具体，具有实际可操作性的得2分；</w:t>
            </w:r>
            <w:r/>
          </w:p>
          <w:p>
            <w:pPr>
              <w:jc w:val="left"/>
              <w:spacing w:line="360" w:lineRule="auto"/>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售后服务方案基本满足项目需求的得1分；</w:t>
            </w:r>
            <w:r/>
          </w:p>
          <w:p>
            <w:pPr>
              <w:jc w:val="left"/>
              <w:spacing w:line="360" w:lineRule="auto"/>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售后服务方案较为简单，可操作性欠缺的得0.5分；</w:t>
            </w:r>
            <w:r/>
          </w:p>
          <w:p>
            <w:pPr>
              <w:jc w:val="left"/>
              <w:spacing w:line="360" w:lineRule="auto"/>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未提供的不得分。</w:t>
            </w:r>
            <w:r/>
          </w:p>
        </w:tc>
        <w:tc>
          <w:tcPr>
            <w:tcW w:w="481" w:type="pct"/>
            <w:vAlign w:val="center"/>
            <w:textDirection w:val="lrTb"/>
            <w:noWrap w:val="false"/>
          </w:tcPr>
          <w:p>
            <w:pPr>
              <w:jc w:val="center"/>
              <w:spacing w:line="360" w:lineRule="auto"/>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2</w:t>
            </w:r>
            <w:r/>
          </w:p>
        </w:tc>
      </w:tr>
      <w:tr>
        <w:trPr/>
        <w:tc>
          <w:tcPr>
            <w:tcW w:w="373" w:type="pct"/>
            <w:vAlign w:val="center"/>
            <w:textDirection w:val="lrTb"/>
            <w:noWrap/>
          </w:tcPr>
          <w:p>
            <w:pPr>
              <w:jc w:val="center"/>
              <w:spacing w:line="360" w:lineRule="auto"/>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8</w:t>
            </w:r>
            <w:r/>
          </w:p>
        </w:tc>
        <w:tc>
          <w:tcPr>
            <w:tcW w:w="896" w:type="pct"/>
            <w:vAlign w:val="center"/>
            <w:textDirection w:val="lrTb"/>
            <w:noWrap/>
          </w:tcPr>
          <w:p>
            <w:pPr>
              <w:jc w:val="center"/>
              <w:spacing w:line="360" w:lineRule="auto"/>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类似项目业绩</w:t>
            </w:r>
            <w:r/>
          </w:p>
        </w:tc>
        <w:tc>
          <w:tcPr>
            <w:tcW w:w="3250" w:type="pct"/>
            <w:vAlign w:val="center"/>
            <w:textDirection w:val="lrTb"/>
            <w:noWrap w:val="false"/>
          </w:tcPr>
          <w:p>
            <w:pPr>
              <w:jc w:val="left"/>
              <w:spacing w:line="360" w:lineRule="auto"/>
              <w:rPr>
                <w:rFonts w:ascii="宋体" w:hAnsi="宋体" w:cs="宋体"/>
                <w:bCs/>
                <w:color w:val="000000" w:themeColor="text1"/>
                <w:szCs w:val="21"/>
                <w14:textFill>
                  <w14:solidFill>
                    <w14:schemeClr w14:val="tx1"/>
                  </w14:solidFill>
                </w14:textFill>
              </w:rPr>
            </w:pPr>
            <w:r>
              <w:rPr>
                <w:rFonts w:ascii="宋体" w:hAnsi="宋体" w:cs="宋体"/>
                <w:bCs/>
                <w:color w:val="000000" w:themeColor="text1"/>
                <w:szCs w:val="21"/>
                <w14:textFill>
                  <w14:solidFill>
                    <w14:schemeClr w14:val="tx1"/>
                  </w14:solidFill>
                </w14:textFill>
              </w:rPr>
              <w:t xml:space="preserve">供应商自202</w:t>
            </w:r>
            <w:r>
              <w:rPr>
                <w:rFonts w:hint="eastAsia" w:ascii="宋体" w:hAnsi="宋体" w:cs="宋体"/>
                <w:bCs/>
                <w:color w:val="000000" w:themeColor="text1"/>
                <w:szCs w:val="21"/>
                <w14:textFill>
                  <w14:solidFill>
                    <w14:schemeClr w14:val="tx1"/>
                  </w14:solidFill>
                </w14:textFill>
              </w:rPr>
              <w:t xml:space="preserve">3</w:t>
            </w:r>
            <w:r>
              <w:rPr>
                <w:rFonts w:ascii="宋体" w:hAnsi="宋体" w:cs="宋体"/>
                <w:bCs/>
                <w:color w:val="000000" w:themeColor="text1"/>
                <w:szCs w:val="21"/>
                <w14:textFill>
                  <w14:solidFill>
                    <w14:schemeClr w14:val="tx1"/>
                  </w14:solidFill>
                </w14:textFill>
              </w:rPr>
              <w:t xml:space="preserve">年1月1日（含）以来（时间以合同签订日期为准）</w:t>
            </w:r>
            <w:r>
              <w:rPr>
                <w:rFonts w:hint="eastAsia" w:ascii="宋体" w:hAnsi="宋体" w:cs="宋体"/>
                <w:bCs/>
                <w:color w:val="000000" w:themeColor="text1"/>
                <w:szCs w:val="21"/>
                <w14:textFill>
                  <w14:solidFill>
                    <w14:schemeClr w14:val="tx1"/>
                  </w14:solidFill>
                </w14:textFill>
              </w:rPr>
              <w:t xml:space="preserve">有</w:t>
            </w:r>
            <w:r>
              <w:rPr>
                <w:rFonts w:ascii="宋体" w:hAnsi="宋体" w:cs="宋体"/>
                <w:bCs/>
                <w:color w:val="000000" w:themeColor="text1"/>
                <w:szCs w:val="21"/>
                <w14:textFill>
                  <w14:solidFill>
                    <w14:schemeClr w14:val="tx1"/>
                  </w14:solidFill>
                </w14:textFill>
              </w:rPr>
              <w:t xml:space="preserve">与本项目类似</w:t>
            </w:r>
            <w:r>
              <w:rPr>
                <w:rFonts w:hint="eastAsia" w:ascii="宋体" w:hAnsi="宋体" w:cs="宋体"/>
                <w:bCs/>
                <w:color w:val="000000" w:themeColor="text1"/>
                <w:szCs w:val="21"/>
                <w14:textFill>
                  <w14:solidFill>
                    <w14:schemeClr w14:val="tx1"/>
                  </w14:solidFill>
                </w14:textFill>
              </w:rPr>
              <w:t xml:space="preserve">项目</w:t>
            </w:r>
            <w:r>
              <w:rPr>
                <w:rFonts w:ascii="宋体" w:hAnsi="宋体" w:cs="宋体"/>
                <w:bCs/>
                <w:color w:val="000000" w:themeColor="text1"/>
                <w:szCs w:val="21"/>
                <w14:textFill>
                  <w14:solidFill>
                    <w14:schemeClr w14:val="tx1"/>
                  </w14:solidFill>
                </w14:textFill>
              </w:rPr>
              <w:t xml:space="preserve">业绩的，有一份得</w:t>
            </w:r>
            <w:r>
              <w:rPr>
                <w:rFonts w:hint="eastAsia" w:ascii="宋体" w:hAnsi="宋体" w:cs="宋体"/>
                <w:bCs/>
                <w:color w:val="000000" w:themeColor="text1"/>
                <w:szCs w:val="21"/>
                <w14:textFill>
                  <w14:solidFill>
                    <w14:schemeClr w14:val="tx1"/>
                  </w14:solidFill>
                </w14:textFill>
              </w:rPr>
              <w:t xml:space="preserve">1</w:t>
            </w:r>
            <w:r>
              <w:rPr>
                <w:rFonts w:ascii="宋体" w:hAnsi="宋体" w:cs="宋体"/>
                <w:bCs/>
                <w:color w:val="000000" w:themeColor="text1"/>
                <w:szCs w:val="21"/>
                <w14:textFill>
                  <w14:solidFill>
                    <w14:schemeClr w14:val="tx1"/>
                  </w14:solidFill>
                </w14:textFill>
              </w:rPr>
              <w:t xml:space="preserve">分，最高得</w:t>
            </w:r>
            <w:r>
              <w:rPr>
                <w:rFonts w:hint="eastAsia" w:ascii="宋体" w:hAnsi="宋体" w:cs="宋体"/>
                <w:bCs/>
                <w:color w:val="000000" w:themeColor="text1"/>
                <w:szCs w:val="21"/>
                <w14:textFill>
                  <w14:solidFill>
                    <w14:schemeClr w14:val="tx1"/>
                  </w14:solidFill>
                </w14:textFill>
              </w:rPr>
              <w:t xml:space="preserve">2</w:t>
            </w:r>
            <w:r>
              <w:rPr>
                <w:rFonts w:ascii="宋体" w:hAnsi="宋体" w:cs="宋体"/>
                <w:bCs/>
                <w:color w:val="000000" w:themeColor="text1"/>
                <w:szCs w:val="21"/>
                <w14:textFill>
                  <w14:solidFill>
                    <w14:schemeClr w14:val="tx1"/>
                  </w14:solidFill>
                </w14:textFill>
              </w:rPr>
              <w:t xml:space="preserve">分。（提供中标通知书、合同、验收通过证明材料复印件加盖公章，三者缺一不可，提供的证明材料须能反映相关内容，否则视为未提供不得分）</w:t>
            </w:r>
            <w:r/>
          </w:p>
        </w:tc>
        <w:tc>
          <w:tcPr>
            <w:tcW w:w="481" w:type="pct"/>
            <w:vAlign w:val="center"/>
            <w:textDirection w:val="lrTb"/>
            <w:noWrap w:val="false"/>
          </w:tcPr>
          <w:p>
            <w:pPr>
              <w:jc w:val="center"/>
              <w:spacing w:line="360" w:lineRule="auto"/>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2</w:t>
            </w:r>
            <w:r/>
          </w:p>
        </w:tc>
      </w:tr>
      <w:tr>
        <w:trPr/>
        <w:tc>
          <w:tcPr>
            <w:tcW w:w="373" w:type="pct"/>
            <w:vAlign w:val="center"/>
            <w:textDirection w:val="lrTb"/>
            <w:noWrap/>
          </w:tcPr>
          <w:p>
            <w:pPr>
              <w:jc w:val="center"/>
              <w:spacing w:line="360" w:lineRule="auto"/>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9</w:t>
            </w:r>
            <w:r/>
          </w:p>
        </w:tc>
        <w:tc>
          <w:tcPr>
            <w:tcW w:w="896" w:type="pct"/>
            <w:vAlign w:val="center"/>
            <w:textDirection w:val="lrTb"/>
            <w:noWrap/>
          </w:tcPr>
          <w:p>
            <w:pPr>
              <w:jc w:val="center"/>
              <w:spacing w:line="360" w:lineRule="auto"/>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供应商能力</w:t>
            </w:r>
            <w:r/>
          </w:p>
        </w:tc>
        <w:tc>
          <w:tcPr>
            <w:tcW w:w="3250" w:type="pct"/>
            <w:vAlign w:val="center"/>
            <w:textDirection w:val="lrTb"/>
            <w:noWrap w:val="false"/>
          </w:tcPr>
          <w:p>
            <w:pPr>
              <w:jc w:val="left"/>
              <w:spacing w:line="360" w:lineRule="auto"/>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1、本项目中，供应商</w:t>
            </w:r>
            <w:r>
              <w:rPr>
                <w:rFonts w:ascii="宋体" w:hAnsi="宋体" w:cs="宋体"/>
                <w:bCs/>
                <w:color w:val="000000" w:themeColor="text1"/>
                <w:szCs w:val="21"/>
                <w14:textFill>
                  <w14:solidFill>
                    <w14:schemeClr w14:val="tx1"/>
                  </w14:solidFill>
                </w14:textFill>
              </w:rPr>
              <w:t xml:space="preserve">拟派</w:t>
            </w:r>
            <w:r>
              <w:rPr>
                <w:rFonts w:hint="eastAsia" w:ascii="宋体" w:hAnsi="宋体" w:cs="宋体"/>
                <w:bCs/>
                <w:color w:val="000000" w:themeColor="text1"/>
                <w:szCs w:val="21"/>
                <w14:textFill>
                  <w14:solidFill>
                    <w14:schemeClr w14:val="tx1"/>
                  </w14:solidFill>
                </w14:textFill>
              </w:rPr>
              <w:t xml:space="preserve">项目</w:t>
            </w:r>
            <w:r>
              <w:rPr>
                <w:rFonts w:ascii="宋体" w:hAnsi="宋体" w:cs="宋体"/>
                <w:bCs/>
                <w:color w:val="000000" w:themeColor="text1"/>
                <w:szCs w:val="21"/>
                <w14:textFill>
                  <w14:solidFill>
                    <w14:schemeClr w14:val="tx1"/>
                  </w14:solidFill>
                </w14:textFill>
              </w:rPr>
              <w:t xml:space="preserve">负责人具有水利工程类高级</w:t>
            </w:r>
            <w:r>
              <w:rPr>
                <w:rFonts w:hint="eastAsia" w:ascii="宋体" w:hAnsi="宋体" w:cs="宋体"/>
                <w:bCs/>
                <w:color w:val="000000" w:themeColor="text1"/>
                <w:szCs w:val="21"/>
                <w14:textFill>
                  <w14:solidFill>
                    <w14:schemeClr w14:val="tx1"/>
                  </w14:solidFill>
                </w14:textFill>
              </w:rPr>
              <w:t xml:space="preserve">及以上</w:t>
            </w:r>
            <w:r>
              <w:rPr>
                <w:rFonts w:ascii="宋体" w:hAnsi="宋体" w:cs="宋体"/>
                <w:bCs/>
                <w:color w:val="000000" w:themeColor="text1"/>
                <w:szCs w:val="21"/>
                <w14:textFill>
                  <w14:solidFill>
                    <w14:schemeClr w14:val="tx1"/>
                  </w14:solidFill>
                </w14:textFill>
              </w:rPr>
              <w:t xml:space="preserve">职称证书的得</w:t>
            </w:r>
            <w:r>
              <w:rPr>
                <w:rFonts w:hint="eastAsia" w:ascii="宋体" w:hAnsi="宋体" w:cs="宋体"/>
                <w:bCs/>
                <w:color w:val="000000" w:themeColor="text1"/>
                <w:szCs w:val="21"/>
                <w14:textFill>
                  <w14:solidFill>
                    <w14:schemeClr w14:val="tx1"/>
                  </w14:solidFill>
                </w14:textFill>
              </w:rPr>
              <w:t xml:space="preserve">2</w:t>
            </w:r>
            <w:r>
              <w:rPr>
                <w:rFonts w:ascii="宋体" w:hAnsi="宋体" w:cs="宋体"/>
                <w:bCs/>
                <w:color w:val="000000" w:themeColor="text1"/>
                <w:szCs w:val="21"/>
                <w14:textFill>
                  <w14:solidFill>
                    <w14:schemeClr w14:val="tx1"/>
                  </w14:solidFill>
                </w14:textFill>
              </w:rPr>
              <w:t xml:space="preserve">分，</w:t>
            </w:r>
            <w:r>
              <w:rPr>
                <w:rFonts w:hint="eastAsia" w:ascii="宋体" w:hAnsi="宋体" w:cs="宋体"/>
                <w:bCs/>
                <w:color w:val="000000" w:themeColor="text1"/>
                <w:szCs w:val="21"/>
                <w14:textFill>
                  <w14:solidFill>
                    <w14:schemeClr w14:val="tx1"/>
                  </w14:solidFill>
                </w14:textFill>
              </w:rPr>
              <w:t xml:space="preserve">中级证书得1分，</w:t>
            </w:r>
            <w:r>
              <w:rPr>
                <w:rFonts w:ascii="宋体" w:hAnsi="宋体" w:cs="宋体"/>
                <w:bCs/>
                <w:color w:val="000000" w:themeColor="text1"/>
                <w:szCs w:val="21"/>
                <w14:textFill>
                  <w14:solidFill>
                    <w14:schemeClr w14:val="tx1"/>
                  </w14:solidFill>
                </w14:textFill>
              </w:rPr>
              <w:t xml:space="preserve">其他或未提供的不得分。（本项最多得</w:t>
            </w:r>
            <w:r>
              <w:rPr>
                <w:rFonts w:hint="eastAsia" w:ascii="宋体" w:hAnsi="宋体" w:cs="宋体"/>
                <w:bCs/>
                <w:color w:val="000000" w:themeColor="text1"/>
                <w:szCs w:val="21"/>
                <w14:textFill>
                  <w14:solidFill>
                    <w14:schemeClr w14:val="tx1"/>
                  </w14:solidFill>
                </w14:textFill>
              </w:rPr>
              <w:t xml:space="preserve">2</w:t>
            </w:r>
            <w:r>
              <w:rPr>
                <w:rFonts w:ascii="宋体" w:hAnsi="宋体" w:cs="宋体"/>
                <w:bCs/>
                <w:color w:val="000000" w:themeColor="text1"/>
                <w:szCs w:val="21"/>
                <w14:textFill>
                  <w14:solidFill>
                    <w14:schemeClr w14:val="tx1"/>
                  </w14:solidFill>
                </w14:textFill>
              </w:rPr>
              <w:t xml:space="preserve">分，需提供有效证书以及</w:t>
            </w:r>
            <w:r>
              <w:rPr>
                <w:rFonts w:hint="eastAsia" w:ascii="宋体" w:hAnsi="宋体" w:cs="宋体"/>
                <w:bCs/>
                <w:color w:val="000000" w:themeColor="text1"/>
                <w:szCs w:val="21"/>
                <w14:textFill>
                  <w14:solidFill>
                    <w14:schemeClr w14:val="tx1"/>
                  </w14:solidFill>
                </w14:textFill>
              </w:rPr>
              <w:t xml:space="preserve">供应商为其缴纳的6月（含）以来</w:t>
            </w:r>
            <w:r>
              <w:rPr>
                <w:rFonts w:ascii="宋体" w:hAnsi="宋体" w:cs="宋体"/>
                <w:bCs/>
                <w:color w:val="000000" w:themeColor="text1"/>
                <w:szCs w:val="21"/>
                <w14:textFill>
                  <w14:solidFill>
                    <w14:schemeClr w14:val="tx1"/>
                  </w14:solidFill>
                </w14:textFill>
              </w:rPr>
              <w:t xml:space="preserve">任意一个月社保的证明。）</w:t>
            </w:r>
            <w:r/>
          </w:p>
          <w:p>
            <w:pPr>
              <w:jc w:val="left"/>
              <w:spacing w:line="360" w:lineRule="auto"/>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2、本项目中，供应商拟派项目组成员</w:t>
            </w:r>
            <w:r>
              <w:rPr>
                <w:rFonts w:ascii="宋体" w:hAnsi="宋体" w:cs="宋体"/>
                <w:bCs/>
                <w:color w:val="000000" w:themeColor="text1"/>
                <w:szCs w:val="21"/>
                <w14:textFill>
                  <w14:solidFill>
                    <w14:schemeClr w14:val="tx1"/>
                  </w14:solidFill>
                </w14:textFill>
              </w:rPr>
              <w:t xml:space="preserve">（项目负责人和技术负责人除外）中需</w:t>
            </w:r>
            <w:r>
              <w:rPr>
                <w:rFonts w:hint="eastAsia" w:ascii="宋体" w:hAnsi="宋体" w:cs="宋体"/>
                <w:bCs/>
                <w:color w:val="000000" w:themeColor="text1"/>
                <w:szCs w:val="21"/>
                <w14:textFill>
                  <w14:solidFill>
                    <w14:schemeClr w14:val="tx1"/>
                  </w14:solidFill>
                </w14:textFill>
              </w:rPr>
              <w:t xml:space="preserve">分别</w:t>
            </w:r>
            <w:r>
              <w:rPr>
                <w:rFonts w:ascii="宋体" w:hAnsi="宋体" w:cs="宋体"/>
                <w:bCs/>
                <w:color w:val="000000" w:themeColor="text1"/>
                <w:szCs w:val="21"/>
                <w14:textFill>
                  <w14:solidFill>
                    <w14:schemeClr w14:val="tx1"/>
                  </w14:solidFill>
                </w14:textFill>
              </w:rPr>
              <w:t xml:space="preserve">具有</w:t>
            </w:r>
            <w:r>
              <w:rPr>
                <w:rFonts w:hint="eastAsia" w:ascii="宋体" w:hAnsi="宋体" w:cs="宋体"/>
                <w:bCs/>
                <w:color w:val="000000" w:themeColor="text1"/>
                <w:szCs w:val="21"/>
                <w14:textFill>
                  <w14:solidFill>
                    <w14:schemeClr w14:val="tx1"/>
                  </w14:solidFill>
                </w14:textFill>
              </w:rPr>
              <w:t xml:space="preserve">水文水资源</w:t>
            </w:r>
            <w:r>
              <w:rPr>
                <w:rFonts w:ascii="宋体" w:hAnsi="宋体" w:cs="宋体"/>
                <w:bCs/>
                <w:color w:val="000000" w:themeColor="text1"/>
                <w:szCs w:val="21"/>
                <w14:textFill>
                  <w14:solidFill>
                    <w14:schemeClr w14:val="tx1"/>
                  </w14:solidFill>
                </w14:textFill>
              </w:rPr>
              <w:t xml:space="preserve">、自动化、电子信息、</w:t>
            </w:r>
            <w:r>
              <w:rPr>
                <w:rFonts w:hint="eastAsia" w:ascii="宋体" w:hAnsi="宋体" w:cs="宋体"/>
                <w:bCs/>
                <w:color w:val="000000" w:themeColor="text1"/>
                <w:szCs w:val="21"/>
                <w14:textFill>
                  <w14:solidFill>
                    <w14:schemeClr w14:val="tx1"/>
                  </w14:solidFill>
                </w14:textFill>
              </w:rPr>
              <w:t xml:space="preserve">计算机</w:t>
            </w:r>
            <w:r>
              <w:rPr>
                <w:rFonts w:ascii="宋体" w:hAnsi="宋体" w:cs="宋体"/>
                <w:bCs/>
                <w:color w:val="000000" w:themeColor="text1"/>
                <w:szCs w:val="21"/>
                <w14:textFill>
                  <w14:solidFill>
                    <w14:schemeClr w14:val="tx1"/>
                  </w14:solidFill>
                </w14:textFill>
              </w:rPr>
              <w:t xml:space="preserve">相关专业的毕业证，每</w:t>
            </w:r>
            <w:r>
              <w:rPr>
                <w:rFonts w:hint="eastAsia" w:ascii="宋体" w:hAnsi="宋体" w:cs="宋体"/>
                <w:bCs/>
                <w:color w:val="000000" w:themeColor="text1"/>
                <w:szCs w:val="21"/>
                <w14:textFill>
                  <w14:solidFill>
                    <w14:schemeClr w14:val="tx1"/>
                  </w14:solidFill>
                </w14:textFill>
              </w:rPr>
              <w:t xml:space="preserve">一类</w:t>
            </w:r>
            <w:r>
              <w:rPr>
                <w:rFonts w:ascii="宋体" w:hAnsi="宋体" w:cs="宋体"/>
                <w:bCs/>
                <w:color w:val="000000" w:themeColor="text1"/>
                <w:szCs w:val="21"/>
                <w14:textFill>
                  <w14:solidFill>
                    <w14:schemeClr w14:val="tx1"/>
                  </w14:solidFill>
                </w14:textFill>
              </w:rPr>
              <w:t xml:space="preserve">相关毕业证得0.</w:t>
            </w:r>
            <w:r>
              <w:rPr>
                <w:rFonts w:hint="eastAsia" w:ascii="宋体" w:hAnsi="宋体" w:cs="宋体"/>
                <w:bCs/>
                <w:color w:val="000000" w:themeColor="text1"/>
                <w:szCs w:val="21"/>
                <w14:textFill>
                  <w14:solidFill>
                    <w14:schemeClr w14:val="tx1"/>
                  </w14:solidFill>
                </w14:textFill>
              </w:rPr>
              <w:t xml:space="preserve">5</w:t>
            </w:r>
            <w:r>
              <w:rPr>
                <w:rFonts w:ascii="宋体" w:hAnsi="宋体" w:cs="宋体"/>
                <w:bCs/>
                <w:color w:val="000000" w:themeColor="text1"/>
                <w:szCs w:val="21"/>
                <w14:textFill>
                  <w14:solidFill>
                    <w14:schemeClr w14:val="tx1"/>
                  </w14:solidFill>
                </w14:textFill>
              </w:rPr>
              <w:t xml:space="preserve">分；（本项最多得</w:t>
            </w:r>
            <w:r>
              <w:rPr>
                <w:rFonts w:hint="eastAsia" w:ascii="宋体" w:hAnsi="宋体" w:cs="宋体"/>
                <w:bCs/>
                <w:color w:val="000000" w:themeColor="text1"/>
                <w:szCs w:val="21"/>
                <w14:textFill>
                  <w14:solidFill>
                    <w14:schemeClr w14:val="tx1"/>
                  </w14:solidFill>
                </w14:textFill>
              </w:rPr>
              <w:t xml:space="preserve">2</w:t>
            </w:r>
            <w:r>
              <w:rPr>
                <w:rFonts w:ascii="宋体" w:hAnsi="宋体" w:cs="宋体"/>
                <w:bCs/>
                <w:color w:val="000000" w:themeColor="text1"/>
                <w:szCs w:val="21"/>
                <w14:textFill>
                  <w14:solidFill>
                    <w14:schemeClr w14:val="tx1"/>
                  </w14:solidFill>
                </w14:textFill>
              </w:rPr>
              <w:t xml:space="preserve">分，需提供有效证书以及</w:t>
            </w:r>
            <w:r>
              <w:rPr>
                <w:rFonts w:hint="eastAsia" w:ascii="宋体" w:hAnsi="宋体" w:cs="宋体"/>
                <w:bCs/>
                <w:color w:val="000000" w:themeColor="text1"/>
                <w:szCs w:val="21"/>
                <w14:textFill>
                  <w14:solidFill>
                    <w14:schemeClr w14:val="tx1"/>
                  </w14:solidFill>
                </w14:textFill>
              </w:rPr>
              <w:t xml:space="preserve">供应商为其缴纳的6月（含）以来</w:t>
            </w:r>
            <w:r>
              <w:rPr>
                <w:rFonts w:ascii="宋体" w:hAnsi="宋体" w:cs="宋体"/>
                <w:bCs/>
                <w:color w:val="000000" w:themeColor="text1"/>
                <w:szCs w:val="21"/>
                <w14:textFill>
                  <w14:solidFill>
                    <w14:schemeClr w14:val="tx1"/>
                  </w14:solidFill>
                </w14:textFill>
              </w:rPr>
              <w:t xml:space="preserve">任意一个月社保的证明。）</w:t>
            </w:r>
            <w:r/>
          </w:p>
        </w:tc>
        <w:tc>
          <w:tcPr>
            <w:tcW w:w="481" w:type="pct"/>
            <w:vAlign w:val="center"/>
            <w:textDirection w:val="lrTb"/>
            <w:noWrap w:val="false"/>
          </w:tcPr>
          <w:p>
            <w:pPr>
              <w:jc w:val="center"/>
              <w:spacing w:line="360" w:lineRule="auto"/>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4</w:t>
            </w:r>
            <w:r/>
          </w:p>
        </w:tc>
      </w:tr>
      <w:tr>
        <w:trPr/>
        <w:tc>
          <w:tcPr>
            <w:gridSpan w:val="4"/>
            <w:tcW w:w="5000" w:type="pct"/>
            <w:vAlign w:val="center"/>
            <w:textDirection w:val="lrTb"/>
            <w:noWrap/>
          </w:tcPr>
          <w:p>
            <w:pPr>
              <w:jc w:val="center"/>
              <w:spacing w:line="360" w:lineRule="auto"/>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100分</w:t>
            </w:r>
            <w:r/>
          </w:p>
        </w:tc>
      </w:tr>
    </w:tbl>
    <w:p>
      <w:pPr>
        <w:jc w:val="left"/>
        <w:spacing w:line="280" w:lineRule="exact"/>
        <w:rPr>
          <w:bCs/>
          <w:color w:val="000000" w:themeColor="text1"/>
          <w:szCs w:val="21"/>
          <w14:textFill>
            <w14:solidFill>
              <w14:schemeClr w14:val="tx1"/>
            </w14:solidFill>
          </w14:textFill>
        </w:rPr>
      </w:pPr>
      <w:r>
        <w:rPr>
          <w:bCs/>
          <w:color w:val="000000" w:themeColor="text1"/>
          <w:szCs w:val="21"/>
          <w14:textFill>
            <w14:solidFill>
              <w14:schemeClr w14:val="tx1"/>
            </w14:solidFill>
          </w14:textFill>
        </w:rPr>
      </w:r>
      <w:r/>
    </w:p>
    <w:p>
      <w:pPr>
        <w:jc w:val="left"/>
        <w:spacing w:line="280" w:lineRule="exact"/>
        <w:rPr>
          <w:bCs/>
          <w:color w:val="000000" w:themeColor="text1"/>
          <w:szCs w:val="21"/>
          <w14:textFill>
            <w14:solidFill>
              <w14:schemeClr w14:val="tx1"/>
            </w14:solidFill>
          </w14:textFill>
        </w:rPr>
      </w:pPr>
      <w:r>
        <w:rPr>
          <w:rFonts w:hint="eastAsia"/>
          <w:bCs/>
          <w:color w:val="000000" w:themeColor="text1"/>
          <w:szCs w:val="21"/>
          <w14:textFill>
            <w14:solidFill>
              <w14:schemeClr w14:val="tx1"/>
            </w14:solidFill>
          </w14:textFill>
        </w:rPr>
        <w:t xml:space="preserve">说明：</w:t>
      </w:r>
      <w:r/>
    </w:p>
    <w:p>
      <w:pPr>
        <w:ind w:firstLine="420"/>
        <w:jc w:val="left"/>
        <w:spacing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1.实质性要求不得负偏离；否则，按照无效投标处理。 </w:t>
      </w:r>
      <w:r/>
    </w:p>
    <w:p>
      <w:pPr>
        <w:ind w:firstLine="420"/>
        <w:jc w:val="left"/>
        <w:spacing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2.对国家认定的节能产品和环保产品分别给予投标价的 5%价格扣除，用扣除后的价格参与评审（特别说明：节能、环保产品 必须纳入“中国政府采购网http：//www.ccgp.gov.cn”等官方网站“节能、环保产品查询系统”，且以提供的证书复印件为准 ）。 </w:t>
      </w:r>
      <w:r/>
    </w:p>
    <w:p>
      <w:pPr>
        <w:ind w:firstLine="420"/>
        <w:jc w:val="left"/>
        <w:spacing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3.小微企业的价格扣除 </w:t>
      </w:r>
      <w:r/>
    </w:p>
    <w:p>
      <w:pPr>
        <w:ind w:firstLine="420"/>
        <w:jc w:val="left"/>
        <w:spacing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3.1对于</w:t>
      </w:r>
      <w:r>
        <w:rPr>
          <w:rFonts w:hint="eastAsia" w:ascii="宋体" w:hAnsi="宋体" w:cs="宋体"/>
          <w:b/>
          <w:bCs/>
          <w:color w:val="000000" w:themeColor="text1"/>
          <w:szCs w:val="21"/>
          <w14:textFill>
            <w14:solidFill>
              <w14:schemeClr w14:val="tx1"/>
            </w14:solidFill>
          </w14:textFill>
        </w:rPr>
        <w:t xml:space="preserve">未预留份额专门面向中小企业采购的采购项目</w:t>
      </w:r>
      <w:r>
        <w:rPr>
          <w:rFonts w:hint="eastAsia" w:ascii="宋体" w:hAnsi="宋体" w:cs="宋体"/>
          <w:color w:val="000000" w:themeColor="text1"/>
          <w:szCs w:val="21"/>
          <w14:textFill>
            <w14:solidFill>
              <w14:schemeClr w14:val="tx1"/>
            </w14:solidFill>
          </w14:textFill>
        </w:rPr>
        <w:t xml:space="preserve">或</w:t>
      </w:r>
      <w:r>
        <w:rPr>
          <w:rFonts w:hint="eastAsia" w:ascii="宋体" w:hAnsi="宋体" w:cs="宋体"/>
          <w:b/>
          <w:bCs/>
          <w:color w:val="000000" w:themeColor="text1"/>
          <w:szCs w:val="21"/>
          <w14:textFill>
            <w14:solidFill>
              <w14:schemeClr w14:val="tx1"/>
            </w14:solidFill>
          </w14:textFill>
        </w:rPr>
        <w:t xml:space="preserve">预留份额项目中的非预留部分采购包</w:t>
      </w:r>
      <w:r>
        <w:rPr>
          <w:rFonts w:hint="eastAsia" w:ascii="宋体" w:hAnsi="宋体" w:cs="宋体"/>
          <w:color w:val="000000" w:themeColor="text1"/>
          <w:szCs w:val="21"/>
          <w14:textFill>
            <w14:solidFill>
              <w14:schemeClr w14:val="tx1"/>
            </w14:solidFill>
          </w14:textFill>
        </w:rPr>
        <w:t xml:space="preserve">，给予小微企业报价10%的扣除，用扣除后的价格参加评审。其中，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联合体各方均为小微企业的，联合体视同为小微企业，享受10%的价格扣除。 </w:t>
      </w:r>
      <w:r/>
    </w:p>
    <w:p>
      <w:pPr>
        <w:ind w:firstLine="420"/>
        <w:jc w:val="left"/>
        <w:spacing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3.2价格扣除比例或者价格分加分比例对小型企业和微型企业同等对待，不作区分。说明：价格扣除优惠政策仅适用于“第一章 二、申请人的资格要求 （二）落实政府采购政策需满足的资格要求”中“本项目采用以下第4种方式落实政府采购促进中小企业发展的要求”的采购项目中。</w:t>
      </w:r>
      <w:r/>
    </w:p>
    <w:p>
      <w:pPr>
        <w:ind w:firstLine="420"/>
        <w:jc w:val="left"/>
        <w:spacing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3.3 供应商需按照采购文件的要求提供相应的《中小微企业声明函》。</w:t>
      </w:r>
      <w:r/>
    </w:p>
    <w:p>
      <w:pPr>
        <w:ind w:firstLine="420"/>
        <w:jc w:val="left"/>
        <w:spacing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4.监狱和戒毒企业的价格扣除 </w:t>
      </w:r>
      <w:r/>
    </w:p>
    <w:p>
      <w:pPr>
        <w:ind w:firstLine="420"/>
        <w:jc w:val="left"/>
        <w:spacing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4.1本项目对监狱和戒毒企业（简称监狱企业），给予10%的价格扣除，用扣除后的价格参与评审。 </w:t>
      </w:r>
      <w:r/>
    </w:p>
    <w:p>
      <w:pPr>
        <w:ind w:firstLine="420"/>
        <w:jc w:val="left"/>
        <w:spacing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4.2监狱企业需提供由省级以上监狱管理局、戒毒管理局（含新疆生产建设兵团）出具的属于监狱企业的证明文件。 </w:t>
      </w:r>
      <w:r/>
    </w:p>
    <w:p>
      <w:pPr>
        <w:ind w:firstLine="420"/>
        <w:jc w:val="left"/>
        <w:spacing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4.3监狱企业标准请参照《关于政府采购支持监狱企业发展有关问题的通知》（财库</w:t>
      </w:r>
      <w:r>
        <w:rPr>
          <w:rFonts w:hint="eastAsia"/>
          <w:color w:val="000000" w:themeColor="text1"/>
          <w:szCs w:val="21"/>
          <w14:textFill>
            <w14:solidFill>
              <w14:schemeClr w14:val="tx1"/>
            </w14:solidFill>
          </w14:textFill>
        </w:rPr>
        <w:t xml:space="preserve">〔2014〕</w:t>
      </w:r>
      <w:r>
        <w:rPr>
          <w:rFonts w:hint="eastAsia" w:ascii="宋体" w:hAnsi="宋体" w:cs="宋体"/>
          <w:color w:val="000000" w:themeColor="text1"/>
          <w:szCs w:val="21"/>
          <w14:textFill>
            <w14:solidFill>
              <w14:schemeClr w14:val="tx1"/>
            </w14:solidFill>
          </w14:textFill>
        </w:rPr>
        <w:t xml:space="preserve">68 号）。 </w:t>
      </w:r>
      <w:r/>
    </w:p>
    <w:p>
      <w:pPr>
        <w:ind w:firstLine="420"/>
        <w:jc w:val="left"/>
        <w:spacing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5.残疾人福利性单位的价格扣除 </w:t>
      </w:r>
      <w:r/>
    </w:p>
    <w:p>
      <w:pPr>
        <w:ind w:firstLine="420"/>
        <w:jc w:val="left"/>
        <w:spacing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5.1本项目对残疾人福利性单位，给予10%的价格扣除，用扣除后的价格参与评审。 </w:t>
      </w:r>
      <w:r/>
    </w:p>
    <w:p>
      <w:pPr>
        <w:ind w:firstLine="420"/>
        <w:jc w:val="left"/>
        <w:spacing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5.2残疾人福利单位需按照采购文件的要求提供《残疾人福利性单位声明函》。 </w:t>
      </w:r>
      <w:r/>
    </w:p>
    <w:p>
      <w:pPr>
        <w:ind w:firstLine="420"/>
        <w:jc w:val="left"/>
        <w:spacing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5.3残疾人福利单位标准请参照《关于促进残疾人就业政府采购政策的通知》（财库〔2017〕141号）。 </w:t>
      </w:r>
      <w:r/>
    </w:p>
    <w:p>
      <w:pPr>
        <w:ind w:firstLine="420"/>
        <w:jc w:val="left"/>
        <w:spacing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6.监狱企业、残疾人福利单位属于小型、微型企业的，不重复享受政策。 </w:t>
      </w:r>
      <w:r/>
    </w:p>
    <w:p>
      <w:pPr>
        <w:ind w:firstLine="420"/>
        <w:jc w:val="left"/>
        <w:spacing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7.所有认证、证明和业绩均以有效的证明文件并加盖公章为依据，原件备查。 </w:t>
      </w:r>
      <w:r/>
    </w:p>
    <w:p>
      <w:pPr>
        <w:ind w:firstLine="422"/>
        <w:jc w:val="left"/>
        <w:spacing w:line="360" w:lineRule="auto"/>
        <w:widowControl/>
        <w:rPr>
          <w:rFonts w:ascii="宋体" w:hAnsi="宋体" w:cs="宋体"/>
          <w:b/>
          <w:bCs/>
          <w:color w:val="000000" w:themeColor="text1"/>
          <w:szCs w:val="21"/>
          <w14:textFill>
            <w14:solidFill>
              <w14:schemeClr w14:val="tx1"/>
            </w14:solidFill>
          </w14:textFill>
        </w:rPr>
      </w:pPr>
      <w:r>
        <w:rPr>
          <w:rFonts w:ascii="宋体" w:hAnsi="宋体" w:cs="宋体"/>
          <w:b/>
          <w:bCs/>
          <w:color w:val="000000" w:themeColor="text1"/>
          <w:szCs w:val="21"/>
          <w14:textFill>
            <w14:solidFill>
              <w14:schemeClr w14:val="tx1"/>
            </w14:solidFill>
          </w14:textFill>
        </w:rPr>
      </w:r>
      <w:r/>
    </w:p>
    <w:p>
      <w:pPr>
        <w:pStyle w:val="996"/>
        <w:jc w:val="center"/>
        <w:rPr>
          <w:rFonts w:eastAsia="黑体"/>
          <w:color w:val="000000" w:themeColor="text1"/>
          <w:sz w:val="36"/>
          <w:szCs w:val="36"/>
          <w14:textFill>
            <w14:solidFill>
              <w14:schemeClr w14:val="tx1"/>
            </w14:solidFill>
          </w14:textFill>
        </w:rPr>
        <w:outlineLvl w:val="0"/>
      </w:pPr>
      <w:r>
        <w:rPr>
          <w:color w:val="000000" w:themeColor="text1"/>
          <w14:textFill>
            <w14:solidFill>
              <w14:schemeClr w14:val="tx1"/>
            </w14:solidFill>
          </w14:textFill>
        </w:rPr>
        <w:br w:type="page" w:clear="all"/>
      </w:r>
      <w:bookmarkStart w:id="13" w:name="_Toc149805858"/>
      <w:r>
        <w:rPr>
          <w:rFonts w:hint="eastAsia" w:eastAsia="黑体"/>
          <w:color w:val="000000" w:themeColor="text1"/>
          <w:sz w:val="36"/>
          <w:szCs w:val="36"/>
          <w14:textFill>
            <w14:solidFill>
              <w14:schemeClr w14:val="tx1"/>
            </w14:solidFill>
          </w14:textFill>
        </w:rPr>
        <w:t xml:space="preserve">第四章 采购需求</w:t>
      </w:r>
      <w:bookmarkEnd w:id="13"/>
      <w:r/>
      <w:bookmarkEnd w:id="11"/>
      <w:bookmarkEnd w:id="12"/>
      <w:r/>
    </w:p>
    <w:p>
      <w:pPr>
        <w:pStyle w:val="667"/>
        <w:spacing w:before="0" w:after="0" w:line="360" w:lineRule="auto"/>
        <w:rPr>
          <w:b/>
          <w:bCs/>
          <w:color w:val="000000" w:themeColor="text1"/>
          <w:sz w:val="28"/>
          <w:szCs w:val="28"/>
          <w14:textFill>
            <w14:solidFill>
              <w14:schemeClr w14:val="tx1"/>
            </w14:solidFill>
          </w14:textFill>
        </w:rPr>
      </w:pPr>
      <w:r/>
      <w:bookmarkStart w:id="14" w:name="_Toc534273796"/>
      <w:r/>
      <w:bookmarkStart w:id="15" w:name="_Toc32393"/>
      <w:r>
        <w:rPr>
          <w:rFonts w:hint="eastAsia" w:ascii="宋体" w:hAnsi="宋体" w:eastAsia="宋体" w:cs="宋体"/>
          <w:b/>
          <w:bCs/>
          <w:color w:val="000000" w:themeColor="text1"/>
          <w:sz w:val="28"/>
          <w:szCs w:val="28"/>
          <w14:textFill>
            <w14:solidFill>
              <w14:schemeClr w14:val="tx1"/>
            </w14:solidFill>
          </w14:textFill>
        </w:rPr>
        <w:t xml:space="preserve">第一节 项目概况</w:t>
      </w:r>
      <w:r/>
    </w:p>
    <w:p>
      <w:pPr>
        <w:ind w:firstLine="480"/>
        <w:spacing w:line="360" w:lineRule="auto"/>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为进一步提升东山站水文监测设施自动化测报水平，夯实站点科研基础，打造全省可复制推广的现代化水文示范站点，江苏省水文水资源勘测局南京分局依托现有站点设施，融合物联网、智能感知技术，构建一体化水文综合监测体系，实现水文测报全天候、全要素、全量程、全自动智能化运行，为区域防汛减灾、经济社会发展提供精准水文支撑，拟实施东山站监测能力提升项目。</w:t>
      </w:r>
      <w:r>
        <w:rPr>
          <w:rFonts w:hint="eastAsia" w:ascii="宋体" w:hAnsi="宋体"/>
          <w:color w:val="000000" w:themeColor="text1"/>
          <w:sz w:val="24"/>
          <w:szCs w:val="24"/>
          <w14:textFill>
            <w14:solidFill>
              <w14:schemeClr w14:val="tx1"/>
            </w14:solidFill>
          </w14:textFill>
        </w:rPr>
        <w:t xml:space="preserve">项目主要建设内容如下：</w:t>
      </w:r>
      <w:r/>
    </w:p>
    <w:p>
      <w:pPr>
        <w:ind w:firstLine="482"/>
        <w:spacing w:line="360" w:lineRule="auto"/>
        <w:rPr>
          <w:rFonts w:ascii="宋体" w:hAns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 xml:space="preserve">（1）</w:t>
      </w:r>
      <w:r>
        <w:rPr>
          <w:rFonts w:ascii="宋体" w:hAnsi="宋体"/>
          <w:b/>
          <w:bCs/>
          <w:color w:val="000000" w:themeColor="text1"/>
          <w:sz w:val="24"/>
          <w:szCs w:val="24"/>
          <w14:textFill>
            <w14:solidFill>
              <w14:schemeClr w14:val="tx1"/>
            </w14:solidFill>
          </w14:textFill>
        </w:rPr>
        <w:t xml:space="preserve">升级建设水文气象观测设备</w:t>
      </w:r>
      <w:r/>
    </w:p>
    <w:p>
      <w:pPr>
        <w:ind w:firstLine="480"/>
        <w:spacing w:line="360" w:lineRule="auto"/>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配置标准气象五参数站、水面蒸发自动监测系统等核心设备，并同步完善配套的供电与通讯基础设施。同时做好所有采集数据的传输集成工作，合理配置RTU、太阳能板、蓄电池设备。</w:t>
      </w:r>
      <w:r/>
    </w:p>
    <w:p>
      <w:pPr>
        <w:ind w:firstLine="482"/>
        <w:spacing w:line="360" w:lineRule="auto"/>
        <w:rPr>
          <w:rFonts w:ascii="宋体" w:hAnsi="宋体"/>
          <w:b/>
          <w:bCs/>
          <w:color w:val="000000" w:themeColor="text1"/>
          <w:sz w:val="24"/>
          <w:szCs w:val="24"/>
          <w14:textFill>
            <w14:solidFill>
              <w14:schemeClr w14:val="tx1"/>
            </w14:solidFill>
          </w14:textFill>
        </w:rPr>
      </w:pPr>
      <w:r/>
      <w:bookmarkStart w:id="16" w:name="OLE_LINK1"/>
      <w:r>
        <w:rPr>
          <w:rFonts w:hint="eastAsia" w:ascii="宋体" w:hAnsi="宋体"/>
          <w:b/>
          <w:bCs/>
          <w:color w:val="000000" w:themeColor="text1"/>
          <w:sz w:val="24"/>
          <w:szCs w:val="24"/>
          <w14:textFill>
            <w14:solidFill>
              <w14:schemeClr w14:val="tx1"/>
            </w14:solidFill>
          </w14:textFill>
        </w:rPr>
        <w:t xml:space="preserve">（2）</w:t>
      </w:r>
      <w:r>
        <w:rPr>
          <w:rFonts w:ascii="宋体" w:hAnsi="宋体"/>
          <w:b/>
          <w:bCs/>
          <w:color w:val="000000" w:themeColor="text1"/>
          <w:sz w:val="24"/>
          <w:szCs w:val="24"/>
          <w14:textFill>
            <w14:solidFill>
              <w14:schemeClr w14:val="tx1"/>
            </w14:solidFill>
          </w14:textFill>
        </w:rPr>
        <w:t xml:space="preserve">新建AR</w:t>
      </w:r>
      <w:r>
        <w:rPr>
          <w:rFonts w:hint="eastAsia" w:ascii="宋体" w:hAnsi="宋体"/>
          <w:b/>
          <w:bCs/>
          <w:color w:val="000000" w:themeColor="text1"/>
          <w:sz w:val="24"/>
          <w:szCs w:val="24"/>
          <w14:textFill>
            <w14:solidFill>
              <w14:schemeClr w14:val="tx1"/>
            </w14:solidFill>
          </w14:textFill>
        </w:rPr>
        <w:t xml:space="preserve">全</w:t>
      </w:r>
      <w:r>
        <w:rPr>
          <w:rFonts w:ascii="宋体" w:hAnsi="宋体"/>
          <w:b/>
          <w:bCs/>
          <w:color w:val="000000" w:themeColor="text1"/>
          <w:sz w:val="24"/>
          <w:szCs w:val="24"/>
          <w14:textFill>
            <w14:solidFill>
              <w14:schemeClr w14:val="tx1"/>
            </w14:solidFill>
          </w14:textFill>
        </w:rPr>
        <w:t xml:space="preserve">景</w:t>
      </w:r>
      <w:r>
        <w:rPr>
          <w:rFonts w:hint="eastAsia" w:ascii="宋体" w:hAnsi="宋体"/>
          <w:b/>
          <w:bCs/>
          <w:color w:val="000000" w:themeColor="text1"/>
          <w:sz w:val="24"/>
          <w:szCs w:val="24"/>
          <w14:textFill>
            <w14:solidFill>
              <w14:schemeClr w14:val="tx1"/>
            </w14:solidFill>
          </w14:textFill>
        </w:rPr>
        <w:t xml:space="preserve">展示</w:t>
      </w:r>
      <w:r>
        <w:rPr>
          <w:rFonts w:ascii="宋体" w:hAnsi="宋体"/>
          <w:b/>
          <w:bCs/>
          <w:color w:val="000000" w:themeColor="text1"/>
          <w:sz w:val="24"/>
          <w:szCs w:val="24"/>
          <w14:textFill>
            <w14:solidFill>
              <w14:schemeClr w14:val="tx1"/>
            </w14:solidFill>
          </w14:textFill>
        </w:rPr>
        <w:t xml:space="preserve">系统</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前端感知网络建设：东山站水位自记井平台外侧安装1套1600万像素AR全景球机，1套河道视频流速监测仪；院内布设2套600万像素警戒全景枪球机、1台500万定焦警戒一体机；上游前垾村水文站同步布设1套1600万像素AR全景球机及</w:t>
      </w:r>
      <w:r>
        <w:rPr>
          <w:rFonts w:ascii="宋体" w:hAnsi="宋体"/>
          <w:color w:val="000000" w:themeColor="text1"/>
          <w:sz w:val="24"/>
          <w:szCs w:val="24"/>
          <w14:textFill>
            <w14:solidFill>
              <w14:schemeClr w14:val="tx1"/>
            </w14:solidFill>
          </w14:textFill>
        </w:rPr>
        <w:t xml:space="preserve">1套600万像素警戒全景枪球机</w:t>
      </w:r>
      <w:r>
        <w:rPr>
          <w:rFonts w:hint="eastAsia" w:ascii="宋体" w:hAnsi="宋体"/>
          <w:color w:val="000000" w:themeColor="text1"/>
          <w:sz w:val="24"/>
          <w:szCs w:val="24"/>
          <w14:textFill>
            <w14:solidFill>
              <w14:schemeClr w14:val="tx1"/>
            </w14:solidFill>
          </w14:textFill>
        </w:rPr>
        <w:t xml:space="preserve">。两处站点视频流统一接入东山站AR实景管控平台，实现上下游水域全域可视化管控与互联互通。</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系统融合与智能应用：依托AR全景综合管理平台（AR智慧管理一体机、AR模型），利用AI图像识别与空间坐标匹配技术，将实时水位、流量等水文数据与实景画面深度融合叠加；实现对河道水尺、涉水障碍物、设施破损点位的自动定位与动态追踪，真实反映现场水情态势。</w:t>
      </w:r>
      <w:bookmarkEnd w:id="16"/>
      <w:r/>
      <w:r/>
    </w:p>
    <w:p>
      <w:pPr>
        <w:ind w:firstLine="482"/>
        <w:spacing w:line="360" w:lineRule="auto"/>
        <w:rPr>
          <w:rFonts w:ascii="宋体" w:hAns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 xml:space="preserve">（3）</w:t>
      </w:r>
      <w:r>
        <w:rPr>
          <w:rFonts w:ascii="宋体" w:hAnsi="宋体"/>
          <w:b/>
          <w:bCs/>
          <w:color w:val="000000" w:themeColor="text1"/>
          <w:sz w:val="24"/>
          <w:szCs w:val="24"/>
          <w14:textFill>
            <w14:solidFill>
              <w14:schemeClr w14:val="tx1"/>
            </w14:solidFill>
          </w14:textFill>
        </w:rPr>
        <w:t xml:space="preserve">展示系统</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作为</w:t>
      </w:r>
      <w:r>
        <w:rPr>
          <w:rFonts w:ascii="宋体" w:hAnsi="宋体"/>
          <w:color w:val="000000" w:themeColor="text1"/>
          <w:sz w:val="24"/>
          <w:szCs w:val="24"/>
          <w14:textFill>
            <w14:solidFill>
              <w14:schemeClr w14:val="tx1"/>
            </w14:solidFill>
          </w14:textFill>
        </w:rPr>
        <w:t xml:space="preserve">AR</w:t>
      </w:r>
      <w:r>
        <w:rPr>
          <w:rFonts w:hint="eastAsia" w:ascii="宋体" w:hAnsi="宋体"/>
          <w:color w:val="000000" w:themeColor="text1"/>
          <w:sz w:val="24"/>
          <w:szCs w:val="24"/>
          <w14:textFill>
            <w14:solidFill>
              <w14:schemeClr w14:val="tx1"/>
            </w14:solidFill>
          </w14:textFill>
        </w:rPr>
        <w:t xml:space="preserve">全</w:t>
      </w:r>
      <w:r>
        <w:rPr>
          <w:rFonts w:ascii="宋体" w:hAnsi="宋体"/>
          <w:color w:val="000000" w:themeColor="text1"/>
          <w:sz w:val="24"/>
          <w:szCs w:val="24"/>
          <w14:textFill>
            <w14:solidFill>
              <w14:schemeClr w14:val="tx1"/>
            </w14:solidFill>
          </w14:textFill>
        </w:rPr>
        <w:t xml:space="preserve">景</w:t>
      </w:r>
      <w:r>
        <w:rPr>
          <w:rFonts w:hint="eastAsia" w:ascii="宋体" w:hAnsi="宋体"/>
          <w:color w:val="000000" w:themeColor="text1"/>
          <w:sz w:val="24"/>
          <w:szCs w:val="24"/>
          <w14:textFill>
            <w14:solidFill>
              <w14:schemeClr w14:val="tx1"/>
            </w14:solidFill>
          </w14:textFill>
        </w:rPr>
        <w:t xml:space="preserve">展示</w:t>
      </w:r>
      <w:r>
        <w:rPr>
          <w:rFonts w:ascii="宋体" w:hAnsi="宋体"/>
          <w:color w:val="000000" w:themeColor="text1"/>
          <w:sz w:val="24"/>
          <w:szCs w:val="24"/>
          <w14:textFill>
            <w14:solidFill>
              <w14:schemeClr w14:val="tx1"/>
            </w14:solidFill>
          </w14:textFill>
        </w:rPr>
        <w:t xml:space="preserve">系统</w:t>
      </w:r>
      <w:r>
        <w:rPr>
          <w:rFonts w:hint="eastAsia" w:ascii="宋体" w:hAnsi="宋体"/>
          <w:color w:val="000000" w:themeColor="text1"/>
          <w:sz w:val="24"/>
          <w:szCs w:val="24"/>
          <w14:textFill>
            <w14:solidFill>
              <w14:schemeClr w14:val="tx1"/>
            </w14:solidFill>
          </w14:textFill>
        </w:rPr>
        <w:t xml:space="preserve">的可视化展示载体，本项目将在AR管控中心建设三屏展示系统，并于南墙安装灯箱，用于呈现秦淮河流域水系及重要站点分布。</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拟配备1台163寸（购置）+2台90寸电视（利旧），北墙正面居中配置1台163寸一体化显示终端（主屏）；西侧墙面按从南到北顺序，配置2台90寸触屏电视机（利旧）。</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主屏用于展示AR全景智慧水文站监测系统及各智能信息系统演示，通过网络接入AR全景管控平台，可满足指挥调度、会商研判、实况监看等多场景高清显示需求，同时支持接入视频会议系统，实现远程线上会商功能。</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侧屏可分别展示秦淮河流域预报系统、水文实时数据、智慧水文站测验信息、应急监测设备管理信息、水文数据报表等不同内容。</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为确保视频流传输保障，拟将东山、前垾村网络带宽提升至300M。</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新购2个微缩模型显示柜，用于展示水文新仪器新设备。</w:t>
      </w:r>
      <w:r/>
    </w:p>
    <w:p>
      <w:pPr>
        <w:ind w:firstLine="482"/>
        <w:spacing w:line="360" w:lineRule="auto"/>
        <w:rPr>
          <w:rFonts w:ascii="宋体" w:hAns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 xml:space="preserve">（4）</w:t>
      </w:r>
      <w:r>
        <w:rPr>
          <w:rFonts w:ascii="宋体" w:hAnsi="宋体"/>
          <w:b/>
          <w:bCs/>
          <w:color w:val="000000" w:themeColor="text1"/>
          <w:sz w:val="24"/>
          <w:szCs w:val="24"/>
          <w14:textFill>
            <w14:solidFill>
              <w14:schemeClr w14:val="tx1"/>
            </w14:solidFill>
          </w14:textFill>
        </w:rPr>
        <w:t xml:space="preserve">新增智能机器人引导讲解系统</w:t>
      </w:r>
      <w:r/>
    </w:p>
    <w:p>
      <w:pPr>
        <w:ind w:firstLine="480"/>
        <w:spacing w:line="360" w:lineRule="auto"/>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本项目拟采购1套AI智能科普讲解机器人，同步完成场地点位布设、软硬件对接调试及配套设施建设，构建全天候、自动化、智能化的水文科普引导讲解服务体系，全面提升场馆科普展示与访客智能化接待服务能力。</w:t>
      </w:r>
      <w:r/>
    </w:p>
    <w:p>
      <w:pPr>
        <w:ind w:firstLine="480"/>
        <w:spacing w:line="360" w:lineRule="auto"/>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项目配套建设机器人专用充电基站及室内信号增强装置，保障设备全天候稳定运行。系统支持后台灵活调整讲解文案、定制优化参观路线，可完成对话智能体迭代、肢体表达训练、专属数据库部署等专项优化工作，持续提升服务专业性与智能化水平，实现全天候自主运行的水文科普及访客接待服务。</w:t>
      </w:r>
      <w:r/>
    </w:p>
    <w:p>
      <w:pPr>
        <w:ind w:firstLine="482"/>
        <w:spacing w:line="360" w:lineRule="auto"/>
        <w:rPr>
          <w:rFonts w:ascii="宋体" w:hAns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 xml:space="preserve">（5）应急库房智能化升级</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优化室内功能分区，对库房地面进行防潮防渗处理，合理布设货架与温湿度监控装置。加装RFID智能仓储管理系统，包括壁挂一体机1台，RFID柔性抗金属标签50个，RFID超高频重复使用扎带50个，桌面发卡器1个，实现应急监测设备的数字化分类存储与规范管控。</w:t>
      </w:r>
      <w:r/>
    </w:p>
    <w:p>
      <w:pPr>
        <w:ind w:firstLine="482"/>
        <w:spacing w:line="360" w:lineRule="auto"/>
        <w:rPr>
          <w:rFonts w:ascii="宋体" w:hAns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 xml:space="preserve">（6）东山站基础设施改造</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站区环境与观测场整治：实施原有铺装拆除，并进行场内土方平整（含铺设草皮）；翻新参观步道及道路广场。实施观测场改造1项，含设备基础垫层、地下基础墩、地上凸台及预埋螺栓、穿线管，并铺设灰色透水砖作为水文观测道路。新建入口标识灯牌及logo标牌。</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办公区线路标准化改造：全面梳理生产办公区域的强弱电及监控管线，采用标准化布线工艺优化布局，做好线路屏蔽与防护，彻底消除用电及通讯安全隐患。</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水位观测实施维修出新：防腐木构筑物综合出新，定制水文尺等。</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具体建设内容详见“项目清单”。</w:t>
      </w:r>
      <w:r/>
    </w:p>
    <w:p>
      <w:pPr>
        <w:ind w:firstLine="480"/>
        <w:spacing w:line="360" w:lineRule="auto"/>
        <w:rPr>
          <w:b/>
          <w:bCs/>
          <w:color w:val="000000" w:themeColor="text1"/>
          <w:sz w:val="28"/>
          <w:szCs w:val="28"/>
          <w14:textFill>
            <w14:solidFill>
              <w14:schemeClr w14:val="tx1"/>
            </w14:solidFill>
          </w14:textFill>
        </w:rPr>
      </w:pPr>
      <w:r>
        <w:rPr>
          <w:rFonts w:hint="eastAsia" w:ascii="宋体" w:hAnsi="宋体"/>
          <w:color w:val="000000" w:themeColor="text1"/>
          <w:sz w:val="24"/>
          <w:szCs w:val="24"/>
          <w14:textFill>
            <w14:solidFill>
              <w14:schemeClr w14:val="tx1"/>
            </w14:solidFill>
          </w14:textFill>
        </w:rPr>
        <w:br w:type="page" w:clear="all"/>
      </w:r>
      <w:r>
        <w:rPr>
          <w:rFonts w:hint="eastAsia" w:ascii="宋体" w:hAnsi="宋体" w:cs="宋体"/>
          <w:b/>
          <w:bCs/>
          <w:color w:val="000000" w:themeColor="text1"/>
          <w:sz w:val="28"/>
          <w:szCs w:val="28"/>
          <w14:textFill>
            <w14:solidFill>
              <w14:schemeClr w14:val="tx1"/>
            </w14:solidFill>
          </w14:textFill>
        </w:rPr>
        <w:t xml:space="preserve">第二节 </w:t>
      </w:r>
      <w:r>
        <w:rPr>
          <w:rFonts w:hint="eastAsia" w:ascii="Segoe UI Symbol" w:hAnsi="Segoe UI Symbol" w:cs="Segoe UI Symbol"/>
          <w:b/>
          <w:bCs/>
          <w:color w:val="000000" w:themeColor="text1"/>
          <w:sz w:val="28"/>
          <w:szCs w:val="28"/>
          <w14:textFill>
            <w14:solidFill>
              <w14:schemeClr w14:val="tx1"/>
            </w14:solidFill>
          </w14:textFill>
        </w:rPr>
        <w:t xml:space="preserve"> 项目</w:t>
      </w:r>
      <w:r>
        <w:rPr>
          <w:rFonts w:hint="eastAsia" w:ascii="宋体" w:hAnsi="宋体" w:cs="宋体"/>
          <w:b/>
          <w:bCs/>
          <w:color w:val="000000" w:themeColor="text1"/>
          <w:sz w:val="28"/>
          <w:szCs w:val="28"/>
          <w14:textFill>
            <w14:solidFill>
              <w14:schemeClr w14:val="tx1"/>
            </w14:solidFill>
          </w14:textFill>
        </w:rPr>
        <w:t xml:space="preserve">清单</w:t>
      </w:r>
      <w:r/>
    </w:p>
    <w:p>
      <w:pPr>
        <w:pStyle w:val="668"/>
        <w:rPr>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w:t>
      </w:r>
      <w:r>
        <w:rPr>
          <w:rFonts w:hint="eastAsia"/>
          <w:b/>
          <w:bCs/>
          <w:color w:val="000000" w:themeColor="text1"/>
          <w:sz w:val="24"/>
          <w:szCs w:val="24"/>
          <w14:textFill>
            <w14:solidFill>
              <w14:schemeClr w14:val="tx1"/>
            </w14:solidFill>
          </w14:textFill>
        </w:rPr>
        <w:t xml:space="preserve">1</w:t>
      </w:r>
      <w:r>
        <w:rPr>
          <w:rFonts w:hint="eastAsia" w:ascii="宋体" w:hAnsi="宋体" w:eastAsia="宋体" w:cs="宋体"/>
          <w:b/>
          <w:bCs/>
          <w:color w:val="000000" w:themeColor="text1"/>
          <w:sz w:val="24"/>
          <w:szCs w:val="24"/>
          <w14:textFill>
            <w14:solidFill>
              <w14:schemeClr w14:val="tx1"/>
            </w14:solidFill>
          </w14:textFill>
        </w:rPr>
        <w:t xml:space="preserve">）设备部分</w:t>
      </w:r>
      <w:r/>
    </w:p>
    <w:tbl>
      <w:tblPr>
        <w:tblStyle w:val="67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33"/>
        <w:gridCol w:w="2777"/>
        <w:gridCol w:w="567"/>
        <w:gridCol w:w="598"/>
        <w:gridCol w:w="4613"/>
      </w:tblGrid>
      <w:tr>
        <w:trPr>
          <w:jc w:val="center"/>
        </w:trPr>
        <w:tc>
          <w:tcPr>
            <w:tcW w:w="733" w:type="dxa"/>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序号</w:t>
            </w:r>
            <w:r/>
          </w:p>
        </w:tc>
        <w:tc>
          <w:tcPr>
            <w:tcW w:w="2777" w:type="dxa"/>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项目名称</w:t>
            </w:r>
            <w:r/>
          </w:p>
        </w:tc>
        <w:tc>
          <w:tcPr>
            <w:tcW w:w="567" w:type="dxa"/>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单位</w:t>
            </w:r>
            <w:r/>
          </w:p>
        </w:tc>
        <w:tc>
          <w:tcPr>
            <w:tcW w:w="598" w:type="dxa"/>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数量</w:t>
            </w:r>
            <w:r/>
          </w:p>
        </w:tc>
        <w:tc>
          <w:tcPr>
            <w:tcW w:w="4613" w:type="dxa"/>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备注</w:t>
            </w:r>
            <w:r/>
          </w:p>
        </w:tc>
      </w:tr>
      <w:tr>
        <w:trPr>
          <w:jc w:val="center"/>
        </w:trPr>
        <w:tc>
          <w:tcPr>
            <w:tcW w:w="733" w:type="dxa"/>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1</w:t>
            </w:r>
            <w:r/>
          </w:p>
        </w:tc>
        <w:tc>
          <w:tcPr>
            <w:tcW w:w="2777" w:type="dxa"/>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标准气象观测设备</w:t>
            </w:r>
            <w:r/>
          </w:p>
        </w:tc>
        <w:tc>
          <w:tcPr>
            <w:tcW w:w="567" w:type="dxa"/>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套</w:t>
            </w:r>
            <w:r/>
          </w:p>
        </w:tc>
        <w:tc>
          <w:tcPr>
            <w:tcW w:w="598" w:type="dxa"/>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1</w:t>
            </w:r>
            <w:r/>
          </w:p>
        </w:tc>
        <w:tc>
          <w:tcPr>
            <w:tcW w:w="4613" w:type="dxa"/>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风速、风向、温湿度、气压五参数传感器、2.5米立杆、支架</w:t>
            </w:r>
            <w:r/>
          </w:p>
        </w:tc>
      </w:tr>
      <w:tr>
        <w:trPr>
          <w:jc w:val="center"/>
        </w:trPr>
        <w:tc>
          <w:tcPr>
            <w:tcW w:w="733" w:type="dxa"/>
            <w:vAlign w:val="center"/>
            <w:textDirection w:val="lrTb"/>
            <w:noWrap/>
          </w:tcPr>
          <w:p>
            <w:pPr>
              <w:jc w:val="center"/>
              <w:widowControl/>
              <w:rPr>
                <w:rFonts w:ascii="宋体" w:hAnsi="宋体" w:cs="宋体"/>
                <w:b/>
                <w:bCs/>
                <w:color w:val="000000" w:themeColor="text1"/>
                <w:szCs w:val="21"/>
                <w14:textFill>
                  <w14:solidFill>
                    <w14:schemeClr w14:val="tx1"/>
                  </w14:solidFill>
                </w14:textFill>
              </w:rPr>
            </w:pPr>
            <w:r>
              <w:rPr>
                <w:rFonts w:ascii="宋体" w:hAnsi="宋体" w:cs="宋体"/>
                <w:b/>
                <w:bCs/>
                <w:color w:val="000000" w:themeColor="text1"/>
                <w:szCs w:val="21"/>
                <w14:textFill>
                  <w14:solidFill>
                    <w14:schemeClr w14:val="tx1"/>
                  </w14:solidFill>
                </w14:textFill>
              </w:rPr>
              <w:t xml:space="preserve">2</w:t>
            </w:r>
            <w:r/>
          </w:p>
        </w:tc>
        <w:tc>
          <w:tcPr>
            <w:tcW w:w="2777" w:type="dxa"/>
            <w:vAlign w:val="center"/>
            <w:textDirection w:val="lrTb"/>
            <w:noWrap/>
          </w:tcPr>
          <w:p>
            <w:pPr>
              <w:jc w:val="center"/>
              <w:widowControl/>
              <w:rPr>
                <w:rFonts w:ascii="宋体" w:hAnsi="宋体" w:cs="宋体"/>
                <w:b/>
                <w:bCs/>
                <w:color w:val="000000" w:themeColor="text1"/>
                <w:szCs w:val="21"/>
                <w14:textFill>
                  <w14:solidFill>
                    <w14:schemeClr w14:val="tx1"/>
                  </w14:solidFill>
                </w14:textFill>
              </w:rPr>
            </w:pPr>
            <w:r>
              <w:rPr>
                <w:rFonts w:ascii="宋体" w:hAnsi="宋体" w:cs="宋体"/>
                <w:b/>
                <w:bCs/>
                <w:color w:val="000000" w:themeColor="text1"/>
                <w:szCs w:val="21"/>
                <w14:textFill>
                  <w14:solidFill>
                    <w14:schemeClr w14:val="tx1"/>
                  </w14:solidFill>
                </w14:textFill>
              </w:rPr>
              <w:t xml:space="preserve">水面蒸发自动监测系统</w:t>
            </w:r>
            <w:r/>
          </w:p>
        </w:tc>
        <w:tc>
          <w:tcPr>
            <w:tcW w:w="567" w:type="dxa"/>
            <w:vAlign w:val="center"/>
            <w:textDirection w:val="lrTb"/>
            <w:noWrap/>
          </w:tcPr>
          <w:p>
            <w:pPr>
              <w:jc w:val="left"/>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　</w:t>
            </w:r>
            <w:r/>
          </w:p>
        </w:tc>
        <w:tc>
          <w:tcPr>
            <w:tcW w:w="598" w:type="dxa"/>
            <w:vAlign w:val="center"/>
            <w:textDirection w:val="lrTb"/>
            <w:noWrap/>
          </w:tcPr>
          <w:p>
            <w:pPr>
              <w:jc w:val="left"/>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　</w:t>
            </w:r>
            <w:r/>
          </w:p>
        </w:tc>
        <w:tc>
          <w:tcPr>
            <w:tcW w:w="4613" w:type="dxa"/>
            <w:vAlign w:val="center"/>
            <w:textDirection w:val="lrTb"/>
            <w:noWrap/>
          </w:tcPr>
          <w:p>
            <w:pPr>
              <w:jc w:val="left"/>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　</w:t>
            </w:r>
            <w:r/>
          </w:p>
        </w:tc>
      </w:tr>
      <w:tr>
        <w:trPr>
          <w:jc w:val="center"/>
        </w:trPr>
        <w:tc>
          <w:tcPr>
            <w:tcW w:w="733" w:type="dxa"/>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2.1</w:t>
            </w:r>
            <w:r/>
          </w:p>
        </w:tc>
        <w:tc>
          <w:tcPr>
            <w:tcW w:w="2777" w:type="dxa"/>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全过程高精度水面蒸发自动观测系统</w:t>
            </w:r>
            <w:r/>
          </w:p>
        </w:tc>
        <w:tc>
          <w:tcPr>
            <w:tcW w:w="567" w:type="dxa"/>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套</w:t>
            </w:r>
            <w:r/>
          </w:p>
        </w:tc>
        <w:tc>
          <w:tcPr>
            <w:tcW w:w="598" w:type="dxa"/>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1</w:t>
            </w:r>
            <w:r/>
          </w:p>
        </w:tc>
        <w:tc>
          <w:tcPr>
            <w:tcW w:w="4613" w:type="dxa"/>
            <w:vAlign w:val="center"/>
            <w:textDirection w:val="lrTb"/>
            <w:noWrap w:val="false"/>
          </w:tcPr>
          <w:p>
            <w:pPr>
              <w:jc w:val="left"/>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含E601B蒸发皿、大口径雨量计、高精度液位计、补水箱、水泵箱、测量桶、供水管路、排水管路、控制系统、太阳能板、蓄电池、通讯传输模块、机箱</w:t>
            </w:r>
            <w:r/>
          </w:p>
        </w:tc>
      </w:tr>
      <w:tr>
        <w:trPr>
          <w:jc w:val="center"/>
        </w:trPr>
        <w:tc>
          <w:tcPr>
            <w:tcW w:w="733" w:type="dxa"/>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2.2</w:t>
            </w:r>
            <w:r/>
          </w:p>
        </w:tc>
        <w:tc>
          <w:tcPr>
            <w:tcW w:w="2777" w:type="dxa"/>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称重式雨雪量计</w:t>
            </w:r>
            <w:r/>
          </w:p>
        </w:tc>
        <w:tc>
          <w:tcPr>
            <w:tcW w:w="567" w:type="dxa"/>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套</w:t>
            </w:r>
            <w:r/>
          </w:p>
        </w:tc>
        <w:tc>
          <w:tcPr>
            <w:tcW w:w="598" w:type="dxa"/>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1</w:t>
            </w:r>
            <w:r/>
          </w:p>
        </w:tc>
        <w:tc>
          <w:tcPr>
            <w:tcW w:w="4613" w:type="dxa"/>
            <w:vAlign w:val="center"/>
            <w:textDirection w:val="lrTb"/>
            <w:noWrap/>
          </w:tcPr>
          <w:p>
            <w:pPr>
              <w:jc w:val="left"/>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　</w:t>
            </w:r>
            <w:r/>
          </w:p>
        </w:tc>
      </w:tr>
      <w:tr>
        <w:trPr>
          <w:jc w:val="center"/>
        </w:trPr>
        <w:tc>
          <w:tcPr>
            <w:tcW w:w="733" w:type="dxa"/>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2.3</w:t>
            </w:r>
            <w:r/>
          </w:p>
        </w:tc>
        <w:tc>
          <w:tcPr>
            <w:tcW w:w="2777" w:type="dxa"/>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时域法墒情监测设备</w:t>
            </w:r>
            <w:r/>
          </w:p>
        </w:tc>
        <w:tc>
          <w:tcPr>
            <w:tcW w:w="567" w:type="dxa"/>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套</w:t>
            </w:r>
            <w:r/>
          </w:p>
        </w:tc>
        <w:tc>
          <w:tcPr>
            <w:tcW w:w="598" w:type="dxa"/>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1</w:t>
            </w:r>
            <w:r/>
          </w:p>
        </w:tc>
        <w:tc>
          <w:tcPr>
            <w:tcW w:w="4613" w:type="dxa"/>
            <w:vAlign w:val="center"/>
            <w:textDirection w:val="lrTb"/>
            <w:noWrap/>
          </w:tcPr>
          <w:p>
            <w:pPr>
              <w:jc w:val="left"/>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　</w:t>
            </w:r>
            <w:r/>
          </w:p>
        </w:tc>
      </w:tr>
      <w:tr>
        <w:trPr>
          <w:jc w:val="center"/>
        </w:trPr>
        <w:tc>
          <w:tcPr>
            <w:tcW w:w="733" w:type="dxa"/>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2.4</w:t>
            </w:r>
            <w:r/>
          </w:p>
        </w:tc>
        <w:tc>
          <w:tcPr>
            <w:tcW w:w="2777" w:type="dxa"/>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频域法墒情监测设备</w:t>
            </w:r>
            <w:r/>
          </w:p>
        </w:tc>
        <w:tc>
          <w:tcPr>
            <w:tcW w:w="567" w:type="dxa"/>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套</w:t>
            </w:r>
            <w:r/>
          </w:p>
        </w:tc>
        <w:tc>
          <w:tcPr>
            <w:tcW w:w="598" w:type="dxa"/>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1</w:t>
            </w:r>
            <w:r/>
          </w:p>
        </w:tc>
        <w:tc>
          <w:tcPr>
            <w:tcW w:w="4613" w:type="dxa"/>
            <w:vAlign w:val="center"/>
            <w:textDirection w:val="lrTb"/>
            <w:noWrap/>
          </w:tcPr>
          <w:p>
            <w:pPr>
              <w:jc w:val="left"/>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　</w:t>
            </w:r>
            <w:r/>
          </w:p>
        </w:tc>
      </w:tr>
      <w:tr>
        <w:trPr>
          <w:jc w:val="center"/>
        </w:trPr>
        <w:tc>
          <w:tcPr>
            <w:tcW w:w="733" w:type="dxa"/>
            <w:vAlign w:val="center"/>
            <w:textDirection w:val="lrTb"/>
            <w:noWrap/>
          </w:tcPr>
          <w:p>
            <w:pPr>
              <w:jc w:val="center"/>
              <w:widowControl/>
              <w:rPr>
                <w:rFonts w:ascii="宋体" w:hAnsi="宋体" w:cs="宋体"/>
                <w:b/>
                <w:bCs/>
                <w:color w:val="000000" w:themeColor="text1"/>
                <w:szCs w:val="21"/>
                <w14:textFill>
                  <w14:solidFill>
                    <w14:schemeClr w14:val="tx1"/>
                  </w14:solidFill>
                </w14:textFill>
              </w:rPr>
            </w:pPr>
            <w:r/>
            <w:bookmarkStart w:id="17" w:name="_Hlk238481257"/>
            <w:r>
              <w:rPr>
                <w:rFonts w:ascii="宋体" w:hAnsi="宋体" w:cs="宋体"/>
                <w:b/>
                <w:bCs/>
                <w:color w:val="000000" w:themeColor="text1"/>
                <w:szCs w:val="21"/>
                <w14:textFill>
                  <w14:solidFill>
                    <w14:schemeClr w14:val="tx1"/>
                  </w14:solidFill>
                </w14:textFill>
              </w:rPr>
              <w:t xml:space="preserve">3</w:t>
            </w:r>
            <w:r/>
          </w:p>
        </w:tc>
        <w:tc>
          <w:tcPr>
            <w:tcW w:w="2777" w:type="dxa"/>
            <w:vAlign w:val="center"/>
            <w:textDirection w:val="lrTb"/>
            <w:noWrap/>
          </w:tcPr>
          <w:p>
            <w:pPr>
              <w:jc w:val="center"/>
              <w:widowControl/>
              <w:rPr>
                <w:rFonts w:ascii="宋体" w:hAnsi="宋体" w:cs="宋体"/>
                <w:b/>
                <w:bCs/>
                <w:color w:val="000000" w:themeColor="text1"/>
                <w:szCs w:val="21"/>
                <w14:textFill>
                  <w14:solidFill>
                    <w14:schemeClr w14:val="tx1"/>
                  </w14:solidFill>
                </w14:textFill>
              </w:rPr>
            </w:pPr>
            <w:r>
              <w:rPr>
                <w:rFonts w:ascii="宋体" w:hAnsi="宋体" w:cs="宋体"/>
                <w:b/>
                <w:bCs/>
                <w:color w:val="000000" w:themeColor="text1"/>
                <w:szCs w:val="21"/>
                <w14:textFill>
                  <w14:solidFill>
                    <w14:schemeClr w14:val="tx1"/>
                  </w14:solidFill>
                </w14:textFill>
              </w:rPr>
              <w:t xml:space="preserve">AR全景展示系统</w:t>
            </w:r>
            <w:r/>
          </w:p>
        </w:tc>
        <w:tc>
          <w:tcPr>
            <w:tcW w:w="567" w:type="dxa"/>
            <w:vAlign w:val="center"/>
            <w:textDirection w:val="lrTb"/>
            <w:noWrap/>
          </w:tcPr>
          <w:p>
            <w:pPr>
              <w:jc w:val="left"/>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　</w:t>
            </w:r>
            <w:r/>
          </w:p>
        </w:tc>
        <w:tc>
          <w:tcPr>
            <w:tcW w:w="598" w:type="dxa"/>
            <w:vAlign w:val="center"/>
            <w:textDirection w:val="lrTb"/>
            <w:noWrap/>
          </w:tcPr>
          <w:p>
            <w:pPr>
              <w:jc w:val="left"/>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　</w:t>
            </w:r>
            <w:r/>
          </w:p>
        </w:tc>
        <w:tc>
          <w:tcPr>
            <w:tcW w:w="4613" w:type="dxa"/>
            <w:vAlign w:val="center"/>
            <w:textDirection w:val="lrTb"/>
            <w:noWrap/>
          </w:tcPr>
          <w:p>
            <w:pPr>
              <w:jc w:val="left"/>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　</w:t>
            </w:r>
            <w:r/>
          </w:p>
        </w:tc>
      </w:tr>
      <w:tr>
        <w:trPr>
          <w:jc w:val="center"/>
        </w:trPr>
        <w:tc>
          <w:tcPr>
            <w:tcW w:w="733" w:type="dxa"/>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3.1</w:t>
            </w:r>
            <w:r/>
          </w:p>
        </w:tc>
        <w:tc>
          <w:tcPr>
            <w:tcW w:w="2777" w:type="dxa"/>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河道流速监测仪</w:t>
            </w:r>
            <w:r/>
          </w:p>
        </w:tc>
        <w:tc>
          <w:tcPr>
            <w:tcW w:w="567" w:type="dxa"/>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套</w:t>
            </w:r>
            <w:r/>
          </w:p>
        </w:tc>
        <w:tc>
          <w:tcPr>
            <w:tcW w:w="598" w:type="dxa"/>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1</w:t>
            </w:r>
            <w:r/>
          </w:p>
        </w:tc>
        <w:tc>
          <w:tcPr>
            <w:tcW w:w="4613" w:type="dxa"/>
            <w:vAlign w:val="center"/>
            <w:textDirection w:val="lrTb"/>
            <w:noWrap w:val="false"/>
          </w:tcPr>
          <w:p>
            <w:pPr>
              <w:jc w:val="left"/>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视频河道流速监测仪：1套</w:t>
            </w:r>
            <w:r>
              <w:rPr>
                <w:rFonts w:hint="eastAsia" w:ascii="宋体" w:hAnsi="宋体" w:cs="宋体"/>
                <w:color w:val="000000" w:themeColor="text1"/>
                <w:szCs w:val="21"/>
                <w14:textFill>
                  <w14:solidFill>
                    <w14:schemeClr w14:val="tx1"/>
                  </w14:solidFill>
                </w14:textFill>
              </w:rPr>
              <w:t xml:space="preserve">（</w:t>
            </w:r>
            <w:r>
              <w:rPr>
                <w:rFonts w:ascii="宋体" w:hAnsi="宋体" w:cs="宋体"/>
                <w:color w:val="000000" w:themeColor="text1"/>
                <w:szCs w:val="21"/>
                <w14:textFill>
                  <w14:solidFill>
                    <w14:schemeClr w14:val="tx1"/>
                  </w14:solidFill>
                </w14:textFill>
              </w:rPr>
              <w:t xml:space="preserve">包含视频</w:t>
            </w:r>
            <w:r>
              <w:rPr>
                <w:rFonts w:hint="eastAsia" w:ascii="宋体" w:hAnsi="宋体" w:cs="宋体"/>
                <w:color w:val="000000" w:themeColor="text1"/>
                <w:szCs w:val="21"/>
                <w14:textFill>
                  <w14:solidFill>
                    <w14:schemeClr w14:val="tx1"/>
                  </w14:solidFill>
                </w14:textFill>
              </w:rPr>
              <w:t xml:space="preserve">流速</w:t>
            </w:r>
            <w:r>
              <w:rPr>
                <w:rFonts w:ascii="宋体" w:hAnsi="宋体" w:cs="宋体"/>
                <w:color w:val="000000" w:themeColor="text1"/>
                <w:szCs w:val="21"/>
                <w14:textFill>
                  <w14:solidFill>
                    <w14:schemeClr w14:val="tx1"/>
                  </w14:solidFill>
                </w14:textFill>
              </w:rPr>
              <w:t xml:space="preserve">监测仪</w:t>
            </w:r>
            <w:r>
              <w:rPr>
                <w:rFonts w:hint="eastAsia" w:ascii="宋体" w:hAnsi="宋体" w:cs="宋体"/>
                <w:color w:val="000000" w:themeColor="text1"/>
                <w:szCs w:val="21"/>
                <w14:textFill>
                  <w14:solidFill>
                    <w14:schemeClr w14:val="tx1"/>
                  </w14:solidFill>
                </w14:textFill>
              </w:rPr>
              <w:t xml:space="preserve">1个、</w:t>
            </w:r>
            <w:r>
              <w:rPr>
                <w:rFonts w:ascii="宋体" w:hAnsi="宋体" w:cs="宋体"/>
                <w:color w:val="000000" w:themeColor="text1"/>
                <w:szCs w:val="21"/>
                <w14:textFill>
                  <w14:solidFill>
                    <w14:schemeClr w14:val="tx1"/>
                  </w14:solidFill>
                </w14:textFill>
              </w:rPr>
              <w:t xml:space="preserve">视频</w:t>
            </w:r>
            <w:r>
              <w:rPr>
                <w:rFonts w:hint="eastAsia" w:ascii="宋体" w:hAnsi="宋体" w:cs="宋体"/>
                <w:color w:val="000000" w:themeColor="text1"/>
                <w:szCs w:val="21"/>
                <w14:textFill>
                  <w14:solidFill>
                    <w14:schemeClr w14:val="tx1"/>
                  </w14:solidFill>
                </w14:textFill>
              </w:rPr>
              <w:t xml:space="preserve">水位</w:t>
            </w:r>
            <w:r>
              <w:rPr>
                <w:rFonts w:ascii="宋体" w:hAnsi="宋体" w:cs="宋体"/>
                <w:color w:val="000000" w:themeColor="text1"/>
                <w:szCs w:val="21"/>
                <w14:textFill>
                  <w14:solidFill>
                    <w14:schemeClr w14:val="tx1"/>
                  </w14:solidFill>
                </w14:textFill>
              </w:rPr>
              <w:t xml:space="preserve">监测仪</w:t>
            </w:r>
            <w:r>
              <w:rPr>
                <w:rFonts w:hint="eastAsia" w:ascii="宋体" w:hAnsi="宋体" w:cs="宋体"/>
                <w:color w:val="000000" w:themeColor="text1"/>
                <w:szCs w:val="21"/>
                <w14:textFill>
                  <w14:solidFill>
                    <w14:schemeClr w14:val="tx1"/>
                  </w14:solidFill>
                </w14:textFill>
              </w:rPr>
              <w:t xml:space="preserve">1个）</w:t>
            </w:r>
            <w:r/>
          </w:p>
        </w:tc>
      </w:tr>
      <w:tr>
        <w:trPr>
          <w:jc w:val="center"/>
        </w:trPr>
        <w:tc>
          <w:tcPr>
            <w:tcW w:w="733" w:type="dxa"/>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3.2</w:t>
            </w:r>
            <w:r/>
          </w:p>
        </w:tc>
        <w:tc>
          <w:tcPr>
            <w:tcW w:w="2777" w:type="dxa"/>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600万25倍全光谱警戒全景枪球</w:t>
            </w:r>
            <w:r/>
          </w:p>
        </w:tc>
        <w:tc>
          <w:tcPr>
            <w:tcW w:w="567" w:type="dxa"/>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台</w:t>
            </w:r>
            <w:r/>
          </w:p>
        </w:tc>
        <w:tc>
          <w:tcPr>
            <w:tcW w:w="598" w:type="dxa"/>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3</w:t>
            </w:r>
            <w:r/>
          </w:p>
        </w:tc>
        <w:tc>
          <w:tcPr>
            <w:tcW w:w="4613" w:type="dxa"/>
            <w:vAlign w:val="center"/>
            <w:textDirection w:val="lrTb"/>
            <w:noWrap w:val="false"/>
          </w:tcPr>
          <w:p>
            <w:pPr>
              <w:jc w:val="left"/>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低空，东山站院子2台，前垾村1台，含5m立杆支架及其基础、存储卡，含六类屏蔽阻水网线</w:t>
            </w:r>
            <w:r/>
          </w:p>
        </w:tc>
      </w:tr>
      <w:tr>
        <w:trPr>
          <w:jc w:val="center"/>
          <w:trHeight w:val="557"/>
        </w:trPr>
        <w:tc>
          <w:tcPr>
            <w:tcW w:w="733" w:type="dxa"/>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3.3</w:t>
            </w:r>
            <w:r/>
          </w:p>
        </w:tc>
        <w:tc>
          <w:tcPr>
            <w:tcW w:w="2777" w:type="dxa"/>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500万定焦警戒一体机</w:t>
            </w:r>
            <w:r/>
          </w:p>
        </w:tc>
        <w:tc>
          <w:tcPr>
            <w:tcW w:w="567" w:type="dxa"/>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台</w:t>
            </w:r>
            <w:r/>
          </w:p>
        </w:tc>
        <w:tc>
          <w:tcPr>
            <w:tcW w:w="598" w:type="dxa"/>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1</w:t>
            </w:r>
            <w:r/>
          </w:p>
        </w:tc>
        <w:tc>
          <w:tcPr>
            <w:tcW w:w="4613" w:type="dxa"/>
            <w:vAlign w:val="center"/>
            <w:textDirection w:val="lrTb"/>
            <w:noWrap w:val="false"/>
          </w:tcPr>
          <w:p>
            <w:pPr>
              <w:jc w:val="lef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东山</w:t>
            </w:r>
            <w:r>
              <w:rPr>
                <w:rFonts w:ascii="宋体" w:hAnsi="宋体" w:cs="宋体"/>
                <w:color w:val="000000" w:themeColor="text1"/>
                <w:szCs w:val="21"/>
                <w14:textFill>
                  <w14:solidFill>
                    <w14:schemeClr w14:val="tx1"/>
                  </w14:solidFill>
                </w14:textFill>
              </w:rPr>
              <w:t xml:space="preserve">院子1台，</w:t>
            </w:r>
            <w:r>
              <w:rPr>
                <w:rFonts w:hint="eastAsia" w:ascii="宋体" w:hAnsi="宋体" w:cs="宋体"/>
                <w:color w:val="000000" w:themeColor="text1"/>
                <w:szCs w:val="21"/>
                <w14:textFill>
                  <w14:solidFill>
                    <w14:schemeClr w14:val="tx1"/>
                  </w14:solidFill>
                </w14:textFill>
              </w:rPr>
              <w:t xml:space="preserve">安防监控</w:t>
            </w:r>
            <w:r>
              <w:rPr>
                <w:rFonts w:ascii="宋体" w:hAnsi="宋体" w:cs="宋体"/>
                <w:color w:val="000000" w:themeColor="text1"/>
                <w:szCs w:val="21"/>
                <w14:textFill>
                  <w14:solidFill>
                    <w14:schemeClr w14:val="tx1"/>
                  </w14:solidFill>
                </w14:textFill>
              </w:rPr>
              <w:t xml:space="preserve">，壁装支架，含六类屏蔽阻水网线</w:t>
            </w:r>
            <w:r/>
          </w:p>
        </w:tc>
      </w:tr>
      <w:tr>
        <w:trPr>
          <w:jc w:val="center"/>
        </w:trPr>
        <w:tc>
          <w:tcPr>
            <w:tcW w:w="733" w:type="dxa"/>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3.4</w:t>
            </w:r>
            <w:r/>
          </w:p>
        </w:tc>
        <w:tc>
          <w:tcPr>
            <w:tcW w:w="2777" w:type="dxa"/>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1600万63倍全光谱AR全景球</w:t>
            </w:r>
            <w:r/>
          </w:p>
        </w:tc>
        <w:tc>
          <w:tcPr>
            <w:tcW w:w="567" w:type="dxa"/>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台</w:t>
            </w:r>
            <w:r/>
          </w:p>
        </w:tc>
        <w:tc>
          <w:tcPr>
            <w:tcW w:w="598" w:type="dxa"/>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2</w:t>
            </w:r>
            <w:r/>
          </w:p>
        </w:tc>
        <w:tc>
          <w:tcPr>
            <w:tcW w:w="4613" w:type="dxa"/>
            <w:vAlign w:val="center"/>
            <w:textDirection w:val="lrTb"/>
            <w:noWrap w:val="false"/>
          </w:tcPr>
          <w:p>
            <w:pPr>
              <w:jc w:val="left"/>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高空，前垾村1台，东山河边1台，含10m立杆支架和存储卡，含六类屏蔽阻水网线</w:t>
            </w:r>
            <w:r/>
          </w:p>
        </w:tc>
      </w:tr>
      <w:tr>
        <w:trPr>
          <w:jc w:val="center"/>
        </w:trPr>
        <w:tc>
          <w:tcPr>
            <w:tcW w:w="733" w:type="dxa"/>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3.5</w:t>
            </w:r>
            <w:r/>
          </w:p>
        </w:tc>
        <w:tc>
          <w:tcPr>
            <w:tcW w:w="2777" w:type="dxa"/>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AR智慧管理一体机</w:t>
            </w:r>
            <w:r/>
          </w:p>
        </w:tc>
        <w:tc>
          <w:tcPr>
            <w:tcW w:w="567" w:type="dxa"/>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台</w:t>
            </w:r>
            <w:r/>
          </w:p>
        </w:tc>
        <w:tc>
          <w:tcPr>
            <w:tcW w:w="598" w:type="dxa"/>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1</w:t>
            </w:r>
            <w:r/>
          </w:p>
        </w:tc>
        <w:tc>
          <w:tcPr>
            <w:tcW w:w="4613" w:type="dxa"/>
            <w:vAlign w:val="center"/>
            <w:textDirection w:val="lrTb"/>
            <w:noWrap w:val="false"/>
          </w:tcPr>
          <w:p>
            <w:pPr>
              <w:jc w:val="left"/>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含AR模型，</w:t>
            </w:r>
            <w:r>
              <w:rPr>
                <w:rFonts w:hint="eastAsia" w:ascii="宋体" w:hAnsi="宋体" w:cs="宋体"/>
                <w:color w:val="000000" w:themeColor="text1"/>
                <w:szCs w:val="21"/>
                <w14:textFill>
                  <w14:solidFill>
                    <w14:schemeClr w14:val="tx1"/>
                  </w14:solidFill>
                </w14:textFill>
              </w:rPr>
              <w:t xml:space="preserve">生成带高程的现场底图，</w:t>
            </w:r>
            <w:r>
              <w:rPr>
                <w:rFonts w:ascii="宋体" w:hAnsi="宋体" w:cs="宋体"/>
                <w:color w:val="000000" w:themeColor="text1"/>
                <w:szCs w:val="21"/>
                <w14:textFill>
                  <w14:solidFill>
                    <w14:schemeClr w14:val="tx1"/>
                  </w14:solidFill>
                </w14:textFill>
              </w:rPr>
              <w:t xml:space="preserve">对测验河段进行</w:t>
            </w:r>
            <w:r>
              <w:rPr>
                <w:rFonts w:hint="eastAsia" w:ascii="宋体" w:hAnsi="宋体" w:cs="宋体"/>
                <w:color w:val="000000" w:themeColor="text1"/>
                <w:szCs w:val="21"/>
                <w14:textFill>
                  <w14:solidFill>
                    <w14:schemeClr w14:val="tx1"/>
                  </w14:solidFill>
                </w14:textFill>
              </w:rPr>
              <w:t xml:space="preserve">实景孪生</w:t>
            </w:r>
            <w:r>
              <w:rPr>
                <w:rFonts w:ascii="宋体" w:hAnsi="宋体" w:cs="宋体"/>
                <w:color w:val="000000" w:themeColor="text1"/>
                <w:szCs w:val="21"/>
                <w14:textFill>
                  <w14:solidFill>
                    <w14:schemeClr w14:val="tx1"/>
                  </w14:solidFill>
                </w14:textFill>
              </w:rPr>
              <w:t xml:space="preserve">，构建测验河段数字化模型。</w:t>
            </w:r>
            <w:r/>
          </w:p>
        </w:tc>
      </w:tr>
      <w:tr>
        <w:trPr>
          <w:jc w:val="center"/>
        </w:trPr>
        <w:tc>
          <w:tcPr>
            <w:tcW w:w="733" w:type="dxa"/>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3.6</w:t>
            </w:r>
            <w:r/>
          </w:p>
        </w:tc>
        <w:tc>
          <w:tcPr>
            <w:tcW w:w="2777" w:type="dxa"/>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硬盘录像机</w:t>
            </w:r>
            <w:r/>
          </w:p>
        </w:tc>
        <w:tc>
          <w:tcPr>
            <w:tcW w:w="567" w:type="dxa"/>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套</w:t>
            </w:r>
            <w:r/>
          </w:p>
        </w:tc>
        <w:tc>
          <w:tcPr>
            <w:tcW w:w="598" w:type="dxa"/>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1</w:t>
            </w:r>
            <w:r/>
          </w:p>
        </w:tc>
        <w:tc>
          <w:tcPr>
            <w:tcW w:w="4613" w:type="dxa"/>
            <w:vAlign w:val="center"/>
            <w:textDirection w:val="lrTb"/>
            <w:noWrap w:val="false"/>
          </w:tcPr>
          <w:p>
            <w:pPr>
              <w:jc w:val="left"/>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32</w:t>
            </w:r>
            <w:r>
              <w:rPr>
                <w:rFonts w:hint="eastAsia" w:ascii="宋体" w:hAnsi="宋体" w:cs="宋体"/>
                <w:color w:val="000000" w:themeColor="text1"/>
                <w:szCs w:val="21"/>
                <w14:textFill>
                  <w14:solidFill>
                    <w14:schemeClr w14:val="tx1"/>
                  </w14:solidFill>
                </w14:textFill>
              </w:rPr>
              <w:t xml:space="preserve">路</w:t>
            </w:r>
            <w:r>
              <w:rPr>
                <w:rFonts w:ascii="宋体" w:hAnsi="宋体" w:cs="宋体"/>
                <w:color w:val="000000" w:themeColor="text1"/>
                <w:szCs w:val="21"/>
                <w14:textFill>
                  <w14:solidFill>
                    <w14:schemeClr w14:val="tx1"/>
                  </w14:solidFill>
                </w14:textFill>
              </w:rPr>
              <w:t xml:space="preserve">视频接入，带3个10T硬盘</w:t>
            </w:r>
            <w:bookmarkEnd w:id="17"/>
            <w:r/>
          </w:p>
        </w:tc>
      </w:tr>
      <w:tr>
        <w:trPr>
          <w:jc w:val="center"/>
        </w:trPr>
        <w:tc>
          <w:tcPr>
            <w:tcW w:w="733" w:type="dxa"/>
            <w:vAlign w:val="center"/>
            <w:textDirection w:val="lrTb"/>
            <w:noWrap/>
          </w:tcPr>
          <w:p>
            <w:pPr>
              <w:jc w:val="center"/>
              <w:widowControl/>
              <w:rPr>
                <w:rFonts w:ascii="宋体" w:hAnsi="宋体" w:cs="宋体"/>
                <w:color w:val="000000" w:themeColor="text1"/>
                <w:szCs w:val="21"/>
                <w14:textFill>
                  <w14:solidFill>
                    <w14:schemeClr w14:val="tx1"/>
                  </w14:solidFill>
                </w14:textFill>
              </w:rPr>
            </w:pPr>
            <w:r/>
            <w:bookmarkStart w:id="18" w:name="_Hlk239146333"/>
            <w:r>
              <w:rPr>
                <w:rFonts w:ascii="宋体" w:hAnsi="宋体" w:cs="宋体"/>
                <w:color w:val="000000" w:themeColor="text1"/>
                <w:szCs w:val="21"/>
                <w14:textFill>
                  <w14:solidFill>
                    <w14:schemeClr w14:val="tx1"/>
                  </w14:solidFill>
                </w14:textFill>
              </w:rPr>
              <w:t xml:space="preserve">4</w:t>
            </w:r>
            <w:r/>
          </w:p>
        </w:tc>
        <w:tc>
          <w:tcPr>
            <w:tcW w:w="2777" w:type="dxa"/>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数据展示终端</w:t>
            </w:r>
            <w:r/>
          </w:p>
        </w:tc>
        <w:tc>
          <w:tcPr>
            <w:tcW w:w="567" w:type="dxa"/>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套</w:t>
            </w:r>
            <w:r/>
          </w:p>
        </w:tc>
        <w:tc>
          <w:tcPr>
            <w:tcW w:w="598" w:type="dxa"/>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1</w:t>
            </w:r>
            <w:r/>
          </w:p>
        </w:tc>
        <w:tc>
          <w:tcPr>
            <w:tcW w:w="4613" w:type="dxa"/>
            <w:vAlign w:val="center"/>
            <w:textDirection w:val="lrTb"/>
            <w:noWrap w:val="false"/>
          </w:tcPr>
          <w:p>
            <w:pPr>
              <w:jc w:val="left"/>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163寸电视</w:t>
            </w:r>
            <w:r>
              <w:rPr>
                <w:rFonts w:hint="eastAsia" w:ascii="宋体" w:hAnsi="宋体" w:cs="宋体"/>
                <w:color w:val="000000" w:themeColor="text1"/>
                <w:szCs w:val="21"/>
                <w14:textFill>
                  <w14:solidFill>
                    <w14:schemeClr w14:val="tx1"/>
                  </w14:solidFill>
                </w14:textFill>
              </w:rPr>
              <w:t xml:space="preserve">机</w:t>
            </w:r>
            <w:r>
              <w:rPr>
                <w:rFonts w:ascii="宋体" w:hAnsi="宋体" w:cs="宋体"/>
                <w:color w:val="000000" w:themeColor="text1"/>
                <w:szCs w:val="21"/>
                <w14:textFill>
                  <w14:solidFill>
                    <w14:schemeClr w14:val="tx1"/>
                  </w14:solidFill>
                </w14:textFill>
              </w:rPr>
              <w:t xml:space="preserve">安装线缆及</w:t>
            </w:r>
            <w:r>
              <w:rPr>
                <w:rFonts w:hint="eastAsia" w:ascii="宋体" w:hAnsi="宋体" w:cs="宋体"/>
                <w:color w:val="000000" w:themeColor="text1"/>
                <w:szCs w:val="21"/>
                <w14:textFill>
                  <w14:solidFill>
                    <w14:schemeClr w14:val="tx1"/>
                  </w14:solidFill>
                </w14:textFill>
              </w:rPr>
              <w:t xml:space="preserve">挂墙</w:t>
            </w:r>
            <w:r>
              <w:rPr>
                <w:rFonts w:ascii="宋体" w:hAnsi="宋体" w:cs="宋体"/>
                <w:color w:val="000000" w:themeColor="text1"/>
                <w:szCs w:val="21"/>
                <w14:textFill>
                  <w14:solidFill>
                    <w14:schemeClr w14:val="tx1"/>
                  </w14:solidFill>
                </w14:textFill>
              </w:rPr>
              <w:t xml:space="preserve">支架和大屏控制终端、</w:t>
            </w:r>
            <w:r>
              <w:rPr>
                <w:rFonts w:hint="eastAsia" w:ascii="宋体" w:hAnsi="宋体" w:cs="宋体"/>
                <w:color w:val="000000" w:themeColor="text1"/>
                <w:szCs w:val="21"/>
                <w14:textFill>
                  <w14:solidFill>
                    <w14:schemeClr w14:val="tx1"/>
                  </w14:solidFill>
                </w14:textFill>
              </w:rPr>
              <w:t xml:space="preserve">利旧</w:t>
            </w:r>
            <w:r>
              <w:rPr>
                <w:rFonts w:ascii="宋体" w:hAnsi="宋体" w:cs="宋体"/>
                <w:color w:val="000000" w:themeColor="text1"/>
                <w:szCs w:val="21"/>
                <w14:textFill>
                  <w14:solidFill>
                    <w14:schemeClr w14:val="tx1"/>
                  </w14:solidFill>
                </w14:textFill>
              </w:rPr>
              <w:t xml:space="preserve">现有2台90寸电视机运输及安装（增配两台电视机OPS）</w:t>
            </w:r>
            <w:r/>
          </w:p>
        </w:tc>
      </w:tr>
      <w:tr>
        <w:trPr>
          <w:jc w:val="center"/>
        </w:trPr>
        <w:tc>
          <w:tcPr>
            <w:tcW w:w="733" w:type="dxa"/>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5</w:t>
            </w:r>
            <w:r/>
          </w:p>
        </w:tc>
        <w:tc>
          <w:tcPr>
            <w:tcW w:w="2777" w:type="dxa"/>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融媒体平台主机</w:t>
            </w:r>
            <w:r/>
          </w:p>
        </w:tc>
        <w:tc>
          <w:tcPr>
            <w:tcW w:w="567" w:type="dxa"/>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台</w:t>
            </w:r>
            <w:r/>
          </w:p>
        </w:tc>
        <w:tc>
          <w:tcPr>
            <w:tcW w:w="598" w:type="dxa"/>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1</w:t>
            </w:r>
            <w:r/>
          </w:p>
        </w:tc>
        <w:tc>
          <w:tcPr>
            <w:tcW w:w="4613" w:type="dxa"/>
            <w:vAlign w:val="center"/>
            <w:textDirection w:val="lrTb"/>
            <w:noWrap w:val="false"/>
          </w:tcPr>
          <w:p>
            <w:pPr>
              <w:jc w:val="left"/>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融媒体会议管理平台主机，控制多台</w:t>
            </w:r>
            <w:r>
              <w:rPr>
                <w:rFonts w:hint="eastAsia" w:ascii="宋体" w:hAnsi="宋体" w:cs="宋体"/>
                <w:color w:val="000000" w:themeColor="text1"/>
                <w:szCs w:val="21"/>
                <w14:textFill>
                  <w14:solidFill>
                    <w14:schemeClr w14:val="tx1"/>
                  </w14:solidFill>
                </w14:textFill>
              </w:rPr>
              <w:t xml:space="preserve">电视机</w:t>
            </w:r>
            <w:r>
              <w:rPr>
                <w:rFonts w:ascii="宋体" w:hAnsi="宋体" w:cs="宋体"/>
                <w:color w:val="000000" w:themeColor="text1"/>
                <w:szCs w:val="21"/>
                <w14:textFill>
                  <w14:solidFill>
                    <w14:schemeClr w14:val="tx1"/>
                  </w14:solidFill>
                </w14:textFill>
              </w:rPr>
              <w:t xml:space="preserve">显示画面切换，包含一个多媒体箱</w:t>
            </w:r>
            <w:r/>
          </w:p>
        </w:tc>
      </w:tr>
      <w:tr>
        <w:trPr>
          <w:jc w:val="center"/>
        </w:trPr>
        <w:tc>
          <w:tcPr>
            <w:tcW w:w="733" w:type="dxa"/>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6</w:t>
            </w:r>
            <w:r/>
          </w:p>
        </w:tc>
        <w:tc>
          <w:tcPr>
            <w:tcW w:w="2777" w:type="dxa"/>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微缩模型显示柜</w:t>
            </w:r>
            <w:r/>
          </w:p>
        </w:tc>
        <w:tc>
          <w:tcPr>
            <w:tcW w:w="567" w:type="dxa"/>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台</w:t>
            </w:r>
            <w:r/>
          </w:p>
        </w:tc>
        <w:tc>
          <w:tcPr>
            <w:tcW w:w="598" w:type="dxa"/>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2</w:t>
            </w:r>
            <w:r/>
          </w:p>
        </w:tc>
        <w:tc>
          <w:tcPr>
            <w:tcW w:w="4613" w:type="dxa"/>
            <w:vAlign w:val="center"/>
            <w:textDirection w:val="lrTb"/>
            <w:noWrap w:val="false"/>
          </w:tcPr>
          <w:p>
            <w:pPr>
              <w:jc w:val="left"/>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展示水文新仪器新设备</w:t>
            </w:r>
            <w:r/>
          </w:p>
        </w:tc>
      </w:tr>
      <w:tr>
        <w:trPr>
          <w:jc w:val="center"/>
        </w:trPr>
        <w:tc>
          <w:tcPr>
            <w:tcW w:w="733" w:type="dxa"/>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7</w:t>
            </w:r>
            <w:r/>
          </w:p>
        </w:tc>
        <w:tc>
          <w:tcPr>
            <w:tcW w:w="2777" w:type="dxa"/>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自动导航 AI机器人展播</w:t>
            </w:r>
            <w:r/>
          </w:p>
        </w:tc>
        <w:tc>
          <w:tcPr>
            <w:tcW w:w="567" w:type="dxa"/>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套</w:t>
            </w:r>
            <w:r/>
          </w:p>
        </w:tc>
        <w:tc>
          <w:tcPr>
            <w:tcW w:w="598" w:type="dxa"/>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1</w:t>
            </w:r>
            <w:r/>
          </w:p>
        </w:tc>
        <w:tc>
          <w:tcPr>
            <w:tcW w:w="4613" w:type="dxa"/>
            <w:vAlign w:val="center"/>
            <w:textDirection w:val="lrTb"/>
            <w:noWrap/>
          </w:tcPr>
          <w:p>
            <w:pPr>
              <w:jc w:val="left"/>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　</w:t>
            </w:r>
            <w:bookmarkEnd w:id="18"/>
            <w:r/>
          </w:p>
        </w:tc>
      </w:tr>
      <w:tr>
        <w:trPr>
          <w:jc w:val="center"/>
        </w:trPr>
        <w:tc>
          <w:tcPr>
            <w:tcW w:w="733" w:type="dxa"/>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8</w:t>
            </w:r>
            <w:r/>
          </w:p>
        </w:tc>
        <w:tc>
          <w:tcPr>
            <w:tcW w:w="2777" w:type="dxa"/>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应急库房智能化升级</w:t>
            </w:r>
            <w:r/>
          </w:p>
        </w:tc>
        <w:tc>
          <w:tcPr>
            <w:tcW w:w="567" w:type="dxa"/>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598" w:type="dxa"/>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4613" w:type="dxa"/>
            <w:vAlign w:val="center"/>
            <w:textDirection w:val="lrTb"/>
            <w:noWrap/>
          </w:tcPr>
          <w:p>
            <w:pPr>
              <w:jc w:val="lef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优化室内功能分区，对库房地面进行防潮防渗处理，合理布设货架与温湿度监控装置。加装RFID智能仓储管理系统，包括壁挂一体机1</w:t>
            </w:r>
            <w:r>
              <w:rPr>
                <w:rFonts w:ascii="宋体" w:hAnsi="宋体" w:cs="宋体"/>
                <w:color w:val="000000" w:themeColor="text1"/>
                <w:szCs w:val="21"/>
                <w14:textFill>
                  <w14:solidFill>
                    <w14:schemeClr w14:val="tx1"/>
                  </w14:solidFill>
                </w14:textFill>
              </w:rPr>
              <w:t xml:space="preserve">台，</w:t>
            </w:r>
            <w:r>
              <w:rPr>
                <w:rFonts w:hint="eastAsia" w:ascii="宋体" w:hAnsi="宋体" w:cs="宋体"/>
                <w:color w:val="000000" w:themeColor="text1"/>
                <w:szCs w:val="21"/>
                <w14:textFill>
                  <w14:solidFill>
                    <w14:schemeClr w14:val="tx1"/>
                  </w14:solidFill>
                </w14:textFill>
              </w:rPr>
              <w:t xml:space="preserve">RFID柔性抗金属标签50</w:t>
            </w:r>
            <w:r>
              <w:rPr>
                <w:rFonts w:ascii="宋体" w:hAnsi="宋体" w:cs="宋体"/>
                <w:color w:val="000000" w:themeColor="text1"/>
                <w:szCs w:val="21"/>
                <w14:textFill>
                  <w14:solidFill>
                    <w14:schemeClr w14:val="tx1"/>
                  </w14:solidFill>
                </w14:textFill>
              </w:rPr>
              <w:t xml:space="preserve">个，</w:t>
            </w:r>
            <w:r>
              <w:rPr>
                <w:rFonts w:hint="eastAsia" w:ascii="宋体" w:hAnsi="宋体" w:cs="宋体"/>
                <w:color w:val="000000" w:themeColor="text1"/>
                <w:szCs w:val="21"/>
                <w14:textFill>
                  <w14:solidFill>
                    <w14:schemeClr w14:val="tx1"/>
                  </w14:solidFill>
                </w14:textFill>
              </w:rPr>
              <w:t xml:space="preserve">RFID超高频重复使用扎带50</w:t>
            </w:r>
            <w:r>
              <w:rPr>
                <w:rFonts w:ascii="宋体" w:hAnsi="宋体" w:cs="宋体"/>
                <w:color w:val="000000" w:themeColor="text1"/>
                <w:szCs w:val="21"/>
                <w14:textFill>
                  <w14:solidFill>
                    <w14:schemeClr w14:val="tx1"/>
                  </w14:solidFill>
                </w14:textFill>
              </w:rPr>
              <w:t xml:space="preserve">个，桌面发卡器</w:t>
            </w:r>
            <w:r>
              <w:rPr>
                <w:rFonts w:hint="eastAsia" w:ascii="宋体" w:hAnsi="宋体" w:cs="宋体"/>
                <w:color w:val="000000" w:themeColor="text1"/>
                <w:szCs w:val="21"/>
                <w14:textFill>
                  <w14:solidFill>
                    <w14:schemeClr w14:val="tx1"/>
                  </w14:solidFill>
                </w14:textFill>
              </w:rPr>
              <w:t xml:space="preserve">1</w:t>
            </w:r>
            <w:r>
              <w:rPr>
                <w:rFonts w:ascii="宋体" w:hAnsi="宋体" w:cs="宋体"/>
                <w:color w:val="000000" w:themeColor="text1"/>
                <w:szCs w:val="21"/>
                <w14:textFill>
                  <w14:solidFill>
                    <w14:schemeClr w14:val="tx1"/>
                  </w14:solidFill>
                </w14:textFill>
              </w:rPr>
              <w:t xml:space="preserve">个，</w:t>
            </w:r>
            <w:r>
              <w:rPr>
                <w:rFonts w:hint="eastAsia" w:ascii="宋体" w:hAnsi="宋体" w:cs="宋体"/>
                <w:color w:val="000000" w:themeColor="text1"/>
                <w:szCs w:val="21"/>
                <w14:textFill>
                  <w14:solidFill>
                    <w14:schemeClr w14:val="tx1"/>
                  </w14:solidFill>
                </w14:textFill>
              </w:rPr>
              <w:t xml:space="preserve">实现应急监测设备的数字化分类存储与规范管控。</w:t>
            </w:r>
            <w:r/>
          </w:p>
        </w:tc>
      </w:tr>
      <w:tr>
        <w:trPr>
          <w:jc w:val="center"/>
        </w:trPr>
        <w:tc>
          <w:tcPr>
            <w:tcW w:w="733" w:type="dxa"/>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8.1</w:t>
            </w:r>
            <w:r/>
          </w:p>
        </w:tc>
        <w:tc>
          <w:tcPr>
            <w:tcW w:w="2777" w:type="dxa"/>
            <w:vAlign w:val="center"/>
            <w:textDirection w:val="lrTb"/>
            <w:noWrap/>
          </w:tcPr>
          <w:p>
            <w:pPr>
              <w:jc w:val="center"/>
              <w:widowControl/>
              <w:rPr>
                <w:rFonts w:ascii="宋体" w:hAnsi="宋体" w:cs="宋体"/>
                <w:b/>
                <w:bCs/>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壁挂一体机</w:t>
            </w:r>
            <w:r/>
          </w:p>
        </w:tc>
        <w:tc>
          <w:tcPr>
            <w:tcW w:w="567" w:type="dxa"/>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台</w:t>
            </w:r>
            <w:r/>
          </w:p>
        </w:tc>
        <w:tc>
          <w:tcPr>
            <w:tcW w:w="598" w:type="dxa"/>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w:t>
            </w:r>
            <w:r/>
          </w:p>
        </w:tc>
        <w:tc>
          <w:tcPr>
            <w:tcW w:w="4613" w:type="dxa"/>
            <w:vAlign w:val="center"/>
            <w:textDirection w:val="lrTb"/>
            <w:noWrap/>
          </w:tcPr>
          <w:p>
            <w:pPr>
              <w:jc w:val="left"/>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r>
      <w:tr>
        <w:trPr>
          <w:jc w:val="center"/>
        </w:trPr>
        <w:tc>
          <w:tcPr>
            <w:tcW w:w="733" w:type="dxa"/>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8.2</w:t>
            </w:r>
            <w:r/>
          </w:p>
        </w:tc>
        <w:tc>
          <w:tcPr>
            <w:tcW w:w="2777" w:type="dxa"/>
            <w:vAlign w:val="center"/>
            <w:textDirection w:val="lrTb"/>
            <w:noWrap/>
          </w:tcPr>
          <w:p>
            <w:pPr>
              <w:jc w:val="center"/>
              <w:widowControl/>
              <w:rPr>
                <w:rFonts w:ascii="宋体" w:hAnsi="宋体" w:cs="宋体"/>
                <w:b/>
                <w:bCs/>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RFID柔性抗金属标签</w:t>
            </w:r>
            <w:r/>
          </w:p>
        </w:tc>
        <w:tc>
          <w:tcPr>
            <w:tcW w:w="567" w:type="dxa"/>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个</w:t>
            </w:r>
            <w:r/>
          </w:p>
        </w:tc>
        <w:tc>
          <w:tcPr>
            <w:tcW w:w="598" w:type="dxa"/>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50</w:t>
            </w:r>
            <w:r/>
          </w:p>
        </w:tc>
        <w:tc>
          <w:tcPr>
            <w:tcW w:w="4613" w:type="dxa"/>
            <w:vAlign w:val="center"/>
            <w:textDirection w:val="lrTb"/>
            <w:noWrap/>
          </w:tcPr>
          <w:p>
            <w:pPr>
              <w:jc w:val="left"/>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r>
      <w:tr>
        <w:trPr>
          <w:jc w:val="center"/>
        </w:trPr>
        <w:tc>
          <w:tcPr>
            <w:tcW w:w="733" w:type="dxa"/>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8.3</w:t>
            </w:r>
            <w:r/>
          </w:p>
        </w:tc>
        <w:tc>
          <w:tcPr>
            <w:tcW w:w="2777" w:type="dxa"/>
            <w:vAlign w:val="center"/>
            <w:textDirection w:val="lrTb"/>
            <w:noWrap/>
          </w:tcPr>
          <w:p>
            <w:pPr>
              <w:jc w:val="center"/>
              <w:widowControl/>
              <w:rPr>
                <w:rFonts w:ascii="宋体" w:hAnsi="宋体" w:cs="宋体"/>
                <w:b/>
                <w:bCs/>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RFID超高频重复使用扎带</w:t>
            </w:r>
            <w:r/>
          </w:p>
        </w:tc>
        <w:tc>
          <w:tcPr>
            <w:tcW w:w="567" w:type="dxa"/>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个</w:t>
            </w:r>
            <w:r/>
          </w:p>
        </w:tc>
        <w:tc>
          <w:tcPr>
            <w:tcW w:w="598" w:type="dxa"/>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50</w:t>
            </w:r>
            <w:r/>
          </w:p>
        </w:tc>
        <w:tc>
          <w:tcPr>
            <w:tcW w:w="4613" w:type="dxa"/>
            <w:vAlign w:val="center"/>
            <w:textDirection w:val="lrTb"/>
            <w:noWrap/>
          </w:tcPr>
          <w:p>
            <w:pPr>
              <w:jc w:val="left"/>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r>
      <w:tr>
        <w:trPr>
          <w:jc w:val="center"/>
        </w:trPr>
        <w:tc>
          <w:tcPr>
            <w:tcW w:w="733" w:type="dxa"/>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8.4</w:t>
            </w:r>
            <w:r/>
          </w:p>
        </w:tc>
        <w:tc>
          <w:tcPr>
            <w:tcW w:w="2777" w:type="dxa"/>
            <w:vAlign w:val="center"/>
            <w:textDirection w:val="lrTb"/>
            <w:noWrap/>
          </w:tcPr>
          <w:p>
            <w:pPr>
              <w:jc w:val="center"/>
              <w:widowControl/>
              <w:rPr>
                <w:rFonts w:ascii="宋体" w:hAnsi="宋体" w:cs="宋体"/>
                <w:b/>
                <w:bCs/>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桌面发卡器</w:t>
            </w:r>
            <w:r/>
          </w:p>
        </w:tc>
        <w:tc>
          <w:tcPr>
            <w:tcW w:w="567" w:type="dxa"/>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个</w:t>
            </w:r>
            <w:r/>
          </w:p>
        </w:tc>
        <w:tc>
          <w:tcPr>
            <w:tcW w:w="598" w:type="dxa"/>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w:t>
            </w:r>
            <w:r/>
          </w:p>
        </w:tc>
        <w:tc>
          <w:tcPr>
            <w:tcW w:w="4613" w:type="dxa"/>
            <w:vAlign w:val="center"/>
            <w:textDirection w:val="lrTb"/>
            <w:noWrap/>
          </w:tcPr>
          <w:p>
            <w:pPr>
              <w:jc w:val="left"/>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r>
      <w:tr>
        <w:trPr>
          <w:jc w:val="center"/>
        </w:trPr>
        <w:tc>
          <w:tcPr>
            <w:tcW w:w="733" w:type="dxa"/>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9</w:t>
            </w:r>
            <w:r/>
          </w:p>
        </w:tc>
        <w:tc>
          <w:tcPr>
            <w:tcW w:w="2777" w:type="dxa"/>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网络带宽提升</w:t>
            </w:r>
            <w:r/>
          </w:p>
        </w:tc>
        <w:tc>
          <w:tcPr>
            <w:tcW w:w="567" w:type="dxa"/>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年</w:t>
            </w:r>
            <w:r/>
          </w:p>
        </w:tc>
        <w:tc>
          <w:tcPr>
            <w:tcW w:w="598" w:type="dxa"/>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2</w:t>
            </w:r>
            <w:r/>
          </w:p>
        </w:tc>
        <w:tc>
          <w:tcPr>
            <w:tcW w:w="4613" w:type="dxa"/>
            <w:vAlign w:val="center"/>
            <w:textDirection w:val="lrTb"/>
            <w:noWrap w:val="false"/>
          </w:tcPr>
          <w:p>
            <w:pPr>
              <w:jc w:val="left"/>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提升为300M带宽，含东山、前垾村</w:t>
            </w:r>
            <w:r>
              <w:rPr>
                <w:rFonts w:hint="eastAsia" w:ascii="宋体" w:hAnsi="宋体" w:cs="宋体"/>
                <w:color w:val="000000" w:themeColor="text1"/>
                <w:szCs w:val="21"/>
                <w14:textFill>
                  <w14:solidFill>
                    <w14:schemeClr w14:val="tx1"/>
                  </w14:solidFill>
                </w14:textFill>
              </w:rPr>
              <w:t xml:space="preserve">（秦）</w:t>
            </w:r>
            <w:r/>
          </w:p>
        </w:tc>
      </w:tr>
      <w:tr>
        <w:trPr>
          <w:jc w:val="center"/>
        </w:trPr>
        <w:tc>
          <w:tcPr>
            <w:tcW w:w="733" w:type="dxa"/>
            <w:vAlign w:val="center"/>
            <w:textDirection w:val="lrTb"/>
            <w:noWrap/>
          </w:tcPr>
          <w:p>
            <w:pPr>
              <w:jc w:val="center"/>
              <w:widowControl/>
              <w:rPr>
                <w:rFonts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10</w:t>
            </w:r>
            <w:r/>
          </w:p>
        </w:tc>
        <w:tc>
          <w:tcPr>
            <w:tcW w:w="2777" w:type="dxa"/>
            <w:vAlign w:val="center"/>
            <w:textDirection w:val="lrTb"/>
            <w:noWrap/>
          </w:tcPr>
          <w:p>
            <w:pPr>
              <w:jc w:val="center"/>
              <w:widowControl/>
              <w:rPr>
                <w:rFonts w:ascii="宋体" w:hAnsi="宋体" w:cs="宋体"/>
                <w:b/>
                <w:bCs/>
                <w:color w:val="000000" w:themeColor="text1"/>
                <w:szCs w:val="21"/>
                <w14:textFill>
                  <w14:solidFill>
                    <w14:schemeClr w14:val="tx1"/>
                  </w14:solidFill>
                </w14:textFill>
              </w:rPr>
            </w:pPr>
            <w:r>
              <w:rPr>
                <w:rFonts w:ascii="宋体" w:hAnsi="宋体" w:cs="宋体"/>
                <w:b/>
                <w:bCs/>
                <w:color w:val="000000" w:themeColor="text1"/>
                <w:szCs w:val="21"/>
                <w14:textFill>
                  <w14:solidFill>
                    <w14:schemeClr w14:val="tx1"/>
                  </w14:solidFill>
                </w14:textFill>
              </w:rPr>
              <w:t xml:space="preserve">数据传输集成</w:t>
            </w:r>
            <w:r/>
          </w:p>
        </w:tc>
        <w:tc>
          <w:tcPr>
            <w:tcW w:w="567" w:type="dxa"/>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598" w:type="dxa"/>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4613" w:type="dxa"/>
            <w:vAlign w:val="center"/>
            <w:textDirection w:val="lrTb"/>
            <w:noWrap w:val="false"/>
          </w:tcPr>
          <w:p>
            <w:pPr>
              <w:jc w:val="left"/>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r>
      <w:tr>
        <w:trPr>
          <w:jc w:val="center"/>
        </w:trPr>
        <w:tc>
          <w:tcPr>
            <w:tcW w:w="733" w:type="dxa"/>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10.1</w:t>
            </w:r>
            <w:r/>
          </w:p>
        </w:tc>
        <w:tc>
          <w:tcPr>
            <w:tcW w:w="2777" w:type="dxa"/>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数据传输集成</w:t>
            </w:r>
            <w:r/>
          </w:p>
        </w:tc>
        <w:tc>
          <w:tcPr>
            <w:tcW w:w="567" w:type="dxa"/>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套</w:t>
            </w:r>
            <w:r/>
          </w:p>
        </w:tc>
        <w:tc>
          <w:tcPr>
            <w:tcW w:w="598" w:type="dxa"/>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1</w:t>
            </w:r>
            <w:r/>
          </w:p>
        </w:tc>
        <w:tc>
          <w:tcPr>
            <w:tcW w:w="4613" w:type="dxa"/>
            <w:vAlign w:val="center"/>
            <w:textDirection w:val="lrTb"/>
            <w:noWrap w:val="false"/>
          </w:tcPr>
          <w:p>
            <w:pPr>
              <w:jc w:val="left"/>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降雨、气象、墒情等多要素数据采集集成，含采集机箱、RTU、通信终端等</w:t>
            </w:r>
            <w:r/>
          </w:p>
        </w:tc>
      </w:tr>
      <w:tr>
        <w:trPr>
          <w:jc w:val="center"/>
        </w:trPr>
        <w:tc>
          <w:tcPr>
            <w:tcW w:w="733" w:type="dxa"/>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10.2</w:t>
            </w:r>
            <w:r/>
          </w:p>
        </w:tc>
        <w:tc>
          <w:tcPr>
            <w:tcW w:w="2777" w:type="dxa"/>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24接口千兆交换机</w:t>
            </w:r>
            <w:r/>
          </w:p>
        </w:tc>
        <w:tc>
          <w:tcPr>
            <w:tcW w:w="567" w:type="dxa"/>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台</w:t>
            </w:r>
            <w:r/>
          </w:p>
        </w:tc>
        <w:tc>
          <w:tcPr>
            <w:tcW w:w="598" w:type="dxa"/>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1</w:t>
            </w:r>
            <w:r/>
          </w:p>
        </w:tc>
        <w:tc>
          <w:tcPr>
            <w:tcW w:w="4613" w:type="dxa"/>
            <w:vAlign w:val="center"/>
            <w:textDirection w:val="lrTb"/>
            <w:noWrap/>
          </w:tcPr>
          <w:p>
            <w:pPr>
              <w:jc w:val="left"/>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　</w:t>
            </w:r>
            <w:r/>
          </w:p>
        </w:tc>
      </w:tr>
      <w:tr>
        <w:trPr>
          <w:jc w:val="center"/>
        </w:trPr>
        <w:tc>
          <w:tcPr>
            <w:tcW w:w="733" w:type="dxa"/>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10.3</w:t>
            </w:r>
            <w:r/>
          </w:p>
        </w:tc>
        <w:tc>
          <w:tcPr>
            <w:tcW w:w="2777" w:type="dxa"/>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AC控制器</w:t>
            </w:r>
            <w:r/>
          </w:p>
        </w:tc>
        <w:tc>
          <w:tcPr>
            <w:tcW w:w="567" w:type="dxa"/>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台</w:t>
            </w:r>
            <w:r/>
          </w:p>
        </w:tc>
        <w:tc>
          <w:tcPr>
            <w:tcW w:w="598" w:type="dxa"/>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1</w:t>
            </w:r>
            <w:r/>
          </w:p>
        </w:tc>
        <w:tc>
          <w:tcPr>
            <w:tcW w:w="4613" w:type="dxa"/>
            <w:vAlign w:val="center"/>
            <w:textDirection w:val="lrTb"/>
            <w:noWrap/>
          </w:tcPr>
          <w:p>
            <w:pPr>
              <w:jc w:val="left"/>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　</w:t>
            </w:r>
            <w:r/>
          </w:p>
        </w:tc>
      </w:tr>
      <w:tr>
        <w:trPr>
          <w:jc w:val="center"/>
        </w:trPr>
        <w:tc>
          <w:tcPr>
            <w:tcW w:w="733" w:type="dxa"/>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10.4</w:t>
            </w:r>
            <w:r/>
          </w:p>
        </w:tc>
        <w:tc>
          <w:tcPr>
            <w:tcW w:w="2777" w:type="dxa"/>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POE交换机</w:t>
            </w:r>
            <w:r/>
          </w:p>
        </w:tc>
        <w:tc>
          <w:tcPr>
            <w:tcW w:w="567" w:type="dxa"/>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台</w:t>
            </w:r>
            <w:r/>
          </w:p>
        </w:tc>
        <w:tc>
          <w:tcPr>
            <w:tcW w:w="598" w:type="dxa"/>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1</w:t>
            </w:r>
            <w:r/>
          </w:p>
        </w:tc>
        <w:tc>
          <w:tcPr>
            <w:tcW w:w="4613" w:type="dxa"/>
            <w:vAlign w:val="center"/>
            <w:textDirection w:val="lrTb"/>
            <w:noWrap/>
          </w:tcPr>
          <w:p>
            <w:pPr>
              <w:jc w:val="left"/>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　</w:t>
            </w:r>
            <w:r/>
          </w:p>
        </w:tc>
      </w:tr>
      <w:tr>
        <w:trPr>
          <w:jc w:val="center"/>
        </w:trPr>
        <w:tc>
          <w:tcPr>
            <w:tcW w:w="733" w:type="dxa"/>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10.5</w:t>
            </w:r>
            <w:r/>
          </w:p>
        </w:tc>
        <w:tc>
          <w:tcPr>
            <w:tcW w:w="2777" w:type="dxa"/>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吸顶AP</w:t>
            </w:r>
            <w:r/>
          </w:p>
        </w:tc>
        <w:tc>
          <w:tcPr>
            <w:tcW w:w="567" w:type="dxa"/>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台</w:t>
            </w:r>
            <w:r/>
          </w:p>
        </w:tc>
        <w:tc>
          <w:tcPr>
            <w:tcW w:w="598" w:type="dxa"/>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2</w:t>
            </w:r>
            <w:r/>
          </w:p>
        </w:tc>
        <w:tc>
          <w:tcPr>
            <w:tcW w:w="4613" w:type="dxa"/>
            <w:vAlign w:val="center"/>
            <w:textDirection w:val="lrTb"/>
            <w:noWrap w:val="false"/>
          </w:tcPr>
          <w:p>
            <w:pPr>
              <w:jc w:val="left"/>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含六类屏蔽阻水网线</w:t>
            </w:r>
            <w:r/>
          </w:p>
        </w:tc>
      </w:tr>
      <w:tr>
        <w:trPr>
          <w:jc w:val="center"/>
        </w:trPr>
        <w:tc>
          <w:tcPr>
            <w:tcW w:w="733" w:type="dxa"/>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10.6</w:t>
            </w:r>
            <w:r/>
          </w:p>
        </w:tc>
        <w:tc>
          <w:tcPr>
            <w:tcW w:w="2777" w:type="dxa"/>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室外AP</w:t>
            </w:r>
            <w:r/>
          </w:p>
        </w:tc>
        <w:tc>
          <w:tcPr>
            <w:tcW w:w="567" w:type="dxa"/>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台</w:t>
            </w:r>
            <w:r/>
          </w:p>
        </w:tc>
        <w:tc>
          <w:tcPr>
            <w:tcW w:w="598" w:type="dxa"/>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4</w:t>
            </w:r>
            <w:r/>
          </w:p>
        </w:tc>
        <w:tc>
          <w:tcPr>
            <w:tcW w:w="4613" w:type="dxa"/>
            <w:vAlign w:val="center"/>
            <w:textDirection w:val="lrTb"/>
            <w:noWrap w:val="false"/>
          </w:tcPr>
          <w:p>
            <w:pPr>
              <w:jc w:val="left"/>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含六类屏蔽阻水网线</w:t>
            </w:r>
            <w:r/>
          </w:p>
        </w:tc>
      </w:tr>
      <w:tr>
        <w:trPr>
          <w:jc w:val="center"/>
        </w:trPr>
        <w:tc>
          <w:tcPr>
            <w:tcW w:w="733" w:type="dxa"/>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10.7</w:t>
            </w:r>
            <w:r/>
          </w:p>
        </w:tc>
        <w:tc>
          <w:tcPr>
            <w:tcW w:w="2777" w:type="dxa"/>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移动支架</w:t>
            </w:r>
            <w:r/>
          </w:p>
        </w:tc>
        <w:tc>
          <w:tcPr>
            <w:tcW w:w="567" w:type="dxa"/>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套</w:t>
            </w:r>
            <w:r/>
          </w:p>
        </w:tc>
        <w:tc>
          <w:tcPr>
            <w:tcW w:w="598" w:type="dxa"/>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1</w:t>
            </w:r>
            <w:r/>
          </w:p>
        </w:tc>
        <w:tc>
          <w:tcPr>
            <w:tcW w:w="4613" w:type="dxa"/>
            <w:vAlign w:val="center"/>
            <w:textDirection w:val="lrTb"/>
            <w:noWrap/>
          </w:tcPr>
          <w:p>
            <w:pPr>
              <w:jc w:val="lef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利旧的1台电视机需购置支架</w:t>
            </w:r>
            <w:r/>
          </w:p>
        </w:tc>
      </w:tr>
      <w:tr>
        <w:trPr>
          <w:jc w:val="center"/>
        </w:trPr>
        <w:tc>
          <w:tcPr>
            <w:tcW w:w="733" w:type="dxa"/>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11</w:t>
            </w:r>
            <w:r/>
          </w:p>
        </w:tc>
        <w:tc>
          <w:tcPr>
            <w:tcW w:w="2777" w:type="dxa"/>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太阳能供电设备</w:t>
            </w:r>
            <w:r/>
          </w:p>
        </w:tc>
        <w:tc>
          <w:tcPr>
            <w:tcW w:w="567" w:type="dxa"/>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套</w:t>
            </w:r>
            <w:r/>
          </w:p>
        </w:tc>
        <w:tc>
          <w:tcPr>
            <w:tcW w:w="598" w:type="dxa"/>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1</w:t>
            </w:r>
            <w:r/>
          </w:p>
        </w:tc>
        <w:tc>
          <w:tcPr>
            <w:tcW w:w="4613" w:type="dxa"/>
            <w:vAlign w:val="center"/>
            <w:textDirection w:val="lrTb"/>
            <w:noWrap w:val="false"/>
          </w:tcPr>
          <w:p>
            <w:pPr>
              <w:jc w:val="left"/>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太阳能板及支架、蓄电池、充电控制器、输电线路等</w:t>
            </w:r>
            <w:r/>
          </w:p>
        </w:tc>
      </w:tr>
      <w:tr>
        <w:trPr>
          <w:jc w:val="center"/>
        </w:trPr>
        <w:tc>
          <w:tcPr>
            <w:tcW w:w="733" w:type="dxa"/>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12</w:t>
            </w:r>
            <w:r/>
          </w:p>
        </w:tc>
        <w:tc>
          <w:tcPr>
            <w:tcW w:w="2777" w:type="dxa"/>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院内外布线</w:t>
            </w:r>
            <w:r/>
          </w:p>
        </w:tc>
        <w:tc>
          <w:tcPr>
            <w:tcW w:w="567" w:type="dxa"/>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项</w:t>
            </w:r>
            <w:r/>
          </w:p>
        </w:tc>
        <w:tc>
          <w:tcPr>
            <w:tcW w:w="598" w:type="dxa"/>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1</w:t>
            </w:r>
            <w:r/>
          </w:p>
        </w:tc>
        <w:tc>
          <w:tcPr>
            <w:tcW w:w="4613" w:type="dxa"/>
            <w:vAlign w:val="center"/>
            <w:textDirection w:val="lrTb"/>
            <w:noWrap w:val="false"/>
          </w:tcPr>
          <w:p>
            <w:pPr>
              <w:jc w:val="left"/>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室外 RVV 电源线地埋管敷设（含 30cm 开挖回填）、室外六类阻水网线地埋管及墙面敷设（开挖 30cm管埋、室内暗线管）、观测场布置线管</w:t>
            </w:r>
            <w:r/>
          </w:p>
        </w:tc>
      </w:tr>
    </w:tbl>
    <w:p>
      <w:pPr>
        <w:rPr>
          <w:color w:val="000000" w:themeColor="text1"/>
          <w14:textFill>
            <w14:solidFill>
              <w14:schemeClr w14:val="tx1"/>
            </w14:solidFill>
          </w14:textFill>
        </w:rPr>
      </w:pPr>
      <w:r>
        <w:rPr>
          <w:color w:val="000000" w:themeColor="text1"/>
          <w14:textFill>
            <w14:solidFill>
              <w14:schemeClr w14:val="tx1"/>
            </w14:solidFill>
          </w14:textFill>
        </w:rPr>
      </w:r>
      <w:r/>
    </w:p>
    <w:p>
      <w:pPr>
        <w:pStyle w:val="668"/>
        <w:rPr>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w:t>
      </w:r>
      <w:r>
        <w:rPr>
          <w:rFonts w:hint="eastAsia"/>
          <w:b/>
          <w:bCs/>
          <w:color w:val="000000" w:themeColor="text1"/>
          <w:sz w:val="24"/>
          <w:szCs w:val="24"/>
          <w14:textFill>
            <w14:solidFill>
              <w14:schemeClr w14:val="tx1"/>
            </w14:solidFill>
          </w14:textFill>
        </w:rPr>
        <w:t xml:space="preserve">2</w:t>
      </w:r>
      <w:r>
        <w:rPr>
          <w:rFonts w:hint="eastAsia" w:ascii="宋体" w:hAnsi="宋体" w:eastAsia="宋体" w:cs="宋体"/>
          <w:b/>
          <w:bCs/>
          <w:color w:val="000000" w:themeColor="text1"/>
          <w:sz w:val="24"/>
          <w:szCs w:val="24"/>
          <w14:textFill>
            <w14:solidFill>
              <w14:schemeClr w14:val="tx1"/>
            </w14:solidFill>
          </w14:textFill>
        </w:rPr>
        <w:t xml:space="preserve">）建筑工程部分</w:t>
      </w:r>
      <w:r/>
    </w:p>
    <w:tbl>
      <w:tblPr>
        <w:tblStyle w:val="676"/>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41"/>
        <w:gridCol w:w="2378"/>
        <w:gridCol w:w="775"/>
        <w:gridCol w:w="909"/>
        <w:gridCol w:w="4485"/>
      </w:tblGrid>
      <w:tr>
        <w:trPr>
          <w:trHeight w:val="285"/>
        </w:trPr>
        <w:tc>
          <w:tcPr>
            <w:tcW w:w="344" w:type="pct"/>
            <w:vAlign w:val="bottom"/>
            <w:textDirection w:val="lrTb"/>
            <w:noWrap/>
          </w:tcPr>
          <w:p>
            <w:pPr>
              <w:jc w:val="center"/>
              <w:widowControl/>
              <w:rPr>
                <w:rFonts w:ascii="宋体" w:hAnsi="宋体" w:cs="宋体"/>
                <w:b/>
                <w:bCs/>
                <w:color w:val="000000" w:themeColor="text1"/>
                <w:szCs w:val="21"/>
                <w14:textFill>
                  <w14:solidFill>
                    <w14:schemeClr w14:val="tx1"/>
                  </w14:solidFill>
                </w14:textFill>
              </w:rPr>
            </w:pPr>
            <w:r/>
            <w:bookmarkStart w:id="19" w:name="_Hlk239166169"/>
            <w:r>
              <w:rPr>
                <w:rFonts w:ascii="宋体" w:hAnsi="宋体" w:cs="宋体"/>
                <w:b/>
                <w:bCs/>
                <w:color w:val="000000" w:themeColor="text1"/>
                <w:szCs w:val="21"/>
                <w14:textFill>
                  <w14:solidFill>
                    <w14:schemeClr w14:val="tx1"/>
                  </w14:solidFill>
                </w14:textFill>
              </w:rPr>
              <w:t xml:space="preserve">序号</w:t>
            </w:r>
            <w:r/>
          </w:p>
        </w:tc>
        <w:tc>
          <w:tcPr>
            <w:tcW w:w="1294" w:type="pct"/>
            <w:vAlign w:val="bottom"/>
            <w:textDirection w:val="lrTb"/>
            <w:noWrap/>
          </w:tcPr>
          <w:p>
            <w:pPr>
              <w:jc w:val="center"/>
              <w:widowControl/>
              <w:rPr>
                <w:rFonts w:ascii="宋体" w:hAnsi="宋体" w:cs="宋体"/>
                <w:b/>
                <w:bCs/>
                <w:color w:val="000000" w:themeColor="text1"/>
                <w:szCs w:val="21"/>
                <w14:textFill>
                  <w14:solidFill>
                    <w14:schemeClr w14:val="tx1"/>
                  </w14:solidFill>
                </w14:textFill>
              </w:rPr>
            </w:pPr>
            <w:r>
              <w:rPr>
                <w:rFonts w:ascii="宋体" w:hAnsi="宋体" w:cs="宋体"/>
                <w:b/>
                <w:bCs/>
                <w:color w:val="000000" w:themeColor="text1"/>
                <w:szCs w:val="21"/>
                <w14:textFill>
                  <w14:solidFill>
                    <w14:schemeClr w14:val="tx1"/>
                  </w14:solidFill>
                </w14:textFill>
              </w:rPr>
              <w:t xml:space="preserve">项目名称</w:t>
            </w:r>
            <w:r/>
          </w:p>
        </w:tc>
        <w:tc>
          <w:tcPr>
            <w:tcW w:w="431" w:type="pct"/>
            <w:vAlign w:val="bottom"/>
            <w:textDirection w:val="lrTb"/>
            <w:noWrap/>
          </w:tcPr>
          <w:p>
            <w:pPr>
              <w:jc w:val="center"/>
              <w:widowControl/>
              <w:rPr>
                <w:rFonts w:ascii="宋体" w:hAnsi="宋体" w:cs="宋体"/>
                <w:b/>
                <w:bCs/>
                <w:color w:val="000000" w:themeColor="text1"/>
                <w:szCs w:val="21"/>
                <w14:textFill>
                  <w14:solidFill>
                    <w14:schemeClr w14:val="tx1"/>
                  </w14:solidFill>
                </w14:textFill>
              </w:rPr>
            </w:pPr>
            <w:r>
              <w:rPr>
                <w:rFonts w:ascii="宋体" w:hAnsi="宋体" w:cs="宋体"/>
                <w:b/>
                <w:bCs/>
                <w:color w:val="000000" w:themeColor="text1"/>
                <w:szCs w:val="21"/>
                <w14:textFill>
                  <w14:solidFill>
                    <w14:schemeClr w14:val="tx1"/>
                  </w14:solidFill>
                </w14:textFill>
              </w:rPr>
              <w:t xml:space="preserve">单位</w:t>
            </w:r>
            <w:r/>
          </w:p>
        </w:tc>
        <w:tc>
          <w:tcPr>
            <w:tcW w:w="503" w:type="pct"/>
            <w:vAlign w:val="bottom"/>
            <w:textDirection w:val="lrTb"/>
            <w:noWrap/>
          </w:tcPr>
          <w:p>
            <w:pPr>
              <w:jc w:val="center"/>
              <w:widowControl/>
              <w:rPr>
                <w:rFonts w:ascii="宋体" w:hAnsi="宋体" w:cs="宋体"/>
                <w:b/>
                <w:bCs/>
                <w:color w:val="000000" w:themeColor="text1"/>
                <w:szCs w:val="21"/>
                <w14:textFill>
                  <w14:solidFill>
                    <w14:schemeClr w14:val="tx1"/>
                  </w14:solidFill>
                </w14:textFill>
              </w:rPr>
            </w:pPr>
            <w:r>
              <w:rPr>
                <w:rFonts w:ascii="宋体" w:hAnsi="宋体" w:cs="宋体"/>
                <w:b/>
                <w:bCs/>
                <w:color w:val="000000" w:themeColor="text1"/>
                <w:szCs w:val="21"/>
                <w14:textFill>
                  <w14:solidFill>
                    <w14:schemeClr w14:val="tx1"/>
                  </w14:solidFill>
                </w14:textFill>
              </w:rPr>
              <w:t xml:space="preserve">工程量</w:t>
            </w:r>
            <w:r/>
          </w:p>
        </w:tc>
        <w:tc>
          <w:tcPr>
            <w:tcW w:w="2428" w:type="pct"/>
            <w:vAlign w:val="bottom"/>
            <w:textDirection w:val="lrTb"/>
            <w:noWrap/>
          </w:tcPr>
          <w:p>
            <w:pPr>
              <w:jc w:val="center"/>
              <w:widowControl/>
              <w:rPr>
                <w:rFonts w:ascii="宋体" w:hAnsi="宋体" w:cs="宋体"/>
                <w:b/>
                <w:bCs/>
                <w:color w:val="000000" w:themeColor="text1"/>
                <w:szCs w:val="21"/>
                <w14:textFill>
                  <w14:solidFill>
                    <w14:schemeClr w14:val="tx1"/>
                  </w14:solidFill>
                </w14:textFill>
              </w:rPr>
            </w:pPr>
            <w:r>
              <w:rPr>
                <w:rFonts w:ascii="宋体" w:hAnsi="宋体" w:cs="宋体"/>
                <w:b/>
                <w:bCs/>
                <w:color w:val="000000" w:themeColor="text1"/>
                <w:szCs w:val="21"/>
                <w14:textFill>
                  <w14:solidFill>
                    <w14:schemeClr w14:val="tx1"/>
                  </w14:solidFill>
                </w14:textFill>
              </w:rPr>
              <w:t xml:space="preserve">工程量描述</w:t>
            </w:r>
            <w:r/>
          </w:p>
        </w:tc>
      </w:tr>
      <w:tr>
        <w:trPr>
          <w:trHeight w:val="285"/>
        </w:trPr>
        <w:tc>
          <w:tcPr>
            <w:tcW w:w="344" w:type="pct"/>
            <w:vAlign w:val="bottom"/>
            <w:textDirection w:val="lrTb"/>
            <w:noWrap/>
          </w:tcPr>
          <w:p>
            <w:pPr>
              <w:jc w:val="center"/>
              <w:widowControl/>
              <w:rPr>
                <w:rFonts w:ascii="宋体" w:hAnsi="宋体" w:cs="宋体"/>
                <w:b/>
                <w:bCs/>
                <w:color w:val="000000" w:themeColor="text1"/>
                <w:szCs w:val="21"/>
                <w14:textFill>
                  <w14:solidFill>
                    <w14:schemeClr w14:val="tx1"/>
                  </w14:solidFill>
                </w14:textFill>
              </w:rPr>
            </w:pPr>
            <w:r>
              <w:rPr>
                <w:rFonts w:ascii="宋体" w:hAnsi="宋体" w:cs="宋体"/>
                <w:b/>
                <w:bCs/>
                <w:color w:val="000000" w:themeColor="text1"/>
                <w:szCs w:val="21"/>
                <w14:textFill>
                  <w14:solidFill>
                    <w14:schemeClr w14:val="tx1"/>
                  </w14:solidFill>
                </w14:textFill>
              </w:rPr>
              <w:t xml:space="preserve">一</w:t>
            </w:r>
            <w:r/>
          </w:p>
        </w:tc>
        <w:tc>
          <w:tcPr>
            <w:tcW w:w="1294" w:type="pct"/>
            <w:vAlign w:val="bottom"/>
            <w:textDirection w:val="lrTb"/>
            <w:noWrap/>
          </w:tcPr>
          <w:p>
            <w:pPr>
              <w:jc w:val="center"/>
              <w:widowControl/>
              <w:rPr>
                <w:rFonts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环境改造</w:t>
            </w:r>
            <w:r>
              <w:rPr>
                <w:rFonts w:ascii="宋体" w:hAnsi="宋体" w:cs="宋体"/>
                <w:b/>
                <w:bCs/>
                <w:color w:val="000000" w:themeColor="text1"/>
                <w:szCs w:val="21"/>
                <w14:textFill>
                  <w14:solidFill>
                    <w14:schemeClr w14:val="tx1"/>
                  </w14:solidFill>
                </w14:textFill>
              </w:rPr>
              <w:t xml:space="preserve">工程</w:t>
            </w:r>
            <w:r/>
          </w:p>
        </w:tc>
        <w:tc>
          <w:tcPr>
            <w:tcW w:w="431" w:type="pct"/>
            <w:vAlign w:val="bottom"/>
            <w:textDirection w:val="lrTb"/>
            <w:noWrap/>
          </w:tcPr>
          <w:p>
            <w:pPr>
              <w:jc w:val="center"/>
              <w:widowControl/>
              <w:rPr>
                <w:rFonts w:ascii="宋体" w:hAnsi="宋体" w:cs="宋体"/>
                <w:b/>
                <w:bCs/>
                <w:color w:val="000000" w:themeColor="text1"/>
                <w:szCs w:val="21"/>
                <w14:textFill>
                  <w14:solidFill>
                    <w14:schemeClr w14:val="tx1"/>
                  </w14:solidFill>
                </w14:textFill>
              </w:rPr>
            </w:pPr>
            <w:r>
              <w:rPr>
                <w:rFonts w:ascii="宋体" w:hAnsi="宋体" w:cs="宋体"/>
                <w:b/>
                <w:bCs/>
                <w:color w:val="000000" w:themeColor="text1"/>
                <w:szCs w:val="21"/>
                <w14:textFill>
                  <w14:solidFill>
                    <w14:schemeClr w14:val="tx1"/>
                  </w14:solidFill>
                </w14:textFill>
              </w:rPr>
              <w:t xml:space="preserve">　</w:t>
            </w:r>
            <w:r/>
          </w:p>
        </w:tc>
        <w:tc>
          <w:tcPr>
            <w:tcW w:w="503" w:type="pct"/>
            <w:vAlign w:val="bottom"/>
            <w:textDirection w:val="lrTb"/>
            <w:noWrap/>
          </w:tcPr>
          <w:p>
            <w:pPr>
              <w:jc w:val="center"/>
              <w:widowControl/>
              <w:rPr>
                <w:rFonts w:ascii="宋体" w:hAnsi="宋体" w:cs="宋体"/>
                <w:b/>
                <w:bCs/>
                <w:color w:val="000000" w:themeColor="text1"/>
                <w:szCs w:val="21"/>
                <w14:textFill>
                  <w14:solidFill>
                    <w14:schemeClr w14:val="tx1"/>
                  </w14:solidFill>
                </w14:textFill>
              </w:rPr>
            </w:pPr>
            <w:r>
              <w:rPr>
                <w:rFonts w:ascii="宋体" w:hAnsi="宋体" w:cs="宋体"/>
                <w:b/>
                <w:bCs/>
                <w:color w:val="000000" w:themeColor="text1"/>
                <w:szCs w:val="21"/>
                <w14:textFill>
                  <w14:solidFill>
                    <w14:schemeClr w14:val="tx1"/>
                  </w14:solidFill>
                </w14:textFill>
              </w:rPr>
              <w:t xml:space="preserve">　</w:t>
            </w:r>
            <w:r/>
          </w:p>
        </w:tc>
        <w:tc>
          <w:tcPr>
            <w:tcW w:w="2428" w:type="pct"/>
            <w:vAlign w:val="bottom"/>
            <w:textDirection w:val="lrTb"/>
            <w:noWrap/>
          </w:tcPr>
          <w:p>
            <w:pPr>
              <w:jc w:val="center"/>
              <w:widowControl/>
              <w:rPr>
                <w:rFonts w:ascii="宋体" w:hAnsi="宋体" w:cs="宋体"/>
                <w:b/>
                <w:bCs/>
                <w:color w:val="000000" w:themeColor="text1"/>
                <w:szCs w:val="21"/>
                <w14:textFill>
                  <w14:solidFill>
                    <w14:schemeClr w14:val="tx1"/>
                  </w14:solidFill>
                </w14:textFill>
              </w:rPr>
            </w:pPr>
            <w:r>
              <w:rPr>
                <w:rFonts w:ascii="宋体" w:hAnsi="宋体" w:cs="宋体"/>
                <w:b/>
                <w:bCs/>
                <w:color w:val="000000" w:themeColor="text1"/>
                <w:szCs w:val="21"/>
                <w14:textFill>
                  <w14:solidFill>
                    <w14:schemeClr w14:val="tx1"/>
                  </w14:solidFill>
                </w14:textFill>
              </w:rPr>
              <w:t xml:space="preserve">　</w:t>
            </w:r>
            <w:r/>
          </w:p>
        </w:tc>
      </w:tr>
      <w:tr>
        <w:trPr>
          <w:trHeight w:val="960"/>
        </w:trPr>
        <w:tc>
          <w:tcPr>
            <w:tcW w:w="344"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1.1</w:t>
            </w:r>
            <w:r/>
          </w:p>
        </w:tc>
        <w:tc>
          <w:tcPr>
            <w:tcW w:w="1294" w:type="pct"/>
            <w:vAlign w:val="center"/>
            <w:textDirection w:val="lrTb"/>
            <w:noWrap w:val="false"/>
          </w:tcPr>
          <w:p>
            <w:pPr>
              <w:jc w:val="left"/>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原透水砖铺装拆除</w:t>
            </w:r>
            <w:r/>
          </w:p>
        </w:tc>
        <w:tc>
          <w:tcPr>
            <w:tcW w:w="431"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w:t>
            </w:r>
            <w:r/>
          </w:p>
        </w:tc>
        <w:tc>
          <w:tcPr>
            <w:tcW w:w="503"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228</w:t>
            </w:r>
            <w:r/>
          </w:p>
        </w:tc>
        <w:tc>
          <w:tcPr>
            <w:tcW w:w="2428" w:type="pct"/>
            <w:vAlign w:val="center"/>
            <w:textDirection w:val="lrTb"/>
            <w:noWrap w:val="false"/>
          </w:tcPr>
          <w:p>
            <w:pPr>
              <w:jc w:val="left"/>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原透水砖铺装拆除；含面层、找平层及图示拆除范围内基层处理，切缝、邻近成品保护、垃圾分类装运及场地恢复；运距及弃置点由投标人踏勘后综合考虑。</w:t>
            </w:r>
            <w:r/>
          </w:p>
        </w:tc>
      </w:tr>
      <w:tr>
        <w:trPr>
          <w:trHeight w:val="900"/>
        </w:trPr>
        <w:tc>
          <w:tcPr>
            <w:tcW w:w="344"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1.2</w:t>
            </w:r>
            <w:r/>
          </w:p>
        </w:tc>
        <w:tc>
          <w:tcPr>
            <w:tcW w:w="1294" w:type="pct"/>
            <w:vAlign w:val="center"/>
            <w:textDirection w:val="lrTb"/>
            <w:noWrap w:val="false"/>
          </w:tcPr>
          <w:p>
            <w:pPr>
              <w:jc w:val="left"/>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原透水混凝土铺装拆除</w:t>
            </w:r>
            <w:r/>
          </w:p>
        </w:tc>
        <w:tc>
          <w:tcPr>
            <w:tcW w:w="431"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w:t>
            </w:r>
            <w:r/>
          </w:p>
        </w:tc>
        <w:tc>
          <w:tcPr>
            <w:tcW w:w="503"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412</w:t>
            </w:r>
            <w:r/>
          </w:p>
        </w:tc>
        <w:tc>
          <w:tcPr>
            <w:tcW w:w="2428" w:type="pct"/>
            <w:vAlign w:val="center"/>
            <w:textDirection w:val="lrTb"/>
            <w:noWrap w:val="false"/>
          </w:tcPr>
          <w:p>
            <w:pPr>
              <w:jc w:val="left"/>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原透水混凝土铺装拆除；含面层及图示拆除范围内基层处理，切缝、邻近成品保护、混凝土弃料装运及场地恢复；运距及弃置点由投标人踏勘后综合考虑。</w:t>
            </w:r>
            <w:r/>
          </w:p>
        </w:tc>
      </w:tr>
      <w:tr>
        <w:trPr>
          <w:trHeight w:val="900"/>
        </w:trPr>
        <w:tc>
          <w:tcPr>
            <w:tcW w:w="344"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1.3</w:t>
            </w:r>
            <w:r/>
          </w:p>
        </w:tc>
        <w:tc>
          <w:tcPr>
            <w:tcW w:w="1294" w:type="pct"/>
            <w:vAlign w:val="center"/>
            <w:textDirection w:val="lrTb"/>
            <w:noWrap w:val="false"/>
          </w:tcPr>
          <w:p>
            <w:pPr>
              <w:jc w:val="left"/>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彩色透水混凝土园路垫层</w:t>
            </w:r>
            <w:r/>
          </w:p>
        </w:tc>
        <w:tc>
          <w:tcPr>
            <w:tcW w:w="431"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w:t>
            </w:r>
            <w:r/>
          </w:p>
        </w:tc>
        <w:tc>
          <w:tcPr>
            <w:tcW w:w="503"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262</w:t>
            </w:r>
            <w:r/>
          </w:p>
        </w:tc>
        <w:tc>
          <w:tcPr>
            <w:tcW w:w="2428" w:type="pct"/>
            <w:vAlign w:val="center"/>
            <w:textDirection w:val="lrTb"/>
            <w:noWrap w:val="false"/>
          </w:tcPr>
          <w:p>
            <w:pPr>
              <w:jc w:val="left"/>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素土夯实，压实系数不小于0.93；级配碎石垫层按对应详图采用100mm、150mm或200mm厚；基层整形、夯实及养护</w:t>
            </w:r>
            <w:r>
              <w:rPr>
                <w:rFonts w:hint="eastAsia" w:ascii="宋体" w:hAnsi="宋体" w:cs="宋体"/>
                <w:color w:val="000000" w:themeColor="text1"/>
                <w:szCs w:val="21"/>
                <w14:textFill>
                  <w14:solidFill>
                    <w14:schemeClr w14:val="tx1"/>
                  </w14:solidFill>
                </w14:textFill>
              </w:rPr>
              <w:t xml:space="preserve">，详见施工图</w:t>
            </w:r>
            <w:r>
              <w:rPr>
                <w:rFonts w:ascii="宋体" w:hAnsi="宋体" w:cs="宋体"/>
                <w:color w:val="000000" w:themeColor="text1"/>
                <w:szCs w:val="21"/>
                <w14:textFill>
                  <w14:solidFill>
                    <w14:schemeClr w14:val="tx1"/>
                  </w14:solidFill>
                </w14:textFill>
              </w:rPr>
              <w:t xml:space="preserve">。</w:t>
            </w:r>
            <w:r/>
          </w:p>
        </w:tc>
      </w:tr>
      <w:tr>
        <w:trPr>
          <w:trHeight w:val="900"/>
        </w:trPr>
        <w:tc>
          <w:tcPr>
            <w:tcW w:w="344"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1.4</w:t>
            </w:r>
            <w:r/>
          </w:p>
        </w:tc>
        <w:tc>
          <w:tcPr>
            <w:tcW w:w="1294" w:type="pct"/>
            <w:vAlign w:val="center"/>
            <w:textDirection w:val="lrTb"/>
            <w:noWrap w:val="false"/>
          </w:tcPr>
          <w:p>
            <w:pPr>
              <w:jc w:val="left"/>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彩色透水混凝土园路面层</w:t>
            </w:r>
            <w:r/>
          </w:p>
        </w:tc>
        <w:tc>
          <w:tcPr>
            <w:tcW w:w="431"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w:t>
            </w:r>
            <w:r/>
          </w:p>
        </w:tc>
        <w:tc>
          <w:tcPr>
            <w:tcW w:w="503"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262</w:t>
            </w:r>
            <w:r/>
          </w:p>
        </w:tc>
        <w:tc>
          <w:tcPr>
            <w:tcW w:w="2428" w:type="pct"/>
            <w:vAlign w:val="center"/>
            <w:textDirection w:val="lrTb"/>
            <w:noWrap w:val="false"/>
          </w:tcPr>
          <w:p>
            <w:pPr>
              <w:jc w:val="left"/>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各部位按对应详图：LP-01为40mm厚彩色C25强固透水混凝土+80mm厚C25透水混凝土；LT-01及廊下详图为30mm+90mm厚透水混凝土并设30mm砂滤层；透明密封剂、颜色和分色</w:t>
            </w:r>
            <w:r/>
          </w:p>
        </w:tc>
      </w:tr>
      <w:tr>
        <w:trPr>
          <w:trHeight w:val="450"/>
        </w:trPr>
        <w:tc>
          <w:tcPr>
            <w:tcW w:w="344"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1.5</w:t>
            </w:r>
            <w:r/>
          </w:p>
        </w:tc>
        <w:tc>
          <w:tcPr>
            <w:tcW w:w="1294" w:type="pct"/>
            <w:vAlign w:val="center"/>
            <w:textDirection w:val="lrTb"/>
            <w:noWrap w:val="false"/>
          </w:tcPr>
          <w:p>
            <w:pPr>
              <w:jc w:val="left"/>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透水砖园路垫层</w:t>
            </w:r>
            <w:r/>
          </w:p>
        </w:tc>
        <w:tc>
          <w:tcPr>
            <w:tcW w:w="431"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w:t>
            </w:r>
            <w:r/>
          </w:p>
        </w:tc>
        <w:tc>
          <w:tcPr>
            <w:tcW w:w="503"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13.3</w:t>
            </w:r>
            <w:r/>
          </w:p>
        </w:tc>
        <w:tc>
          <w:tcPr>
            <w:tcW w:w="2428" w:type="pct"/>
            <w:vAlign w:val="center"/>
            <w:textDirection w:val="lrTb"/>
            <w:noWrap w:val="false"/>
          </w:tcPr>
          <w:p>
            <w:pPr>
              <w:jc w:val="left"/>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150mm厚级配碎石垫层；素土夯实，压实系数不小于0.93；含基层整形、夯实。</w:t>
            </w:r>
            <w:r/>
          </w:p>
        </w:tc>
      </w:tr>
      <w:tr>
        <w:trPr>
          <w:trHeight w:val="285"/>
        </w:trPr>
        <w:tc>
          <w:tcPr>
            <w:tcW w:w="344"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1.6</w:t>
            </w:r>
            <w:r/>
          </w:p>
        </w:tc>
        <w:tc>
          <w:tcPr>
            <w:tcW w:w="1294" w:type="pct"/>
            <w:vAlign w:val="center"/>
            <w:textDirection w:val="lrTb"/>
            <w:noWrap w:val="false"/>
          </w:tcPr>
          <w:p>
            <w:pPr>
              <w:jc w:val="left"/>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透水砖园路找平层</w:t>
            </w:r>
            <w:r/>
          </w:p>
        </w:tc>
        <w:tc>
          <w:tcPr>
            <w:tcW w:w="431"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w:t>
            </w:r>
            <w:r/>
          </w:p>
        </w:tc>
        <w:tc>
          <w:tcPr>
            <w:tcW w:w="503"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13.3</w:t>
            </w:r>
            <w:r/>
          </w:p>
        </w:tc>
        <w:tc>
          <w:tcPr>
            <w:tcW w:w="2428" w:type="pct"/>
            <w:vAlign w:val="center"/>
            <w:textDirection w:val="lrTb"/>
            <w:noWrap w:val="false"/>
          </w:tcPr>
          <w:p>
            <w:pPr>
              <w:jc w:val="left"/>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50mm厚中砂找平层；摊铺、找平、夯实。</w:t>
            </w:r>
            <w:r/>
          </w:p>
        </w:tc>
      </w:tr>
      <w:tr>
        <w:trPr>
          <w:trHeight w:val="675"/>
        </w:trPr>
        <w:tc>
          <w:tcPr>
            <w:tcW w:w="344"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1.7</w:t>
            </w:r>
            <w:r/>
          </w:p>
        </w:tc>
        <w:tc>
          <w:tcPr>
            <w:tcW w:w="1294" w:type="pct"/>
            <w:vAlign w:val="center"/>
            <w:textDirection w:val="lrTb"/>
            <w:noWrap w:val="false"/>
          </w:tcPr>
          <w:p>
            <w:pPr>
              <w:jc w:val="left"/>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灰色透水砖园路面层</w:t>
            </w:r>
            <w:r/>
          </w:p>
        </w:tc>
        <w:tc>
          <w:tcPr>
            <w:tcW w:w="431"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w:t>
            </w:r>
            <w:r/>
          </w:p>
        </w:tc>
        <w:tc>
          <w:tcPr>
            <w:tcW w:w="503"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13.3</w:t>
            </w:r>
            <w:r/>
          </w:p>
        </w:tc>
        <w:tc>
          <w:tcPr>
            <w:tcW w:w="2428" w:type="pct"/>
            <w:vAlign w:val="center"/>
            <w:textDirection w:val="lrTb"/>
            <w:noWrap w:val="false"/>
          </w:tcPr>
          <w:p>
            <w:pPr>
              <w:jc w:val="left"/>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240×120×60mm灰色透水砖铺装；拼缝、扫缝、切割及收边按图；用于0.4m宽水文观测道路。</w:t>
            </w:r>
            <w:r/>
          </w:p>
        </w:tc>
      </w:tr>
      <w:tr>
        <w:trPr>
          <w:trHeight w:val="900"/>
        </w:trPr>
        <w:tc>
          <w:tcPr>
            <w:tcW w:w="344"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1.8</w:t>
            </w:r>
            <w:r/>
          </w:p>
        </w:tc>
        <w:tc>
          <w:tcPr>
            <w:tcW w:w="1294" w:type="pct"/>
            <w:vAlign w:val="center"/>
            <w:textDirection w:val="lrTb"/>
            <w:noWrap w:val="false"/>
          </w:tcPr>
          <w:p>
            <w:pPr>
              <w:jc w:val="left"/>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入口沥青园路面层</w:t>
            </w:r>
            <w:r/>
          </w:p>
        </w:tc>
        <w:tc>
          <w:tcPr>
            <w:tcW w:w="431"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w:t>
            </w:r>
            <w:r/>
          </w:p>
        </w:tc>
        <w:tc>
          <w:tcPr>
            <w:tcW w:w="503"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451.6</w:t>
            </w:r>
            <w:r/>
          </w:p>
        </w:tc>
        <w:tc>
          <w:tcPr>
            <w:tcW w:w="2428" w:type="pct"/>
            <w:vAlign w:val="center"/>
            <w:textDirection w:val="lrTb"/>
            <w:noWrap w:val="false"/>
          </w:tcPr>
          <w:p>
            <w:pPr>
              <w:jc w:val="left"/>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保留并修复可利用基层，更换沥青面层；含旧面层处理、粘层、摊铺碾压及停车位标线；</w:t>
            </w:r>
            <w:r>
              <w:rPr>
                <w:rFonts w:hint="eastAsia" w:ascii="宋体" w:hAnsi="宋体" w:cs="宋体"/>
                <w:color w:val="000000" w:themeColor="text1"/>
                <w:szCs w:val="21"/>
                <w14:textFill>
                  <w14:solidFill>
                    <w14:schemeClr w14:val="tx1"/>
                  </w14:solidFill>
                </w14:textFill>
              </w:rPr>
              <w:t xml:space="preserve">详见施工图</w:t>
            </w:r>
            <w:r>
              <w:rPr>
                <w:rFonts w:ascii="宋体" w:hAnsi="宋体" w:cs="宋体"/>
                <w:color w:val="000000" w:themeColor="text1"/>
                <w:szCs w:val="21"/>
                <w14:textFill>
                  <w14:solidFill>
                    <w14:schemeClr w14:val="tx1"/>
                  </w14:solidFill>
                </w14:textFill>
              </w:rPr>
              <w:t xml:space="preserve">。</w:t>
            </w:r>
            <w:r/>
          </w:p>
        </w:tc>
      </w:tr>
      <w:tr>
        <w:trPr>
          <w:trHeight w:val="675"/>
        </w:trPr>
        <w:tc>
          <w:tcPr>
            <w:tcW w:w="344"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1.9</w:t>
            </w:r>
            <w:r/>
          </w:p>
        </w:tc>
        <w:tc>
          <w:tcPr>
            <w:tcW w:w="1294" w:type="pct"/>
            <w:vAlign w:val="center"/>
            <w:textDirection w:val="lrTb"/>
            <w:noWrap w:val="false"/>
          </w:tcPr>
          <w:p>
            <w:pPr>
              <w:jc w:val="left"/>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芝麻白花岗岩路牙及收边</w:t>
            </w:r>
            <w:r/>
          </w:p>
        </w:tc>
        <w:tc>
          <w:tcPr>
            <w:tcW w:w="431"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m</w:t>
            </w:r>
            <w:r/>
          </w:p>
        </w:tc>
        <w:tc>
          <w:tcPr>
            <w:tcW w:w="503"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461</w:t>
            </w:r>
            <w:r/>
          </w:p>
        </w:tc>
        <w:tc>
          <w:tcPr>
            <w:tcW w:w="2428" w:type="pct"/>
            <w:vAlign w:val="center"/>
            <w:textDirection w:val="lrTb"/>
            <w:noWrap w:val="false"/>
          </w:tcPr>
          <w:p>
            <w:pPr>
              <w:jc w:val="left"/>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芝麻白花岗岩路牙、铺装收边；优先利旧，含拆整、清理、转运、重新安装、砂浆座浆及勾缝；不足部分同材质补配。</w:t>
            </w:r>
            <w:r/>
          </w:p>
        </w:tc>
      </w:tr>
      <w:tr>
        <w:trPr>
          <w:trHeight w:val="675"/>
        </w:trPr>
        <w:tc>
          <w:tcPr>
            <w:tcW w:w="344"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1.10 </w:t>
            </w:r>
            <w:r/>
          </w:p>
        </w:tc>
        <w:tc>
          <w:tcPr>
            <w:tcW w:w="1294" w:type="pct"/>
            <w:vAlign w:val="center"/>
            <w:textDirection w:val="lrTb"/>
            <w:noWrap w:val="false"/>
          </w:tcPr>
          <w:p>
            <w:pPr>
              <w:jc w:val="left"/>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防腐木构筑物综合出新</w:t>
            </w:r>
            <w:r/>
          </w:p>
        </w:tc>
        <w:tc>
          <w:tcPr>
            <w:tcW w:w="431"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w:t>
            </w:r>
            <w:r/>
          </w:p>
        </w:tc>
        <w:tc>
          <w:tcPr>
            <w:tcW w:w="503"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135</w:t>
            </w:r>
            <w:r/>
          </w:p>
        </w:tc>
        <w:tc>
          <w:tcPr>
            <w:tcW w:w="2428" w:type="pct"/>
            <w:vAlign w:val="center"/>
            <w:textDirection w:val="lrTb"/>
            <w:noWrap w:val="false"/>
          </w:tcPr>
          <w:p>
            <w:pPr>
              <w:jc w:val="left"/>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水文亭周边防腐木地面、栏杆及亭体综合出新；含清洗打磨、局部修补或更换、紧固件处理、防腐及面漆，成品保护。</w:t>
            </w:r>
            <w:r/>
          </w:p>
        </w:tc>
      </w:tr>
      <w:tr>
        <w:trPr>
          <w:trHeight w:val="675"/>
        </w:trPr>
        <w:tc>
          <w:tcPr>
            <w:tcW w:w="344"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1.11</w:t>
            </w:r>
            <w:r/>
          </w:p>
        </w:tc>
        <w:tc>
          <w:tcPr>
            <w:tcW w:w="1294" w:type="pct"/>
            <w:vAlign w:val="center"/>
            <w:textDirection w:val="lrTb"/>
            <w:noWrap w:val="false"/>
          </w:tcPr>
          <w:p>
            <w:pPr>
              <w:jc w:val="left"/>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入口标识牌</w:t>
            </w:r>
            <w:r/>
          </w:p>
        </w:tc>
        <w:tc>
          <w:tcPr>
            <w:tcW w:w="431"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个</w:t>
            </w:r>
            <w:r/>
          </w:p>
        </w:tc>
        <w:tc>
          <w:tcPr>
            <w:tcW w:w="503"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1</w:t>
            </w:r>
            <w:r/>
          </w:p>
        </w:tc>
        <w:tc>
          <w:tcPr>
            <w:tcW w:w="2428" w:type="pct"/>
            <w:vAlign w:val="center"/>
            <w:textDirection w:val="lrTb"/>
            <w:noWrap w:val="false"/>
          </w:tcPr>
          <w:p>
            <w:pPr>
              <w:jc w:val="left"/>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入口标识牌约长3.6m、高1.6m；含造型面板、曲线栏杆、Logo、金属骨架、基础、连接件、表面处理、安装及收口，详见施工图。</w:t>
            </w:r>
            <w:r/>
          </w:p>
        </w:tc>
      </w:tr>
      <w:tr>
        <w:trPr>
          <w:trHeight w:val="675"/>
        </w:trPr>
        <w:tc>
          <w:tcPr>
            <w:tcW w:w="344"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1.12 </w:t>
            </w:r>
            <w:r/>
          </w:p>
        </w:tc>
        <w:tc>
          <w:tcPr>
            <w:tcW w:w="1294" w:type="pct"/>
            <w:vAlign w:val="center"/>
            <w:textDirection w:val="lrTb"/>
            <w:noWrap w:val="false"/>
          </w:tcPr>
          <w:p>
            <w:pPr>
              <w:jc w:val="left"/>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入口显示屏标识系统</w:t>
            </w:r>
            <w:r/>
          </w:p>
        </w:tc>
        <w:tc>
          <w:tcPr>
            <w:tcW w:w="431"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项</w:t>
            </w:r>
            <w:r/>
          </w:p>
        </w:tc>
        <w:tc>
          <w:tcPr>
            <w:tcW w:w="503"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1</w:t>
            </w:r>
            <w:r/>
          </w:p>
        </w:tc>
        <w:tc>
          <w:tcPr>
            <w:tcW w:w="2428" w:type="pct"/>
            <w:vAlign w:val="center"/>
            <w:textDirection w:val="lrTb"/>
            <w:noWrap w:val="false"/>
          </w:tcPr>
          <w:p>
            <w:pPr>
              <w:jc w:val="left"/>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详见施工图。金属结构，P4显示屏，（</w:t>
            </w:r>
            <w:r>
              <w:rPr>
                <w:rFonts w:hint="eastAsia" w:ascii="宋体" w:hAnsi="宋体" w:cs="宋体"/>
                <w:color w:val="000000" w:themeColor="text1"/>
                <w:szCs w:val="21"/>
                <w14:textFill>
                  <w14:solidFill>
                    <w14:schemeClr w14:val="tx1"/>
                  </w14:solidFill>
                </w14:textFill>
              </w:rPr>
              <w:t xml:space="preserve">实时显示水位、流量、雨量等信息）</w:t>
            </w:r>
            <w:r/>
          </w:p>
        </w:tc>
      </w:tr>
      <w:tr>
        <w:trPr>
          <w:trHeight w:val="285"/>
        </w:trPr>
        <w:tc>
          <w:tcPr>
            <w:tcW w:w="344"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1.13</w:t>
            </w:r>
            <w:r/>
          </w:p>
        </w:tc>
        <w:tc>
          <w:tcPr>
            <w:tcW w:w="1294" w:type="pct"/>
            <w:vAlign w:val="center"/>
            <w:textDirection w:val="lrTb"/>
            <w:noWrap w:val="false"/>
          </w:tcPr>
          <w:p>
            <w:pPr>
              <w:jc w:val="left"/>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水文长廊成套制安</w:t>
            </w:r>
            <w:r/>
          </w:p>
        </w:tc>
        <w:tc>
          <w:tcPr>
            <w:tcW w:w="431"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项</w:t>
            </w:r>
            <w:r/>
          </w:p>
        </w:tc>
        <w:tc>
          <w:tcPr>
            <w:tcW w:w="503"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1</w:t>
            </w:r>
            <w:r/>
          </w:p>
        </w:tc>
        <w:tc>
          <w:tcPr>
            <w:tcW w:w="2428" w:type="pct"/>
            <w:vAlign w:val="center"/>
            <w:textDirection w:val="lrTb"/>
            <w:noWrap w:val="false"/>
          </w:tcPr>
          <w:p>
            <w:pPr>
              <w:jc w:val="left"/>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详见施工图。</w:t>
            </w:r>
            <w:r/>
          </w:p>
        </w:tc>
      </w:tr>
      <w:tr>
        <w:trPr>
          <w:trHeight w:val="675"/>
        </w:trPr>
        <w:tc>
          <w:tcPr>
            <w:tcW w:w="344"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1.14 </w:t>
            </w:r>
            <w:r/>
          </w:p>
        </w:tc>
        <w:tc>
          <w:tcPr>
            <w:tcW w:w="1294" w:type="pct"/>
            <w:vAlign w:val="center"/>
            <w:textDirection w:val="lrTb"/>
            <w:noWrap w:val="false"/>
          </w:tcPr>
          <w:p>
            <w:pPr>
              <w:jc w:val="left"/>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主题Logo字</w:t>
            </w:r>
            <w:r/>
          </w:p>
        </w:tc>
        <w:tc>
          <w:tcPr>
            <w:tcW w:w="431"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项</w:t>
            </w:r>
            <w:r/>
          </w:p>
        </w:tc>
        <w:tc>
          <w:tcPr>
            <w:tcW w:w="503"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1</w:t>
            </w:r>
            <w:r/>
          </w:p>
        </w:tc>
        <w:tc>
          <w:tcPr>
            <w:tcW w:w="2428" w:type="pct"/>
            <w:vAlign w:val="center"/>
            <w:textDirection w:val="lrTb"/>
            <w:noWrap w:val="false"/>
          </w:tcPr>
          <w:p>
            <w:pPr>
              <w:jc w:val="left"/>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“智慧东山，善水文轩”主题Logo字，字高约0.6m；含字样深化、金属或亚克力成品字、固定基层、连接件、表面处理及安装。</w:t>
            </w:r>
            <w:r/>
          </w:p>
        </w:tc>
      </w:tr>
      <w:tr>
        <w:trPr>
          <w:trHeight w:val="900"/>
        </w:trPr>
        <w:tc>
          <w:tcPr>
            <w:tcW w:w="344"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1.15</w:t>
            </w:r>
            <w:r/>
          </w:p>
        </w:tc>
        <w:tc>
          <w:tcPr>
            <w:tcW w:w="1294" w:type="pct"/>
            <w:vAlign w:val="center"/>
            <w:textDirection w:val="lrTb"/>
            <w:noWrap w:val="false"/>
          </w:tcPr>
          <w:p>
            <w:pPr>
              <w:jc w:val="left"/>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定制镀锌钢休闲座椅</w:t>
            </w:r>
            <w:r/>
          </w:p>
        </w:tc>
        <w:tc>
          <w:tcPr>
            <w:tcW w:w="431"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个</w:t>
            </w:r>
            <w:r/>
          </w:p>
        </w:tc>
        <w:tc>
          <w:tcPr>
            <w:tcW w:w="503"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2</w:t>
            </w:r>
            <w:r/>
          </w:p>
        </w:tc>
        <w:tc>
          <w:tcPr>
            <w:tcW w:w="2428" w:type="pct"/>
            <w:vAlign w:val="center"/>
            <w:textDirection w:val="lrTb"/>
            <w:noWrap w:val="false"/>
          </w:tcPr>
          <w:p>
            <w:pPr>
              <w:jc w:val="left"/>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施工图节点尺寸约长3.0m、宽0.45m、高0.45m；中蓝色氟碳喷涂；含镀锌钢骨架、面层、基础、预埋及安装；</w:t>
            </w:r>
            <w:r>
              <w:rPr>
                <w:rFonts w:hint="eastAsia" w:ascii="宋体" w:hAnsi="宋体" w:cs="宋体"/>
                <w:color w:val="000000" w:themeColor="text1"/>
                <w:szCs w:val="21"/>
                <w14:textFill>
                  <w14:solidFill>
                    <w14:schemeClr w14:val="tx1"/>
                  </w14:solidFill>
                </w14:textFill>
              </w:rPr>
              <w:t xml:space="preserve">详见施工图</w:t>
            </w:r>
            <w:r>
              <w:rPr>
                <w:rFonts w:ascii="宋体" w:hAnsi="宋体" w:cs="宋体"/>
                <w:color w:val="000000" w:themeColor="text1"/>
                <w:szCs w:val="21"/>
                <w14:textFill>
                  <w14:solidFill>
                    <w14:schemeClr w14:val="tx1"/>
                  </w14:solidFill>
                </w14:textFill>
              </w:rPr>
              <w:t xml:space="preserve">。</w:t>
            </w:r>
            <w:r/>
          </w:p>
        </w:tc>
      </w:tr>
      <w:tr>
        <w:trPr>
          <w:trHeight w:val="675"/>
        </w:trPr>
        <w:tc>
          <w:tcPr>
            <w:tcW w:w="344"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1.16 </w:t>
            </w:r>
            <w:r/>
          </w:p>
        </w:tc>
        <w:tc>
          <w:tcPr>
            <w:tcW w:w="1294" w:type="pct"/>
            <w:vAlign w:val="center"/>
            <w:textDirection w:val="lrTb"/>
            <w:noWrap w:val="false"/>
          </w:tcPr>
          <w:p>
            <w:pPr>
              <w:jc w:val="left"/>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定制水文尺</w:t>
            </w:r>
            <w:r/>
          </w:p>
        </w:tc>
        <w:tc>
          <w:tcPr>
            <w:tcW w:w="431"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套</w:t>
            </w:r>
            <w:r/>
          </w:p>
        </w:tc>
        <w:tc>
          <w:tcPr>
            <w:tcW w:w="503"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1</w:t>
            </w:r>
            <w:r/>
          </w:p>
        </w:tc>
        <w:tc>
          <w:tcPr>
            <w:tcW w:w="2428" w:type="pct"/>
            <w:vAlign w:val="center"/>
            <w:textDirection w:val="lrTb"/>
            <w:noWrap w:val="false"/>
          </w:tcPr>
          <w:p>
            <w:pPr>
              <w:jc w:val="left"/>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304不锈钢折弯板及焊接骨架，分段制作安装，三面标尺；含连接件、基础或固定件、刻度及文字制作、防腐处理和校准。</w:t>
            </w:r>
            <w:r>
              <w:rPr>
                <w:rFonts w:hint="eastAsia" w:ascii="宋体" w:hAnsi="宋体" w:cs="宋体"/>
                <w:color w:val="000000" w:themeColor="text1"/>
                <w:szCs w:val="21"/>
                <w14:textFill>
                  <w14:solidFill>
                    <w14:schemeClr w14:val="tx1"/>
                  </w14:solidFill>
                </w14:textFill>
              </w:rPr>
              <w:t xml:space="preserve">（四色预警水位标识）</w:t>
            </w:r>
            <w:r/>
          </w:p>
        </w:tc>
      </w:tr>
      <w:tr>
        <w:trPr>
          <w:trHeight w:val="450"/>
        </w:trPr>
        <w:tc>
          <w:tcPr>
            <w:tcW w:w="344"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1.17</w:t>
            </w:r>
            <w:r/>
          </w:p>
        </w:tc>
        <w:tc>
          <w:tcPr>
            <w:tcW w:w="1294" w:type="pct"/>
            <w:vAlign w:val="center"/>
            <w:textDirection w:val="lrTb"/>
            <w:noWrap w:val="false"/>
          </w:tcPr>
          <w:p>
            <w:pPr>
              <w:jc w:val="left"/>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植物种植</w:t>
            </w:r>
            <w:r/>
          </w:p>
        </w:tc>
        <w:tc>
          <w:tcPr>
            <w:tcW w:w="431"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w:t>
            </w:r>
            <w:r/>
          </w:p>
        </w:tc>
        <w:tc>
          <w:tcPr>
            <w:tcW w:w="503"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406.3</w:t>
            </w:r>
            <w:r/>
          </w:p>
        </w:tc>
        <w:tc>
          <w:tcPr>
            <w:tcW w:w="2428" w:type="pct"/>
            <w:vAlign w:val="center"/>
            <w:textDirection w:val="lrTb"/>
            <w:noWrap w:val="false"/>
          </w:tcPr>
          <w:p>
            <w:pPr>
              <w:jc w:val="left"/>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草种及规格按施工图；含场地细整、草皮铺种、滚压、浇水及成活养护。</w:t>
            </w:r>
            <w:r/>
          </w:p>
        </w:tc>
      </w:tr>
      <w:tr>
        <w:trPr>
          <w:trHeight w:val="450"/>
        </w:trPr>
        <w:tc>
          <w:tcPr>
            <w:tcW w:w="344"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1.18 </w:t>
            </w:r>
            <w:r/>
          </w:p>
        </w:tc>
        <w:tc>
          <w:tcPr>
            <w:tcW w:w="1294" w:type="pct"/>
            <w:vAlign w:val="center"/>
            <w:textDirection w:val="lrTb"/>
            <w:noWrap w:val="false"/>
          </w:tcPr>
          <w:p>
            <w:pPr>
              <w:jc w:val="left"/>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水文长廊土建基础</w:t>
            </w:r>
            <w:r/>
          </w:p>
        </w:tc>
        <w:tc>
          <w:tcPr>
            <w:tcW w:w="431"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项</w:t>
            </w:r>
            <w:r/>
          </w:p>
        </w:tc>
        <w:tc>
          <w:tcPr>
            <w:tcW w:w="503"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1</w:t>
            </w:r>
            <w:r/>
          </w:p>
        </w:tc>
        <w:tc>
          <w:tcPr>
            <w:tcW w:w="2428" w:type="pct"/>
            <w:vAlign w:val="center"/>
            <w:textDirection w:val="lrTb"/>
            <w:noWrap w:val="false"/>
          </w:tcPr>
          <w:p>
            <w:pPr>
              <w:jc w:val="left"/>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基础开挖，机械费，混凝土浇筑，垃圾清理，详见施工图。</w:t>
            </w:r>
            <w:r/>
          </w:p>
        </w:tc>
      </w:tr>
      <w:tr>
        <w:trPr>
          <w:trHeight w:val="450"/>
        </w:trPr>
        <w:tc>
          <w:tcPr>
            <w:tcW w:w="344"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1.19</w:t>
            </w:r>
            <w:r/>
          </w:p>
        </w:tc>
        <w:tc>
          <w:tcPr>
            <w:tcW w:w="1294" w:type="pct"/>
            <w:vAlign w:val="center"/>
            <w:textDirection w:val="lrTb"/>
            <w:noWrap w:val="false"/>
          </w:tcPr>
          <w:p>
            <w:pPr>
              <w:jc w:val="left"/>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丁香移除</w:t>
            </w:r>
            <w:r/>
          </w:p>
        </w:tc>
        <w:tc>
          <w:tcPr>
            <w:tcW w:w="431"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株</w:t>
            </w:r>
            <w:r/>
          </w:p>
        </w:tc>
        <w:tc>
          <w:tcPr>
            <w:tcW w:w="503"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3</w:t>
            </w:r>
            <w:r/>
          </w:p>
        </w:tc>
        <w:tc>
          <w:tcPr>
            <w:tcW w:w="2428" w:type="pct"/>
            <w:vAlign w:val="center"/>
            <w:textDirection w:val="lrTb"/>
            <w:noWrap w:val="false"/>
          </w:tcPr>
          <w:p>
            <w:pPr>
              <w:jc w:val="left"/>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既有丁香移除；含起挖、根系处理、场内外运输、弃置及坑穴回填整平。</w:t>
            </w:r>
            <w:r/>
          </w:p>
        </w:tc>
      </w:tr>
      <w:tr>
        <w:trPr>
          <w:trHeight w:val="450"/>
        </w:trPr>
        <w:tc>
          <w:tcPr>
            <w:tcW w:w="344"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1.20 </w:t>
            </w:r>
            <w:r/>
          </w:p>
        </w:tc>
        <w:tc>
          <w:tcPr>
            <w:tcW w:w="1294" w:type="pct"/>
            <w:vAlign w:val="center"/>
            <w:textDirection w:val="lrTb"/>
            <w:noWrap w:val="false"/>
          </w:tcPr>
          <w:p>
            <w:pPr>
              <w:jc w:val="left"/>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木槿移除</w:t>
            </w:r>
            <w:r/>
          </w:p>
        </w:tc>
        <w:tc>
          <w:tcPr>
            <w:tcW w:w="431"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株</w:t>
            </w:r>
            <w:r/>
          </w:p>
        </w:tc>
        <w:tc>
          <w:tcPr>
            <w:tcW w:w="503"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7</w:t>
            </w:r>
            <w:r/>
          </w:p>
        </w:tc>
        <w:tc>
          <w:tcPr>
            <w:tcW w:w="2428" w:type="pct"/>
            <w:vAlign w:val="center"/>
            <w:textDirection w:val="lrTb"/>
            <w:noWrap w:val="false"/>
          </w:tcPr>
          <w:p>
            <w:pPr>
              <w:jc w:val="left"/>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既有木槿移除；含起挖、根系处理、场内外运输、弃置及坑穴回填整平；数量按施工图7株。</w:t>
            </w:r>
            <w:r/>
          </w:p>
        </w:tc>
      </w:tr>
      <w:tr>
        <w:trPr>
          <w:trHeight w:val="450"/>
        </w:trPr>
        <w:tc>
          <w:tcPr>
            <w:tcW w:w="344"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1.21</w:t>
            </w:r>
            <w:r/>
          </w:p>
        </w:tc>
        <w:tc>
          <w:tcPr>
            <w:tcW w:w="1294" w:type="pct"/>
            <w:vAlign w:val="center"/>
            <w:textDirection w:val="lrTb"/>
            <w:noWrap w:val="false"/>
          </w:tcPr>
          <w:p>
            <w:pPr>
              <w:jc w:val="left"/>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海桐移栽</w:t>
            </w:r>
            <w:r/>
          </w:p>
        </w:tc>
        <w:tc>
          <w:tcPr>
            <w:tcW w:w="431"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株</w:t>
            </w:r>
            <w:r/>
          </w:p>
        </w:tc>
        <w:tc>
          <w:tcPr>
            <w:tcW w:w="503"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3</w:t>
            </w:r>
            <w:r/>
          </w:p>
        </w:tc>
        <w:tc>
          <w:tcPr>
            <w:tcW w:w="2428" w:type="pct"/>
            <w:vAlign w:val="center"/>
            <w:textDirection w:val="lrTb"/>
            <w:noWrap w:val="false"/>
          </w:tcPr>
          <w:p>
            <w:pPr>
              <w:jc w:val="left"/>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既有海桐移栽；含起挖、土球、修剪、转运、栽植、支撑、浇水及成活养护。</w:t>
            </w:r>
            <w:r/>
          </w:p>
        </w:tc>
      </w:tr>
      <w:tr>
        <w:trPr>
          <w:trHeight w:val="90"/>
        </w:trPr>
        <w:tc>
          <w:tcPr>
            <w:tcW w:w="344"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1.22 </w:t>
            </w:r>
            <w:r/>
          </w:p>
        </w:tc>
        <w:tc>
          <w:tcPr>
            <w:tcW w:w="1294" w:type="pct"/>
            <w:vAlign w:val="center"/>
            <w:textDirection w:val="lrTb"/>
            <w:noWrap w:val="false"/>
          </w:tcPr>
          <w:p>
            <w:pPr>
              <w:jc w:val="left"/>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既有黑松修剪</w:t>
            </w:r>
            <w:r/>
          </w:p>
        </w:tc>
        <w:tc>
          <w:tcPr>
            <w:tcW w:w="431"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株</w:t>
            </w:r>
            <w:r/>
          </w:p>
        </w:tc>
        <w:tc>
          <w:tcPr>
            <w:tcW w:w="503"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6</w:t>
            </w:r>
            <w:r/>
          </w:p>
        </w:tc>
        <w:tc>
          <w:tcPr>
            <w:tcW w:w="2428" w:type="pct"/>
            <w:vAlign w:val="center"/>
            <w:textDirection w:val="lrTb"/>
            <w:noWrap w:val="false"/>
          </w:tcPr>
          <w:p>
            <w:pPr>
              <w:jc w:val="left"/>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既有黑松整形修剪；含枯枝、病虫枝和过密枝处理，伤口保护、清理及枝叶外运。</w:t>
            </w:r>
            <w:r/>
          </w:p>
        </w:tc>
      </w:tr>
      <w:tr>
        <w:trPr>
          <w:trHeight w:val="450"/>
        </w:trPr>
        <w:tc>
          <w:tcPr>
            <w:tcW w:w="344"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1.23</w:t>
            </w:r>
            <w:r/>
          </w:p>
        </w:tc>
        <w:tc>
          <w:tcPr>
            <w:tcW w:w="1294" w:type="pct"/>
            <w:vAlign w:val="center"/>
            <w:textDirection w:val="lrTb"/>
            <w:noWrap w:val="false"/>
          </w:tcPr>
          <w:p>
            <w:pPr>
              <w:jc w:val="left"/>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杂草清理及植物综合梳理</w:t>
            </w:r>
            <w:r/>
          </w:p>
        </w:tc>
        <w:tc>
          <w:tcPr>
            <w:tcW w:w="431"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w:t>
            </w:r>
            <w:r/>
          </w:p>
        </w:tc>
        <w:tc>
          <w:tcPr>
            <w:tcW w:w="503"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195</w:t>
            </w:r>
            <w:r/>
          </w:p>
        </w:tc>
        <w:tc>
          <w:tcPr>
            <w:tcW w:w="2428" w:type="pct"/>
            <w:vAlign w:val="center"/>
            <w:textDirection w:val="lrTb"/>
            <w:noWrap w:val="false"/>
          </w:tcPr>
          <w:p>
            <w:pPr>
              <w:jc w:val="left"/>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现状地被清杂、清理杂草并修剪，杂物收集清运；同品种缺株补植按实际发生量另计。</w:t>
            </w:r>
            <w:r/>
          </w:p>
        </w:tc>
      </w:tr>
      <w:tr>
        <w:trPr>
          <w:trHeight w:val="900"/>
        </w:trPr>
        <w:tc>
          <w:tcPr>
            <w:tcW w:w="344"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1.24 </w:t>
            </w:r>
            <w:r/>
          </w:p>
        </w:tc>
        <w:tc>
          <w:tcPr>
            <w:tcW w:w="1294" w:type="pct"/>
            <w:vAlign w:val="center"/>
            <w:textDirection w:val="lrTb"/>
            <w:noWrap w:val="false"/>
          </w:tcPr>
          <w:p>
            <w:pPr>
              <w:jc w:val="left"/>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绿化土方工程</w:t>
            </w:r>
            <w:r/>
          </w:p>
        </w:tc>
        <w:tc>
          <w:tcPr>
            <w:tcW w:w="431"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m³</w:t>
            </w:r>
            <w:r/>
          </w:p>
        </w:tc>
        <w:tc>
          <w:tcPr>
            <w:tcW w:w="503"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131.2</w:t>
            </w:r>
            <w:r/>
          </w:p>
        </w:tc>
        <w:tc>
          <w:tcPr>
            <w:tcW w:w="2428" w:type="pct"/>
            <w:vAlign w:val="center"/>
            <w:textDirection w:val="lrTb"/>
            <w:noWrap w:val="false"/>
          </w:tcPr>
          <w:p>
            <w:pPr>
              <w:jc w:val="left"/>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绿地平整、地形营造及种植土换填综合工作；种植土仅在现状土检测不合格时换填；含取土或购土、装运、回填、摊铺、造型及余土外运；现有估算仅提供综合土方量。</w:t>
            </w:r>
            <w:r/>
          </w:p>
        </w:tc>
      </w:tr>
      <w:tr>
        <w:trPr>
          <w:trHeight w:val="285"/>
        </w:trPr>
        <w:tc>
          <w:tcPr>
            <w:tcW w:w="344" w:type="pct"/>
            <w:vAlign w:val="bottom"/>
            <w:textDirection w:val="lrTb"/>
            <w:noWrap/>
          </w:tcPr>
          <w:p>
            <w:pPr>
              <w:jc w:val="center"/>
              <w:widowControl/>
              <w:rPr>
                <w:rFonts w:ascii="宋体" w:hAnsi="宋体" w:cs="宋体"/>
                <w:b/>
                <w:bCs/>
                <w:color w:val="000000" w:themeColor="text1"/>
                <w:szCs w:val="21"/>
                <w14:textFill>
                  <w14:solidFill>
                    <w14:schemeClr w14:val="tx1"/>
                  </w14:solidFill>
                </w14:textFill>
              </w:rPr>
            </w:pPr>
            <w:r>
              <w:rPr>
                <w:rFonts w:ascii="宋体" w:hAnsi="宋体" w:cs="宋体"/>
                <w:b/>
                <w:bCs/>
                <w:color w:val="000000" w:themeColor="text1"/>
                <w:szCs w:val="21"/>
                <w14:textFill>
                  <w14:solidFill>
                    <w14:schemeClr w14:val="tx1"/>
                  </w14:solidFill>
                </w14:textFill>
              </w:rPr>
              <w:t xml:space="preserve">二</w:t>
            </w:r>
            <w:r/>
          </w:p>
        </w:tc>
        <w:tc>
          <w:tcPr>
            <w:tcW w:w="1294" w:type="pct"/>
            <w:vAlign w:val="bottom"/>
            <w:textDirection w:val="lrTb"/>
            <w:noWrap/>
          </w:tcPr>
          <w:p>
            <w:pPr>
              <w:jc w:val="center"/>
              <w:widowControl/>
              <w:rPr>
                <w:rFonts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设施改造</w:t>
            </w:r>
            <w:r>
              <w:rPr>
                <w:rFonts w:ascii="宋体" w:hAnsi="宋体" w:cs="宋体"/>
                <w:b/>
                <w:bCs/>
                <w:color w:val="000000" w:themeColor="text1"/>
                <w:szCs w:val="21"/>
                <w14:textFill>
                  <w14:solidFill>
                    <w14:schemeClr w14:val="tx1"/>
                  </w14:solidFill>
                </w14:textFill>
              </w:rPr>
              <w:t xml:space="preserve">工程</w:t>
            </w:r>
            <w:r/>
          </w:p>
        </w:tc>
        <w:tc>
          <w:tcPr>
            <w:tcW w:w="431" w:type="pct"/>
            <w:vAlign w:val="bottom"/>
            <w:textDirection w:val="lrTb"/>
            <w:noWrap/>
          </w:tcPr>
          <w:p>
            <w:pPr>
              <w:jc w:val="center"/>
              <w:widowControl/>
              <w:rPr>
                <w:rFonts w:ascii="宋体" w:hAnsi="宋体" w:cs="宋体"/>
                <w:b/>
                <w:bCs/>
                <w:color w:val="000000" w:themeColor="text1"/>
                <w:szCs w:val="21"/>
                <w14:textFill>
                  <w14:solidFill>
                    <w14:schemeClr w14:val="tx1"/>
                  </w14:solidFill>
                </w14:textFill>
              </w:rPr>
            </w:pPr>
            <w:r>
              <w:rPr>
                <w:rFonts w:ascii="宋体" w:hAnsi="宋体" w:cs="宋体"/>
                <w:b/>
                <w:bCs/>
                <w:color w:val="000000" w:themeColor="text1"/>
                <w:szCs w:val="21"/>
                <w14:textFill>
                  <w14:solidFill>
                    <w14:schemeClr w14:val="tx1"/>
                  </w14:solidFill>
                </w14:textFill>
              </w:rPr>
              <w:t xml:space="preserve">　</w:t>
            </w:r>
            <w:r/>
          </w:p>
        </w:tc>
        <w:tc>
          <w:tcPr>
            <w:tcW w:w="503" w:type="pct"/>
            <w:vAlign w:val="bottom"/>
            <w:textDirection w:val="lrTb"/>
            <w:noWrap/>
          </w:tcPr>
          <w:p>
            <w:pPr>
              <w:jc w:val="center"/>
              <w:widowControl/>
              <w:rPr>
                <w:rFonts w:ascii="宋体" w:hAnsi="宋体" w:cs="宋体"/>
                <w:b/>
                <w:bCs/>
                <w:color w:val="000000" w:themeColor="text1"/>
                <w:szCs w:val="21"/>
                <w14:textFill>
                  <w14:solidFill>
                    <w14:schemeClr w14:val="tx1"/>
                  </w14:solidFill>
                </w14:textFill>
              </w:rPr>
            </w:pPr>
            <w:r>
              <w:rPr>
                <w:rFonts w:ascii="宋体" w:hAnsi="宋体" w:cs="宋体"/>
                <w:b/>
                <w:bCs/>
                <w:color w:val="000000" w:themeColor="text1"/>
                <w:szCs w:val="21"/>
                <w14:textFill>
                  <w14:solidFill>
                    <w14:schemeClr w14:val="tx1"/>
                  </w14:solidFill>
                </w14:textFill>
              </w:rPr>
              <w:t xml:space="preserve">　</w:t>
            </w:r>
            <w:r/>
          </w:p>
        </w:tc>
        <w:tc>
          <w:tcPr>
            <w:tcW w:w="2428" w:type="pct"/>
            <w:vAlign w:val="bottom"/>
            <w:textDirection w:val="lrTb"/>
            <w:noWrap/>
          </w:tcPr>
          <w:p>
            <w:pPr>
              <w:jc w:val="center"/>
              <w:widowControl/>
              <w:rPr>
                <w:rFonts w:ascii="宋体" w:hAnsi="宋体" w:cs="宋体"/>
                <w:b/>
                <w:bCs/>
                <w:color w:val="000000" w:themeColor="text1"/>
                <w:szCs w:val="21"/>
                <w14:textFill>
                  <w14:solidFill>
                    <w14:schemeClr w14:val="tx1"/>
                  </w14:solidFill>
                </w14:textFill>
              </w:rPr>
            </w:pPr>
            <w:r>
              <w:rPr>
                <w:rFonts w:ascii="宋体" w:hAnsi="宋体" w:cs="宋体"/>
                <w:b/>
                <w:bCs/>
                <w:color w:val="000000" w:themeColor="text1"/>
                <w:szCs w:val="21"/>
                <w14:textFill>
                  <w14:solidFill>
                    <w14:schemeClr w14:val="tx1"/>
                  </w14:solidFill>
                </w14:textFill>
              </w:rPr>
              <w:t xml:space="preserve">　</w:t>
            </w:r>
            <w:r/>
          </w:p>
        </w:tc>
      </w:tr>
      <w:tr>
        <w:trPr>
          <w:trHeight w:val="900"/>
        </w:trPr>
        <w:tc>
          <w:tcPr>
            <w:tcW w:w="344"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2.1 </w:t>
            </w:r>
            <w:r/>
          </w:p>
        </w:tc>
        <w:tc>
          <w:tcPr>
            <w:tcW w:w="1294" w:type="pct"/>
            <w:vAlign w:val="center"/>
            <w:textDirection w:val="lrTb"/>
            <w:noWrap w:val="false"/>
          </w:tcPr>
          <w:p>
            <w:pPr>
              <w:jc w:val="left"/>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水文设备混凝土基础</w:t>
            </w:r>
            <w:r/>
          </w:p>
        </w:tc>
        <w:tc>
          <w:tcPr>
            <w:tcW w:w="431"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座</w:t>
            </w:r>
            <w:r/>
          </w:p>
        </w:tc>
        <w:tc>
          <w:tcPr>
            <w:tcW w:w="503"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1</w:t>
            </w:r>
            <w:r>
              <w:rPr>
                <w:rFonts w:hint="eastAsia" w:ascii="宋体" w:hAnsi="宋体" w:cs="宋体"/>
                <w:color w:val="000000" w:themeColor="text1"/>
                <w:szCs w:val="21"/>
                <w14:textFill>
                  <w14:solidFill>
                    <w14:schemeClr w14:val="tx1"/>
                  </w14:solidFill>
                </w14:textFill>
              </w:rPr>
              <w:t xml:space="preserve">1</w:t>
            </w:r>
            <w:r/>
          </w:p>
        </w:tc>
        <w:tc>
          <w:tcPr>
            <w:tcW w:w="2428" w:type="pct"/>
            <w:vAlign w:val="center"/>
            <w:textDirection w:val="lrTb"/>
            <w:noWrap w:val="false"/>
          </w:tcPr>
          <w:p>
            <w:pPr>
              <w:jc w:val="left"/>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r>
      <w:tr>
        <w:trPr>
          <w:trHeight w:val="900"/>
        </w:trPr>
        <w:tc>
          <w:tcPr>
            <w:tcW w:w="344"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bookmarkStart w:id="20" w:name="_Hlk239256457"/>
            <w:r>
              <w:rPr>
                <w:rFonts w:hint="eastAsia" w:ascii="宋体" w:hAnsi="宋体" w:cs="宋体"/>
                <w:color w:val="000000" w:themeColor="text1"/>
                <w:szCs w:val="21"/>
                <w14:textFill>
                  <w14:solidFill>
                    <w14:schemeClr w14:val="tx1"/>
                  </w14:solidFill>
                </w14:textFill>
              </w:rPr>
              <w:t xml:space="preserve">2.1.1</w:t>
            </w:r>
            <w:r/>
          </w:p>
        </w:tc>
        <w:tc>
          <w:tcPr>
            <w:tcW w:w="1294" w:type="pct"/>
            <w:vAlign w:val="center"/>
            <w:textDirection w:val="lrTb"/>
            <w:noWrap w:val="false"/>
          </w:tcPr>
          <w:p>
            <w:pPr>
              <w:jc w:val="lef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蒸发皿基础</w:t>
            </w:r>
            <w:r/>
          </w:p>
        </w:tc>
        <w:tc>
          <w:tcPr>
            <w:tcW w:w="431"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座</w:t>
            </w:r>
            <w:r/>
          </w:p>
        </w:tc>
        <w:tc>
          <w:tcPr>
            <w:tcW w:w="503"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w:t>
            </w:r>
            <w:r/>
          </w:p>
        </w:tc>
        <w:tc>
          <w:tcPr>
            <w:tcW w:w="2428" w:type="pct"/>
            <w:vAlign w:val="center"/>
            <w:textDirection w:val="lrTb"/>
            <w:noWrap w:val="false"/>
          </w:tcPr>
          <w:p>
            <w:pPr>
              <w:jc w:val="lef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含基础开挖及回填、砖砌挡墙制作、瓷砖贴面等，开挖尺寸约为640*420mm，砖砌挡墙距蒸发皿边缘380mm，挡墙高度516mm，其中地面以上226mm，地面以下290mm，挡墙宽度120mm，挡墙底部做220mm*200mm砼垫层。挡墙高于地面部分做瓷砖饰面。挡墙与水圈之间采用土壤回填，表面铺设草皮。</w:t>
            </w:r>
            <w:r/>
          </w:p>
        </w:tc>
      </w:tr>
      <w:tr>
        <w:trPr>
          <w:trHeight w:val="900"/>
        </w:trPr>
        <w:tc>
          <w:tcPr>
            <w:tcW w:w="344"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2.1.2</w:t>
            </w:r>
            <w:r/>
          </w:p>
        </w:tc>
        <w:tc>
          <w:tcPr>
            <w:tcW w:w="1294" w:type="pct"/>
            <w:vAlign w:val="center"/>
            <w:textDirection w:val="lrTb"/>
            <w:noWrap w:val="false"/>
          </w:tcPr>
          <w:p>
            <w:pPr>
              <w:jc w:val="lef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气象等水文设备安装基础</w:t>
            </w:r>
            <w:r/>
          </w:p>
        </w:tc>
        <w:tc>
          <w:tcPr>
            <w:tcW w:w="431"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座</w:t>
            </w:r>
            <w:r/>
          </w:p>
        </w:tc>
        <w:tc>
          <w:tcPr>
            <w:tcW w:w="503"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9</w:t>
            </w:r>
            <w:r/>
          </w:p>
        </w:tc>
        <w:tc>
          <w:tcPr>
            <w:tcW w:w="2428" w:type="pct"/>
            <w:vAlign w:val="center"/>
            <w:textDirection w:val="lrTb"/>
            <w:noWrap w:val="false"/>
          </w:tcPr>
          <w:p>
            <w:pPr>
              <w:jc w:val="lef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基础尺寸：600mm</w:t>
            </w:r>
            <w:r>
              <w:rPr>
                <w:rFonts w:ascii="宋体" w:hAnsi="宋体" w:cs="宋体"/>
                <w:color w:val="000000" w:themeColor="text1"/>
                <w:szCs w:val="21"/>
                <w14:textFill>
                  <w14:solidFill>
                    <w14:schemeClr w14:val="tx1"/>
                  </w14:solidFill>
                </w14:textFill>
              </w:rPr>
              <w:t xml:space="preserve">×</w:t>
            </w:r>
            <w:r>
              <w:rPr>
                <w:rFonts w:hint="eastAsia" w:ascii="宋体" w:hAnsi="宋体" w:cs="宋体"/>
                <w:color w:val="000000" w:themeColor="text1"/>
                <w:szCs w:val="21"/>
                <w14:textFill>
                  <w14:solidFill>
                    <w14:schemeClr w14:val="tx1"/>
                  </w14:solidFill>
                </w14:textFill>
              </w:rPr>
              <w:t xml:space="preserve">600mm</w:t>
            </w:r>
            <w:r>
              <w:rPr>
                <w:rFonts w:ascii="宋体" w:hAnsi="宋体" w:cs="宋体"/>
                <w:color w:val="000000" w:themeColor="text1"/>
                <w:szCs w:val="21"/>
                <w14:textFill>
                  <w14:solidFill>
                    <w14:schemeClr w14:val="tx1"/>
                  </w14:solidFill>
                </w14:textFill>
              </w:rPr>
              <w:t xml:space="preserve">×</w:t>
            </w:r>
            <w:r>
              <w:rPr>
                <w:rFonts w:hint="eastAsia" w:ascii="宋体" w:hAnsi="宋体" w:cs="宋体"/>
                <w:color w:val="000000" w:themeColor="text1"/>
                <w:szCs w:val="21"/>
                <w14:textFill>
                  <w14:solidFill>
                    <w14:schemeClr w14:val="tx1"/>
                  </w14:solidFill>
                </w14:textFill>
              </w:rPr>
              <w:t xml:space="preserve">600m</w:t>
            </w:r>
            <w:r>
              <w:rPr>
                <w:rFonts w:ascii="宋体" w:hAnsi="宋体" w:cs="宋体"/>
                <w:color w:val="000000" w:themeColor="text1"/>
                <w:szCs w:val="21"/>
                <w14:textFill>
                  <w14:solidFill>
                    <w14:schemeClr w14:val="tx1"/>
                  </w14:solidFill>
                </w14:textFill>
              </w:rPr>
              <w:t xml:space="preserve">m</w:t>
            </w:r>
            <w:r>
              <w:rPr>
                <w:rFonts w:hint="eastAsia" w:ascii="宋体" w:hAnsi="宋体" w:cs="宋体"/>
                <w:color w:val="000000" w:themeColor="text1"/>
                <w:szCs w:val="21"/>
                <w14:textFill>
                  <w14:solidFill>
                    <w14:schemeClr w14:val="tx1"/>
                  </w14:solidFill>
                </w14:textFill>
              </w:rPr>
              <w:t xml:space="preserve">，C20混凝土。</w:t>
            </w:r>
            <w:bookmarkEnd w:id="20"/>
            <w:r/>
          </w:p>
        </w:tc>
      </w:tr>
      <w:tr>
        <w:trPr>
          <w:trHeight w:val="900"/>
        </w:trPr>
        <w:tc>
          <w:tcPr>
            <w:tcW w:w="344"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2.2</w:t>
            </w:r>
            <w:r/>
          </w:p>
        </w:tc>
        <w:tc>
          <w:tcPr>
            <w:tcW w:w="1294" w:type="pct"/>
            <w:vAlign w:val="center"/>
            <w:textDirection w:val="lrTb"/>
            <w:noWrap w:val="false"/>
          </w:tcPr>
          <w:p>
            <w:pPr>
              <w:jc w:val="left"/>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定制货架</w:t>
            </w:r>
            <w:r/>
          </w:p>
        </w:tc>
        <w:tc>
          <w:tcPr>
            <w:tcW w:w="431"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套</w:t>
            </w:r>
            <w:r/>
          </w:p>
        </w:tc>
        <w:tc>
          <w:tcPr>
            <w:tcW w:w="503"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1</w:t>
            </w:r>
            <w:r/>
          </w:p>
        </w:tc>
        <w:tc>
          <w:tcPr>
            <w:tcW w:w="2428" w:type="pct"/>
            <w:vAlign w:val="center"/>
            <w:textDirection w:val="lrTb"/>
            <w:noWrap w:val="false"/>
          </w:tcPr>
          <w:p>
            <w:pPr>
              <w:jc w:val="left"/>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定制货架、配套爬梯、可移动不锈钢底座及轨道插座成套供货安装；含深化设计、金属骨架、板材、五金、固定件、表面处理、运输及调试，详见</w:t>
            </w:r>
            <w:r>
              <w:rPr>
                <w:rFonts w:hint="eastAsia" w:ascii="宋体" w:hAnsi="宋体" w:cs="宋体"/>
                <w:color w:val="000000" w:themeColor="text1"/>
                <w:szCs w:val="21"/>
                <w14:textFill>
                  <w14:solidFill>
                    <w14:schemeClr w14:val="tx1"/>
                  </w14:solidFill>
                </w14:textFill>
              </w:rPr>
              <w:t xml:space="preserve">施工图</w:t>
            </w:r>
            <w:r>
              <w:rPr>
                <w:rFonts w:ascii="宋体" w:hAnsi="宋体" w:cs="宋体"/>
                <w:color w:val="000000" w:themeColor="text1"/>
                <w:szCs w:val="21"/>
                <w14:textFill>
                  <w14:solidFill>
                    <w14:schemeClr w14:val="tx1"/>
                  </w14:solidFill>
                </w14:textFill>
              </w:rPr>
              <w:t xml:space="preserve">。</w:t>
            </w:r>
            <w:r/>
          </w:p>
        </w:tc>
      </w:tr>
      <w:tr>
        <w:trPr>
          <w:trHeight w:val="540"/>
        </w:trPr>
        <w:tc>
          <w:tcPr>
            <w:tcW w:w="344"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2.3 </w:t>
            </w:r>
            <w:r/>
          </w:p>
        </w:tc>
        <w:tc>
          <w:tcPr>
            <w:tcW w:w="1294" w:type="pct"/>
            <w:vAlign w:val="center"/>
            <w:textDirection w:val="lrTb"/>
            <w:noWrap w:val="false"/>
          </w:tcPr>
          <w:p>
            <w:pPr>
              <w:jc w:val="left"/>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3D模型灯箱</w:t>
            </w:r>
            <w:r/>
          </w:p>
        </w:tc>
        <w:tc>
          <w:tcPr>
            <w:tcW w:w="431"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套</w:t>
            </w:r>
            <w:r/>
          </w:p>
        </w:tc>
        <w:tc>
          <w:tcPr>
            <w:tcW w:w="503"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1</w:t>
            </w:r>
            <w:r/>
          </w:p>
        </w:tc>
        <w:tc>
          <w:tcPr>
            <w:tcW w:w="2428" w:type="pct"/>
            <w:vAlign w:val="center"/>
            <w:textDirection w:val="lrTb"/>
            <w:noWrap w:val="false"/>
          </w:tcPr>
          <w:p>
            <w:pPr>
              <w:jc w:val="left"/>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3D模型灯箱1套，墙面文化制作安装，含灯箱制作及安装。</w:t>
            </w:r>
            <w:r/>
          </w:p>
        </w:tc>
      </w:tr>
      <w:tr>
        <w:trPr>
          <w:trHeight w:val="1125"/>
        </w:trPr>
        <w:tc>
          <w:tcPr>
            <w:tcW w:w="344"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2.4 </w:t>
            </w:r>
            <w:r/>
          </w:p>
        </w:tc>
        <w:tc>
          <w:tcPr>
            <w:tcW w:w="1294" w:type="pct"/>
            <w:vAlign w:val="center"/>
            <w:textDirection w:val="lrTb"/>
            <w:noWrap w:val="false"/>
          </w:tcPr>
          <w:p>
            <w:pPr>
              <w:jc w:val="left"/>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会商展示室南北两面墙的钢结构隔墙</w:t>
            </w:r>
            <w:r/>
          </w:p>
        </w:tc>
        <w:tc>
          <w:tcPr>
            <w:tcW w:w="431"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项</w:t>
            </w:r>
            <w:r/>
          </w:p>
        </w:tc>
        <w:tc>
          <w:tcPr>
            <w:tcW w:w="503"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1</w:t>
            </w:r>
            <w:r/>
          </w:p>
        </w:tc>
        <w:tc>
          <w:tcPr>
            <w:tcW w:w="2428" w:type="pct"/>
            <w:vAlign w:val="center"/>
            <w:textDirection w:val="lrTb"/>
            <w:noWrap w:val="false"/>
          </w:tcPr>
          <w:p>
            <w:pPr>
              <w:jc w:val="left"/>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立面5620×4000mm；80×80×3.5mm方管骨架，双层15mm厚阻燃板，面层批腻子刷乳胶漆，设80mm高踢脚线；含局部吊顶拆除与恢复。节点另标总高3200mm、饰面至2800mm，</w:t>
            </w:r>
            <w:r>
              <w:rPr>
                <w:rFonts w:hint="eastAsia" w:ascii="宋体" w:hAnsi="宋体" w:cs="宋体"/>
                <w:color w:val="000000" w:themeColor="text1"/>
                <w:szCs w:val="21"/>
                <w14:textFill>
                  <w14:solidFill>
                    <w14:schemeClr w14:val="tx1"/>
                  </w14:solidFill>
                </w14:textFill>
              </w:rPr>
              <w:t xml:space="preserve">详见施工图</w:t>
            </w:r>
            <w:r>
              <w:rPr>
                <w:rFonts w:ascii="宋体" w:hAnsi="宋体" w:cs="宋体"/>
                <w:color w:val="000000" w:themeColor="text1"/>
                <w:szCs w:val="21"/>
                <w14:textFill>
                  <w14:solidFill>
                    <w14:schemeClr w14:val="tx1"/>
                  </w14:solidFill>
                </w14:textFill>
              </w:rPr>
              <w:t xml:space="preserve">。</w:t>
            </w:r>
            <w:r/>
          </w:p>
        </w:tc>
      </w:tr>
      <w:tr>
        <w:trPr>
          <w:trHeight w:val="900"/>
        </w:trPr>
        <w:tc>
          <w:tcPr>
            <w:tcW w:w="344"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2.5 </w:t>
            </w:r>
            <w:r/>
          </w:p>
        </w:tc>
        <w:tc>
          <w:tcPr>
            <w:tcW w:w="1294" w:type="pct"/>
            <w:vAlign w:val="center"/>
            <w:textDirection w:val="lrTb"/>
            <w:noWrap w:val="false"/>
          </w:tcPr>
          <w:p>
            <w:pPr>
              <w:jc w:val="left"/>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中间办公室后墙体开窗</w:t>
            </w:r>
            <w:r/>
          </w:p>
        </w:tc>
        <w:tc>
          <w:tcPr>
            <w:tcW w:w="431"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樘</w:t>
            </w:r>
            <w:r/>
          </w:p>
        </w:tc>
        <w:tc>
          <w:tcPr>
            <w:tcW w:w="503"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1</w:t>
            </w:r>
            <w:r/>
          </w:p>
        </w:tc>
        <w:tc>
          <w:tcPr>
            <w:tcW w:w="2428" w:type="pct"/>
            <w:vAlign w:val="center"/>
            <w:textDirection w:val="lrTb"/>
            <w:noWrap w:val="false"/>
          </w:tcPr>
          <w:p>
            <w:pPr>
              <w:jc w:val="left"/>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新开外墙窗1樘，窗洞约1100×1300mm；含墙体开洞、加固、窗框窗扇、玻璃、五金、密封防水、内外收口及墙面乳胶漆修补。详见施工图。</w:t>
            </w:r>
            <w:r/>
          </w:p>
        </w:tc>
      </w:tr>
      <w:tr>
        <w:trPr>
          <w:trHeight w:val="675"/>
        </w:trPr>
        <w:tc>
          <w:tcPr>
            <w:tcW w:w="344"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2.6 </w:t>
            </w:r>
            <w:r/>
          </w:p>
        </w:tc>
        <w:tc>
          <w:tcPr>
            <w:tcW w:w="1294" w:type="pct"/>
            <w:vAlign w:val="center"/>
            <w:textDirection w:val="lrTb"/>
            <w:noWrap w:val="false"/>
          </w:tcPr>
          <w:p>
            <w:pPr>
              <w:jc w:val="left"/>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中间办公室前玻璃幕墙开窗</w:t>
            </w:r>
            <w:r/>
          </w:p>
        </w:tc>
        <w:tc>
          <w:tcPr>
            <w:tcW w:w="431"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处</w:t>
            </w:r>
            <w:r/>
          </w:p>
        </w:tc>
        <w:tc>
          <w:tcPr>
            <w:tcW w:w="503"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1</w:t>
            </w:r>
            <w:r/>
          </w:p>
        </w:tc>
        <w:tc>
          <w:tcPr>
            <w:tcW w:w="2428" w:type="pct"/>
            <w:vAlign w:val="center"/>
            <w:textDirection w:val="lrTb"/>
            <w:noWrap w:val="false"/>
          </w:tcPr>
          <w:p>
            <w:pPr>
              <w:jc w:val="left"/>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既有幕墙玻璃拆除并更换为可开启窗1处；含玻璃及构件拆除、框扇、五金、密封防水、周边收口、成品保护和清运。详见施工图。</w:t>
            </w:r>
            <w:r/>
          </w:p>
        </w:tc>
      </w:tr>
      <w:tr>
        <w:trPr>
          <w:trHeight w:val="285"/>
        </w:trPr>
        <w:tc>
          <w:tcPr>
            <w:tcW w:w="344"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2.7 </w:t>
            </w:r>
            <w:r/>
          </w:p>
        </w:tc>
        <w:tc>
          <w:tcPr>
            <w:tcW w:w="1294" w:type="pct"/>
            <w:vAlign w:val="center"/>
            <w:textDirection w:val="lrTb"/>
            <w:noWrap w:val="false"/>
          </w:tcPr>
          <w:p>
            <w:pPr>
              <w:jc w:val="left"/>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会商展示室灯具更换</w:t>
            </w:r>
            <w:r/>
          </w:p>
        </w:tc>
        <w:tc>
          <w:tcPr>
            <w:tcW w:w="431"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项</w:t>
            </w:r>
            <w:r/>
          </w:p>
        </w:tc>
        <w:tc>
          <w:tcPr>
            <w:tcW w:w="503"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1</w:t>
            </w:r>
            <w:r/>
          </w:p>
        </w:tc>
        <w:tc>
          <w:tcPr>
            <w:tcW w:w="2428" w:type="pct"/>
            <w:vAlign w:val="center"/>
            <w:textDirection w:val="lrTb"/>
            <w:noWrap w:val="false"/>
          </w:tcPr>
          <w:p>
            <w:pPr>
              <w:jc w:val="left"/>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会商展示室灯具更换。详见施工图。</w:t>
            </w:r>
            <w:r/>
          </w:p>
        </w:tc>
      </w:tr>
      <w:tr>
        <w:trPr>
          <w:trHeight w:val="285"/>
        </w:trPr>
        <w:tc>
          <w:tcPr>
            <w:tcW w:w="344"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2.8 </w:t>
            </w:r>
            <w:r/>
          </w:p>
        </w:tc>
        <w:tc>
          <w:tcPr>
            <w:tcW w:w="1294" w:type="pct"/>
            <w:vAlign w:val="center"/>
            <w:textDirection w:val="lrTb"/>
            <w:noWrap w:val="false"/>
          </w:tcPr>
          <w:p>
            <w:pPr>
              <w:jc w:val="left"/>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墙面乳胶漆出新</w:t>
            </w:r>
            <w:r/>
          </w:p>
        </w:tc>
        <w:tc>
          <w:tcPr>
            <w:tcW w:w="431"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项</w:t>
            </w:r>
            <w:r/>
          </w:p>
        </w:tc>
        <w:tc>
          <w:tcPr>
            <w:tcW w:w="503"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1</w:t>
            </w:r>
            <w:r/>
          </w:p>
        </w:tc>
        <w:tc>
          <w:tcPr>
            <w:tcW w:w="2428" w:type="pct"/>
            <w:vAlign w:val="center"/>
            <w:textDirection w:val="lrTb"/>
            <w:noWrap w:val="false"/>
          </w:tcPr>
          <w:p>
            <w:pPr>
              <w:jc w:val="left"/>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墙面乳胶漆出新。详见施工图。</w:t>
            </w:r>
            <w:r/>
          </w:p>
        </w:tc>
      </w:tr>
      <w:tr>
        <w:trPr>
          <w:trHeight w:val="450"/>
        </w:trPr>
        <w:tc>
          <w:tcPr>
            <w:tcW w:w="344"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2.9 </w:t>
            </w:r>
            <w:r/>
          </w:p>
        </w:tc>
        <w:tc>
          <w:tcPr>
            <w:tcW w:w="1294" w:type="pct"/>
            <w:vAlign w:val="center"/>
            <w:textDirection w:val="lrTb"/>
            <w:noWrap w:val="false"/>
          </w:tcPr>
          <w:p>
            <w:pPr>
              <w:jc w:val="left"/>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乳胶漆顶出新</w:t>
            </w:r>
            <w:r/>
          </w:p>
        </w:tc>
        <w:tc>
          <w:tcPr>
            <w:tcW w:w="431"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项</w:t>
            </w:r>
            <w:r/>
          </w:p>
        </w:tc>
        <w:tc>
          <w:tcPr>
            <w:tcW w:w="503"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1</w:t>
            </w:r>
            <w:r/>
          </w:p>
        </w:tc>
        <w:tc>
          <w:tcPr>
            <w:tcW w:w="2428" w:type="pct"/>
            <w:vAlign w:val="center"/>
            <w:textDirection w:val="lrTb"/>
            <w:noWrap w:val="false"/>
          </w:tcPr>
          <w:p>
            <w:pPr>
              <w:jc w:val="left"/>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除会商展示室吊顶外，其余乳胶漆顶出新。详见施工图。</w:t>
            </w:r>
            <w:r/>
          </w:p>
        </w:tc>
      </w:tr>
      <w:tr>
        <w:trPr>
          <w:trHeight w:val="285"/>
        </w:trPr>
        <w:tc>
          <w:tcPr>
            <w:tcW w:w="344" w:type="pct"/>
            <w:vAlign w:val="bottom"/>
            <w:textDirection w:val="lrTb"/>
            <w:noWrap/>
          </w:tcPr>
          <w:p>
            <w:pPr>
              <w:jc w:val="center"/>
              <w:widowControl/>
              <w:rPr>
                <w:rFonts w:ascii="宋体" w:hAnsi="宋体" w:cs="宋体"/>
                <w:b/>
                <w:bCs/>
                <w:color w:val="000000" w:themeColor="text1"/>
                <w:szCs w:val="21"/>
                <w14:textFill>
                  <w14:solidFill>
                    <w14:schemeClr w14:val="tx1"/>
                  </w14:solidFill>
                </w14:textFill>
              </w:rPr>
            </w:pPr>
            <w:r>
              <w:rPr>
                <w:rFonts w:ascii="宋体" w:hAnsi="宋体" w:cs="宋体"/>
                <w:b/>
                <w:bCs/>
                <w:color w:val="000000" w:themeColor="text1"/>
                <w:szCs w:val="21"/>
                <w14:textFill>
                  <w14:solidFill>
                    <w14:schemeClr w14:val="tx1"/>
                  </w14:solidFill>
                </w14:textFill>
              </w:rPr>
              <w:t xml:space="preserve">三</w:t>
            </w:r>
            <w:r/>
          </w:p>
        </w:tc>
        <w:tc>
          <w:tcPr>
            <w:tcW w:w="1294" w:type="pct"/>
            <w:vAlign w:val="bottom"/>
            <w:textDirection w:val="lrTb"/>
            <w:noWrap/>
          </w:tcPr>
          <w:p>
            <w:pPr>
              <w:jc w:val="center"/>
              <w:widowControl/>
              <w:rPr>
                <w:rFonts w:ascii="宋体" w:hAnsi="宋体" w:cs="宋体"/>
                <w:b/>
                <w:bCs/>
                <w:color w:val="000000" w:themeColor="text1"/>
                <w:szCs w:val="21"/>
                <w14:textFill>
                  <w14:solidFill>
                    <w14:schemeClr w14:val="tx1"/>
                  </w14:solidFill>
                </w14:textFill>
              </w:rPr>
            </w:pPr>
            <w:r>
              <w:rPr>
                <w:rFonts w:ascii="宋体" w:hAnsi="宋体" w:cs="宋体"/>
                <w:b/>
                <w:bCs/>
                <w:color w:val="000000" w:themeColor="text1"/>
                <w:szCs w:val="21"/>
                <w14:textFill>
                  <w14:solidFill>
                    <w14:schemeClr w14:val="tx1"/>
                  </w14:solidFill>
                </w14:textFill>
              </w:rPr>
              <w:t xml:space="preserve">通用安装工程</w:t>
            </w:r>
            <w:r/>
          </w:p>
        </w:tc>
        <w:tc>
          <w:tcPr>
            <w:tcW w:w="431" w:type="pct"/>
            <w:vAlign w:val="bottom"/>
            <w:textDirection w:val="lrTb"/>
            <w:noWrap/>
          </w:tcPr>
          <w:p>
            <w:pPr>
              <w:jc w:val="center"/>
              <w:widowControl/>
              <w:rPr>
                <w:rFonts w:ascii="宋体" w:hAnsi="宋体" w:cs="宋体"/>
                <w:b/>
                <w:bCs/>
                <w:color w:val="000000" w:themeColor="text1"/>
                <w:szCs w:val="21"/>
                <w14:textFill>
                  <w14:solidFill>
                    <w14:schemeClr w14:val="tx1"/>
                  </w14:solidFill>
                </w14:textFill>
              </w:rPr>
            </w:pPr>
            <w:r>
              <w:rPr>
                <w:rFonts w:ascii="宋体" w:hAnsi="宋体" w:cs="宋体"/>
                <w:b/>
                <w:bCs/>
                <w:color w:val="000000" w:themeColor="text1"/>
                <w:szCs w:val="21"/>
                <w14:textFill>
                  <w14:solidFill>
                    <w14:schemeClr w14:val="tx1"/>
                  </w14:solidFill>
                </w14:textFill>
              </w:rPr>
              <w:t xml:space="preserve">　</w:t>
            </w:r>
            <w:r/>
          </w:p>
        </w:tc>
        <w:tc>
          <w:tcPr>
            <w:tcW w:w="503" w:type="pct"/>
            <w:vAlign w:val="bottom"/>
            <w:textDirection w:val="lrTb"/>
            <w:noWrap/>
          </w:tcPr>
          <w:p>
            <w:pPr>
              <w:jc w:val="center"/>
              <w:widowControl/>
              <w:rPr>
                <w:rFonts w:ascii="宋体" w:hAnsi="宋体" w:cs="宋体"/>
                <w:b/>
                <w:bCs/>
                <w:color w:val="000000" w:themeColor="text1"/>
                <w:szCs w:val="21"/>
                <w14:textFill>
                  <w14:solidFill>
                    <w14:schemeClr w14:val="tx1"/>
                  </w14:solidFill>
                </w14:textFill>
              </w:rPr>
            </w:pPr>
            <w:r>
              <w:rPr>
                <w:rFonts w:ascii="宋体" w:hAnsi="宋体" w:cs="宋体"/>
                <w:b/>
                <w:bCs/>
                <w:color w:val="000000" w:themeColor="text1"/>
                <w:szCs w:val="21"/>
                <w14:textFill>
                  <w14:solidFill>
                    <w14:schemeClr w14:val="tx1"/>
                  </w14:solidFill>
                </w14:textFill>
              </w:rPr>
              <w:t xml:space="preserve">　</w:t>
            </w:r>
            <w:r/>
          </w:p>
        </w:tc>
        <w:tc>
          <w:tcPr>
            <w:tcW w:w="2428" w:type="pct"/>
            <w:vAlign w:val="bottom"/>
            <w:textDirection w:val="lrTb"/>
            <w:noWrap/>
          </w:tcPr>
          <w:p>
            <w:pPr>
              <w:jc w:val="center"/>
              <w:widowControl/>
              <w:rPr>
                <w:rFonts w:ascii="宋体" w:hAnsi="宋体" w:cs="宋体"/>
                <w:b/>
                <w:bCs/>
                <w:color w:val="000000" w:themeColor="text1"/>
                <w:szCs w:val="21"/>
                <w14:textFill>
                  <w14:solidFill>
                    <w14:schemeClr w14:val="tx1"/>
                  </w14:solidFill>
                </w14:textFill>
              </w:rPr>
            </w:pPr>
            <w:r>
              <w:rPr>
                <w:rFonts w:ascii="宋体" w:hAnsi="宋体" w:cs="宋体"/>
                <w:b/>
                <w:bCs/>
                <w:color w:val="000000" w:themeColor="text1"/>
                <w:szCs w:val="21"/>
                <w14:textFill>
                  <w14:solidFill>
                    <w14:schemeClr w14:val="tx1"/>
                  </w14:solidFill>
                </w14:textFill>
              </w:rPr>
              <w:t xml:space="preserve">　</w:t>
            </w:r>
            <w:r/>
          </w:p>
        </w:tc>
      </w:tr>
      <w:tr>
        <w:trPr>
          <w:trHeight w:val="285"/>
        </w:trPr>
        <w:tc>
          <w:tcPr>
            <w:tcW w:w="344"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3.1 </w:t>
            </w:r>
            <w:r/>
          </w:p>
        </w:tc>
        <w:tc>
          <w:tcPr>
            <w:tcW w:w="1294" w:type="pct"/>
            <w:vAlign w:val="center"/>
            <w:textDirection w:val="lrTb"/>
            <w:noWrap w:val="false"/>
          </w:tcPr>
          <w:p>
            <w:pPr>
              <w:jc w:val="left"/>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仓库网线敷设</w:t>
            </w:r>
            <w:r/>
          </w:p>
        </w:tc>
        <w:tc>
          <w:tcPr>
            <w:tcW w:w="431"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路</w:t>
            </w:r>
            <w:r/>
          </w:p>
        </w:tc>
        <w:tc>
          <w:tcPr>
            <w:tcW w:w="503"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2 </w:t>
            </w:r>
            <w:r/>
          </w:p>
        </w:tc>
        <w:tc>
          <w:tcPr>
            <w:tcW w:w="2428" w:type="pct"/>
            <w:vAlign w:val="center"/>
            <w:textDirection w:val="lrTb"/>
            <w:noWrap w:val="false"/>
          </w:tcPr>
          <w:p>
            <w:pPr>
              <w:jc w:val="left"/>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仓库敷设2路网线。详见施工图。</w:t>
            </w:r>
            <w:r/>
          </w:p>
        </w:tc>
      </w:tr>
      <w:tr>
        <w:trPr>
          <w:trHeight w:val="450"/>
        </w:trPr>
        <w:tc>
          <w:tcPr>
            <w:tcW w:w="344"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3.2 </w:t>
            </w:r>
            <w:r/>
          </w:p>
        </w:tc>
        <w:tc>
          <w:tcPr>
            <w:tcW w:w="1294" w:type="pct"/>
            <w:vAlign w:val="center"/>
            <w:textDirection w:val="lrTb"/>
            <w:noWrap w:val="false"/>
          </w:tcPr>
          <w:p>
            <w:pPr>
              <w:jc w:val="left"/>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强电综合布线、插座及桥架</w:t>
            </w:r>
            <w:r/>
          </w:p>
        </w:tc>
        <w:tc>
          <w:tcPr>
            <w:tcW w:w="431"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项</w:t>
            </w:r>
            <w:r/>
          </w:p>
        </w:tc>
        <w:tc>
          <w:tcPr>
            <w:tcW w:w="503"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1 </w:t>
            </w:r>
            <w:r/>
          </w:p>
        </w:tc>
        <w:tc>
          <w:tcPr>
            <w:tcW w:w="2428" w:type="pct"/>
            <w:vAlign w:val="center"/>
            <w:textDirection w:val="lrTb"/>
            <w:noWrap w:val="false"/>
          </w:tcPr>
          <w:p>
            <w:pPr>
              <w:jc w:val="left"/>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强电综合布线、插座及桥架，含部分暗线及幕墙边桥架明线。详见施工图。</w:t>
            </w:r>
            <w:r/>
          </w:p>
        </w:tc>
      </w:tr>
      <w:tr>
        <w:trPr>
          <w:trHeight w:val="450"/>
        </w:trPr>
        <w:tc>
          <w:tcPr>
            <w:tcW w:w="344" w:type="pct"/>
            <w:vAlign w:val="center"/>
            <w:textDirection w:val="lrTb"/>
            <w:noWrap w:val="false"/>
          </w:tcPr>
          <w:p>
            <w:pPr>
              <w:jc w:val="center"/>
              <w:widowControl/>
              <w:rPr>
                <w:rFonts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四</w:t>
            </w:r>
            <w:r/>
          </w:p>
        </w:tc>
        <w:tc>
          <w:tcPr>
            <w:tcW w:w="1294" w:type="pct"/>
            <w:vAlign w:val="center"/>
            <w:textDirection w:val="lrTb"/>
            <w:noWrap w:val="false"/>
          </w:tcPr>
          <w:p>
            <w:pPr>
              <w:jc w:val="center"/>
              <w:widowControl/>
              <w:rPr>
                <w:rFonts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其他</w:t>
            </w:r>
            <w:r/>
          </w:p>
        </w:tc>
        <w:tc>
          <w:tcPr>
            <w:tcW w:w="431"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503"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2428" w:type="pct"/>
            <w:vAlign w:val="center"/>
            <w:textDirection w:val="lrTb"/>
            <w:noWrap w:val="false"/>
          </w:tcPr>
          <w:p>
            <w:pPr>
              <w:jc w:val="left"/>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r>
      <w:tr>
        <w:trPr>
          <w:trHeight w:val="450"/>
        </w:trPr>
        <w:tc>
          <w:tcPr>
            <w:tcW w:w="344"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4.1</w:t>
            </w:r>
            <w:r/>
          </w:p>
        </w:tc>
        <w:tc>
          <w:tcPr>
            <w:tcW w:w="1294" w:type="pct"/>
            <w:vAlign w:val="center"/>
            <w:textDirection w:val="lrTb"/>
            <w:noWrap w:val="false"/>
          </w:tcPr>
          <w:p>
            <w:pPr>
              <w:jc w:val="lef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零星工程</w:t>
            </w:r>
            <w:r/>
          </w:p>
        </w:tc>
        <w:tc>
          <w:tcPr>
            <w:tcW w:w="431"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项</w:t>
            </w:r>
            <w:r/>
          </w:p>
        </w:tc>
        <w:tc>
          <w:tcPr>
            <w:tcW w:w="503"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w:t>
            </w:r>
            <w:r/>
          </w:p>
        </w:tc>
        <w:tc>
          <w:tcPr>
            <w:tcW w:w="2428" w:type="pct"/>
            <w:vAlign w:val="center"/>
            <w:textDirection w:val="lrTb"/>
            <w:noWrap w:val="false"/>
          </w:tcPr>
          <w:p>
            <w:pPr>
              <w:jc w:val="lef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中间办公室地面维修、房间内设备搬迁，地址由业主方指定</w:t>
            </w:r>
            <w:bookmarkEnd w:id="19"/>
            <w:r/>
          </w:p>
        </w:tc>
      </w:tr>
    </w:tbl>
    <w:p>
      <w:pPr>
        <w:rPr>
          <w:color w:val="000000" w:themeColor="text1"/>
          <w14:textFill>
            <w14:solidFill>
              <w14:schemeClr w14:val="tx1"/>
            </w14:solidFill>
          </w14:textFill>
        </w:rPr>
      </w:pPr>
      <w:r>
        <w:rPr>
          <w:color w:val="000000" w:themeColor="text1"/>
          <w14:textFill>
            <w14:solidFill>
              <w14:schemeClr w14:val="tx1"/>
            </w14:solidFill>
          </w14:textFill>
        </w:rPr>
      </w:r>
      <w:r/>
    </w:p>
    <w:p>
      <w:pPr>
        <w:pStyle w:val="667"/>
        <w:spacing w:before="0" w:after="0" w:line="360" w:lineRule="auto"/>
        <w:rPr>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t xml:space="preserve">第三节 技术参数要求</w:t>
      </w:r>
      <w:r/>
    </w:p>
    <w:p>
      <w:pPr>
        <w:pStyle w:val="668"/>
        <w:spacing w:before="0" w:after="0" w:line="360" w:lineRule="auto"/>
        <w:rPr>
          <w:rFonts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一、标准气象观测设备</w:t>
      </w:r>
      <w:r/>
    </w:p>
    <w:p>
      <w:pPr>
        <w:ind w:firstLine="482"/>
        <w:spacing w:line="360" w:lineRule="auto"/>
        <w:rPr>
          <w:b/>
          <w:bCs/>
          <w:color w:val="000000" w:themeColor="text1"/>
          <w:sz w:val="24"/>
          <w:szCs w:val="24"/>
          <w14:textFill>
            <w14:solidFill>
              <w14:schemeClr w14:val="tx1"/>
            </w14:solidFill>
          </w14:textFill>
        </w:rPr>
      </w:pPr>
      <w:r>
        <w:rPr>
          <w:rFonts w:hint="eastAsia"/>
          <w:b/>
          <w:bCs/>
          <w:color w:val="000000" w:themeColor="text1"/>
          <w:sz w:val="24"/>
          <w:szCs w:val="24"/>
          <w14:textFill>
            <w14:solidFill>
              <w14:schemeClr w14:val="tx1"/>
            </w14:solidFill>
          </w14:textFill>
        </w:rPr>
        <w:t xml:space="preserve">1、气象五参数传感器</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设备测量要素包含</w:t>
      </w:r>
      <w:r>
        <w:rPr>
          <w:color w:val="000000" w:themeColor="text1"/>
          <w:sz w:val="24"/>
          <w:szCs w:val="24"/>
          <w14:textFill>
            <w14:solidFill>
              <w14:schemeClr w14:val="tx1"/>
            </w14:solidFill>
          </w14:textFill>
        </w:rPr>
        <w:t xml:space="preserve">风速，风向，大气压，温度，湿度</w:t>
      </w:r>
      <w:r>
        <w:rPr>
          <w:rFonts w:hint="eastAsia"/>
          <w:color w:val="000000" w:themeColor="text1"/>
          <w:sz w:val="24"/>
          <w:szCs w:val="24"/>
          <w14:textFill>
            <w14:solidFill>
              <w14:schemeClr w14:val="tx1"/>
            </w14:solidFill>
          </w14:textFill>
        </w:rPr>
        <w:t xml:space="preserve">；产品结构牢固无移动部件，采用抗污染抗腐蚀的金属外壳，安装简单无需定期维护，适合在所有气候区域使用。技术参数要求如下：</w:t>
      </w:r>
      <w:r/>
    </w:p>
    <w:p>
      <w:pPr>
        <w:ind w:firstLine="482"/>
        <w:spacing w:line="360" w:lineRule="auto"/>
        <w:rPr>
          <w:b/>
          <w:bCs/>
          <w:color w:val="000000" w:themeColor="text1"/>
          <w:sz w:val="24"/>
          <w:szCs w:val="24"/>
          <w14:textFill>
            <w14:solidFill>
              <w14:schemeClr w14:val="tx1"/>
            </w14:solidFill>
          </w14:textFill>
        </w:rPr>
      </w:pPr>
      <w:r>
        <w:rPr>
          <w:rFonts w:hint="eastAsia"/>
          <w:b/>
          <w:bCs/>
          <w:color w:val="000000" w:themeColor="text1"/>
          <w:sz w:val="24"/>
          <w:szCs w:val="24"/>
          <w14:textFill>
            <w14:solidFill>
              <w14:schemeClr w14:val="tx1"/>
            </w14:solidFill>
          </w14:textFill>
        </w:rPr>
        <w:t xml:space="preserve">（1）风速</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测量范围：</w:t>
      </w:r>
      <w:r>
        <w:rPr>
          <w:color w:val="000000" w:themeColor="text1"/>
          <w:sz w:val="24"/>
          <w:szCs w:val="24"/>
          <w14:textFill>
            <w14:solidFill>
              <w14:schemeClr w14:val="tx1"/>
            </w14:solidFill>
          </w14:textFill>
        </w:rPr>
        <w:t xml:space="preserve">0</w:t>
      </w:r>
      <w:r>
        <w:rPr>
          <w:rFonts w:hint="eastAsia"/>
          <w:color w:val="000000" w:themeColor="text1"/>
          <w:sz w:val="24"/>
          <w:szCs w:val="24"/>
          <w14:textFill>
            <w14:solidFill>
              <w14:schemeClr w14:val="tx1"/>
            </w14:solidFill>
          </w14:textFill>
        </w:rPr>
        <w:t xml:space="preserve">—</w:t>
      </w:r>
      <w:r>
        <w:rPr>
          <w:color w:val="000000" w:themeColor="text1"/>
          <w:sz w:val="24"/>
          <w:szCs w:val="24"/>
          <w14:textFill>
            <w14:solidFill>
              <w14:schemeClr w14:val="tx1"/>
            </w14:solidFill>
          </w14:textFill>
        </w:rPr>
        <w:t xml:space="preserve">60m/s</w:t>
      </w:r>
      <w:r>
        <w:rPr>
          <w:rFonts w:hint="eastAsia"/>
          <w:color w:val="000000" w:themeColor="text1"/>
          <w:sz w:val="24"/>
          <w:szCs w:val="24"/>
          <w14:textFill>
            <w14:solidFill>
              <w14:schemeClr w14:val="tx1"/>
            </w14:solidFill>
          </w14:textFill>
        </w:rPr>
        <w:t xml:space="preserve">；</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测量精度：±</w:t>
      </w:r>
      <w:r>
        <w:rPr>
          <w:color w:val="000000" w:themeColor="text1"/>
          <w:sz w:val="24"/>
          <w:szCs w:val="24"/>
          <w14:textFill>
            <w14:solidFill>
              <w14:schemeClr w14:val="tx1"/>
            </w14:solidFill>
          </w14:textFill>
        </w:rPr>
        <w:t xml:space="preserve">0.3m/s</w:t>
      </w:r>
      <w:r>
        <w:rPr>
          <w:rFonts w:hint="eastAsia"/>
          <w:color w:val="000000" w:themeColor="text1"/>
          <w:sz w:val="24"/>
          <w:szCs w:val="24"/>
          <w14:textFill>
            <w14:solidFill>
              <w14:schemeClr w14:val="tx1"/>
            </w14:solidFill>
          </w14:textFill>
        </w:rPr>
        <w:t xml:space="preserve">；</w:t>
      </w:r>
      <w:r>
        <w:rPr>
          <w:color w:val="000000" w:themeColor="text1"/>
          <w:sz w:val="24"/>
          <w:szCs w:val="24"/>
          <w14:textFill>
            <w14:solidFill>
              <w14:schemeClr w14:val="tx1"/>
            </w14:solidFill>
          </w14:textFill>
        </w:rPr>
        <w:t xml:space="preserve">V</w:t>
      </w:r>
      <w:r>
        <w:rPr>
          <w:rFonts w:hint="eastAsia"/>
          <w:color w:val="000000" w:themeColor="text1"/>
          <w:sz w:val="24"/>
          <w:szCs w:val="24"/>
          <w14:textFill>
            <w14:solidFill>
              <w14:schemeClr w14:val="tx1"/>
            </w14:solidFill>
          </w14:textFill>
        </w:rPr>
        <w:t xml:space="preserve">≥</w:t>
      </w:r>
      <w:r>
        <w:rPr>
          <w:color w:val="000000" w:themeColor="text1"/>
          <w:sz w:val="24"/>
          <w:szCs w:val="24"/>
          <w14:textFill>
            <w14:solidFill>
              <w14:schemeClr w14:val="tx1"/>
            </w14:solidFill>
          </w14:textFill>
        </w:rPr>
        <w:t xml:space="preserve">10m/s测量值的3%</w:t>
      </w:r>
      <w:r>
        <w:rPr>
          <w:rFonts w:hint="eastAsia"/>
          <w:color w:val="000000" w:themeColor="text1"/>
          <w:sz w:val="24"/>
          <w:szCs w:val="24"/>
          <w14:textFill>
            <w14:solidFill>
              <w14:schemeClr w14:val="tx1"/>
            </w14:solidFill>
          </w14:textFill>
        </w:rPr>
        <w:t xml:space="preserve">；</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分辨率：</w:t>
      </w:r>
      <w:r>
        <w:rPr>
          <w:color w:val="000000" w:themeColor="text1"/>
          <w:sz w:val="24"/>
          <w:szCs w:val="24"/>
          <w14:textFill>
            <w14:solidFill>
              <w14:schemeClr w14:val="tx1"/>
            </w14:solidFill>
          </w14:textFill>
        </w:rPr>
        <w:t xml:space="preserve">0.1m/s</w:t>
      </w:r>
      <w:r>
        <w:rPr>
          <w:rFonts w:hint="eastAsia"/>
          <w:color w:val="000000" w:themeColor="text1"/>
          <w:sz w:val="24"/>
          <w:szCs w:val="24"/>
          <w14:textFill>
            <w14:solidFill>
              <w14:schemeClr w14:val="tx1"/>
            </w14:solidFill>
          </w14:textFill>
        </w:rPr>
        <w:t xml:space="preserve">；</w:t>
      </w:r>
      <w:r/>
    </w:p>
    <w:p>
      <w:pPr>
        <w:ind w:firstLine="482"/>
        <w:spacing w:line="360" w:lineRule="auto"/>
        <w:rPr>
          <w:b/>
          <w:bCs/>
          <w:color w:val="000000" w:themeColor="text1"/>
          <w:sz w:val="24"/>
          <w:szCs w:val="24"/>
          <w14:textFill>
            <w14:solidFill>
              <w14:schemeClr w14:val="tx1"/>
            </w14:solidFill>
          </w14:textFill>
        </w:rPr>
      </w:pPr>
      <w:r>
        <w:rPr>
          <w:rFonts w:hint="eastAsia"/>
          <w:b/>
          <w:bCs/>
          <w:color w:val="000000" w:themeColor="text1"/>
          <w:sz w:val="24"/>
          <w:szCs w:val="24"/>
          <w14:textFill>
            <w14:solidFill>
              <w14:schemeClr w14:val="tx1"/>
            </w14:solidFill>
          </w14:textFill>
        </w:rPr>
        <w:t xml:space="preserve">（2）风向</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测量范围：</w:t>
      </w:r>
      <w:r>
        <w:rPr>
          <w:color w:val="000000" w:themeColor="text1"/>
          <w:sz w:val="24"/>
          <w:szCs w:val="24"/>
          <w14:textFill>
            <w14:solidFill>
              <w14:schemeClr w14:val="tx1"/>
            </w14:solidFill>
          </w14:textFill>
        </w:rPr>
        <w:t xml:space="preserve">0</w:t>
      </w:r>
      <w:r>
        <w:rPr>
          <w:rFonts w:hint="eastAsia"/>
          <w:color w:val="000000" w:themeColor="text1"/>
          <w:sz w:val="24"/>
          <w:szCs w:val="24"/>
          <w14:textFill>
            <w14:solidFill>
              <w14:schemeClr w14:val="tx1"/>
            </w14:solidFill>
          </w14:textFill>
        </w:rPr>
        <w:t xml:space="preserve">—</w:t>
      </w:r>
      <w:r>
        <w:rPr>
          <w:color w:val="000000" w:themeColor="text1"/>
          <w:sz w:val="24"/>
          <w:szCs w:val="24"/>
          <w14:textFill>
            <w14:solidFill>
              <w14:schemeClr w14:val="tx1"/>
            </w14:solidFill>
          </w14:textFill>
        </w:rPr>
        <w:t xml:space="preserve">360°</w:t>
      </w:r>
      <w:r>
        <w:rPr>
          <w:rFonts w:hint="eastAsia"/>
          <w:color w:val="000000" w:themeColor="text1"/>
          <w:sz w:val="24"/>
          <w:szCs w:val="24"/>
          <w14:textFill>
            <w14:solidFill>
              <w14:schemeClr w14:val="tx1"/>
            </w14:solidFill>
          </w14:textFill>
        </w:rPr>
        <w:t xml:space="preserve">；</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测量精度：±</w:t>
      </w:r>
      <w:r>
        <w:rPr>
          <w:color w:val="000000" w:themeColor="text1"/>
          <w:sz w:val="24"/>
          <w:szCs w:val="24"/>
          <w14:textFill>
            <w14:solidFill>
              <w14:schemeClr w14:val="tx1"/>
            </w14:solidFill>
          </w14:textFill>
        </w:rPr>
        <w:t xml:space="preserve">3°</w:t>
      </w:r>
      <w:r>
        <w:rPr>
          <w:rFonts w:hint="eastAsia"/>
          <w:color w:val="000000" w:themeColor="text1"/>
          <w:sz w:val="24"/>
          <w:szCs w:val="24"/>
          <w14:textFill>
            <w14:solidFill>
              <w14:schemeClr w14:val="tx1"/>
            </w14:solidFill>
          </w14:textFill>
        </w:rPr>
        <w:t xml:space="preserve">；</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分辨率：</w:t>
      </w:r>
      <w:r>
        <w:rPr>
          <w:color w:val="000000" w:themeColor="text1"/>
          <w:sz w:val="24"/>
          <w:szCs w:val="24"/>
          <w14:textFill>
            <w14:solidFill>
              <w14:schemeClr w14:val="tx1"/>
            </w14:solidFill>
          </w14:textFill>
        </w:rPr>
        <w:t xml:space="preserve">0.1°</w:t>
      </w:r>
      <w:r>
        <w:rPr>
          <w:rFonts w:hint="eastAsia"/>
          <w:color w:val="000000" w:themeColor="text1"/>
          <w:sz w:val="24"/>
          <w:szCs w:val="24"/>
          <w14:textFill>
            <w14:solidFill>
              <w14:schemeClr w14:val="tx1"/>
            </w14:solidFill>
          </w14:textFill>
        </w:rPr>
        <w:t xml:space="preserve">；</w:t>
      </w:r>
      <w:r/>
    </w:p>
    <w:p>
      <w:pPr>
        <w:ind w:firstLine="482"/>
        <w:spacing w:line="360" w:lineRule="auto"/>
        <w:rPr>
          <w:b/>
          <w:bCs/>
          <w:color w:val="000000" w:themeColor="text1"/>
          <w:sz w:val="24"/>
          <w:szCs w:val="24"/>
          <w14:textFill>
            <w14:solidFill>
              <w14:schemeClr w14:val="tx1"/>
            </w14:solidFill>
          </w14:textFill>
        </w:rPr>
      </w:pPr>
      <w:r>
        <w:rPr>
          <w:rFonts w:hint="eastAsia"/>
          <w:b/>
          <w:bCs/>
          <w:color w:val="000000" w:themeColor="text1"/>
          <w:sz w:val="24"/>
          <w:szCs w:val="24"/>
          <w14:textFill>
            <w14:solidFill>
              <w14:schemeClr w14:val="tx1"/>
            </w14:solidFill>
          </w14:textFill>
        </w:rPr>
        <w:t xml:space="preserve">（3）温度</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测量范围：-40—+80℃；</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测量精度：±0.3℃；</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分辨率：0.1℃；</w:t>
      </w:r>
      <w:r/>
    </w:p>
    <w:p>
      <w:pPr>
        <w:ind w:firstLine="482"/>
        <w:spacing w:line="360" w:lineRule="auto"/>
        <w:rPr>
          <w:b/>
          <w:bCs/>
          <w:color w:val="000000" w:themeColor="text1"/>
          <w:sz w:val="24"/>
          <w:szCs w:val="24"/>
          <w14:textFill>
            <w14:solidFill>
              <w14:schemeClr w14:val="tx1"/>
            </w14:solidFill>
          </w14:textFill>
        </w:rPr>
      </w:pPr>
      <w:r>
        <w:rPr>
          <w:rFonts w:hint="eastAsia"/>
          <w:b/>
          <w:bCs/>
          <w:color w:val="000000" w:themeColor="text1"/>
          <w:sz w:val="24"/>
          <w:szCs w:val="24"/>
          <w14:textFill>
            <w14:solidFill>
              <w14:schemeClr w14:val="tx1"/>
            </w14:solidFill>
          </w14:textFill>
        </w:rPr>
        <w:t xml:space="preserve">（4）湿度</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测量范围：</w:t>
      </w:r>
      <w:r>
        <w:rPr>
          <w:color w:val="000000" w:themeColor="text1"/>
          <w:sz w:val="24"/>
          <w:szCs w:val="24"/>
          <w14:textFill>
            <w14:solidFill>
              <w14:schemeClr w14:val="tx1"/>
            </w14:solidFill>
          </w14:textFill>
        </w:rPr>
        <w:t xml:space="preserve">0</w:t>
      </w:r>
      <w:r>
        <w:rPr>
          <w:rFonts w:hint="eastAsia"/>
          <w:color w:val="000000" w:themeColor="text1"/>
          <w:sz w:val="24"/>
          <w:szCs w:val="24"/>
          <w14:textFill>
            <w14:solidFill>
              <w14:schemeClr w14:val="tx1"/>
            </w14:solidFill>
          </w14:textFill>
        </w:rPr>
        <w:t xml:space="preserve">—</w:t>
      </w:r>
      <w:r>
        <w:rPr>
          <w:color w:val="000000" w:themeColor="text1"/>
          <w:sz w:val="24"/>
          <w:szCs w:val="24"/>
          <w14:textFill>
            <w14:solidFill>
              <w14:schemeClr w14:val="tx1"/>
            </w14:solidFill>
          </w14:textFill>
        </w:rPr>
        <w:t xml:space="preserve">100%RH</w:t>
      </w:r>
      <w:r>
        <w:rPr>
          <w:rFonts w:hint="eastAsia"/>
          <w:color w:val="000000" w:themeColor="text1"/>
          <w:sz w:val="24"/>
          <w:szCs w:val="24"/>
          <w14:textFill>
            <w14:solidFill>
              <w14:schemeClr w14:val="tx1"/>
            </w14:solidFill>
          </w14:textFill>
        </w:rPr>
        <w:t xml:space="preserve">；</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测量精度：±</w:t>
      </w:r>
      <w:r>
        <w:rPr>
          <w:color w:val="000000" w:themeColor="text1"/>
          <w:sz w:val="24"/>
          <w:szCs w:val="24"/>
          <w14:textFill>
            <w14:solidFill>
              <w14:schemeClr w14:val="tx1"/>
            </w14:solidFill>
          </w14:textFill>
        </w:rPr>
        <w:t xml:space="preserve">2%RH</w:t>
      </w:r>
      <w:r>
        <w:rPr>
          <w:rFonts w:hint="eastAsia"/>
          <w:color w:val="000000" w:themeColor="text1"/>
          <w:sz w:val="24"/>
          <w:szCs w:val="24"/>
          <w14:textFill>
            <w14:solidFill>
              <w14:schemeClr w14:val="tx1"/>
            </w14:solidFill>
          </w14:textFill>
        </w:rPr>
        <w:t xml:space="preserve">；</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分辨率：</w:t>
      </w:r>
      <w:r>
        <w:rPr>
          <w:color w:val="000000" w:themeColor="text1"/>
          <w:sz w:val="24"/>
          <w:szCs w:val="24"/>
          <w14:textFill>
            <w14:solidFill>
              <w14:schemeClr w14:val="tx1"/>
            </w14:solidFill>
          </w14:textFill>
        </w:rPr>
        <w:t xml:space="preserve">0.1%</w:t>
      </w:r>
      <w:r>
        <w:rPr>
          <w:rFonts w:hint="eastAsia"/>
          <w:color w:val="000000" w:themeColor="text1"/>
          <w:sz w:val="24"/>
          <w:szCs w:val="24"/>
          <w14:textFill>
            <w14:solidFill>
              <w14:schemeClr w14:val="tx1"/>
            </w14:solidFill>
          </w14:textFill>
        </w:rPr>
        <w:t xml:space="preserve">；</w:t>
      </w:r>
      <w:r/>
    </w:p>
    <w:p>
      <w:pPr>
        <w:ind w:firstLine="482"/>
        <w:spacing w:line="360" w:lineRule="auto"/>
        <w:rPr>
          <w:b/>
          <w:bCs/>
          <w:color w:val="000000" w:themeColor="text1"/>
          <w:sz w:val="24"/>
          <w:szCs w:val="24"/>
          <w14:textFill>
            <w14:solidFill>
              <w14:schemeClr w14:val="tx1"/>
            </w14:solidFill>
          </w14:textFill>
        </w:rPr>
      </w:pPr>
      <w:r>
        <w:rPr>
          <w:rFonts w:hint="eastAsia"/>
          <w:b/>
          <w:bCs/>
          <w:color w:val="000000" w:themeColor="text1"/>
          <w:sz w:val="24"/>
          <w:szCs w:val="24"/>
          <w14:textFill>
            <w14:solidFill>
              <w14:schemeClr w14:val="tx1"/>
            </w14:solidFill>
          </w14:textFill>
        </w:rPr>
        <w:t xml:space="preserve">（5）大气压</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测量范围：</w:t>
      </w:r>
      <w:r>
        <w:rPr>
          <w:color w:val="000000" w:themeColor="text1"/>
          <w:sz w:val="24"/>
          <w:szCs w:val="24"/>
          <w14:textFill>
            <w14:solidFill>
              <w14:schemeClr w14:val="tx1"/>
            </w14:solidFill>
          </w14:textFill>
        </w:rPr>
        <w:t xml:space="preserve">10</w:t>
      </w:r>
      <w:r>
        <w:rPr>
          <w:rFonts w:hint="eastAsia"/>
          <w:color w:val="000000" w:themeColor="text1"/>
          <w:sz w:val="24"/>
          <w:szCs w:val="24"/>
          <w14:textFill>
            <w14:solidFill>
              <w14:schemeClr w14:val="tx1"/>
            </w14:solidFill>
          </w14:textFill>
        </w:rPr>
        <w:t xml:space="preserve">—</w:t>
      </w:r>
      <w:r>
        <w:rPr>
          <w:color w:val="000000" w:themeColor="text1"/>
          <w:sz w:val="24"/>
          <w:szCs w:val="24"/>
          <w14:textFill>
            <w14:solidFill>
              <w14:schemeClr w14:val="tx1"/>
            </w14:solidFill>
          </w14:textFill>
        </w:rPr>
        <w:t xml:space="preserve">1100hpa</w:t>
      </w:r>
      <w:r>
        <w:rPr>
          <w:rFonts w:hint="eastAsia"/>
          <w:color w:val="000000" w:themeColor="text1"/>
          <w:sz w:val="24"/>
          <w:szCs w:val="24"/>
          <w14:textFill>
            <w14:solidFill>
              <w14:schemeClr w14:val="tx1"/>
            </w14:solidFill>
          </w14:textFill>
        </w:rPr>
        <w:t xml:space="preserve">；</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测量精度：</w:t>
      </w:r>
      <w:r>
        <w:rPr>
          <w:color w:val="000000" w:themeColor="text1"/>
          <w:sz w:val="24"/>
          <w:szCs w:val="24"/>
          <w14:textFill>
            <w14:solidFill>
              <w14:schemeClr w14:val="tx1"/>
            </w14:solidFill>
          </w14:textFill>
        </w:rPr>
        <w:t xml:space="preserve">±0.3hpa</w:t>
      </w:r>
      <w:r>
        <w:rPr>
          <w:rFonts w:hint="eastAsia"/>
          <w:color w:val="000000" w:themeColor="text1"/>
          <w:sz w:val="24"/>
          <w:szCs w:val="24"/>
          <w14:textFill>
            <w14:solidFill>
              <w14:schemeClr w14:val="tx1"/>
            </w14:solidFill>
          </w14:textFill>
        </w:rPr>
        <w:t xml:space="preserve">；</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分辨率：</w:t>
      </w:r>
      <w:r>
        <w:rPr>
          <w:color w:val="000000" w:themeColor="text1"/>
          <w:sz w:val="24"/>
          <w:szCs w:val="24"/>
          <w14:textFill>
            <w14:solidFill>
              <w14:schemeClr w14:val="tx1"/>
            </w14:solidFill>
          </w14:textFill>
        </w:rPr>
        <w:t xml:space="preserve">0.1hpa</w:t>
      </w:r>
      <w:r>
        <w:rPr>
          <w:rFonts w:hint="eastAsia"/>
          <w:color w:val="000000" w:themeColor="text1"/>
          <w:sz w:val="24"/>
          <w:szCs w:val="24"/>
          <w14:textFill>
            <w14:solidFill>
              <w14:schemeClr w14:val="tx1"/>
            </w14:solidFill>
          </w14:textFill>
        </w:rPr>
        <w:t xml:space="preserve">；</w:t>
      </w:r>
      <w:r/>
    </w:p>
    <w:p>
      <w:pPr>
        <w:ind w:firstLine="482"/>
        <w:spacing w:line="360" w:lineRule="auto"/>
        <w:rPr>
          <w:b/>
          <w:bCs/>
          <w:color w:val="000000" w:themeColor="text1"/>
          <w:sz w:val="24"/>
          <w:szCs w:val="24"/>
          <w14:textFill>
            <w14:solidFill>
              <w14:schemeClr w14:val="tx1"/>
            </w14:solidFill>
          </w14:textFill>
        </w:rPr>
      </w:pPr>
      <w:r>
        <w:rPr>
          <w:rFonts w:hint="eastAsia"/>
          <w:b/>
          <w:bCs/>
          <w:color w:val="000000" w:themeColor="text1"/>
          <w:sz w:val="24"/>
          <w:szCs w:val="24"/>
          <w14:textFill>
            <w14:solidFill>
              <w14:schemeClr w14:val="tx1"/>
            </w14:solidFill>
          </w14:textFill>
        </w:rPr>
        <w:t xml:space="preserve">（6）基础参数</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防护等级：≥IP66;</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输出信号：支持4—20mA模拟信号输出、RS485数字信号输出；</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供电电源：12—30VDC。</w:t>
      </w:r>
      <w:r/>
    </w:p>
    <w:p>
      <w:pPr>
        <w:ind w:firstLine="480"/>
        <w:spacing w:line="360" w:lineRule="auto"/>
        <w:rPr>
          <w:b/>
          <w:bCs/>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w:t>
      </w:r>
      <w:r>
        <w:rPr>
          <w:rFonts w:hint="eastAsia"/>
          <w:color w:val="000000" w:themeColor="text1"/>
          <w:sz w:val="24"/>
          <w:szCs w:val="24"/>
          <w14:textFill>
            <w14:solidFill>
              <w14:schemeClr w14:val="tx1"/>
            </w14:solidFill>
          </w14:textFill>
        </w:rPr>
        <w:t xml:space="preserve">设备具有国家气象计量站出具的设备校准证书。</w:t>
      </w:r>
      <w:r>
        <w:rPr>
          <w:b/>
          <w:bCs/>
          <w:color w:val="000000" w:themeColor="text1"/>
          <w:sz w:val="24"/>
          <w:szCs w:val="24"/>
          <w14:textFill>
            <w14:solidFill>
              <w14:schemeClr w14:val="tx1"/>
            </w14:solidFill>
          </w14:textFill>
        </w:rPr>
        <w:t xml:space="preserve">（需提供</w:t>
      </w:r>
      <w:r>
        <w:rPr>
          <w:rFonts w:hint="eastAsia"/>
          <w:b/>
          <w:bCs/>
          <w:color w:val="000000" w:themeColor="text1"/>
          <w:sz w:val="24"/>
          <w:szCs w:val="24"/>
          <w14:textFill>
            <w14:solidFill>
              <w14:schemeClr w14:val="tx1"/>
            </w14:solidFill>
          </w14:textFill>
        </w:rPr>
        <w:t xml:space="preserve">有效的校准证书</w:t>
      </w:r>
      <w:r>
        <w:rPr>
          <w:b/>
          <w:bCs/>
          <w:color w:val="000000" w:themeColor="text1"/>
          <w:sz w:val="24"/>
          <w:szCs w:val="24"/>
          <w14:textFill>
            <w14:solidFill>
              <w14:schemeClr w14:val="tx1"/>
            </w14:solidFill>
          </w14:textFill>
        </w:rPr>
        <w:t xml:space="preserve">作为证明材料）</w:t>
      </w:r>
      <w:r/>
    </w:p>
    <w:p>
      <w:pPr>
        <w:ind w:firstLine="482"/>
        <w:spacing w:line="360" w:lineRule="auto"/>
        <w:rPr>
          <w:b/>
          <w:bCs/>
          <w:color w:val="000000" w:themeColor="text1"/>
          <w:sz w:val="24"/>
          <w:szCs w:val="24"/>
          <w14:textFill>
            <w14:solidFill>
              <w14:schemeClr w14:val="tx1"/>
            </w14:solidFill>
          </w14:textFill>
        </w:rPr>
      </w:pPr>
      <w:r>
        <w:rPr>
          <w:rFonts w:hint="eastAsia"/>
          <w:b/>
          <w:bCs/>
          <w:color w:val="000000" w:themeColor="text1"/>
          <w:sz w:val="24"/>
          <w:szCs w:val="24"/>
          <w14:textFill>
            <w14:solidFill>
              <w14:schemeClr w14:val="tx1"/>
            </w14:solidFill>
          </w14:textFill>
        </w:rPr>
        <w:t xml:space="preserve">2、附属设施</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安装立杆高度2.5m，配套安装支架。</w:t>
      </w:r>
      <w:r/>
    </w:p>
    <w:p>
      <w:pPr>
        <w:pStyle w:val="668"/>
        <w:spacing w:before="0" w:after="0" w:line="360" w:lineRule="auto"/>
        <w:rPr>
          <w:rFonts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二、水面蒸发自动监测系统</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水面蒸发自动监测系统包</w:t>
      </w:r>
      <w:r>
        <w:rPr>
          <w:color w:val="000000" w:themeColor="text1"/>
          <w:sz w:val="24"/>
          <w:szCs w:val="24"/>
          <w14:textFill>
            <w14:solidFill>
              <w14:schemeClr w14:val="tx1"/>
            </w14:solidFill>
          </w14:textFill>
        </w:rPr>
        <w:t xml:space="preserve">含</w:t>
      </w:r>
      <w:r>
        <w:rPr>
          <w:rFonts w:hint="eastAsia"/>
          <w:color w:val="000000" w:themeColor="text1"/>
          <w:sz w:val="24"/>
          <w:szCs w:val="24"/>
          <w14:textFill>
            <w14:solidFill>
              <w14:schemeClr w14:val="tx1"/>
            </w14:solidFill>
          </w14:textFill>
        </w:rPr>
        <w:t xml:space="preserve">高精度水面蒸发观测系统、</w:t>
      </w:r>
      <w:r>
        <w:rPr>
          <w:color w:val="000000" w:themeColor="text1"/>
          <w:sz w:val="24"/>
          <w:szCs w:val="24"/>
          <w14:textFill>
            <w14:solidFill>
              <w14:schemeClr w14:val="tx1"/>
            </w14:solidFill>
          </w14:textFill>
        </w:rPr>
        <w:t xml:space="preserve">称重式雨雪量计、土壤墒情监测设备</w:t>
      </w:r>
      <w:r>
        <w:rPr>
          <w:rFonts w:hint="eastAsia"/>
          <w:color w:val="000000" w:themeColor="text1"/>
          <w:sz w:val="24"/>
          <w:szCs w:val="24"/>
          <w14:textFill>
            <w14:solidFill>
              <w14:schemeClr w14:val="tx1"/>
            </w14:solidFill>
          </w14:textFill>
        </w:rPr>
        <w:t xml:space="preserve">。</w:t>
      </w:r>
      <w:r/>
    </w:p>
    <w:p>
      <w:pPr>
        <w:pStyle w:val="669"/>
        <w:spacing w:before="0" w:after="0" w:line="360" w:lineRule="auto"/>
        <w:rPr>
          <w:b w:val="0"/>
          <w:bCs w:val="0"/>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1</w:t>
      </w:r>
      <w:r>
        <w:rPr>
          <w:rFonts w:hint="eastAsia" w:ascii="宋体" w:hAnsi="宋体" w:eastAsia="宋体" w:cs="宋体"/>
          <w:color w:val="000000" w:themeColor="text1"/>
          <w:sz w:val="24"/>
          <w:szCs w:val="24"/>
          <w14:textFill>
            <w14:solidFill>
              <w14:schemeClr w14:val="tx1"/>
            </w14:solidFill>
          </w14:textFill>
        </w:rPr>
        <w:t xml:space="preserve">、高精度水面蒸发观测系统</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系统包含：</w:t>
      </w:r>
      <w:r>
        <w:rPr>
          <w:color w:val="000000" w:themeColor="text1"/>
          <w:sz w:val="24"/>
          <w:szCs w:val="24"/>
          <w14:textFill>
            <w14:solidFill>
              <w14:schemeClr w14:val="tx1"/>
            </w14:solidFill>
          </w14:textFill>
        </w:rPr>
        <w:t xml:space="preserve">E601B蒸发皿、大口径雨量计、高精度液位计、补水箱、水泵箱、测量桶、供水管路、排水管路、控制系统、太阳能板、蓄电池、</w:t>
      </w:r>
      <w:r>
        <w:rPr>
          <w:rFonts w:hint="eastAsia"/>
          <w:color w:val="000000" w:themeColor="text1"/>
          <w:sz w:val="24"/>
          <w:szCs w:val="24"/>
          <w14:textFill>
            <w14:solidFill>
              <w14:schemeClr w14:val="tx1"/>
            </w14:solidFill>
          </w14:textFill>
        </w:rPr>
        <w:t xml:space="preserve">数据采集通讯终端</w:t>
      </w:r>
      <w:r>
        <w:rPr>
          <w:color w:val="000000" w:themeColor="text1"/>
          <w:sz w:val="24"/>
          <w:szCs w:val="24"/>
          <w14:textFill>
            <w14:solidFill>
              <w14:schemeClr w14:val="tx1"/>
            </w14:solidFill>
          </w14:textFill>
        </w:rPr>
        <w:t xml:space="preserve">、机箱</w:t>
      </w:r>
      <w:r>
        <w:rPr>
          <w:rFonts w:hint="eastAsia"/>
          <w:color w:val="000000" w:themeColor="text1"/>
          <w:sz w:val="24"/>
          <w:szCs w:val="24"/>
          <w14:textFill>
            <w14:solidFill>
              <w14:schemeClr w14:val="tx1"/>
            </w14:solidFill>
          </w14:textFill>
        </w:rPr>
        <w:t xml:space="preserve">。主要功能及技术参数如下：</w:t>
      </w:r>
      <w:r/>
    </w:p>
    <w:p>
      <w:pPr>
        <w:ind w:firstLine="48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w:t>
      </w:r>
      <w:r>
        <w:rPr>
          <w:rFonts w:hint="eastAsia"/>
          <w:color w:val="000000" w:themeColor="text1"/>
          <w:sz w:val="24"/>
          <w:szCs w:val="24"/>
          <w14:textFill>
            <w14:solidFill>
              <w14:schemeClr w14:val="tx1"/>
            </w14:solidFill>
          </w14:textFill>
        </w:rPr>
        <w:t xml:space="preserve">（1）</w:t>
      </w:r>
      <w:r>
        <w:rPr>
          <w:color w:val="000000" w:themeColor="text1"/>
          <w:sz w:val="24"/>
          <w:szCs w:val="24"/>
          <w14:textFill>
            <w14:solidFill>
              <w14:schemeClr w14:val="tx1"/>
            </w14:solidFill>
          </w14:textFill>
        </w:rPr>
        <w:t xml:space="preserve">专用雨量设施设备与E601B蒸发皿的器口形状、直径、高度和材料以及外围设施轮廓形状完全一样，实现对进入E601B蒸发皿降雨量的对等监测，解决现行各类水面蒸发器对进入圆形器口的降雨量监测不准的根本问题；</w:t>
      </w:r>
      <w:r>
        <w:rPr>
          <w:rFonts w:hint="eastAsia"/>
          <w:b/>
          <w:bCs/>
          <w:color w:val="000000" w:themeColor="text1"/>
          <w:sz w:val="24"/>
          <w:szCs w:val="24"/>
          <w14:textFill>
            <w14:solidFill>
              <w14:schemeClr w14:val="tx1"/>
            </w14:solidFill>
          </w14:textFill>
        </w:rPr>
        <w:t xml:space="preserve">（需提供产品彩页或技术说明文件等材料作为证明材料）</w:t>
      </w:r>
      <w:r/>
    </w:p>
    <w:p>
      <w:pPr>
        <w:ind w:firstLine="48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w:t>
      </w:r>
      <w:r>
        <w:rPr>
          <w:rFonts w:hint="eastAsia"/>
          <w:color w:val="000000" w:themeColor="text1"/>
          <w:sz w:val="24"/>
          <w:szCs w:val="24"/>
          <w14:textFill>
            <w14:solidFill>
              <w14:schemeClr w14:val="tx1"/>
            </w14:solidFill>
          </w14:textFill>
        </w:rPr>
        <w:t xml:space="preserve">（2）</w:t>
      </w:r>
      <w:r>
        <w:rPr>
          <w:color w:val="000000" w:themeColor="text1"/>
          <w:sz w:val="24"/>
          <w:szCs w:val="24"/>
          <w14:textFill>
            <w14:solidFill>
              <w14:schemeClr w14:val="tx1"/>
            </w14:solidFill>
          </w14:textFill>
        </w:rPr>
        <w:t xml:space="preserve">实现对蒸发过程、降雨过程、蒸发和降雨混合过程的高精度监测。耦合和分解上述多个高精度监测过程，最终实现水面蒸发皿蒸发量的全过程高精度自动监测。</w:t>
      </w:r>
      <w:r>
        <w:rPr>
          <w:rFonts w:hint="eastAsia"/>
          <w:b/>
          <w:bCs/>
          <w:color w:val="000000" w:themeColor="text1"/>
          <w:sz w:val="24"/>
          <w:szCs w:val="24"/>
          <w14:textFill>
            <w14:solidFill>
              <w14:schemeClr w14:val="tx1"/>
            </w14:solidFill>
          </w14:textFill>
        </w:rPr>
        <w:t xml:space="preserve">（需提供产品彩页或技术说明文件等材料作为证明材料）</w:t>
      </w:r>
      <w:r/>
    </w:p>
    <w:p>
      <w:pPr>
        <w:ind w:firstLine="48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w:t>
      </w:r>
      <w:r>
        <w:rPr>
          <w:rFonts w:hint="eastAsia"/>
          <w:color w:val="000000" w:themeColor="text1"/>
          <w:sz w:val="24"/>
          <w:szCs w:val="24"/>
          <w14:textFill>
            <w14:solidFill>
              <w14:schemeClr w14:val="tx1"/>
            </w14:solidFill>
          </w14:textFill>
        </w:rPr>
        <w:t xml:space="preserve">（3）总分辨率：≤0.1mm；</w:t>
      </w:r>
      <w:r>
        <w:rPr>
          <w:rFonts w:hint="eastAsia"/>
          <w:b/>
          <w:bCs/>
          <w:color w:val="000000" w:themeColor="text1"/>
          <w:sz w:val="24"/>
          <w:szCs w:val="24"/>
          <w14:textFill>
            <w14:solidFill>
              <w14:schemeClr w14:val="tx1"/>
            </w14:solidFill>
          </w14:textFill>
        </w:rPr>
        <w:t xml:space="preserve">（需提供产品彩页或技术说明文件等材料作为证明材料）</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（4）蒸发量测量范围：0～60mm；</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（5）磁致伸缩液位计分辨率：≤0.02mm；</w:t>
      </w:r>
      <w:r/>
    </w:p>
    <w:p>
      <w:pPr>
        <w:ind w:firstLine="482"/>
        <w:spacing w:line="360" w:lineRule="auto"/>
        <w:rPr>
          <w:b/>
          <w:bCs/>
          <w:color w:val="000000" w:themeColor="text1"/>
          <w:sz w:val="24"/>
          <w:szCs w:val="24"/>
          <w14:textFill>
            <w14:solidFill>
              <w14:schemeClr w14:val="tx1"/>
            </w14:solidFill>
          </w14:textFill>
        </w:rPr>
      </w:pPr>
      <w:r>
        <w:rPr>
          <w:rFonts w:hint="eastAsia"/>
          <w:b/>
          <w:bCs/>
          <w:color w:val="000000" w:themeColor="text1"/>
          <w:sz w:val="24"/>
          <w:szCs w:val="24"/>
          <w14:textFill>
            <w14:solidFill>
              <w14:schemeClr w14:val="tx1"/>
            </w14:solidFill>
          </w14:textFill>
        </w:rPr>
        <w:t xml:space="preserve">（6）数据采集通讯终端</w:t>
      </w:r>
      <w:r/>
    </w:p>
    <w:p>
      <w:pPr>
        <w:ind w:firstLine="480"/>
        <w:spacing w:line="360" w:lineRule="auto"/>
        <w:rPr>
          <w:b/>
          <w:bCs/>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w:t>
      </w:r>
      <w:r>
        <w:rPr>
          <w:rFonts w:hint="eastAsia"/>
          <w:color w:val="000000" w:themeColor="text1"/>
          <w:sz w:val="24"/>
          <w:szCs w:val="24"/>
          <w14:textFill>
            <w14:solidFill>
              <w14:schemeClr w14:val="tx1"/>
            </w14:solidFill>
          </w14:textFill>
        </w:rPr>
        <w:t xml:space="preserve">1）符合标准：符合《水文自动测报系统设备遥测终端机》（SL180-2015）标准；</w:t>
      </w:r>
      <w:r>
        <w:rPr>
          <w:b/>
          <w:bCs/>
          <w:color w:val="000000" w:themeColor="text1"/>
          <w:sz w:val="24"/>
          <w:szCs w:val="24"/>
          <w14:textFill>
            <w14:solidFill>
              <w14:schemeClr w14:val="tx1"/>
            </w14:solidFill>
          </w14:textFill>
        </w:rPr>
        <w:t xml:space="preserve">（需提供具有CMA资质的第三方检测机构出具的检测报告作为证明材料）</w:t>
      </w:r>
      <w:r/>
    </w:p>
    <w:p>
      <w:pPr>
        <w:ind w:firstLine="48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w:t>
      </w:r>
      <w:r>
        <w:rPr>
          <w:rFonts w:hint="eastAsia"/>
          <w:color w:val="000000" w:themeColor="text1"/>
          <w:sz w:val="24"/>
          <w:szCs w:val="24"/>
          <w14:textFill>
            <w14:solidFill>
              <w14:schemeClr w14:val="tx1"/>
            </w14:solidFill>
          </w14:textFill>
        </w:rPr>
        <w:t xml:space="preserve">2）数据传输：符合</w:t>
      </w:r>
      <w:r>
        <w:rPr>
          <w:color w:val="000000" w:themeColor="text1"/>
          <w:sz w:val="24"/>
          <w:szCs w:val="24"/>
          <w14:textFill>
            <w14:solidFill>
              <w14:schemeClr w14:val="tx1"/>
            </w14:solidFill>
          </w14:textFill>
        </w:rPr>
        <w:t xml:space="preserve">《江苏省水文自动测报系统数据传输规约》DB32/T 2197-2022</w:t>
      </w:r>
      <w:r>
        <w:rPr>
          <w:rFonts w:hint="eastAsia"/>
          <w:color w:val="000000" w:themeColor="text1"/>
          <w:sz w:val="24"/>
          <w:szCs w:val="24"/>
          <w14:textFill>
            <w14:solidFill>
              <w14:schemeClr w14:val="tx1"/>
            </w14:solidFill>
          </w14:textFill>
        </w:rPr>
        <w:t xml:space="preserve">；</w:t>
      </w:r>
      <w:r>
        <w:rPr>
          <w:b/>
          <w:bCs/>
          <w:color w:val="000000" w:themeColor="text1"/>
          <w:sz w:val="24"/>
          <w:szCs w:val="24"/>
          <w14:textFill>
            <w14:solidFill>
              <w14:schemeClr w14:val="tx1"/>
            </w14:solidFill>
          </w14:textFill>
        </w:rPr>
        <w:t xml:space="preserve">（需提供具有CMA资质的第三方检测机构出具的检测报告作为证明材料）</w:t>
      </w:r>
      <w:r/>
    </w:p>
    <w:p>
      <w:pPr>
        <w:ind w:firstLine="48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w:t>
      </w:r>
      <w:r>
        <w:rPr>
          <w:rFonts w:hint="eastAsia"/>
          <w:color w:val="000000" w:themeColor="text1"/>
          <w:sz w:val="24"/>
          <w:szCs w:val="24"/>
          <w14:textFill>
            <w14:solidFill>
              <w14:schemeClr w14:val="tx1"/>
            </w14:solidFill>
          </w14:textFill>
        </w:rPr>
        <w:t xml:space="preserve">3）RTU控制软件：具有CSTC中国软件评测中心出具的软件产品登记测试报告；</w:t>
      </w:r>
      <w:r>
        <w:rPr>
          <w:rFonts w:hint="eastAsia"/>
          <w:b/>
          <w:bCs/>
          <w:color w:val="000000" w:themeColor="text1"/>
          <w:sz w:val="24"/>
          <w:szCs w:val="24"/>
          <w14:textFill>
            <w14:solidFill>
              <w14:schemeClr w14:val="tx1"/>
            </w14:solidFill>
          </w14:textFill>
        </w:rPr>
        <w:t xml:space="preserve">（需提供相应测试报告作为证明材料</w:t>
      </w:r>
      <w:r>
        <w:rPr>
          <w:rFonts w:hint="eastAsia"/>
          <w:color w:val="000000" w:themeColor="text1"/>
          <w:sz w:val="24"/>
          <w:szCs w:val="24"/>
          <w14:textFill>
            <w14:solidFill>
              <w14:schemeClr w14:val="tx1"/>
            </w14:solidFill>
          </w14:textFill>
        </w:rPr>
        <w:t xml:space="preserve">）</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4）要素采集：所有采集要素可单独设置采集间隔、存储间隔和报送间隔，并可根据用户需求灵活设置上述时间间隔。支持增量报、加报报、定时报等不同组合的报送模式</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5）工作模式：具有兼容式工作模式；</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6）工作环境：温度-10℃～＋55℃，湿度≤95%（40℃）；</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7）接口要求：具备RS485、RS232、4-20mA、开关量等多种接口；</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8）通信方式：具有全网通移动通信、北斗卫星、超短波等数据通信功能，且具有主备信道的接入和自动切换功能；</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9）时钟系统：具有RTC掉电保护、与接收平台实时校准功能；</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10）供电电源：直流供电（10.8V～14.4V）；</w:t>
      </w:r>
      <w:r/>
    </w:p>
    <w:p>
      <w:pPr>
        <w:ind w:firstLine="48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w:t>
      </w:r>
      <w:r>
        <w:rPr>
          <w:rFonts w:hint="eastAsia"/>
          <w:color w:val="000000" w:themeColor="text1"/>
          <w:sz w:val="24"/>
          <w:szCs w:val="24"/>
          <w14:textFill>
            <w14:solidFill>
              <w14:schemeClr w14:val="tx1"/>
            </w14:solidFill>
          </w14:textFill>
        </w:rPr>
        <w:t xml:space="preserve">11）工作电流：≤5mA；</w:t>
      </w:r>
      <w:r>
        <w:rPr>
          <w:b/>
          <w:bCs/>
          <w:color w:val="000000" w:themeColor="text1"/>
          <w:sz w:val="24"/>
          <w:szCs w:val="24"/>
          <w14:textFill>
            <w14:solidFill>
              <w14:schemeClr w14:val="tx1"/>
            </w14:solidFill>
          </w14:textFill>
        </w:rPr>
        <w:t xml:space="preserve">（需提供具有CMA资质的第三方检测机构出具的检测报告作为证明材料）</w:t>
      </w:r>
      <w:r>
        <w:rPr>
          <w:rFonts w:hint="eastAsia"/>
          <w:color w:val="000000" w:themeColor="text1"/>
          <w:sz w:val="24"/>
          <w:szCs w:val="24"/>
          <w14:textFill>
            <w14:solidFill>
              <w14:schemeClr w14:val="tx1"/>
            </w14:solidFill>
          </w14:textFill>
        </w:rPr>
        <w:t xml:space="preserve">（不含通信装置）</w:t>
      </w:r>
      <w:r/>
    </w:p>
    <w:p>
      <w:pPr>
        <w:ind w:firstLine="48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w:t>
      </w:r>
      <w:r>
        <w:rPr>
          <w:rFonts w:hint="eastAsia"/>
          <w:color w:val="000000" w:themeColor="text1"/>
          <w:sz w:val="24"/>
          <w:szCs w:val="24"/>
          <w14:textFill>
            <w14:solidFill>
              <w14:schemeClr w14:val="tx1"/>
            </w14:solidFill>
          </w14:textFill>
        </w:rPr>
        <w:t xml:space="preserve">12）待机电流：≤0.2mA；</w:t>
      </w:r>
      <w:r>
        <w:rPr>
          <w:b/>
          <w:bCs/>
          <w:color w:val="000000" w:themeColor="text1"/>
          <w:sz w:val="24"/>
          <w:szCs w:val="24"/>
          <w14:textFill>
            <w14:solidFill>
              <w14:schemeClr w14:val="tx1"/>
            </w14:solidFill>
          </w14:textFill>
        </w:rPr>
        <w:t xml:space="preserve">（需提供具有CMA资质的第三方检测机构出具的检测报告作为证明材料）</w:t>
      </w:r>
      <w:r>
        <w:rPr>
          <w:rFonts w:hint="eastAsia"/>
          <w:color w:val="000000" w:themeColor="text1"/>
          <w:sz w:val="24"/>
          <w:szCs w:val="24"/>
          <w14:textFill>
            <w14:solidFill>
              <w14:schemeClr w14:val="tx1"/>
            </w14:solidFill>
          </w14:textFill>
        </w:rPr>
        <w:t xml:space="preserve">（不含通信装置）；</w:t>
      </w:r>
      <w:r/>
    </w:p>
    <w:p>
      <w:pPr>
        <w:pStyle w:val="669"/>
        <w:spacing w:before="0" w:after="0"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2</w:t>
      </w:r>
      <w:r>
        <w:rPr>
          <w:rFonts w:hint="eastAsia" w:ascii="宋体" w:hAnsi="宋体" w:eastAsia="宋体" w:cs="宋体"/>
          <w:color w:val="000000" w:themeColor="text1"/>
          <w:sz w:val="24"/>
          <w:szCs w:val="24"/>
          <w14:textFill>
            <w14:solidFill>
              <w14:schemeClr w14:val="tx1"/>
            </w14:solidFill>
          </w14:textFill>
        </w:rPr>
        <w:t xml:space="preserve">、称重式雨雪量计</w:t>
      </w:r>
      <w:r/>
    </w:p>
    <w:p>
      <w:pPr>
        <w:ind w:firstLine="480"/>
        <w:spacing w:line="360" w:lineRule="auto"/>
        <w:rPr>
          <w:b/>
          <w:bCs/>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w:t>
      </w:r>
      <w:r>
        <w:rPr>
          <w:rFonts w:hint="eastAsia"/>
          <w:color w:val="000000" w:themeColor="text1"/>
          <w:sz w:val="24"/>
          <w:szCs w:val="24"/>
          <w14:textFill>
            <w14:solidFill>
              <w14:schemeClr w14:val="tx1"/>
            </w14:solidFill>
          </w14:textFill>
        </w:rPr>
        <w:t xml:space="preserve">（1）承雨口内径：</w:t>
      </w:r>
      <m:oMath>
        <m:sSubSup>
          <m:sSubSupPr>
            <m:alnScr m:val="off"/>
            <m:ctrlPr>
              <w:rPr>
                <w:rFonts w:ascii="Cambria Math" w:hAnsi="Cambria Math"/>
                <w:color w:val="000000"/>
                <w:sz w:val="24"/>
                <w:szCs w:val="24"/>
                <w14:textFill>
                  <w14:solidFill>
                    <w14:schemeClr w14:val="tx1"/>
                  </w14:solidFill>
                </w14:textFill>
              </w:rPr>
            </m:ctrlPr>
          </m:sSubSupPr>
          <m:e>
            <m:r>
              <w:rPr>
                <w:rFonts w:hint="eastAsia" w:ascii="Cambria Math" w:hAnsi="Cambria Math"/>
                <w:color w:val="000000" w:themeColor="text1"/>
                <w:sz w:val="24"/>
                <w:szCs w:val="24"/>
                <w14:textFill>
                  <w14:solidFill>
                    <w14:schemeClr w14:val="tx1"/>
                  </w14:solidFill>
                </w14:textFill>
              </w:rPr>
              <m:rPr>
                <m:sty m:val="p"/>
              </m:rPr>
              <m:t>φ</m:t>
            </m:r>
            <m:r>
              <w:rPr>
                <w:rFonts w:ascii="Cambria Math" w:hAnsi="Cambria Mants nts nts nts nts n"/>
                <w:color w:val="000000" w:themeColor="text1"/>
                <w:sz w:val="24"/>
                <w:szCs w:val="24"/>
                <w14:textFill>
                  <w14:solidFill>
                    <w14:schemeClr w14:val="tx1"/>
                  </w14:solidFill>
                </w14:textFill>
              </w:rPr>
              <m:rPr>
                <m:sty m:val="p"/>
              </m:rPr>
              <m:t>200</m:t>
            </m:r>
          </m:e>
          <m:sub>
            <m:r>
              <w:rPr>
                <w:rFonts w:ascii="Cambria Math" w:hAnsi="Cambria Math"/>
                <w:color w:val="000000" w:themeColor="text1"/>
                <w:sz w:val="24"/>
                <w:szCs w:val="24"/>
                <w14:textFill>
                  <w14:solidFill>
                    <w14:schemeClr w14:val="tx1"/>
                  </w14:solidFill>
                </w14:textFill>
              </w:rPr>
              <m:rPr>
                <m:sty m:val="p"/>
              </m:rPr>
              <m:t>0</m:t>
            </m:r>
          </m:sub>
          <m:sup>
            <m:r>
              <w:rPr>
                <w:rFonts w:ascii="Cambria Math" w:hAnsi="Cambria Math"/>
                <w:color w:val="000000" w:themeColor="text1"/>
                <w:sz w:val="24"/>
                <w:szCs w:val="24"/>
                <w14:textFill>
                  <w14:solidFill>
                    <w14:schemeClr w14:val="tx1"/>
                  </w14:solidFill>
                </w14:textFill>
              </w:rPr>
              <m:rPr>
                <m:sty m:val="p"/>
              </m:rPr>
              <m:t>+0.60</m:t>
            </m:r>
          </m:sup>
        </m:sSubSup>
      </m:oMath>
      <w:r>
        <w:rPr>
          <w:rFonts w:hint="eastAsia"/>
          <w:color w:val="000000" w:themeColor="text1"/>
          <w:sz w:val="24"/>
          <w:szCs w:val="24"/>
          <w14:textFill>
            <w14:solidFill>
              <w14:schemeClr w14:val="tx1"/>
            </w14:solidFill>
          </w14:textFill>
        </w:rPr>
        <w:t xml:space="preserve">mm；</w:t>
      </w:r>
      <w:r>
        <w:rPr>
          <w:b/>
          <w:bCs/>
          <w:color w:val="000000" w:themeColor="text1"/>
          <w:sz w:val="24"/>
          <w:szCs w:val="24"/>
          <w14:textFill>
            <w14:solidFill>
              <w14:schemeClr w14:val="tx1"/>
            </w14:solidFill>
          </w14:textFill>
        </w:rPr>
        <w:t xml:space="preserve">（需提供具有CMA资质的第三方检测机构出具的检测报告作为证明材料）</w:t>
      </w:r>
      <w:r/>
    </w:p>
    <w:p>
      <w:pPr>
        <w:ind w:firstLine="480"/>
        <w:spacing w:line="360" w:lineRule="auto"/>
        <w:rPr>
          <w:b/>
          <w:bCs/>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w:t>
      </w:r>
      <w:r>
        <w:rPr>
          <w:rFonts w:hint="eastAsia"/>
          <w:color w:val="000000" w:themeColor="text1"/>
          <w:sz w:val="24"/>
          <w:szCs w:val="24"/>
          <w14:textFill>
            <w14:solidFill>
              <w14:schemeClr w14:val="tx1"/>
            </w14:solidFill>
          </w14:textFill>
        </w:rPr>
        <w:t xml:space="preserve">（2）分辨力：≤0.01mm；</w:t>
      </w:r>
      <w:r>
        <w:rPr>
          <w:b/>
          <w:bCs/>
          <w:color w:val="000000" w:themeColor="text1"/>
          <w:sz w:val="24"/>
          <w:szCs w:val="24"/>
          <w14:textFill>
            <w14:solidFill>
              <w14:schemeClr w14:val="tx1"/>
            </w14:solidFill>
          </w14:textFill>
        </w:rPr>
        <w:t xml:space="preserve">（需提供具有CMA资质的第三方检测机构出具的检测报告作为证明材料）</w:t>
      </w:r>
      <w:r/>
    </w:p>
    <w:p>
      <w:pPr>
        <w:ind w:firstLine="480"/>
        <w:spacing w:line="360" w:lineRule="auto"/>
        <w:rPr>
          <w:b/>
          <w:bCs/>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w:t>
      </w:r>
      <w:r>
        <w:rPr>
          <w:rFonts w:hint="eastAsia"/>
          <w:color w:val="000000" w:themeColor="text1"/>
          <w:sz w:val="24"/>
          <w:szCs w:val="24"/>
          <w14:textFill>
            <w14:solidFill>
              <w14:schemeClr w14:val="tx1"/>
            </w14:solidFill>
          </w14:textFill>
        </w:rPr>
        <w:t xml:space="preserve">（3）最大测量误差：≤±0.1mm（＜10mm降水量）；≤±1%测量值（≥10mm降水量）；</w:t>
      </w:r>
      <w:r>
        <w:rPr>
          <w:b/>
          <w:bCs/>
          <w:color w:val="000000" w:themeColor="text1"/>
          <w:sz w:val="24"/>
          <w:szCs w:val="24"/>
          <w14:textFill>
            <w14:solidFill>
              <w14:schemeClr w14:val="tx1"/>
            </w14:solidFill>
          </w14:textFill>
        </w:rPr>
        <w:t xml:space="preserve">（需提供具有CMA资质的第三方检测机构出具的检测报告作为证明材料）</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（4）通信接口：RS485标准接口，支持MODBUS协议；模拟开关量接口；</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（5）工作温度：-40—+60℃；</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（6）工作电压：9-16V DC；</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（7）功耗：≤1W。</w:t>
      </w:r>
      <w:r/>
    </w:p>
    <w:p>
      <w:pPr>
        <w:pStyle w:val="669"/>
        <w:spacing w:before="0" w:after="0"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3</w:t>
      </w:r>
      <w:r>
        <w:rPr>
          <w:rFonts w:hint="eastAsia" w:ascii="宋体" w:hAnsi="宋体" w:eastAsia="宋体" w:cs="宋体"/>
          <w:color w:val="000000" w:themeColor="text1"/>
          <w:sz w:val="24"/>
          <w:szCs w:val="24"/>
          <w14:textFill>
            <w14:solidFill>
              <w14:schemeClr w14:val="tx1"/>
            </w14:solidFill>
          </w14:textFill>
        </w:rPr>
        <w:t xml:space="preserve">、土壤墒情监测设备</w:t>
      </w:r>
      <w:r/>
    </w:p>
    <w:p>
      <w:pPr>
        <w:ind w:firstLine="482"/>
        <w:spacing w:line="360" w:lineRule="auto"/>
        <w:rPr>
          <w:b/>
          <w:bCs/>
          <w:color w:val="000000" w:themeColor="text1"/>
          <w:sz w:val="24"/>
          <w:szCs w:val="24"/>
          <w14:textFill>
            <w14:solidFill>
              <w14:schemeClr w14:val="tx1"/>
            </w14:solidFill>
          </w14:textFill>
        </w:rPr>
      </w:pPr>
      <w:r>
        <w:rPr>
          <w:rFonts w:hint="eastAsia"/>
          <w:b/>
          <w:bCs/>
          <w:color w:val="000000" w:themeColor="text1"/>
          <w:sz w:val="24"/>
          <w:szCs w:val="24"/>
          <w14:textFill>
            <w14:solidFill>
              <w14:schemeClr w14:val="tx1"/>
            </w14:solidFill>
          </w14:textFill>
        </w:rPr>
        <w:t xml:space="preserve">（1）时域法墒情监测设备</w:t>
      </w:r>
      <w:r/>
    </w:p>
    <w:p>
      <w:pPr>
        <w:ind w:firstLine="480"/>
        <w:spacing w:line="360" w:lineRule="auto"/>
        <w:rPr>
          <w:b/>
          <w:bCs/>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w:t>
      </w:r>
      <w:r>
        <w:rPr>
          <w:rFonts w:hint="eastAsia"/>
          <w:color w:val="000000" w:themeColor="text1"/>
          <w:sz w:val="24"/>
          <w:szCs w:val="24"/>
          <w14:textFill>
            <w14:solidFill>
              <w14:schemeClr w14:val="tx1"/>
            </w14:solidFill>
          </w14:textFill>
        </w:rPr>
        <w:t xml:space="preserve">1）测量原理：时域反射法（</w:t>
      </w:r>
      <w:r>
        <w:rPr>
          <w:color w:val="000000" w:themeColor="text1"/>
          <w:sz w:val="24"/>
          <w:szCs w:val="24"/>
          <w14:textFill>
            <w14:solidFill>
              <w14:schemeClr w14:val="tx1"/>
            </w14:solidFill>
          </w14:textFill>
        </w:rPr>
        <w:t xml:space="preserve">TDR</w:t>
      </w:r>
      <w:r>
        <w:rPr>
          <w:rFonts w:hint="eastAsia"/>
          <w:color w:val="000000" w:themeColor="text1"/>
          <w:sz w:val="24"/>
          <w:szCs w:val="24"/>
          <w14:textFill>
            <w14:solidFill>
              <w14:schemeClr w14:val="tx1"/>
            </w14:solidFill>
          </w14:textFill>
        </w:rPr>
        <w:t xml:space="preserve">）；</w:t>
      </w:r>
      <w:r>
        <w:rPr>
          <w:b/>
          <w:bCs/>
          <w:color w:val="000000" w:themeColor="text1"/>
          <w:sz w:val="24"/>
          <w:szCs w:val="24"/>
          <w14:textFill>
            <w14:solidFill>
              <w14:schemeClr w14:val="tx1"/>
            </w14:solidFill>
          </w14:textFill>
        </w:rPr>
        <w:t xml:space="preserve">（需提供具有CMA资质的第三方检测机构出具的检测报告作为证明材料）</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2）测量量程：</w:t>
      </w:r>
      <w:r>
        <w:rPr>
          <w:color w:val="000000" w:themeColor="text1"/>
          <w:sz w:val="24"/>
          <w:szCs w:val="24"/>
          <w14:textFill>
            <w14:solidFill>
              <w14:schemeClr w14:val="tx1"/>
            </w14:solidFill>
          </w14:textFill>
        </w:rPr>
        <w:t xml:space="preserve">0</w:t>
      </w:r>
      <w:r>
        <w:rPr>
          <w:rFonts w:hint="eastAsia"/>
          <w:color w:val="000000" w:themeColor="text1"/>
          <w:sz w:val="24"/>
          <w:szCs w:val="24"/>
          <w14:textFill>
            <w14:solidFill>
              <w14:schemeClr w14:val="tx1"/>
            </w14:solidFill>
          </w14:textFill>
        </w:rPr>
        <w:t xml:space="preserve">～</w:t>
      </w:r>
      <w:r>
        <w:rPr>
          <w:color w:val="000000" w:themeColor="text1"/>
          <w:sz w:val="24"/>
          <w:szCs w:val="24"/>
          <w14:textFill>
            <w14:solidFill>
              <w14:schemeClr w14:val="tx1"/>
            </w14:solidFill>
          </w14:textFill>
        </w:rPr>
        <w:t xml:space="preserve">100%</w:t>
      </w:r>
      <w:r>
        <w:rPr>
          <w:rFonts w:hint="eastAsia"/>
          <w:color w:val="000000" w:themeColor="text1"/>
          <w:sz w:val="24"/>
          <w:szCs w:val="24"/>
          <w14:textFill>
            <w14:solidFill>
              <w14:schemeClr w14:val="tx1"/>
            </w14:solidFill>
          </w14:textFill>
        </w:rPr>
        <w:t xml:space="preserve">（饱和）（体积含水率）；</w:t>
      </w:r>
      <w:r/>
    </w:p>
    <w:p>
      <w:pPr>
        <w:ind w:firstLine="480"/>
        <w:spacing w:line="360" w:lineRule="auto"/>
        <w:rPr>
          <w:b/>
          <w:bCs/>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w:t>
      </w:r>
      <w:r>
        <w:rPr>
          <w:rFonts w:hint="eastAsia"/>
          <w:color w:val="000000" w:themeColor="text1"/>
          <w:sz w:val="24"/>
          <w:szCs w:val="24"/>
          <w14:textFill>
            <w14:solidFill>
              <w14:schemeClr w14:val="tx1"/>
            </w14:solidFill>
          </w14:textFill>
        </w:rPr>
        <w:t xml:space="preserve">3）测量准确度：≤±</w:t>
      </w:r>
      <w:r>
        <w:rPr>
          <w:color w:val="000000" w:themeColor="text1"/>
          <w:sz w:val="24"/>
          <w:szCs w:val="24"/>
          <w14:textFill>
            <w14:solidFill>
              <w14:schemeClr w14:val="tx1"/>
            </w14:solidFill>
          </w14:textFill>
        </w:rPr>
        <w:t xml:space="preserve">2%</w:t>
      </w:r>
      <w:r>
        <w:rPr>
          <w:rFonts w:hint="eastAsia"/>
          <w:color w:val="000000" w:themeColor="text1"/>
          <w:sz w:val="24"/>
          <w:szCs w:val="24"/>
          <w14:textFill>
            <w14:solidFill>
              <w14:schemeClr w14:val="tx1"/>
            </w14:solidFill>
          </w14:textFill>
        </w:rPr>
        <w:t xml:space="preserve">；</w:t>
      </w:r>
      <w:r>
        <w:rPr>
          <w:b/>
          <w:bCs/>
          <w:color w:val="000000" w:themeColor="text1"/>
          <w:sz w:val="24"/>
          <w:szCs w:val="24"/>
          <w14:textFill>
            <w14:solidFill>
              <w14:schemeClr w14:val="tx1"/>
            </w14:solidFill>
          </w14:textFill>
        </w:rPr>
        <w:t xml:space="preserve">（需提供具有CMA资质的第三方检测机构出具的检测报告作为证明材料）</w:t>
      </w:r>
      <w:r/>
    </w:p>
    <w:p>
      <w:pPr>
        <w:ind w:firstLine="480"/>
        <w:spacing w:line="360" w:lineRule="auto"/>
        <w:rPr>
          <w:b/>
          <w:bCs/>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w:t>
      </w:r>
      <w:r>
        <w:rPr>
          <w:rFonts w:hint="eastAsia"/>
          <w:color w:val="000000" w:themeColor="text1"/>
          <w:sz w:val="24"/>
          <w:szCs w:val="24"/>
          <w14:textFill>
            <w14:solidFill>
              <w14:schemeClr w14:val="tx1"/>
            </w14:solidFill>
          </w14:textFill>
        </w:rPr>
        <w:t xml:space="preserve">4）测量重复性：≤±1</w:t>
      </w:r>
      <w:r>
        <w:rPr>
          <w:color w:val="000000" w:themeColor="text1"/>
          <w:sz w:val="24"/>
          <w:szCs w:val="24"/>
          <w14:textFill>
            <w14:solidFill>
              <w14:schemeClr w14:val="tx1"/>
            </w14:solidFill>
          </w14:textFill>
        </w:rPr>
        <w:t xml:space="preserve">%</w:t>
      </w:r>
      <w:r>
        <w:rPr>
          <w:rFonts w:hint="eastAsia"/>
          <w:color w:val="000000" w:themeColor="text1"/>
          <w:sz w:val="24"/>
          <w:szCs w:val="24"/>
          <w14:textFill>
            <w14:solidFill>
              <w14:schemeClr w14:val="tx1"/>
            </w14:solidFill>
          </w14:textFill>
        </w:rPr>
        <w:t xml:space="preserve">；</w:t>
      </w:r>
      <w:r>
        <w:rPr>
          <w:b/>
          <w:bCs/>
          <w:color w:val="000000" w:themeColor="text1"/>
          <w:sz w:val="24"/>
          <w:szCs w:val="24"/>
          <w14:textFill>
            <w14:solidFill>
              <w14:schemeClr w14:val="tx1"/>
            </w14:solidFill>
          </w14:textFill>
        </w:rPr>
        <w:t xml:space="preserve">（需提供具有CMA资质的第三方检测机构出具的检测报告作为证明材料）</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5）分辨率：≤</w:t>
      </w:r>
      <w:r>
        <w:rPr>
          <w:color w:val="000000" w:themeColor="text1"/>
          <w:sz w:val="24"/>
          <w:szCs w:val="24"/>
          <w14:textFill>
            <w14:solidFill>
              <w14:schemeClr w14:val="tx1"/>
            </w14:solidFill>
          </w14:textFill>
        </w:rPr>
        <w:t xml:space="preserve">0.1%</w:t>
      </w:r>
      <w:r>
        <w:rPr>
          <w:rFonts w:hint="eastAsia"/>
          <w:color w:val="000000" w:themeColor="text1"/>
          <w:sz w:val="24"/>
          <w:szCs w:val="24"/>
          <w14:textFill>
            <w14:solidFill>
              <w14:schemeClr w14:val="tx1"/>
            </w14:solidFill>
          </w14:textFill>
        </w:rPr>
        <w:t xml:space="preserve">（体积含水率）；</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6）响应时间：＜</w:t>
      </w:r>
      <w:r>
        <w:rPr>
          <w:color w:val="000000" w:themeColor="text1"/>
          <w:sz w:val="24"/>
          <w:szCs w:val="24"/>
          <w14:textFill>
            <w14:solidFill>
              <w14:schemeClr w14:val="tx1"/>
            </w14:solidFill>
          </w14:textFill>
        </w:rPr>
        <w:t xml:space="preserve">12s</w:t>
      </w:r>
      <w:r>
        <w:rPr>
          <w:rFonts w:hint="eastAsia"/>
          <w:color w:val="000000" w:themeColor="text1"/>
          <w:sz w:val="24"/>
          <w:szCs w:val="24"/>
          <w14:textFill>
            <w14:solidFill>
              <w14:schemeClr w14:val="tx1"/>
            </w14:solidFill>
          </w14:textFill>
        </w:rPr>
        <w:t xml:space="preserve">；</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7）等效上升沿时间：</w:t>
      </w:r>
      <w:r>
        <w:rPr>
          <w:color w:val="000000" w:themeColor="text1"/>
          <w:sz w:val="24"/>
          <w:szCs w:val="24"/>
          <w14:textFill>
            <w14:solidFill>
              <w14:schemeClr w14:val="tx1"/>
            </w14:solidFill>
          </w14:textFill>
        </w:rPr>
        <w:t xml:space="preserve">120ps</w:t>
      </w:r>
      <w:r>
        <w:rPr>
          <w:rFonts w:hint="eastAsia"/>
          <w:color w:val="000000" w:themeColor="text1"/>
          <w:sz w:val="24"/>
          <w:szCs w:val="24"/>
          <w14:textFill>
            <w14:solidFill>
              <w14:schemeClr w14:val="tx1"/>
            </w14:solidFill>
          </w14:textFill>
        </w:rPr>
        <w:t xml:space="preserve">（皮秒，</w:t>
      </w:r>
      <w:r>
        <w:rPr>
          <w:color w:val="000000" w:themeColor="text1"/>
          <w:sz w:val="24"/>
          <w:szCs w:val="24"/>
          <w14:textFill>
            <w14:solidFill>
              <w14:schemeClr w14:val="tx1"/>
            </w14:solidFill>
          </w14:textFill>
        </w:rPr>
        <w:t xml:space="preserve">10-12</w:t>
      </w:r>
      <w:r>
        <w:rPr>
          <w:rFonts w:hint="eastAsia"/>
          <w:color w:val="000000" w:themeColor="text1"/>
          <w:sz w:val="24"/>
          <w:szCs w:val="24"/>
          <w14:textFill>
            <w14:solidFill>
              <w14:schemeClr w14:val="tx1"/>
            </w14:solidFill>
          </w14:textFill>
        </w:rPr>
        <w:t xml:space="preserve">秒）；</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8）输出参数：体积含水率</w:t>
      </w:r>
      <w:r>
        <w:rPr>
          <w:color w:val="000000" w:themeColor="text1"/>
          <w:sz w:val="24"/>
          <w:szCs w:val="24"/>
          <w14:textFill>
            <w14:solidFill>
              <w14:schemeClr w14:val="tx1"/>
            </w14:solidFill>
          </w14:textFill>
        </w:rPr>
        <w:t xml:space="preserve">/</w:t>
      </w:r>
      <w:r>
        <w:rPr>
          <w:rFonts w:hint="eastAsia"/>
          <w:color w:val="000000" w:themeColor="text1"/>
          <w:sz w:val="24"/>
          <w:szCs w:val="24"/>
          <w14:textFill>
            <w14:solidFill>
              <w14:schemeClr w14:val="tx1"/>
            </w14:solidFill>
          </w14:textFill>
        </w:rPr>
        <w:t xml:space="preserve">质量含水率；</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9）工作温度：</w:t>
      </w:r>
      <w:r>
        <w:rPr>
          <w:color w:val="000000" w:themeColor="text1"/>
          <w:sz w:val="24"/>
          <w:szCs w:val="24"/>
          <w14:textFill>
            <w14:solidFill>
              <w14:schemeClr w14:val="tx1"/>
            </w14:solidFill>
          </w14:textFill>
        </w:rPr>
        <w:t xml:space="preserve">-10</w:t>
      </w:r>
      <w:r>
        <w:rPr>
          <w:rFonts w:hint="eastAsia"/>
          <w:color w:val="000000" w:themeColor="text1"/>
          <w:sz w:val="24"/>
          <w:szCs w:val="24"/>
          <w14:textFill>
            <w14:solidFill>
              <w14:schemeClr w14:val="tx1"/>
            </w14:solidFill>
          </w14:textFill>
        </w:rPr>
        <w:t xml:space="preserve">～</w:t>
      </w:r>
      <w:r>
        <w:rPr>
          <w:color w:val="000000" w:themeColor="text1"/>
          <w:sz w:val="24"/>
          <w:szCs w:val="24"/>
          <w14:textFill>
            <w14:solidFill>
              <w14:schemeClr w14:val="tx1"/>
            </w14:solidFill>
          </w14:textFill>
        </w:rPr>
        <w:t xml:space="preserve">60</w:t>
      </w:r>
      <w:r>
        <w:rPr>
          <w:rFonts w:hint="eastAsia"/>
          <w:color w:val="000000" w:themeColor="text1"/>
          <w:sz w:val="24"/>
          <w:szCs w:val="24"/>
          <w14:textFill>
            <w14:solidFill>
              <w14:schemeClr w14:val="tx1"/>
            </w14:solidFill>
          </w14:textFill>
        </w:rPr>
        <w:t xml:space="preserve">℃；</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10）存储温度：</w:t>
      </w:r>
      <w:r>
        <w:rPr>
          <w:color w:val="000000" w:themeColor="text1"/>
          <w:sz w:val="24"/>
          <w:szCs w:val="24"/>
          <w14:textFill>
            <w14:solidFill>
              <w14:schemeClr w14:val="tx1"/>
            </w14:solidFill>
          </w14:textFill>
        </w:rPr>
        <w:t xml:space="preserve">-40</w:t>
      </w:r>
      <w:r>
        <w:rPr>
          <w:rFonts w:hint="eastAsia"/>
          <w:color w:val="000000" w:themeColor="text1"/>
          <w:sz w:val="24"/>
          <w:szCs w:val="24"/>
          <w14:textFill>
            <w14:solidFill>
              <w14:schemeClr w14:val="tx1"/>
            </w14:solidFill>
          </w14:textFill>
        </w:rPr>
        <w:t xml:space="preserve">～</w:t>
      </w:r>
      <w:r>
        <w:rPr>
          <w:color w:val="000000" w:themeColor="text1"/>
          <w:sz w:val="24"/>
          <w:szCs w:val="24"/>
          <w14:textFill>
            <w14:solidFill>
              <w14:schemeClr w14:val="tx1"/>
            </w14:solidFill>
          </w14:textFill>
        </w:rPr>
        <w:t xml:space="preserve">85</w:t>
      </w:r>
      <w:r>
        <w:rPr>
          <w:rFonts w:hint="eastAsia"/>
          <w:color w:val="000000" w:themeColor="text1"/>
          <w:sz w:val="24"/>
          <w:szCs w:val="24"/>
          <w14:textFill>
            <w14:solidFill>
              <w14:schemeClr w14:val="tx1"/>
            </w14:solidFill>
          </w14:textFill>
        </w:rPr>
        <w:t xml:space="preserve">℃；</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11）工作电压：</w:t>
      </w:r>
      <w:r>
        <w:rPr>
          <w:color w:val="000000" w:themeColor="text1"/>
          <w:sz w:val="24"/>
          <w:szCs w:val="24"/>
          <w14:textFill>
            <w14:solidFill>
              <w14:schemeClr w14:val="tx1"/>
            </w14:solidFill>
          </w14:textFill>
        </w:rPr>
        <w:t xml:space="preserve">DC6-32V</w:t>
      </w:r>
      <w:r>
        <w:rPr>
          <w:rFonts w:hint="eastAsia"/>
          <w:color w:val="000000" w:themeColor="text1"/>
          <w:sz w:val="24"/>
          <w:szCs w:val="24"/>
          <w14:textFill>
            <w14:solidFill>
              <w14:schemeClr w14:val="tx1"/>
            </w14:solidFill>
          </w14:textFill>
        </w:rPr>
        <w:t xml:space="preserve">；</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12）通讯接口：具备</w:t>
      </w:r>
      <w:r>
        <w:rPr>
          <w:color w:val="000000" w:themeColor="text1"/>
          <w:sz w:val="24"/>
          <w:szCs w:val="24"/>
          <w14:textFill>
            <w14:solidFill>
              <w14:schemeClr w14:val="tx1"/>
            </w14:solidFill>
          </w14:textFill>
        </w:rPr>
        <w:t xml:space="preserve">TTL</w:t>
      </w:r>
      <w:r>
        <w:rPr>
          <w:rFonts w:hint="eastAsia"/>
          <w:color w:val="000000" w:themeColor="text1"/>
          <w:sz w:val="24"/>
          <w:szCs w:val="24"/>
          <w14:textFill>
            <w14:solidFill>
              <w14:schemeClr w14:val="tx1"/>
            </w14:solidFill>
          </w14:textFill>
        </w:rPr>
        <w:t xml:space="preserve">、</w:t>
      </w:r>
      <w:r>
        <w:rPr>
          <w:color w:val="000000" w:themeColor="text1"/>
          <w:sz w:val="24"/>
          <w:szCs w:val="24"/>
          <w14:textFill>
            <w14:solidFill>
              <w14:schemeClr w14:val="tx1"/>
            </w14:solidFill>
          </w14:textFill>
        </w:rPr>
        <w:t xml:space="preserve">RS232</w:t>
      </w:r>
      <w:r>
        <w:rPr>
          <w:rFonts w:hint="eastAsia"/>
          <w:color w:val="000000" w:themeColor="text1"/>
          <w:sz w:val="24"/>
          <w:szCs w:val="24"/>
          <w14:textFill>
            <w14:solidFill>
              <w14:schemeClr w14:val="tx1"/>
            </w14:solidFill>
          </w14:textFill>
        </w:rPr>
        <w:t xml:space="preserve">、</w:t>
      </w:r>
      <w:r>
        <w:rPr>
          <w:color w:val="000000" w:themeColor="text1"/>
          <w:sz w:val="24"/>
          <w:szCs w:val="24"/>
          <w14:textFill>
            <w14:solidFill>
              <w14:schemeClr w14:val="tx1"/>
            </w14:solidFill>
          </w14:textFill>
        </w:rPr>
        <w:t xml:space="preserve">LAN</w:t>
      </w:r>
      <w:r>
        <w:rPr>
          <w:rFonts w:hint="eastAsia"/>
          <w:color w:val="000000" w:themeColor="text1"/>
          <w:sz w:val="24"/>
          <w:szCs w:val="24"/>
          <w14:textFill>
            <w14:solidFill>
              <w14:schemeClr w14:val="tx1"/>
            </w14:solidFill>
          </w14:textFill>
        </w:rPr>
        <w:t xml:space="preserve">、</w:t>
      </w:r>
      <w:r>
        <w:rPr>
          <w:color w:val="000000" w:themeColor="text1"/>
          <w:sz w:val="24"/>
          <w:szCs w:val="24"/>
          <w14:textFill>
            <w14:solidFill>
              <w14:schemeClr w14:val="tx1"/>
            </w14:solidFill>
          </w14:textFill>
        </w:rPr>
        <w:t xml:space="preserve">USB</w:t>
      </w:r>
      <w:r>
        <w:rPr>
          <w:rFonts w:hint="eastAsia"/>
          <w:color w:val="000000" w:themeColor="text1"/>
          <w:sz w:val="24"/>
          <w:szCs w:val="24"/>
          <w14:textFill>
            <w14:solidFill>
              <w14:schemeClr w14:val="tx1"/>
            </w14:solidFill>
          </w14:textFill>
        </w:rPr>
        <w:t xml:space="preserve">调试接口等；</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13）具有彩色触摸屏，可通过触摸屏修改参数，快捷按键支持快捷操作；</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14）无障碍工作时间（</w:t>
      </w:r>
      <w:r>
        <w:rPr>
          <w:color w:val="000000" w:themeColor="text1"/>
          <w:sz w:val="24"/>
          <w:szCs w:val="24"/>
          <w14:textFill>
            <w14:solidFill>
              <w14:schemeClr w14:val="tx1"/>
            </w14:solidFill>
          </w14:textFill>
        </w:rPr>
        <w:t xml:space="preserve">MTBF</w:t>
      </w:r>
      <w:r>
        <w:rPr>
          <w:rFonts w:hint="eastAsia"/>
          <w:color w:val="000000" w:themeColor="text1"/>
          <w:sz w:val="24"/>
          <w:szCs w:val="24"/>
          <w14:textFill>
            <w14:solidFill>
              <w14:schemeClr w14:val="tx1"/>
            </w14:solidFill>
          </w14:textFill>
        </w:rPr>
        <w:t xml:space="preserve">）：≥</w:t>
      </w:r>
      <w:r>
        <w:rPr>
          <w:color w:val="000000" w:themeColor="text1"/>
          <w:sz w:val="24"/>
          <w:szCs w:val="24"/>
          <w14:textFill>
            <w14:solidFill>
              <w14:schemeClr w14:val="tx1"/>
            </w14:solidFill>
          </w14:textFill>
        </w:rPr>
        <w:t xml:space="preserve">25000</w:t>
      </w:r>
      <w:r>
        <w:rPr>
          <w:rFonts w:hint="eastAsia"/>
          <w:color w:val="000000" w:themeColor="text1"/>
          <w:sz w:val="24"/>
          <w:szCs w:val="24"/>
          <w14:textFill>
            <w14:solidFill>
              <w14:schemeClr w14:val="tx1"/>
            </w14:solidFill>
          </w14:textFill>
        </w:rPr>
        <w:t xml:space="preserve">小时。</w:t>
      </w:r>
      <w:r/>
    </w:p>
    <w:p>
      <w:pPr>
        <w:ind w:firstLine="482"/>
        <w:spacing w:line="360" w:lineRule="auto"/>
        <w:rPr>
          <w:b/>
          <w:bCs/>
          <w:color w:val="000000" w:themeColor="text1"/>
          <w:sz w:val="24"/>
          <w:szCs w:val="24"/>
          <w14:textFill>
            <w14:solidFill>
              <w14:schemeClr w14:val="tx1"/>
            </w14:solidFill>
          </w14:textFill>
        </w:rPr>
      </w:pPr>
      <w:r>
        <w:rPr>
          <w:rFonts w:hint="eastAsia"/>
          <w:b/>
          <w:bCs/>
          <w:color w:val="000000" w:themeColor="text1"/>
          <w:sz w:val="24"/>
          <w:szCs w:val="24"/>
          <w14:textFill>
            <w14:solidFill>
              <w14:schemeClr w14:val="tx1"/>
            </w14:solidFill>
          </w14:textFill>
        </w:rPr>
        <w:t xml:space="preserve">（2）频域法墒情监测设备</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1）可测量3个深度（10、20、40cm）土壤水分、温度值；</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2）形式：采用一体化形式的设备（传感器、</w:t>
      </w:r>
      <w:r>
        <w:rPr>
          <w:color w:val="000000" w:themeColor="text1"/>
          <w:sz w:val="24"/>
          <w:szCs w:val="24"/>
          <w14:textFill>
            <w14:solidFill>
              <w14:schemeClr w14:val="tx1"/>
            </w14:solidFill>
          </w14:textFill>
        </w:rPr>
        <w:t xml:space="preserve">RTU</w:t>
      </w:r>
      <w:r>
        <w:rPr>
          <w:rFonts w:hint="eastAsia"/>
          <w:color w:val="000000" w:themeColor="text1"/>
          <w:sz w:val="24"/>
          <w:szCs w:val="24"/>
          <w14:textFill>
            <w14:solidFill>
              <w14:schemeClr w14:val="tx1"/>
            </w14:solidFill>
          </w14:textFill>
        </w:rPr>
        <w:t xml:space="preserve">、太阳能板、锂电池、传输设备一体）；</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3）测量范围：</w:t>
      </w:r>
      <w:r>
        <w:rPr>
          <w:color w:val="000000" w:themeColor="text1"/>
          <w:sz w:val="24"/>
          <w:szCs w:val="24"/>
          <w14:textFill>
            <w14:solidFill>
              <w14:schemeClr w14:val="tx1"/>
            </w14:solidFill>
          </w14:textFill>
        </w:rPr>
        <w:t xml:space="preserve">0</w:t>
      </w:r>
      <w:r>
        <w:rPr>
          <w:rFonts w:hint="eastAsia"/>
          <w:color w:val="000000" w:themeColor="text1"/>
          <w:sz w:val="24"/>
          <w:szCs w:val="24"/>
          <w14:textFill>
            <w14:solidFill>
              <w14:schemeClr w14:val="tx1"/>
            </w14:solidFill>
          </w14:textFill>
        </w:rPr>
        <w:t xml:space="preserve">～</w:t>
      </w:r>
      <w:r>
        <w:rPr>
          <w:color w:val="000000" w:themeColor="text1"/>
          <w:sz w:val="24"/>
          <w:szCs w:val="24"/>
          <w14:textFill>
            <w14:solidFill>
              <w14:schemeClr w14:val="tx1"/>
            </w14:solidFill>
          </w14:textFill>
        </w:rPr>
        <w:t xml:space="preserve">100%</w:t>
      </w:r>
      <w:r>
        <w:rPr>
          <w:rFonts w:hint="eastAsia"/>
          <w:color w:val="000000" w:themeColor="text1"/>
          <w:sz w:val="24"/>
          <w:szCs w:val="24"/>
          <w14:textFill>
            <w14:solidFill>
              <w14:schemeClr w14:val="tx1"/>
            </w14:solidFill>
          </w14:textFill>
        </w:rPr>
        <w:t xml:space="preserve">；</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4）测量分辨率0.1%；</w:t>
      </w:r>
      <w:r/>
    </w:p>
    <w:p>
      <w:pPr>
        <w:ind w:firstLine="480"/>
        <w:spacing w:line="360" w:lineRule="auto"/>
        <w:rPr>
          <w:b/>
          <w:bCs/>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w:t>
      </w:r>
      <w:r>
        <w:rPr>
          <w:rFonts w:hint="eastAsia"/>
          <w:color w:val="000000" w:themeColor="text1"/>
          <w:sz w:val="24"/>
          <w:szCs w:val="24"/>
          <w14:textFill>
            <w14:solidFill>
              <w14:schemeClr w14:val="tx1"/>
            </w14:solidFill>
          </w14:textFill>
        </w:rPr>
        <w:t xml:space="preserve">5）最大允许误差（准确性）：≤±</w:t>
      </w:r>
      <w:r>
        <w:rPr>
          <w:color w:val="000000" w:themeColor="text1"/>
          <w:sz w:val="24"/>
          <w:szCs w:val="24"/>
          <w14:textFill>
            <w14:solidFill>
              <w14:schemeClr w14:val="tx1"/>
            </w14:solidFill>
          </w14:textFill>
        </w:rPr>
        <w:t xml:space="preserve">2%</w:t>
      </w:r>
      <w:r>
        <w:rPr>
          <w:rFonts w:hint="eastAsia"/>
          <w:color w:val="000000" w:themeColor="text1"/>
          <w:sz w:val="24"/>
          <w:szCs w:val="24"/>
          <w14:textFill>
            <w14:solidFill>
              <w14:schemeClr w14:val="tx1"/>
            </w14:solidFill>
          </w14:textFill>
        </w:rPr>
        <w:t xml:space="preserve">；</w:t>
      </w:r>
      <w:r>
        <w:rPr>
          <w:b/>
          <w:bCs/>
          <w:color w:val="000000" w:themeColor="text1"/>
          <w:sz w:val="24"/>
          <w:szCs w:val="24"/>
          <w14:textFill>
            <w14:solidFill>
              <w14:schemeClr w14:val="tx1"/>
            </w14:solidFill>
          </w14:textFill>
        </w:rPr>
        <w:t xml:space="preserve">（需提供具有CMA资质的第三方检测机构出具的检测报告作为证明材料）</w:t>
      </w:r>
      <w:r/>
    </w:p>
    <w:p>
      <w:pPr>
        <w:ind w:firstLine="480"/>
        <w:spacing w:line="360" w:lineRule="auto"/>
        <w:rPr>
          <w:b/>
          <w:bCs/>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w:t>
      </w:r>
      <w:r>
        <w:rPr>
          <w:rFonts w:hint="eastAsia"/>
          <w:color w:val="000000" w:themeColor="text1"/>
          <w:sz w:val="24"/>
          <w:szCs w:val="24"/>
          <w14:textFill>
            <w14:solidFill>
              <w14:schemeClr w14:val="tx1"/>
            </w14:solidFill>
          </w14:textFill>
        </w:rPr>
        <w:t xml:space="preserve">6）测量重复性（准确性）：≤±1</w:t>
      </w:r>
      <w:r>
        <w:rPr>
          <w:color w:val="000000" w:themeColor="text1"/>
          <w:sz w:val="24"/>
          <w:szCs w:val="24"/>
          <w14:textFill>
            <w14:solidFill>
              <w14:schemeClr w14:val="tx1"/>
            </w14:solidFill>
          </w14:textFill>
        </w:rPr>
        <w:t xml:space="preserve">%</w:t>
      </w:r>
      <w:r>
        <w:rPr>
          <w:rFonts w:hint="eastAsia"/>
          <w:color w:val="000000" w:themeColor="text1"/>
          <w:sz w:val="24"/>
          <w:szCs w:val="24"/>
          <w14:textFill>
            <w14:solidFill>
              <w14:schemeClr w14:val="tx1"/>
            </w14:solidFill>
          </w14:textFill>
        </w:rPr>
        <w:t xml:space="preserve">；</w:t>
      </w:r>
      <w:r>
        <w:rPr>
          <w:b/>
          <w:bCs/>
          <w:color w:val="000000" w:themeColor="text1"/>
          <w:sz w:val="24"/>
          <w:szCs w:val="24"/>
          <w14:textFill>
            <w14:solidFill>
              <w14:schemeClr w14:val="tx1"/>
            </w14:solidFill>
          </w14:textFill>
        </w:rPr>
        <w:t xml:space="preserve">（需提供具有CMA资质的第三方检测机构出具的检测报告作为证明材料）</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7）</w:t>
      </w:r>
      <w:r>
        <w:rPr>
          <w:color w:val="000000" w:themeColor="text1"/>
          <w:sz w:val="24"/>
          <w:szCs w:val="24"/>
          <w14:textFill>
            <w14:solidFill>
              <w14:schemeClr w14:val="tx1"/>
            </w14:solidFill>
          </w14:textFill>
        </w:rPr>
        <w:t xml:space="preserve">支持移动4G无线通信/蓝牙</w:t>
      </w:r>
      <w:r>
        <w:rPr>
          <w:rFonts w:hint="eastAsia"/>
          <w:color w:val="000000" w:themeColor="text1"/>
          <w:sz w:val="24"/>
          <w:szCs w:val="24"/>
          <w14:textFill>
            <w14:solidFill>
              <w14:schemeClr w14:val="tx1"/>
            </w14:solidFill>
          </w14:textFill>
        </w:rPr>
        <w:t xml:space="preserve">；</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8）防护等级：IP68；</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9）数据传输协议支持《水文监测数据通信规约SL651-2014》。</w:t>
      </w:r>
      <w:r/>
    </w:p>
    <w:p>
      <w:pPr>
        <w:pStyle w:val="668"/>
        <w:spacing w:before="0" w:after="0" w:line="360" w:lineRule="auto"/>
        <w:rPr>
          <w:rFonts w:ascii="宋体" w:hAnsi="宋体" w:eastAsia="宋体" w:cs="宋体"/>
          <w:b/>
          <w:bCs/>
          <w:color w:val="000000" w:themeColor="text1"/>
          <w:sz w:val="24"/>
          <w:szCs w:val="24"/>
          <w14:textFill>
            <w14:solidFill>
              <w14:schemeClr w14:val="tx1"/>
            </w14:solidFill>
          </w14:textFill>
        </w:rPr>
      </w:pPr>
      <w:r/>
      <w:bookmarkStart w:id="21" w:name="_Hlk238481285"/>
      <w:r>
        <w:rPr>
          <w:rFonts w:hint="eastAsia" w:ascii="宋体" w:hAnsi="宋体" w:eastAsia="宋体" w:cs="宋体"/>
          <w:b/>
          <w:bCs/>
          <w:color w:val="000000" w:themeColor="text1"/>
          <w:sz w:val="24"/>
          <w:szCs w:val="24"/>
          <w14:textFill>
            <w14:solidFill>
              <w14:schemeClr w14:val="tx1"/>
            </w14:solidFill>
          </w14:textFill>
        </w:rPr>
        <w:t xml:space="preserve">三、</w:t>
      </w:r>
      <w:r>
        <w:rPr>
          <w:rFonts w:ascii="宋体" w:hAnsi="宋体" w:eastAsia="宋体" w:cs="宋体"/>
          <w:b/>
          <w:bCs/>
          <w:color w:val="000000" w:themeColor="text1"/>
          <w:sz w:val="24"/>
          <w:szCs w:val="24"/>
          <w14:textFill>
            <w14:solidFill>
              <w14:schemeClr w14:val="tx1"/>
            </w14:solidFill>
          </w14:textFill>
        </w:rPr>
        <w:t xml:space="preserve">AR</w:t>
      </w:r>
      <w:r>
        <w:rPr>
          <w:rFonts w:hint="eastAsia" w:ascii="宋体" w:hAnsi="宋体" w:eastAsia="宋体" w:cs="宋体"/>
          <w:b/>
          <w:bCs/>
          <w:color w:val="000000" w:themeColor="text1"/>
          <w:sz w:val="24"/>
          <w:szCs w:val="24"/>
          <w14:textFill>
            <w14:solidFill>
              <w14:schemeClr w14:val="tx1"/>
            </w14:solidFill>
          </w14:textFill>
        </w:rPr>
        <w:t xml:space="preserve">全景展示系统</w:t>
      </w:r>
      <w:r/>
    </w:p>
    <w:p>
      <w:pPr>
        <w:ind w:firstLine="480"/>
        <w:spacing w:line="360" w:lineRule="auto"/>
        <w:rPr>
          <w:color w:val="000000" w:themeColor="text1"/>
          <w:sz w:val="24"/>
          <w:szCs w:val="28"/>
          <w14:textFill>
            <w14:solidFill>
              <w14:schemeClr w14:val="tx1"/>
            </w14:solidFill>
          </w14:textFill>
        </w:rPr>
      </w:pPr>
      <w:r>
        <w:rPr>
          <w:rFonts w:hint="eastAsia"/>
          <w:color w:val="000000" w:themeColor="text1"/>
          <w:sz w:val="24"/>
          <w:szCs w:val="28"/>
          <w14:textFill>
            <w14:solidFill>
              <w14:schemeClr w14:val="tx1"/>
            </w14:solidFill>
          </w14:textFill>
        </w:rPr>
        <w:t xml:space="preserve">AR全景展示系统由视频河道水位流速监测仪、全光谱警戒全景枪球、定焦警戒一体机、硬盘录像机、管理一体机等部分组成，</w:t>
      </w:r>
      <w:r/>
    </w:p>
    <w:p>
      <w:pPr>
        <w:ind w:firstLine="482"/>
        <w:spacing w:line="360" w:lineRule="auto"/>
        <w:rPr>
          <w:b/>
          <w:bCs/>
          <w:color w:val="000000" w:themeColor="text1"/>
          <w:sz w:val="24"/>
          <w:szCs w:val="28"/>
          <w14:textFill>
            <w14:solidFill>
              <w14:schemeClr w14:val="tx1"/>
            </w14:solidFill>
          </w14:textFill>
        </w:rPr>
      </w:pPr>
      <w:r>
        <w:rPr>
          <w:rFonts w:hint="eastAsia"/>
          <w:b/>
          <w:bCs/>
          <w:color w:val="000000" w:themeColor="text1"/>
          <w:sz w:val="24"/>
          <w:szCs w:val="28"/>
          <w14:textFill>
            <w14:solidFill>
              <w14:schemeClr w14:val="tx1"/>
            </w14:solidFill>
          </w14:textFill>
        </w:rPr>
        <w:t xml:space="preserve">（1）主要功能</w:t>
      </w:r>
      <w:r/>
    </w:p>
    <w:p>
      <w:pPr>
        <w:ind w:firstLine="480"/>
        <w:spacing w:line="360" w:lineRule="auto"/>
        <w:rPr>
          <w:color w:val="000000" w:themeColor="text1"/>
          <w:sz w:val="24"/>
          <w:szCs w:val="28"/>
          <w14:textFill>
            <w14:solidFill>
              <w14:schemeClr w14:val="tx1"/>
            </w14:solidFill>
          </w14:textFill>
        </w:rPr>
      </w:pPr>
      <w:r>
        <w:rPr>
          <w:rFonts w:hint="eastAsia"/>
          <w:color w:val="000000" w:themeColor="text1"/>
          <w:sz w:val="24"/>
          <w:szCs w:val="28"/>
          <w14:textFill>
            <w14:solidFill>
              <w14:schemeClr w14:val="tx1"/>
            </w14:solidFill>
          </w14:textFill>
        </w:rPr>
        <w:t xml:space="preserve">覆盖水文站河湖全景，实现全彩监测，通过视频水位、流速进行水情监测24小时实时监测，河道重点断面进行180°/360°全景拼接成像，形成高分辨率实景底图。硬盘录像机（NVR）对多路视频流进行存储，支持H.265高效编码，并可按时间快速检索历史全景画面。管理一体机集成GIS地图与AR实景地图，支持多级缩放、视角切换、标签编辑与标绘，在此基础上，通过AR标签将视频河道水位流速监测仪等设备的实时数据（水位、流速、流量）以数字图层形式叠加于视频画面，实现“一屏看全河，数据随景动”的沉浸式监控。</w:t>
      </w:r>
      <w:r/>
    </w:p>
    <w:p>
      <w:pPr>
        <w:ind w:firstLine="482"/>
        <w:spacing w:line="360" w:lineRule="auto"/>
        <w:rPr>
          <w:b/>
          <w:bCs/>
          <w:color w:val="000000" w:themeColor="text1"/>
          <w:sz w:val="24"/>
          <w:szCs w:val="28"/>
          <w14:textFill>
            <w14:solidFill>
              <w14:schemeClr w14:val="tx1"/>
            </w14:solidFill>
          </w14:textFill>
        </w:rPr>
      </w:pPr>
      <w:r>
        <w:rPr>
          <w:rFonts w:hint="eastAsia"/>
          <w:b/>
          <w:bCs/>
          <w:color w:val="000000" w:themeColor="text1"/>
          <w:sz w:val="24"/>
          <w:szCs w:val="28"/>
          <w14:textFill>
            <w14:solidFill>
              <w14:schemeClr w14:val="tx1"/>
            </w14:solidFill>
          </w14:textFill>
        </w:rPr>
        <w:t xml:space="preserve">（2）业务目标</w:t>
      </w:r>
      <w:r/>
    </w:p>
    <w:p>
      <w:pPr>
        <w:ind w:firstLine="480"/>
        <w:spacing w:line="360" w:lineRule="auto"/>
        <w:rPr>
          <w:color w:val="000000" w:themeColor="text1"/>
          <w:sz w:val="24"/>
          <w:szCs w:val="28"/>
          <w14:textFill>
            <w14:solidFill>
              <w14:schemeClr w14:val="tx1"/>
            </w14:solidFill>
          </w14:textFill>
        </w:rPr>
      </w:pPr>
      <w:r>
        <w:rPr>
          <w:rFonts w:hint="eastAsia"/>
          <w:color w:val="000000" w:themeColor="text1"/>
          <w:sz w:val="24"/>
          <w:szCs w:val="28"/>
          <w14:textFill>
            <w14:solidFill>
              <w14:schemeClr w14:val="tx1"/>
            </w14:solidFill>
          </w14:textFill>
        </w:rPr>
        <w:t xml:space="preserve">建设 AR 实景可视化系统，实现实景画面与水文监测数据融合展示，可在 AR 实景画面叠加展示实时水位、雨量、流量、自动蒸发、墒情、地下水等各类水情监测数据，满足水情实景监视业务需要。</w:t>
      </w:r>
      <w:r/>
    </w:p>
    <w:p>
      <w:pPr>
        <w:ind w:firstLine="482"/>
        <w:spacing w:line="360" w:lineRule="auto"/>
        <w:rPr>
          <w:b/>
          <w:bCs/>
          <w:color w:val="000000" w:themeColor="text1"/>
          <w:sz w:val="24"/>
          <w:szCs w:val="28"/>
          <w14:textFill>
            <w14:solidFill>
              <w14:schemeClr w14:val="tx1"/>
            </w14:solidFill>
          </w14:textFill>
        </w:rPr>
      </w:pPr>
      <w:r>
        <w:rPr>
          <w:rFonts w:hint="eastAsia"/>
          <w:b/>
          <w:bCs/>
          <w:color w:val="000000" w:themeColor="text1"/>
          <w:sz w:val="24"/>
          <w:szCs w:val="28"/>
          <w14:textFill>
            <w14:solidFill>
              <w14:schemeClr w14:val="tx1"/>
            </w14:solidFill>
          </w14:textFill>
        </w:rPr>
        <w:t xml:space="preserve">（3）数据接入要求</w:t>
      </w:r>
      <w:r/>
    </w:p>
    <w:p>
      <w:pPr>
        <w:ind w:firstLine="480"/>
        <w:spacing w:line="360" w:lineRule="auto"/>
        <w:rPr>
          <w:color w:val="000000" w:themeColor="text1"/>
          <w:sz w:val="24"/>
          <w:szCs w:val="28"/>
          <w14:textFill>
            <w14:solidFill>
              <w14:schemeClr w14:val="tx1"/>
            </w14:solidFill>
          </w14:textFill>
        </w:rPr>
      </w:pPr>
      <w:r>
        <w:rPr>
          <w:rFonts w:hint="eastAsia"/>
          <w:color w:val="000000" w:themeColor="text1"/>
          <w:sz w:val="24"/>
          <w:szCs w:val="28"/>
          <w14:textFill>
            <w14:solidFill>
              <w14:schemeClr w14:val="tx1"/>
            </w14:solidFill>
          </w14:textFill>
        </w:rPr>
        <w:t xml:space="preserve">1）数据源：甲方现有 Oracle 水情数据库，数据遵循《实时雨水情数据库表结构与标识符SL323-2011》数据库标准。</w:t>
      </w:r>
      <w:r/>
    </w:p>
    <w:p>
      <w:pPr>
        <w:ind w:firstLine="480"/>
        <w:spacing w:line="360" w:lineRule="auto"/>
        <w:rPr>
          <w:color w:val="000000" w:themeColor="text1"/>
          <w:sz w:val="24"/>
          <w:szCs w:val="28"/>
          <w14:textFill>
            <w14:solidFill>
              <w14:schemeClr w14:val="tx1"/>
            </w14:solidFill>
          </w14:textFill>
        </w:rPr>
      </w:pPr>
      <w:r>
        <w:rPr>
          <w:rFonts w:hint="eastAsia"/>
          <w:color w:val="000000" w:themeColor="text1"/>
          <w:sz w:val="24"/>
          <w:szCs w:val="28"/>
          <w14:textFill>
            <w14:solidFill>
              <w14:schemeClr w14:val="tx1"/>
            </w14:solidFill>
          </w14:textFill>
        </w:rPr>
        <w:t xml:space="preserve">2）数据库访问方式：严禁直接直连业务库进行数据读取，投标人须采用中间库或者数据服务接口方式获取业务数据。</w:t>
      </w:r>
      <w:r/>
    </w:p>
    <w:p>
      <w:pPr>
        <w:ind w:firstLine="480"/>
        <w:spacing w:line="360" w:lineRule="auto"/>
        <w:rPr>
          <w:color w:val="000000" w:themeColor="text1"/>
          <w:sz w:val="24"/>
          <w:szCs w:val="28"/>
          <w14:textFill>
            <w14:solidFill>
              <w14:schemeClr w14:val="tx1"/>
            </w14:solidFill>
          </w14:textFill>
        </w:rPr>
      </w:pPr>
      <w:r>
        <w:rPr>
          <w:rFonts w:hint="eastAsia"/>
          <w:color w:val="000000" w:themeColor="text1"/>
          <w:sz w:val="24"/>
          <w:szCs w:val="28"/>
          <w14:textFill>
            <w14:solidFill>
              <w14:schemeClr w14:val="tx1"/>
            </w14:solidFill>
          </w14:textFill>
        </w:rPr>
        <w:t xml:space="preserve">3）网络安全约束</w:t>
      </w:r>
      <w:r/>
    </w:p>
    <w:p>
      <w:pPr>
        <w:ind w:firstLine="480"/>
        <w:spacing w:line="360" w:lineRule="auto"/>
        <w:rPr>
          <w:color w:val="000000" w:themeColor="text1"/>
          <w:sz w:val="24"/>
          <w:szCs w:val="28"/>
          <w14:textFill>
            <w14:solidFill>
              <w14:schemeClr w14:val="tx1"/>
            </w14:solidFill>
          </w14:textFill>
        </w:rPr>
      </w:pPr>
      <w:r>
        <w:rPr>
          <w:rFonts w:hint="eastAsia"/>
          <w:color w:val="000000" w:themeColor="text1"/>
          <w:sz w:val="24"/>
          <w:szCs w:val="28"/>
          <w14:textFill>
            <w14:solidFill>
              <w14:schemeClr w14:val="tx1"/>
            </w14:solidFill>
          </w14:textFill>
        </w:rPr>
        <w:t xml:space="preserve">①系统须按照甲方网络分区要求部署至指定安全域，严禁跨安全域越权访问；</w:t>
      </w:r>
      <w:r/>
    </w:p>
    <w:p>
      <w:pPr>
        <w:ind w:firstLine="480"/>
        <w:spacing w:line="360" w:lineRule="auto"/>
        <w:rPr>
          <w:color w:val="000000" w:themeColor="text1"/>
          <w:sz w:val="24"/>
          <w:szCs w:val="28"/>
          <w14:textFill>
            <w14:solidFill>
              <w14:schemeClr w14:val="tx1"/>
            </w14:solidFill>
          </w14:textFill>
        </w:rPr>
      </w:pPr>
      <w:r>
        <w:rPr>
          <w:rFonts w:hint="eastAsia"/>
          <w:color w:val="000000" w:themeColor="text1"/>
          <w:sz w:val="24"/>
          <w:szCs w:val="28"/>
          <w14:textFill>
            <w14:solidFill>
              <w14:schemeClr w14:val="tx1"/>
            </w14:solidFill>
          </w14:textFill>
        </w:rPr>
        <w:t xml:space="preserve">②访问水情数据库仅可使用甲方分配的只读账号，严禁使用 DBA 等高权限数据库账号；</w:t>
      </w:r>
      <w:r/>
    </w:p>
    <w:p>
      <w:pPr>
        <w:ind w:firstLine="480"/>
        <w:spacing w:line="360" w:lineRule="auto"/>
        <w:rPr>
          <w:color w:val="000000" w:themeColor="text1"/>
          <w:sz w:val="24"/>
          <w:szCs w:val="28"/>
          <w14:textFill>
            <w14:solidFill>
              <w14:schemeClr w14:val="tx1"/>
            </w14:solidFill>
          </w14:textFill>
        </w:rPr>
      </w:pPr>
      <w:r>
        <w:rPr>
          <w:rFonts w:hint="eastAsia"/>
          <w:color w:val="000000" w:themeColor="text1"/>
          <w:sz w:val="24"/>
          <w:szCs w:val="28"/>
          <w14:textFill>
            <w14:solidFill>
              <w14:schemeClr w14:val="tx1"/>
            </w14:solidFill>
          </w14:textFill>
        </w:rPr>
        <w:t xml:space="preserve">③投标人不得对甲方原有业务库原始数据表进行新增、修改、删除操作，仅允许读取业务数据；</w:t>
      </w:r>
      <w:r/>
    </w:p>
    <w:p>
      <w:pPr>
        <w:ind w:firstLine="482"/>
        <w:spacing w:line="360" w:lineRule="auto"/>
        <w:rPr>
          <w:b/>
          <w:bCs/>
          <w:color w:val="000000" w:themeColor="text1"/>
          <w:sz w:val="24"/>
          <w:szCs w:val="28"/>
          <w14:textFill>
            <w14:solidFill>
              <w14:schemeClr w14:val="tx1"/>
            </w14:solidFill>
          </w14:textFill>
        </w:rPr>
      </w:pPr>
      <w:r>
        <w:rPr>
          <w:rFonts w:hint="eastAsia"/>
          <w:b/>
          <w:bCs/>
          <w:color w:val="000000" w:themeColor="text1"/>
          <w:sz w:val="24"/>
          <w:szCs w:val="28"/>
          <w14:textFill>
            <w14:solidFill>
              <w14:schemeClr w14:val="tx1"/>
            </w14:solidFill>
          </w14:textFill>
        </w:rPr>
        <w:t xml:space="preserve">（4）系统功能能力要求</w:t>
      </w:r>
      <w:r/>
    </w:p>
    <w:p>
      <w:pPr>
        <w:ind w:firstLine="480"/>
        <w:spacing w:line="360" w:lineRule="auto"/>
        <w:rPr>
          <w:color w:val="000000" w:themeColor="text1"/>
          <w:sz w:val="24"/>
          <w:szCs w:val="28"/>
          <w14:textFill>
            <w14:solidFill>
              <w14:schemeClr w14:val="tx1"/>
            </w14:solidFill>
          </w14:textFill>
        </w:rPr>
      </w:pPr>
      <w:r>
        <w:rPr>
          <w:rFonts w:hint="eastAsia"/>
          <w:color w:val="000000" w:themeColor="text1"/>
          <w:sz w:val="24"/>
          <w:szCs w:val="28"/>
          <w14:textFill>
            <w14:solidFill>
              <w14:schemeClr w14:val="tx1"/>
            </w14:solidFill>
          </w14:textFill>
        </w:rPr>
        <w:t xml:space="preserve">1）AR 实景画面可叠加展示各类水文监测站点位置，实时展示水位、雨量、流量、自动蒸发、墒情、地下水等监测要素；</w:t>
      </w:r>
      <w:r/>
    </w:p>
    <w:p>
      <w:pPr>
        <w:ind w:firstLine="480"/>
        <w:spacing w:line="360" w:lineRule="auto"/>
        <w:rPr>
          <w:color w:val="000000" w:themeColor="text1"/>
          <w:sz w:val="24"/>
          <w:szCs w:val="28"/>
          <w14:textFill>
            <w14:solidFill>
              <w14:schemeClr w14:val="tx1"/>
            </w14:solidFill>
          </w14:textFill>
        </w:rPr>
      </w:pPr>
      <w:r>
        <w:rPr>
          <w:rFonts w:hint="eastAsia"/>
          <w:color w:val="000000" w:themeColor="text1"/>
          <w:sz w:val="24"/>
          <w:szCs w:val="28"/>
          <w14:textFill>
            <w14:solidFill>
              <w14:schemeClr w14:val="tx1"/>
            </w14:solidFill>
          </w14:textFill>
        </w:rPr>
        <w:t xml:space="preserve">2）支持监测数据超阈值告警，AR 画面可对超限站点进行标红警示；</w:t>
      </w:r>
      <w:r/>
    </w:p>
    <w:p>
      <w:pPr>
        <w:ind w:firstLine="480"/>
        <w:spacing w:line="360" w:lineRule="auto"/>
        <w:rPr>
          <w:color w:val="000000" w:themeColor="text1"/>
          <w:sz w:val="24"/>
          <w:szCs w:val="28"/>
          <w14:textFill>
            <w14:solidFill>
              <w14:schemeClr w14:val="tx1"/>
            </w14:solidFill>
          </w14:textFill>
        </w:rPr>
      </w:pPr>
      <w:r>
        <w:rPr>
          <w:rFonts w:hint="eastAsia"/>
          <w:color w:val="000000" w:themeColor="text1"/>
          <w:sz w:val="24"/>
          <w:szCs w:val="28"/>
          <w14:textFill>
            <w14:solidFill>
              <w14:schemeClr w14:val="tx1"/>
            </w14:solidFill>
          </w14:textFill>
        </w:rPr>
        <w:t xml:space="preserve">3）支持监测历史数据回看查询，展示方式按照甲方要求采用过程线、柱状图或其他方式；</w:t>
      </w:r>
      <w:r/>
    </w:p>
    <w:p>
      <w:pPr>
        <w:ind w:firstLine="480"/>
        <w:spacing w:line="360" w:lineRule="auto"/>
        <w:rPr>
          <w:color w:val="000000" w:themeColor="text1"/>
          <w:sz w:val="24"/>
          <w:szCs w:val="28"/>
          <w14:textFill>
            <w14:solidFill>
              <w14:schemeClr w14:val="tx1"/>
            </w14:solidFill>
          </w14:textFill>
        </w:rPr>
      </w:pPr>
      <w:r>
        <w:rPr>
          <w:rFonts w:hint="eastAsia"/>
          <w:color w:val="000000" w:themeColor="text1"/>
          <w:sz w:val="24"/>
          <w:szCs w:val="28"/>
          <w14:textFill>
            <w14:solidFill>
              <w14:schemeClr w14:val="tx1"/>
            </w14:solidFill>
          </w14:textFill>
        </w:rPr>
        <w:t xml:space="preserve">4）系统后台支持站点管理、告警阈值配置功能。</w:t>
      </w:r>
      <w:r/>
    </w:p>
    <w:p>
      <w:pPr>
        <w:ind w:firstLine="480"/>
        <w:spacing w:line="360" w:lineRule="auto"/>
        <w:rPr>
          <w:color w:val="000000" w:themeColor="text1"/>
          <w:sz w:val="24"/>
          <w:szCs w:val="28"/>
          <w14:textFill>
            <w14:solidFill>
              <w14:schemeClr w14:val="tx1"/>
            </w14:solidFill>
          </w14:textFill>
        </w:rPr>
      </w:pPr>
      <w:r>
        <w:rPr>
          <w:rFonts w:hint="eastAsia"/>
          <w:color w:val="000000" w:themeColor="text1"/>
          <w:sz w:val="24"/>
          <w:szCs w:val="28"/>
          <w14:textFill>
            <w14:solidFill>
              <w14:schemeClr w14:val="tx1"/>
            </w14:solidFill>
          </w14:textFill>
        </w:rPr>
        <w:t xml:space="preserve">5）所有展现数据可实时自动更新，实时数据更新周期不大于 10分钟。</w:t>
      </w:r>
      <w:r/>
    </w:p>
    <w:p>
      <w:pPr>
        <w:ind w:firstLine="480"/>
        <w:spacing w:line="360" w:lineRule="auto"/>
        <w:rPr>
          <w:color w:val="000000" w:themeColor="text1"/>
          <w:sz w:val="24"/>
          <w:szCs w:val="28"/>
          <w14:textFill>
            <w14:solidFill>
              <w14:schemeClr w14:val="tx1"/>
            </w14:solidFill>
          </w14:textFill>
        </w:rPr>
      </w:pPr>
      <w:r>
        <w:rPr>
          <w:rFonts w:hint="eastAsia"/>
          <w:color w:val="000000" w:themeColor="text1"/>
          <w:sz w:val="24"/>
          <w:szCs w:val="28"/>
          <w14:textFill>
            <w14:solidFill>
              <w14:schemeClr w14:val="tx1"/>
            </w14:solidFill>
          </w14:textFill>
        </w:rPr>
        <w:t xml:space="preserve">技术参数要求如下：</w:t>
      </w:r>
      <w:r/>
    </w:p>
    <w:p>
      <w:pPr>
        <w:pStyle w:val="669"/>
        <w:spacing w:before="0" w:after="0"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1</w:t>
      </w:r>
      <w:r>
        <w:rPr>
          <w:rFonts w:hint="eastAsia" w:ascii="宋体" w:hAnsi="宋体" w:eastAsia="宋体" w:cs="宋体"/>
          <w:color w:val="000000" w:themeColor="text1"/>
          <w:sz w:val="24"/>
          <w:szCs w:val="24"/>
          <w14:textFill>
            <w14:solidFill>
              <w14:schemeClr w14:val="tx1"/>
            </w14:solidFill>
          </w14:textFill>
        </w:rPr>
        <w:t xml:space="preserve">、视频河道流速监测仪</w:t>
      </w:r>
      <w:r/>
    </w:p>
    <w:p>
      <w:pPr>
        <w:ind w:firstLine="482"/>
        <w:spacing w:line="360" w:lineRule="auto"/>
        <w:rPr>
          <w:b/>
          <w:bCs/>
          <w:color w:val="000000" w:themeColor="text1"/>
          <w:sz w:val="24"/>
          <w:szCs w:val="24"/>
          <w14:textFill>
            <w14:solidFill>
              <w14:schemeClr w14:val="tx1"/>
            </w14:solidFill>
          </w14:textFill>
        </w:rPr>
      </w:pPr>
      <w:r>
        <w:rPr>
          <w:rFonts w:hint="eastAsia"/>
          <w:b/>
          <w:bCs/>
          <w:color w:val="000000" w:themeColor="text1"/>
          <w:sz w:val="24"/>
          <w:szCs w:val="24"/>
          <w14:textFill>
            <w14:solidFill>
              <w14:schemeClr w14:val="tx1"/>
            </w14:solidFill>
          </w14:textFill>
        </w:rPr>
        <w:t xml:space="preserve">（1）流速监测</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1）具有1个电源接口、1个RJ45、1个RS485、1个CVBS、1个Micro SD卡槽（最大支持512GB存储卡）；1对音频输入/输出接口；支持8路报警输入、2路报警输出；</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2）支持最大抓拍分辨率：2560×1440；</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3）</w:t>
      </w:r>
      <w:r>
        <w:rPr>
          <w:color w:val="000000" w:themeColor="text1"/>
          <w:sz w:val="24"/>
          <w:szCs w:val="24"/>
          <w14:textFill>
            <w14:solidFill>
              <w14:schemeClr w14:val="tx1"/>
            </w14:solidFill>
          </w14:textFill>
        </w:rPr>
        <w:t xml:space="preserve">图像传感器尺寸</w:t>
      </w:r>
      <w:r>
        <w:rPr>
          <w:rFonts w:hint="eastAsia"/>
          <w:color w:val="000000" w:themeColor="text1"/>
          <w:sz w:val="24"/>
          <w:szCs w:val="24"/>
          <w14:textFill>
            <w14:solidFill>
              <w14:schemeClr w14:val="tx1"/>
            </w14:solidFill>
          </w14:textFill>
        </w:rPr>
        <w:t xml:space="preserve">：≥1/1.8英寸；</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4）云台定位准确度：≤0.1°；</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5）水平手控最大速度：≥650°/s；</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6）垂直旋转范围：支持垂直方向-40°到90°旋转设置；</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7）最低照度：0.001 lx（F=1.6，彩色模式，开启帧累积），能基本分辨被摄目标的轮廓特征和色彩。0.0003 lx（F=1.6，黑白模式，开启帧累积），能基本分辨被摄目标的轮廓特征；</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8）应能设置多个监测区域，并获取不同起点距（以设备所处的断面为起始位置，沿着断面方向距离样机任意位置处的距离）的表面流速数据；</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9）设备应能在监测过程，通过平台或客户端手动控制设备云台转动及变倍，应急查看设备可视范围内相关实时视频后，设备可自动恢复原监测功能；</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10）支持有漂浮物和无漂浮物流速监测模式，可以自适应和手动设置；</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▲11）支持获取水流表面流速，最大监测宽度100m；应支持水流流速监测量程0.2m/s-15m/s，支持获取水流流速精确到小数点后三位</w:t>
      </w:r>
      <w:r>
        <w:rPr>
          <w:rFonts w:hint="eastAsia"/>
          <w:b/>
          <w:bCs/>
          <w:color w:val="000000" w:themeColor="text1"/>
          <w:sz w:val="24"/>
          <w:szCs w:val="24"/>
          <w14:textFill>
            <w14:solidFill>
              <w14:schemeClr w14:val="tx1"/>
            </w14:solidFill>
          </w14:textFill>
        </w:rPr>
        <w:t xml:space="preserve">（需提供具备CMA认证的检测机构检测报告作为证明材料）</w:t>
      </w:r>
      <w:r>
        <w:rPr>
          <w:rFonts w:hint="eastAsia"/>
          <w:color w:val="000000" w:themeColor="text1"/>
          <w:sz w:val="24"/>
          <w:szCs w:val="24"/>
          <w14:textFill>
            <w14:solidFill>
              <w14:schemeClr w14:val="tx1"/>
            </w14:solidFill>
          </w14:textFill>
        </w:rPr>
        <w:t xml:space="preserve">；</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▲12）对于不同起点距的水流表面流速进行测量（采用无漂浮物模式），将其数据与在相同时间测量的水流表面流速数据进行对比，测量误差应≤10%</w:t>
      </w:r>
      <w:r>
        <w:rPr>
          <w:rFonts w:hint="eastAsia"/>
          <w:b/>
          <w:bCs/>
          <w:color w:val="000000" w:themeColor="text1"/>
          <w:sz w:val="24"/>
          <w:szCs w:val="24"/>
          <w14:textFill>
            <w14:solidFill>
              <w14:schemeClr w14:val="tx1"/>
            </w14:solidFill>
          </w14:textFill>
        </w:rPr>
        <w:t xml:space="preserve">（需提供具备CMA认证的检测机构检测报告作为证明材料）</w:t>
      </w:r>
      <w:r>
        <w:rPr>
          <w:rFonts w:hint="eastAsia"/>
          <w:color w:val="000000" w:themeColor="text1"/>
          <w:sz w:val="24"/>
          <w:szCs w:val="24"/>
          <w14:textFill>
            <w14:solidFill>
              <w14:schemeClr w14:val="tx1"/>
            </w14:solidFill>
          </w14:textFill>
        </w:rPr>
        <w:t xml:space="preserve">；</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▲13）支持配置测流间隔时间和测流周期；应支持显示垂线断面处实时流量数据，支持自动计算河道累计流量数据</w:t>
      </w:r>
      <w:r>
        <w:rPr>
          <w:rFonts w:hint="eastAsia"/>
          <w:b/>
          <w:bCs/>
          <w:color w:val="000000" w:themeColor="text1"/>
          <w:sz w:val="24"/>
          <w:szCs w:val="24"/>
          <w14:textFill>
            <w14:solidFill>
              <w14:schemeClr w14:val="tx1"/>
            </w14:solidFill>
          </w14:textFill>
        </w:rPr>
        <w:t xml:space="preserve">（需提供具备CMA认证的检测机构检测报告作为证明材料）</w:t>
      </w:r>
      <w:r>
        <w:rPr>
          <w:rFonts w:hint="eastAsia"/>
          <w:color w:val="000000" w:themeColor="text1"/>
          <w:sz w:val="24"/>
          <w:szCs w:val="24"/>
          <w14:textFill>
            <w14:solidFill>
              <w14:schemeClr w14:val="tx1"/>
            </w14:solidFill>
          </w14:textFill>
        </w:rPr>
        <w:t xml:space="preserve">；</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▲14）支持显示测流测量开始时间、结束时间；支持将断面平均流速、不同起点距的表面流速、流速场数据上传至水利平台；支持根据不同起点距和不同水深设置不同的流速系数</w:t>
      </w:r>
      <w:r>
        <w:rPr>
          <w:rFonts w:hint="eastAsia"/>
          <w:b/>
          <w:bCs/>
          <w:color w:val="000000" w:themeColor="text1"/>
          <w:sz w:val="24"/>
          <w:szCs w:val="24"/>
          <w14:textFill>
            <w14:solidFill>
              <w14:schemeClr w14:val="tx1"/>
            </w14:solidFill>
          </w14:textFill>
        </w:rPr>
        <w:t xml:space="preserve">（需提供具备CMA认证的检测机构检测报告作为证明材料）</w:t>
      </w:r>
      <w:r>
        <w:rPr>
          <w:rFonts w:hint="eastAsia"/>
          <w:color w:val="000000" w:themeColor="text1"/>
          <w:sz w:val="24"/>
          <w:szCs w:val="24"/>
          <w14:textFill>
            <w14:solidFill>
              <w14:schemeClr w14:val="tx1"/>
            </w14:solidFill>
          </w14:textFill>
        </w:rPr>
        <w:t xml:space="preserve">；</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▲15）内置4G模块；支持通过移动、联通、电信无线网络进行数据传输；支持对河道断面进行配置，可配置矩形、梯形或不规则河道断面</w:t>
      </w:r>
      <w:r>
        <w:rPr>
          <w:rFonts w:hint="eastAsia"/>
          <w:b/>
          <w:bCs/>
          <w:color w:val="000000" w:themeColor="text1"/>
          <w:sz w:val="24"/>
          <w:szCs w:val="24"/>
          <w14:textFill>
            <w14:solidFill>
              <w14:schemeClr w14:val="tx1"/>
            </w14:solidFill>
          </w14:textFill>
        </w:rPr>
        <w:t xml:space="preserve">（需提供具备CMA认证的检测机构检测报告作为证明材料）</w:t>
      </w:r>
      <w:r>
        <w:rPr>
          <w:rFonts w:hint="eastAsia"/>
          <w:color w:val="000000" w:themeColor="text1"/>
          <w:sz w:val="24"/>
          <w:szCs w:val="24"/>
          <w14:textFill>
            <w14:solidFill>
              <w14:schemeClr w14:val="tx1"/>
            </w14:solidFill>
          </w14:textFill>
        </w:rPr>
        <w:t xml:space="preserve">；</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▲16）具有低功耗休眠功能，支持一键休眠、定时休眠、一键唤醒功能。在低功耗模式下，设备功率比最大功率降低至少60%</w:t>
      </w:r>
      <w:r>
        <w:rPr>
          <w:rFonts w:hint="eastAsia"/>
          <w:b/>
          <w:bCs/>
          <w:color w:val="000000" w:themeColor="text1"/>
          <w:sz w:val="24"/>
          <w:szCs w:val="24"/>
          <w14:textFill>
            <w14:solidFill>
              <w14:schemeClr w14:val="tx1"/>
            </w14:solidFill>
          </w14:textFill>
        </w:rPr>
        <w:t xml:space="preserve">（需提供具备CMA认证的检测机构检测报告作为证明材料）</w:t>
      </w:r>
      <w:r>
        <w:rPr>
          <w:rFonts w:hint="eastAsia"/>
          <w:color w:val="000000" w:themeColor="text1"/>
          <w:sz w:val="24"/>
          <w:szCs w:val="24"/>
          <w14:textFill>
            <w14:solidFill>
              <w14:schemeClr w14:val="tx1"/>
            </w14:solidFill>
          </w14:textFill>
        </w:rPr>
        <w:t xml:space="preserve">；</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17）可设置定时抓拍或报警联动抓拍图片，并上传到FTP服务器上。抓图的时间间隔和报警联动抓拍图片数量可设；具有SVC设置选项、数字降噪、背光补偿、强光抑制、透雾、电子防抖功能；</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18）当环境照度低于一定值时，通过红外灯照射，可基本分辨距离600米处所摄建筑物目标的轮廓和状态。当环境照度低于一定值时，通过白光灯照射，可基本分辨距离50米处所摄车辆或人体目标的轮廓及颜色；</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19）可将视频图像存储至Micro SD卡或客户端；支持断网续传；支持Micro SD卡热插拔；具有GB/T 28181接入设置选项；</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20）支持开启雨刷；防护等级IP67。</w:t>
      </w:r>
      <w:r/>
    </w:p>
    <w:p>
      <w:pPr>
        <w:ind w:firstLine="482"/>
        <w:spacing w:line="360" w:lineRule="auto"/>
        <w:rPr>
          <w:b/>
          <w:bCs/>
          <w:color w:val="000000" w:themeColor="text1"/>
          <w:sz w:val="24"/>
          <w:szCs w:val="24"/>
          <w14:textFill>
            <w14:solidFill>
              <w14:schemeClr w14:val="tx1"/>
            </w14:solidFill>
          </w14:textFill>
        </w:rPr>
      </w:pPr>
      <w:r>
        <w:rPr>
          <w:rFonts w:hint="eastAsia"/>
          <w:b/>
          <w:bCs/>
          <w:color w:val="000000" w:themeColor="text1"/>
          <w:sz w:val="24"/>
          <w:szCs w:val="24"/>
          <w14:textFill>
            <w14:solidFill>
              <w14:schemeClr w14:val="tx1"/>
            </w14:solidFill>
          </w14:textFill>
        </w:rPr>
        <w:t xml:space="preserve">（2）水位监测</w:t>
      </w:r>
      <w:r/>
    </w:p>
    <w:p>
      <w:pPr>
        <w:ind w:firstLine="480"/>
        <w:spacing w:line="360" w:lineRule="auto"/>
        <w:rPr>
          <w:color w:val="000000" w:themeColor="text1"/>
          <w:sz w:val="24"/>
          <w:szCs w:val="28"/>
          <w14:textFill>
            <w14:solidFill>
              <w14:schemeClr w14:val="tx1"/>
            </w14:solidFill>
          </w14:textFill>
        </w:rPr>
      </w:pPr>
      <w:r>
        <w:rPr>
          <w:rFonts w:hint="eastAsia"/>
          <w:color w:val="000000" w:themeColor="text1"/>
          <w:sz w:val="24"/>
          <w:szCs w:val="28"/>
          <w14:textFill>
            <w14:solidFill>
              <w14:schemeClr w14:val="tx1"/>
            </w14:solidFill>
          </w14:textFill>
        </w:rPr>
        <w:t xml:space="preserve">1）全景通道双1/1.8"CMOS传感器，2.8mm高清镜头；</w:t>
      </w:r>
      <w:r/>
    </w:p>
    <w:p>
      <w:pPr>
        <w:ind w:firstLine="480"/>
        <w:spacing w:line="360" w:lineRule="auto"/>
        <w:rPr>
          <w:color w:val="000000" w:themeColor="text1"/>
          <w:sz w:val="24"/>
          <w:szCs w:val="28"/>
          <w14:textFill>
            <w14:solidFill>
              <w14:schemeClr w14:val="tx1"/>
            </w14:solidFill>
          </w14:textFill>
        </w:rPr>
      </w:pPr>
      <w:r>
        <w:rPr>
          <w:rFonts w:hint="eastAsia"/>
          <w:color w:val="000000" w:themeColor="text1"/>
          <w:sz w:val="24"/>
          <w:szCs w:val="28"/>
          <w14:textFill>
            <w14:solidFill>
              <w14:schemeClr w14:val="tx1"/>
            </w14:solidFill>
          </w14:textFill>
        </w:rPr>
        <w:t xml:space="preserve">2）全景通道600万像素（3840×1568，25fps），细节通道400万像素（2560×1440，25fps）；</w:t>
      </w:r>
      <w:r/>
    </w:p>
    <w:p>
      <w:pPr>
        <w:ind w:firstLine="480"/>
        <w:spacing w:line="360" w:lineRule="auto"/>
        <w:rPr>
          <w:color w:val="000000" w:themeColor="text1"/>
          <w:sz w:val="24"/>
          <w:szCs w:val="28"/>
          <w14:textFill>
            <w14:solidFill>
              <w14:schemeClr w14:val="tx1"/>
            </w14:solidFill>
          </w14:textFill>
        </w:rPr>
      </w:pPr>
      <w:r>
        <w:rPr>
          <w:color w:val="000000" w:themeColor="text1"/>
          <w:sz w:val="24"/>
          <w:szCs w:val="24"/>
          <w14:textFill>
            <w14:solidFill>
              <w14:schemeClr w14:val="tx1"/>
            </w14:solidFill>
          </w14:textFill>
        </w:rPr>
        <w:t xml:space="preserve">▲</w:t>
      </w:r>
      <w:r>
        <w:rPr>
          <w:rFonts w:hint="eastAsia"/>
          <w:color w:val="000000" w:themeColor="text1"/>
          <w:sz w:val="24"/>
          <w:szCs w:val="28"/>
          <w14:textFill>
            <w14:solidFill>
              <w14:schemeClr w14:val="tx1"/>
            </w14:solidFill>
          </w14:textFill>
        </w:rPr>
        <w:t xml:space="preserve">3）光学变倍≥58 倍，数字变倍≥16 倍；</w:t>
      </w:r>
      <w:r>
        <w:rPr>
          <w:rFonts w:hint="eastAsia"/>
          <w:b/>
          <w:bCs/>
          <w:color w:val="000000" w:themeColor="text1"/>
          <w:sz w:val="24"/>
          <w:szCs w:val="24"/>
          <w14:textFill>
            <w14:solidFill>
              <w14:schemeClr w14:val="tx1"/>
            </w14:solidFill>
          </w14:textFill>
        </w:rPr>
        <w:t xml:space="preserve">（需提供具备CMA认证的检测机构检测报告作为证明材料）</w:t>
      </w:r>
      <w:r/>
    </w:p>
    <w:p>
      <w:pPr>
        <w:ind w:firstLine="480"/>
        <w:spacing w:line="360" w:lineRule="auto"/>
        <w:rPr>
          <w:color w:val="000000" w:themeColor="text1"/>
          <w:sz w:val="24"/>
          <w:szCs w:val="28"/>
          <w14:textFill>
            <w14:solidFill>
              <w14:schemeClr w14:val="tx1"/>
            </w14:solidFill>
          </w14:textFill>
        </w:rPr>
      </w:pPr>
      <w:r>
        <w:rPr>
          <w:color w:val="000000" w:themeColor="text1"/>
          <w:sz w:val="24"/>
          <w:szCs w:val="24"/>
          <w14:textFill>
            <w14:solidFill>
              <w14:schemeClr w14:val="tx1"/>
            </w14:solidFill>
          </w14:textFill>
        </w:rPr>
        <w:t xml:space="preserve">▲</w:t>
      </w:r>
      <w:r>
        <w:rPr>
          <w:rFonts w:hint="eastAsia"/>
          <w:color w:val="000000" w:themeColor="text1"/>
          <w:sz w:val="24"/>
          <w:szCs w:val="28"/>
          <w14:textFill>
            <w14:solidFill>
              <w14:schemeClr w14:val="tx1"/>
            </w14:solidFill>
          </w14:textFill>
        </w:rPr>
        <w:t xml:space="preserve">4）全景通道支持自动拼接，水平视场角≥190°，垂直视场角≥75°；</w:t>
      </w:r>
      <w:r>
        <w:rPr>
          <w:rFonts w:hint="eastAsia"/>
          <w:b/>
          <w:bCs/>
          <w:color w:val="000000" w:themeColor="text1"/>
          <w:sz w:val="24"/>
          <w:szCs w:val="24"/>
          <w14:textFill>
            <w14:solidFill>
              <w14:schemeClr w14:val="tx1"/>
            </w14:solidFill>
          </w14:textFill>
        </w:rPr>
        <w:t xml:space="preserve">（需提供具备CMA认证的检测机构检测报告作为证明材料）</w:t>
      </w:r>
      <w:r/>
    </w:p>
    <w:p>
      <w:pPr>
        <w:ind w:firstLine="480"/>
        <w:spacing w:line="360" w:lineRule="auto"/>
        <w:rPr>
          <w:color w:val="000000" w:themeColor="text1"/>
          <w:sz w:val="24"/>
          <w:szCs w:val="28"/>
          <w14:textFill>
            <w14:solidFill>
              <w14:schemeClr w14:val="tx1"/>
            </w14:solidFill>
          </w14:textFill>
        </w:rPr>
      </w:pPr>
      <w:r>
        <w:rPr>
          <w:color w:val="000000" w:themeColor="text1"/>
          <w:sz w:val="24"/>
          <w:szCs w:val="24"/>
          <w14:textFill>
            <w14:solidFill>
              <w14:schemeClr w14:val="tx1"/>
            </w14:solidFill>
          </w14:textFill>
        </w:rPr>
        <w:t xml:space="preserve">▲</w:t>
      </w:r>
      <w:r>
        <w:rPr>
          <w:rFonts w:hint="eastAsia"/>
          <w:color w:val="000000" w:themeColor="text1"/>
          <w:sz w:val="24"/>
          <w:szCs w:val="28"/>
          <w14:textFill>
            <w14:solidFill>
              <w14:schemeClr w14:val="tx1"/>
            </w14:solidFill>
          </w14:textFill>
        </w:rPr>
        <w:t xml:space="preserve">5）全景通道画幅比25：10；</w:t>
      </w:r>
      <w:r>
        <w:rPr>
          <w:rFonts w:hint="eastAsia"/>
          <w:b/>
          <w:bCs/>
          <w:color w:val="000000" w:themeColor="text1"/>
          <w:sz w:val="24"/>
          <w:szCs w:val="24"/>
          <w14:textFill>
            <w14:solidFill>
              <w14:schemeClr w14:val="tx1"/>
            </w14:solidFill>
          </w14:textFill>
        </w:rPr>
        <w:t xml:space="preserve">（需提供具备CMA认证的检测机构检测报告作为证明材料）</w:t>
      </w:r>
      <w:r/>
    </w:p>
    <w:p>
      <w:pPr>
        <w:ind w:firstLine="480"/>
        <w:spacing w:line="360" w:lineRule="auto"/>
        <w:rPr>
          <w:color w:val="000000" w:themeColor="text1"/>
          <w:sz w:val="24"/>
          <w:szCs w:val="28"/>
          <w14:textFill>
            <w14:solidFill>
              <w14:schemeClr w14:val="tx1"/>
            </w14:solidFill>
          </w14:textFill>
        </w:rPr>
      </w:pPr>
      <w:r>
        <w:rPr>
          <w:rFonts w:hint="eastAsia"/>
          <w:color w:val="000000" w:themeColor="text1"/>
          <w:sz w:val="24"/>
          <w:szCs w:val="28"/>
          <w14:textFill>
            <w14:solidFill>
              <w14:schemeClr w14:val="tx1"/>
            </w14:solidFill>
          </w14:textFill>
        </w:rPr>
        <w:t xml:space="preserve">6）支持H.265、H.264( Main Profile 、High Profile、Baseline Profile）、M-JPEG 视频编码设置；</w:t>
      </w:r>
      <w:r/>
    </w:p>
    <w:p>
      <w:pPr>
        <w:ind w:firstLine="480"/>
        <w:spacing w:line="360" w:lineRule="auto"/>
        <w:rPr>
          <w:color w:val="000000" w:themeColor="text1"/>
          <w:sz w:val="24"/>
          <w:szCs w:val="28"/>
          <w14:textFill>
            <w14:solidFill>
              <w14:schemeClr w14:val="tx1"/>
            </w14:solidFill>
          </w14:textFill>
        </w:rPr>
      </w:pPr>
      <w:r>
        <w:rPr>
          <w:color w:val="000000" w:themeColor="text1"/>
          <w:sz w:val="24"/>
          <w:szCs w:val="24"/>
          <w14:textFill>
            <w14:solidFill>
              <w14:schemeClr w14:val="tx1"/>
            </w14:solidFill>
          </w14:textFill>
        </w:rPr>
        <w:t xml:space="preserve">▲</w:t>
      </w:r>
      <w:r>
        <w:rPr>
          <w:rFonts w:hint="eastAsia"/>
          <w:color w:val="000000" w:themeColor="text1"/>
          <w:sz w:val="24"/>
          <w:szCs w:val="28"/>
          <w14:textFill>
            <w14:solidFill>
              <w14:schemeClr w14:val="tx1"/>
            </w14:solidFill>
          </w14:textFill>
        </w:rPr>
        <w:t xml:space="preserve">7）内置2 个GPU 芯片，具有1 个RJ45 网口、1 对音频输入/输出接口、1 个复位按钮、TF 存储接口（标配128 GB TF 存储卡，最大支持512GB TF 存储卡）、2路RS485接口，内置4G卡接口，内置扬声器；支持8路报警输入，2 路报警输出；</w:t>
      </w:r>
      <w:r>
        <w:rPr>
          <w:rFonts w:hint="eastAsia"/>
          <w:b/>
          <w:bCs/>
          <w:color w:val="000000" w:themeColor="text1"/>
          <w:sz w:val="24"/>
          <w:szCs w:val="24"/>
          <w14:textFill>
            <w14:solidFill>
              <w14:schemeClr w14:val="tx1"/>
            </w14:solidFill>
          </w14:textFill>
        </w:rPr>
        <w:t xml:space="preserve">（需提供具备CMA认证的检测机构检测报告作为证明材料）</w:t>
      </w:r>
      <w:r/>
    </w:p>
    <w:p>
      <w:pPr>
        <w:ind w:firstLine="480"/>
        <w:spacing w:line="360" w:lineRule="auto"/>
        <w:rPr>
          <w:color w:val="000000" w:themeColor="text1"/>
          <w:sz w:val="24"/>
          <w:szCs w:val="28"/>
          <w14:textFill>
            <w14:solidFill>
              <w14:schemeClr w14:val="tx1"/>
            </w14:solidFill>
          </w14:textFill>
        </w:rPr>
      </w:pPr>
      <w:r>
        <w:rPr>
          <w:color w:val="000000" w:themeColor="text1"/>
          <w:sz w:val="24"/>
          <w:szCs w:val="24"/>
          <w14:textFill>
            <w14:solidFill>
              <w14:schemeClr w14:val="tx1"/>
            </w14:solidFill>
          </w14:textFill>
        </w:rPr>
        <w:t xml:space="preserve">▲</w:t>
      </w:r>
      <w:r>
        <w:rPr>
          <w:rFonts w:hint="eastAsia"/>
          <w:color w:val="000000" w:themeColor="text1"/>
          <w:sz w:val="24"/>
          <w:szCs w:val="28"/>
          <w14:textFill>
            <w14:solidFill>
              <w14:schemeClr w14:val="tx1"/>
            </w14:solidFill>
          </w14:textFill>
        </w:rPr>
        <w:t xml:space="preserve">8）全景通道照度：0.00009 lx（F=1.0，彩色模式），能基本分辨被摄目标的轮廓特征和色彩；0.00003 lx（F=1.0，彩色模式），能基本分辨被摄目标的轮廓特征；</w:t>
      </w:r>
      <w:r>
        <w:rPr>
          <w:rFonts w:hint="eastAsia"/>
          <w:b/>
          <w:bCs/>
          <w:color w:val="000000" w:themeColor="text1"/>
          <w:sz w:val="24"/>
          <w:szCs w:val="24"/>
          <w14:textFill>
            <w14:solidFill>
              <w14:schemeClr w14:val="tx1"/>
            </w14:solidFill>
          </w14:textFill>
        </w:rPr>
        <w:t xml:space="preserve">（需提供具备CMA认证的检测机构检测报告作为证明材料）</w:t>
      </w:r>
      <w:r/>
    </w:p>
    <w:p>
      <w:pPr>
        <w:ind w:firstLine="480"/>
        <w:spacing w:line="360" w:lineRule="auto"/>
        <w:rPr>
          <w:color w:val="000000" w:themeColor="text1"/>
          <w:sz w:val="24"/>
          <w:szCs w:val="28"/>
          <w14:textFill>
            <w14:solidFill>
              <w14:schemeClr w14:val="tx1"/>
            </w14:solidFill>
          </w14:textFill>
        </w:rPr>
      </w:pPr>
      <w:r>
        <w:rPr>
          <w:rFonts w:hint="eastAsia"/>
          <w:color w:val="000000" w:themeColor="text1"/>
          <w:sz w:val="24"/>
          <w:szCs w:val="28"/>
          <w14:textFill>
            <w14:solidFill>
              <w14:schemeClr w14:val="tx1"/>
            </w14:solidFill>
          </w14:textFill>
        </w:rPr>
        <w:t xml:space="preserve">9）支持水平360°连续旋转，支持垂直旋转范围-32°～90°；</w:t>
      </w:r>
      <w:r/>
    </w:p>
    <w:p>
      <w:pPr>
        <w:ind w:firstLine="480"/>
        <w:spacing w:line="360" w:lineRule="auto"/>
        <w:rPr>
          <w:color w:val="000000" w:themeColor="text1"/>
          <w:sz w:val="24"/>
          <w:szCs w:val="28"/>
          <w14:textFill>
            <w14:solidFill>
              <w14:schemeClr w14:val="tx1"/>
            </w14:solidFill>
          </w14:textFill>
        </w:rPr>
      </w:pPr>
      <w:r>
        <w:rPr>
          <w:rFonts w:hint="eastAsia"/>
          <w:color w:val="000000" w:themeColor="text1"/>
          <w:sz w:val="24"/>
          <w:szCs w:val="28"/>
          <w14:textFill>
            <w14:solidFill>
              <w14:schemeClr w14:val="tx1"/>
            </w14:solidFill>
          </w14:textFill>
        </w:rPr>
        <w:t xml:space="preserve">10）内置加热模块，支持对全景通道镜头前玻璃进行加热；</w:t>
      </w:r>
      <w:r/>
    </w:p>
    <w:p>
      <w:pPr>
        <w:ind w:firstLine="480"/>
        <w:spacing w:line="360" w:lineRule="auto"/>
        <w:rPr>
          <w:color w:val="000000" w:themeColor="text1"/>
          <w:sz w:val="24"/>
          <w:szCs w:val="28"/>
          <w14:textFill>
            <w14:solidFill>
              <w14:schemeClr w14:val="tx1"/>
            </w14:solidFill>
          </w14:textFill>
        </w:rPr>
      </w:pPr>
      <w:r>
        <w:rPr>
          <w:rFonts w:hint="eastAsia"/>
          <w:color w:val="000000" w:themeColor="text1"/>
          <w:sz w:val="24"/>
          <w:szCs w:val="28"/>
          <w14:textFill>
            <w14:solidFill>
              <w14:schemeClr w14:val="tx1"/>
            </w14:solidFill>
          </w14:textFill>
        </w:rPr>
        <w:t xml:space="preserve">11）内置风扇，支持风扇除雾功能；</w:t>
      </w:r>
      <w:r/>
    </w:p>
    <w:p>
      <w:pPr>
        <w:ind w:firstLine="480"/>
        <w:spacing w:line="360" w:lineRule="auto"/>
        <w:rPr>
          <w:color w:val="000000" w:themeColor="text1"/>
          <w:sz w:val="24"/>
          <w:szCs w:val="28"/>
          <w14:textFill>
            <w14:solidFill>
              <w14:schemeClr w14:val="tx1"/>
            </w14:solidFill>
          </w14:textFill>
        </w:rPr>
      </w:pPr>
      <w:r>
        <w:rPr>
          <w:rFonts w:hint="eastAsia"/>
          <w:color w:val="000000" w:themeColor="text1"/>
          <w:sz w:val="24"/>
          <w:szCs w:val="28"/>
          <w14:textFill>
            <w14:solidFill>
              <w14:schemeClr w14:val="tx1"/>
            </w14:solidFill>
          </w14:textFill>
        </w:rPr>
        <w:t xml:space="preserve">12）支持漂浮物监测，应能在智能分析页面开启漂浮物检测功能；开启漂浮物检测后，样机应能对进入目标区域内的大小不小于256×144 像素的漂浮物进行检测并加框显示；开启漂浮物检测后，当漂浮物所占画面比例超过设定值时应能联动报警输出；</w:t>
      </w:r>
      <w:r/>
    </w:p>
    <w:p>
      <w:pPr>
        <w:ind w:firstLine="480"/>
        <w:spacing w:line="360" w:lineRule="auto"/>
        <w:rPr>
          <w:color w:val="000000" w:themeColor="text1"/>
          <w:sz w:val="24"/>
          <w:szCs w:val="28"/>
          <w14:textFill>
            <w14:solidFill>
              <w14:schemeClr w14:val="tx1"/>
            </w14:solidFill>
          </w14:textFill>
        </w:rPr>
      </w:pPr>
      <w:r>
        <w:rPr>
          <w:color w:val="000000" w:themeColor="text1"/>
          <w:sz w:val="24"/>
          <w:szCs w:val="24"/>
          <w14:textFill>
            <w14:solidFill>
              <w14:schemeClr w14:val="tx1"/>
            </w14:solidFill>
          </w14:textFill>
        </w:rPr>
        <w:t xml:space="preserve">▲</w:t>
      </w:r>
      <w:r>
        <w:rPr>
          <w:rFonts w:hint="eastAsia"/>
          <w:color w:val="000000" w:themeColor="text1"/>
          <w:sz w:val="24"/>
          <w:szCs w:val="28"/>
          <w14:textFill>
            <w14:solidFill>
              <w14:schemeClr w14:val="tx1"/>
            </w14:solidFill>
          </w14:textFill>
        </w:rPr>
        <w:t xml:space="preserve">13）支持水位监测功能，应能在智能分析页面开启水位监测功能；开启水位监测后，当监测水位超过设定值时应能联动报警输出。水位监测设备均应支持在监测过程任意时刻，平台及客户端应能手动控制设备云台及变倍，应急查看设备可视范围内相关实时视频后，设备支持自动恢复原监测功能；</w:t>
      </w:r>
      <w:r>
        <w:rPr>
          <w:rFonts w:hint="eastAsia"/>
          <w:b/>
          <w:bCs/>
          <w:color w:val="000000" w:themeColor="text1"/>
          <w:sz w:val="24"/>
          <w:szCs w:val="24"/>
          <w14:textFill>
            <w14:solidFill>
              <w14:schemeClr w14:val="tx1"/>
            </w14:solidFill>
          </w14:textFill>
        </w:rPr>
        <w:t xml:space="preserve">（需提供具备CMA认证的检测机构检测报告作为证明材料）</w:t>
      </w:r>
      <w:r/>
    </w:p>
    <w:p>
      <w:pPr>
        <w:ind w:firstLine="480"/>
        <w:spacing w:line="360" w:lineRule="auto"/>
        <w:rPr>
          <w:color w:val="000000" w:themeColor="text1"/>
          <w:sz w:val="24"/>
          <w:szCs w:val="28"/>
          <w14:textFill>
            <w14:solidFill>
              <w14:schemeClr w14:val="tx1"/>
            </w14:solidFill>
          </w14:textFill>
        </w:rPr>
      </w:pPr>
      <w:r>
        <w:rPr>
          <w:color w:val="000000" w:themeColor="text1"/>
          <w:sz w:val="24"/>
          <w:szCs w:val="24"/>
          <w14:textFill>
            <w14:solidFill>
              <w14:schemeClr w14:val="tx1"/>
            </w14:solidFill>
          </w14:textFill>
        </w:rPr>
        <w:t xml:space="preserve">▲</w:t>
      </w:r>
      <w:r>
        <w:rPr>
          <w:rFonts w:hint="eastAsia"/>
          <w:color w:val="000000" w:themeColor="text1"/>
          <w:sz w:val="24"/>
          <w:szCs w:val="28"/>
          <w14:textFill>
            <w14:solidFill>
              <w14:schemeClr w14:val="tx1"/>
            </w14:solidFill>
          </w14:textFill>
        </w:rPr>
        <w:t xml:space="preserve">14）支持水尺识别功能检查，支持样机对实体水尺（宽度8cm～30cm）、虚拟水尺自动识别水位读数的功能；</w:t>
      </w:r>
      <w:r>
        <w:rPr>
          <w:rFonts w:hint="eastAsia"/>
          <w:b/>
          <w:bCs/>
          <w:color w:val="000000" w:themeColor="text1"/>
          <w:sz w:val="24"/>
          <w:szCs w:val="24"/>
          <w14:textFill>
            <w14:solidFill>
              <w14:schemeClr w14:val="tx1"/>
            </w14:solidFill>
          </w14:textFill>
        </w:rPr>
        <w:t xml:space="preserve">（需提供具备CMA认证的检测机构检测报告作为证明材料）</w:t>
      </w:r>
      <w:r/>
    </w:p>
    <w:p>
      <w:pPr>
        <w:ind w:firstLine="480"/>
        <w:spacing w:line="360" w:lineRule="auto"/>
        <w:rPr>
          <w:color w:val="000000" w:themeColor="text1"/>
          <w:sz w:val="24"/>
          <w:szCs w:val="28"/>
          <w14:textFill>
            <w14:solidFill>
              <w14:schemeClr w14:val="tx1"/>
            </w14:solidFill>
          </w14:textFill>
        </w:rPr>
      </w:pPr>
      <w:r>
        <w:rPr>
          <w:rFonts w:hint="eastAsia"/>
          <w:color w:val="000000" w:themeColor="text1"/>
          <w:sz w:val="24"/>
          <w:szCs w:val="28"/>
          <w14:textFill>
            <w14:solidFill>
              <w14:schemeClr w14:val="tx1"/>
            </w14:solidFill>
          </w14:textFill>
        </w:rPr>
        <w:t xml:space="preserve">15）实体水尺包含特制水尺、桩式水尺、接力水尺、斜式水尺支持识别水尺编号；</w:t>
      </w:r>
      <w:r/>
    </w:p>
    <w:p>
      <w:pPr>
        <w:ind w:firstLine="480"/>
        <w:spacing w:line="360" w:lineRule="auto"/>
        <w:rPr>
          <w:color w:val="000000" w:themeColor="text1"/>
          <w:sz w:val="24"/>
          <w:szCs w:val="28"/>
          <w14:textFill>
            <w14:solidFill>
              <w14:schemeClr w14:val="tx1"/>
            </w14:solidFill>
          </w14:textFill>
        </w:rPr>
      </w:pPr>
      <w:r>
        <w:rPr>
          <w:color w:val="000000" w:themeColor="text1"/>
          <w:sz w:val="24"/>
          <w:szCs w:val="24"/>
          <w14:textFill>
            <w14:solidFill>
              <w14:schemeClr w14:val="tx1"/>
            </w14:solidFill>
          </w14:textFill>
        </w:rPr>
        <w:t xml:space="preserve">▲</w:t>
      </w:r>
      <w:r>
        <w:rPr>
          <w:rFonts w:hint="eastAsia"/>
          <w:color w:val="000000" w:themeColor="text1"/>
          <w:sz w:val="24"/>
          <w:szCs w:val="28"/>
          <w14:textFill>
            <w14:solidFill>
              <w14:schemeClr w14:val="tx1"/>
            </w14:solidFill>
          </w14:textFill>
        </w:rPr>
        <w:t xml:space="preserve">16）支持水尺识别精度设置，可选2 位小数或3 位小数，默认3 位小数；最多支持不同场景共30 根水尺接力识别；</w:t>
      </w:r>
      <w:r>
        <w:rPr>
          <w:rFonts w:hint="eastAsia"/>
          <w:b/>
          <w:bCs/>
          <w:color w:val="000000" w:themeColor="text1"/>
          <w:sz w:val="24"/>
          <w:szCs w:val="24"/>
          <w14:textFill>
            <w14:solidFill>
              <w14:schemeClr w14:val="tx1"/>
            </w14:solidFill>
          </w14:textFill>
        </w:rPr>
        <w:t xml:space="preserve">（需提供具备CMA认证的检测机构检测报告作为证明材料）</w:t>
      </w:r>
      <w:r/>
    </w:p>
    <w:p>
      <w:pPr>
        <w:ind w:firstLine="480"/>
        <w:spacing w:line="360" w:lineRule="auto"/>
        <w:rPr>
          <w:color w:val="000000" w:themeColor="text1"/>
          <w:sz w:val="24"/>
          <w:szCs w:val="28"/>
          <w14:textFill>
            <w14:solidFill>
              <w14:schemeClr w14:val="tx1"/>
            </w14:solidFill>
          </w14:textFill>
        </w:rPr>
      </w:pPr>
      <w:r>
        <w:rPr>
          <w:color w:val="000000" w:themeColor="text1"/>
          <w:sz w:val="24"/>
          <w:szCs w:val="24"/>
          <w14:textFill>
            <w14:solidFill>
              <w14:schemeClr w14:val="tx1"/>
            </w14:solidFill>
          </w14:textFill>
        </w:rPr>
        <w:t xml:space="preserve">▲</w:t>
      </w:r>
      <w:r>
        <w:rPr>
          <w:rFonts w:hint="eastAsia"/>
          <w:color w:val="000000" w:themeColor="text1"/>
          <w:sz w:val="24"/>
          <w:szCs w:val="28"/>
          <w14:textFill>
            <w14:solidFill>
              <w14:schemeClr w14:val="tx1"/>
            </w14:solidFill>
          </w14:textFill>
        </w:rPr>
        <w:t xml:space="preserve">17）白天及夜间：水尺最远识别距离应不小于150 米，识别水位误差范围应≤1cm；</w:t>
      </w:r>
      <w:r>
        <w:rPr>
          <w:rFonts w:hint="eastAsia"/>
          <w:b/>
          <w:bCs/>
          <w:color w:val="000000" w:themeColor="text1"/>
          <w:sz w:val="24"/>
          <w:szCs w:val="24"/>
          <w14:textFill>
            <w14:solidFill>
              <w14:schemeClr w14:val="tx1"/>
            </w14:solidFill>
          </w14:textFill>
        </w:rPr>
        <w:t xml:space="preserve">（需提供具备CMA认证的检测机构检测报告作为证明材料）</w:t>
      </w:r>
      <w:r/>
    </w:p>
    <w:p>
      <w:pPr>
        <w:ind w:firstLine="480"/>
        <w:spacing w:line="360" w:lineRule="auto"/>
        <w:rPr>
          <w:color w:val="000000" w:themeColor="text1"/>
          <w:sz w:val="24"/>
          <w:szCs w:val="28"/>
          <w14:textFill>
            <w14:solidFill>
              <w14:schemeClr w14:val="tx1"/>
            </w14:solidFill>
          </w14:textFill>
        </w:rPr>
      </w:pPr>
      <w:r>
        <w:rPr>
          <w:color w:val="000000" w:themeColor="text1"/>
          <w:sz w:val="24"/>
          <w:szCs w:val="24"/>
          <w14:textFill>
            <w14:solidFill>
              <w14:schemeClr w14:val="tx1"/>
            </w14:solidFill>
          </w14:textFill>
        </w:rPr>
        <w:t xml:space="preserve">▲</w:t>
      </w:r>
      <w:r>
        <w:rPr>
          <w:rFonts w:hint="eastAsia"/>
          <w:color w:val="000000" w:themeColor="text1"/>
          <w:sz w:val="24"/>
          <w:szCs w:val="28"/>
          <w14:textFill>
            <w14:solidFill>
              <w14:schemeClr w14:val="tx1"/>
            </w14:solidFill>
          </w14:textFill>
        </w:rPr>
        <w:t xml:space="preserve">18）支持视频画面叠加雨量、降雨时长、电池电量、电池电压、水尺读数、液位、风速、风向、温度、湿度、可燃性气体、氧气、一氧化碳、硫化氢、酸碱度、溶解氧、浊度、氨氮等数据显示（需前端配置对应传感器）；</w:t>
      </w:r>
      <w:r>
        <w:rPr>
          <w:rFonts w:hint="eastAsia"/>
          <w:b/>
          <w:bCs/>
          <w:color w:val="000000" w:themeColor="text1"/>
          <w:sz w:val="24"/>
          <w:szCs w:val="24"/>
          <w14:textFill>
            <w14:solidFill>
              <w14:schemeClr w14:val="tx1"/>
            </w14:solidFill>
          </w14:textFill>
        </w:rPr>
        <w:t xml:space="preserve">（需提供具备CMA认证的检测机构检测报告作为证明材料）</w:t>
      </w:r>
      <w:r/>
    </w:p>
    <w:p>
      <w:pPr>
        <w:ind w:firstLine="480"/>
        <w:spacing w:line="360" w:lineRule="auto"/>
        <w:rPr>
          <w:color w:val="000000" w:themeColor="text1"/>
          <w:sz w:val="24"/>
          <w:szCs w:val="28"/>
          <w14:textFill>
            <w14:solidFill>
              <w14:schemeClr w14:val="tx1"/>
            </w14:solidFill>
          </w14:textFill>
        </w:rPr>
      </w:pPr>
      <w:r>
        <w:rPr>
          <w:rFonts w:hint="eastAsia"/>
          <w:color w:val="000000" w:themeColor="text1"/>
          <w:sz w:val="24"/>
          <w:szCs w:val="28"/>
          <w14:textFill>
            <w14:solidFill>
              <w14:schemeClr w14:val="tx1"/>
            </w14:solidFill>
          </w14:textFill>
        </w:rPr>
        <w:t xml:space="preserve">19）支持本机存储，应能将视频图像及抓拍图片（JPG/BMP，默认JPG）存储至TF 卡、本地客户端；最大支持512GB TF卡；支持TF 卡热插拔；支持本地抓拍（存储图像格式JPG/BMP）、本地录像、FTP存储、SFTP 存储、NAS 存储等；</w:t>
      </w:r>
      <w:r/>
    </w:p>
    <w:p>
      <w:pPr>
        <w:ind w:firstLine="480"/>
        <w:spacing w:line="360" w:lineRule="auto"/>
        <w:rPr>
          <w:color w:val="000000" w:themeColor="text1"/>
          <w:sz w:val="24"/>
          <w:szCs w:val="28"/>
          <w14:textFill>
            <w14:solidFill>
              <w14:schemeClr w14:val="tx1"/>
            </w14:solidFill>
          </w14:textFill>
        </w:rPr>
      </w:pPr>
      <w:r>
        <w:rPr>
          <w:rFonts w:hint="eastAsia"/>
          <w:color w:val="000000" w:themeColor="text1"/>
          <w:sz w:val="24"/>
          <w:szCs w:val="28"/>
          <w14:textFill>
            <w14:solidFill>
              <w14:schemeClr w14:val="tx1"/>
            </w14:solidFill>
          </w14:textFill>
        </w:rPr>
        <w:t xml:space="preserve">20）具有GB/T 28181-2022、Onvif 平台接入设置选项；</w:t>
      </w:r>
      <w:r/>
    </w:p>
    <w:p>
      <w:pPr>
        <w:ind w:firstLine="480"/>
        <w:spacing w:line="360" w:lineRule="auto"/>
        <w:rPr>
          <w:color w:val="000000" w:themeColor="text1"/>
          <w:sz w:val="24"/>
          <w:szCs w:val="28"/>
          <w14:textFill>
            <w14:solidFill>
              <w14:schemeClr w14:val="tx1"/>
            </w14:solidFill>
          </w14:textFill>
        </w:rPr>
      </w:pPr>
      <w:r>
        <w:rPr>
          <w:rFonts w:hint="eastAsia"/>
          <w:color w:val="000000" w:themeColor="text1"/>
          <w:sz w:val="24"/>
          <w:szCs w:val="28"/>
          <w14:textFill>
            <w14:solidFill>
              <w14:schemeClr w14:val="tx1"/>
            </w14:solidFill>
          </w14:textFill>
        </w:rPr>
        <w:t xml:space="preserve">21）支持一键休眠、定时休眠、一键唤醒功能；</w:t>
      </w:r>
      <w:r/>
    </w:p>
    <w:p>
      <w:pPr>
        <w:ind w:firstLine="480"/>
        <w:spacing w:line="360" w:lineRule="auto"/>
        <w:rPr>
          <w:color w:val="000000" w:themeColor="text1"/>
          <w:sz w:val="24"/>
          <w:szCs w:val="28"/>
          <w14:textFill>
            <w14:solidFill>
              <w14:schemeClr w14:val="tx1"/>
            </w14:solidFill>
          </w14:textFill>
        </w:rPr>
      </w:pPr>
      <w:r>
        <w:rPr>
          <w:color w:val="000000" w:themeColor="text1"/>
          <w:sz w:val="24"/>
          <w:szCs w:val="24"/>
          <w14:textFill>
            <w14:solidFill>
              <w14:schemeClr w14:val="tx1"/>
            </w14:solidFill>
          </w14:textFill>
        </w:rPr>
        <w:t xml:space="preserve">▲</w:t>
      </w:r>
      <w:r>
        <w:rPr>
          <w:rFonts w:hint="eastAsia"/>
          <w:color w:val="000000" w:themeColor="text1"/>
          <w:sz w:val="24"/>
          <w:szCs w:val="28"/>
          <w14:textFill>
            <w14:solidFill>
              <w14:schemeClr w14:val="tx1"/>
            </w14:solidFill>
          </w14:textFill>
        </w:rPr>
        <w:t xml:space="preserve">22）在超低功耗模式下，应能通过手机拨打样机内置SIM 卡的电话号码或发送任一短信，使设备上线；</w:t>
      </w:r>
      <w:r>
        <w:rPr>
          <w:rFonts w:hint="eastAsia"/>
          <w:b/>
          <w:bCs/>
          <w:color w:val="000000" w:themeColor="text1"/>
          <w:sz w:val="24"/>
          <w:szCs w:val="24"/>
          <w14:textFill>
            <w14:solidFill>
              <w14:schemeClr w14:val="tx1"/>
            </w14:solidFill>
          </w14:textFill>
        </w:rPr>
        <w:t xml:space="preserve">（需提供具备CMA认证的检测机构检测报告作为证明材料）</w:t>
      </w:r>
      <w:r/>
    </w:p>
    <w:p>
      <w:pPr>
        <w:ind w:firstLine="480"/>
        <w:spacing w:line="360" w:lineRule="auto"/>
        <w:rPr>
          <w:color w:val="000000" w:themeColor="text1"/>
          <w:sz w:val="24"/>
          <w:szCs w:val="28"/>
          <w14:textFill>
            <w14:solidFill>
              <w14:schemeClr w14:val="tx1"/>
            </w14:solidFill>
          </w14:textFill>
        </w:rPr>
      </w:pPr>
      <w:r>
        <w:rPr>
          <w:rFonts w:hint="eastAsia"/>
          <w:color w:val="000000" w:themeColor="text1"/>
          <w:sz w:val="24"/>
          <w:szCs w:val="28"/>
          <w14:textFill>
            <w14:solidFill>
              <w14:schemeClr w14:val="tx1"/>
            </w14:solidFill>
          </w14:textFill>
        </w:rPr>
        <w:t xml:space="preserve">23）在极低功耗模式下，样机支持定时休眠、定时上线功能；</w:t>
      </w:r>
      <w:r/>
    </w:p>
    <w:p>
      <w:pPr>
        <w:ind w:firstLine="480"/>
        <w:spacing w:line="360" w:lineRule="auto"/>
        <w:rPr>
          <w:color w:val="000000" w:themeColor="text1"/>
          <w:sz w:val="24"/>
          <w:szCs w:val="28"/>
          <w14:textFill>
            <w14:solidFill>
              <w14:schemeClr w14:val="tx1"/>
            </w14:solidFill>
          </w14:textFill>
        </w:rPr>
      </w:pPr>
      <w:r>
        <w:rPr>
          <w:rFonts w:hint="eastAsia"/>
          <w:color w:val="000000" w:themeColor="text1"/>
          <w:sz w:val="24"/>
          <w:szCs w:val="28"/>
          <w14:textFill>
            <w14:solidFill>
              <w14:schemeClr w14:val="tx1"/>
            </w14:solidFill>
          </w14:textFill>
        </w:rPr>
        <w:t xml:space="preserve">24）彩色模式，开启白光灯，最大运行功耗应≤26.2W；</w:t>
      </w:r>
      <w:r/>
    </w:p>
    <w:p>
      <w:pPr>
        <w:ind w:firstLine="480"/>
        <w:spacing w:line="360" w:lineRule="auto"/>
        <w:rPr>
          <w:color w:val="000000" w:themeColor="text1"/>
          <w:sz w:val="24"/>
          <w:szCs w:val="28"/>
          <w14:textFill>
            <w14:solidFill>
              <w14:schemeClr w14:val="tx1"/>
            </w14:solidFill>
          </w14:textFill>
        </w:rPr>
      </w:pPr>
      <w:r>
        <w:rPr>
          <w:rFonts w:hint="eastAsia"/>
          <w:color w:val="000000" w:themeColor="text1"/>
          <w:sz w:val="24"/>
          <w:szCs w:val="28"/>
          <w14:textFill>
            <w14:solidFill>
              <w14:schemeClr w14:val="tx1"/>
            </w14:solidFill>
          </w14:textFill>
        </w:rPr>
        <w:t xml:space="preserve">25）黑白模式，开启红外灯，最大运行功耗≤25.8W；</w:t>
      </w:r>
      <w:r/>
    </w:p>
    <w:p>
      <w:pPr>
        <w:ind w:firstLine="480"/>
        <w:spacing w:line="360" w:lineRule="auto"/>
        <w:rPr>
          <w:color w:val="000000" w:themeColor="text1"/>
          <w:sz w:val="24"/>
          <w:szCs w:val="28"/>
          <w14:textFill>
            <w14:solidFill>
              <w14:schemeClr w14:val="tx1"/>
            </w14:solidFill>
          </w14:textFill>
        </w:rPr>
      </w:pPr>
      <w:r>
        <w:rPr>
          <w:rFonts w:hint="eastAsia"/>
          <w:color w:val="000000" w:themeColor="text1"/>
          <w:sz w:val="24"/>
          <w:szCs w:val="28"/>
          <w14:textFill>
            <w14:solidFill>
              <w14:schemeClr w14:val="tx1"/>
            </w14:solidFill>
          </w14:textFill>
        </w:rPr>
        <w:t xml:space="preserve">26）进入低功耗休眠模式后，功率≤10.2W；</w:t>
      </w:r>
      <w:r/>
    </w:p>
    <w:p>
      <w:pPr>
        <w:ind w:firstLine="480"/>
        <w:spacing w:line="360" w:lineRule="auto"/>
        <w:rPr>
          <w:color w:val="000000" w:themeColor="text1"/>
          <w:sz w:val="24"/>
          <w:szCs w:val="28"/>
          <w14:textFill>
            <w14:solidFill>
              <w14:schemeClr w14:val="tx1"/>
            </w14:solidFill>
          </w14:textFill>
        </w:rPr>
      </w:pPr>
      <w:r>
        <w:rPr>
          <w:rFonts w:hint="eastAsia"/>
          <w:color w:val="000000" w:themeColor="text1"/>
          <w:sz w:val="24"/>
          <w:szCs w:val="28"/>
          <w14:textFill>
            <w14:solidFill>
              <w14:schemeClr w14:val="tx1"/>
            </w14:solidFill>
          </w14:textFill>
        </w:rPr>
        <w:t xml:space="preserve">27）进入超低功耗休眠模式后，功率≤1.0W；</w:t>
      </w:r>
      <w:r/>
    </w:p>
    <w:p>
      <w:pPr>
        <w:ind w:firstLine="480"/>
        <w:spacing w:line="360" w:lineRule="auto"/>
        <w:rPr>
          <w:color w:val="000000" w:themeColor="text1"/>
          <w:sz w:val="24"/>
          <w:szCs w:val="28"/>
          <w14:textFill>
            <w14:solidFill>
              <w14:schemeClr w14:val="tx1"/>
            </w14:solidFill>
          </w14:textFill>
        </w:rPr>
      </w:pPr>
      <w:r>
        <w:rPr>
          <w:color w:val="000000" w:themeColor="text1"/>
          <w:sz w:val="24"/>
          <w:szCs w:val="24"/>
          <w14:textFill>
            <w14:solidFill>
              <w14:schemeClr w14:val="tx1"/>
            </w14:solidFill>
          </w14:textFill>
        </w:rPr>
        <w:t xml:space="preserve">▲</w:t>
      </w:r>
      <w:r>
        <w:rPr>
          <w:rFonts w:hint="eastAsia"/>
          <w:color w:val="000000" w:themeColor="text1"/>
          <w:sz w:val="24"/>
          <w:szCs w:val="28"/>
          <w14:textFill>
            <w14:solidFill>
              <w14:schemeClr w14:val="tx1"/>
            </w14:solidFill>
          </w14:textFill>
        </w:rPr>
        <w:t xml:space="preserve">28）进入极低功耗休眠模式后，功率≤0.12W；</w:t>
      </w:r>
      <w:r>
        <w:rPr>
          <w:rFonts w:hint="eastAsia"/>
          <w:b/>
          <w:bCs/>
          <w:color w:val="000000" w:themeColor="text1"/>
          <w:sz w:val="24"/>
          <w:szCs w:val="24"/>
          <w14:textFill>
            <w14:solidFill>
              <w14:schemeClr w14:val="tx1"/>
            </w14:solidFill>
          </w14:textFill>
        </w:rPr>
        <w:t xml:space="preserve">（需提供具备CMA认证的检测机构检测报告作为证明材料）</w:t>
      </w:r>
      <w:r/>
    </w:p>
    <w:p>
      <w:pPr>
        <w:ind w:firstLine="480"/>
        <w:spacing w:line="360" w:lineRule="auto"/>
        <w:rPr>
          <w:color w:val="000000" w:themeColor="text1"/>
          <w:sz w:val="24"/>
          <w:szCs w:val="28"/>
          <w14:textFill>
            <w14:solidFill>
              <w14:schemeClr w14:val="tx1"/>
            </w14:solidFill>
          </w14:textFill>
        </w:rPr>
      </w:pPr>
      <w:r>
        <w:rPr>
          <w:rFonts w:hint="eastAsia"/>
          <w:color w:val="000000" w:themeColor="text1"/>
          <w:sz w:val="24"/>
          <w:szCs w:val="28"/>
          <w14:textFill>
            <w14:solidFill>
              <w14:schemeClr w14:val="tx1"/>
            </w14:solidFill>
          </w14:textFill>
        </w:rPr>
        <w:t xml:space="preserve">29）自带雨刷，支持定时和手动设置雨刷；</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8"/>
          <w14:textFill>
            <w14:solidFill>
              <w14:schemeClr w14:val="tx1"/>
            </w14:solidFill>
          </w14:textFill>
        </w:rPr>
        <w:t xml:space="preserve">30）防护等级≥IP67。</w:t>
      </w:r>
      <w:r/>
    </w:p>
    <w:p>
      <w:pPr>
        <w:pStyle w:val="669"/>
        <w:spacing w:before="0" w:after="0"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2</w:t>
      </w:r>
      <w:r>
        <w:rPr>
          <w:rFonts w:hint="eastAsia" w:ascii="宋体" w:hAnsi="宋体" w:eastAsia="宋体" w:cs="宋体"/>
          <w:color w:val="000000" w:themeColor="text1"/>
          <w:sz w:val="24"/>
          <w:szCs w:val="24"/>
          <w14:textFill>
            <w14:solidFill>
              <w14:schemeClr w14:val="tx1"/>
            </w14:solidFill>
          </w14:textFill>
        </w:rPr>
        <w:t xml:space="preserve">、</w:t>
      </w:r>
      <w:r>
        <w:rPr>
          <w:rFonts w:ascii="宋体" w:hAnsi="宋体" w:eastAsia="宋体" w:cs="宋体"/>
          <w:color w:val="000000" w:themeColor="text1"/>
          <w:sz w:val="24"/>
          <w:szCs w:val="24"/>
          <w14:textFill>
            <w14:solidFill>
              <w14:schemeClr w14:val="tx1"/>
            </w14:solidFill>
          </w14:textFill>
        </w:rPr>
        <w:t xml:space="preserve">600万25倍</w:t>
      </w:r>
      <w:r>
        <w:rPr>
          <w:rFonts w:hint="eastAsia" w:ascii="宋体" w:hAnsi="宋体" w:eastAsia="宋体" w:cs="宋体"/>
          <w:color w:val="000000" w:themeColor="text1"/>
          <w:sz w:val="24"/>
          <w:szCs w:val="24"/>
          <w14:textFill>
            <w14:solidFill>
              <w14:schemeClr w14:val="tx1"/>
            </w14:solidFill>
          </w14:textFill>
        </w:rPr>
        <w:t xml:space="preserve">全光谱警戒全景枪球</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（1）全景通道不低于两个300万 2.8mm高清镜头，分辨率不小于3840×1568；细节通道不低于一个400万像素25 倍光学变倍、16 倍数字变倍高清镜头，分辨率不小于2560×1440；</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（2）靶面尺寸：全景通道不小于1/1.8英寸；细节通道不小于1/2.7英寸；</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（3）最低照度：全景通道≤0.002Lux(F=1.0，彩色模式)，能基本分辨被摄目标的轮廓特征；细节通道≤0.003Lux(F=2.0，彩色模式)，能基本分辨被摄目标的轮廓特征；</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4）细节通道具有10颗红外灯和4颗白光灯：当环境照度低于一定值时，通过红外灯照射，可基本分辨距离800米处所摄建筑物目标的轮廓；通过白光灯照射，可基本分辨距离150米处所摄建筑物目标的轮廓。全景通道具有3颗白光灯：当环境照度低于一定值时，通过白外灯照射，可基本分辨距离80米处所摄建筑物目标的轮廓；</w:t>
      </w:r>
      <w:r>
        <w:rPr>
          <w:color w:val="000000" w:themeColor="text1"/>
          <w:sz w:val="24"/>
          <w:szCs w:val="24"/>
          <w14:textFill>
            <w14:solidFill>
              <w14:schemeClr w14:val="tx1"/>
            </w14:solidFill>
          </w14:textFill>
        </w:rPr>
        <w:t xml:space="preserve"> </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（5）红外灯照明角度应能随设备成像视角同步自动调节，照明范围可覆盖整个监控画面；</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（6）全景通道：水平视场角≥190°；全景通道：垂直视场角≥75°；</w:t>
      </w:r>
      <w:r>
        <w:rPr>
          <w:color w:val="000000" w:themeColor="text1"/>
          <w:sz w:val="24"/>
          <w:szCs w:val="24"/>
          <w14:textFill>
            <w14:solidFill>
              <w14:schemeClr w14:val="tx1"/>
            </w14:solidFill>
          </w14:textFill>
        </w:rPr>
        <w:t xml:space="preserve"> </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（7）全景通道画幅比≥25：10，图像分辨率≥3840×1568；</w:t>
      </w:r>
      <w:r>
        <w:rPr>
          <w:color w:val="000000" w:themeColor="text1"/>
          <w:sz w:val="24"/>
          <w:szCs w:val="24"/>
          <w14:textFill>
            <w14:solidFill>
              <w14:schemeClr w14:val="tx1"/>
            </w14:solidFill>
          </w14:textFill>
        </w:rPr>
        <w:t xml:space="preserve"> </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8）全景通道：≥支持场景图像效果自适应，应能根据不同场景(如工频场景、反光场景、背光场景、强光场景、雨天场景、雾天场景、车辆场景、人形场景、夜景场景、飞尘场景等)，自动调整视频参数(如曝光、白平衡、亮度、饱和度、对比度、噪声、强光抑制、宽动态等)</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（9）配合AR实景指挥平台（见AR智慧管理一体机），应能将视频中的标签叠加在实际场景中，当云台转动或者倍率变动时，标签位置、大小根据场景自适应；</w:t>
      </w:r>
      <w:r>
        <w:rPr>
          <w:color w:val="000000" w:themeColor="text1"/>
          <w:sz w:val="24"/>
          <w:szCs w:val="24"/>
          <w14:textFill>
            <w14:solidFill>
              <w14:schemeClr w14:val="tx1"/>
            </w14:solidFill>
          </w14:textFill>
        </w:rPr>
        <w:t xml:space="preserve"> </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10）配合AR实景指挥平台按标签名称搜索标签时，设备应能触发联动功能，联动转动至选中的标签位置，点击视频中的标签时，可查看标签内容并对标签关联的相机视频进行预览，点击相机预览窗口可放大该窗口；</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（11）配合AR实景指挥平台，支持在摄像机的视频画面中，对监控区域的建筑物视频标签管理、卡口视频标签、普通视频标签进行标签标注，最多支持标注1000个标签；</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（12）应具有GB/T 28181-2022、 GA/T 1400、GB 35114、Onvif平台接入设置选项；</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（13）应具有不少于1个RJ45网口、1对音频输入/输出接口、1个复位按钮、TF存储接口，内置扬声器(支持音频对讲)；应支持不少于2路报警输入、1路报警输出；</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（14）外壳防护等级：≥IP66；</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（15）应能在AC(24±25%)V和DC(24±10%)V的供电条件下正常工作；</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（16）工作温度：-40℃~+65℃。</w:t>
      </w:r>
      <w:r/>
    </w:p>
    <w:p>
      <w:pPr>
        <w:pStyle w:val="669"/>
        <w:spacing w:before="0" w:after="0"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3</w:t>
      </w:r>
      <w:r>
        <w:rPr>
          <w:rFonts w:hint="eastAsia" w:ascii="宋体" w:hAnsi="宋体" w:eastAsia="宋体" w:cs="宋体"/>
          <w:color w:val="000000" w:themeColor="text1"/>
          <w:sz w:val="24"/>
          <w:szCs w:val="24"/>
          <w14:textFill>
            <w14:solidFill>
              <w14:schemeClr w14:val="tx1"/>
            </w14:solidFill>
          </w14:textFill>
        </w:rPr>
        <w:t xml:space="preserve">、</w:t>
      </w:r>
      <w:r>
        <w:rPr>
          <w:rFonts w:ascii="宋体" w:hAnsi="宋体" w:eastAsia="宋体" w:cs="宋体"/>
          <w:color w:val="000000" w:themeColor="text1"/>
          <w:sz w:val="24"/>
          <w:szCs w:val="24"/>
          <w14:textFill>
            <w14:solidFill>
              <w14:schemeClr w14:val="tx1"/>
            </w14:solidFill>
          </w14:textFill>
        </w:rPr>
        <w:t xml:space="preserve">500万</w:t>
      </w:r>
      <w:r>
        <w:rPr>
          <w:rFonts w:hint="eastAsia" w:ascii="宋体" w:hAnsi="宋体" w:eastAsia="宋体" w:cs="宋体"/>
          <w:color w:val="000000" w:themeColor="text1"/>
          <w:sz w:val="24"/>
          <w:szCs w:val="24"/>
          <w14:textFill>
            <w14:solidFill>
              <w14:schemeClr w14:val="tx1"/>
            </w14:solidFill>
          </w14:textFill>
        </w:rPr>
        <w:t xml:space="preserve">定焦警戒一体机</w:t>
      </w:r>
      <w:r/>
    </w:p>
    <w:p>
      <w:pPr>
        <w:ind w:firstLine="480"/>
        <w:spacing w:line="360" w:lineRule="auto"/>
        <w:rPr>
          <w:color w:val="000000" w:themeColor="text1"/>
          <w:sz w:val="24"/>
          <w:szCs w:val="28"/>
          <w14:textFill>
            <w14:solidFill>
              <w14:schemeClr w14:val="tx1"/>
            </w14:solidFill>
          </w14:textFill>
        </w:rPr>
      </w:pPr>
      <w:r>
        <w:rPr>
          <w:rFonts w:hint="eastAsia"/>
          <w:color w:val="000000" w:themeColor="text1"/>
          <w:sz w:val="24"/>
          <w:szCs w:val="28"/>
          <w14:textFill>
            <w14:solidFill>
              <w14:schemeClr w14:val="tx1"/>
            </w14:solidFill>
          </w14:textFill>
        </w:rPr>
        <w:t xml:space="preserve">（1）分辨率不低于3072x1728@25fps，分辨力彩色应不低于1400TVL，靶面尺寸不小于1/1.8英寸筒型摄像机；</w:t>
      </w:r>
      <w:r/>
    </w:p>
    <w:p>
      <w:pPr>
        <w:ind w:firstLine="480"/>
        <w:spacing w:line="360" w:lineRule="auto"/>
        <w:rPr>
          <w:color w:val="000000" w:themeColor="text1"/>
          <w:sz w:val="24"/>
          <w:szCs w:val="28"/>
          <w14:textFill>
            <w14:solidFill>
              <w14:schemeClr w14:val="tx1"/>
            </w14:solidFill>
          </w14:textFill>
        </w:rPr>
      </w:pPr>
      <w:r>
        <w:rPr>
          <w:rFonts w:hint="eastAsia"/>
          <w:color w:val="000000" w:themeColor="text1"/>
          <w:sz w:val="24"/>
          <w:szCs w:val="28"/>
          <w14:textFill>
            <w14:solidFill>
              <w14:schemeClr w14:val="tx1"/>
            </w14:solidFill>
          </w14:textFill>
        </w:rPr>
        <w:t xml:space="preserve">（2）最低照度：彩色：0.0002lx(F=1.0，彩色模式)，能基本分辨被摄目标的轮廓特征和色彩；</w:t>
      </w:r>
      <w:r/>
    </w:p>
    <w:p>
      <w:pPr>
        <w:ind w:firstLine="480"/>
        <w:spacing w:line="360" w:lineRule="auto"/>
        <w:rPr>
          <w:color w:val="000000" w:themeColor="text1"/>
          <w:sz w:val="24"/>
          <w:szCs w:val="28"/>
          <w14:textFill>
            <w14:solidFill>
              <w14:schemeClr w14:val="tx1"/>
            </w14:solidFill>
          </w14:textFill>
        </w:rPr>
      </w:pPr>
      <w:r>
        <w:rPr>
          <w:rFonts w:hint="eastAsia"/>
          <w:color w:val="000000" w:themeColor="text1"/>
          <w:sz w:val="24"/>
          <w:szCs w:val="28"/>
          <w14:textFill>
            <w14:solidFill>
              <w14:schemeClr w14:val="tx1"/>
            </w14:solidFill>
          </w14:textFill>
        </w:rPr>
        <w:t xml:space="preserve">（3）焦距：4mm/6mm定焦镜头可选；F1.0超大光圈；</w:t>
      </w:r>
      <w:r/>
    </w:p>
    <w:p>
      <w:pPr>
        <w:ind w:firstLine="480"/>
        <w:spacing w:line="360" w:lineRule="auto"/>
        <w:rPr>
          <w:color w:val="000000" w:themeColor="text1"/>
          <w:sz w:val="24"/>
          <w:szCs w:val="28"/>
          <w14:textFill>
            <w14:solidFill>
              <w14:schemeClr w14:val="tx1"/>
            </w14:solidFill>
          </w14:textFill>
        </w:rPr>
      </w:pPr>
      <w:r>
        <w:rPr>
          <w:rFonts w:hint="eastAsia"/>
          <w:color w:val="000000" w:themeColor="text1"/>
          <w:sz w:val="24"/>
          <w:szCs w:val="28"/>
          <w14:textFill>
            <w14:solidFill>
              <w14:schemeClr w14:val="tx1"/>
            </w14:solidFill>
          </w14:textFill>
        </w:rPr>
        <w:t xml:space="preserve">（4）应具有不少于4颗白光灯；当环境照度低于一定值时，通过白光灯照射，可基本分辨距离30米处所摄车辆或人体目标的轮廓；当补光灯打开时，补光亮度应均匀，无明显波纹状、圆环状、麻点状、条纹状及不规则亮斑；</w:t>
      </w:r>
      <w:r/>
    </w:p>
    <w:p>
      <w:pPr>
        <w:ind w:firstLine="480"/>
        <w:spacing w:line="360" w:lineRule="auto"/>
        <w:rPr>
          <w:color w:val="000000" w:themeColor="text1"/>
          <w:sz w:val="24"/>
          <w:szCs w:val="28"/>
          <w14:textFill>
            <w14:solidFill>
              <w14:schemeClr w14:val="tx1"/>
            </w14:solidFill>
          </w14:textFill>
        </w:rPr>
      </w:pPr>
      <w:r>
        <w:rPr>
          <w:rFonts w:hint="eastAsia"/>
          <w:color w:val="000000" w:themeColor="text1"/>
          <w:sz w:val="24"/>
          <w:szCs w:val="28"/>
          <w14:textFill>
            <w14:solidFill>
              <w14:schemeClr w14:val="tx1"/>
            </w14:solidFill>
          </w14:textFill>
        </w:rPr>
        <w:t xml:space="preserve">（5）具有1个RJ45网口、1个复位按钮、1路485接口、1对音频输入/输出接口，内置扬声器，内置MIC，内置TF存储接口；支持2路报警输入、1路报警输出；</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（6）在警戒功能界面应支持设置4个场景画面 ；警戒类型应包含周界警戒、拌线警戒和翻墙警戒；警戒模板应包含警戒预案模板、自定义警戒模板；警戒预案模板包含：抓拍并联动白光、抓拍并联动白光、单次警音、抓拍并联动炸裂式多级声光、抓拍并联动渐进式多级声光；自定义警戒模板应能设置三级警戒，每级警戒可联动白光(闪光1次/闪光2次/闪光3次/频闪/常亮)、联动声音、联动开关量输出、联动录像、联动抓拍；</w:t>
      </w:r>
      <w:r>
        <w:rPr>
          <w:color w:val="000000" w:themeColor="text1"/>
          <w:sz w:val="24"/>
          <w:szCs w:val="24"/>
          <w14:textFill>
            <w14:solidFill>
              <w14:schemeClr w14:val="tx1"/>
            </w14:solidFill>
          </w14:textFill>
        </w:rPr>
        <w:t xml:space="preserve"> </w:t>
      </w:r>
      <w:r/>
    </w:p>
    <w:p>
      <w:pPr>
        <w:ind w:firstLine="480"/>
        <w:spacing w:line="360" w:lineRule="auto"/>
        <w:rPr>
          <w:color w:val="000000" w:themeColor="text1"/>
          <w:sz w:val="24"/>
          <w:szCs w:val="28"/>
          <w14:textFill>
            <w14:solidFill>
              <w14:schemeClr w14:val="tx1"/>
            </w14:solidFill>
          </w14:textFill>
        </w:rPr>
      </w:pPr>
      <w:r>
        <w:rPr>
          <w:rFonts w:hint="eastAsia"/>
          <w:color w:val="000000" w:themeColor="text1"/>
          <w:sz w:val="24"/>
          <w:szCs w:val="24"/>
          <w14:textFill>
            <w14:solidFill>
              <w14:schemeClr w14:val="tx1"/>
            </w14:solidFill>
          </w14:textFill>
        </w:rPr>
        <w:t xml:space="preserve">（7）应能根据不同场景(如工频场景、反光场景、背光场景、强光场景、雨天场景、雾天场景、车辆场景、人形场景、夜景场景、飞尘场景)对视频参数(如曝光、白平衡、亮度、饱和度、对比度、噪声、强光抑制、宽动态等)进行自动调整，达到最佳画面果；</w:t>
      </w:r>
      <w:r/>
    </w:p>
    <w:p>
      <w:pPr>
        <w:ind w:firstLine="480"/>
        <w:spacing w:line="360" w:lineRule="auto"/>
        <w:rPr>
          <w:color w:val="000000" w:themeColor="text1"/>
          <w:sz w:val="24"/>
          <w:szCs w:val="28"/>
          <w14:textFill>
            <w14:solidFill>
              <w14:schemeClr w14:val="tx1"/>
            </w14:solidFill>
          </w14:textFill>
        </w:rPr>
      </w:pPr>
      <w:r>
        <w:rPr>
          <w:rFonts w:hint="eastAsia"/>
          <w:color w:val="000000" w:themeColor="text1"/>
          <w:sz w:val="24"/>
          <w:szCs w:val="28"/>
          <w14:textFill>
            <w14:solidFill>
              <w14:schemeClr w14:val="tx1"/>
            </w14:solidFill>
          </w14:textFill>
        </w:rPr>
        <w:t xml:space="preserve">（8）应具有人脸检测、人脸跟踪、人脸抓拍和人形检测功能，人脸抓拍数量1～10张可设 ；应具有人脸全景图片抓拍和人脸特写图片抓拍功能；应支持对同时出现在静态图片中的至少32个人脸目标进行检测并实时叠加人脸框框出人脸；</w:t>
      </w:r>
      <w:r/>
    </w:p>
    <w:p>
      <w:pPr>
        <w:ind w:firstLine="480"/>
        <w:spacing w:line="360" w:lineRule="auto"/>
        <w:rPr>
          <w:color w:val="000000" w:themeColor="text1"/>
          <w:sz w:val="24"/>
          <w:szCs w:val="28"/>
          <w14:textFill>
            <w14:solidFill>
              <w14:schemeClr w14:val="tx1"/>
            </w14:solidFill>
          </w14:textFill>
        </w:rPr>
      </w:pPr>
      <w:r>
        <w:rPr>
          <w:rFonts w:hint="eastAsia"/>
          <w:color w:val="000000" w:themeColor="text1"/>
          <w:sz w:val="24"/>
          <w:szCs w:val="28"/>
          <w14:textFill>
            <w14:solidFill>
              <w14:schemeClr w14:val="tx1"/>
            </w14:solidFill>
          </w14:textFill>
        </w:rPr>
        <w:t xml:space="preserve">（9）应支持对人脸以最优策略、最快速度等方式进行抓拍，支持人脸统计；应支持人脸抓拍，可将人脸抓拍图片分别存储为场景大图和人脸小图，场景大图和人脸小图可关联存储；应支持报警联动人脸抓拍照片上传时间不超过2s；</w:t>
      </w:r>
      <w:r/>
    </w:p>
    <w:p>
      <w:pPr>
        <w:ind w:firstLine="480"/>
        <w:spacing w:line="360" w:lineRule="auto"/>
        <w:rPr>
          <w:color w:val="000000" w:themeColor="text1"/>
          <w:sz w:val="24"/>
          <w:szCs w:val="28"/>
          <w14:textFill>
            <w14:solidFill>
              <w14:schemeClr w14:val="tx1"/>
            </w14:solidFill>
          </w14:textFill>
        </w:rPr>
      </w:pPr>
      <w:r>
        <w:rPr>
          <w:rFonts w:hint="eastAsia"/>
          <w:color w:val="000000" w:themeColor="text1"/>
          <w:sz w:val="24"/>
          <w:szCs w:val="28"/>
          <w14:textFill>
            <w14:solidFill>
              <w14:schemeClr w14:val="tx1"/>
            </w14:solidFill>
          </w14:textFill>
        </w:rPr>
        <w:t xml:space="preserve">（10）人脸抓拍捕获率应≥99%</w:t>
      </w:r>
      <w:r>
        <w:rPr>
          <w:rFonts w:hint="eastAsia"/>
          <w:color w:val="000000" w:themeColor="text1"/>
          <w:sz w:val="24"/>
          <w:szCs w:val="28"/>
          <w14:textFill>
            <w14:solidFill>
              <w14:schemeClr w14:val="tx1"/>
            </w14:solidFill>
          </w14:textFill>
        </w:rPr>
        <w:tab/>
      </w:r>
      <w:r>
        <w:rPr>
          <w:rFonts w:hint="eastAsia"/>
          <w:color w:val="000000" w:themeColor="text1"/>
          <w:sz w:val="24"/>
          <w:szCs w:val="28"/>
          <w14:textFill>
            <w14:solidFill>
              <w14:schemeClr w14:val="tx1"/>
            </w14:solidFill>
          </w14:textFill>
        </w:rPr>
        <w:t xml:space="preserve">；奔跑时人脸抓拍捕获率应＞99%；</w:t>
      </w:r>
      <w:r/>
    </w:p>
    <w:p>
      <w:pPr>
        <w:ind w:firstLine="480"/>
        <w:spacing w:line="360" w:lineRule="auto"/>
        <w:rPr>
          <w:color w:val="000000" w:themeColor="text1"/>
          <w:sz w:val="24"/>
          <w:szCs w:val="28"/>
          <w14:textFill>
            <w14:solidFill>
              <w14:schemeClr w14:val="tx1"/>
            </w14:solidFill>
          </w14:textFill>
        </w:rPr>
      </w:pPr>
      <w:r>
        <w:rPr>
          <w:rFonts w:hint="eastAsia"/>
          <w:color w:val="000000" w:themeColor="text1"/>
          <w:sz w:val="24"/>
          <w:szCs w:val="28"/>
          <w14:textFill>
            <w14:solidFill>
              <w14:schemeClr w14:val="tx1"/>
            </w14:solidFill>
          </w14:textFill>
        </w:rPr>
        <w:t xml:space="preserve">（11）设备的接口协议应符合GB/T 28181-2022的相关要求；应具有GA/T 1400-2017平台接入设置选项；具有Onvif平台接入设置选项；</w:t>
      </w:r>
      <w:r/>
    </w:p>
    <w:p>
      <w:pPr>
        <w:ind w:firstLine="480"/>
        <w:spacing w:line="360" w:lineRule="auto"/>
        <w:rPr>
          <w:color w:val="000000" w:themeColor="text1"/>
          <w:sz w:val="24"/>
          <w:szCs w:val="28"/>
          <w14:textFill>
            <w14:solidFill>
              <w14:schemeClr w14:val="tx1"/>
            </w14:solidFill>
          </w14:textFill>
        </w:rPr>
      </w:pPr>
      <w:r>
        <w:rPr>
          <w:rFonts w:hint="eastAsia"/>
          <w:color w:val="000000" w:themeColor="text1"/>
          <w:sz w:val="24"/>
          <w:szCs w:val="28"/>
          <w14:textFill>
            <w14:solidFill>
              <w14:schemeClr w14:val="tx1"/>
            </w14:solidFill>
          </w14:textFill>
        </w:rPr>
        <w:t xml:space="preserve">（12）应能在DC(12V±25%)的供电条件下正常工作；支持POE供电；支持DC12V反向供电，功耗≤8.5W；</w:t>
      </w:r>
      <w:r/>
    </w:p>
    <w:p>
      <w:pPr>
        <w:ind w:firstLine="480"/>
        <w:spacing w:line="360" w:lineRule="auto"/>
        <w:rPr>
          <w:color w:val="000000" w:themeColor="text1"/>
          <w:sz w:val="24"/>
          <w:szCs w:val="28"/>
          <w14:textFill>
            <w14:solidFill>
              <w14:schemeClr w14:val="tx1"/>
            </w14:solidFill>
          </w14:textFill>
        </w:rPr>
      </w:pPr>
      <w:r>
        <w:rPr>
          <w:rFonts w:hint="eastAsia"/>
          <w:color w:val="000000" w:themeColor="text1"/>
          <w:sz w:val="24"/>
          <w:szCs w:val="28"/>
          <w14:textFill>
            <w14:solidFill>
              <w14:schemeClr w14:val="tx1"/>
            </w14:solidFill>
          </w14:textFill>
        </w:rPr>
        <w:t xml:space="preserve">（13）工作温度：-35℃~+65℃、外壳防护等级≥IP67；</w:t>
      </w:r>
      <w:r/>
    </w:p>
    <w:p>
      <w:pPr>
        <w:ind w:firstLine="480"/>
        <w:spacing w:line="360" w:lineRule="auto"/>
        <w:rPr>
          <w:color w:val="000000" w:themeColor="text1"/>
          <w:sz w:val="24"/>
          <w:szCs w:val="28"/>
          <w14:textFill>
            <w14:solidFill>
              <w14:schemeClr w14:val="tx1"/>
            </w14:solidFill>
          </w14:textFill>
        </w:rPr>
      </w:pPr>
      <w:r>
        <w:rPr>
          <w:rFonts w:hint="eastAsia"/>
          <w:color w:val="000000" w:themeColor="text1"/>
          <w:sz w:val="24"/>
          <w:szCs w:val="28"/>
          <w14:textFill>
            <w14:solidFill>
              <w14:schemeClr w14:val="tx1"/>
            </w14:solidFill>
          </w14:textFill>
        </w:rPr>
        <w:t xml:space="preserve">（14）应支持H.265、H.264(Main Profile 、High Profile、Baseline Profile)视频编码设置；应支持32kbps～16Mbps视频码率可调；</w:t>
      </w:r>
      <w:r/>
    </w:p>
    <w:p>
      <w:pPr>
        <w:ind w:firstLine="480"/>
        <w:spacing w:line="360" w:lineRule="auto"/>
        <w:rPr>
          <w:color w:val="000000" w:themeColor="text1"/>
          <w:sz w:val="24"/>
          <w:szCs w:val="28"/>
          <w14:textFill>
            <w14:solidFill>
              <w14:schemeClr w14:val="tx1"/>
            </w14:solidFill>
          </w14:textFill>
        </w:rPr>
      </w:pPr>
      <w:r>
        <w:rPr>
          <w:rFonts w:hint="eastAsia"/>
          <w:color w:val="000000" w:themeColor="text1"/>
          <w:sz w:val="24"/>
          <w:szCs w:val="28"/>
          <w14:textFill>
            <w14:solidFill>
              <w14:schemeClr w14:val="tx1"/>
            </w14:solidFill>
          </w14:textFill>
        </w:rPr>
        <w:t xml:space="preserve">（15）应支持本机存储，应能将视频图像及抓拍图片(JPG/BMP，默认JPG)存储至TF卡、本地客户端；最大支持512GB TF卡；应支持TF卡热插拔；应支持本地抓拍(存储图像格式JPG/BMP)、本地录像、FTP存储、SFTP存储、NAS存储等；</w:t>
      </w:r>
      <w:r/>
    </w:p>
    <w:p>
      <w:pPr>
        <w:ind w:firstLine="480"/>
        <w:spacing w:line="360" w:lineRule="auto"/>
        <w:rPr>
          <w:color w:val="000000" w:themeColor="text1"/>
          <w:sz w:val="24"/>
          <w:szCs w:val="28"/>
          <w14:textFill>
            <w14:solidFill>
              <w14:schemeClr w14:val="tx1"/>
            </w14:solidFill>
          </w14:textFill>
        </w:rPr>
      </w:pPr>
      <w:r>
        <w:rPr>
          <w:rFonts w:hint="eastAsia"/>
          <w:color w:val="000000" w:themeColor="text1"/>
          <w:sz w:val="24"/>
          <w:szCs w:val="28"/>
          <w14:textFill>
            <w14:solidFill>
              <w14:schemeClr w14:val="tx1"/>
            </w14:solidFill>
          </w14:textFill>
        </w:rPr>
        <w:t xml:space="preserve">（16）断网情况下，抓拍图片应自动存储到本地存储卡，网络恢复后自动上传录像设备存储中；</w:t>
      </w:r>
      <w:r/>
    </w:p>
    <w:p>
      <w:pPr>
        <w:ind w:firstLine="480"/>
        <w:spacing w:line="360" w:lineRule="auto"/>
        <w:rPr>
          <w:color w:val="000000" w:themeColor="text1"/>
          <w:sz w:val="24"/>
          <w:szCs w:val="28"/>
          <w14:textFill>
            <w14:solidFill>
              <w14:schemeClr w14:val="tx1"/>
            </w14:solidFill>
          </w14:textFill>
        </w:rPr>
      </w:pPr>
      <w:r>
        <w:rPr>
          <w:rFonts w:hint="eastAsia"/>
          <w:color w:val="000000" w:themeColor="text1"/>
          <w:sz w:val="24"/>
          <w:szCs w:val="28"/>
          <w14:textFill>
            <w14:solidFill>
              <w14:schemeClr w14:val="tx1"/>
            </w14:solidFill>
          </w14:textFill>
        </w:rPr>
        <w:t xml:space="preserve">（17）同一静止场景相同图像质量下，在H.265编码方式时，开启智能编码功能和不开启智能编码相比，码率应能节约95%以上；</w:t>
      </w:r>
      <w:r/>
    </w:p>
    <w:p>
      <w:pPr>
        <w:ind w:firstLine="480"/>
        <w:spacing w:line="360" w:lineRule="auto"/>
        <w:rPr>
          <w:color w:val="000000" w:themeColor="text1"/>
          <w:sz w:val="24"/>
          <w:szCs w:val="28"/>
          <w14:textFill>
            <w14:solidFill>
              <w14:schemeClr w14:val="tx1"/>
            </w14:solidFill>
          </w14:textFill>
        </w:rPr>
      </w:pPr>
      <w:r>
        <w:rPr>
          <w:rFonts w:hint="eastAsia"/>
          <w:color w:val="000000" w:themeColor="text1"/>
          <w:sz w:val="24"/>
          <w:szCs w:val="28"/>
          <w14:textFill>
            <w14:solidFill>
              <w14:schemeClr w14:val="tx1"/>
            </w14:solidFill>
          </w14:textFill>
        </w:rPr>
        <w:t xml:space="preserve">（18）</w:t>
      </w:r>
      <w:r>
        <w:rPr>
          <w:color w:val="000000" w:themeColor="text1"/>
          <w:sz w:val="24"/>
          <w:szCs w:val="28"/>
          <w14:textFill>
            <w14:solidFill>
              <w14:schemeClr w14:val="tx1"/>
            </w14:solidFill>
          </w14:textFill>
        </w:rPr>
        <w:t xml:space="preserve">支持人车分离、绊线、双绊线、周界、物品遗留、物品丢失、热度图、徘徊、奔跑、停车、人数统计（垂直/画线/区域/队列）、人群聚集、安全帽检测、值岗检测、视频诊断、音频异常侦测。</w:t>
      </w:r>
      <w:r/>
    </w:p>
    <w:p>
      <w:pPr>
        <w:pStyle w:val="669"/>
        <w:spacing w:before="0" w:after="0"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4</w:t>
      </w:r>
      <w:r>
        <w:rPr>
          <w:rFonts w:hint="eastAsia" w:ascii="宋体" w:hAnsi="宋体" w:eastAsia="宋体" w:cs="宋体"/>
          <w:color w:val="000000" w:themeColor="text1"/>
          <w:sz w:val="24"/>
          <w:szCs w:val="24"/>
          <w14:textFill>
            <w14:solidFill>
              <w14:schemeClr w14:val="tx1"/>
            </w14:solidFill>
          </w14:textFill>
        </w:rPr>
        <w:t xml:space="preserve">、</w:t>
      </w:r>
      <w:r>
        <w:rPr>
          <w:rFonts w:ascii="宋体" w:hAnsi="宋体" w:eastAsia="宋体" w:cs="宋体"/>
          <w:color w:val="000000" w:themeColor="text1"/>
          <w:sz w:val="24"/>
          <w:szCs w:val="24"/>
          <w14:textFill>
            <w14:solidFill>
              <w14:schemeClr w14:val="tx1"/>
            </w14:solidFill>
          </w14:textFill>
        </w:rPr>
        <w:t xml:space="preserve">1600万63倍</w:t>
      </w:r>
      <w:r>
        <w:rPr>
          <w:rFonts w:hint="eastAsia" w:ascii="宋体" w:hAnsi="宋体" w:eastAsia="宋体" w:cs="宋体"/>
          <w:color w:val="000000" w:themeColor="text1"/>
          <w:sz w:val="24"/>
          <w:szCs w:val="24"/>
          <w14:textFill>
            <w14:solidFill>
              <w14:schemeClr w14:val="tx1"/>
            </w14:solidFill>
          </w14:textFill>
        </w:rPr>
        <w:t xml:space="preserve">全光谱</w:t>
      </w:r>
      <w:r>
        <w:rPr>
          <w:color w:val="000000" w:themeColor="text1"/>
          <w:sz w:val="24"/>
          <w:szCs w:val="24"/>
          <w14:textFill>
            <w14:solidFill>
              <w14:schemeClr w14:val="tx1"/>
            </w14:solidFill>
          </w14:textFill>
        </w:rPr>
        <w:t xml:space="preserve">AR</w:t>
      </w:r>
      <w:r>
        <w:rPr>
          <w:rFonts w:hint="eastAsia" w:ascii="宋体" w:hAnsi="宋体" w:eastAsia="宋体" w:cs="宋体"/>
          <w:color w:val="000000" w:themeColor="text1"/>
          <w:sz w:val="24"/>
          <w:szCs w:val="24"/>
          <w14:textFill>
            <w14:solidFill>
              <w14:schemeClr w14:val="tx1"/>
            </w14:solidFill>
          </w14:textFill>
        </w:rPr>
        <w:t xml:space="preserve">全景球</w:t>
      </w:r>
      <w:r/>
    </w:p>
    <w:p>
      <w:pPr>
        <w:ind w:firstLine="420"/>
        <w:spacing w:line="360" w:lineRule="auto"/>
        <w:rPr>
          <w:color w:val="000000" w:themeColor="text1"/>
          <w:sz w:val="24"/>
          <w:szCs w:val="28"/>
          <w14:textFill>
            <w14:solidFill>
              <w14:schemeClr w14:val="tx1"/>
            </w14:solidFill>
          </w14:textFill>
        </w:rPr>
      </w:pPr>
      <w:r>
        <w:rPr>
          <w:rFonts w:hint="eastAsia"/>
          <w:color w:val="000000" w:themeColor="text1"/>
          <w14:textFill>
            <w14:solidFill>
              <w14:schemeClr w14:val="tx1"/>
            </w14:solidFill>
          </w14:textFill>
        </w:rPr>
        <w:t xml:space="preserve">（1）</w:t>
      </w:r>
      <w:r>
        <w:rPr>
          <w:rFonts w:hint="eastAsia"/>
          <w:color w:val="000000" w:themeColor="text1"/>
          <w:sz w:val="24"/>
          <w:szCs w:val="28"/>
          <w14:textFill>
            <w14:solidFill>
              <w14:schemeClr w14:val="tx1"/>
            </w14:solidFill>
          </w14:textFill>
        </w:rPr>
        <w:t xml:space="preserve">全景摄像机不低于4个400万像素1/1.8英寸CMOS传感器镜头，分辨率不低于5520×2400；</w:t>
      </w:r>
      <w:r/>
    </w:p>
    <w:p>
      <w:pPr>
        <w:ind w:firstLine="480"/>
        <w:spacing w:line="360" w:lineRule="auto"/>
        <w:rPr>
          <w:color w:val="000000" w:themeColor="text1"/>
          <w:sz w:val="24"/>
          <w:szCs w:val="28"/>
          <w14:textFill>
            <w14:solidFill>
              <w14:schemeClr w14:val="tx1"/>
            </w14:solidFill>
          </w14:textFill>
        </w:rPr>
      </w:pPr>
      <w:r>
        <w:rPr>
          <w:rFonts w:hint="eastAsia"/>
          <w:color w:val="000000" w:themeColor="text1"/>
          <w:sz w:val="24"/>
          <w:szCs w:val="28"/>
          <w14:textFill>
            <w14:solidFill>
              <w14:schemeClr w14:val="tx1"/>
            </w14:solidFill>
          </w14:textFill>
        </w:rPr>
        <w:t xml:space="preserve">（2）特写摄像机不低于1个400万像素1/1.8英寸CMOS传感器镜头，分辨率不低于2560*1440；不低于63倍光学变焦 ，16倍数字变焦；</w:t>
      </w:r>
      <w:r/>
    </w:p>
    <w:p>
      <w:pPr>
        <w:ind w:firstLine="480"/>
        <w:spacing w:line="360" w:lineRule="auto"/>
        <w:rPr>
          <w:color w:val="000000" w:themeColor="text1"/>
          <w:sz w:val="24"/>
          <w:szCs w:val="28"/>
          <w14:textFill>
            <w14:solidFill>
              <w14:schemeClr w14:val="tx1"/>
            </w14:solidFill>
          </w14:textFill>
        </w:rPr>
      </w:pPr>
      <w:r>
        <w:rPr>
          <w:rFonts w:hint="eastAsia"/>
          <w:color w:val="000000" w:themeColor="text1"/>
          <w:sz w:val="24"/>
          <w:szCs w:val="28"/>
          <w14:textFill>
            <w14:solidFill>
              <w14:schemeClr w14:val="tx1"/>
            </w14:solidFill>
          </w14:textFill>
        </w:rPr>
        <w:t xml:space="preserve">（3）全景通道最低照度：彩色：≤0. 0005lx（AGC ON）黑白：≤0. 0001lx（AGC ON）</w:t>
      </w:r>
      <w:r/>
    </w:p>
    <w:p>
      <w:pPr>
        <w:ind w:firstLine="480"/>
        <w:spacing w:line="360" w:lineRule="auto"/>
        <w:rPr>
          <w:color w:val="000000" w:themeColor="text1"/>
          <w:sz w:val="24"/>
          <w:szCs w:val="28"/>
          <w14:textFill>
            <w14:solidFill>
              <w14:schemeClr w14:val="tx1"/>
            </w14:solidFill>
          </w14:textFill>
        </w:rPr>
      </w:pPr>
      <w:r>
        <w:rPr>
          <w:color w:val="000000" w:themeColor="text1"/>
          <w:sz w:val="24"/>
          <w:szCs w:val="24"/>
          <w14:textFill>
            <w14:solidFill>
              <w14:schemeClr w14:val="tx1"/>
            </w14:solidFill>
          </w14:textFill>
        </w:rPr>
        <w:t xml:space="preserve">▲</w:t>
      </w:r>
      <w:r>
        <w:rPr>
          <w:rFonts w:hint="eastAsia"/>
          <w:color w:val="000000" w:themeColor="text1"/>
          <w:sz w:val="24"/>
          <w:szCs w:val="28"/>
          <w14:textFill>
            <w14:solidFill>
              <w14:schemeClr w14:val="tx1"/>
            </w14:solidFill>
          </w14:textFill>
        </w:rPr>
        <w:t xml:space="preserve">（4）设备具有不少于1个1000MRJ45网络接口、1个音频输入接口、1个音频输出接口、1个 RS485接口、1个TF卡槽；支持8路报警输入，2路报警输出；</w:t>
      </w:r>
      <w:r>
        <w:rPr>
          <w:rFonts w:hint="eastAsia"/>
          <w:b/>
          <w:bCs/>
          <w:color w:val="000000" w:themeColor="text1"/>
          <w:sz w:val="24"/>
          <w:szCs w:val="24"/>
          <w14:textFill>
            <w14:solidFill>
              <w14:schemeClr w14:val="tx1"/>
            </w14:solidFill>
          </w14:textFill>
        </w:rPr>
        <w:t xml:space="preserve">（需提供具备CMA认证的检测机构检测报告作为证明材料）</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（5）配合AR实景指挥平台，应支持在摄像机的视频画面中，对监控区域的便民警务站视频标签、建筑物视频标签管理、卡口视频标签、普通视频标签进行标签标注，最多支持标注1000个标签；</w:t>
      </w:r>
      <w:r>
        <w:rPr>
          <w:color w:val="000000" w:themeColor="text1"/>
          <w:sz w:val="24"/>
          <w:szCs w:val="24"/>
          <w14:textFill>
            <w14:solidFill>
              <w14:schemeClr w14:val="tx1"/>
            </w14:solidFill>
          </w14:textFill>
        </w:rPr>
        <w:t xml:space="preserve"> </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（6）配合AR实景指挥平台，应能将视频中的标签叠加在实际场景中，当云台转动或者倍率变动时，标签位置、大小根据场景自适应；</w:t>
      </w:r>
      <w:r>
        <w:rPr>
          <w:color w:val="000000" w:themeColor="text1"/>
          <w:sz w:val="24"/>
          <w:szCs w:val="24"/>
          <w14:textFill>
            <w14:solidFill>
              <w14:schemeClr w14:val="tx1"/>
            </w14:solidFill>
          </w14:textFill>
        </w:rPr>
        <w:t xml:space="preserve"> </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7）配合AR实景指挥平台按标签名称搜索标签时，设备应能触发联动功能，联动转动至选中的标签位置，点击视频中的标签时，应可查看标签内容并对标签关联的相机视频进行预览，点击相机预览窗口可放大该窗口；</w:t>
      </w:r>
      <w:r>
        <w:rPr>
          <w:color w:val="000000" w:themeColor="text1"/>
          <w:sz w:val="24"/>
          <w:szCs w:val="24"/>
          <w14:textFill>
            <w14:solidFill>
              <w14:schemeClr w14:val="tx1"/>
            </w14:solidFill>
          </w14:textFill>
        </w:rPr>
        <w:t xml:space="preserve"> </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8）全景图像应支持不少于3级区域告警级别设置，在不同区域同时有移动目标进入时，设备可优先跟踪级别高的区域内的移动目标，告警区域最大可包含全部监控画面，可选择是否显示告警区域边框及告警提示信息；</w:t>
      </w:r>
      <w:r/>
    </w:p>
    <w:p>
      <w:pPr>
        <w:ind w:firstLine="480"/>
        <w:spacing w:line="360" w:lineRule="auto"/>
        <w:rPr>
          <w:color w:val="000000" w:themeColor="text1"/>
          <w:sz w:val="24"/>
          <w:szCs w:val="28"/>
          <w14:textFill>
            <w14:solidFill>
              <w14:schemeClr w14:val="tx1"/>
            </w14:solidFill>
          </w14:textFill>
        </w:rPr>
      </w:pPr>
      <w:r>
        <w:rPr>
          <w:rFonts w:hint="eastAsia"/>
          <w:color w:val="000000" w:themeColor="text1"/>
          <w:sz w:val="24"/>
          <w:szCs w:val="28"/>
          <w14:textFill>
            <w14:solidFill>
              <w14:schemeClr w14:val="tx1"/>
            </w14:solidFill>
          </w14:textFill>
        </w:rPr>
        <w:t xml:space="preserve">（9）应能通过IE浏览器对全景画面进行上下左右不同方位的畸变调整；</w:t>
      </w:r>
      <w:r/>
    </w:p>
    <w:p>
      <w:pPr>
        <w:ind w:firstLine="480"/>
        <w:spacing w:line="360" w:lineRule="auto"/>
        <w:rPr>
          <w:color w:val="000000" w:themeColor="text1"/>
          <w:sz w:val="24"/>
          <w:szCs w:val="28"/>
          <w14:textFill>
            <w14:solidFill>
              <w14:schemeClr w14:val="tx1"/>
            </w14:solidFill>
          </w14:textFill>
        </w:rPr>
      </w:pPr>
      <w:r>
        <w:rPr>
          <w:rFonts w:hint="eastAsia"/>
          <w:color w:val="000000" w:themeColor="text1"/>
          <w:sz w:val="24"/>
          <w:szCs w:val="28"/>
          <w14:textFill>
            <w14:solidFill>
              <w14:schemeClr w14:val="tx1"/>
            </w14:solidFill>
          </w14:textFill>
        </w:rPr>
        <w:t xml:space="preserve">（10）全景通道应支持周界、绊线、双绊线、热度图等智能分析功能；特写通道应支持绊线、双绊线、周界、物品遗留、物品丢失、徘徊、奔跑、停车、人数统计、人群聚集、值岗检测、安全帽检测、车牌识别、烟火检测等智能分析功能；</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（11）应支持红蓝光灯警戒，亮度可调，应具有手动／自动开启功能；设备应内置绿色警戒激光器，应可手动开启／关闭，开启时可以在目标表面看到激光点并在空气中看到激光柱；</w:t>
      </w:r>
      <w:r>
        <w:rPr>
          <w:color w:val="000000" w:themeColor="text1"/>
          <w:sz w:val="24"/>
          <w:szCs w:val="24"/>
          <w14:textFill>
            <w14:solidFill>
              <w14:schemeClr w14:val="tx1"/>
            </w14:solidFill>
          </w14:textFill>
        </w:rPr>
        <w:t xml:space="preserve"> </w:t>
      </w:r>
      <w:r/>
    </w:p>
    <w:p>
      <w:pPr>
        <w:ind w:firstLine="480"/>
        <w:spacing w:line="360" w:lineRule="auto"/>
        <w:rPr>
          <w:color w:val="000000" w:themeColor="text1"/>
          <w:sz w:val="24"/>
          <w:szCs w:val="28"/>
          <w14:textFill>
            <w14:solidFill>
              <w14:schemeClr w14:val="tx1"/>
            </w14:solidFill>
          </w14:textFill>
        </w:rPr>
      </w:pPr>
      <w:r>
        <w:rPr>
          <w:rFonts w:hint="eastAsia"/>
          <w:color w:val="000000" w:themeColor="text1"/>
          <w:sz w:val="24"/>
          <w:szCs w:val="28"/>
          <w14:textFill>
            <w14:solidFill>
              <w14:schemeClr w14:val="tx1"/>
            </w14:solidFill>
          </w14:textFill>
        </w:rPr>
        <w:t xml:space="preserve">（12）在IE浏览器下，应具有感兴趣区域设置选项，主码流，子码流，三码流分别可设置 8个感兴趣区域，支持人脸，车牌，智能行为分析的感兴趣区域(ROI)设置；</w:t>
      </w:r>
      <w:r/>
    </w:p>
    <w:p>
      <w:pPr>
        <w:ind w:firstLine="480"/>
        <w:spacing w:line="360" w:lineRule="auto"/>
        <w:rPr>
          <w:color w:val="000000" w:themeColor="text1"/>
          <w:sz w:val="24"/>
          <w:szCs w:val="28"/>
          <w14:textFill>
            <w14:solidFill>
              <w14:schemeClr w14:val="tx1"/>
            </w14:solidFill>
          </w14:textFill>
        </w:rPr>
      </w:pPr>
      <w:r>
        <w:rPr>
          <w:rFonts w:hint="eastAsia"/>
          <w:color w:val="000000" w:themeColor="text1"/>
          <w:sz w:val="24"/>
          <w:szCs w:val="28"/>
          <w14:textFill>
            <w14:solidFill>
              <w14:schemeClr w14:val="tx1"/>
            </w14:solidFill>
          </w14:textFill>
        </w:rPr>
        <w:t xml:space="preserve">（13）应能在监视画面上设置遮盖的区域，区域的个数、大小、位置可设置，每个区域可以设置不同的颜色或马赛克；特写通道最多可设置24个区域，全景通多最多可设置8个区域；</w:t>
      </w:r>
      <w:r/>
    </w:p>
    <w:p>
      <w:pPr>
        <w:ind w:firstLine="480"/>
        <w:spacing w:line="360" w:lineRule="auto"/>
        <w:rPr>
          <w:color w:val="000000" w:themeColor="text1"/>
          <w:sz w:val="24"/>
          <w:szCs w:val="28"/>
          <w14:textFill>
            <w14:solidFill>
              <w14:schemeClr w14:val="tx1"/>
            </w14:solidFill>
          </w14:textFill>
        </w:rPr>
      </w:pPr>
      <w:r>
        <w:rPr>
          <w:rFonts w:hint="eastAsia"/>
          <w:color w:val="000000" w:themeColor="text1"/>
          <w:sz w:val="24"/>
          <w:szCs w:val="28"/>
          <w14:textFill>
            <w14:solidFill>
              <w14:schemeClr w14:val="tx1"/>
            </w14:solidFill>
          </w14:textFill>
        </w:rPr>
        <w:t xml:space="preserve">（14）应支持通过预置位巡航实现多区域抓拍，每个预置位停留时候可进行抓拍；</w:t>
      </w:r>
      <w:r/>
    </w:p>
    <w:p>
      <w:pPr>
        <w:ind w:firstLine="480"/>
        <w:spacing w:line="360" w:lineRule="auto"/>
        <w:rPr>
          <w:color w:val="000000" w:themeColor="text1"/>
          <w:sz w:val="24"/>
          <w:szCs w:val="28"/>
          <w14:textFill>
            <w14:solidFill>
              <w14:schemeClr w14:val="tx1"/>
            </w14:solidFill>
          </w14:textFill>
        </w:rPr>
      </w:pPr>
      <w:r>
        <w:rPr>
          <w:rFonts w:hint="eastAsia"/>
          <w:color w:val="000000" w:themeColor="text1"/>
          <w:sz w:val="24"/>
          <w:szCs w:val="28"/>
          <w14:textFill>
            <w14:solidFill>
              <w14:schemeClr w14:val="tx1"/>
            </w14:solidFill>
          </w14:textFill>
        </w:rPr>
        <w:t xml:space="preserve">（15）应支持不少于10种预设报警语音功能；支持不少于25种自定义报警音功能；应能通过IE浏览器、手机APP、NVR等设置自定义报警语音并上传；</w:t>
      </w:r>
      <w:r/>
    </w:p>
    <w:p>
      <w:pPr>
        <w:ind w:firstLine="480"/>
        <w:spacing w:line="360" w:lineRule="auto"/>
        <w:rPr>
          <w:color w:val="000000" w:themeColor="text1"/>
          <w:sz w:val="24"/>
          <w:szCs w:val="28"/>
          <w14:textFill>
            <w14:solidFill>
              <w14:schemeClr w14:val="tx1"/>
            </w14:solidFill>
          </w14:textFill>
        </w:rPr>
      </w:pPr>
      <w:r>
        <w:rPr>
          <w:rFonts w:hint="eastAsia"/>
          <w:color w:val="000000" w:themeColor="text1"/>
          <w:sz w:val="24"/>
          <w:szCs w:val="28"/>
          <w14:textFill>
            <w14:solidFill>
              <w14:schemeClr w14:val="tx1"/>
            </w14:solidFill>
          </w14:textFill>
        </w:rPr>
        <w:t xml:space="preserve">（16）应支持设置警戒区域后可检测进入警戒区域的人或车辆，并放大变倍获取目标细节；应支持设置通过白光闪烁、语音警告、激光警戒跟踪实现多级警戒，激光点可以跟随目标移动；</w:t>
      </w:r>
      <w:r/>
    </w:p>
    <w:p>
      <w:pPr>
        <w:ind w:firstLine="480"/>
        <w:spacing w:line="360" w:lineRule="auto"/>
        <w:rPr>
          <w:color w:val="000000" w:themeColor="text1"/>
          <w:sz w:val="24"/>
          <w:szCs w:val="28"/>
          <w14:textFill>
            <w14:solidFill>
              <w14:schemeClr w14:val="tx1"/>
            </w14:solidFill>
          </w14:textFill>
        </w:rPr>
      </w:pPr>
      <w:r>
        <w:rPr>
          <w:rFonts w:hint="eastAsia"/>
          <w:color w:val="000000" w:themeColor="text1"/>
          <w:sz w:val="24"/>
          <w:szCs w:val="28"/>
          <w14:textFill>
            <w14:solidFill>
              <w14:schemeClr w14:val="tx1"/>
            </w14:solidFill>
          </w14:textFill>
        </w:rPr>
        <w:t xml:space="preserve">（17）宽动态应≥120dB；</w:t>
      </w:r>
      <w:r/>
    </w:p>
    <w:p>
      <w:pPr>
        <w:ind w:firstLine="480"/>
        <w:spacing w:line="360" w:lineRule="auto"/>
        <w:rPr>
          <w:color w:val="000000" w:themeColor="text1"/>
          <w:sz w:val="24"/>
          <w:szCs w:val="28"/>
          <w14:textFill>
            <w14:solidFill>
              <w14:schemeClr w14:val="tx1"/>
            </w14:solidFill>
          </w14:textFill>
        </w:rPr>
      </w:pPr>
      <w:r>
        <w:rPr>
          <w:rFonts w:hint="eastAsia"/>
          <w:color w:val="000000" w:themeColor="text1"/>
          <w:sz w:val="24"/>
          <w:szCs w:val="28"/>
          <w14:textFill>
            <w14:solidFill>
              <w14:schemeClr w14:val="tx1"/>
            </w14:solidFill>
          </w14:textFill>
        </w:rPr>
        <w:t xml:space="preserve">（18）水平手控最大速度不小于200°/s，云台定位精准度应≤0.1°；</w:t>
      </w:r>
      <w:r/>
    </w:p>
    <w:p>
      <w:pPr>
        <w:ind w:firstLine="480"/>
        <w:spacing w:line="360" w:lineRule="auto"/>
        <w:rPr>
          <w:color w:val="000000" w:themeColor="text1"/>
          <w:sz w:val="24"/>
          <w:szCs w:val="28"/>
          <w14:textFill>
            <w14:solidFill>
              <w14:schemeClr w14:val="tx1"/>
            </w14:solidFill>
          </w14:textFill>
        </w:rPr>
      </w:pPr>
      <w:r>
        <w:rPr>
          <w:rFonts w:hint="eastAsia"/>
          <w:color w:val="000000" w:themeColor="text1"/>
          <w:sz w:val="24"/>
          <w:szCs w:val="28"/>
          <w14:textFill>
            <w14:solidFill>
              <w14:schemeClr w14:val="tx1"/>
            </w14:solidFill>
          </w14:textFill>
        </w:rPr>
        <w:t xml:space="preserve">（19）应支持水平360度连续旋转，垂直方向－21°到90°旋转设置；</w:t>
      </w:r>
      <w:r/>
    </w:p>
    <w:p>
      <w:pPr>
        <w:ind w:firstLine="480"/>
        <w:spacing w:line="360" w:lineRule="auto"/>
        <w:rPr>
          <w:color w:val="000000" w:themeColor="text1"/>
          <w:sz w:val="24"/>
          <w:szCs w:val="28"/>
          <w14:textFill>
            <w14:solidFill>
              <w14:schemeClr w14:val="tx1"/>
            </w14:solidFill>
          </w14:textFill>
        </w:rPr>
      </w:pPr>
      <w:r>
        <w:rPr>
          <w:rFonts w:hint="eastAsia"/>
          <w:color w:val="000000" w:themeColor="text1"/>
          <w:sz w:val="24"/>
          <w:szCs w:val="28"/>
          <w14:textFill>
            <w14:solidFill>
              <w14:schemeClr w14:val="tx1"/>
            </w14:solidFill>
          </w14:textFill>
        </w:rPr>
        <w:t xml:space="preserve">（20）全景通道图像拼接后：水平视场角应≥180°;垂直视场角应≥85°；</w:t>
      </w:r>
      <w:r/>
    </w:p>
    <w:p>
      <w:pPr>
        <w:ind w:firstLine="480"/>
        <w:spacing w:line="360" w:lineRule="auto"/>
        <w:rPr>
          <w:color w:val="000000" w:themeColor="text1"/>
          <w:sz w:val="24"/>
          <w:szCs w:val="28"/>
          <w14:textFill>
            <w14:solidFill>
              <w14:schemeClr w14:val="tx1"/>
            </w14:solidFill>
          </w14:textFill>
        </w:rPr>
      </w:pPr>
      <w:r>
        <w:rPr>
          <w:rFonts w:hint="eastAsia"/>
          <w:color w:val="000000" w:themeColor="text1"/>
          <w:sz w:val="24"/>
          <w:szCs w:val="28"/>
          <w14:textFill>
            <w14:solidFill>
              <w14:schemeClr w14:val="tx1"/>
            </w14:solidFill>
          </w14:textFill>
        </w:rPr>
        <w:t xml:space="preserve">（21）在IE浏览器下，应具有H.265、H.264、MJPEG设置选项，可将H.264格式设置为Baseline、Main/High Profile；</w:t>
      </w:r>
      <w:r/>
    </w:p>
    <w:p>
      <w:pPr>
        <w:ind w:firstLine="480"/>
        <w:spacing w:line="360" w:lineRule="auto"/>
        <w:rPr>
          <w:color w:val="000000" w:themeColor="text1"/>
          <w:sz w:val="24"/>
          <w:szCs w:val="28"/>
          <w14:textFill>
            <w14:solidFill>
              <w14:schemeClr w14:val="tx1"/>
            </w14:solidFill>
          </w14:textFill>
        </w:rPr>
      </w:pPr>
      <w:r>
        <w:rPr>
          <w:rFonts w:hint="eastAsia"/>
          <w:color w:val="000000" w:themeColor="text1"/>
          <w:sz w:val="24"/>
          <w:szCs w:val="28"/>
          <w14:textFill>
            <w14:solidFill>
              <w14:schemeClr w14:val="tx1"/>
            </w14:solidFill>
          </w14:textFill>
        </w:rPr>
        <w:t xml:space="preserve">（22）特写通道抓拍图片分辨率应≥2560×1440;全景通道抓拍图片分辨率应≥5520×2400；</w:t>
      </w:r>
      <w:r/>
    </w:p>
    <w:p>
      <w:pPr>
        <w:ind w:firstLine="480"/>
        <w:spacing w:line="360" w:lineRule="auto"/>
        <w:rPr>
          <w:color w:val="000000" w:themeColor="text1"/>
          <w:sz w:val="24"/>
          <w:szCs w:val="28"/>
          <w14:textFill>
            <w14:solidFill>
              <w14:schemeClr w14:val="tx1"/>
            </w14:solidFill>
          </w14:textFill>
        </w:rPr>
      </w:pPr>
      <w:r>
        <w:rPr>
          <w:rFonts w:hint="eastAsia"/>
          <w:color w:val="000000" w:themeColor="text1"/>
          <w:sz w:val="24"/>
          <w:szCs w:val="28"/>
          <w14:textFill>
            <w14:solidFill>
              <w14:schemeClr w14:val="tx1"/>
            </w14:solidFill>
          </w14:textFill>
        </w:rPr>
        <w:t xml:space="preserve">（23）同一静止场景相同图像质量下，设备通过H.264或H.265编码时，开启智能编码功能和不开启智能编码相比，码率应可降低至少90%；</w:t>
      </w:r>
      <w:r/>
    </w:p>
    <w:p>
      <w:pPr>
        <w:ind w:firstLine="480"/>
        <w:spacing w:line="360" w:lineRule="auto"/>
        <w:rPr>
          <w:color w:val="000000" w:themeColor="text1"/>
          <w:sz w:val="24"/>
          <w:szCs w:val="28"/>
          <w14:textFill>
            <w14:solidFill>
              <w14:schemeClr w14:val="tx1"/>
            </w14:solidFill>
          </w14:textFill>
        </w:rPr>
      </w:pPr>
      <w:r>
        <w:rPr>
          <w:rFonts w:hint="eastAsia"/>
          <w:color w:val="000000" w:themeColor="text1"/>
          <w:sz w:val="24"/>
          <w:szCs w:val="28"/>
          <w14:textFill>
            <w14:solidFill>
              <w14:schemeClr w14:val="tx1"/>
            </w14:solidFill>
          </w14:textFill>
        </w:rPr>
        <w:t xml:space="preserve">（24）应具有数字降噪、强光抑制、自动增益、逆光补偿功能；</w:t>
      </w:r>
      <w:r/>
    </w:p>
    <w:p>
      <w:pPr>
        <w:ind w:firstLine="480"/>
        <w:spacing w:line="360" w:lineRule="auto"/>
        <w:rPr>
          <w:color w:val="000000" w:themeColor="text1"/>
          <w:sz w:val="24"/>
          <w:szCs w:val="28"/>
          <w14:textFill>
            <w14:solidFill>
              <w14:schemeClr w14:val="tx1"/>
            </w14:solidFill>
          </w14:textFill>
        </w:rPr>
      </w:pPr>
      <w:r>
        <w:rPr>
          <w:rFonts w:hint="eastAsia"/>
          <w:color w:val="000000" w:themeColor="text1"/>
          <w:sz w:val="24"/>
          <w:szCs w:val="28"/>
          <w14:textFill>
            <w14:solidFill>
              <w14:schemeClr w14:val="tx1"/>
            </w14:solidFill>
          </w14:textFill>
        </w:rPr>
        <w:t xml:space="preserve">（25）应支持手动或自动开启／关闭红外灯；当环境照度低于一定值时，通过红外灯照射，应可基本分辨距离800米处所摄建筑物目标的轮廓和状态；</w:t>
      </w:r>
      <w:r/>
    </w:p>
    <w:p>
      <w:pPr>
        <w:ind w:firstLine="480"/>
        <w:spacing w:line="360" w:lineRule="auto"/>
        <w:rPr>
          <w:color w:val="000000" w:themeColor="text1"/>
          <w:sz w:val="24"/>
          <w:szCs w:val="28"/>
          <w14:textFill>
            <w14:solidFill>
              <w14:schemeClr w14:val="tx1"/>
            </w14:solidFill>
          </w14:textFill>
        </w:rPr>
      </w:pPr>
      <w:r>
        <w:rPr>
          <w:rFonts w:hint="eastAsia"/>
          <w:color w:val="000000" w:themeColor="text1"/>
          <w:sz w:val="24"/>
          <w:szCs w:val="28"/>
          <w14:textFill>
            <w14:solidFill>
              <w14:schemeClr w14:val="tx1"/>
            </w14:solidFill>
          </w14:textFill>
        </w:rPr>
        <w:t xml:space="preserve">（26）应具有自动检测雨量感应功能，当检测到雨量后，应能自动开启雨刷功能；</w:t>
      </w:r>
      <w:r/>
    </w:p>
    <w:p>
      <w:pPr>
        <w:ind w:firstLine="480"/>
        <w:spacing w:line="360" w:lineRule="auto"/>
        <w:rPr>
          <w:color w:val="000000" w:themeColor="text1"/>
          <w:sz w:val="24"/>
          <w:szCs w:val="28"/>
          <w14:textFill>
            <w14:solidFill>
              <w14:schemeClr w14:val="tx1"/>
            </w14:solidFill>
          </w14:textFill>
        </w:rPr>
      </w:pPr>
      <w:r>
        <w:rPr>
          <w:rFonts w:hint="eastAsia"/>
          <w:color w:val="000000" w:themeColor="text1"/>
          <w:sz w:val="24"/>
          <w:szCs w:val="28"/>
          <w14:textFill>
            <w14:solidFill>
              <w14:schemeClr w14:val="tx1"/>
            </w14:solidFill>
          </w14:textFill>
        </w:rPr>
        <w:t xml:space="preserve">（27）应能将视频图像存储至Micro SD卡或本地；支持断网续传；最大支持512G,支持SD卡热插拔；</w:t>
      </w:r>
      <w:r/>
    </w:p>
    <w:p>
      <w:pPr>
        <w:ind w:firstLine="480"/>
        <w:spacing w:line="360" w:lineRule="auto"/>
        <w:rPr>
          <w:color w:val="000000" w:themeColor="text1"/>
          <w:sz w:val="24"/>
          <w:szCs w:val="28"/>
          <w14:textFill>
            <w14:solidFill>
              <w14:schemeClr w14:val="tx1"/>
            </w14:solidFill>
          </w14:textFill>
        </w:rPr>
      </w:pPr>
      <w:r>
        <w:rPr>
          <w:rFonts w:hint="eastAsia"/>
          <w:color w:val="000000" w:themeColor="text1"/>
          <w:sz w:val="24"/>
          <w:szCs w:val="28"/>
          <w14:textFill>
            <w14:solidFill>
              <w14:schemeClr w14:val="tx1"/>
            </w14:solidFill>
          </w14:textFill>
        </w:rPr>
        <w:t xml:space="preserve">（28）应能在DC(36V±15%)的供电条件下正常工作；</w:t>
      </w:r>
      <w:r/>
    </w:p>
    <w:p>
      <w:pPr>
        <w:ind w:firstLine="480"/>
        <w:spacing w:line="360" w:lineRule="auto"/>
        <w:rPr>
          <w:color w:val="000000" w:themeColor="text1"/>
          <w:sz w:val="24"/>
          <w:szCs w:val="28"/>
          <w14:textFill>
            <w14:solidFill>
              <w14:schemeClr w14:val="tx1"/>
            </w14:solidFill>
          </w14:textFill>
        </w:rPr>
      </w:pPr>
      <w:r>
        <w:rPr>
          <w:rFonts w:hint="eastAsia"/>
          <w:color w:val="000000" w:themeColor="text1"/>
          <w:sz w:val="24"/>
          <w:szCs w:val="28"/>
          <w14:textFill>
            <w14:solidFill>
              <w14:schemeClr w14:val="tx1"/>
            </w14:solidFill>
          </w14:textFill>
        </w:rPr>
        <w:t xml:space="preserve">（29）外壳防护等级应≥IP66。</w:t>
      </w:r>
      <w:r/>
    </w:p>
    <w:p>
      <w:pPr>
        <w:pStyle w:val="669"/>
        <w:spacing w:before="0" w:after="0"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5</w:t>
      </w:r>
      <w:r>
        <w:rPr>
          <w:rFonts w:hint="eastAsia" w:ascii="宋体" w:hAnsi="宋体" w:eastAsia="宋体" w:cs="宋体"/>
          <w:color w:val="000000" w:themeColor="text1"/>
          <w:sz w:val="24"/>
          <w:szCs w:val="24"/>
          <w14:textFill>
            <w14:solidFill>
              <w14:schemeClr w14:val="tx1"/>
            </w14:solidFill>
          </w14:textFill>
        </w:rPr>
        <w:t xml:space="preserve">、硬盘录像机</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（1）应支持接入1TB、2TB、3TB、4TB、6TB、8TB、10TB容量的SATA接口硬盘；应支持接入SSD固态硬盘；具有不少于8个SATA硬盘接口；</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（2）最大支持接入不少于32路视频信号；</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（3）接入带宽160Mbps，转发带宽80Mbps；</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4）支持解码不少于2路分辨率为3840×2160格式的视频图像或4路分辨率为2560×1440格式的视频图像或8路分辨率为1920×l080格式的视频图像或16路分辨率为1280×720格式的视频图像或20路分辨率为704×576格式的视频图像。应能自适应显示器分辨率进行图像显示；</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5）应支持以1/16、1/8、1/4、1/2、1、2、4、8、16、32、64、128、256、512倍速回放录像；可支持单路倒放或同时支持正放不少于2路4K、25fps格式的视频图像或4路4M、25fps格式的视频图像或8路1080p、25fps格式的视频图像或16路720p、25fps格式的视频图像或16路4CIF、25fps格式的视频图像；</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（6）应支持接入编码格式为H.264、H.265的视频图像；应支持通过Onvif、GB/T 28181协议接入平台；</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7）应具有不少于2个千兆以太网口，1个前置USB2.0接口，1个后置USB3.0接口，1个HDMI接口，1个VGA接口，1路3.5mm音频输入，1路3.5mm音频输出，2个RS-485控制接口，1个RS-232调试接口，16路报警输入接口，4路报警输出接口，1个eSATA接口，应具有内置风扇；</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（8）应支持将接入的图像以多画面分割方式显示，可分割为1/2/3/4/5/6/7/8/9/10/12/13/16/20/25/32个画面；</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（9）应具有TCP、UDP、HTTP、MUC、UPnP、DHCP、PPPoE、DDNS、NFS、FTP、NTP、RTSP、SMTP、HTTPS、SNMP、SADP、IPV6协议设置选项；</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10）采用自动分段记录格式时，相邻两段间最大记录间隔时间应≤0.4s；对于记录在存储介质上的视(音)频信息，取出的存储介质应能在同型号的其他设备上正常回放，以保证设备发生故障后记录资料的留存(或复制)；复制后的视(音)频信号，应能在通用 设备上回放，并不易被篡改；</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（11）视音频信号的失步时间应≤1s；</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（12）应能一键添加不同网段的前端摄像机；</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（13）应支持接入音频编码格式为G.711 A-law、G.711 μ-law、ADPCM_DIV4、AAC的IPC；</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（14）应支持接入NVR设备，并可选择通道进行添加；</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（15）应支持自动识别硬盘容盘，可查看硬盘组的总容量；应支持硬盘检测功能，可对硬盘进行S.M.A.R.T检测、坏道检测、健康状态检测（能检测硬盘的温度、震动、SATA链路的健康状态）；</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（16）应支持盘组配置，存储录像时只对工作盘进行读写，可设置未进行读写操作的硬盘自动处于休眠状态；</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（17）应在AC(220±10%)V电压范围内正常工作；应能在-10℃~+55℃温度范围内正常工作。</w:t>
      </w:r>
      <w:r/>
    </w:p>
    <w:p>
      <w:pPr>
        <w:pStyle w:val="669"/>
        <w:spacing w:before="0" w:after="0"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6</w:t>
      </w:r>
      <w:r>
        <w:rPr>
          <w:rFonts w:hint="eastAsia" w:ascii="宋体" w:hAnsi="宋体" w:eastAsia="宋体" w:cs="宋体"/>
          <w:color w:val="000000" w:themeColor="text1"/>
          <w:sz w:val="24"/>
          <w:szCs w:val="24"/>
          <w14:textFill>
            <w14:solidFill>
              <w14:schemeClr w14:val="tx1"/>
            </w14:solidFill>
          </w14:textFill>
        </w:rPr>
        <w:t xml:space="preserve">、</w:t>
      </w:r>
      <w:r>
        <w:rPr>
          <w:rFonts w:ascii="宋体" w:hAnsi="宋体" w:eastAsia="宋体" w:cs="宋体"/>
          <w:color w:val="000000" w:themeColor="text1"/>
          <w:sz w:val="24"/>
          <w:szCs w:val="24"/>
          <w14:textFill>
            <w14:solidFill>
              <w14:schemeClr w14:val="tx1"/>
            </w14:solidFill>
          </w14:textFill>
        </w:rPr>
        <w:t xml:space="preserve">AR智慧</w:t>
      </w:r>
      <w:r>
        <w:rPr>
          <w:rFonts w:hint="eastAsia" w:ascii="宋体" w:hAnsi="宋体" w:eastAsia="宋体" w:cs="宋体"/>
          <w:color w:val="000000" w:themeColor="text1"/>
          <w:sz w:val="24"/>
          <w:szCs w:val="24"/>
          <w14:textFill>
            <w14:solidFill>
              <w14:schemeClr w14:val="tx1"/>
            </w14:solidFill>
          </w14:textFill>
        </w:rPr>
        <w:t xml:space="preserve">管理一体机</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w:t>
      </w:r>
      <w:r>
        <w:rPr>
          <w:color w:val="000000" w:themeColor="text1"/>
          <w:sz w:val="24"/>
          <w:szCs w:val="24"/>
          <w14:textFill>
            <w14:solidFill>
              <w14:schemeClr w14:val="tx1"/>
            </w14:solidFill>
          </w14:textFill>
        </w:rPr>
        <w:t xml:space="preserve">1</w:t>
      </w:r>
      <w:r>
        <w:rPr>
          <w:rFonts w:hint="eastAsia"/>
          <w:color w:val="000000" w:themeColor="text1"/>
          <w:sz w:val="24"/>
          <w:szCs w:val="24"/>
          <w14:textFill>
            <w14:solidFill>
              <w14:schemeClr w14:val="tx1"/>
            </w14:solidFill>
          </w14:textFill>
        </w:rPr>
        <w:t xml:space="preserve">）处理器不低于4核4线程，主频≥3.6GHz，标配32GB（4*8GB）DDR4 3200MHz，共4个DDR4内存插槽，整机容量最高支持扩容至64GB。</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（2）支持4个千兆以太网口（RJ45），2个HDMI接口，2个RS-485接口，1个RS-232接口，8路报警输入，4路报警输出，2个前置USB2.0接口，2个后置USB3.0接口；</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（3）支持通过前置面板接入8块硬盘，支持监控盘和企业级硬盘，可对接入平台的视频及图片进行存储，标配一块4T企业级硬盘；</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（4）内置AR实景指挥平台软件：</w:t>
      </w:r>
      <w:r/>
    </w:p>
    <w:p>
      <w:pPr>
        <w:ind w:firstLine="48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1</w:t>
      </w:r>
      <w:r>
        <w:rPr>
          <w:rFonts w:hint="eastAsia"/>
          <w:color w:val="000000" w:themeColor="text1"/>
          <w:sz w:val="24"/>
          <w:szCs w:val="24"/>
          <w14:textFill>
            <w14:solidFill>
              <w14:schemeClr w14:val="tx1"/>
            </w14:solidFill>
          </w14:textFill>
        </w:rPr>
        <w:t xml:space="preserve">）具备管理、存储、解码、转发功能，可管理50路视频通道；</w:t>
      </w:r>
      <w:r/>
    </w:p>
    <w:p>
      <w:pPr>
        <w:ind w:firstLine="48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2</w:t>
      </w:r>
      <w:r>
        <w:rPr>
          <w:rFonts w:hint="eastAsia"/>
          <w:color w:val="000000" w:themeColor="text1"/>
          <w:sz w:val="24"/>
          <w:szCs w:val="24"/>
          <w14:textFill>
            <w14:solidFill>
              <w14:schemeClr w14:val="tx1"/>
            </w14:solidFill>
          </w14:textFill>
        </w:rPr>
        <w:t xml:space="preserve">）国产操作系统，全中文WEB管理界面；</w:t>
      </w:r>
      <w:r/>
    </w:p>
    <w:p>
      <w:pPr>
        <w:ind w:firstLine="48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3</w:t>
      </w:r>
      <w:r>
        <w:rPr>
          <w:rFonts w:hint="eastAsia"/>
          <w:color w:val="000000" w:themeColor="text1"/>
          <w:sz w:val="24"/>
          <w:szCs w:val="24"/>
          <w14:textFill>
            <w14:solidFill>
              <w14:schemeClr w14:val="tx1"/>
            </w14:solidFill>
          </w14:textFill>
        </w:rPr>
        <w:t xml:space="preserve">）可对水利设备、车闸、硬盘录像机、集中存储等设备进行管理；</w:t>
      </w:r>
      <w:r/>
    </w:p>
    <w:p>
      <w:pPr>
        <w:ind w:firstLine="48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4</w:t>
      </w:r>
      <w:r>
        <w:rPr>
          <w:rFonts w:hint="eastAsia"/>
          <w:color w:val="000000" w:themeColor="text1"/>
          <w:sz w:val="24"/>
          <w:szCs w:val="24"/>
          <w14:textFill>
            <w14:solidFill>
              <w14:schemeClr w14:val="tx1"/>
            </w14:solidFill>
          </w14:textFill>
        </w:rPr>
        <w:t xml:space="preserve">）支持NTP时间同步功能设置；</w:t>
      </w:r>
      <w:r/>
    </w:p>
    <w:p>
      <w:pPr>
        <w:ind w:firstLine="48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5</w:t>
      </w:r>
      <w:r>
        <w:rPr>
          <w:rFonts w:hint="eastAsia"/>
          <w:color w:val="000000" w:themeColor="text1"/>
          <w:sz w:val="24"/>
          <w:szCs w:val="24"/>
          <w14:textFill>
            <w14:solidFill>
              <w14:schemeClr w14:val="tx1"/>
            </w14:solidFill>
          </w14:textFill>
        </w:rPr>
        <w:t xml:space="preserve">）采用可视化管理，在WEB界面上可以对磁盘、RAID组等进行配置操作和状态监控；</w:t>
      </w:r>
      <w:r/>
    </w:p>
    <w:p>
      <w:pPr>
        <w:ind w:firstLine="48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6</w:t>
      </w:r>
      <w:r>
        <w:rPr>
          <w:rFonts w:hint="eastAsia"/>
          <w:color w:val="000000" w:themeColor="text1"/>
          <w:sz w:val="24"/>
          <w:szCs w:val="24"/>
          <w14:textFill>
            <w14:solidFill>
              <w14:schemeClr w14:val="tx1"/>
            </w14:solidFill>
          </w14:textFill>
        </w:rPr>
        <w:t xml:space="preserve">）支持GB/T 28181协议，可支持给上级平台转发摄像机视频；</w:t>
      </w:r>
      <w:r/>
    </w:p>
    <w:p>
      <w:pPr>
        <w:ind w:firstLine="48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7</w:t>
      </w:r>
      <w:r>
        <w:rPr>
          <w:rFonts w:hint="eastAsia"/>
          <w:color w:val="000000" w:themeColor="text1"/>
          <w:sz w:val="24"/>
          <w:szCs w:val="24"/>
          <w14:textFill>
            <w14:solidFill>
              <w14:schemeClr w14:val="tx1"/>
            </w14:solidFill>
          </w14:textFill>
        </w:rPr>
        <w:t xml:space="preserve">）支持GA/T 1400协议，可支持接入前端的人车图片，并可以将人车图片转发给上级平台；</w:t>
      </w:r>
      <w:r/>
    </w:p>
    <w:p>
      <w:pPr>
        <w:ind w:firstLine="48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8</w:t>
      </w:r>
      <w:r>
        <w:rPr>
          <w:rFonts w:hint="eastAsia"/>
          <w:color w:val="000000" w:themeColor="text1"/>
          <w:sz w:val="24"/>
          <w:szCs w:val="24"/>
          <w14:textFill>
            <w14:solidFill>
              <w14:schemeClr w14:val="tx1"/>
            </w14:solidFill>
          </w14:textFill>
        </w:rPr>
        <w:t xml:space="preserve">）可实现解码上墙；</w:t>
      </w:r>
      <w:r/>
    </w:p>
    <w:p>
      <w:pPr>
        <w:ind w:firstLine="48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9</w:t>
      </w:r>
      <w:r>
        <w:rPr>
          <w:rFonts w:hint="eastAsia"/>
          <w:color w:val="000000" w:themeColor="text1"/>
          <w:sz w:val="24"/>
          <w:szCs w:val="24"/>
          <w14:textFill>
            <w14:solidFill>
              <w14:schemeClr w14:val="tx1"/>
            </w14:solidFill>
          </w14:textFill>
        </w:rPr>
        <w:t xml:space="preserve">）支持人脸管理功能、车辆管理功能、支持门禁管理功能；</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1</w:t>
      </w:r>
      <w:r>
        <w:rPr>
          <w:color w:val="000000" w:themeColor="text1"/>
          <w:sz w:val="24"/>
          <w:szCs w:val="24"/>
          <w14:textFill>
            <w14:solidFill>
              <w14:schemeClr w14:val="tx1"/>
            </w14:solidFill>
          </w14:textFill>
        </w:rPr>
        <w:t xml:space="preserve">0</w:t>
      </w:r>
      <w:r>
        <w:rPr>
          <w:rFonts w:hint="eastAsia"/>
          <w:color w:val="000000" w:themeColor="text1"/>
          <w:sz w:val="24"/>
          <w:szCs w:val="24"/>
          <w14:textFill>
            <w14:solidFill>
              <w14:schemeClr w14:val="tx1"/>
            </w14:solidFill>
          </w14:textFill>
        </w:rPr>
        <w:t xml:space="preserve">）支持水利AR实景孪生模块，在实时视频中对水位、降雨量、蒸发量、流速流量、建筑物、道路进行标注，实现图像内容的结构化描述，融合视频/图片/文字等信息；</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1</w:t>
      </w:r>
      <w:r>
        <w:rPr>
          <w:color w:val="000000" w:themeColor="text1"/>
          <w:sz w:val="24"/>
          <w:szCs w:val="24"/>
          <w14:textFill>
            <w14:solidFill>
              <w14:schemeClr w14:val="tx1"/>
            </w14:solidFill>
          </w14:textFill>
        </w:rPr>
        <w:t xml:space="preserve">1</w:t>
      </w:r>
      <w:r>
        <w:rPr>
          <w:rFonts w:hint="eastAsia"/>
          <w:color w:val="000000" w:themeColor="text1"/>
          <w:sz w:val="24"/>
          <w:szCs w:val="24"/>
          <w14:textFill>
            <w14:solidFill>
              <w14:schemeClr w14:val="tx1"/>
            </w14:solidFill>
          </w14:textFill>
        </w:rPr>
        <w:t xml:space="preserve">）在实时视频画面上展示模块快捷菜单显示，展示测站信息、水尺信息、降蒸观测场、上下游、测流断面等情况；</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1</w:t>
      </w:r>
      <w:r>
        <w:rPr>
          <w:color w:val="000000" w:themeColor="text1"/>
          <w:sz w:val="24"/>
          <w:szCs w:val="24"/>
          <w14:textFill>
            <w14:solidFill>
              <w14:schemeClr w14:val="tx1"/>
            </w14:solidFill>
          </w14:textFill>
        </w:rPr>
        <w:t xml:space="preserve">2</w:t>
      </w:r>
      <w:r>
        <w:rPr>
          <w:rFonts w:hint="eastAsia"/>
          <w:color w:val="000000" w:themeColor="text1"/>
          <w:sz w:val="24"/>
          <w:szCs w:val="24"/>
          <w14:textFill>
            <w14:solidFill>
              <w14:schemeClr w14:val="tx1"/>
            </w14:solidFill>
          </w14:textFill>
        </w:rPr>
        <w:t xml:space="preserve">）以实景图像为基础，叠加站点数据综合大屏，总览站点基础信息、数据过程线和报警情况等；</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1</w:t>
      </w:r>
      <w:r>
        <w:rPr>
          <w:color w:val="000000" w:themeColor="text1"/>
          <w:sz w:val="24"/>
          <w:szCs w:val="24"/>
          <w14:textFill>
            <w14:solidFill>
              <w14:schemeClr w14:val="tx1"/>
            </w14:solidFill>
          </w14:textFill>
        </w:rPr>
        <w:t xml:space="preserve">3</w:t>
      </w:r>
      <w:r>
        <w:rPr>
          <w:rFonts w:hint="eastAsia"/>
          <w:color w:val="000000" w:themeColor="text1"/>
          <w:sz w:val="24"/>
          <w:szCs w:val="24"/>
          <w14:textFill>
            <w14:solidFill>
              <w14:schemeClr w14:val="tx1"/>
            </w14:solidFill>
          </w14:textFill>
        </w:rPr>
        <w:t xml:space="preserve">）支标签功能包含实时水位、防洪信息、近24h雨量、蒸发量、流速流量、水尺、水位线（历史水位、保证水位、警戒水位）、河面、建筑物、监控点位、人脸卡口、车辆卡口、门禁、车闸、道路、广场显示。标签显示信息包含实时水位、实时流速流量、近24h雨量、蒸发量、历史水位、保证水位、警戒水位、建筑物周边视频（单路/多路）等功能。</w:t>
      </w:r>
      <w:bookmarkEnd w:id="21"/>
      <w:r/>
    </w:p>
    <w:p>
      <w:pPr>
        <w:pStyle w:val="668"/>
        <w:spacing w:before="0" w:after="0" w:line="360" w:lineRule="auto"/>
        <w:rPr>
          <w:rFonts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四、数据展示终端</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（1）尺寸宽高：整机尺寸(不含推车支架）：≥3604*2112mm；箱体厚度≤29.3mm;显示比例：16：9；分辨率：1920*1080；</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（2）像素间距：≤1.875mm，屏幕像素密度≥284444 点/m2 ，箱体尺寸：600*337.5*29.3(mm)；平整度≤0.05mm；</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（3）采用COB 集成封装技术，显示屏像素点红绿蓝分别由倒装红蓝绿LED 芯片组成；显示屏可防潮、防尘、防水、防湿、防静电、防撞；</w:t>
      </w:r>
      <w:r/>
    </w:p>
    <w:p>
      <w:pPr>
        <w:ind w:firstLine="480"/>
        <w:spacing w:line="360" w:lineRule="auto"/>
        <w:rPr>
          <w:b/>
          <w:bCs/>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▲（4）LED显示屏信号系统应采用ASIC集成电路系统方案，要求无发送卡和接收卡，可靠性更强，降低使用故障率；</w:t>
      </w:r>
      <w:r>
        <w:rPr>
          <w:rFonts w:hint="eastAsia"/>
          <w:b/>
          <w:bCs/>
          <w:color w:val="000000" w:themeColor="text1"/>
          <w:sz w:val="24"/>
          <w:szCs w:val="24"/>
          <w14:textFill>
            <w14:solidFill>
              <w14:schemeClr w14:val="tx1"/>
            </w14:solidFill>
          </w14:textFill>
        </w:rPr>
        <w:t xml:space="preserve">（需提供第三方检测机构出具的检测报告复印件作为证明材料）</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（5）为降低屏体故障率，提高显示稳定性，屏体内设计应为电源、信号版、转接板三合一结构，即箱体内多个模块集成于一块电路板卡上，要求电路板卡上无对插式电路板（灯板除外）；</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（6）可视角度（水平/垂直）：≥170°/ 160°；刷新率（Hz）：≥3840Hz；</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▲（7）在10±10%lx环境照度条件下，对比度≥16000：1；</w:t>
      </w:r>
      <w:r>
        <w:rPr>
          <w:rFonts w:hint="eastAsia"/>
          <w:b/>
          <w:bCs/>
          <w:color w:val="000000" w:themeColor="text1"/>
          <w:sz w:val="24"/>
          <w:szCs w:val="24"/>
          <w14:textFill>
            <w14:solidFill>
              <w14:schemeClr w14:val="tx1"/>
            </w14:solidFill>
          </w14:textFill>
        </w:rPr>
        <w:t xml:space="preserve">（需提供第三方检测机构出具的检测报告复印件作为证明材料）</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▲（8）整机白平衡亮度≥1000cd/m²，支持100cd/m²、200cd/m²、300cd/m²、600cd/m²、1000cd/m²等亮度档位，且应支持现场进行调节。整机具备环境光传感器，可根据环境光变化自动调节亮度；</w:t>
      </w:r>
      <w:r>
        <w:rPr>
          <w:rFonts w:hint="eastAsia"/>
          <w:b/>
          <w:bCs/>
          <w:color w:val="000000" w:themeColor="text1"/>
          <w:sz w:val="24"/>
          <w:szCs w:val="24"/>
          <w14:textFill>
            <w14:solidFill>
              <w14:schemeClr w14:val="tx1"/>
            </w14:solidFill>
          </w14:textFill>
        </w:rPr>
        <w:t xml:space="preserve">（需提供第三方检测机构出具的检测报告复印件作为证明材料）</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▲（9）整机内置系统配置不低于：存储配置≥128G，运行内存≥8G，操作系统Android14；整机支持2.4G/5G WIFI及BT5.0功能；支持NFC投屏及远场语音智能控制，能实现打开产品预装的应用软件；</w:t>
      </w:r>
      <w:r>
        <w:rPr>
          <w:rFonts w:hint="eastAsia"/>
          <w:b/>
          <w:bCs/>
          <w:color w:val="000000" w:themeColor="text1"/>
          <w:sz w:val="24"/>
          <w:szCs w:val="24"/>
          <w14:textFill>
            <w14:solidFill>
              <w14:schemeClr w14:val="tx1"/>
            </w14:solidFill>
          </w14:textFill>
        </w:rPr>
        <w:t xml:space="preserve">（需提供第三方检测机构出具的检测报告复印件作为证明材料）</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（10）整机应内置音响，前出音设计，功率≥60W。同时支持Dolby及DTS音效解码；</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（11）整机接口不少于：HDMI2.0*3，USB3.0*2， Type-C*1 ，RJ45*1，SPDIF*1；</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▲（12）整机应支持HDR、HLG，1024级GAMMA曲线调整，支持大于14bits 灰阶显示，DCI-P3≥100%。播放HDR片源时，局部亮度可实现≥1400nits，同时可显示HDR标识；</w:t>
      </w:r>
      <w:r>
        <w:rPr>
          <w:rFonts w:hint="eastAsia"/>
          <w:b/>
          <w:bCs/>
          <w:color w:val="000000" w:themeColor="text1"/>
          <w:sz w:val="24"/>
          <w:szCs w:val="24"/>
          <w14:textFill>
            <w14:solidFill>
              <w14:schemeClr w14:val="tx1"/>
            </w14:solidFill>
          </w14:textFill>
        </w:rPr>
        <w:t xml:space="preserve">（需提供第三方检测机构出具的检测报告复印件作为证明材料）</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（13）为保证观看舒适度，要求LED显示屏应防蓝光抗疲劳，蓝光辐射功率≤0.13W· m-2· sr-1；</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（14）内置电源应具备PFC功能，功率因数≥0.95（功率因数调整），电源效率≥85%；</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▲（15）节能：为响应节能降耗要求，产品应采用共阴极驱动设计实现LED节能冷屏。在600nits全白场画面下要求LED显示屏功耗&lt;1500W；平均功耗&lt;550W/台；LED整机直流待机条件下待机功耗小于0.5W；</w:t>
      </w:r>
      <w:r>
        <w:rPr>
          <w:rFonts w:hint="eastAsia"/>
          <w:b/>
          <w:bCs/>
          <w:color w:val="000000" w:themeColor="text1"/>
          <w:sz w:val="24"/>
          <w:szCs w:val="24"/>
          <w14:textFill>
            <w14:solidFill>
              <w14:schemeClr w14:val="tx1"/>
            </w14:solidFill>
          </w14:textFill>
        </w:rPr>
        <w:t xml:space="preserve">（需提供第三方检测机构出具的检测报告复印件作为证明材料）</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（16）应支持单点逐点亮度及色度校正，亮度损失＜7%。支持通过遥控器校正单元数据，调整单元色度，保证整屏色彩一致性；</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▲（17）产品单箱体内模组数量应≤4片灯板，减少拼缝对视觉的影响，同时为保障显示效果，要求防撞表面黑色雾化处理，屏幕表面做不反光处理，反光率SCE≤3%；</w:t>
      </w:r>
      <w:r>
        <w:rPr>
          <w:rFonts w:hint="eastAsia"/>
          <w:b/>
          <w:bCs/>
          <w:color w:val="000000" w:themeColor="text1"/>
          <w:sz w:val="24"/>
          <w:szCs w:val="24"/>
          <w14:textFill>
            <w14:solidFill>
              <w14:schemeClr w14:val="tx1"/>
            </w14:solidFill>
          </w14:textFill>
        </w:rPr>
        <w:t xml:space="preserve">（需提供第三方检测机构出具的检测报告复印件作为证明材料）</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18）模组与HUB板之间应采用硬接口设计，无排线，支持带电维护，可直接插拔。支持全前维护方式，设备有任何硬件问题，能在不拆装箱体的基础上，通过移动灯板，对问题进行判断、处理，箱体外部无可见连线；</w:t>
      </w:r>
      <w:r>
        <w:rPr>
          <w:rFonts w:hint="eastAsia"/>
          <w:b/>
          <w:bCs/>
          <w:color w:val="000000" w:themeColor="text1"/>
          <w:sz w:val="24"/>
          <w:szCs w:val="24"/>
          <w14:textFill>
            <w14:solidFill>
              <w14:schemeClr w14:val="tx1"/>
            </w14:solidFill>
          </w14:textFill>
        </w:rPr>
        <w:t xml:space="preserve">（需提供第三方检测机构出具的检测报告复印件作为证明材料）</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▲（19）LED显示屏的结构设计、箱体均应为压铸铝金材质，箱体背板为一次性整体压铸成型，全金属自然散热结构，无风扇、防尘、静音设计。整机噪音：≤4.6dB (A) (离屏距离200cm时)； 整机噪音：≤19.2dB (A)(离屏距离20cm时)；</w:t>
      </w:r>
      <w:r>
        <w:rPr>
          <w:rFonts w:hint="eastAsia"/>
          <w:b/>
          <w:bCs/>
          <w:color w:val="000000" w:themeColor="text1"/>
          <w:sz w:val="24"/>
          <w:szCs w:val="24"/>
          <w14:textFill>
            <w14:solidFill>
              <w14:schemeClr w14:val="tx1"/>
            </w14:solidFill>
          </w14:textFill>
        </w:rPr>
        <w:t xml:space="preserve">（需提供第三方检测机构出具的检测报告复印件作为证明材料）</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（20）整机应支持NFC投屏、无线投屏器投屏，支持4分屏独立显示。支持手机或平板反向操作LED大屏，并可以进行批注；</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（21）应支持开机/屏保画面定制，支持U盘导入专属开机画面、屏保画面；</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▲（22）为减少开机等待时间，开机启动时间（上电到出现开机LOGO）≤10S；</w:t>
      </w:r>
      <w:r>
        <w:rPr>
          <w:rFonts w:hint="eastAsia"/>
          <w:b/>
          <w:bCs/>
          <w:color w:val="000000" w:themeColor="text1"/>
          <w:sz w:val="24"/>
          <w:szCs w:val="24"/>
          <w14:textFill>
            <w14:solidFill>
              <w14:schemeClr w14:val="tx1"/>
            </w14:solidFill>
          </w14:textFill>
        </w:rPr>
        <w:t xml:space="preserve">（需提供第三方检测机构出具的检测报告复印件作为证明材料）</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（23）LED屏体可以通过UI菜单实现遥控交互：支持屏幕UI菜单显示，可通过遥控器调节屏幕参数、屏幕亮度调节、信号切换、场景切换、色温调节、开关机控制等，支持在屏幕上显示主要变化信息；</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▲（24）整机应支持安全与权限设置，可控制WIFI、USB等功能禁用；</w:t>
      </w:r>
      <w:r>
        <w:rPr>
          <w:rFonts w:hint="eastAsia"/>
          <w:b/>
          <w:bCs/>
          <w:color w:val="000000" w:themeColor="text1"/>
          <w:sz w:val="24"/>
          <w:szCs w:val="24"/>
          <w14:textFill>
            <w14:solidFill>
              <w14:schemeClr w14:val="tx1"/>
            </w14:solidFill>
          </w14:textFill>
        </w:rPr>
        <w:t xml:space="preserve">（需提供第三方检测机构出具的检测报告复印件作为证明材料）</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▲（25）LED一体机应具备双主页设计，可一键切换；</w:t>
      </w:r>
      <w:r>
        <w:rPr>
          <w:rFonts w:hint="eastAsia"/>
          <w:b/>
          <w:bCs/>
          <w:color w:val="000000" w:themeColor="text1"/>
          <w:sz w:val="24"/>
          <w:szCs w:val="24"/>
          <w14:textFill>
            <w14:solidFill>
              <w14:schemeClr w14:val="tx1"/>
            </w14:solidFill>
          </w14:textFill>
        </w:rPr>
        <w:t xml:space="preserve">（需提供第三方检测机构出具的检测报告复印件作为证明材料）</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（26）整机防尘≥IP6X，整机防水≥IPX5；整机灯板正面防尘≥IP6X，整机灯板正面防水≥IPX7；</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（27）产品应支持信息发布系统，可通过网络统一下发图片、视频、文字等资源素材，集中管控；</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▲（28）所投屏体须通过CCC强制认证，节能认证。</w:t>
      </w:r>
      <w:r>
        <w:rPr>
          <w:rFonts w:hint="eastAsia"/>
          <w:b/>
          <w:bCs/>
          <w:color w:val="000000" w:themeColor="text1"/>
          <w:sz w:val="24"/>
          <w:szCs w:val="24"/>
          <w14:textFill>
            <w14:solidFill>
              <w14:schemeClr w14:val="tx1"/>
            </w14:solidFill>
          </w14:textFill>
        </w:rPr>
        <w:t xml:space="preserve">（需提供相应认证证书复印件作为证明材料）。</w:t>
      </w:r>
      <w:r/>
    </w:p>
    <w:p>
      <w:pPr>
        <w:pStyle w:val="668"/>
        <w:spacing w:before="0" w:after="0" w:line="360" w:lineRule="auto"/>
        <w:rPr>
          <w:rFonts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五、融媒体平台主机</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（1）音频接口：支持≥64路网络音频输入，≥6路网络音频输出，支持≥2路模拟音频输入，≥1路模拟音频输出；</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（2）视频接口：支持≥4路HDMI输入，支持≥2路DP输出，支持≥2路HDMI输出；</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（3）USB接口：设备支持≥2路USB3.2高速接口，支持≥5路USB2.0接口；</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（4）通讯接口：支持≥1路2.5G有线网络接口，≥1路1G有线网络接口，支持WIFI接入双天线设计支持WIFI6，支持组合使用有线带宽可达5000Mbps支持蓝牙5.0；</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（5）存储容量：≥500G固态硬盘；</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（6）运行内存：采用DDR5内存≥16GB；</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（7）处理器：不低于I5-12代英特尔芯片，主频不低于2.5Ghz，睿频不低于3.5Ghz，8核12线程，GPU运行内存不低于8GB；</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（8）高速扩展接口：支持PCIE5.0高速通道，可扩展显卡，采集卡和控制卡等支持PCIE的扩展设备。支持RAID4功能4盘位设计最大支持≥64GB存储；</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▲（9）应满足素材在多个屏幕上对比展示，可通过控制屏将电脑投屏、PPT、图片、视频等素材直接拖拽到不同大屏上显示，可视化操作；</w:t>
      </w:r>
      <w:r>
        <w:rPr>
          <w:rFonts w:hint="eastAsia"/>
          <w:b/>
          <w:bCs/>
          <w:color w:val="000000" w:themeColor="text1"/>
          <w:sz w:val="24"/>
          <w:szCs w:val="24"/>
          <w14:textFill>
            <w14:solidFill>
              <w14:schemeClr w14:val="tx1"/>
            </w14:solidFill>
          </w14:textFill>
        </w:rPr>
        <w:t xml:space="preserve">（需提供第三方检测机构出具的检测报告复印件作为证明材料）</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▲（10）应满足素材在单个屏幕上对比展示，可通过控制屏将电脑投屏、PPT、图片、视频等素材可以二分屏、四分屏、画中画等形式在单个大屏上对比展示；</w:t>
      </w:r>
      <w:r>
        <w:rPr>
          <w:rFonts w:hint="eastAsia"/>
          <w:b/>
          <w:bCs/>
          <w:color w:val="000000" w:themeColor="text1"/>
          <w:sz w:val="24"/>
          <w:szCs w:val="24"/>
          <w14:textFill>
            <w14:solidFill>
              <w14:schemeClr w14:val="tx1"/>
            </w14:solidFill>
          </w14:textFill>
        </w:rPr>
        <w:t xml:space="preserve">（需提供第三方检测机构出具的检测报告复印件作为证明材料）</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▲（11）主机应内置音频切换功能，可通过后台软件进行音频灵活切换，可将任意一路音源路由到全部音频输出设备，也可路由到指定音频输出设备，满足扩音需求；</w:t>
      </w:r>
      <w:r>
        <w:rPr>
          <w:rFonts w:hint="eastAsia"/>
          <w:b/>
          <w:bCs/>
          <w:color w:val="000000" w:themeColor="text1"/>
          <w:sz w:val="24"/>
          <w:szCs w:val="24"/>
          <w14:textFill>
            <w14:solidFill>
              <w14:schemeClr w14:val="tx1"/>
            </w14:solidFill>
          </w14:textFill>
        </w:rPr>
        <w:t xml:space="preserve">（需提供第三方检测机构出具的检测报告复印件作为证明材料）</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▲（12）为保障系统稳定性，主机后台软件应可实时可视化观测与主机连接的每一路信号状态，如音频的电平跳动，视频源画面等都支持可视化实时显示；</w:t>
      </w:r>
      <w:r>
        <w:rPr>
          <w:rFonts w:hint="eastAsia"/>
          <w:b/>
          <w:bCs/>
          <w:color w:val="000000" w:themeColor="text1"/>
          <w:sz w:val="24"/>
          <w:szCs w:val="24"/>
          <w14:textFill>
            <w14:solidFill>
              <w14:schemeClr w14:val="tx1"/>
            </w14:solidFill>
          </w14:textFill>
        </w:rPr>
        <w:t xml:space="preserve">（需提供第三方检测机构出具的检测报告复印件作为证明材料）</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13）通过主机平台软件应可看到空间内的设备连接拓扑图，可视化呈现设备线材连接链路，任意一个线路连接异常时，可进行故障智能预警，精准定位故障位置，并自动发送系统消息提醒，帮助运维人员精准定位问题，提升运维管理效率。</w:t>
      </w:r>
      <w:r>
        <w:rPr>
          <w:rFonts w:hint="eastAsia"/>
          <w:b/>
          <w:bCs/>
          <w:color w:val="000000" w:themeColor="text1"/>
          <w:sz w:val="24"/>
          <w:szCs w:val="24"/>
          <w14:textFill>
            <w14:solidFill>
              <w14:schemeClr w14:val="tx1"/>
            </w14:solidFill>
          </w14:textFill>
        </w:rPr>
        <w:t xml:space="preserve">（需提供第三方检测机构出具的检测报告复印件作为证明材料）</w:t>
      </w:r>
      <w:r/>
    </w:p>
    <w:p>
      <w:pPr>
        <w:pStyle w:val="668"/>
        <w:spacing w:before="0" w:after="0" w:line="360" w:lineRule="auto"/>
        <w:rPr>
          <w:rFonts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六、微缩模型显示柜</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（1）尺寸：不低于55寸；</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（2）显示方式：柜体LED灯带背光；</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（3）画面比例：16：9；</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（4）分辨率：不小于1920*1080（FHD）；</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（5）CPU：不低于I5-4代；</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（6）内存：≥8G；</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（7）存储：≥128G固态硬盘；</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（8）可视角度：不低于178*178；</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（9）安装方式：横置&amp;竖置；</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（10）输入：HDMI，DP，DVI-D，OPS，RS232C IN，RJ45。</w:t>
      </w:r>
      <w:r/>
    </w:p>
    <w:p>
      <w:pPr>
        <w:pStyle w:val="668"/>
        <w:spacing w:before="0" w:after="0" w:line="360" w:lineRule="auto"/>
        <w:rPr>
          <w:rFonts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七、机器人</w:t>
      </w:r>
      <w:r/>
    </w:p>
    <w:p>
      <w:pPr>
        <w:ind w:firstLine="482"/>
        <w:spacing w:line="360" w:lineRule="auto"/>
        <w:rPr>
          <w:b/>
          <w:bCs/>
          <w:color w:val="000000" w:themeColor="text1"/>
          <w:sz w:val="24"/>
          <w:szCs w:val="24"/>
          <w14:textFill>
            <w14:solidFill>
              <w14:schemeClr w14:val="tx1"/>
            </w14:solidFill>
          </w14:textFill>
        </w:rPr>
      </w:pPr>
      <w:r>
        <w:rPr>
          <w:rFonts w:hint="eastAsia"/>
          <w:b/>
          <w:bCs/>
          <w:color w:val="000000" w:themeColor="text1"/>
          <w:sz w:val="24"/>
          <w:szCs w:val="24"/>
          <w14:textFill>
            <w14:solidFill>
              <w14:schemeClr w14:val="tx1"/>
            </w14:solidFill>
          </w14:textFill>
        </w:rPr>
        <w:t xml:space="preserve">（1）硬件部分</w:t>
      </w:r>
      <w:r/>
    </w:p>
    <w:p>
      <w:pPr>
        <w:ind w:firstLine="480"/>
        <w:spacing w:line="360" w:lineRule="auto"/>
        <w:rPr>
          <w:b/>
          <w:bCs/>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▲1）整机尺寸重量：身高≥1310mm，整机尺寸≥1310×460×210mm；整机重量≤40kg，轻量化柔性抗摔外壳，机身圆角安全设计；</w:t>
      </w:r>
      <w:r>
        <w:rPr>
          <w:rFonts w:hint="eastAsia"/>
          <w:b/>
          <w:bCs/>
          <w:color w:val="000000" w:themeColor="text1"/>
          <w:sz w:val="24"/>
          <w:szCs w:val="24"/>
          <w14:textFill>
            <w14:solidFill>
              <w14:schemeClr w14:val="tx1"/>
            </w14:solidFill>
          </w14:textFill>
        </w:rPr>
        <w:t xml:space="preserve">（需提供产品彩页或技术说明文件等材料作为证明材料）</w:t>
      </w:r>
      <w:r/>
    </w:p>
    <w:p>
      <w:pPr>
        <w:ind w:firstLine="480"/>
        <w:spacing w:line="360" w:lineRule="auto"/>
        <w:rPr>
          <w:b/>
          <w:bCs/>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▲2）全身自由度：整机总自由度≥30；颈部≥1自由度、腰部≥3自由度、单臂≥7自由度、单腿≥6自由度；</w:t>
      </w:r>
      <w:r>
        <w:rPr>
          <w:rFonts w:hint="eastAsia"/>
          <w:b/>
          <w:bCs/>
          <w:color w:val="000000" w:themeColor="text1"/>
          <w:sz w:val="24"/>
          <w:szCs w:val="24"/>
          <w14:textFill>
            <w14:solidFill>
              <w14:schemeClr w14:val="tx1"/>
            </w14:solidFill>
          </w14:textFill>
        </w:rPr>
        <w:t xml:space="preserve">（需提供产品彩页或技术说明文件等材料作为证明材料）</w:t>
      </w:r>
      <w:r/>
    </w:p>
    <w:p>
      <w:pPr>
        <w:ind w:firstLine="480"/>
        <w:spacing w:line="360" w:lineRule="auto"/>
        <w:rPr>
          <w:b/>
          <w:bCs/>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▲3）算力硬件双平台：基础计算单元不低于RK3588 双芯片；标配不低于NVIDIA Jetson Orin NX 16GB 高算力板，AI 算力不低于150TOPS，支持本地端侧大模型实时运算；</w:t>
      </w:r>
      <w:r>
        <w:rPr>
          <w:rFonts w:hint="eastAsia"/>
          <w:b/>
          <w:bCs/>
          <w:color w:val="000000" w:themeColor="text1"/>
          <w:sz w:val="24"/>
          <w:szCs w:val="24"/>
          <w14:textFill>
            <w14:solidFill>
              <w14:schemeClr w14:val="tx1"/>
            </w14:solidFill>
          </w14:textFill>
        </w:rPr>
        <w:t xml:space="preserve">（需提供产品彩页或技术说明文件等材料作为证明材料）</w:t>
      </w:r>
      <w:r/>
    </w:p>
    <w:p>
      <w:pPr>
        <w:ind w:firstLine="480"/>
        <w:spacing w:line="360" w:lineRule="auto"/>
        <w:rPr>
          <w:b/>
          <w:bCs/>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▲4）全域感知传感器：至少配置1台3D多线激光雷达、1台RGB-D 深度相机、前视双目RGB、交互人脸RGB、后视单目RGB；</w:t>
      </w:r>
      <w:r>
        <w:rPr>
          <w:rFonts w:hint="eastAsia"/>
          <w:b/>
          <w:bCs/>
          <w:color w:val="000000" w:themeColor="text1"/>
          <w:sz w:val="24"/>
          <w:szCs w:val="24"/>
          <w14:textFill>
            <w14:solidFill>
              <w14:schemeClr w14:val="tx1"/>
            </w14:solidFill>
          </w14:textFill>
        </w:rPr>
        <w:t xml:space="preserve">（需提供产品彩页或技术说明文件等材料作为证明材料）</w:t>
      </w:r>
      <w:r/>
    </w:p>
    <w:p>
      <w:pPr>
        <w:ind w:firstLine="480"/>
        <w:spacing w:line="360" w:lineRule="auto"/>
        <w:rPr>
          <w:b/>
          <w:bCs/>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▲5）拓展接口配置：USB-A×2、USB-C×2、双路 RJ45 千兆以太网；miniDP×1；12V/48V 双供电拓展口；内置4G/5G 模块、WiFi、蓝牙；</w:t>
      </w:r>
      <w:r>
        <w:rPr>
          <w:rFonts w:hint="eastAsia"/>
          <w:b/>
          <w:bCs/>
          <w:color w:val="000000" w:themeColor="text1"/>
          <w:sz w:val="24"/>
          <w:szCs w:val="24"/>
          <w14:textFill>
            <w14:solidFill>
              <w14:schemeClr w14:val="tx1"/>
            </w14:solidFill>
          </w14:textFill>
        </w:rPr>
        <w:t xml:space="preserve">（需提供产品彩页或技术说明文件等材料作为证明材料）</w:t>
      </w:r>
      <w:r/>
    </w:p>
    <w:p>
      <w:pPr>
        <w:ind w:firstLine="480"/>
        <w:spacing w:line="360" w:lineRule="auto"/>
        <w:rPr>
          <w:b/>
          <w:bCs/>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▲6）电源续航硬件：电池能量≥421Wh；0.5m/s 匀速行走续航≥2h，充电时间≤1.5h；</w:t>
      </w:r>
      <w:r>
        <w:rPr>
          <w:rFonts w:hint="eastAsia"/>
          <w:b/>
          <w:bCs/>
          <w:color w:val="000000" w:themeColor="text1"/>
          <w:sz w:val="24"/>
          <w:szCs w:val="24"/>
          <w14:textFill>
            <w14:solidFill>
              <w14:schemeClr w14:val="tx1"/>
            </w14:solidFill>
          </w14:textFill>
        </w:rPr>
        <w:t xml:space="preserve">（需提供产品彩页或技术说明文件等材料作为证明材料）</w:t>
      </w:r>
      <w:r/>
    </w:p>
    <w:p>
      <w:pPr>
        <w:ind w:firstLine="480"/>
        <w:spacing w:line="360" w:lineRule="auto"/>
        <w:rPr>
          <w:b/>
          <w:bCs/>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▲7）传感器视场角：应配备激光雷达，可实时采集精确的环境数据，能够快速识别并测量周围物体，同时提供高分辨率的点云数据。同时配置深度相机、双目相机、后视相机、交互相机等，感知设备丰富；</w:t>
      </w:r>
      <w:r>
        <w:rPr>
          <w:rFonts w:hint="eastAsia"/>
          <w:b/>
          <w:bCs/>
          <w:color w:val="000000" w:themeColor="text1"/>
          <w:sz w:val="24"/>
          <w:szCs w:val="24"/>
          <w14:textFill>
            <w14:solidFill>
              <w14:schemeClr w14:val="tx1"/>
            </w14:solidFill>
          </w14:textFill>
        </w:rPr>
        <w:t xml:space="preserve">（需提供产品彩页或技术说明文件等材料作为证明材料）</w:t>
      </w:r>
      <w:r/>
    </w:p>
    <w:p>
      <w:pPr>
        <w:ind w:firstLine="480"/>
        <w:spacing w:line="360" w:lineRule="auto"/>
        <w:rPr>
          <w:b/>
          <w:bCs/>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▲8）自主充电：支持直充、换电。</w:t>
      </w:r>
      <w:r>
        <w:rPr>
          <w:rFonts w:hint="eastAsia"/>
          <w:b/>
          <w:bCs/>
          <w:color w:val="000000" w:themeColor="text1"/>
          <w:sz w:val="24"/>
          <w:szCs w:val="24"/>
          <w14:textFill>
            <w14:solidFill>
              <w14:schemeClr w14:val="tx1"/>
            </w14:solidFill>
          </w14:textFill>
        </w:rPr>
        <w:t xml:space="preserve">（需提供产品彩页或技术说明文件等材料作为证明材料）</w:t>
      </w:r>
      <w:r/>
    </w:p>
    <w:p>
      <w:pPr>
        <w:ind w:firstLine="482"/>
        <w:spacing w:line="360" w:lineRule="auto"/>
        <w:rPr>
          <w:b/>
          <w:bCs/>
          <w:color w:val="000000" w:themeColor="text1"/>
          <w:sz w:val="24"/>
          <w:szCs w:val="24"/>
          <w14:textFill>
            <w14:solidFill>
              <w14:schemeClr w14:val="tx1"/>
            </w14:solidFill>
          </w14:textFill>
        </w:rPr>
      </w:pPr>
      <w:r>
        <w:rPr>
          <w:rFonts w:hint="eastAsia"/>
          <w:b/>
          <w:bCs/>
          <w:color w:val="000000" w:themeColor="text1"/>
          <w:sz w:val="24"/>
          <w:szCs w:val="24"/>
          <w14:textFill>
            <w14:solidFill>
              <w14:schemeClr w14:val="tx1"/>
            </w14:solidFill>
          </w14:textFill>
        </w:rPr>
        <w:t xml:space="preserve">（2）软件部分</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1）底层控制软件：内置全域运动控制固件，支持拖动示教、零力柔顺控制、摔倒自主起身算法；全身关节力矩实时采集与阻抗控制API；</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2）AI大模型软件：搭载多模态交互大模型，知识库支持本地离线运行；支持视觉目标识别、人脸情感识别、手势语义理解、上下文连续对话；</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3）自主导航软件：内置3D SLAM建图算法，支持多楼层地图存储、动态障碍物实时避障、最优路径自主规划、定点巡导、低电量告警；</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4）动作生成引擎：Diffusion生成式动作引擎，内置预设拟人动作库；支持动捕录入、远程分身动作复刻、群机同步舞蹈编排、自定义动作批量导出；</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5）运维管理软件：云端远程监控平台，实时查看机器人算力、电量、传感器状态、任务日志；支持远程升级、故障自动告警、多台机器人集群管控。</w:t>
      </w:r>
      <w:r/>
    </w:p>
    <w:p>
      <w:pPr>
        <w:ind w:firstLine="482"/>
        <w:spacing w:line="360" w:lineRule="auto"/>
        <w:rPr>
          <w:b/>
          <w:bCs/>
          <w:color w:val="000000" w:themeColor="text1"/>
          <w:sz w:val="24"/>
          <w:szCs w:val="24"/>
          <w14:textFill>
            <w14:solidFill>
              <w14:schemeClr w14:val="tx1"/>
            </w14:solidFill>
          </w14:textFill>
        </w:rPr>
      </w:pPr>
      <w:r>
        <w:rPr>
          <w:rFonts w:hint="eastAsia"/>
          <w:b/>
          <w:bCs/>
          <w:color w:val="000000" w:themeColor="text1"/>
          <w:sz w:val="24"/>
          <w:szCs w:val="24"/>
          <w14:textFill>
            <w14:solidFill>
              <w14:schemeClr w14:val="tx1"/>
            </w14:solidFill>
          </w14:textFill>
        </w:rPr>
        <w:t xml:space="preserve">（3）核心功能</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1）拟人运动交互：应能够流畅拟人双足步态，全地形行走、上下缓坡、原地转向；腰部灵活扭转，复刻鞠躬、挥手、舞蹈、武术全套拟人动作；摔倒后自主调整姿态站立起身；毫秒级头随声动、视线跟随人体目标；</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2）多模态人机交互：语音实时对话、多轮上下文问答、方言识别；人脸情绪识别、头部液晶屏幕动态表情输出；机身触摸感应交互，触碰触发回应；手势识别、物体识别、展品讲解导览交互；</w:t>
      </w:r>
      <w:r/>
    </w:p>
    <w:p>
      <w:pPr>
        <w:ind w:firstLine="48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3）人机智能问答：实现</w:t>
      </w:r>
      <w:r>
        <w:rPr>
          <w:rFonts w:hint="eastAsia"/>
          <w:color w:val="000000" w:themeColor="text1"/>
          <w:sz w:val="24"/>
          <w:szCs w:val="24"/>
          <w14:textFill>
            <w14:solidFill>
              <w14:schemeClr w14:val="tx1"/>
            </w14:solidFill>
          </w14:textFill>
        </w:rPr>
        <w:t xml:space="preserve">南京</w:t>
      </w:r>
      <w:r>
        <w:rPr>
          <w:color w:val="000000" w:themeColor="text1"/>
          <w:sz w:val="24"/>
          <w:szCs w:val="24"/>
          <w14:textFill>
            <w14:solidFill>
              <w14:schemeClr w14:val="tx1"/>
            </w14:solidFill>
          </w14:textFill>
        </w:rPr>
        <w:t xml:space="preserve">市</w:t>
      </w:r>
      <w:r>
        <w:rPr>
          <w:rFonts w:hint="eastAsia"/>
          <w:color w:val="000000" w:themeColor="text1"/>
          <w:sz w:val="24"/>
          <w:szCs w:val="24"/>
          <w14:textFill>
            <w14:solidFill>
              <w14:schemeClr w14:val="tx1"/>
            </w14:solidFill>
          </w14:textFill>
        </w:rPr>
        <w:t xml:space="preserve">水文</w:t>
      </w:r>
      <w:r>
        <w:rPr>
          <w:color w:val="000000" w:themeColor="text1"/>
          <w:sz w:val="24"/>
          <w:szCs w:val="24"/>
          <w14:textFill>
            <w14:solidFill>
              <w14:schemeClr w14:val="tx1"/>
            </w14:solidFill>
          </w14:textFill>
        </w:rPr>
        <w:t xml:space="preserve">通用知识库建设及数据训练。实现</w:t>
      </w:r>
      <w:r>
        <w:rPr>
          <w:rFonts w:hint="eastAsia"/>
          <w:color w:val="000000" w:themeColor="text1"/>
          <w:sz w:val="24"/>
          <w:szCs w:val="24"/>
          <w14:textFill>
            <w14:solidFill>
              <w14:schemeClr w14:val="tx1"/>
            </w14:solidFill>
          </w14:textFill>
        </w:rPr>
        <w:t xml:space="preserve">①</w:t>
      </w:r>
      <w:r>
        <w:rPr>
          <w:color w:val="000000" w:themeColor="text1"/>
          <w:sz w:val="24"/>
          <w:szCs w:val="24"/>
          <w14:textFill>
            <w14:solidFill>
              <w14:schemeClr w14:val="tx1"/>
            </w14:solidFill>
          </w14:textFill>
        </w:rPr>
        <w:t xml:space="preserve">通用水文静态知识：水文术语、测验规范、水文成果介绍、展会展板文案、江苏水文科普材料，格式支持 docx、pdf、txt、FAQ。</w:t>
      </w:r>
      <w:r>
        <w:rPr>
          <w:rFonts w:hint="eastAsia"/>
          <w:color w:val="000000" w:themeColor="text1"/>
          <w:sz w:val="24"/>
          <w:szCs w:val="24"/>
          <w14:textFill>
            <w14:solidFill>
              <w14:schemeClr w14:val="tx1"/>
            </w14:solidFill>
          </w14:textFill>
        </w:rPr>
        <w:t xml:space="preserve">②</w:t>
      </w:r>
      <w:r>
        <w:rPr>
          <w:color w:val="000000" w:themeColor="text1"/>
          <w:sz w:val="24"/>
          <w:szCs w:val="24"/>
          <w14:textFill>
            <w14:solidFill>
              <w14:schemeClr w14:val="tx1"/>
            </w14:solidFill>
          </w14:textFill>
        </w:rPr>
        <w:t xml:space="preserve">专属水情知识：流域面积、主要水文站（秦淮河东山站</w:t>
      </w:r>
      <w:r>
        <w:rPr>
          <w:rFonts w:hint="eastAsia"/>
          <w:color w:val="000000" w:themeColor="text1"/>
          <w:sz w:val="24"/>
          <w:szCs w:val="24"/>
          <w14:textFill>
            <w14:solidFill>
              <w14:schemeClr w14:val="tx1"/>
            </w14:solidFill>
          </w14:textFill>
        </w:rPr>
        <w:t xml:space="preserve">、前垾村站</w:t>
      </w:r>
      <w:r>
        <w:rPr>
          <w:color w:val="000000" w:themeColor="text1"/>
          <w:sz w:val="24"/>
          <w:szCs w:val="24"/>
          <w14:textFill>
            <w14:solidFill>
              <w14:schemeClr w14:val="tx1"/>
            </w14:solidFill>
          </w14:textFill>
        </w:rPr>
        <w:t xml:space="preserve">等）、大洪水记录、防洪控制指标、水位流量数据、河道治理成果、对应秦淮河介绍文稿</w:t>
      </w:r>
      <w:r>
        <w:rPr>
          <w:rFonts w:hint="eastAsia"/>
          <w:color w:val="000000" w:themeColor="text1"/>
          <w:sz w:val="24"/>
          <w:szCs w:val="24"/>
          <w14:textFill>
            <w14:solidFill>
              <w14:schemeClr w14:val="tx1"/>
            </w14:solidFill>
          </w14:textFill>
        </w:rPr>
        <w:t xml:space="preserve">，超出知识库部分调用多模态大模型。</w:t>
      </w:r>
      <w:r>
        <w:rPr>
          <w:color w:val="000000" w:themeColor="text1"/>
          <w:sz w:val="24"/>
          <w:szCs w:val="24"/>
          <w14:textFill>
            <w14:solidFill>
              <w14:schemeClr w14:val="tx1"/>
            </w14:solidFill>
          </w14:textFill>
        </w:rPr>
        <w:t xml:space="preserve">实时变动的水位、流量雨情，不走静态文档，通过调用水文业务 API 接口实时拉取，确保回答准确</w:t>
      </w:r>
      <w:r>
        <w:rPr>
          <w:rFonts w:hint="eastAsia"/>
          <w:color w:val="000000" w:themeColor="text1"/>
          <w:sz w:val="24"/>
          <w:szCs w:val="24"/>
          <w14:textFill>
            <w14:solidFill>
              <w14:schemeClr w14:val="tx1"/>
            </w14:solidFill>
          </w14:textFill>
        </w:rPr>
        <w:t xml:space="preserve">；</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4）自主空间作业：室内全域自主导航、动态行人/障碍物主动避让；多点位自动巡展、定点迎宾讲解；轻负载端茶、递送展品等简易抓取作业；</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5）实时水文数据接入架构：</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①：支持对接外部水文业务系统 REST API 接口，获取水位、流量、雨量、汛情简报等动态监测数据。</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②：支持两种API触发调用逻辑，1、点位讲解触发：机器人导航抵达指定讲解点位，后台自动发起接口请求；2、问答交互触发：观众语音提问涉及实时动态水情，RAG 链路自动触发接口调用。</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③：具备接口数据缓存机制，缓存周期可配置，降低外部业务系统访问压力；缓存失效自动重新拉取最新数据。</w:t>
      </w:r>
      <w:r/>
    </w:p>
    <w:p>
      <w:pPr>
        <w:pStyle w:val="668"/>
        <w:spacing w:before="0" w:after="0" w:line="360" w:lineRule="auto"/>
        <w:rPr>
          <w:rFonts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八、应急库房智能化升级</w:t>
      </w:r>
      <w:r/>
    </w:p>
    <w:p>
      <w:pPr>
        <w:pStyle w:val="669"/>
        <w:spacing w:before="0" w:after="0" w:line="360" w:lineRule="auto"/>
        <w:rPr>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1、壁挂一体机</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工控配置：CPU：不低于I5 4代处理器，内存8G,固态硬盘128G ；含正版操作系统。</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识别方式：射频识别 (超高频RFID)；</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频率范围：840MHz-960MHz；</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读取时间：3-5秒；</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识别数量：≥30件；</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整机尺寸（宽*深*高）：400mm*86mm*1440mm；</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屏幕尺寸：不小于21寸电容触摸屏 ；</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通讯接口：内置RS232串口、RJ45网口、USB接口、wifi通讯模块；</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识别权限：人脸识别、刷卡；</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工作温度：0~60℃；</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工作湿度：10%RH~90%RH。</w:t>
      </w:r>
      <w:r/>
    </w:p>
    <w:p>
      <w:pPr>
        <w:pStyle w:val="669"/>
        <w:spacing w:before="0" w:after="0" w:line="360" w:lineRule="auto"/>
        <w:rPr>
          <w:rFonts w:ascii="宋体" w:hAnsi="宋体" w:eastAsia="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w:t>
      </w:r>
      <w:r>
        <w:rPr>
          <w:rFonts w:hint="eastAsia" w:ascii="宋体" w:hAnsi="宋体" w:eastAsia="宋体"/>
          <w:color w:val="000000" w:themeColor="text1"/>
          <w:sz w:val="24"/>
          <w:szCs w:val="24"/>
          <w14:textFill>
            <w14:solidFill>
              <w14:schemeClr w14:val="tx1"/>
            </w14:solidFill>
          </w14:textFill>
        </w:rPr>
        <w:t xml:space="preserve">RFID柔性抗金属标签</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产品材质：PET+铝箔+泡棉；</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工作温度：-20℃~+80℃</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通讯协议：ISO/IEC 18000-6C &amp; EPC C1 G2；</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芯片：性能不低于UCODE8；</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工作频率：860~960MHz；</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产品读距：&gt;5米 ；</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数据保存：&gt;10年；</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写入次数：100000次；</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封装工艺：倒封装+复合；</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安装方式：背胶粘贴；</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使用寿命：&gt;3年。</w:t>
      </w:r>
      <w:r/>
    </w:p>
    <w:p>
      <w:pPr>
        <w:pStyle w:val="669"/>
        <w:spacing w:before="0" w:after="0"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3、RFID超高频重复使用扎带</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RFID协议： ISO18000-6C&amp; EPC C1 G2；</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频率： 902MHZ-928MHZ；</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芯片： 性能不低于NXP UCODE8 H3（9662）/R6/M4等芯片；</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存储： 96 bit；</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写入次数： 100,000 次；</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功能： 读写；</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数据保存： &gt;10年；</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读距 ： 2～5米；</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扎带尺寸 300mm /350mm 可定制尺寸；</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材料： ABS+尼龙；</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颜色： 红色/蓝色/黑色等可定制颜色。</w:t>
      </w:r>
      <w:r/>
    </w:p>
    <w:p>
      <w:pPr>
        <w:pStyle w:val="669"/>
        <w:spacing w:before="0" w:after="0"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4、桌面发卡器</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工作频率：840-960MHz ；</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协议标准：ISO 18000-6C（EPC C1G2） ；</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输出功率：0-26dbm ；</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支持模式：可读可写/光标输出模式 ；</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响应速度：≥20个标签/秒 ；</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读取模式：支持密集读取 ；</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阅读范围半径：≥250mm ；</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通信接口：USB-Type-C ；</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开关：支持按键开关及灯光指示 ；</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电源电压：5V；</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材质：ABS+PC材质 ；</w:t>
      </w:r>
      <w:r/>
    </w:p>
    <w:p>
      <w:pPr>
        <w:pStyle w:val="668"/>
        <w:spacing w:before="0" w:after="0" w:line="360" w:lineRule="auto"/>
        <w:rPr>
          <w:rFonts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九、数据传输集成</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数据传输集成包含</w:t>
      </w:r>
      <w:r>
        <w:rPr>
          <w:color w:val="000000" w:themeColor="text1"/>
          <w:sz w:val="24"/>
          <w:szCs w:val="24"/>
          <w14:textFill>
            <w14:solidFill>
              <w14:schemeClr w14:val="tx1"/>
            </w14:solidFill>
          </w14:textFill>
        </w:rPr>
        <w:t xml:space="preserve">降雨、气象、墒情等多要素数据采集集成，含采集机箱、RTU、通信终端等</w:t>
      </w:r>
      <w:r>
        <w:rPr>
          <w:rFonts w:hint="eastAsia"/>
          <w:color w:val="000000" w:themeColor="text1"/>
          <w:sz w:val="24"/>
          <w:szCs w:val="24"/>
          <w14:textFill>
            <w14:solidFill>
              <w14:schemeClr w14:val="tx1"/>
            </w14:solidFill>
          </w14:textFill>
        </w:rPr>
        <w:t xml:space="preserve">，同时购置千兆交换机、AC控制器、POE交换机、吸顶AP、室外AP等设备。</w:t>
      </w:r>
      <w:r/>
    </w:p>
    <w:p>
      <w:pPr>
        <w:ind w:firstLine="48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站点降雨、气象、墒情数据传输通信符合《江苏省水文自动测报系统数据传输规约》DB32/T 2197-2022，能够及时上传至甲方提供的数据采集平台，实现统一接收入库。</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主要设备技术参数如下：</w:t>
      </w:r>
      <w:r/>
    </w:p>
    <w:p>
      <w:pPr>
        <w:pStyle w:val="669"/>
        <w:spacing w:before="0" w:after="0" w:line="360" w:lineRule="auto"/>
        <w:rPr>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1、千兆交换机</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（1）性能：交换容量≥598Gbps；转发性能≥222Mpps；</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（2）性能指标MAC地址表≥32K、路由表容量≥16K、ARP表项≥16K；</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（3）接口类型：≥24个千兆电口(其中8个 Combo光)*4个万兆SFP光。</w:t>
      </w:r>
      <w:r/>
    </w:p>
    <w:p>
      <w:pPr>
        <w:pStyle w:val="669"/>
        <w:spacing w:before="0" w:after="0" w:line="360" w:lineRule="auto"/>
        <w:rPr>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w:t>
      </w:r>
      <w:r>
        <w:rPr>
          <w:color w:val="000000" w:themeColor="text1"/>
          <w:sz w:val="24"/>
          <w:szCs w:val="24"/>
          <w14:textFill>
            <w14:solidFill>
              <w14:schemeClr w14:val="tx1"/>
            </w14:solidFill>
          </w14:textFill>
        </w:rPr>
        <w:t xml:space="preserve">AC</w:t>
      </w:r>
      <w:r>
        <w:rPr>
          <w:rFonts w:hint="eastAsia" w:ascii="宋体" w:hAnsi="宋体" w:eastAsia="宋体" w:cs="宋体"/>
          <w:color w:val="000000" w:themeColor="text1"/>
          <w:sz w:val="24"/>
          <w:szCs w:val="24"/>
          <w14:textFill>
            <w14:solidFill>
              <w14:schemeClr w14:val="tx1"/>
            </w14:solidFill>
          </w14:textFill>
        </w:rPr>
        <w:t xml:space="preserve">控制器</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（1）吞吐量：≥3Gbps，最大接入用户数≥1024；</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（2）AP管理：最大管理AP≥16，支持面板翻倍；</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（3）接口：不低于WAN：2*GE，LAN：7*GE + 1*SFP+；</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（4）应支持AC内漫游，支持跨AC间漫游，支持跨VLAN的三层漫游；</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（5）应支持基于802.11k/802.11v/802.11r协议的智能漫游；</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（6）应支持标准capwap协议、AC和AP之间支持L2/L3层网络拓扑；</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（7）应支持与无线云平台对接，实现多种的应用功能，支持微信/短信认证以及一键认证及流量管控功能；</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（8）为保障网络全面运维，应支持通过云平台显示AC CPU、内存使用情况、整机或单口广播、单播历史信息等。</w:t>
      </w:r>
      <w:r/>
    </w:p>
    <w:p>
      <w:pPr>
        <w:pStyle w:val="669"/>
        <w:spacing w:before="0" w:after="0" w:line="360" w:lineRule="auto"/>
        <w:rPr>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w:t>
      </w:r>
      <w:r>
        <w:rPr>
          <w:color w:val="000000" w:themeColor="text1"/>
          <w:sz w:val="24"/>
          <w:szCs w:val="24"/>
          <w14:textFill>
            <w14:solidFill>
              <w14:schemeClr w14:val="tx1"/>
            </w14:solidFill>
          </w14:textFill>
        </w:rPr>
        <w:t xml:space="preserve">POE</w:t>
      </w:r>
      <w:r>
        <w:rPr>
          <w:rFonts w:hint="eastAsia" w:ascii="宋体" w:hAnsi="宋体" w:eastAsia="宋体" w:cs="宋体"/>
          <w:color w:val="000000" w:themeColor="text1"/>
          <w:sz w:val="24"/>
          <w:szCs w:val="24"/>
          <w14:textFill>
            <w14:solidFill>
              <w14:schemeClr w14:val="tx1"/>
            </w14:solidFill>
          </w14:textFill>
        </w:rPr>
        <w:t xml:space="preserve">交换机</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（1）交换容量：不低于包转发率：126Mpps，交换容量≥672Gbps；</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（2）业务端口：不低于24*10/100/1000BASE-T(POE+)电口+4*1000BASE-X SFP端口；</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（3）POE供电：不低于400W；</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（4）应支持堆叠，链路聚合，流量控制；</w:t>
      </w:r>
      <w:r/>
    </w:p>
    <w:p>
      <w:pPr>
        <w:ind w:firstLine="480"/>
        <w:jc w:val="left"/>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（5）应支持IPv4/IPv6静态路由，支持RIP/RIPng,OSPFv2/v3,支持STP/RSTP/MSTP协议。</w:t>
      </w:r>
      <w:r/>
    </w:p>
    <w:p>
      <w:pPr>
        <w:pStyle w:val="669"/>
        <w:spacing w:before="0" w:after="0" w:line="360" w:lineRule="auto"/>
        <w:rPr>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4、吸顶</w:t>
      </w:r>
      <w:r>
        <w:rPr>
          <w:rFonts w:hint="eastAsia"/>
          <w:color w:val="000000" w:themeColor="text1"/>
          <w:sz w:val="24"/>
          <w:szCs w:val="24"/>
          <w14:textFill>
            <w14:solidFill>
              <w14:schemeClr w14:val="tx1"/>
            </w14:solidFill>
          </w14:textFill>
        </w:rPr>
        <w:t xml:space="preserve">AP</w:t>
      </w:r>
      <w:r/>
    </w:p>
    <w:p>
      <w:pPr>
        <w:ind w:firstLine="480"/>
        <w:jc w:val="left"/>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（1）工作模式：采用不低于整机双频4流设计，应可同时工作在802.11a/b/g/n/ac/ac wave2/ax模式；</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（2）MU-MIMO：所有射频都支持MU-MIMO；</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（3）整机协商速率：≥2.975Gbps，其中5G射频速率：≥2.4G，2.4G射频速率：≥0.575G；</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（4）天线设计：采用内置智能天线设计；</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（5）接口设计≥1个10/100/1000Mbps(RJ45)。</w:t>
      </w:r>
      <w:r/>
    </w:p>
    <w:p>
      <w:pPr>
        <w:pStyle w:val="669"/>
        <w:spacing w:before="0" w:after="0" w:line="360" w:lineRule="auto"/>
        <w:rPr>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5、室外</w:t>
      </w:r>
      <w:r>
        <w:rPr>
          <w:rFonts w:hint="eastAsia"/>
          <w:color w:val="000000" w:themeColor="text1"/>
          <w:sz w:val="24"/>
          <w:szCs w:val="24"/>
          <w14:textFill>
            <w14:solidFill>
              <w14:schemeClr w14:val="tx1"/>
            </w14:solidFill>
          </w14:textFill>
        </w:rPr>
        <w:t xml:space="preserve">AP</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（1）整机采用不低于双频4流设计，整机最大接入速率不低于3.57Gbps；</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（2）接口：≥1个100/1000M/2.5G电口，≥1个10G PSFP（光电合一）光口兼容SFP+；</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（3）应内置智能全向天线系统；</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（4）应可通过命令行，AC，云简网络等切换模式；</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（5）应支持无线用户二层隔离，支持基于SSID的无线用户隔离；</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（6）应支持802.11r标准中所定义的Fast BSS Transition功能，可加速无线用户的漫游过程，降低连接中断概率、提高漫游服务质量；</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（7）应支持多链路操作(MLO ，Multilink Operation)，能够同时与终端建立多条射频链接。</w:t>
      </w:r>
      <w:r/>
    </w:p>
    <w:p>
      <w:pPr>
        <w:pStyle w:val="669"/>
        <w:spacing w:before="0" w:after="0" w:line="360" w:lineRule="auto"/>
        <w:rPr>
          <w:rFonts w:eastAsia="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6、移动支架</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（1）</w:t>
      </w:r>
      <w:r>
        <w:rPr>
          <w:color w:val="000000" w:themeColor="text1"/>
          <w:sz w:val="24"/>
          <w:szCs w:val="24"/>
          <w14:textFill>
            <w14:solidFill>
              <w14:schemeClr w14:val="tx1"/>
            </w14:solidFill>
          </w14:textFill>
        </w:rPr>
        <w:t xml:space="preserve">材质：黑色</w:t>
      </w:r>
      <w:r>
        <w:rPr>
          <w:rFonts w:hint="eastAsia"/>
          <w:color w:val="000000" w:themeColor="text1"/>
          <w:sz w:val="24"/>
          <w:szCs w:val="24"/>
          <w14:textFill>
            <w14:solidFill>
              <w14:schemeClr w14:val="tx1"/>
            </w14:solidFill>
          </w14:textFill>
        </w:rPr>
        <w:t xml:space="preserve">  </w:t>
      </w:r>
      <w:r>
        <w:rPr>
          <w:color w:val="000000" w:themeColor="text1"/>
          <w:sz w:val="24"/>
          <w:szCs w:val="24"/>
          <w14:textFill>
            <w14:solidFill>
              <w14:schemeClr w14:val="tx1"/>
            </w14:solidFill>
          </w14:textFill>
        </w:rPr>
        <w:t xml:space="preserve">SPCC冷轧钢</w:t>
      </w:r>
      <w:r>
        <w:rPr>
          <w:rFonts w:hint="eastAsia"/>
          <w:color w:val="000000" w:themeColor="text1"/>
          <w:sz w:val="24"/>
          <w:szCs w:val="24"/>
          <w14:textFill>
            <w14:solidFill>
              <w14:schemeClr w14:val="tx1"/>
            </w14:solidFill>
          </w14:textFill>
        </w:rPr>
        <w:t xml:space="preserve">；</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（2）</w:t>
      </w:r>
      <w:r>
        <w:rPr>
          <w:color w:val="000000" w:themeColor="text1"/>
          <w:sz w:val="24"/>
          <w:szCs w:val="24"/>
          <w14:textFill>
            <w14:solidFill>
              <w14:schemeClr w14:val="tx1"/>
            </w14:solidFill>
          </w14:textFill>
        </w:rPr>
        <w:t xml:space="preserve">安装孔距：1200*600mm</w:t>
      </w:r>
      <w:r>
        <w:rPr>
          <w:rFonts w:hint="eastAsia"/>
          <w:color w:val="000000" w:themeColor="text1"/>
          <w:sz w:val="24"/>
          <w:szCs w:val="24"/>
          <w14:textFill>
            <w14:solidFill>
              <w14:schemeClr w14:val="tx1"/>
            </w14:solidFill>
          </w14:textFill>
        </w:rPr>
        <w:t xml:space="preserve">；</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（3）</w:t>
      </w:r>
      <w:r>
        <w:rPr>
          <w:color w:val="000000" w:themeColor="text1"/>
          <w:sz w:val="24"/>
          <w:szCs w:val="24"/>
          <w14:textFill>
            <w14:solidFill>
              <w14:schemeClr w14:val="tx1"/>
            </w14:solidFill>
          </w14:textFill>
        </w:rPr>
        <w:t xml:space="preserve">最大承重：</w:t>
      </w:r>
      <w:r>
        <w:rPr>
          <w:rFonts w:hint="eastAsia"/>
          <w:color w:val="000000" w:themeColor="text1"/>
          <w:sz w:val="24"/>
          <w:szCs w:val="24"/>
          <w14:textFill>
            <w14:solidFill>
              <w14:schemeClr w14:val="tx1"/>
            </w14:solidFill>
          </w14:textFill>
        </w:rPr>
        <w:t xml:space="preserve">≥</w:t>
      </w:r>
      <w:r>
        <w:rPr>
          <w:color w:val="000000" w:themeColor="text1"/>
          <w:sz w:val="24"/>
          <w:szCs w:val="24"/>
          <w14:textFill>
            <w14:solidFill>
              <w14:schemeClr w14:val="tx1"/>
            </w14:solidFill>
          </w14:textFill>
        </w:rPr>
        <w:t xml:space="preserve">200Kg</w:t>
      </w:r>
      <w:r>
        <w:rPr>
          <w:rFonts w:hint="eastAsia"/>
          <w:color w:val="000000" w:themeColor="text1"/>
          <w:sz w:val="24"/>
          <w:szCs w:val="24"/>
          <w14:textFill>
            <w14:solidFill>
              <w14:schemeClr w14:val="tx1"/>
            </w14:solidFill>
          </w14:textFill>
        </w:rPr>
        <w:t xml:space="preserve">，配置</w:t>
      </w:r>
      <w:r>
        <w:rPr>
          <w:color w:val="000000" w:themeColor="text1"/>
          <w:sz w:val="24"/>
          <w:szCs w:val="24"/>
          <w14:textFill>
            <w14:solidFill>
              <w14:schemeClr w14:val="tx1"/>
            </w14:solidFill>
          </w14:textFill>
        </w:rPr>
        <w:t xml:space="preserve">置物托盘</w:t>
      </w:r>
      <w:r>
        <w:rPr>
          <w:rFonts w:hint="eastAsia"/>
          <w:color w:val="000000" w:themeColor="text1"/>
          <w:sz w:val="24"/>
          <w:szCs w:val="24"/>
          <w14:textFill>
            <w14:solidFill>
              <w14:schemeClr w14:val="tx1"/>
            </w14:solidFill>
          </w14:textFill>
        </w:rPr>
        <w:t xml:space="preserve">。</w:t>
      </w:r>
      <w:r/>
    </w:p>
    <w:p>
      <w:pPr>
        <w:pStyle w:val="668"/>
        <w:spacing w:before="0" w:after="0" w:line="360" w:lineRule="auto"/>
        <w:rPr>
          <w:rFonts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十、</w:t>
      </w:r>
      <w:r>
        <w:rPr>
          <w:rFonts w:ascii="Segoe UI Symbol" w:hAnsi="Segoe UI Symbol" w:cs="Segoe UI Symbol"/>
          <w:b/>
          <w:bCs/>
          <w:color w:val="000000" w:themeColor="text1"/>
          <w:sz w:val="28"/>
          <w:szCs w:val="28"/>
          <w14:textFill>
            <w14:solidFill>
              <w14:schemeClr w14:val="tx1"/>
            </w14:solidFill>
          </w14:textFill>
        </w:rPr>
        <w:t xml:space="preserve">★</w:t>
      </w:r>
      <w:r>
        <w:rPr>
          <w:rFonts w:hint="eastAsia" w:ascii="宋体" w:hAnsi="宋体" w:eastAsia="宋体" w:cs="宋体"/>
          <w:b/>
          <w:bCs/>
          <w:color w:val="000000" w:themeColor="text1"/>
          <w:sz w:val="24"/>
          <w:szCs w:val="24"/>
          <w14:textFill>
            <w14:solidFill>
              <w14:schemeClr w14:val="tx1"/>
            </w14:solidFill>
          </w14:textFill>
        </w:rPr>
        <w:t xml:space="preserve">质保承诺（质保承诺不允许负偏离，否则按无效投标处理）</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（1）中标供应商需为本项目所供设备提供质保服务，质量保证期从完工验收之日起算，其中主要设备（AR全景展示系统、数据展示终端、融媒体平台主机、机器人）提供2年质保，其余设备提供1年质保。</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（2）</w:t>
      </w:r>
      <w:r>
        <w:rPr>
          <w:rFonts w:hint="eastAsia" w:ascii="宋体" w:hAnsi="宋体" w:cs="宋体"/>
          <w:color w:val="000000" w:themeColor="text1"/>
          <w:sz w:val="24"/>
          <w:szCs w:val="24"/>
          <w14:textFill>
            <w14:solidFill>
              <w14:schemeClr w14:val="tx1"/>
            </w14:solidFill>
          </w14:textFill>
        </w:rPr>
        <w:t xml:space="preserve">质保期内，中标供应商负责整个系统设备的故障维修工作。系统设备发生非人为因素的故障，应由中标供应商负责免费维修。</w:t>
      </w:r>
      <w:r/>
    </w:p>
    <w:p>
      <w:pPr>
        <w:pStyle w:val="996"/>
        <w:ind w:firstLine="720"/>
        <w:jc w:val="center"/>
        <w:rPr>
          <w:rFonts w:eastAsia="黑体"/>
          <w:color w:val="000000" w:themeColor="text1"/>
          <w:sz w:val="36"/>
          <w:szCs w:val="36"/>
          <w14:textFill>
            <w14:solidFill>
              <w14:schemeClr w14:val="tx1"/>
            </w14:solidFill>
          </w14:textFill>
        </w:rPr>
        <w:outlineLvl w:val="0"/>
      </w:pPr>
      <w:r/>
      <w:bookmarkStart w:id="22" w:name="_Toc149805859"/>
      <w:r>
        <w:rPr>
          <w:rFonts w:hint="eastAsia" w:eastAsia="黑体"/>
          <w:color w:val="000000" w:themeColor="text1"/>
          <w:sz w:val="36"/>
          <w:szCs w:val="36"/>
          <w14:textFill>
            <w14:solidFill>
              <w14:schemeClr w14:val="tx1"/>
            </w14:solidFill>
          </w14:textFill>
        </w:rPr>
        <w:br w:type="page" w:clear="all"/>
      </w:r>
      <w:r>
        <w:rPr>
          <w:rFonts w:hint="eastAsia" w:eastAsia="黑体"/>
          <w:color w:val="000000" w:themeColor="text1"/>
          <w:sz w:val="36"/>
          <w:szCs w:val="36"/>
          <w14:textFill>
            <w14:solidFill>
              <w14:schemeClr w14:val="tx1"/>
            </w14:solidFill>
          </w14:textFill>
        </w:rPr>
        <w:t xml:space="preserve">第五章 合同主要条款</w:t>
      </w:r>
      <w:bookmarkEnd w:id="14"/>
      <w:r/>
      <w:bookmarkEnd w:id="15"/>
      <w:r/>
      <w:bookmarkEnd w:id="22"/>
      <w:r/>
      <w:bookmarkStart w:id="23" w:name="_Toc513029243"/>
      <w:r/>
      <w:bookmarkStart w:id="24" w:name="_Toc20823315"/>
      <w:r/>
      <w:bookmarkStart w:id="25" w:name="_Toc16938559"/>
      <w:r>
        <w:rPr>
          <w:rFonts w:hint="eastAsia" w:eastAsia="黑体"/>
          <w:color w:val="000000" w:themeColor="text1"/>
          <w:sz w:val="36"/>
          <w:szCs w:val="36"/>
          <w14:textFill>
            <w14:solidFill>
              <w14:schemeClr w14:val="tx1"/>
            </w14:solidFill>
          </w14:textFill>
        </w:rPr>
        <w:t xml:space="preserve">及格式</w:t>
      </w:r>
      <w:r/>
    </w:p>
    <w:p>
      <w:pPr>
        <w:ind w:firstLine="420"/>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买方：（采购人）</w:t>
      </w:r>
      <w:r/>
    </w:p>
    <w:p>
      <w:pPr>
        <w:ind w:firstLine="420"/>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卖方：</w:t>
      </w:r>
      <w:r/>
    </w:p>
    <w:p>
      <w:pPr>
        <w:ind w:firstLine="420"/>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采购代理机构：南京国景工程项目管理有限公司</w:t>
      </w:r>
      <w:r/>
    </w:p>
    <w:p>
      <w:pPr>
        <w:ind w:firstLine="420"/>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一、说明：</w:t>
      </w:r>
      <w:r/>
    </w:p>
    <w:p>
      <w:pPr>
        <w:ind w:firstLine="420"/>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受买方委托，采购代理机构于2026年 月 日组织了</w:t>
      </w:r>
      <w:r>
        <w:rPr>
          <w:b/>
          <w:bCs/>
          <w:color w:val="000000" w:themeColor="text1"/>
          <w:szCs w:val="21"/>
          <w:u w:val="single"/>
          <w14:textFill>
            <w14:solidFill>
              <w14:schemeClr w14:val="tx1"/>
            </w14:solidFill>
          </w14:textFill>
        </w:rPr>
        <w:t xml:space="preserve">东山站监测能力提升项目</w:t>
      </w:r>
      <w:r>
        <w:rPr>
          <w:color w:val="000000" w:themeColor="text1"/>
          <w:szCs w:val="21"/>
          <w14:textFill>
            <w14:solidFill>
              <w14:schemeClr w14:val="tx1"/>
            </w14:solidFill>
          </w14:textFill>
        </w:rPr>
        <w:t xml:space="preserve">的招标采购，经评委认真严格地评审，确定由卖方中标。</w:t>
      </w:r>
      <w:r/>
    </w:p>
    <w:p>
      <w:pPr>
        <w:ind w:firstLine="420"/>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二、合同条款：</w:t>
      </w:r>
      <w:r/>
    </w:p>
    <w:p>
      <w:pPr>
        <w:ind w:firstLine="420"/>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合同由买卖双方签订，并依据招标文件规定，按下列合同条款买方同意购入，卖方同意卖出下列设备及服务。</w:t>
      </w:r>
      <w:r/>
    </w:p>
    <w:p>
      <w:pPr>
        <w:ind w:firstLine="420"/>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1、设备名称、型号规格、数量及服务内容。</w:t>
      </w:r>
      <w:r/>
    </w:p>
    <w:p>
      <w:pPr>
        <w:ind w:firstLine="420"/>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详见第四章：</w:t>
      </w:r>
      <w:r>
        <w:rPr>
          <w:rFonts w:hint="eastAsia"/>
          <w:color w:val="000000" w:themeColor="text1"/>
          <w:szCs w:val="21"/>
          <w:lang w:val="en-US" w:eastAsia="zh-CN"/>
          <w14:textFill>
            <w14:solidFill>
              <w14:schemeClr w14:val="tx1"/>
            </w14:solidFill>
          </w14:textFill>
        </w:rPr>
        <w:t xml:space="preserve">项目</w:t>
      </w:r>
      <w:r>
        <w:rPr>
          <w:rFonts w:hint="eastAsia"/>
          <w:color w:val="000000" w:themeColor="text1"/>
          <w:szCs w:val="21"/>
          <w14:textFill>
            <w14:solidFill>
              <w14:schemeClr w14:val="tx1"/>
            </w14:solidFill>
          </w14:textFill>
        </w:rPr>
        <w:t xml:space="preserve">清单</w:t>
      </w:r>
      <w:r>
        <w:rPr>
          <w:color w:val="000000" w:themeColor="text1"/>
          <w:szCs w:val="21"/>
          <w14:textFill>
            <w14:solidFill>
              <w14:schemeClr w14:val="tx1"/>
            </w14:solidFill>
          </w14:textFill>
        </w:rPr>
        <w:t xml:space="preserve">。</w:t>
      </w:r>
      <w:r/>
    </w:p>
    <w:tbl>
      <w:tblPr>
        <w:tblStyle w:val="676"/>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60"/>
        <w:gridCol w:w="1289"/>
        <w:gridCol w:w="1516"/>
        <w:gridCol w:w="1666"/>
        <w:gridCol w:w="1770"/>
        <w:gridCol w:w="1587"/>
      </w:tblGrid>
      <w:tr>
        <w:trPr/>
        <w:tc>
          <w:tcPr>
            <w:tcW w:w="786" w:type="pct"/>
            <w:textDirection w:val="lrTb"/>
            <w:noWrap w:val="false"/>
          </w:tcPr>
          <w:p>
            <w:pPr>
              <w:jc w:val="center"/>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名称</w:t>
            </w:r>
            <w:r/>
          </w:p>
        </w:tc>
        <w:tc>
          <w:tcPr>
            <w:tcW w:w="694" w:type="pct"/>
            <w:textDirection w:val="lrTb"/>
            <w:noWrap w:val="false"/>
          </w:tcPr>
          <w:p>
            <w:pPr>
              <w:jc w:val="center"/>
              <w:spacing w:line="360" w:lineRule="auto"/>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规格/</w:t>
            </w:r>
            <w:r>
              <w:rPr>
                <w:color w:val="000000" w:themeColor="text1"/>
                <w:szCs w:val="21"/>
                <w14:textFill>
                  <w14:solidFill>
                    <w14:schemeClr w14:val="tx1"/>
                  </w14:solidFill>
                </w14:textFill>
              </w:rPr>
              <w:t xml:space="preserve">型号</w:t>
            </w:r>
            <w:r/>
          </w:p>
        </w:tc>
        <w:tc>
          <w:tcPr>
            <w:tcW w:w="816" w:type="pct"/>
            <w:textDirection w:val="lrTb"/>
            <w:noWrap w:val="false"/>
          </w:tcPr>
          <w:p>
            <w:pPr>
              <w:jc w:val="center"/>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数量</w:t>
            </w:r>
            <w:r/>
          </w:p>
        </w:tc>
        <w:tc>
          <w:tcPr>
            <w:tcW w:w="897" w:type="pct"/>
            <w:textDirection w:val="lrTb"/>
            <w:noWrap w:val="false"/>
          </w:tcPr>
          <w:p>
            <w:pPr>
              <w:jc w:val="center"/>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单价（元）</w:t>
            </w:r>
            <w:r/>
          </w:p>
        </w:tc>
        <w:tc>
          <w:tcPr>
            <w:tcW w:w="953" w:type="pct"/>
            <w:textDirection w:val="lrTb"/>
            <w:noWrap w:val="false"/>
          </w:tcPr>
          <w:p>
            <w:pPr>
              <w:jc w:val="center"/>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合计（万）</w:t>
            </w:r>
            <w:r/>
          </w:p>
        </w:tc>
        <w:tc>
          <w:tcPr>
            <w:tcW w:w="855" w:type="pct"/>
            <w:textDirection w:val="lrTb"/>
            <w:noWrap w:val="false"/>
          </w:tcPr>
          <w:p>
            <w:pPr>
              <w:jc w:val="center"/>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备注</w:t>
            </w:r>
            <w:r/>
          </w:p>
        </w:tc>
      </w:tr>
      <w:tr>
        <w:trPr/>
        <w:tc>
          <w:tcPr>
            <w:tcW w:w="786" w:type="pct"/>
            <w:textDirection w:val="lrTb"/>
            <w:noWrap w:val="false"/>
          </w:tcPr>
          <w:p>
            <w:pPr>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W w:w="694" w:type="pct"/>
            <w:textDirection w:val="lrTb"/>
            <w:noWrap w:val="false"/>
          </w:tcPr>
          <w:p>
            <w:pPr>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W w:w="816" w:type="pct"/>
            <w:textDirection w:val="lrTb"/>
            <w:noWrap w:val="false"/>
          </w:tcPr>
          <w:p>
            <w:pPr>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W w:w="897" w:type="pct"/>
            <w:textDirection w:val="lrTb"/>
            <w:noWrap w:val="false"/>
          </w:tcPr>
          <w:p>
            <w:pPr>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W w:w="953" w:type="pct"/>
            <w:textDirection w:val="lrTb"/>
            <w:noWrap w:val="false"/>
          </w:tcPr>
          <w:p>
            <w:pPr>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W w:w="855" w:type="pct"/>
            <w:textDirection w:val="lrTb"/>
            <w:noWrap w:val="false"/>
          </w:tcPr>
          <w:p>
            <w:pPr>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r>
      <w:tr>
        <w:trPr/>
        <w:tc>
          <w:tcPr>
            <w:tcW w:w="786" w:type="pct"/>
            <w:textDirection w:val="lrTb"/>
            <w:noWrap w:val="false"/>
          </w:tcPr>
          <w:p>
            <w:pPr>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W w:w="694" w:type="pct"/>
            <w:textDirection w:val="lrTb"/>
            <w:noWrap w:val="false"/>
          </w:tcPr>
          <w:p>
            <w:pPr>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W w:w="816" w:type="pct"/>
            <w:textDirection w:val="lrTb"/>
            <w:noWrap w:val="false"/>
          </w:tcPr>
          <w:p>
            <w:pPr>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W w:w="897" w:type="pct"/>
            <w:textDirection w:val="lrTb"/>
            <w:noWrap w:val="false"/>
          </w:tcPr>
          <w:p>
            <w:pPr>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W w:w="953" w:type="pct"/>
            <w:textDirection w:val="lrTb"/>
            <w:noWrap w:val="false"/>
          </w:tcPr>
          <w:p>
            <w:pPr>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W w:w="855" w:type="pct"/>
            <w:textDirection w:val="lrTb"/>
            <w:noWrap w:val="false"/>
          </w:tcPr>
          <w:p>
            <w:pPr>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r>
    </w:tbl>
    <w:p>
      <w:pPr>
        <w:ind w:firstLine="420"/>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2、合同总价（大写）：                         。</w:t>
      </w:r>
      <w:r/>
    </w:p>
    <w:p>
      <w:pPr>
        <w:ind w:firstLine="420"/>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      （小写）：            。</w:t>
      </w:r>
      <w:r/>
    </w:p>
    <w:p>
      <w:pPr>
        <w:ind w:firstLine="420"/>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2.1 投标报价，应包括本次招标范围内全部设备、材料、随设备提供的备品配件及专用工具的价格、全部税、包装费、运杂费（运抵买方项目现场）、保险费、安装费、调试费、买方操作维护人员培训费、验收检定费（含运输等费用）及投标人认为需要的其他费用等。</w:t>
      </w:r>
      <w:r/>
    </w:p>
    <w:p>
      <w:pPr>
        <w:ind w:firstLine="420"/>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2.2 在安装、调试、验收过程中，如发现有漏项、缺件，卖方应无条件、无偿补齐，所发生的一切费用，视为已包含在卖方投标时的投标报价之中，且并不因此而影响交付买方使用的时间。</w:t>
      </w:r>
      <w:r/>
    </w:p>
    <w:p>
      <w:pPr>
        <w:numPr>
          <w:ilvl w:val="0"/>
          <w:numId w:val="6"/>
        </w:numPr>
        <w:ind w:firstLine="422"/>
        <w:spacing w:line="360" w:lineRule="auto"/>
        <w:rPr>
          <w:bCs/>
          <w:color w:val="000000" w:themeColor="text1"/>
          <w:szCs w:val="21"/>
          <w14:textFill>
            <w14:solidFill>
              <w14:schemeClr w14:val="tx1"/>
            </w14:solidFill>
          </w14:textFill>
        </w:rPr>
      </w:pPr>
      <w:r>
        <w:rPr>
          <w:bCs/>
          <w:color w:val="000000" w:themeColor="text1"/>
          <w:szCs w:val="21"/>
          <w14:textFill>
            <w14:solidFill>
              <w14:schemeClr w14:val="tx1"/>
            </w14:solidFill>
          </w14:textFill>
        </w:rPr>
        <w:t xml:space="preserve">交付使用时间：</w:t>
      </w:r>
      <w:r>
        <w:rPr>
          <w:rFonts w:hint="eastAsia"/>
          <w:bCs/>
          <w:color w:val="000000" w:themeColor="text1"/>
          <w:szCs w:val="21"/>
          <w14:textFill>
            <w14:solidFill>
              <w14:schemeClr w14:val="tx1"/>
            </w14:solidFill>
          </w14:textFill>
        </w:rPr>
        <w:t xml:space="preserve">合同签订后90日历日</w:t>
      </w:r>
      <w:r>
        <w:rPr>
          <w:bCs/>
          <w:color w:val="000000" w:themeColor="text1"/>
          <w:szCs w:val="21"/>
          <w14:textFill>
            <w14:solidFill>
              <w14:schemeClr w14:val="tx1"/>
            </w14:solidFill>
          </w14:textFill>
        </w:rPr>
        <w:t xml:space="preserve">。</w:t>
      </w:r>
      <w:r/>
    </w:p>
    <w:p>
      <w:pPr>
        <w:ind w:firstLine="420"/>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4、收货人：买方指定收货人。</w:t>
      </w:r>
      <w:r/>
    </w:p>
    <w:p>
      <w:pPr>
        <w:ind w:firstLine="420"/>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5、交货地点：买方指定地点。</w:t>
      </w:r>
      <w:r/>
    </w:p>
    <w:p>
      <w:pPr>
        <w:ind w:firstLine="420"/>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6、设备的制造应符合下列标准或规范</w:t>
      </w:r>
      <w:r>
        <w:rPr>
          <w:rFonts w:hint="eastAsia"/>
          <w:color w:val="000000" w:themeColor="text1"/>
          <w:szCs w:val="21"/>
          <w14:textFill>
            <w14:solidFill>
              <w14:schemeClr w14:val="tx1"/>
            </w14:solidFill>
          </w14:textFill>
        </w:rPr>
        <w:t xml:space="preserve">（具体要求）</w:t>
      </w:r>
      <w:r>
        <w:rPr>
          <w:color w:val="000000" w:themeColor="text1"/>
          <w:szCs w:val="21"/>
          <w14:textFill>
            <w14:solidFill>
              <w14:schemeClr w14:val="tx1"/>
            </w14:solidFill>
          </w14:textFill>
        </w:rPr>
        <w:t xml:space="preserve">并据此验收：</w:t>
      </w:r>
      <w:r/>
    </w:p>
    <w:p>
      <w:pPr>
        <w:ind w:firstLine="420"/>
        <w:spacing w:line="360" w:lineRule="auto"/>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本项目以招标参数要求、施工图纸、设计变更和国家制订的施工及验收规范为质量评定验收标准。项目完工后，严格根据质量评定验收标准进行验收，乙方提供验收所需项目建设过程相关的全部资料，甲方出具验收合格证明。</w:t>
      </w:r>
      <w:r/>
    </w:p>
    <w:p>
      <w:pPr>
        <w:ind w:firstLine="420"/>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7、包装要求：全部货物的外包装，必须采用防漏、防潮、防震、防锈、防盗和考虑到可能会发生的野蛮装卸等长途内陆运输及多次装卸之需要。</w:t>
      </w:r>
      <w:r/>
    </w:p>
    <w:p>
      <w:pPr>
        <w:ind w:firstLine="420"/>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8、买方付款方式及期限：</w:t>
      </w:r>
      <w:r/>
    </w:p>
    <w:p>
      <w:pPr>
        <w:ind w:firstLine="420"/>
        <w:spacing w:line="360" w:lineRule="auto"/>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（1）</w:t>
      </w:r>
      <w:r>
        <w:rPr>
          <w:color w:val="000000" w:themeColor="text1"/>
          <w:szCs w:val="21"/>
          <w14:textFill>
            <w14:solidFill>
              <w14:schemeClr w14:val="tx1"/>
            </w14:solidFill>
          </w14:textFill>
        </w:rPr>
        <w:t xml:space="preserve">项目合同签订后，由中标人提供</w:t>
      </w:r>
      <w:r>
        <w:rPr>
          <w:rFonts w:hint="eastAsia"/>
          <w:color w:val="000000" w:themeColor="text1"/>
          <w:szCs w:val="21"/>
          <w14:textFill>
            <w14:solidFill>
              <w14:schemeClr w14:val="tx1"/>
            </w14:solidFill>
          </w14:textFill>
        </w:rPr>
        <w:t xml:space="preserve">合同总金额40%的预付款保函</w:t>
      </w:r>
      <w:r>
        <w:rPr>
          <w:color w:val="000000" w:themeColor="text1"/>
          <w:szCs w:val="21"/>
          <w14:textFill>
            <w14:solidFill>
              <w14:schemeClr w14:val="tx1"/>
            </w14:solidFill>
          </w14:textFill>
        </w:rPr>
        <w:t xml:space="preserve">，</w:t>
      </w:r>
      <w:r>
        <w:rPr>
          <w:rFonts w:hint="eastAsia"/>
          <w:color w:val="000000" w:themeColor="text1"/>
          <w:szCs w:val="21"/>
          <w14:textFill>
            <w14:solidFill>
              <w14:schemeClr w14:val="tx1"/>
            </w14:solidFill>
          </w14:textFill>
        </w:rPr>
        <w:t xml:space="preserve">买方在收到中标人提供的预付款保函后，</w:t>
      </w:r>
      <w:r>
        <w:rPr>
          <w:color w:val="000000" w:themeColor="text1"/>
          <w:szCs w:val="21"/>
          <w14:textFill>
            <w14:solidFill>
              <w14:schemeClr w14:val="tx1"/>
            </w14:solidFill>
          </w14:textFill>
        </w:rPr>
        <w:t xml:space="preserve">支付合同总金额的</w:t>
      </w:r>
      <w:r>
        <w:rPr>
          <w:rFonts w:hint="eastAsia"/>
          <w:color w:val="000000" w:themeColor="text1"/>
          <w:szCs w:val="21"/>
          <w14:textFill>
            <w14:solidFill>
              <w14:schemeClr w14:val="tx1"/>
            </w14:solidFill>
          </w14:textFill>
        </w:rPr>
        <w:t xml:space="preserve">4</w:t>
      </w:r>
      <w:r>
        <w:rPr>
          <w:color w:val="000000" w:themeColor="text1"/>
          <w:szCs w:val="21"/>
          <w14:textFill>
            <w14:solidFill>
              <w14:schemeClr w14:val="tx1"/>
            </w14:solidFill>
          </w14:textFill>
        </w:rPr>
        <w:t xml:space="preserve">0%</w:t>
      </w:r>
      <w:r>
        <w:rPr>
          <w:rFonts w:hint="eastAsia"/>
          <w:color w:val="000000" w:themeColor="text1"/>
          <w:szCs w:val="21"/>
          <w14:textFill>
            <w14:solidFill>
              <w14:schemeClr w14:val="tx1"/>
            </w14:solidFill>
          </w14:textFill>
        </w:rPr>
        <w:t xml:space="preserve">；</w:t>
      </w:r>
      <w:r/>
    </w:p>
    <w:p>
      <w:pPr>
        <w:ind w:firstLine="420"/>
        <w:spacing w:line="360" w:lineRule="auto"/>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（2）</w:t>
      </w:r>
      <w:r>
        <w:rPr>
          <w:color w:val="000000" w:themeColor="text1"/>
          <w:szCs w:val="21"/>
          <w14:textFill>
            <w14:solidFill>
              <w14:schemeClr w14:val="tx1"/>
            </w14:solidFill>
          </w14:textFill>
        </w:rPr>
        <w:t xml:space="preserve">设备安装调试</w:t>
      </w:r>
      <w:r>
        <w:rPr>
          <w:rFonts w:hint="eastAsia"/>
          <w:color w:val="000000" w:themeColor="text1"/>
          <w:szCs w:val="21"/>
          <w14:textFill>
            <w14:solidFill>
              <w14:schemeClr w14:val="tx1"/>
            </w14:solidFill>
          </w14:textFill>
        </w:rPr>
        <w:t xml:space="preserve">完成后</w:t>
      </w:r>
      <w:r>
        <w:rPr>
          <w:color w:val="000000" w:themeColor="text1"/>
          <w:szCs w:val="21"/>
          <w14:textFill>
            <w14:solidFill>
              <w14:schemeClr w14:val="tx1"/>
            </w14:solidFill>
          </w14:textFill>
        </w:rPr>
        <w:t xml:space="preserve">，</w:t>
      </w:r>
      <w:bookmarkStart w:id="26" w:name="OLE_LINK10"/>
      <w:r>
        <w:rPr>
          <w:color w:val="000000" w:themeColor="text1"/>
          <w:szCs w:val="21"/>
          <w14:textFill>
            <w14:solidFill>
              <w14:schemeClr w14:val="tx1"/>
            </w14:solidFill>
          </w14:textFill>
        </w:rPr>
        <w:t xml:space="preserve">由中标人提供</w:t>
      </w:r>
      <w:r>
        <w:rPr>
          <w:rFonts w:hint="eastAsia"/>
          <w:color w:val="000000" w:themeColor="text1"/>
          <w:szCs w:val="21"/>
          <w14:textFill>
            <w14:solidFill>
              <w14:schemeClr w14:val="tx1"/>
            </w14:solidFill>
          </w14:textFill>
        </w:rPr>
        <w:t xml:space="preserve">相应金额</w:t>
      </w:r>
      <w:r>
        <w:rPr>
          <w:color w:val="000000" w:themeColor="text1"/>
          <w:szCs w:val="21"/>
          <w14:textFill>
            <w14:solidFill>
              <w14:schemeClr w14:val="tx1"/>
            </w14:solidFill>
          </w14:textFill>
        </w:rPr>
        <w:t xml:space="preserve">正式发票，</w:t>
      </w:r>
      <w:r>
        <w:rPr>
          <w:rFonts w:hint="eastAsia"/>
          <w:color w:val="000000" w:themeColor="text1"/>
          <w:szCs w:val="21"/>
          <w14:textFill>
            <w14:solidFill>
              <w14:schemeClr w14:val="tx1"/>
            </w14:solidFill>
          </w14:textFill>
        </w:rPr>
        <w:t xml:space="preserve">买方</w:t>
      </w:r>
      <w:r>
        <w:rPr>
          <w:color w:val="000000" w:themeColor="text1"/>
          <w:szCs w:val="21"/>
          <w14:textFill>
            <w14:solidFill>
              <w14:schemeClr w14:val="tx1"/>
            </w14:solidFill>
          </w14:textFill>
        </w:rPr>
        <w:t xml:space="preserve">支付合同总金额</w:t>
      </w:r>
      <w:r>
        <w:rPr>
          <w:rFonts w:hint="eastAsia"/>
          <w:color w:val="000000" w:themeColor="text1"/>
          <w:szCs w:val="21"/>
          <w14:textFill>
            <w14:solidFill>
              <w14:schemeClr w14:val="tx1"/>
            </w14:solidFill>
          </w14:textFill>
        </w:rPr>
        <w:t xml:space="preserve">的2</w:t>
      </w:r>
      <w:r>
        <w:rPr>
          <w:color w:val="000000" w:themeColor="text1"/>
          <w:szCs w:val="21"/>
          <w14:textFill>
            <w14:solidFill>
              <w14:schemeClr w14:val="tx1"/>
            </w14:solidFill>
          </w14:textFill>
        </w:rPr>
        <w:t xml:space="preserve">0%；</w:t>
      </w:r>
      <w:bookmarkEnd w:id="26"/>
      <w:r/>
      <w:r/>
    </w:p>
    <w:p>
      <w:pPr>
        <w:ind w:firstLine="420"/>
        <w:spacing w:line="360" w:lineRule="auto"/>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（3）建筑工程部分安装实施完成后，</w:t>
      </w:r>
      <w:r>
        <w:rPr>
          <w:color w:val="000000" w:themeColor="text1"/>
          <w:szCs w:val="21"/>
          <w14:textFill>
            <w14:solidFill>
              <w14:schemeClr w14:val="tx1"/>
            </w14:solidFill>
          </w14:textFill>
        </w:rPr>
        <w:t xml:space="preserve">由中标人提供</w:t>
      </w:r>
      <w:r>
        <w:rPr>
          <w:rFonts w:hint="eastAsia"/>
          <w:color w:val="000000" w:themeColor="text1"/>
          <w:szCs w:val="21"/>
          <w14:textFill>
            <w14:solidFill>
              <w14:schemeClr w14:val="tx1"/>
            </w14:solidFill>
          </w14:textFill>
        </w:rPr>
        <w:t xml:space="preserve">相应金额</w:t>
      </w:r>
      <w:r>
        <w:rPr>
          <w:color w:val="000000" w:themeColor="text1"/>
          <w:szCs w:val="21"/>
          <w14:textFill>
            <w14:solidFill>
              <w14:schemeClr w14:val="tx1"/>
            </w14:solidFill>
          </w14:textFill>
        </w:rPr>
        <w:t xml:space="preserve">正式发票，</w:t>
      </w:r>
      <w:r>
        <w:rPr>
          <w:rFonts w:hint="eastAsia"/>
          <w:color w:val="000000" w:themeColor="text1"/>
          <w:szCs w:val="21"/>
          <w14:textFill>
            <w14:solidFill>
              <w14:schemeClr w14:val="tx1"/>
            </w14:solidFill>
          </w14:textFill>
        </w:rPr>
        <w:t xml:space="preserve">买方</w:t>
      </w:r>
      <w:r>
        <w:rPr>
          <w:color w:val="000000" w:themeColor="text1"/>
          <w:szCs w:val="21"/>
          <w14:textFill>
            <w14:solidFill>
              <w14:schemeClr w14:val="tx1"/>
            </w14:solidFill>
          </w14:textFill>
        </w:rPr>
        <w:t xml:space="preserve">支付合同总金额</w:t>
      </w:r>
      <w:r>
        <w:rPr>
          <w:rFonts w:hint="eastAsia"/>
          <w:color w:val="000000" w:themeColor="text1"/>
          <w:szCs w:val="21"/>
          <w14:textFill>
            <w14:solidFill>
              <w14:schemeClr w14:val="tx1"/>
            </w14:solidFill>
          </w14:textFill>
        </w:rPr>
        <w:t xml:space="preserve">的25</w:t>
      </w:r>
      <w:r>
        <w:rPr>
          <w:color w:val="000000" w:themeColor="text1"/>
          <w:szCs w:val="21"/>
          <w14:textFill>
            <w14:solidFill>
              <w14:schemeClr w14:val="tx1"/>
            </w14:solidFill>
          </w14:textFill>
        </w:rPr>
        <w:t xml:space="preserve">%； </w:t>
      </w:r>
      <w:r/>
    </w:p>
    <w:p>
      <w:pPr>
        <w:ind w:firstLine="420"/>
        <w:spacing w:line="360" w:lineRule="auto"/>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（4）买方在收到中标人提交的完工验收申请后，在7个工作日内组织开展验收工作；</w:t>
      </w:r>
      <w:r>
        <w:rPr>
          <w:color w:val="000000" w:themeColor="text1"/>
          <w:szCs w:val="21"/>
          <w14:textFill>
            <w14:solidFill>
              <w14:schemeClr w14:val="tx1"/>
            </w14:solidFill>
          </w14:textFill>
        </w:rPr>
        <w:t xml:space="preserve">完工验收</w:t>
      </w:r>
      <w:r>
        <w:rPr>
          <w:rFonts w:hint="eastAsia"/>
          <w:color w:val="000000" w:themeColor="text1"/>
          <w:szCs w:val="21"/>
          <w14:textFill>
            <w14:solidFill>
              <w14:schemeClr w14:val="tx1"/>
            </w14:solidFill>
          </w14:textFill>
        </w:rPr>
        <w:t xml:space="preserve">通过，经审计</w:t>
      </w:r>
      <w:r>
        <w:rPr>
          <w:color w:val="000000" w:themeColor="text1"/>
          <w:szCs w:val="21"/>
          <w14:textFill>
            <w14:solidFill>
              <w14:schemeClr w14:val="tx1"/>
            </w14:solidFill>
          </w14:textFill>
        </w:rPr>
        <w:t xml:space="preserve">达到付款条件起30</w:t>
      </w:r>
      <w:r>
        <w:rPr>
          <w:rFonts w:hint="eastAsia"/>
          <w:color w:val="000000" w:themeColor="text1"/>
          <w:szCs w:val="21"/>
          <w14:textFill>
            <w14:solidFill>
              <w14:schemeClr w14:val="tx1"/>
            </w14:solidFill>
          </w14:textFill>
        </w:rPr>
        <w:t xml:space="preserve">日历天</w:t>
      </w:r>
      <w:r>
        <w:rPr>
          <w:color w:val="000000" w:themeColor="text1"/>
          <w:szCs w:val="21"/>
          <w14:textFill>
            <w14:solidFill>
              <w14:schemeClr w14:val="tx1"/>
            </w14:solidFill>
          </w14:textFill>
        </w:rPr>
        <w:t xml:space="preserve">内，由中标人提供等额正式发票，</w:t>
      </w:r>
      <w:r>
        <w:rPr>
          <w:rFonts w:hint="eastAsia"/>
          <w:color w:val="000000" w:themeColor="text1"/>
          <w:szCs w:val="21"/>
          <w14:textFill>
            <w14:solidFill>
              <w14:schemeClr w14:val="tx1"/>
            </w14:solidFill>
          </w14:textFill>
        </w:rPr>
        <w:t xml:space="preserve">买方根据审定价</w:t>
      </w:r>
      <w:r>
        <w:rPr>
          <w:color w:val="000000" w:themeColor="text1"/>
          <w:szCs w:val="21"/>
          <w14:textFill>
            <w14:solidFill>
              <w14:schemeClr w14:val="tx1"/>
            </w14:solidFill>
          </w14:textFill>
        </w:rPr>
        <w:t xml:space="preserve">支付剩余尾款。</w:t>
      </w:r>
      <w:r/>
    </w:p>
    <w:p>
      <w:pPr>
        <w:ind w:firstLine="420"/>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9、验收</w:t>
      </w:r>
      <w:r/>
    </w:p>
    <w:p>
      <w:pPr>
        <w:ind w:firstLine="420"/>
        <w:spacing w:line="360" w:lineRule="auto"/>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基础设施建设、</w:t>
      </w:r>
      <w:r>
        <w:rPr>
          <w:color w:val="000000" w:themeColor="text1"/>
          <w:szCs w:val="21"/>
          <w14:textFill>
            <w14:solidFill>
              <w14:schemeClr w14:val="tx1"/>
            </w14:solidFill>
          </w14:textFill>
        </w:rPr>
        <w:t xml:space="preserve">设备、材料安装、调试结束，买、卖双方派员共同验收，达到验收标准，则验收合格。</w:t>
      </w:r>
      <w:r/>
    </w:p>
    <w:p>
      <w:pPr>
        <w:ind w:firstLine="420"/>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10、质保期及售后服务</w:t>
      </w:r>
      <w:r/>
    </w:p>
    <w:p>
      <w:pPr>
        <w:ind w:firstLine="422"/>
        <w:spacing w:line="360" w:lineRule="auto"/>
        <w:rPr>
          <w:color w:val="000000" w:themeColor="text1"/>
          <w:szCs w:val="21"/>
          <w14:textFill>
            <w14:solidFill>
              <w14:schemeClr w14:val="tx1"/>
            </w14:solidFill>
          </w14:textFill>
        </w:rPr>
      </w:pPr>
      <w:r>
        <w:rPr>
          <w:b/>
          <w:color w:val="000000" w:themeColor="text1"/>
          <w:szCs w:val="21"/>
          <w14:textFill>
            <w14:solidFill>
              <w14:schemeClr w14:val="tx1"/>
            </w14:solidFill>
          </w14:textFill>
        </w:rPr>
        <w:t xml:space="preserve">10.1 卖方所供</w:t>
      </w:r>
      <w:r>
        <w:rPr>
          <w:rFonts w:hint="eastAsia"/>
          <w:color w:val="000000" w:themeColor="text1"/>
          <w:szCs w:val="21"/>
          <w14:textFill>
            <w14:solidFill>
              <w14:schemeClr w14:val="tx1"/>
            </w14:solidFill>
          </w14:textFill>
        </w:rPr>
        <w:t xml:space="preserve">主要设备（AR全景展示系统、数据展示终端、融媒体平台主机、机器人）提供2年质保，其余设备</w:t>
      </w:r>
      <w:r>
        <w:rPr>
          <w:color w:val="000000" w:themeColor="text1"/>
          <w:szCs w:val="21"/>
          <w14:textFill>
            <w14:solidFill>
              <w14:schemeClr w14:val="tx1"/>
            </w14:solidFill>
          </w14:textFill>
        </w:rPr>
        <w:t xml:space="preserve">、材料及安装的质保期</w:t>
      </w:r>
      <w:r>
        <w:rPr>
          <w:rFonts w:hint="eastAsia"/>
          <w:color w:val="000000" w:themeColor="text1"/>
          <w:szCs w:val="21"/>
          <w14:textFill>
            <w14:solidFill>
              <w14:schemeClr w14:val="tx1"/>
            </w14:solidFill>
          </w14:textFill>
        </w:rPr>
        <w:t xml:space="preserve">为1年。</w:t>
      </w:r>
      <w:r/>
    </w:p>
    <w:p>
      <w:pPr>
        <w:ind w:firstLine="420"/>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10.2 在质保期内，因卖方所供设备、材料制造质量或安装问题出现设备故障时，卖方在接买方通知后，2小时内响应，并在24小时内赶到买方现场，免费予以排除故障、修复或更换零部件。还应支付因更换所发生的运输、保险、安装、检测等有关的全部费用。</w:t>
      </w:r>
      <w:r/>
    </w:p>
    <w:p>
      <w:pPr>
        <w:ind w:firstLine="420"/>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10.3 在质保期内，因买方使用不当原因出现设备故障时，卖方在接买方通知后，应在10.2条款中所述的时限内赶到买方现场，帮助排除故障、修复或更换零部件，需购买零部件时，酌情收取成本费。</w:t>
      </w:r>
      <w:r/>
    </w:p>
    <w:p>
      <w:pPr>
        <w:ind w:firstLine="420"/>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10.4 质保期满后，如设备出现故障，卖方在接买方通知后，仍应在上述时间内响应、派人赶到买方现场，帮助排除故障、修复或更换零部件，需购买零部件时，酌情收取成本费。</w:t>
      </w:r>
      <w:r/>
    </w:p>
    <w:p>
      <w:pPr>
        <w:ind w:firstLine="420"/>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11、技术资料</w:t>
      </w:r>
      <w:r/>
    </w:p>
    <w:p>
      <w:pPr>
        <w:ind w:firstLine="420"/>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按第四章采购需求中的要求提供相关资料。</w:t>
      </w:r>
      <w:r/>
    </w:p>
    <w:p>
      <w:pPr>
        <w:ind w:firstLine="420"/>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12、卖方的违约责任</w:t>
      </w:r>
      <w:r/>
    </w:p>
    <w:p>
      <w:pPr>
        <w:ind w:firstLine="420"/>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12.1 卖方未按合同规定的质量要求交货，买方有权拒收，由此造成的直接损失和间接损失由卖方赔偿。</w:t>
      </w:r>
      <w:r/>
    </w:p>
    <w:p>
      <w:pPr>
        <w:ind w:firstLine="420"/>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12.2 卖方逾期交付（包括整修、返工、补交或由买方提出更改、卖方承诺，但未在承诺的工期内完成等）应向买方偿付违约金，每逾期1天，按合同总价的万分之五偿付违约金</w:t>
      </w:r>
      <w:r>
        <w:rPr>
          <w:rFonts w:hint="eastAsia"/>
          <w:color w:val="000000" w:themeColor="text1"/>
          <w:szCs w:val="21"/>
          <w14:textFill>
            <w14:solidFill>
              <w14:schemeClr w14:val="tx1"/>
            </w14:solidFill>
          </w14:textFill>
        </w:rPr>
        <w:t xml:space="preserve">，最高不超过合同总金额的10%</w:t>
      </w:r>
      <w:r>
        <w:rPr>
          <w:color w:val="000000" w:themeColor="text1"/>
          <w:szCs w:val="21"/>
          <w14:textFill>
            <w14:solidFill>
              <w14:schemeClr w14:val="tx1"/>
            </w14:solidFill>
          </w14:textFill>
        </w:rPr>
        <w:t xml:space="preserve">。</w:t>
      </w:r>
      <w:r/>
    </w:p>
    <w:p>
      <w:pPr>
        <w:ind w:firstLine="420"/>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12.3 卖方不能交付或不能完成合同，卖方</w:t>
      </w:r>
      <w:r>
        <w:rPr>
          <w:rFonts w:hint="eastAsia"/>
          <w:color w:val="000000" w:themeColor="text1"/>
          <w:szCs w:val="21"/>
          <w14:textFill>
            <w14:solidFill>
              <w14:schemeClr w14:val="tx1"/>
            </w14:solidFill>
          </w14:textFill>
        </w:rPr>
        <w:t xml:space="preserve">应</w:t>
      </w:r>
      <w:r>
        <w:rPr>
          <w:color w:val="000000" w:themeColor="text1"/>
          <w:szCs w:val="21"/>
          <w14:textFill>
            <w14:solidFill>
              <w14:schemeClr w14:val="tx1"/>
            </w14:solidFill>
          </w14:textFill>
        </w:rPr>
        <w:t xml:space="preserve">返还买方已支付的</w:t>
      </w:r>
      <w:r>
        <w:rPr>
          <w:rFonts w:hint="eastAsia"/>
          <w:color w:val="000000" w:themeColor="text1"/>
          <w:szCs w:val="21"/>
          <w14:textFill>
            <w14:solidFill>
              <w14:schemeClr w14:val="tx1"/>
            </w14:solidFill>
          </w14:textFill>
        </w:rPr>
        <w:t xml:space="preserve">全部</w:t>
      </w:r>
      <w:r>
        <w:rPr>
          <w:color w:val="000000" w:themeColor="text1"/>
          <w:szCs w:val="21"/>
          <w14:textFill>
            <w14:solidFill>
              <w14:schemeClr w14:val="tx1"/>
            </w14:solidFill>
          </w14:textFill>
        </w:rPr>
        <w:t xml:space="preserve">货款</w:t>
      </w:r>
      <w:r>
        <w:rPr>
          <w:rFonts w:hint="eastAsia"/>
          <w:color w:val="000000" w:themeColor="text1"/>
          <w:szCs w:val="21"/>
          <w14:textFill>
            <w14:solidFill>
              <w14:schemeClr w14:val="tx1"/>
            </w14:solidFill>
          </w14:textFill>
        </w:rPr>
        <w:t xml:space="preserve">，并向买方偿付违约金，按合同总价的10%偿付违约金。</w:t>
      </w:r>
      <w:r/>
    </w:p>
    <w:p>
      <w:pPr>
        <w:ind w:firstLine="420"/>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12.4 本合同所有货物的制造及安装，都必须由卖方自己或投标文件中明确的单位承担，不得分包给其他单位。否则，买方有权按卖方不能交付或不能完成合同处理。</w:t>
      </w:r>
      <w:r/>
    </w:p>
    <w:p>
      <w:pPr>
        <w:ind w:firstLine="420"/>
        <w:spacing w:line="360" w:lineRule="auto"/>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12.5</w:t>
      </w:r>
      <w:r>
        <w:rPr>
          <w:color w:val="000000" w:themeColor="text1"/>
          <w:szCs w:val="21"/>
          <w14:textFill>
            <w14:solidFill>
              <w14:schemeClr w14:val="tx1"/>
            </w14:solidFill>
          </w14:textFill>
        </w:rPr>
        <w:t xml:space="preserve"> </w:t>
      </w:r>
      <w:r>
        <w:rPr>
          <w:rFonts w:hint="eastAsia"/>
          <w:color w:val="000000" w:themeColor="text1"/>
          <w:szCs w:val="21"/>
          <w14:textFill>
            <w14:solidFill>
              <w14:schemeClr w14:val="tx1"/>
            </w14:solidFill>
          </w14:textFill>
        </w:rPr>
        <w:t xml:space="preserve">卖方</w:t>
      </w:r>
      <w:r>
        <w:rPr>
          <w:color w:val="000000" w:themeColor="text1"/>
          <w:szCs w:val="21"/>
          <w14:textFill>
            <w14:solidFill>
              <w14:schemeClr w14:val="tx1"/>
            </w14:solidFill>
          </w14:textFill>
        </w:rPr>
        <w:t xml:space="preserve">派驻本项目的项目负责人、技术负责人必须与投标文件所报人员保持一致，且在岗履职人员与现场实际负责人相符。</w:t>
      </w:r>
      <w:r>
        <w:rPr>
          <w:rFonts w:hint="eastAsia"/>
          <w:color w:val="000000" w:themeColor="text1"/>
          <w:szCs w:val="21"/>
          <w14:textFill>
            <w14:solidFill>
              <w14:schemeClr w14:val="tx1"/>
            </w14:solidFill>
          </w14:textFill>
        </w:rPr>
        <w:t xml:space="preserve">买方</w:t>
      </w:r>
      <w:r>
        <w:rPr>
          <w:color w:val="000000" w:themeColor="text1"/>
          <w:szCs w:val="21"/>
          <w14:textFill>
            <w14:solidFill>
              <w14:schemeClr w14:val="tx1"/>
            </w14:solidFill>
          </w14:textFill>
        </w:rPr>
        <w:t xml:space="preserve">不定期进行在岗抽查，每发现一次项目负责人未经</w:t>
      </w:r>
      <w:r>
        <w:rPr>
          <w:rFonts w:hint="eastAsia"/>
          <w:color w:val="000000" w:themeColor="text1"/>
          <w:szCs w:val="21"/>
          <w14:textFill>
            <w14:solidFill>
              <w14:schemeClr w14:val="tx1"/>
            </w14:solidFill>
          </w14:textFill>
        </w:rPr>
        <w:t xml:space="preserve">买方</w:t>
      </w:r>
      <w:r>
        <w:rPr>
          <w:color w:val="000000" w:themeColor="text1"/>
          <w:szCs w:val="21"/>
          <w14:textFill>
            <w14:solidFill>
              <w14:schemeClr w14:val="tx1"/>
            </w14:solidFill>
          </w14:textFill>
        </w:rPr>
        <w:t xml:space="preserve">同意不在施工现场的，</w:t>
      </w:r>
      <w:r>
        <w:rPr>
          <w:rFonts w:hint="eastAsia"/>
          <w:color w:val="000000" w:themeColor="text1"/>
          <w:szCs w:val="21"/>
          <w14:textFill>
            <w14:solidFill>
              <w14:schemeClr w14:val="tx1"/>
            </w14:solidFill>
          </w14:textFill>
        </w:rPr>
        <w:t xml:space="preserve">卖方</w:t>
      </w:r>
      <w:r>
        <w:rPr>
          <w:color w:val="000000" w:themeColor="text1"/>
          <w:szCs w:val="21"/>
          <w14:textFill>
            <w14:solidFill>
              <w14:schemeClr w14:val="tx1"/>
            </w14:solidFill>
          </w14:textFill>
        </w:rPr>
        <w:t xml:space="preserve">应向</w:t>
      </w:r>
      <w:r>
        <w:rPr>
          <w:rFonts w:hint="eastAsia"/>
          <w:color w:val="000000" w:themeColor="text1"/>
          <w:szCs w:val="21"/>
          <w14:textFill>
            <w14:solidFill>
              <w14:schemeClr w14:val="tx1"/>
            </w14:solidFill>
          </w14:textFill>
        </w:rPr>
        <w:t xml:space="preserve">买方</w:t>
      </w:r>
      <w:r>
        <w:rPr>
          <w:color w:val="000000" w:themeColor="text1"/>
          <w:szCs w:val="21"/>
          <w14:textFill>
            <w14:solidFill>
              <w14:schemeClr w14:val="tx1"/>
            </w14:solidFill>
          </w14:textFill>
        </w:rPr>
        <w:t xml:space="preserve">支付违约金，违约金按本项目合同总价款的万分之</w:t>
      </w:r>
      <w:r>
        <w:rPr>
          <w:rFonts w:hint="eastAsia"/>
          <w:color w:val="000000" w:themeColor="text1"/>
          <w:szCs w:val="21"/>
          <w14:textFill>
            <w14:solidFill>
              <w14:schemeClr w14:val="tx1"/>
            </w14:solidFill>
          </w14:textFill>
        </w:rPr>
        <w:t xml:space="preserve">五</w:t>
      </w:r>
      <w:r>
        <w:rPr>
          <w:color w:val="000000" w:themeColor="text1"/>
          <w:szCs w:val="21"/>
          <w14:textFill>
            <w14:solidFill>
              <w14:schemeClr w14:val="tx1"/>
            </w14:solidFill>
          </w14:textFill>
        </w:rPr>
        <w:t xml:space="preserve">计取；技术负责人擅自脱岗参照同等标准执行。违约金</w:t>
      </w:r>
      <w:r>
        <w:rPr>
          <w:rFonts w:hint="eastAsia"/>
          <w:color w:val="000000" w:themeColor="text1"/>
          <w:szCs w:val="21"/>
          <w14:textFill>
            <w14:solidFill>
              <w14:schemeClr w14:val="tx1"/>
            </w14:solidFill>
          </w14:textFill>
        </w:rPr>
        <w:t xml:space="preserve">买方</w:t>
      </w:r>
      <w:r>
        <w:rPr>
          <w:color w:val="000000" w:themeColor="text1"/>
          <w:szCs w:val="21"/>
          <w14:textFill>
            <w14:solidFill>
              <w14:schemeClr w14:val="tx1"/>
            </w14:solidFill>
          </w14:textFill>
        </w:rPr>
        <w:t xml:space="preserve">有权直接从</w:t>
      </w:r>
      <w:r>
        <w:rPr>
          <w:rFonts w:hint="eastAsia"/>
          <w:color w:val="000000" w:themeColor="text1"/>
          <w:szCs w:val="21"/>
          <w14:textFill>
            <w14:solidFill>
              <w14:schemeClr w14:val="tx1"/>
            </w14:solidFill>
          </w14:textFill>
        </w:rPr>
        <w:t xml:space="preserve">合同款</w:t>
      </w:r>
      <w:r>
        <w:rPr>
          <w:color w:val="000000" w:themeColor="text1"/>
          <w:szCs w:val="21"/>
          <w14:textFill>
            <w14:solidFill>
              <w14:schemeClr w14:val="tx1"/>
            </w14:solidFill>
          </w14:textFill>
        </w:rPr>
        <w:t xml:space="preserve">中予以扣除。</w:t>
      </w:r>
      <w:r/>
    </w:p>
    <w:p>
      <w:pPr>
        <w:ind w:firstLine="420"/>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12.</w:t>
      </w:r>
      <w:r>
        <w:rPr>
          <w:rFonts w:hint="eastAsia"/>
          <w:color w:val="000000" w:themeColor="text1"/>
          <w:szCs w:val="21"/>
          <w14:textFill>
            <w14:solidFill>
              <w14:schemeClr w14:val="tx1"/>
            </w14:solidFill>
          </w14:textFill>
        </w:rPr>
        <w:t xml:space="preserve">6</w:t>
      </w:r>
      <w:r>
        <w:rPr>
          <w:color w:val="000000" w:themeColor="text1"/>
          <w:szCs w:val="21"/>
          <w14:textFill>
            <w14:solidFill>
              <w14:schemeClr w14:val="tx1"/>
            </w14:solidFill>
          </w14:textFill>
        </w:rPr>
        <w:t xml:space="preserve"> 卖方履行义务不符合合同约定时，买方将扣减10%尾款。</w:t>
      </w:r>
      <w:r/>
    </w:p>
    <w:p>
      <w:pPr>
        <w:ind w:firstLine="420"/>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13、买方的违约责任：买方未按合同规定的时间和要求向卖方提供相关安装条件等，卖方交付时间顺延</w:t>
      </w:r>
      <w:r>
        <w:rPr>
          <w:rFonts w:hint="eastAsia"/>
          <w:color w:val="000000" w:themeColor="text1"/>
          <w:szCs w:val="21"/>
          <w14:textFill>
            <w14:solidFill>
              <w14:schemeClr w14:val="tx1"/>
            </w14:solidFill>
          </w14:textFill>
        </w:rPr>
        <w:t xml:space="preserve">，且如因买方原因最终导致工期延误，</w:t>
      </w:r>
      <w:r>
        <w:rPr>
          <w:color w:val="000000" w:themeColor="text1"/>
          <w:szCs w:val="21"/>
          <w14:textFill>
            <w14:solidFill>
              <w14:schemeClr w14:val="tx1"/>
            </w14:solidFill>
          </w14:textFill>
        </w:rPr>
        <w:t xml:space="preserve">应向</w:t>
      </w:r>
      <w:r>
        <w:rPr>
          <w:rFonts w:hint="eastAsia"/>
          <w:color w:val="000000" w:themeColor="text1"/>
          <w:szCs w:val="21"/>
          <w14:textFill>
            <w14:solidFill>
              <w14:schemeClr w14:val="tx1"/>
            </w14:solidFill>
          </w14:textFill>
        </w:rPr>
        <w:t xml:space="preserve">卖方</w:t>
      </w:r>
      <w:r>
        <w:rPr>
          <w:color w:val="000000" w:themeColor="text1"/>
          <w:szCs w:val="21"/>
          <w14:textFill>
            <w14:solidFill>
              <w14:schemeClr w14:val="tx1"/>
            </w14:solidFill>
          </w14:textFill>
        </w:rPr>
        <w:t xml:space="preserve">偿付违约金，每逾期1天，按合同总价的万分之五偿付违约金</w:t>
      </w:r>
      <w:r>
        <w:rPr>
          <w:rFonts w:hint="eastAsia"/>
          <w:color w:val="000000" w:themeColor="text1"/>
          <w:szCs w:val="21"/>
          <w14:textFill>
            <w14:solidFill>
              <w14:schemeClr w14:val="tx1"/>
            </w14:solidFill>
          </w14:textFill>
        </w:rPr>
        <w:t xml:space="preserve">，最高不超过合同总金额的10%</w:t>
      </w:r>
      <w:r>
        <w:rPr>
          <w:color w:val="000000" w:themeColor="text1"/>
          <w:szCs w:val="21"/>
          <w14:textFill>
            <w14:solidFill>
              <w14:schemeClr w14:val="tx1"/>
            </w14:solidFill>
          </w14:textFill>
        </w:rPr>
        <w:t xml:space="preserve">。</w:t>
      </w:r>
      <w:r/>
    </w:p>
    <w:p>
      <w:pPr>
        <w:ind w:firstLine="420"/>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14、卖方供给买方的设备、材料及卖方自己的施工用具，进入买方工地现场后的保管，由卖方负责；卖方在买方工地现场安装、调试、验收人员的安全、保险、食宿、交通由卖方负责。</w:t>
      </w:r>
      <w:r/>
    </w:p>
    <w:p>
      <w:pPr>
        <w:ind w:firstLine="420"/>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15、卖方在设备安装、调试、验收过程中，买方提供下列条件和配合，超出下列范围的由卖方自理： </w:t>
      </w:r>
      <w:r/>
    </w:p>
    <w:p>
      <w:pPr>
        <w:ind w:firstLine="420"/>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（1）提供符合设备安装要求的场地及土建基础（含基础验收、预埋件、预留孔洞），并保证施工条件具备；</w:t>
      </w:r>
      <w:r/>
    </w:p>
    <w:p>
      <w:pPr>
        <w:ind w:firstLine="420"/>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（2）在设备安装点附近提供施工用水、用电接驳点（电源接口、水源接口）；</w:t>
      </w:r>
      <w:r/>
    </w:p>
    <w:p>
      <w:pPr>
        <w:ind w:firstLine="420"/>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（3）负责协调卖方与现场其他施工单位、土建单位的交叉作业关系，为安装、调试提供必要的施工便利；</w:t>
      </w:r>
      <w:r/>
    </w:p>
    <w:p>
      <w:pPr>
        <w:ind w:firstLine="420"/>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（4）提供设备及材料的临时存放场地，保管责任由卖方承担；</w:t>
      </w:r>
      <w:r/>
    </w:p>
    <w:p>
      <w:pPr>
        <w:ind w:firstLine="420"/>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（5）指派专人负责现场接洽与配合，并提供与设备安装、调试、验收相关的技术资料；</w:t>
      </w:r>
      <w:r/>
    </w:p>
    <w:p>
      <w:pPr>
        <w:ind w:firstLine="420"/>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（6）按合同约定组织验收，提供设备试运行所需的条件（如被测介质、运行工况等）。</w:t>
      </w:r>
      <w:r/>
    </w:p>
    <w:p>
      <w:pPr>
        <w:ind w:firstLine="420"/>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16、买方使用卖方提供的设备，当受到第三方提出的侵犯其专利权、商标权或工业设计权的起诉时，一切后果由卖方负责。</w:t>
      </w:r>
      <w:r/>
    </w:p>
    <w:p>
      <w:pPr>
        <w:ind w:firstLine="420"/>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17、合同的生效：本合同一式六份，自买卖双方签字、盖章之日起生效。招标文件和投标文件都是合同不可分割的部分，与合同具有同等法律效力，如有冲突，由买方负责解释。</w:t>
      </w:r>
      <w:r/>
    </w:p>
    <w:p>
      <w:pPr>
        <w:ind w:firstLine="420"/>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18、未尽事宜、双方协商解决。如协商不能达成一致，则任何一方均可将争议提交签约地人民法院诉讼解决。</w:t>
      </w:r>
      <w:r/>
    </w:p>
    <w:p>
      <w:pPr>
        <w:ind w:firstLine="420"/>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买方：                                卖方：</w:t>
      </w:r>
      <w:r/>
    </w:p>
    <w:p>
      <w:pPr>
        <w:ind w:firstLine="420"/>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（盖章）                             （盖章）</w:t>
      </w:r>
      <w:r/>
    </w:p>
    <w:p>
      <w:pPr>
        <w:ind w:firstLine="420"/>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授权代表：                            授权代表： </w:t>
      </w:r>
      <w:r/>
    </w:p>
    <w:p>
      <w:pPr>
        <w:ind w:firstLine="420"/>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电   话：                             电   话：  </w:t>
      </w:r>
      <w:r/>
    </w:p>
    <w:p>
      <w:pPr>
        <w:ind w:firstLine="420"/>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传   真：                             传   真：</w:t>
      </w:r>
      <w:r/>
    </w:p>
    <w:p>
      <w:pPr>
        <w:ind w:firstLine="420"/>
        <w:spacing w:line="360" w:lineRule="auto"/>
        <w:rPr>
          <w:color w:val="000000" w:themeColor="text1"/>
          <w14:textFill>
            <w14:solidFill>
              <w14:schemeClr w14:val="tx1"/>
            </w14:solidFill>
          </w14:textFill>
        </w:rPr>
      </w:pPr>
      <w:r>
        <w:rPr>
          <w:color w:val="000000" w:themeColor="text1"/>
          <w:szCs w:val="21"/>
          <w14:textFill>
            <w14:solidFill>
              <w14:schemeClr w14:val="tx1"/>
            </w14:solidFill>
          </w14:textFill>
        </w:rPr>
        <w:t xml:space="preserve">地   址：                             地   址：</w:t>
      </w:r>
      <w:r>
        <w:rPr>
          <w:color w:val="000000" w:themeColor="text1"/>
          <w14:textFill>
            <w14:solidFill>
              <w14:schemeClr w14:val="tx1"/>
            </w14:solidFill>
          </w14:textFill>
        </w:rPr>
        <w:br w:type="page" w:clear="all"/>
      </w:r>
      <w:r/>
    </w:p>
    <w:p>
      <w:pPr>
        <w:jc w:val="center"/>
        <w:spacing w:line="519" w:lineRule="atLeast"/>
        <w:widowControl/>
        <w:rPr>
          <w:rFonts w:ascii="Arial" w:hAnsi="Arial" w:eastAsia="Arial"/>
          <w:color w:val="000000" w:themeColor="text1"/>
          <w:szCs w:val="22"/>
          <w14:textFill>
            <w14:solidFill>
              <w14:schemeClr w14:val="tx1"/>
            </w14:solidFill>
          </w14:textFill>
        </w:rPr>
      </w:pPr>
      <w:r>
        <w:rPr>
          <w:rFonts w:ascii="宋体" w:hAnsi="宋体" w:cs="宋体"/>
          <w:b/>
          <w:color w:val="000000" w:themeColor="text1"/>
          <w:szCs w:val="22"/>
          <w14:textFill>
            <w14:solidFill>
              <w14:schemeClr w14:val="tx1"/>
            </w14:solidFill>
          </w14:textFill>
        </w:rPr>
        <w:t xml:space="preserve">廉政合同</w:t>
      </w:r>
      <w:r/>
    </w:p>
    <w:p>
      <w:pPr>
        <w:ind w:firstLine="420"/>
        <w:spacing w:line="519" w:lineRule="atLeast"/>
        <w:widowControl/>
        <w:rPr>
          <w:rFonts w:ascii="Arial" w:hAnsi="Arial" w:eastAsia="Arial"/>
          <w:color w:val="000000" w:themeColor="text1"/>
          <w:szCs w:val="22"/>
          <w14:textFill>
            <w14:solidFill>
              <w14:schemeClr w14:val="tx1"/>
            </w14:solidFill>
          </w14:textFill>
        </w:rPr>
      </w:pPr>
      <w:r>
        <w:rPr>
          <w:rFonts w:hint="eastAsia" w:ascii="宋体" w:hAnsi="宋体" w:cs="宋体"/>
          <w:color w:val="000000" w:themeColor="text1"/>
          <w:szCs w:val="22"/>
          <w14:textFill>
            <w14:solidFill>
              <w14:schemeClr w14:val="tx1"/>
            </w14:solidFill>
          </w14:textFill>
        </w:rPr>
        <w:t xml:space="preserve">买方</w:t>
      </w:r>
      <w:r>
        <w:rPr>
          <w:rFonts w:ascii="宋体" w:hAnsi="宋体" w:cs="宋体"/>
          <w:color w:val="000000" w:themeColor="text1"/>
          <w:szCs w:val="22"/>
          <w14:textFill>
            <w14:solidFill>
              <w14:schemeClr w14:val="tx1"/>
            </w14:solidFill>
          </w14:textFill>
        </w:rPr>
        <w:t xml:space="preserve">：</w:t>
      </w:r>
      <w:r>
        <w:rPr>
          <w:rFonts w:ascii="宋体" w:hAnsi="宋体" w:cs="宋体"/>
          <w:color w:val="000000" w:themeColor="text1"/>
          <w:szCs w:val="22"/>
          <w:u w:val="single"/>
          <w14:textFill>
            <w14:solidFill>
              <w14:schemeClr w14:val="tx1"/>
            </w14:solidFill>
          </w14:textFill>
        </w:rPr>
        <w:t xml:space="preserve">江苏省水文水资源勘测局</w:t>
      </w:r>
      <w:r>
        <w:rPr>
          <w:rFonts w:hint="eastAsia" w:ascii="宋体" w:hAnsi="宋体" w:cs="宋体"/>
          <w:color w:val="000000" w:themeColor="text1"/>
          <w:szCs w:val="22"/>
          <w:u w:val="single"/>
          <w14:textFill>
            <w14:solidFill>
              <w14:schemeClr w14:val="tx1"/>
            </w14:solidFill>
          </w14:textFill>
        </w:rPr>
        <w:t xml:space="preserve">南京分局</w:t>
      </w:r>
      <w:r/>
    </w:p>
    <w:p>
      <w:pPr>
        <w:ind w:firstLine="420"/>
        <w:spacing w:line="519" w:lineRule="atLeast"/>
        <w:widowControl/>
        <w:rPr>
          <w:rFonts w:ascii="Arial" w:hAnsi="Arial" w:eastAsia="Arial"/>
          <w:color w:val="000000" w:themeColor="text1"/>
          <w:szCs w:val="22"/>
          <w14:textFill>
            <w14:solidFill>
              <w14:schemeClr w14:val="tx1"/>
            </w14:solidFill>
          </w14:textFill>
        </w:rPr>
      </w:pPr>
      <w:r>
        <w:rPr>
          <w:rFonts w:hint="eastAsia" w:ascii="宋体" w:hAnsi="宋体" w:cs="宋体"/>
          <w:color w:val="000000" w:themeColor="text1"/>
          <w:szCs w:val="22"/>
          <w14:textFill>
            <w14:solidFill>
              <w14:schemeClr w14:val="tx1"/>
            </w14:solidFill>
          </w14:textFill>
        </w:rPr>
        <w:t xml:space="preserve">卖方</w:t>
      </w:r>
      <w:r>
        <w:rPr>
          <w:rFonts w:ascii="宋体" w:hAnsi="宋体" w:cs="宋体"/>
          <w:color w:val="000000" w:themeColor="text1"/>
          <w:szCs w:val="22"/>
          <w14:textFill>
            <w14:solidFill>
              <w14:schemeClr w14:val="tx1"/>
            </w14:solidFill>
          </w14:textFill>
        </w:rPr>
        <w:t xml:space="preserve">：</w:t>
      </w:r>
      <w:r/>
    </w:p>
    <w:p>
      <w:pPr>
        <w:ind w:firstLine="420"/>
        <w:spacing w:line="519" w:lineRule="atLeast"/>
        <w:widowControl/>
        <w:rPr>
          <w:rFonts w:ascii="Arial" w:hAnsi="Arial" w:eastAsia="Arial"/>
          <w:color w:val="000000" w:themeColor="text1"/>
          <w:szCs w:val="22"/>
          <w14:textFill>
            <w14:solidFill>
              <w14:schemeClr w14:val="tx1"/>
            </w14:solidFill>
          </w14:textFill>
        </w:rPr>
      </w:pPr>
      <w:r>
        <w:rPr>
          <w:rFonts w:ascii="宋体" w:hAnsi="宋体" w:cs="宋体"/>
          <w:color w:val="000000" w:themeColor="text1"/>
          <w:szCs w:val="22"/>
          <w14:textFill>
            <w14:solidFill>
              <w14:schemeClr w14:val="tx1"/>
            </w14:solidFill>
          </w14:textFill>
        </w:rPr>
        <w:t xml:space="preserve">为贯彻落实党中央、国务院《关于实行党风廉政建设责任制的规定》，进一步加强项目实施过程的党风廉政建设，经甲、乙双方协商一致，自愿签订以下廉政合同。</w:t>
      </w:r>
      <w:r/>
    </w:p>
    <w:p>
      <w:pPr>
        <w:ind w:firstLine="422"/>
        <w:spacing w:line="519" w:lineRule="atLeast"/>
        <w:widowControl/>
        <w:rPr>
          <w:rFonts w:ascii="Arial" w:hAnsi="Arial" w:eastAsia="Arial"/>
          <w:color w:val="000000" w:themeColor="text1"/>
          <w:szCs w:val="22"/>
          <w14:textFill>
            <w14:solidFill>
              <w14:schemeClr w14:val="tx1"/>
            </w14:solidFill>
          </w14:textFill>
        </w:rPr>
      </w:pPr>
      <w:r>
        <w:rPr>
          <w:rFonts w:ascii="宋体" w:hAnsi="宋体" w:cs="宋体"/>
          <w:b/>
          <w:color w:val="000000" w:themeColor="text1"/>
          <w:szCs w:val="22"/>
          <w14:textFill>
            <w14:solidFill>
              <w14:schemeClr w14:val="tx1"/>
            </w14:solidFill>
          </w14:textFill>
        </w:rPr>
        <w:t xml:space="preserve">第一条</w:t>
      </w:r>
      <w:r>
        <w:rPr>
          <w:rFonts w:hint="eastAsia" w:ascii="宋体" w:hAnsi="宋体" w:cs="宋体"/>
          <w:color w:val="000000" w:themeColor="text1"/>
          <w:szCs w:val="22"/>
          <w14:textFill>
            <w14:solidFill>
              <w14:schemeClr w14:val="tx1"/>
            </w14:solidFill>
          </w14:textFill>
        </w:rPr>
        <w:t xml:space="preserve">  </w:t>
      </w:r>
      <w:r>
        <w:rPr>
          <w:rFonts w:ascii="宋体" w:hAnsi="宋体" w:cs="宋体"/>
          <w:color w:val="000000" w:themeColor="text1"/>
          <w:szCs w:val="22"/>
          <w14:textFill>
            <w14:solidFill>
              <w14:schemeClr w14:val="tx1"/>
            </w14:solidFill>
          </w14:textFill>
        </w:rPr>
        <w:t xml:space="preserve">甲、乙双方的权利和义务</w:t>
      </w:r>
      <w:r/>
    </w:p>
    <w:p>
      <w:pPr>
        <w:ind w:firstLine="420"/>
        <w:spacing w:line="519" w:lineRule="atLeast"/>
        <w:widowControl/>
        <w:rPr>
          <w:rFonts w:ascii="Arial" w:hAnsi="Arial" w:eastAsia="Arial"/>
          <w:color w:val="000000" w:themeColor="text1"/>
          <w:szCs w:val="22"/>
          <w14:textFill>
            <w14:solidFill>
              <w14:schemeClr w14:val="tx1"/>
            </w14:solidFill>
          </w14:textFill>
        </w:rPr>
      </w:pPr>
      <w:r>
        <w:rPr>
          <w:rFonts w:ascii="宋体" w:hAnsi="宋体" w:cs="宋体"/>
          <w:color w:val="000000" w:themeColor="text1"/>
          <w:szCs w:val="22"/>
          <w14:textFill>
            <w14:solidFill>
              <w14:schemeClr w14:val="tx1"/>
            </w14:solidFill>
          </w14:textFill>
        </w:rPr>
        <w:t xml:space="preserve">（一）严格遵守党和国家有关法规及党风廉政建设各项规定，严格执行中央八项规定和省委十项规定精神。</w:t>
      </w:r>
      <w:r/>
    </w:p>
    <w:p>
      <w:pPr>
        <w:ind w:firstLine="420"/>
        <w:spacing w:line="519" w:lineRule="atLeast"/>
        <w:widowControl/>
        <w:rPr>
          <w:rFonts w:ascii="Arial" w:hAnsi="Arial" w:eastAsia="Arial"/>
          <w:color w:val="000000" w:themeColor="text1"/>
          <w:szCs w:val="22"/>
          <w14:textFill>
            <w14:solidFill>
              <w14:schemeClr w14:val="tx1"/>
            </w14:solidFill>
          </w14:textFill>
        </w:rPr>
      </w:pPr>
      <w:r>
        <w:rPr>
          <w:rFonts w:ascii="宋体" w:hAnsi="宋体" w:cs="宋体"/>
          <w:color w:val="000000" w:themeColor="text1"/>
          <w:szCs w:val="22"/>
          <w14:textFill>
            <w14:solidFill>
              <w14:schemeClr w14:val="tx1"/>
            </w14:solidFill>
          </w14:textFill>
        </w:rPr>
        <w:t xml:space="preserve">（二）严格执行</w:t>
      </w:r>
      <w:r>
        <w:rPr>
          <w:rFonts w:hint="eastAsia" w:ascii="宋体" w:hAnsi="宋体" w:cs="宋体"/>
          <w:color w:val="000000" w:themeColor="text1"/>
          <w:szCs w:val="22"/>
          <w:u w:val="single"/>
          <w14:textFill>
            <w14:solidFill>
              <w14:schemeClr w14:val="tx1"/>
            </w14:solidFill>
          </w14:textFill>
        </w:rPr>
        <w:t xml:space="preserve">东山站监测能力提升项目</w:t>
      </w:r>
      <w:r>
        <w:rPr>
          <w:rFonts w:ascii="宋体" w:hAnsi="宋体" w:cs="宋体"/>
          <w:bCs/>
          <w:color w:val="000000" w:themeColor="text1"/>
          <w:szCs w:val="22"/>
          <w:u w:val="single"/>
          <w14:textFill>
            <w14:solidFill>
              <w14:schemeClr w14:val="tx1"/>
            </w14:solidFill>
          </w14:textFill>
        </w:rPr>
        <w:t xml:space="preserve">合同</w:t>
      </w:r>
      <w:r>
        <w:rPr>
          <w:rFonts w:ascii="宋体" w:hAnsi="宋体" w:cs="宋体"/>
          <w:b/>
          <w:color w:val="000000" w:themeColor="text1"/>
          <w:szCs w:val="22"/>
          <w:u w:val="single"/>
          <w14:textFill>
            <w14:solidFill>
              <w14:schemeClr w14:val="tx1"/>
            </w14:solidFill>
          </w14:textFill>
        </w:rPr>
        <w:t xml:space="preserve">（项目编号：）</w:t>
      </w:r>
      <w:r>
        <w:rPr>
          <w:rFonts w:ascii="宋体" w:hAnsi="宋体" w:cs="宋体"/>
          <w:color w:val="000000" w:themeColor="text1"/>
          <w:szCs w:val="22"/>
          <w14:textFill>
            <w14:solidFill>
              <w14:schemeClr w14:val="tx1"/>
            </w14:solidFill>
          </w14:textFill>
        </w:rPr>
        <w:t xml:space="preserve">各项规定，自觉按合同办事。</w:t>
      </w:r>
      <w:r/>
    </w:p>
    <w:p>
      <w:pPr>
        <w:ind w:firstLine="420"/>
        <w:spacing w:line="519" w:lineRule="atLeast"/>
        <w:widowControl/>
        <w:rPr>
          <w:rFonts w:ascii="Arial" w:hAnsi="Arial" w:eastAsia="Arial"/>
          <w:color w:val="000000" w:themeColor="text1"/>
          <w:szCs w:val="22"/>
          <w14:textFill>
            <w14:solidFill>
              <w14:schemeClr w14:val="tx1"/>
            </w14:solidFill>
          </w14:textFill>
        </w:rPr>
      </w:pPr>
      <w:r>
        <w:rPr>
          <w:rFonts w:ascii="宋体" w:hAnsi="宋体" w:cs="宋体"/>
          <w:color w:val="000000" w:themeColor="text1"/>
          <w:szCs w:val="22"/>
          <w14:textFill>
            <w14:solidFill>
              <w14:schemeClr w14:val="tx1"/>
            </w14:solidFill>
          </w14:textFill>
        </w:rPr>
        <w:t xml:space="preserve">（三）双方的业务活动坚持公开、公正、公平、诚信的原则（法律认定的商业秘密和合同文件另有规定除外），严禁损害国家和集体利益、违反工程建设管理规章制度。</w:t>
      </w:r>
      <w:r/>
    </w:p>
    <w:p>
      <w:pPr>
        <w:ind w:firstLine="420"/>
        <w:spacing w:line="519" w:lineRule="atLeast"/>
        <w:widowControl/>
        <w:rPr>
          <w:rFonts w:ascii="Arial" w:hAnsi="Arial" w:eastAsia="Arial"/>
          <w:color w:val="000000" w:themeColor="text1"/>
          <w:szCs w:val="22"/>
          <w14:textFill>
            <w14:solidFill>
              <w14:schemeClr w14:val="tx1"/>
            </w14:solidFill>
          </w14:textFill>
        </w:rPr>
      </w:pPr>
      <w:r>
        <w:rPr>
          <w:rFonts w:ascii="宋体" w:hAnsi="宋体" w:cs="宋体"/>
          <w:color w:val="000000" w:themeColor="text1"/>
          <w:szCs w:val="22"/>
          <w14:textFill>
            <w14:solidFill>
              <w14:schemeClr w14:val="tx1"/>
            </w14:solidFill>
          </w14:textFill>
        </w:rPr>
        <w:t xml:space="preserve">（四）建立健全并严格执行党风廉政建设各项制度，开展反腐倡廉宣传教育，加强对本方工作人员的监督检查。</w:t>
      </w:r>
      <w:r/>
    </w:p>
    <w:p>
      <w:pPr>
        <w:ind w:firstLine="420"/>
        <w:spacing w:line="519" w:lineRule="atLeast"/>
        <w:widowControl/>
        <w:rPr>
          <w:rFonts w:ascii="Arial" w:hAnsi="Arial" w:eastAsia="Arial"/>
          <w:color w:val="000000" w:themeColor="text1"/>
          <w:szCs w:val="22"/>
          <w14:textFill>
            <w14:solidFill>
              <w14:schemeClr w14:val="tx1"/>
            </w14:solidFill>
          </w14:textFill>
        </w:rPr>
      </w:pPr>
      <w:r>
        <w:rPr>
          <w:rFonts w:ascii="宋体" w:hAnsi="宋体" w:cs="宋体"/>
          <w:color w:val="000000" w:themeColor="text1"/>
          <w:szCs w:val="22"/>
          <w14:textFill>
            <w14:solidFill>
              <w14:schemeClr w14:val="tx1"/>
            </w14:solidFill>
          </w14:textFill>
        </w:rPr>
        <w:t xml:space="preserve">（五）发现对方在业务活动中有违反廉政规定的行为，有及时提醒和督促对方纠正的权利和义务，并加强对本方工作人员的批评教育，严肃查处违纪违规行为；发现重大违纪违法行为，应向执纪执法机关举报。</w:t>
      </w:r>
      <w:r/>
    </w:p>
    <w:p>
      <w:pPr>
        <w:ind w:firstLine="422"/>
        <w:spacing w:line="519" w:lineRule="atLeast"/>
        <w:widowControl/>
        <w:rPr>
          <w:rFonts w:ascii="Arial" w:hAnsi="Arial" w:eastAsia="Arial"/>
          <w:color w:val="000000" w:themeColor="text1"/>
          <w:szCs w:val="22"/>
          <w14:textFill>
            <w14:solidFill>
              <w14:schemeClr w14:val="tx1"/>
            </w14:solidFill>
          </w14:textFill>
        </w:rPr>
      </w:pPr>
      <w:r>
        <w:rPr>
          <w:rFonts w:ascii="宋体" w:hAnsi="宋体" w:cs="宋体"/>
          <w:b/>
          <w:color w:val="000000" w:themeColor="text1"/>
          <w:szCs w:val="22"/>
          <w14:textFill>
            <w14:solidFill>
              <w14:schemeClr w14:val="tx1"/>
            </w14:solidFill>
          </w14:textFill>
        </w:rPr>
        <w:t xml:space="preserve">第二条</w:t>
      </w:r>
      <w:r>
        <w:rPr>
          <w:rFonts w:hint="eastAsia" w:ascii="宋体" w:hAnsi="宋体" w:cs="宋体"/>
          <w:b/>
          <w:color w:val="000000" w:themeColor="text1"/>
          <w:szCs w:val="22"/>
          <w14:textFill>
            <w14:solidFill>
              <w14:schemeClr w14:val="tx1"/>
            </w14:solidFill>
          </w14:textFill>
        </w:rPr>
        <w:t xml:space="preserve">  </w:t>
      </w:r>
      <w:r>
        <w:rPr>
          <w:rFonts w:hint="eastAsia" w:ascii="宋体" w:hAnsi="宋体" w:cs="宋体"/>
          <w:color w:val="000000" w:themeColor="text1"/>
          <w:szCs w:val="22"/>
          <w14:textFill>
            <w14:solidFill>
              <w14:schemeClr w14:val="tx1"/>
            </w14:solidFill>
          </w14:textFill>
        </w:rPr>
        <w:t xml:space="preserve">买方</w:t>
      </w:r>
      <w:r>
        <w:rPr>
          <w:rFonts w:ascii="宋体" w:hAnsi="宋体" w:cs="宋体"/>
          <w:color w:val="000000" w:themeColor="text1"/>
          <w:szCs w:val="22"/>
          <w14:textFill>
            <w14:solidFill>
              <w14:schemeClr w14:val="tx1"/>
            </w14:solidFill>
          </w14:textFill>
        </w:rPr>
        <w:t xml:space="preserve">在廉政建设方面的义务</w:t>
      </w:r>
      <w:r/>
    </w:p>
    <w:p>
      <w:pPr>
        <w:ind w:firstLine="420"/>
        <w:spacing w:line="519" w:lineRule="atLeast"/>
        <w:widowControl/>
        <w:rPr>
          <w:rFonts w:ascii="Arial" w:hAnsi="Arial" w:eastAsia="Arial"/>
          <w:color w:val="000000" w:themeColor="text1"/>
          <w:szCs w:val="22"/>
          <w14:textFill>
            <w14:solidFill>
              <w14:schemeClr w14:val="tx1"/>
            </w14:solidFill>
          </w14:textFill>
        </w:rPr>
      </w:pPr>
      <w:r>
        <w:rPr>
          <w:rFonts w:ascii="宋体" w:hAnsi="宋体" w:cs="宋体"/>
          <w:color w:val="000000" w:themeColor="text1"/>
          <w:szCs w:val="22"/>
          <w14:textFill>
            <w14:solidFill>
              <w14:schemeClr w14:val="tx1"/>
            </w14:solidFill>
          </w14:textFill>
        </w:rPr>
        <w:t xml:space="preserve">（一）</w:t>
      </w:r>
      <w:r>
        <w:rPr>
          <w:rFonts w:hint="eastAsia" w:ascii="宋体" w:hAnsi="宋体" w:cs="宋体"/>
          <w:color w:val="000000" w:themeColor="text1"/>
          <w:szCs w:val="22"/>
          <w14:textFill>
            <w14:solidFill>
              <w14:schemeClr w14:val="tx1"/>
            </w14:solidFill>
          </w14:textFill>
        </w:rPr>
        <w:t xml:space="preserve">买方</w:t>
      </w:r>
      <w:r>
        <w:rPr>
          <w:rFonts w:ascii="宋体" w:hAnsi="宋体" w:cs="宋体"/>
          <w:color w:val="000000" w:themeColor="text1"/>
          <w:szCs w:val="22"/>
          <w14:textFill>
            <w14:solidFill>
              <w14:schemeClr w14:val="tx1"/>
            </w14:solidFill>
          </w14:textFill>
        </w:rPr>
        <w:t xml:space="preserve">及其工作人员不准在</w:t>
      </w:r>
      <w:r>
        <w:rPr>
          <w:rFonts w:hint="eastAsia" w:ascii="宋体" w:hAnsi="宋体" w:cs="宋体"/>
          <w:color w:val="000000" w:themeColor="text1"/>
          <w:szCs w:val="22"/>
          <w14:textFill>
            <w14:solidFill>
              <w14:schemeClr w14:val="tx1"/>
            </w14:solidFill>
          </w14:textFill>
        </w:rPr>
        <w:t xml:space="preserve">卖方</w:t>
      </w:r>
      <w:r>
        <w:rPr>
          <w:rFonts w:ascii="宋体" w:hAnsi="宋体" w:cs="宋体"/>
          <w:color w:val="000000" w:themeColor="text1"/>
          <w:szCs w:val="22"/>
          <w14:textFill>
            <w14:solidFill>
              <w14:schemeClr w14:val="tx1"/>
            </w14:solidFill>
          </w14:textFill>
        </w:rPr>
        <w:t xml:space="preserve">处安插亲友及介绍销售设备、材料，不得指定需购物资设备的销售单位或部门；不得违反规定干预</w:t>
      </w:r>
      <w:r>
        <w:rPr>
          <w:rFonts w:hint="eastAsia" w:ascii="宋体" w:hAnsi="宋体" w:cs="宋体"/>
          <w:color w:val="000000" w:themeColor="text1"/>
          <w:szCs w:val="22"/>
          <w14:textFill>
            <w14:solidFill>
              <w14:schemeClr w14:val="tx1"/>
            </w14:solidFill>
          </w14:textFill>
        </w:rPr>
        <w:t xml:space="preserve">卖方</w:t>
      </w:r>
      <w:r>
        <w:rPr>
          <w:rFonts w:ascii="宋体" w:hAnsi="宋体" w:cs="宋体"/>
          <w:color w:val="000000" w:themeColor="text1"/>
          <w:szCs w:val="22"/>
          <w14:textFill>
            <w14:solidFill>
              <w14:schemeClr w14:val="tx1"/>
            </w14:solidFill>
          </w14:textFill>
        </w:rPr>
        <w:t xml:space="preserve">的项目分包；不得挤占、截留、挪用合同款或超进度拨付合同款；严禁私设小金库。 </w:t>
      </w:r>
      <w:r/>
    </w:p>
    <w:p>
      <w:pPr>
        <w:ind w:firstLine="420"/>
        <w:spacing w:line="519" w:lineRule="atLeast"/>
        <w:widowControl/>
        <w:rPr>
          <w:rFonts w:ascii="Arial" w:hAnsi="Arial" w:eastAsia="Arial"/>
          <w:color w:val="000000" w:themeColor="text1"/>
          <w:szCs w:val="22"/>
          <w14:textFill>
            <w14:solidFill>
              <w14:schemeClr w14:val="tx1"/>
            </w14:solidFill>
          </w14:textFill>
        </w:rPr>
      </w:pPr>
      <w:r>
        <w:rPr>
          <w:rFonts w:ascii="宋体" w:hAnsi="宋体" w:cs="宋体"/>
          <w:color w:val="000000" w:themeColor="text1"/>
          <w:szCs w:val="22"/>
          <w14:textFill>
            <w14:solidFill>
              <w14:schemeClr w14:val="tx1"/>
            </w14:solidFill>
          </w14:textFill>
        </w:rPr>
        <w:t xml:space="preserve">（二）</w:t>
      </w:r>
      <w:r>
        <w:rPr>
          <w:rFonts w:hint="eastAsia" w:ascii="宋体" w:hAnsi="宋体" w:cs="宋体"/>
          <w:color w:val="000000" w:themeColor="text1"/>
          <w:szCs w:val="22"/>
          <w14:textFill>
            <w14:solidFill>
              <w14:schemeClr w14:val="tx1"/>
            </w14:solidFill>
          </w14:textFill>
        </w:rPr>
        <w:t xml:space="preserve">买方</w:t>
      </w:r>
      <w:r>
        <w:rPr>
          <w:rFonts w:ascii="宋体" w:hAnsi="宋体" w:cs="宋体"/>
          <w:color w:val="000000" w:themeColor="text1"/>
          <w:szCs w:val="22"/>
          <w14:textFill>
            <w14:solidFill>
              <w14:schemeClr w14:val="tx1"/>
            </w14:solidFill>
          </w14:textFill>
        </w:rPr>
        <w:t xml:space="preserve">及其工作人员不准利用职务之便索要或接受</w:t>
      </w:r>
      <w:r>
        <w:rPr>
          <w:rFonts w:hint="eastAsia" w:ascii="宋体" w:hAnsi="宋体" w:cs="宋体"/>
          <w:color w:val="000000" w:themeColor="text1"/>
          <w:szCs w:val="22"/>
          <w14:textFill>
            <w14:solidFill>
              <w14:schemeClr w14:val="tx1"/>
            </w14:solidFill>
          </w14:textFill>
        </w:rPr>
        <w:t xml:space="preserve">卖方</w:t>
      </w:r>
      <w:r>
        <w:rPr>
          <w:rFonts w:ascii="宋体" w:hAnsi="宋体" w:cs="宋体"/>
          <w:color w:val="000000" w:themeColor="text1"/>
          <w:szCs w:val="22"/>
          <w14:textFill>
            <w14:solidFill>
              <w14:schemeClr w14:val="tx1"/>
            </w14:solidFill>
          </w14:textFill>
        </w:rPr>
        <w:t xml:space="preserve">的现金、有价证券、支付凭证及收受干股，或以赌博等交易形式非法收受</w:t>
      </w:r>
      <w:r>
        <w:rPr>
          <w:rFonts w:hint="eastAsia" w:ascii="宋体" w:hAnsi="宋体" w:cs="宋体"/>
          <w:color w:val="000000" w:themeColor="text1"/>
          <w:szCs w:val="22"/>
          <w14:textFill>
            <w14:solidFill>
              <w14:schemeClr w14:val="tx1"/>
            </w14:solidFill>
          </w14:textFill>
        </w:rPr>
        <w:t xml:space="preserve">卖方</w:t>
      </w:r>
      <w:r>
        <w:rPr>
          <w:rFonts w:ascii="宋体" w:hAnsi="宋体" w:cs="宋体"/>
          <w:color w:val="000000" w:themeColor="text1"/>
          <w:szCs w:val="22"/>
          <w14:textFill>
            <w14:solidFill>
              <w14:schemeClr w14:val="tx1"/>
            </w14:solidFill>
          </w14:textFill>
        </w:rPr>
        <w:t xml:space="preserve">财物。</w:t>
      </w:r>
      <w:r/>
    </w:p>
    <w:p>
      <w:pPr>
        <w:ind w:firstLine="420"/>
        <w:spacing w:line="519" w:lineRule="atLeast"/>
        <w:widowControl/>
        <w:rPr>
          <w:rFonts w:ascii="Arial" w:hAnsi="Arial" w:eastAsia="Arial"/>
          <w:color w:val="000000" w:themeColor="text1"/>
          <w:szCs w:val="22"/>
          <w14:textFill>
            <w14:solidFill>
              <w14:schemeClr w14:val="tx1"/>
            </w14:solidFill>
          </w14:textFill>
        </w:rPr>
      </w:pPr>
      <w:r>
        <w:rPr>
          <w:rFonts w:ascii="宋体" w:hAnsi="宋体" w:cs="宋体"/>
          <w:color w:val="000000" w:themeColor="text1"/>
          <w:szCs w:val="22"/>
          <w14:textFill>
            <w14:solidFill>
              <w14:schemeClr w14:val="tx1"/>
            </w14:solidFill>
          </w14:textFill>
        </w:rPr>
        <w:t xml:space="preserve">（三）</w:t>
      </w:r>
      <w:r>
        <w:rPr>
          <w:rFonts w:hint="eastAsia" w:ascii="宋体" w:hAnsi="宋体" w:cs="宋体"/>
          <w:color w:val="000000" w:themeColor="text1"/>
          <w:szCs w:val="22"/>
          <w14:textFill>
            <w14:solidFill>
              <w14:schemeClr w14:val="tx1"/>
            </w14:solidFill>
          </w14:textFill>
        </w:rPr>
        <w:t xml:space="preserve">买方</w:t>
      </w:r>
      <w:r>
        <w:rPr>
          <w:rFonts w:ascii="宋体" w:hAnsi="宋体" w:cs="宋体"/>
          <w:color w:val="000000" w:themeColor="text1"/>
          <w:szCs w:val="22"/>
          <w14:textFill>
            <w14:solidFill>
              <w14:schemeClr w14:val="tx1"/>
            </w14:solidFill>
          </w14:textFill>
        </w:rPr>
        <w:t xml:space="preserve">及其工作人员不准让</w:t>
      </w:r>
      <w:r>
        <w:rPr>
          <w:rFonts w:hint="eastAsia" w:ascii="宋体" w:hAnsi="宋体" w:cs="宋体"/>
          <w:color w:val="000000" w:themeColor="text1"/>
          <w:szCs w:val="22"/>
          <w14:textFill>
            <w14:solidFill>
              <w14:schemeClr w14:val="tx1"/>
            </w14:solidFill>
          </w14:textFill>
        </w:rPr>
        <w:t xml:space="preserve">卖方</w:t>
      </w:r>
      <w:r>
        <w:rPr>
          <w:rFonts w:ascii="宋体" w:hAnsi="宋体" w:cs="宋体"/>
          <w:color w:val="000000" w:themeColor="text1"/>
          <w:szCs w:val="22"/>
          <w14:textFill>
            <w14:solidFill>
              <w14:schemeClr w14:val="tx1"/>
            </w14:solidFill>
          </w14:textFill>
        </w:rPr>
        <w:t xml:space="preserve">报销应由</w:t>
      </w:r>
      <w:r>
        <w:rPr>
          <w:rFonts w:hint="eastAsia" w:ascii="宋体" w:hAnsi="宋体" w:cs="宋体"/>
          <w:color w:val="000000" w:themeColor="text1"/>
          <w:szCs w:val="22"/>
          <w14:textFill>
            <w14:solidFill>
              <w14:schemeClr w14:val="tx1"/>
            </w14:solidFill>
          </w14:textFill>
        </w:rPr>
        <w:t xml:space="preserve">卖方</w:t>
      </w:r>
      <w:r>
        <w:rPr>
          <w:rFonts w:ascii="宋体" w:hAnsi="宋体" w:cs="宋体"/>
          <w:color w:val="000000" w:themeColor="text1"/>
          <w:szCs w:val="22"/>
          <w14:textFill>
            <w14:solidFill>
              <w14:schemeClr w14:val="tx1"/>
            </w14:solidFill>
          </w14:textFill>
        </w:rPr>
        <w:t xml:space="preserve">或个人支付的费用；不准利用职务便利为</w:t>
      </w:r>
      <w:r>
        <w:rPr>
          <w:rFonts w:hint="eastAsia" w:ascii="宋体" w:hAnsi="宋体" w:cs="宋体"/>
          <w:color w:val="000000" w:themeColor="text1"/>
          <w:szCs w:val="22"/>
          <w14:textFill>
            <w14:solidFill>
              <w14:schemeClr w14:val="tx1"/>
            </w14:solidFill>
          </w14:textFill>
        </w:rPr>
        <w:t xml:space="preserve">卖方</w:t>
      </w:r>
      <w:r>
        <w:rPr>
          <w:rFonts w:ascii="宋体" w:hAnsi="宋体" w:cs="宋体"/>
          <w:color w:val="000000" w:themeColor="text1"/>
          <w:szCs w:val="22"/>
          <w14:textFill>
            <w14:solidFill>
              <w14:schemeClr w14:val="tx1"/>
            </w14:solidFill>
          </w14:textFill>
        </w:rPr>
        <w:t xml:space="preserve">谋取不当利益。</w:t>
      </w:r>
      <w:r/>
    </w:p>
    <w:p>
      <w:pPr>
        <w:ind w:firstLine="420"/>
        <w:spacing w:line="519" w:lineRule="atLeast"/>
        <w:widowControl/>
        <w:rPr>
          <w:rFonts w:ascii="Arial" w:hAnsi="Arial" w:eastAsia="Arial"/>
          <w:color w:val="000000" w:themeColor="text1"/>
          <w:szCs w:val="22"/>
          <w14:textFill>
            <w14:solidFill>
              <w14:schemeClr w14:val="tx1"/>
            </w14:solidFill>
          </w14:textFill>
        </w:rPr>
      </w:pPr>
      <w:r>
        <w:rPr>
          <w:rFonts w:ascii="宋体" w:hAnsi="宋体" w:cs="宋体"/>
          <w:color w:val="000000" w:themeColor="text1"/>
          <w:szCs w:val="22"/>
          <w14:textFill>
            <w14:solidFill>
              <w14:schemeClr w14:val="tx1"/>
            </w14:solidFill>
          </w14:textFill>
        </w:rPr>
        <w:t xml:space="preserve">（四）</w:t>
      </w:r>
      <w:r>
        <w:rPr>
          <w:rFonts w:hint="eastAsia" w:ascii="宋体" w:hAnsi="宋体" w:cs="宋体"/>
          <w:color w:val="000000" w:themeColor="text1"/>
          <w:szCs w:val="22"/>
          <w14:textFill>
            <w14:solidFill>
              <w14:schemeClr w14:val="tx1"/>
            </w14:solidFill>
          </w14:textFill>
        </w:rPr>
        <w:t xml:space="preserve">买方</w:t>
      </w:r>
      <w:r>
        <w:rPr>
          <w:rFonts w:ascii="宋体" w:hAnsi="宋体" w:cs="宋体"/>
          <w:color w:val="000000" w:themeColor="text1"/>
          <w:szCs w:val="22"/>
          <w14:textFill>
            <w14:solidFill>
              <w14:schemeClr w14:val="tx1"/>
            </w14:solidFill>
          </w14:textFill>
        </w:rPr>
        <w:t xml:space="preserve">工作人员不准要求或者接受</w:t>
      </w:r>
      <w:r>
        <w:rPr>
          <w:rFonts w:hint="eastAsia" w:ascii="宋体" w:hAnsi="宋体" w:cs="宋体"/>
          <w:color w:val="000000" w:themeColor="text1"/>
          <w:szCs w:val="22"/>
          <w14:textFill>
            <w14:solidFill>
              <w14:schemeClr w14:val="tx1"/>
            </w14:solidFill>
          </w14:textFill>
        </w:rPr>
        <w:t xml:space="preserve">卖方</w:t>
      </w:r>
      <w:r>
        <w:rPr>
          <w:rFonts w:ascii="宋体" w:hAnsi="宋体" w:cs="宋体"/>
          <w:color w:val="000000" w:themeColor="text1"/>
          <w:szCs w:val="22"/>
          <w14:textFill>
            <w14:solidFill>
              <w14:schemeClr w14:val="tx1"/>
            </w14:solidFill>
          </w14:textFill>
        </w:rPr>
        <w:t xml:space="preserve">可能影响公正执行公务的宴请。</w:t>
      </w:r>
      <w:r/>
    </w:p>
    <w:p>
      <w:pPr>
        <w:ind w:firstLine="420"/>
        <w:spacing w:line="519" w:lineRule="atLeast"/>
        <w:widowControl/>
        <w:rPr>
          <w:rFonts w:ascii="Arial" w:hAnsi="Arial" w:eastAsia="Arial"/>
          <w:color w:val="000000" w:themeColor="text1"/>
          <w:szCs w:val="22"/>
          <w14:textFill>
            <w14:solidFill>
              <w14:schemeClr w14:val="tx1"/>
            </w14:solidFill>
          </w14:textFill>
        </w:rPr>
      </w:pPr>
      <w:r>
        <w:rPr>
          <w:rFonts w:ascii="宋体" w:hAnsi="宋体" w:cs="宋体"/>
          <w:color w:val="000000" w:themeColor="text1"/>
          <w:szCs w:val="22"/>
          <w14:textFill>
            <w14:solidFill>
              <w14:schemeClr w14:val="tx1"/>
            </w14:solidFill>
          </w14:textFill>
        </w:rPr>
        <w:t xml:space="preserve">（五）</w:t>
      </w:r>
      <w:r>
        <w:rPr>
          <w:rFonts w:hint="eastAsia" w:ascii="宋体" w:hAnsi="宋体" w:cs="宋体"/>
          <w:color w:val="000000" w:themeColor="text1"/>
          <w:szCs w:val="22"/>
          <w14:textFill>
            <w14:solidFill>
              <w14:schemeClr w14:val="tx1"/>
            </w14:solidFill>
          </w14:textFill>
        </w:rPr>
        <w:t xml:space="preserve">买方</w:t>
      </w:r>
      <w:r>
        <w:rPr>
          <w:rFonts w:ascii="宋体" w:hAnsi="宋体" w:cs="宋体"/>
          <w:color w:val="000000" w:themeColor="text1"/>
          <w:szCs w:val="22"/>
          <w14:textFill>
            <w14:solidFill>
              <w14:schemeClr w14:val="tx1"/>
            </w14:solidFill>
          </w14:textFill>
        </w:rPr>
        <w:t xml:space="preserve">及其工作人员不准要求或者接受</w:t>
      </w:r>
      <w:r>
        <w:rPr>
          <w:rFonts w:hint="eastAsia" w:ascii="宋体" w:hAnsi="宋体" w:cs="宋体"/>
          <w:color w:val="000000" w:themeColor="text1"/>
          <w:szCs w:val="22"/>
          <w14:textFill>
            <w14:solidFill>
              <w14:schemeClr w14:val="tx1"/>
            </w14:solidFill>
          </w14:textFill>
        </w:rPr>
        <w:t xml:space="preserve">卖方</w:t>
      </w:r>
      <w:r>
        <w:rPr>
          <w:rFonts w:ascii="宋体" w:hAnsi="宋体" w:cs="宋体"/>
          <w:color w:val="000000" w:themeColor="text1"/>
          <w:szCs w:val="22"/>
          <w14:textFill>
            <w14:solidFill>
              <w14:schemeClr w14:val="tx1"/>
            </w14:solidFill>
          </w14:textFill>
        </w:rPr>
        <w:t xml:space="preserve">为其住房装修、婚丧嫁娶、特定关系人（近亲属及其它共同利益关系的人）国内和出国（境）旅游提供方便。</w:t>
      </w:r>
      <w:r/>
    </w:p>
    <w:p>
      <w:pPr>
        <w:ind w:firstLine="420"/>
        <w:spacing w:line="519" w:lineRule="atLeast"/>
        <w:widowControl/>
        <w:rPr>
          <w:rFonts w:ascii="Arial" w:hAnsi="Arial" w:eastAsia="Arial"/>
          <w:color w:val="000000" w:themeColor="text1"/>
          <w:szCs w:val="22"/>
          <w14:textFill>
            <w14:solidFill>
              <w14:schemeClr w14:val="tx1"/>
            </w14:solidFill>
          </w14:textFill>
        </w:rPr>
      </w:pPr>
      <w:r>
        <w:rPr>
          <w:rFonts w:ascii="宋体" w:hAnsi="宋体" w:cs="宋体"/>
          <w:color w:val="000000" w:themeColor="text1"/>
          <w:szCs w:val="22"/>
          <w14:textFill>
            <w14:solidFill>
              <w14:schemeClr w14:val="tx1"/>
            </w14:solidFill>
          </w14:textFill>
        </w:rPr>
        <w:t xml:space="preserve">（六）</w:t>
      </w:r>
      <w:r>
        <w:rPr>
          <w:rFonts w:hint="eastAsia" w:ascii="宋体" w:hAnsi="宋体" w:cs="宋体"/>
          <w:color w:val="000000" w:themeColor="text1"/>
          <w:szCs w:val="22"/>
          <w14:textFill>
            <w14:solidFill>
              <w14:schemeClr w14:val="tx1"/>
            </w14:solidFill>
          </w14:textFill>
        </w:rPr>
        <w:t xml:space="preserve">买方</w:t>
      </w:r>
      <w:r>
        <w:rPr>
          <w:rFonts w:ascii="宋体" w:hAnsi="宋体" w:cs="宋体"/>
          <w:color w:val="000000" w:themeColor="text1"/>
          <w:szCs w:val="22"/>
          <w14:textFill>
            <w14:solidFill>
              <w14:schemeClr w14:val="tx1"/>
            </w14:solidFill>
          </w14:textFill>
        </w:rPr>
        <w:t xml:space="preserve">及其工作人员不准利用职务之便为</w:t>
      </w:r>
      <w:r>
        <w:rPr>
          <w:rFonts w:hint="eastAsia" w:ascii="宋体" w:hAnsi="宋体" w:cs="宋体"/>
          <w:color w:val="000000" w:themeColor="text1"/>
          <w:szCs w:val="22"/>
          <w14:textFill>
            <w14:solidFill>
              <w14:schemeClr w14:val="tx1"/>
            </w14:solidFill>
          </w14:textFill>
        </w:rPr>
        <w:t xml:space="preserve">卖方</w:t>
      </w:r>
      <w:r>
        <w:rPr>
          <w:rFonts w:ascii="宋体" w:hAnsi="宋体" w:cs="宋体"/>
          <w:color w:val="000000" w:themeColor="text1"/>
          <w:szCs w:val="22"/>
          <w14:textFill>
            <w14:solidFill>
              <w14:schemeClr w14:val="tx1"/>
            </w14:solidFill>
          </w14:textFill>
        </w:rPr>
        <w:t xml:space="preserve">谋取利益之前或之后，约定在其离职后收受</w:t>
      </w:r>
      <w:r>
        <w:rPr>
          <w:rFonts w:hint="eastAsia" w:ascii="宋体" w:hAnsi="宋体" w:cs="宋体"/>
          <w:color w:val="000000" w:themeColor="text1"/>
          <w:szCs w:val="22"/>
          <w14:textFill>
            <w14:solidFill>
              <w14:schemeClr w14:val="tx1"/>
            </w14:solidFill>
          </w14:textFill>
        </w:rPr>
        <w:t xml:space="preserve">卖方</w:t>
      </w:r>
      <w:r>
        <w:rPr>
          <w:rFonts w:ascii="宋体" w:hAnsi="宋体" w:cs="宋体"/>
          <w:color w:val="000000" w:themeColor="text1"/>
          <w:szCs w:val="22"/>
          <w14:textFill>
            <w14:solidFill>
              <w14:schemeClr w14:val="tx1"/>
            </w14:solidFill>
          </w14:textFill>
        </w:rPr>
        <w:t xml:space="preserve">财物，并在离职后收受。</w:t>
      </w:r>
      <w:r/>
    </w:p>
    <w:p>
      <w:pPr>
        <w:ind w:firstLine="420"/>
        <w:spacing w:line="519" w:lineRule="atLeast"/>
        <w:widowControl/>
        <w:rPr>
          <w:rFonts w:ascii="Arial" w:hAnsi="Arial" w:eastAsia="Arial"/>
          <w:color w:val="000000" w:themeColor="text1"/>
          <w:szCs w:val="22"/>
          <w14:textFill>
            <w14:solidFill>
              <w14:schemeClr w14:val="tx1"/>
            </w14:solidFill>
          </w14:textFill>
        </w:rPr>
      </w:pPr>
      <w:r>
        <w:rPr>
          <w:rFonts w:ascii="宋体" w:hAnsi="宋体" w:cs="宋体"/>
          <w:color w:val="000000" w:themeColor="text1"/>
          <w:szCs w:val="22"/>
          <w14:textFill>
            <w14:solidFill>
              <w14:schemeClr w14:val="tx1"/>
            </w14:solidFill>
          </w14:textFill>
        </w:rPr>
        <w:t xml:space="preserve">（七）</w:t>
      </w:r>
      <w:r>
        <w:rPr>
          <w:rFonts w:hint="eastAsia" w:ascii="宋体" w:hAnsi="宋体" w:cs="宋体"/>
          <w:color w:val="000000" w:themeColor="text1"/>
          <w:szCs w:val="22"/>
          <w14:textFill>
            <w14:solidFill>
              <w14:schemeClr w14:val="tx1"/>
            </w14:solidFill>
          </w14:textFill>
        </w:rPr>
        <w:t xml:space="preserve">买方</w:t>
      </w:r>
      <w:r>
        <w:rPr>
          <w:rFonts w:ascii="宋体" w:hAnsi="宋体" w:cs="宋体"/>
          <w:color w:val="000000" w:themeColor="text1"/>
          <w:szCs w:val="22"/>
          <w14:textFill>
            <w14:solidFill>
              <w14:schemeClr w14:val="tx1"/>
            </w14:solidFill>
          </w14:textFill>
        </w:rPr>
        <w:t xml:space="preserve">及其工作人员不准要求或者收受</w:t>
      </w:r>
      <w:r>
        <w:rPr>
          <w:rFonts w:hint="eastAsia" w:ascii="宋体" w:hAnsi="宋体" w:cs="宋体"/>
          <w:color w:val="000000" w:themeColor="text1"/>
          <w:szCs w:val="22"/>
          <w14:textFill>
            <w14:solidFill>
              <w14:schemeClr w14:val="tx1"/>
            </w14:solidFill>
          </w14:textFill>
        </w:rPr>
        <w:t xml:space="preserve">卖方</w:t>
      </w:r>
      <w:r>
        <w:rPr>
          <w:rFonts w:ascii="宋体" w:hAnsi="宋体" w:cs="宋体"/>
          <w:color w:val="000000" w:themeColor="text1"/>
          <w:szCs w:val="22"/>
          <w14:textFill>
            <w14:solidFill>
              <w14:schemeClr w14:val="tx1"/>
            </w14:solidFill>
          </w14:textFill>
        </w:rPr>
        <w:t xml:space="preserve">住房、汽车等物品，不准收受</w:t>
      </w:r>
      <w:r>
        <w:rPr>
          <w:rFonts w:hint="eastAsia" w:ascii="宋体" w:hAnsi="宋体" w:cs="宋体"/>
          <w:color w:val="000000" w:themeColor="text1"/>
          <w:szCs w:val="22"/>
          <w14:textFill>
            <w14:solidFill>
              <w14:schemeClr w14:val="tx1"/>
            </w14:solidFill>
          </w14:textFill>
        </w:rPr>
        <w:t xml:space="preserve">卖方</w:t>
      </w:r>
      <w:r>
        <w:rPr>
          <w:rFonts w:ascii="宋体" w:hAnsi="宋体" w:cs="宋体"/>
          <w:color w:val="000000" w:themeColor="text1"/>
          <w:szCs w:val="22"/>
          <w14:textFill>
            <w14:solidFill>
              <w14:schemeClr w14:val="tx1"/>
            </w14:solidFill>
          </w14:textFill>
        </w:rPr>
        <w:t xml:space="preserve">为其以明显低于市场价购置住房或以劣换优、以借为名占用</w:t>
      </w:r>
      <w:r>
        <w:rPr>
          <w:rFonts w:hint="eastAsia" w:ascii="宋体" w:hAnsi="宋体" w:cs="宋体"/>
          <w:color w:val="000000" w:themeColor="text1"/>
          <w:szCs w:val="22"/>
          <w14:textFill>
            <w14:solidFill>
              <w14:schemeClr w14:val="tx1"/>
            </w14:solidFill>
          </w14:textFill>
        </w:rPr>
        <w:t xml:space="preserve">卖方</w:t>
      </w:r>
      <w:r>
        <w:rPr>
          <w:rFonts w:ascii="宋体" w:hAnsi="宋体" w:cs="宋体"/>
          <w:color w:val="000000" w:themeColor="text1"/>
          <w:szCs w:val="22"/>
          <w14:textFill>
            <w14:solidFill>
              <w14:schemeClr w14:val="tx1"/>
            </w14:solidFill>
          </w14:textFill>
        </w:rPr>
        <w:t xml:space="preserve">住房。</w:t>
      </w:r>
      <w:r/>
    </w:p>
    <w:p>
      <w:pPr>
        <w:ind w:firstLine="420"/>
        <w:spacing w:line="519" w:lineRule="atLeast"/>
        <w:widowControl/>
        <w:rPr>
          <w:rFonts w:ascii="Arial" w:hAnsi="Arial" w:eastAsia="Arial"/>
          <w:color w:val="000000" w:themeColor="text1"/>
          <w:szCs w:val="22"/>
          <w14:textFill>
            <w14:solidFill>
              <w14:schemeClr w14:val="tx1"/>
            </w14:solidFill>
          </w14:textFill>
        </w:rPr>
      </w:pPr>
      <w:r>
        <w:rPr>
          <w:rFonts w:ascii="宋体" w:hAnsi="宋体" w:cs="宋体"/>
          <w:color w:val="000000" w:themeColor="text1"/>
          <w:szCs w:val="22"/>
          <w14:textFill>
            <w14:solidFill>
              <w14:schemeClr w14:val="tx1"/>
            </w14:solidFill>
          </w14:textFill>
        </w:rPr>
        <w:t xml:space="preserve">（八）</w:t>
      </w:r>
      <w:r>
        <w:rPr>
          <w:rFonts w:hint="eastAsia" w:ascii="宋体" w:hAnsi="宋体" w:cs="宋体"/>
          <w:color w:val="000000" w:themeColor="text1"/>
          <w:szCs w:val="22"/>
          <w14:textFill>
            <w14:solidFill>
              <w14:schemeClr w14:val="tx1"/>
            </w14:solidFill>
          </w14:textFill>
        </w:rPr>
        <w:t xml:space="preserve">买方</w:t>
      </w:r>
      <w:r>
        <w:rPr>
          <w:rFonts w:ascii="宋体" w:hAnsi="宋体" w:cs="宋体"/>
          <w:color w:val="000000" w:themeColor="text1"/>
          <w:szCs w:val="22"/>
          <w14:textFill>
            <w14:solidFill>
              <w14:schemeClr w14:val="tx1"/>
            </w14:solidFill>
          </w14:textFill>
        </w:rPr>
        <w:t xml:space="preserve">及其工作人员不准要求或者接受</w:t>
      </w:r>
      <w:r>
        <w:rPr>
          <w:rFonts w:hint="eastAsia" w:ascii="宋体" w:hAnsi="宋体" w:cs="宋体"/>
          <w:color w:val="000000" w:themeColor="text1"/>
          <w:szCs w:val="22"/>
          <w14:textFill>
            <w14:solidFill>
              <w14:schemeClr w14:val="tx1"/>
            </w14:solidFill>
          </w14:textFill>
        </w:rPr>
        <w:t xml:space="preserve">卖方</w:t>
      </w:r>
      <w:r>
        <w:rPr>
          <w:rFonts w:ascii="宋体" w:hAnsi="宋体" w:cs="宋体"/>
          <w:color w:val="000000" w:themeColor="text1"/>
          <w:szCs w:val="22"/>
          <w14:textFill>
            <w14:solidFill>
              <w14:schemeClr w14:val="tx1"/>
            </w14:solidFill>
          </w14:textFill>
        </w:rPr>
        <w:t xml:space="preserve">以给特定关系人安排工作为名，使特定关系人不实际工作却获取薪酬；不准违反规定从事与</w:t>
      </w:r>
      <w:r>
        <w:rPr>
          <w:rFonts w:hint="eastAsia" w:ascii="宋体" w:hAnsi="宋体" w:cs="宋体"/>
          <w:color w:val="000000" w:themeColor="text1"/>
          <w:szCs w:val="22"/>
          <w14:textFill>
            <w14:solidFill>
              <w14:schemeClr w14:val="tx1"/>
            </w14:solidFill>
          </w14:textFill>
        </w:rPr>
        <w:t xml:space="preserve">卖方</w:t>
      </w:r>
      <w:r>
        <w:rPr>
          <w:rFonts w:ascii="宋体" w:hAnsi="宋体" w:cs="宋体"/>
          <w:color w:val="000000" w:themeColor="text1"/>
          <w:szCs w:val="22"/>
          <w14:textFill>
            <w14:solidFill>
              <w14:schemeClr w14:val="tx1"/>
            </w14:solidFill>
          </w14:textFill>
        </w:rPr>
        <w:t xml:space="preserve">实施项目有关的材料设备供应、分包等经济活动。</w:t>
      </w:r>
      <w:r/>
    </w:p>
    <w:p>
      <w:pPr>
        <w:ind w:firstLine="420"/>
        <w:spacing w:line="519" w:lineRule="atLeast"/>
        <w:widowControl/>
        <w:rPr>
          <w:rFonts w:ascii="Arial" w:hAnsi="Arial" w:eastAsia="Arial"/>
          <w:color w:val="000000" w:themeColor="text1"/>
          <w:szCs w:val="22"/>
          <w14:textFill>
            <w14:solidFill>
              <w14:schemeClr w14:val="tx1"/>
            </w14:solidFill>
          </w14:textFill>
        </w:rPr>
      </w:pPr>
      <w:r>
        <w:rPr>
          <w:rFonts w:ascii="宋体" w:hAnsi="宋体" w:cs="宋体"/>
          <w:color w:val="000000" w:themeColor="text1"/>
          <w:szCs w:val="22"/>
          <w14:textFill>
            <w14:solidFill>
              <w14:schemeClr w14:val="tx1"/>
            </w14:solidFill>
          </w14:textFill>
        </w:rPr>
        <w:t xml:space="preserve">（九）</w:t>
      </w:r>
      <w:r>
        <w:rPr>
          <w:rFonts w:hint="eastAsia" w:ascii="宋体" w:hAnsi="宋体" w:cs="宋体"/>
          <w:color w:val="000000" w:themeColor="text1"/>
          <w:szCs w:val="22"/>
          <w14:textFill>
            <w14:solidFill>
              <w14:schemeClr w14:val="tx1"/>
            </w14:solidFill>
          </w14:textFill>
        </w:rPr>
        <w:t xml:space="preserve">买方</w:t>
      </w:r>
      <w:r>
        <w:rPr>
          <w:rFonts w:ascii="宋体" w:hAnsi="宋体" w:cs="宋体"/>
          <w:color w:val="000000" w:themeColor="text1"/>
          <w:szCs w:val="22"/>
          <w14:textFill>
            <w14:solidFill>
              <w14:schemeClr w14:val="tx1"/>
            </w14:solidFill>
          </w14:textFill>
        </w:rPr>
        <w:t xml:space="preserve">及其工作人员不准在与</w:t>
      </w:r>
      <w:r>
        <w:rPr>
          <w:rFonts w:hint="eastAsia" w:ascii="宋体" w:hAnsi="宋体" w:cs="宋体"/>
          <w:color w:val="000000" w:themeColor="text1"/>
          <w:szCs w:val="22"/>
          <w14:textFill>
            <w14:solidFill>
              <w14:schemeClr w14:val="tx1"/>
            </w14:solidFill>
          </w14:textFill>
        </w:rPr>
        <w:t xml:space="preserve">卖方</w:t>
      </w:r>
      <w:r>
        <w:rPr>
          <w:rFonts w:ascii="宋体" w:hAnsi="宋体" w:cs="宋体"/>
          <w:color w:val="000000" w:themeColor="text1"/>
          <w:szCs w:val="22"/>
          <w14:textFill>
            <w14:solidFill>
              <w14:schemeClr w14:val="tx1"/>
            </w14:solidFill>
          </w14:textFill>
        </w:rPr>
        <w:t xml:space="preserve">有直接利害关系的企事业单位兼职、兼职取酬、投资入股、经商办企业以及从事有偿中介活动。</w:t>
      </w:r>
      <w:r/>
    </w:p>
    <w:p>
      <w:pPr>
        <w:ind w:firstLine="420"/>
        <w:spacing w:line="519" w:lineRule="atLeast"/>
        <w:widowControl/>
        <w:rPr>
          <w:rFonts w:ascii="Arial" w:hAnsi="Arial" w:eastAsia="Arial"/>
          <w:color w:val="000000" w:themeColor="text1"/>
          <w:szCs w:val="22"/>
          <w14:textFill>
            <w14:solidFill>
              <w14:schemeClr w14:val="tx1"/>
            </w14:solidFill>
          </w14:textFill>
        </w:rPr>
      </w:pPr>
      <w:r>
        <w:rPr>
          <w:rFonts w:ascii="宋体" w:hAnsi="宋体" w:cs="宋体"/>
          <w:color w:val="000000" w:themeColor="text1"/>
          <w:szCs w:val="22"/>
          <w14:textFill>
            <w14:solidFill>
              <w14:schemeClr w14:val="tx1"/>
            </w14:solidFill>
          </w14:textFill>
        </w:rPr>
        <w:t xml:space="preserve">（十）</w:t>
      </w:r>
      <w:r>
        <w:rPr>
          <w:rFonts w:hint="eastAsia" w:ascii="宋体" w:hAnsi="宋体" w:cs="宋体"/>
          <w:color w:val="000000" w:themeColor="text1"/>
          <w:szCs w:val="22"/>
          <w14:textFill>
            <w14:solidFill>
              <w14:schemeClr w14:val="tx1"/>
            </w14:solidFill>
          </w14:textFill>
        </w:rPr>
        <w:t xml:space="preserve">买方</w:t>
      </w:r>
      <w:r>
        <w:rPr>
          <w:rFonts w:ascii="宋体" w:hAnsi="宋体" w:cs="宋体"/>
          <w:color w:val="000000" w:themeColor="text1"/>
          <w:szCs w:val="22"/>
          <w14:textFill>
            <w14:solidFill>
              <w14:schemeClr w14:val="tx1"/>
            </w14:solidFill>
          </w14:textFill>
        </w:rPr>
        <w:t xml:space="preserve">或工作人员不得利用职务便利为</w:t>
      </w:r>
      <w:r>
        <w:rPr>
          <w:rFonts w:hint="eastAsia" w:ascii="宋体" w:hAnsi="宋体" w:cs="宋体"/>
          <w:color w:val="000000" w:themeColor="text1"/>
          <w:szCs w:val="22"/>
          <w14:textFill>
            <w14:solidFill>
              <w14:schemeClr w14:val="tx1"/>
            </w14:solidFill>
          </w14:textFill>
        </w:rPr>
        <w:t xml:space="preserve">卖方</w:t>
      </w:r>
      <w:r>
        <w:rPr>
          <w:rFonts w:ascii="宋体" w:hAnsi="宋体" w:cs="宋体"/>
          <w:color w:val="000000" w:themeColor="text1"/>
          <w:szCs w:val="22"/>
          <w14:textFill>
            <w14:solidFill>
              <w14:schemeClr w14:val="tx1"/>
            </w14:solidFill>
          </w14:textFill>
        </w:rPr>
        <w:t xml:space="preserve">谋取利益，由</w:t>
      </w:r>
      <w:r>
        <w:rPr>
          <w:rFonts w:hint="eastAsia" w:ascii="宋体" w:hAnsi="宋体" w:cs="宋体"/>
          <w:color w:val="000000" w:themeColor="text1"/>
          <w:szCs w:val="22"/>
          <w14:textFill>
            <w14:solidFill>
              <w14:schemeClr w14:val="tx1"/>
            </w14:solidFill>
          </w14:textFill>
        </w:rPr>
        <w:t xml:space="preserve">卖方</w:t>
      </w:r>
      <w:r>
        <w:rPr>
          <w:rFonts w:ascii="宋体" w:hAnsi="宋体" w:cs="宋体"/>
          <w:color w:val="000000" w:themeColor="text1"/>
          <w:szCs w:val="22"/>
          <w14:textFill>
            <w14:solidFill>
              <w14:schemeClr w14:val="tx1"/>
            </w14:solidFill>
          </w14:textFill>
        </w:rPr>
        <w:t xml:space="preserve">出资 “合作”开办公司或进行其他合作投资，或委托</w:t>
      </w:r>
      <w:r>
        <w:rPr>
          <w:rFonts w:hint="eastAsia" w:ascii="宋体" w:hAnsi="宋体" w:cs="宋体"/>
          <w:color w:val="000000" w:themeColor="text1"/>
          <w:szCs w:val="22"/>
          <w14:textFill>
            <w14:solidFill>
              <w14:schemeClr w14:val="tx1"/>
            </w14:solidFill>
          </w14:textFill>
        </w:rPr>
        <w:t xml:space="preserve">卖方</w:t>
      </w:r>
      <w:r>
        <w:rPr>
          <w:rFonts w:ascii="宋体" w:hAnsi="宋体" w:cs="宋体"/>
          <w:color w:val="000000" w:themeColor="text1"/>
          <w:szCs w:val="22"/>
          <w14:textFill>
            <w14:solidFill>
              <w14:schemeClr w14:val="tx1"/>
            </w14:solidFill>
          </w14:textFill>
        </w:rPr>
        <w:t xml:space="preserve">投资证券、期货或由其他委托理财名义，未实际出资并获取“收益”，或虽然出资，但获取“利益”明显高于出资应得收益；或授意</w:t>
      </w:r>
      <w:r>
        <w:rPr>
          <w:rFonts w:hint="eastAsia" w:ascii="宋体" w:hAnsi="宋体" w:cs="宋体"/>
          <w:color w:val="000000" w:themeColor="text1"/>
          <w:szCs w:val="22"/>
          <w14:textFill>
            <w14:solidFill>
              <w14:schemeClr w14:val="tx1"/>
            </w14:solidFill>
          </w14:textFill>
        </w:rPr>
        <w:t xml:space="preserve">卖方</w:t>
      </w:r>
      <w:r>
        <w:rPr>
          <w:rFonts w:ascii="宋体" w:hAnsi="宋体" w:cs="宋体"/>
          <w:color w:val="000000" w:themeColor="text1"/>
          <w:szCs w:val="22"/>
          <w14:textFill>
            <w14:solidFill>
              <w14:schemeClr w14:val="tx1"/>
            </w14:solidFill>
          </w14:textFill>
        </w:rPr>
        <w:t xml:space="preserve">以本规定所列形式，将有关财物给特定关系人。</w:t>
      </w:r>
      <w:r/>
    </w:p>
    <w:p>
      <w:pPr>
        <w:ind w:firstLine="422"/>
        <w:spacing w:line="519" w:lineRule="atLeast"/>
        <w:widowControl/>
        <w:rPr>
          <w:rFonts w:ascii="Arial" w:hAnsi="Arial" w:eastAsia="Arial"/>
          <w:color w:val="000000" w:themeColor="text1"/>
          <w:szCs w:val="22"/>
          <w14:textFill>
            <w14:solidFill>
              <w14:schemeClr w14:val="tx1"/>
            </w14:solidFill>
          </w14:textFill>
        </w:rPr>
      </w:pPr>
      <w:r>
        <w:rPr>
          <w:rFonts w:ascii="宋体" w:hAnsi="宋体" w:cs="宋体"/>
          <w:b/>
          <w:color w:val="000000" w:themeColor="text1"/>
          <w:szCs w:val="22"/>
          <w14:textFill>
            <w14:solidFill>
              <w14:schemeClr w14:val="tx1"/>
            </w14:solidFill>
          </w14:textFill>
        </w:rPr>
        <w:t xml:space="preserve">第三条</w:t>
      </w:r>
      <w:r>
        <w:rPr>
          <w:rFonts w:hint="eastAsia" w:ascii="宋体" w:hAnsi="宋体" w:cs="宋体"/>
          <w:b/>
          <w:color w:val="000000" w:themeColor="text1"/>
          <w:szCs w:val="22"/>
          <w14:textFill>
            <w14:solidFill>
              <w14:schemeClr w14:val="tx1"/>
            </w14:solidFill>
          </w14:textFill>
        </w:rPr>
        <w:t xml:space="preserve">  </w:t>
      </w:r>
      <w:r>
        <w:rPr>
          <w:rFonts w:hint="eastAsia" w:ascii="宋体" w:hAnsi="宋体" w:cs="宋体"/>
          <w:color w:val="000000" w:themeColor="text1"/>
          <w:szCs w:val="22"/>
          <w14:textFill>
            <w14:solidFill>
              <w14:schemeClr w14:val="tx1"/>
            </w14:solidFill>
          </w14:textFill>
        </w:rPr>
        <w:t xml:space="preserve">卖方</w:t>
      </w:r>
      <w:r>
        <w:rPr>
          <w:rFonts w:ascii="宋体" w:hAnsi="宋体" w:cs="宋体"/>
          <w:color w:val="000000" w:themeColor="text1"/>
          <w:szCs w:val="22"/>
          <w14:textFill>
            <w14:solidFill>
              <w14:schemeClr w14:val="tx1"/>
            </w14:solidFill>
          </w14:textFill>
        </w:rPr>
        <w:t xml:space="preserve">在廉政建设方面义务</w:t>
      </w:r>
      <w:r/>
    </w:p>
    <w:p>
      <w:pPr>
        <w:ind w:firstLine="420"/>
        <w:spacing w:line="519" w:lineRule="atLeast"/>
        <w:widowControl/>
        <w:rPr>
          <w:rFonts w:ascii="Arial" w:hAnsi="Arial" w:eastAsia="Arial"/>
          <w:color w:val="000000" w:themeColor="text1"/>
          <w:szCs w:val="22"/>
          <w14:textFill>
            <w14:solidFill>
              <w14:schemeClr w14:val="tx1"/>
            </w14:solidFill>
          </w14:textFill>
        </w:rPr>
      </w:pPr>
      <w:r>
        <w:rPr>
          <w:rFonts w:ascii="宋体" w:hAnsi="宋体" w:cs="宋体"/>
          <w:color w:val="000000" w:themeColor="text1"/>
          <w:szCs w:val="22"/>
          <w14:textFill>
            <w14:solidFill>
              <w14:schemeClr w14:val="tx1"/>
            </w14:solidFill>
          </w14:textFill>
        </w:rPr>
        <w:t xml:space="preserve">（一）</w:t>
      </w:r>
      <w:r>
        <w:rPr>
          <w:rFonts w:hint="eastAsia" w:ascii="宋体" w:hAnsi="宋体" w:cs="宋体"/>
          <w:color w:val="000000" w:themeColor="text1"/>
          <w:szCs w:val="22"/>
          <w14:textFill>
            <w14:solidFill>
              <w14:schemeClr w14:val="tx1"/>
            </w14:solidFill>
          </w14:textFill>
        </w:rPr>
        <w:t xml:space="preserve">卖方</w:t>
      </w:r>
      <w:r>
        <w:rPr>
          <w:rFonts w:ascii="宋体" w:hAnsi="宋体" w:cs="宋体"/>
          <w:color w:val="000000" w:themeColor="text1"/>
          <w:szCs w:val="22"/>
          <w14:textFill>
            <w14:solidFill>
              <w14:schemeClr w14:val="tx1"/>
            </w14:solidFill>
          </w14:textFill>
        </w:rPr>
        <w:t xml:space="preserve">不准以任何形式向</w:t>
      </w:r>
      <w:r>
        <w:rPr>
          <w:rFonts w:hint="eastAsia" w:ascii="宋体" w:hAnsi="宋体" w:cs="宋体"/>
          <w:color w:val="000000" w:themeColor="text1"/>
          <w:szCs w:val="22"/>
          <w14:textFill>
            <w14:solidFill>
              <w14:schemeClr w14:val="tx1"/>
            </w14:solidFill>
          </w14:textFill>
        </w:rPr>
        <w:t xml:space="preserve">买方</w:t>
      </w:r>
      <w:r>
        <w:rPr>
          <w:rFonts w:ascii="宋体" w:hAnsi="宋体" w:cs="宋体"/>
          <w:color w:val="000000" w:themeColor="text1"/>
          <w:szCs w:val="22"/>
          <w14:textFill>
            <w14:solidFill>
              <w14:schemeClr w14:val="tx1"/>
            </w14:solidFill>
          </w14:textFill>
        </w:rPr>
        <w:t xml:space="preserve">及其工作人员馈赠现金、有价证券、支付凭证及赠送干股，或以赌博等交易形式非法赠送</w:t>
      </w:r>
      <w:r>
        <w:rPr>
          <w:rFonts w:hint="eastAsia" w:ascii="宋体" w:hAnsi="宋体" w:cs="宋体"/>
          <w:color w:val="000000" w:themeColor="text1"/>
          <w:szCs w:val="22"/>
          <w14:textFill>
            <w14:solidFill>
              <w14:schemeClr w14:val="tx1"/>
            </w14:solidFill>
          </w14:textFill>
        </w:rPr>
        <w:t xml:space="preserve">买方</w:t>
      </w:r>
      <w:r>
        <w:rPr>
          <w:rFonts w:ascii="宋体" w:hAnsi="宋体" w:cs="宋体"/>
          <w:color w:val="000000" w:themeColor="text1"/>
          <w:szCs w:val="22"/>
          <w14:textFill>
            <w14:solidFill>
              <w14:schemeClr w14:val="tx1"/>
            </w14:solidFill>
          </w14:textFill>
        </w:rPr>
        <w:t xml:space="preserve">财物。</w:t>
      </w:r>
      <w:r/>
    </w:p>
    <w:p>
      <w:pPr>
        <w:ind w:firstLine="420"/>
        <w:spacing w:line="519" w:lineRule="atLeast"/>
        <w:widowControl/>
        <w:rPr>
          <w:rFonts w:ascii="Arial" w:hAnsi="Arial" w:eastAsia="Arial"/>
          <w:color w:val="000000" w:themeColor="text1"/>
          <w:szCs w:val="22"/>
          <w14:textFill>
            <w14:solidFill>
              <w14:schemeClr w14:val="tx1"/>
            </w14:solidFill>
          </w14:textFill>
        </w:rPr>
      </w:pPr>
      <w:r>
        <w:rPr>
          <w:rFonts w:ascii="宋体" w:hAnsi="宋体" w:cs="宋体"/>
          <w:color w:val="000000" w:themeColor="text1"/>
          <w:szCs w:val="22"/>
          <w14:textFill>
            <w14:solidFill>
              <w14:schemeClr w14:val="tx1"/>
            </w14:solidFill>
          </w14:textFill>
        </w:rPr>
        <w:t xml:space="preserve">（二）</w:t>
      </w:r>
      <w:r>
        <w:rPr>
          <w:rFonts w:hint="eastAsia" w:ascii="宋体" w:hAnsi="宋体" w:cs="宋体"/>
          <w:color w:val="000000" w:themeColor="text1"/>
          <w:szCs w:val="22"/>
          <w14:textFill>
            <w14:solidFill>
              <w14:schemeClr w14:val="tx1"/>
            </w14:solidFill>
          </w14:textFill>
        </w:rPr>
        <w:t xml:space="preserve">卖方</w:t>
      </w:r>
      <w:r>
        <w:rPr>
          <w:rFonts w:ascii="宋体" w:hAnsi="宋体" w:cs="宋体"/>
          <w:color w:val="000000" w:themeColor="text1"/>
          <w:szCs w:val="22"/>
          <w14:textFill>
            <w14:solidFill>
              <w14:schemeClr w14:val="tx1"/>
            </w14:solidFill>
          </w14:textFill>
        </w:rPr>
        <w:t xml:space="preserve">不准以任何名义为</w:t>
      </w:r>
      <w:r>
        <w:rPr>
          <w:rFonts w:hint="eastAsia" w:ascii="宋体" w:hAnsi="宋体" w:cs="宋体"/>
          <w:color w:val="000000" w:themeColor="text1"/>
          <w:szCs w:val="22"/>
          <w14:textFill>
            <w14:solidFill>
              <w14:schemeClr w14:val="tx1"/>
            </w14:solidFill>
          </w14:textFill>
        </w:rPr>
        <w:t xml:space="preserve">买方</w:t>
      </w:r>
      <w:r>
        <w:rPr>
          <w:rFonts w:ascii="宋体" w:hAnsi="宋体" w:cs="宋体"/>
          <w:color w:val="000000" w:themeColor="text1"/>
          <w:szCs w:val="22"/>
          <w14:textFill>
            <w14:solidFill>
              <w14:schemeClr w14:val="tx1"/>
            </w14:solidFill>
          </w14:textFill>
        </w:rPr>
        <w:t xml:space="preserve">及其工作人员报销应由</w:t>
      </w:r>
      <w:r>
        <w:rPr>
          <w:rFonts w:hint="eastAsia" w:ascii="宋体" w:hAnsi="宋体" w:cs="宋体"/>
          <w:color w:val="000000" w:themeColor="text1"/>
          <w:szCs w:val="22"/>
          <w14:textFill>
            <w14:solidFill>
              <w14:schemeClr w14:val="tx1"/>
            </w14:solidFill>
          </w14:textFill>
        </w:rPr>
        <w:t xml:space="preserve">买方</w:t>
      </w:r>
      <w:r>
        <w:rPr>
          <w:rFonts w:ascii="宋体" w:hAnsi="宋体" w:cs="宋体"/>
          <w:color w:val="000000" w:themeColor="text1"/>
          <w:szCs w:val="22"/>
          <w14:textFill>
            <w14:solidFill>
              <w14:schemeClr w14:val="tx1"/>
            </w14:solidFill>
          </w14:textFill>
        </w:rPr>
        <w:t xml:space="preserve">或个人支付的费用。</w:t>
      </w:r>
      <w:r/>
    </w:p>
    <w:p>
      <w:pPr>
        <w:ind w:firstLine="420"/>
        <w:spacing w:line="519" w:lineRule="atLeast"/>
        <w:widowControl/>
        <w:rPr>
          <w:rFonts w:ascii="Arial" w:hAnsi="Arial" w:eastAsia="Arial"/>
          <w:color w:val="000000" w:themeColor="text1"/>
          <w:szCs w:val="22"/>
          <w14:textFill>
            <w14:solidFill>
              <w14:schemeClr w14:val="tx1"/>
            </w14:solidFill>
          </w14:textFill>
        </w:rPr>
      </w:pPr>
      <w:r>
        <w:rPr>
          <w:rFonts w:ascii="宋体" w:hAnsi="宋体" w:cs="宋体"/>
          <w:color w:val="000000" w:themeColor="text1"/>
          <w:szCs w:val="22"/>
          <w14:textFill>
            <w14:solidFill>
              <w14:schemeClr w14:val="tx1"/>
            </w14:solidFill>
          </w14:textFill>
        </w:rPr>
        <w:t xml:space="preserve">（三）</w:t>
      </w:r>
      <w:r>
        <w:rPr>
          <w:rFonts w:hint="eastAsia" w:ascii="宋体" w:hAnsi="宋体" w:cs="宋体"/>
          <w:color w:val="000000" w:themeColor="text1"/>
          <w:szCs w:val="22"/>
          <w14:textFill>
            <w14:solidFill>
              <w14:schemeClr w14:val="tx1"/>
            </w14:solidFill>
          </w14:textFill>
        </w:rPr>
        <w:t xml:space="preserve">卖方</w:t>
      </w:r>
      <w:r>
        <w:rPr>
          <w:rFonts w:ascii="宋体" w:hAnsi="宋体" w:cs="宋体"/>
          <w:color w:val="000000" w:themeColor="text1"/>
          <w:szCs w:val="22"/>
          <w14:textFill>
            <w14:solidFill>
              <w14:schemeClr w14:val="tx1"/>
            </w14:solidFill>
          </w14:textFill>
        </w:rPr>
        <w:t xml:space="preserve">不准以任何理由邀请</w:t>
      </w:r>
      <w:r>
        <w:rPr>
          <w:rFonts w:hint="eastAsia" w:ascii="宋体" w:hAnsi="宋体" w:cs="宋体"/>
          <w:color w:val="000000" w:themeColor="text1"/>
          <w:szCs w:val="22"/>
          <w14:textFill>
            <w14:solidFill>
              <w14:schemeClr w14:val="tx1"/>
            </w14:solidFill>
          </w14:textFill>
        </w:rPr>
        <w:t xml:space="preserve">买方</w:t>
      </w:r>
      <w:r>
        <w:rPr>
          <w:rFonts w:ascii="宋体" w:hAnsi="宋体" w:cs="宋体"/>
          <w:color w:val="000000" w:themeColor="text1"/>
          <w:szCs w:val="22"/>
          <w14:textFill>
            <w14:solidFill>
              <w14:schemeClr w14:val="tx1"/>
            </w14:solidFill>
          </w14:textFill>
        </w:rPr>
        <w:t xml:space="preserve">工作人员参加对承接的项目有影响的宴请及娱乐活动。</w:t>
      </w:r>
      <w:r/>
    </w:p>
    <w:p>
      <w:pPr>
        <w:ind w:firstLine="420"/>
        <w:spacing w:line="519" w:lineRule="atLeast"/>
        <w:widowControl/>
        <w:rPr>
          <w:rFonts w:ascii="Arial" w:hAnsi="Arial" w:eastAsia="Arial"/>
          <w:color w:val="000000" w:themeColor="text1"/>
          <w:szCs w:val="22"/>
          <w14:textFill>
            <w14:solidFill>
              <w14:schemeClr w14:val="tx1"/>
            </w14:solidFill>
          </w14:textFill>
        </w:rPr>
      </w:pPr>
      <w:r>
        <w:rPr>
          <w:rFonts w:ascii="宋体" w:hAnsi="宋体" w:cs="宋体"/>
          <w:color w:val="000000" w:themeColor="text1"/>
          <w:szCs w:val="22"/>
          <w14:textFill>
            <w14:solidFill>
              <w14:schemeClr w14:val="tx1"/>
            </w14:solidFill>
          </w14:textFill>
        </w:rPr>
        <w:t xml:space="preserve">（四）</w:t>
      </w:r>
      <w:r>
        <w:rPr>
          <w:rFonts w:hint="eastAsia" w:ascii="宋体" w:hAnsi="宋体" w:cs="宋体"/>
          <w:color w:val="000000" w:themeColor="text1"/>
          <w:szCs w:val="22"/>
          <w14:textFill>
            <w14:solidFill>
              <w14:schemeClr w14:val="tx1"/>
            </w14:solidFill>
          </w14:textFill>
        </w:rPr>
        <w:t xml:space="preserve">卖方</w:t>
      </w:r>
      <w:r>
        <w:rPr>
          <w:rFonts w:ascii="宋体" w:hAnsi="宋体" w:cs="宋体"/>
          <w:color w:val="000000" w:themeColor="text1"/>
          <w:szCs w:val="22"/>
          <w14:textFill>
            <w14:solidFill>
              <w14:schemeClr w14:val="tx1"/>
            </w14:solidFill>
          </w14:textFill>
        </w:rPr>
        <w:t xml:space="preserve">不准为</w:t>
      </w:r>
      <w:r>
        <w:rPr>
          <w:rFonts w:hint="eastAsia" w:ascii="宋体" w:hAnsi="宋体" w:cs="宋体"/>
          <w:color w:val="000000" w:themeColor="text1"/>
          <w:szCs w:val="22"/>
          <w14:textFill>
            <w14:solidFill>
              <w14:schemeClr w14:val="tx1"/>
            </w14:solidFill>
          </w14:textFill>
        </w:rPr>
        <w:t xml:space="preserve">买方</w:t>
      </w:r>
      <w:r>
        <w:rPr>
          <w:rFonts w:ascii="宋体" w:hAnsi="宋体" w:cs="宋体"/>
          <w:color w:val="000000" w:themeColor="text1"/>
          <w:szCs w:val="22"/>
          <w14:textFill>
            <w14:solidFill>
              <w14:schemeClr w14:val="tx1"/>
            </w14:solidFill>
          </w14:textFill>
        </w:rPr>
        <w:t xml:space="preserve">工作人员住房装修、婚丧嫁娶、特定关系人国内和出国（境）旅游提供方便；不准为</w:t>
      </w:r>
      <w:r>
        <w:rPr>
          <w:rFonts w:hint="eastAsia" w:ascii="宋体" w:hAnsi="宋体" w:cs="宋体"/>
          <w:color w:val="000000" w:themeColor="text1"/>
          <w:szCs w:val="22"/>
          <w14:textFill>
            <w14:solidFill>
              <w14:schemeClr w14:val="tx1"/>
            </w14:solidFill>
          </w14:textFill>
        </w:rPr>
        <w:t xml:space="preserve">卖方</w:t>
      </w:r>
      <w:r>
        <w:rPr>
          <w:rFonts w:ascii="宋体" w:hAnsi="宋体" w:cs="宋体"/>
          <w:color w:val="000000" w:themeColor="text1"/>
          <w:szCs w:val="22"/>
          <w14:textFill>
            <w14:solidFill>
              <w14:schemeClr w14:val="tx1"/>
            </w14:solidFill>
          </w14:textFill>
        </w:rPr>
        <w:t xml:space="preserve">工作人员的特定关系人以安排工作为名，使其不实际工作却获取薪酬。</w:t>
      </w:r>
      <w:r/>
    </w:p>
    <w:p>
      <w:pPr>
        <w:ind w:firstLine="420"/>
        <w:spacing w:line="519" w:lineRule="atLeast"/>
        <w:widowControl/>
        <w:rPr>
          <w:rFonts w:ascii="Arial" w:hAnsi="Arial" w:eastAsia="Arial"/>
          <w:color w:val="000000" w:themeColor="text1"/>
          <w:szCs w:val="22"/>
          <w14:textFill>
            <w14:solidFill>
              <w14:schemeClr w14:val="tx1"/>
            </w14:solidFill>
          </w14:textFill>
        </w:rPr>
      </w:pPr>
      <w:r>
        <w:rPr>
          <w:rFonts w:ascii="宋体" w:hAnsi="宋体" w:cs="宋体"/>
          <w:color w:val="000000" w:themeColor="text1"/>
          <w:szCs w:val="22"/>
          <w14:textFill>
            <w14:solidFill>
              <w14:schemeClr w14:val="tx1"/>
            </w14:solidFill>
          </w14:textFill>
        </w:rPr>
        <w:t xml:space="preserve">（五）</w:t>
      </w:r>
      <w:r>
        <w:rPr>
          <w:rFonts w:hint="eastAsia" w:ascii="宋体" w:hAnsi="宋体" w:cs="宋体"/>
          <w:color w:val="000000" w:themeColor="text1"/>
          <w:szCs w:val="22"/>
          <w14:textFill>
            <w14:solidFill>
              <w14:schemeClr w14:val="tx1"/>
            </w14:solidFill>
          </w14:textFill>
        </w:rPr>
        <w:t xml:space="preserve">卖方</w:t>
      </w:r>
      <w:r>
        <w:rPr>
          <w:rFonts w:ascii="宋体" w:hAnsi="宋体" w:cs="宋体"/>
          <w:color w:val="000000" w:themeColor="text1"/>
          <w:szCs w:val="22"/>
          <w14:textFill>
            <w14:solidFill>
              <w14:schemeClr w14:val="tx1"/>
            </w14:solidFill>
          </w14:textFill>
        </w:rPr>
        <w:t xml:space="preserve">不准赠送</w:t>
      </w:r>
      <w:r>
        <w:rPr>
          <w:rFonts w:hint="eastAsia" w:ascii="宋体" w:hAnsi="宋体" w:cs="宋体"/>
          <w:color w:val="000000" w:themeColor="text1"/>
          <w:szCs w:val="22"/>
          <w14:textFill>
            <w14:solidFill>
              <w14:schemeClr w14:val="tx1"/>
            </w14:solidFill>
          </w14:textFill>
        </w:rPr>
        <w:t xml:space="preserve">买方</w:t>
      </w:r>
      <w:r>
        <w:rPr>
          <w:rFonts w:ascii="宋体" w:hAnsi="宋体" w:cs="宋体"/>
          <w:color w:val="000000" w:themeColor="text1"/>
          <w:szCs w:val="22"/>
          <w14:textFill>
            <w14:solidFill>
              <w14:schemeClr w14:val="tx1"/>
            </w14:solidFill>
          </w14:textFill>
        </w:rPr>
        <w:t xml:space="preserve">工作人员住房、汽车等物品，不准为其以明显低于市场价购置住房或以劣换优、以借为名赠送住房。</w:t>
      </w:r>
      <w:r/>
    </w:p>
    <w:p>
      <w:pPr>
        <w:ind w:firstLine="420"/>
        <w:spacing w:line="519" w:lineRule="atLeast"/>
        <w:widowControl/>
        <w:rPr>
          <w:rFonts w:ascii="Arial" w:hAnsi="Arial" w:eastAsia="Arial"/>
          <w:color w:val="000000" w:themeColor="text1"/>
          <w:szCs w:val="22"/>
          <w14:textFill>
            <w14:solidFill>
              <w14:schemeClr w14:val="tx1"/>
            </w14:solidFill>
          </w14:textFill>
        </w:rPr>
      </w:pPr>
      <w:r>
        <w:rPr>
          <w:rFonts w:ascii="宋体" w:hAnsi="宋体" w:cs="宋体"/>
          <w:color w:val="000000" w:themeColor="text1"/>
          <w:szCs w:val="22"/>
          <w14:textFill>
            <w14:solidFill>
              <w14:schemeClr w14:val="tx1"/>
            </w14:solidFill>
          </w14:textFill>
        </w:rPr>
        <w:t xml:space="preserve">（六）</w:t>
      </w:r>
      <w:r>
        <w:rPr>
          <w:rFonts w:hint="eastAsia" w:ascii="宋体" w:hAnsi="宋体" w:cs="宋体"/>
          <w:color w:val="000000" w:themeColor="text1"/>
          <w:szCs w:val="22"/>
          <w14:textFill>
            <w14:solidFill>
              <w14:schemeClr w14:val="tx1"/>
            </w14:solidFill>
          </w14:textFill>
        </w:rPr>
        <w:t xml:space="preserve">卖方</w:t>
      </w:r>
      <w:r>
        <w:rPr>
          <w:rFonts w:ascii="宋体" w:hAnsi="宋体" w:cs="宋体"/>
          <w:color w:val="000000" w:themeColor="text1"/>
          <w:szCs w:val="22"/>
          <w14:textFill>
            <w14:solidFill>
              <w14:schemeClr w14:val="tx1"/>
            </w14:solidFill>
          </w14:textFill>
        </w:rPr>
        <w:t xml:space="preserve">不准违反规定将承建的施工项目分包或非法转包。</w:t>
      </w:r>
      <w:r/>
    </w:p>
    <w:p>
      <w:pPr>
        <w:ind w:firstLine="422"/>
        <w:spacing w:line="519" w:lineRule="atLeast"/>
        <w:widowControl/>
        <w:rPr>
          <w:rFonts w:ascii="Arial" w:hAnsi="Arial" w:eastAsia="Arial"/>
          <w:color w:val="000000" w:themeColor="text1"/>
          <w:szCs w:val="22"/>
          <w14:textFill>
            <w14:solidFill>
              <w14:schemeClr w14:val="tx1"/>
            </w14:solidFill>
          </w14:textFill>
        </w:rPr>
      </w:pPr>
      <w:r>
        <w:rPr>
          <w:rFonts w:ascii="宋体" w:hAnsi="宋体" w:cs="宋体"/>
          <w:b/>
          <w:color w:val="000000" w:themeColor="text1"/>
          <w:szCs w:val="22"/>
          <w14:textFill>
            <w14:solidFill>
              <w14:schemeClr w14:val="tx1"/>
            </w14:solidFill>
          </w14:textFill>
        </w:rPr>
        <w:t xml:space="preserve">第四条</w:t>
      </w:r>
      <w:r>
        <w:rPr>
          <w:rFonts w:hint="eastAsia" w:ascii="宋体" w:hAnsi="宋体" w:cs="宋体"/>
          <w:b/>
          <w:color w:val="000000" w:themeColor="text1"/>
          <w:szCs w:val="22"/>
          <w14:textFill>
            <w14:solidFill>
              <w14:schemeClr w14:val="tx1"/>
            </w14:solidFill>
          </w14:textFill>
        </w:rPr>
        <w:t xml:space="preserve">  </w:t>
      </w:r>
      <w:r>
        <w:rPr>
          <w:rFonts w:ascii="宋体" w:hAnsi="宋体" w:cs="宋体"/>
          <w:color w:val="000000" w:themeColor="text1"/>
          <w:szCs w:val="22"/>
          <w14:textFill>
            <w14:solidFill>
              <w14:schemeClr w14:val="tx1"/>
            </w14:solidFill>
          </w14:textFill>
        </w:rPr>
        <w:t xml:space="preserve">违约责任</w:t>
      </w:r>
      <w:r/>
    </w:p>
    <w:p>
      <w:pPr>
        <w:ind w:firstLine="420"/>
        <w:spacing w:line="519" w:lineRule="atLeast"/>
        <w:widowControl/>
        <w:rPr>
          <w:rFonts w:ascii="Arial" w:hAnsi="Arial" w:eastAsia="Arial"/>
          <w:color w:val="000000" w:themeColor="text1"/>
          <w:szCs w:val="22"/>
          <w14:textFill>
            <w14:solidFill>
              <w14:schemeClr w14:val="tx1"/>
            </w14:solidFill>
          </w14:textFill>
        </w:rPr>
      </w:pPr>
      <w:r>
        <w:rPr>
          <w:rFonts w:ascii="宋体" w:hAnsi="宋体" w:cs="宋体"/>
          <w:color w:val="000000" w:themeColor="text1"/>
          <w:szCs w:val="22"/>
          <w14:textFill>
            <w14:solidFill>
              <w14:schemeClr w14:val="tx1"/>
            </w14:solidFill>
          </w14:textFill>
        </w:rPr>
        <w:t xml:space="preserve">（一）</w:t>
      </w:r>
      <w:r>
        <w:rPr>
          <w:rFonts w:hint="eastAsia" w:ascii="宋体" w:hAnsi="宋体" w:cs="宋体"/>
          <w:color w:val="000000" w:themeColor="text1"/>
          <w:szCs w:val="22"/>
          <w14:textFill>
            <w14:solidFill>
              <w14:schemeClr w14:val="tx1"/>
            </w14:solidFill>
          </w14:textFill>
        </w:rPr>
        <w:t xml:space="preserve">买方</w:t>
      </w:r>
      <w:r>
        <w:rPr>
          <w:rFonts w:ascii="宋体" w:hAnsi="宋体" w:cs="宋体"/>
          <w:color w:val="000000" w:themeColor="text1"/>
          <w:szCs w:val="22"/>
          <w14:textFill>
            <w14:solidFill>
              <w14:schemeClr w14:val="tx1"/>
            </w14:solidFill>
          </w14:textFill>
        </w:rPr>
        <w:t xml:space="preserve">若违反本《廉政合同》有关规定的，对违纪违规人员，由</w:t>
      </w:r>
      <w:r>
        <w:rPr>
          <w:rFonts w:hint="eastAsia" w:ascii="宋体" w:hAnsi="宋体" w:cs="宋体"/>
          <w:color w:val="000000" w:themeColor="text1"/>
          <w:szCs w:val="22"/>
          <w14:textFill>
            <w14:solidFill>
              <w14:schemeClr w14:val="tx1"/>
            </w14:solidFill>
          </w14:textFill>
        </w:rPr>
        <w:t xml:space="preserve">买方</w:t>
      </w:r>
      <w:r>
        <w:rPr>
          <w:rFonts w:ascii="宋体" w:hAnsi="宋体" w:cs="宋体"/>
          <w:color w:val="000000" w:themeColor="text1"/>
          <w:szCs w:val="22"/>
          <w14:textFill>
            <w14:solidFill>
              <w14:schemeClr w14:val="tx1"/>
            </w14:solidFill>
          </w14:textFill>
        </w:rPr>
        <w:t xml:space="preserve">主管部门依据有关规定查处，构成犯罪的移交司法机关处理，给</w:t>
      </w:r>
      <w:r>
        <w:rPr>
          <w:rFonts w:hint="eastAsia" w:ascii="宋体" w:hAnsi="宋体" w:cs="宋体"/>
          <w:color w:val="000000" w:themeColor="text1"/>
          <w:szCs w:val="22"/>
          <w14:textFill>
            <w14:solidFill>
              <w14:schemeClr w14:val="tx1"/>
            </w14:solidFill>
          </w14:textFill>
        </w:rPr>
        <w:t xml:space="preserve">卖方</w:t>
      </w:r>
      <w:r>
        <w:rPr>
          <w:rFonts w:ascii="宋体" w:hAnsi="宋体" w:cs="宋体"/>
          <w:color w:val="000000" w:themeColor="text1"/>
          <w:szCs w:val="22"/>
          <w14:textFill>
            <w14:solidFill>
              <w14:schemeClr w14:val="tx1"/>
            </w14:solidFill>
          </w14:textFill>
        </w:rPr>
        <w:t xml:space="preserve">造成的损失，按有关规定予以赔偿。</w:t>
      </w:r>
      <w:r/>
    </w:p>
    <w:p>
      <w:pPr>
        <w:ind w:firstLine="420"/>
        <w:spacing w:line="519" w:lineRule="atLeast"/>
        <w:widowControl/>
        <w:rPr>
          <w:rFonts w:ascii="Arial" w:hAnsi="Arial" w:eastAsia="Arial"/>
          <w:color w:val="000000" w:themeColor="text1"/>
          <w:szCs w:val="22"/>
          <w14:textFill>
            <w14:solidFill>
              <w14:schemeClr w14:val="tx1"/>
            </w14:solidFill>
          </w14:textFill>
        </w:rPr>
      </w:pPr>
      <w:r>
        <w:rPr>
          <w:rFonts w:ascii="宋体" w:hAnsi="宋体" w:cs="宋体"/>
          <w:color w:val="000000" w:themeColor="text1"/>
          <w:szCs w:val="22"/>
          <w14:textFill>
            <w14:solidFill>
              <w14:schemeClr w14:val="tx1"/>
            </w14:solidFill>
          </w14:textFill>
        </w:rPr>
        <w:t xml:space="preserve">（二）</w:t>
      </w:r>
      <w:r>
        <w:rPr>
          <w:rFonts w:hint="eastAsia" w:ascii="宋体" w:hAnsi="宋体" w:cs="宋体"/>
          <w:color w:val="000000" w:themeColor="text1"/>
          <w:szCs w:val="22"/>
          <w14:textFill>
            <w14:solidFill>
              <w14:schemeClr w14:val="tx1"/>
            </w14:solidFill>
          </w14:textFill>
        </w:rPr>
        <w:t xml:space="preserve">卖方</w:t>
      </w:r>
      <w:r>
        <w:rPr>
          <w:rFonts w:ascii="宋体" w:hAnsi="宋体" w:cs="宋体"/>
          <w:color w:val="000000" w:themeColor="text1"/>
          <w:szCs w:val="22"/>
          <w14:textFill>
            <w14:solidFill>
              <w14:schemeClr w14:val="tx1"/>
            </w14:solidFill>
          </w14:textFill>
        </w:rPr>
        <w:t xml:space="preserve">若违反本《廉政合同》有关规定的，将按</w:t>
      </w:r>
      <w:r>
        <w:rPr>
          <w:rFonts w:hint="eastAsia" w:ascii="宋体" w:hAnsi="宋体" w:cs="宋体"/>
          <w:color w:val="000000" w:themeColor="text1"/>
          <w:szCs w:val="22"/>
          <w14:textFill>
            <w14:solidFill>
              <w14:schemeClr w14:val="tx1"/>
            </w14:solidFill>
          </w14:textFill>
        </w:rPr>
        <w:t xml:space="preserve">江苏</w:t>
      </w:r>
      <w:r>
        <w:rPr>
          <w:rFonts w:ascii="宋体" w:hAnsi="宋体" w:cs="宋体"/>
          <w:color w:val="000000" w:themeColor="text1"/>
          <w:szCs w:val="22"/>
          <w14:textFill>
            <w14:solidFill>
              <w14:schemeClr w14:val="tx1"/>
            </w14:solidFill>
          </w14:textFill>
        </w:rPr>
        <w:t xml:space="preserve">省水利厅信用考核管理有关规定进行查处，并将有关不良行为记录到企业信用档案。对违纪违规人员，由</w:t>
      </w:r>
      <w:r>
        <w:rPr>
          <w:rFonts w:hint="eastAsia" w:ascii="宋体" w:hAnsi="宋体" w:cs="宋体"/>
          <w:color w:val="000000" w:themeColor="text1"/>
          <w:szCs w:val="22"/>
          <w14:textFill>
            <w14:solidFill>
              <w14:schemeClr w14:val="tx1"/>
            </w14:solidFill>
          </w14:textFill>
        </w:rPr>
        <w:t xml:space="preserve">卖方</w:t>
      </w:r>
      <w:r>
        <w:rPr>
          <w:rFonts w:ascii="宋体" w:hAnsi="宋体" w:cs="宋体"/>
          <w:color w:val="000000" w:themeColor="text1"/>
          <w:szCs w:val="22"/>
          <w14:textFill>
            <w14:solidFill>
              <w14:schemeClr w14:val="tx1"/>
            </w14:solidFill>
          </w14:textFill>
        </w:rPr>
        <w:t xml:space="preserve">主管部门或行业管理部门依据有关规定查处，构成犯罪的移交司法机关处理，给</w:t>
      </w:r>
      <w:r>
        <w:rPr>
          <w:rFonts w:hint="eastAsia" w:ascii="宋体" w:hAnsi="宋体" w:cs="宋体"/>
          <w:color w:val="000000" w:themeColor="text1"/>
          <w:szCs w:val="22"/>
          <w14:textFill>
            <w14:solidFill>
              <w14:schemeClr w14:val="tx1"/>
            </w14:solidFill>
          </w14:textFill>
        </w:rPr>
        <w:t xml:space="preserve">买方</w:t>
      </w:r>
      <w:r>
        <w:rPr>
          <w:rFonts w:ascii="宋体" w:hAnsi="宋体" w:cs="宋体"/>
          <w:color w:val="000000" w:themeColor="text1"/>
          <w:szCs w:val="22"/>
          <w14:textFill>
            <w14:solidFill>
              <w14:schemeClr w14:val="tx1"/>
            </w14:solidFill>
          </w14:textFill>
        </w:rPr>
        <w:t xml:space="preserve">造成的损失，按有关规定予以赔偿。</w:t>
      </w:r>
      <w:r/>
    </w:p>
    <w:p>
      <w:pPr>
        <w:ind w:firstLine="422"/>
        <w:spacing w:line="519" w:lineRule="atLeast"/>
        <w:widowControl/>
        <w:rPr>
          <w:rFonts w:ascii="Arial" w:hAnsi="Arial" w:eastAsia="Arial"/>
          <w:color w:val="000000" w:themeColor="text1"/>
          <w:szCs w:val="22"/>
          <w14:textFill>
            <w14:solidFill>
              <w14:schemeClr w14:val="tx1"/>
            </w14:solidFill>
          </w14:textFill>
        </w:rPr>
      </w:pPr>
      <w:r>
        <w:rPr>
          <w:rFonts w:ascii="宋体" w:hAnsi="宋体" w:cs="宋体"/>
          <w:b/>
          <w:color w:val="000000" w:themeColor="text1"/>
          <w:szCs w:val="22"/>
          <w14:textFill>
            <w14:solidFill>
              <w14:schemeClr w14:val="tx1"/>
            </w14:solidFill>
          </w14:textFill>
        </w:rPr>
        <w:t xml:space="preserve">第五条</w:t>
      </w:r>
      <w:r>
        <w:rPr>
          <w:rFonts w:hint="eastAsia" w:ascii="宋体" w:hAnsi="宋体" w:cs="宋体"/>
          <w:b/>
          <w:color w:val="000000" w:themeColor="text1"/>
          <w:szCs w:val="22"/>
          <w14:textFill>
            <w14:solidFill>
              <w14:schemeClr w14:val="tx1"/>
            </w14:solidFill>
          </w14:textFill>
        </w:rPr>
        <w:t xml:space="preserve">  </w:t>
      </w:r>
      <w:r>
        <w:rPr>
          <w:rFonts w:ascii="宋体" w:hAnsi="宋体" w:cs="宋体"/>
          <w:color w:val="000000" w:themeColor="text1"/>
          <w:szCs w:val="22"/>
          <w14:textFill>
            <w14:solidFill>
              <w14:schemeClr w14:val="tx1"/>
            </w14:solidFill>
          </w14:textFill>
        </w:rPr>
        <w:t xml:space="preserve">督查单位</w:t>
      </w:r>
      <w:r/>
    </w:p>
    <w:p>
      <w:pPr>
        <w:ind w:firstLine="420"/>
        <w:spacing w:line="519" w:lineRule="atLeast"/>
        <w:widowControl/>
        <w:rPr>
          <w:rFonts w:ascii="Arial" w:hAnsi="Arial" w:eastAsia="Arial"/>
          <w:color w:val="000000" w:themeColor="text1"/>
          <w:szCs w:val="22"/>
          <w14:textFill>
            <w14:solidFill>
              <w14:schemeClr w14:val="tx1"/>
            </w14:solidFill>
          </w14:textFill>
        </w:rPr>
      </w:pPr>
      <w:r>
        <w:rPr>
          <w:rFonts w:ascii="宋体" w:hAnsi="宋体" w:cs="宋体"/>
          <w:color w:val="000000" w:themeColor="text1"/>
          <w:szCs w:val="22"/>
          <w14:textFill>
            <w14:solidFill>
              <w14:schemeClr w14:val="tx1"/>
            </w14:solidFill>
          </w14:textFill>
        </w:rPr>
        <w:t xml:space="preserve">双方约定：自愿接受</w:t>
      </w:r>
      <w:r>
        <w:rPr>
          <w:rFonts w:hint="eastAsia" w:ascii="宋体" w:hAnsi="宋体" w:cs="宋体"/>
          <w:color w:val="000000" w:themeColor="text1"/>
          <w:szCs w:val="22"/>
          <w14:textFill>
            <w14:solidFill>
              <w14:schemeClr w14:val="tx1"/>
            </w14:solidFill>
          </w14:textFill>
        </w:rPr>
        <w:t xml:space="preserve">江苏省水利厅及</w:t>
      </w:r>
      <w:r>
        <w:rPr>
          <w:rFonts w:ascii="宋体" w:hAnsi="宋体" w:cs="宋体"/>
          <w:color w:val="000000" w:themeColor="text1"/>
          <w:szCs w:val="22"/>
          <w:u w:val="single"/>
          <w14:textFill>
            <w14:solidFill>
              <w14:schemeClr w14:val="tx1"/>
            </w14:solidFill>
          </w14:textFill>
        </w:rPr>
        <w:t xml:space="preserve">江苏省水文水资源勘测局纪律监督室</w:t>
      </w:r>
      <w:r>
        <w:rPr>
          <w:rFonts w:ascii="宋体" w:hAnsi="宋体" w:cs="宋体"/>
          <w:color w:val="000000" w:themeColor="text1"/>
          <w:szCs w:val="22"/>
          <w14:textFill>
            <w14:solidFill>
              <w14:schemeClr w14:val="tx1"/>
            </w14:solidFill>
          </w14:textFill>
        </w:rPr>
        <w:t xml:space="preserve">对合同执行情况的监督检查，甲、乙双方应积极配合督查单位的检查，包括提供有关资料和财务账册凭证，接受本合同规定范围内的裁定意见。</w:t>
      </w:r>
      <w:r/>
    </w:p>
    <w:p>
      <w:pPr>
        <w:ind w:firstLine="422"/>
        <w:spacing w:line="519" w:lineRule="atLeast"/>
        <w:widowControl/>
        <w:rPr>
          <w:rFonts w:ascii="Arial" w:hAnsi="Arial" w:eastAsia="Arial"/>
          <w:color w:val="000000" w:themeColor="text1"/>
          <w:szCs w:val="22"/>
          <w14:textFill>
            <w14:solidFill>
              <w14:schemeClr w14:val="tx1"/>
            </w14:solidFill>
          </w14:textFill>
        </w:rPr>
      </w:pPr>
      <w:r>
        <w:rPr>
          <w:rFonts w:ascii="宋体" w:hAnsi="宋体" w:cs="宋体"/>
          <w:b/>
          <w:color w:val="000000" w:themeColor="text1"/>
          <w:szCs w:val="22"/>
          <w14:textFill>
            <w14:solidFill>
              <w14:schemeClr w14:val="tx1"/>
            </w14:solidFill>
          </w14:textFill>
        </w:rPr>
        <w:t xml:space="preserve">第六条</w:t>
      </w:r>
      <w:r>
        <w:rPr>
          <w:rFonts w:hint="eastAsia" w:ascii="宋体" w:hAnsi="宋体" w:cs="宋体"/>
          <w:color w:val="000000" w:themeColor="text1"/>
          <w:szCs w:val="22"/>
          <w14:textFill>
            <w14:solidFill>
              <w14:schemeClr w14:val="tx1"/>
            </w14:solidFill>
          </w14:textFill>
        </w:rPr>
        <w:t xml:space="preserve">  </w:t>
      </w:r>
      <w:r>
        <w:rPr>
          <w:rFonts w:ascii="宋体" w:hAnsi="宋体" w:cs="宋体"/>
          <w:color w:val="000000" w:themeColor="text1"/>
          <w:szCs w:val="22"/>
          <w14:textFill>
            <w14:solidFill>
              <w14:schemeClr w14:val="tx1"/>
            </w14:solidFill>
          </w14:textFill>
        </w:rPr>
        <w:t xml:space="preserve">检查方式</w:t>
      </w:r>
      <w:r/>
    </w:p>
    <w:p>
      <w:pPr>
        <w:ind w:firstLine="420"/>
        <w:spacing w:line="519" w:lineRule="atLeast"/>
        <w:widowControl/>
        <w:rPr>
          <w:rFonts w:ascii="Arial" w:hAnsi="Arial" w:eastAsia="Arial"/>
          <w:color w:val="000000" w:themeColor="text1"/>
          <w:szCs w:val="22"/>
          <w14:textFill>
            <w14:solidFill>
              <w14:schemeClr w14:val="tx1"/>
            </w14:solidFill>
          </w14:textFill>
        </w:rPr>
      </w:pPr>
      <w:r>
        <w:rPr>
          <w:rFonts w:ascii="宋体" w:hAnsi="宋体" w:cs="宋体"/>
          <w:color w:val="000000" w:themeColor="text1"/>
          <w:szCs w:val="22"/>
          <w14:textFill>
            <w14:solidFill>
              <w14:schemeClr w14:val="tx1"/>
            </w14:solidFill>
          </w14:textFill>
        </w:rPr>
        <w:t xml:space="preserve">本合同的履约情况由督查单位主持，甲、乙双方共同派员参加，检查方式为座谈、个别访谈、现场勘察、查阅资料及财务账册或由各方约定的其他方式等。检查时间、次数、方式、检查结论和执行违约责任等由双方协商确定，如无法达成一致的，由督查单位依据事实裁定。</w:t>
      </w:r>
      <w:r/>
    </w:p>
    <w:p>
      <w:pPr>
        <w:ind w:firstLine="422"/>
        <w:spacing w:line="519" w:lineRule="atLeast"/>
        <w:widowControl/>
        <w:rPr>
          <w:rFonts w:ascii="Arial" w:hAnsi="Arial" w:eastAsia="Arial"/>
          <w:color w:val="000000" w:themeColor="text1"/>
          <w:szCs w:val="22"/>
          <w14:textFill>
            <w14:solidFill>
              <w14:schemeClr w14:val="tx1"/>
            </w14:solidFill>
          </w14:textFill>
        </w:rPr>
      </w:pPr>
      <w:r>
        <w:rPr>
          <w:rFonts w:ascii="宋体" w:hAnsi="宋体" w:cs="宋体"/>
          <w:b/>
          <w:color w:val="000000" w:themeColor="text1"/>
          <w:szCs w:val="22"/>
          <w14:textFill>
            <w14:solidFill>
              <w14:schemeClr w14:val="tx1"/>
            </w14:solidFill>
          </w14:textFill>
        </w:rPr>
        <w:t xml:space="preserve">第七条</w:t>
      </w:r>
      <w:r>
        <w:rPr>
          <w:rFonts w:hint="eastAsia" w:ascii="宋体" w:hAnsi="宋体" w:cs="宋体"/>
          <w:b/>
          <w:color w:val="000000" w:themeColor="text1"/>
          <w:szCs w:val="22"/>
          <w14:textFill>
            <w14:solidFill>
              <w14:schemeClr w14:val="tx1"/>
            </w14:solidFill>
          </w14:textFill>
        </w:rPr>
        <w:t xml:space="preserve">  </w:t>
      </w:r>
      <w:r>
        <w:rPr>
          <w:rFonts w:ascii="宋体" w:hAnsi="宋体" w:cs="宋体"/>
          <w:color w:val="000000" w:themeColor="text1"/>
          <w:szCs w:val="22"/>
          <w14:textFill>
            <w14:solidFill>
              <w14:schemeClr w14:val="tx1"/>
            </w14:solidFill>
          </w14:textFill>
        </w:rPr>
        <w:t xml:space="preserve">本合同有效期为自合同签订之日起至该项目验收后止</w:t>
      </w:r>
      <w:r>
        <w:rPr>
          <w:rFonts w:ascii="宋体" w:hAnsi="宋体" w:cs="宋体"/>
          <w:b/>
          <w:color w:val="000000" w:themeColor="text1"/>
          <w:szCs w:val="22"/>
          <w14:textFill>
            <w14:solidFill>
              <w14:schemeClr w14:val="tx1"/>
            </w14:solidFill>
          </w14:textFill>
        </w:rPr>
        <w:t xml:space="preserve">。</w:t>
      </w:r>
      <w:r/>
    </w:p>
    <w:p>
      <w:pPr>
        <w:ind w:firstLine="422"/>
        <w:spacing w:line="519" w:lineRule="atLeast"/>
        <w:widowControl/>
        <w:rPr>
          <w:rFonts w:ascii="Arial" w:hAnsi="Arial" w:eastAsia="Arial"/>
          <w:color w:val="000000" w:themeColor="text1"/>
          <w:szCs w:val="22"/>
          <w14:textFill>
            <w14:solidFill>
              <w14:schemeClr w14:val="tx1"/>
            </w14:solidFill>
          </w14:textFill>
        </w:rPr>
      </w:pPr>
      <w:r>
        <w:rPr>
          <w:rFonts w:ascii="宋体" w:hAnsi="宋体" w:cs="宋体"/>
          <w:b/>
          <w:color w:val="000000" w:themeColor="text1"/>
          <w:szCs w:val="22"/>
          <w14:textFill>
            <w14:solidFill>
              <w14:schemeClr w14:val="tx1"/>
            </w14:solidFill>
          </w14:textFill>
        </w:rPr>
        <w:t xml:space="preserve">第八条</w:t>
      </w:r>
      <w:r>
        <w:rPr>
          <w:rFonts w:hint="eastAsia" w:ascii="宋体" w:hAnsi="宋体" w:cs="宋体"/>
          <w:color w:val="000000" w:themeColor="text1"/>
          <w:szCs w:val="22"/>
          <w14:textFill>
            <w14:solidFill>
              <w14:schemeClr w14:val="tx1"/>
            </w14:solidFill>
          </w14:textFill>
        </w:rPr>
        <w:t xml:space="preserve">  </w:t>
      </w:r>
      <w:r>
        <w:rPr>
          <w:rFonts w:ascii="宋体" w:hAnsi="宋体" w:cs="宋体"/>
          <w:color w:val="000000" w:themeColor="text1"/>
          <w:szCs w:val="22"/>
          <w14:textFill>
            <w14:solidFill>
              <w14:schemeClr w14:val="tx1"/>
            </w14:solidFill>
          </w14:textFill>
        </w:rPr>
        <w:t xml:space="preserve">本合同一式</w:t>
      </w:r>
      <w:r>
        <w:rPr>
          <w:rFonts w:ascii="宋体" w:hAnsi="宋体" w:cs="宋体"/>
          <w:b/>
          <w:color w:val="000000" w:themeColor="text1"/>
          <w:szCs w:val="22"/>
          <w:u w:val="single"/>
          <w14:textFill>
            <w14:solidFill>
              <w14:schemeClr w14:val="tx1"/>
            </w14:solidFill>
          </w14:textFill>
        </w:rPr>
        <w:t xml:space="preserve">叁</w:t>
      </w:r>
      <w:r>
        <w:rPr>
          <w:rFonts w:ascii="宋体" w:hAnsi="宋体" w:cs="宋体"/>
          <w:color w:val="000000" w:themeColor="text1"/>
          <w:szCs w:val="22"/>
          <w14:textFill>
            <w14:solidFill>
              <w14:schemeClr w14:val="tx1"/>
            </w14:solidFill>
          </w14:textFill>
        </w:rPr>
        <w:t xml:space="preserve">份，承、发包双方各执</w:t>
      </w:r>
      <w:r>
        <w:rPr>
          <w:rFonts w:ascii="宋体" w:hAnsi="宋体" w:cs="宋体"/>
          <w:b/>
          <w:color w:val="000000" w:themeColor="text1"/>
          <w:szCs w:val="22"/>
          <w:u w:val="single"/>
          <w14:textFill>
            <w14:solidFill>
              <w14:schemeClr w14:val="tx1"/>
            </w14:solidFill>
          </w14:textFill>
        </w:rPr>
        <w:t xml:space="preserve">壹</w:t>
      </w:r>
      <w:r>
        <w:rPr>
          <w:rFonts w:ascii="宋体" w:hAnsi="宋体" w:cs="宋体"/>
          <w:color w:val="000000" w:themeColor="text1"/>
          <w:szCs w:val="22"/>
          <w14:textFill>
            <w14:solidFill>
              <w14:schemeClr w14:val="tx1"/>
            </w14:solidFill>
          </w14:textFill>
        </w:rPr>
        <w:t xml:space="preserve">份，送交督查单位</w:t>
      </w:r>
      <w:r>
        <w:rPr>
          <w:rFonts w:ascii="宋体" w:hAnsi="宋体" w:cs="宋体"/>
          <w:b/>
          <w:color w:val="000000" w:themeColor="text1"/>
          <w:szCs w:val="22"/>
          <w:u w:val="single"/>
          <w14:textFill>
            <w14:solidFill>
              <w14:schemeClr w14:val="tx1"/>
            </w14:solidFill>
          </w14:textFill>
        </w:rPr>
        <w:t xml:space="preserve">壹</w:t>
      </w:r>
      <w:r>
        <w:rPr>
          <w:rFonts w:ascii="宋体" w:hAnsi="宋体" w:cs="宋体"/>
          <w:color w:val="000000" w:themeColor="text1"/>
          <w:szCs w:val="22"/>
          <w14:textFill>
            <w14:solidFill>
              <w14:schemeClr w14:val="tx1"/>
            </w14:solidFill>
          </w14:textFill>
        </w:rPr>
        <w:t xml:space="preserve">份。</w:t>
      </w:r>
      <w:r/>
    </w:p>
    <w:p>
      <w:pPr>
        <w:ind w:firstLine="422"/>
        <w:spacing w:line="519" w:lineRule="atLeast"/>
        <w:widowControl/>
        <w:rPr>
          <w:rFonts w:ascii="宋体" w:hAnsi="宋体" w:cs="宋体"/>
          <w:bCs/>
          <w:color w:val="000000" w:themeColor="text1"/>
          <w:szCs w:val="22"/>
          <w14:textFill>
            <w14:solidFill>
              <w14:schemeClr w14:val="tx1"/>
            </w14:solidFill>
          </w14:textFill>
        </w:rPr>
      </w:pPr>
      <w:r>
        <w:rPr>
          <w:rFonts w:ascii="宋体" w:hAnsi="宋体" w:cs="宋体"/>
          <w:bCs/>
          <w:color w:val="000000" w:themeColor="text1"/>
          <w:szCs w:val="22"/>
          <w14:textFill>
            <w14:solidFill>
              <w14:schemeClr w14:val="tx1"/>
            </w14:solidFill>
          </w14:textFill>
        </w:rPr>
        <w:t xml:space="preserve">买方：(盖章)                      卖方：(盖章)                </w:t>
      </w:r>
      <w:r/>
    </w:p>
    <w:p>
      <w:pPr>
        <w:ind w:firstLine="422"/>
        <w:spacing w:line="519" w:lineRule="atLeast"/>
        <w:widowControl/>
        <w:rPr>
          <w:rFonts w:ascii="宋体" w:hAnsi="宋体" w:cs="宋体"/>
          <w:bCs/>
          <w:color w:val="000000" w:themeColor="text1"/>
          <w:szCs w:val="22"/>
          <w14:textFill>
            <w14:solidFill>
              <w14:schemeClr w14:val="tx1"/>
            </w14:solidFill>
          </w14:textFill>
        </w:rPr>
      </w:pPr>
      <w:r>
        <w:rPr>
          <w:rFonts w:ascii="宋体" w:hAnsi="宋体" w:cs="宋体"/>
          <w:bCs/>
          <w:color w:val="000000" w:themeColor="text1"/>
          <w:szCs w:val="22"/>
          <w14:textFill>
            <w14:solidFill>
              <w14:schemeClr w14:val="tx1"/>
            </w14:solidFill>
          </w14:textFill>
        </w:rPr>
        <w:t xml:space="preserve">法定代表人：(签名)                法定代表人：(签名)</w:t>
      </w:r>
      <w:r/>
    </w:p>
    <w:p>
      <w:pPr>
        <w:ind w:firstLine="422"/>
        <w:spacing w:line="519" w:lineRule="atLeast"/>
        <w:widowControl/>
        <w:rPr>
          <w:rFonts w:ascii="宋体" w:hAnsi="宋体" w:cs="宋体"/>
          <w:bCs/>
          <w:color w:val="000000" w:themeColor="text1"/>
          <w:szCs w:val="22"/>
          <w14:textFill>
            <w14:solidFill>
              <w14:schemeClr w14:val="tx1"/>
            </w14:solidFill>
          </w14:textFill>
        </w:rPr>
      </w:pPr>
      <w:r>
        <w:rPr>
          <w:rFonts w:ascii="宋体" w:hAnsi="宋体" w:cs="宋体"/>
          <w:bCs/>
          <w:color w:val="000000" w:themeColor="text1"/>
          <w:szCs w:val="22"/>
          <w14:textFill>
            <w14:solidFill>
              <w14:schemeClr w14:val="tx1"/>
            </w14:solidFill>
          </w14:textFill>
        </w:rPr>
        <w:t xml:space="preserve">或授权代理人：(签名)              或授权代理人：(签名)</w:t>
      </w:r>
      <w:r/>
    </w:p>
    <w:p>
      <w:pPr>
        <w:ind w:firstLine="422"/>
        <w:spacing w:line="519" w:lineRule="atLeast"/>
        <w:widowControl/>
        <w:rPr>
          <w:rFonts w:ascii="宋体" w:hAnsi="宋体" w:cs="宋体"/>
          <w:bCs/>
          <w:color w:val="000000" w:themeColor="text1"/>
          <w:szCs w:val="22"/>
          <w14:textFill>
            <w14:solidFill>
              <w14:schemeClr w14:val="tx1"/>
            </w14:solidFill>
          </w14:textFill>
        </w:rPr>
      </w:pPr>
      <w:r>
        <w:rPr>
          <w:rFonts w:ascii="宋体" w:hAnsi="宋体" w:cs="宋体"/>
          <w:bCs/>
          <w:color w:val="000000" w:themeColor="text1"/>
          <w:szCs w:val="22"/>
          <w14:textFill>
            <w14:solidFill>
              <w14:schemeClr w14:val="tx1"/>
            </w14:solidFill>
          </w14:textFill>
        </w:rPr>
        <w:t xml:space="preserve">单位地址：                      单位地址：</w:t>
      </w:r>
      <w:r/>
    </w:p>
    <w:p>
      <w:pPr>
        <w:ind w:firstLine="422"/>
        <w:spacing w:line="519" w:lineRule="atLeast"/>
        <w:widowControl/>
        <w:rPr>
          <w:rFonts w:ascii="宋体" w:hAnsi="宋体" w:cs="宋体"/>
          <w:bCs/>
          <w:color w:val="000000" w:themeColor="text1"/>
          <w:szCs w:val="22"/>
          <w14:textFill>
            <w14:solidFill>
              <w14:schemeClr w14:val="tx1"/>
            </w14:solidFill>
          </w14:textFill>
        </w:rPr>
      </w:pPr>
      <w:r>
        <w:rPr>
          <w:rFonts w:ascii="宋体" w:hAnsi="宋体" w:cs="宋体"/>
          <w:bCs/>
          <w:color w:val="000000" w:themeColor="text1"/>
          <w:szCs w:val="22"/>
          <w14:textFill>
            <w14:solidFill>
              <w14:schemeClr w14:val="tx1"/>
            </w14:solidFill>
          </w14:textFill>
        </w:rPr>
        <w:t xml:space="preserve">联系电话：                      联系电话：</w:t>
      </w:r>
      <w:r/>
    </w:p>
    <w:p>
      <w:pPr>
        <w:ind w:firstLine="422"/>
        <w:spacing w:line="519" w:lineRule="atLeast"/>
        <w:widowControl/>
        <w:rPr>
          <w:rFonts w:ascii="宋体" w:hAnsi="宋体" w:cs="宋体"/>
          <w:bCs/>
          <w:color w:val="000000" w:themeColor="text1"/>
          <w:szCs w:val="22"/>
          <w14:textFill>
            <w14:solidFill>
              <w14:schemeClr w14:val="tx1"/>
            </w14:solidFill>
          </w14:textFill>
        </w:rPr>
      </w:pPr>
      <w:r>
        <w:rPr>
          <w:rFonts w:ascii="宋体" w:hAnsi="宋体" w:cs="宋体"/>
          <w:bCs/>
          <w:color w:val="000000" w:themeColor="text1"/>
          <w:szCs w:val="22"/>
          <w14:textFill>
            <w14:solidFill>
              <w14:schemeClr w14:val="tx1"/>
            </w14:solidFill>
          </w14:textFill>
        </w:rPr>
      </w:r>
      <w:r/>
    </w:p>
    <w:p>
      <w:pPr>
        <w:ind w:firstLine="422"/>
        <w:spacing w:line="519" w:lineRule="atLeast"/>
        <w:widowControl/>
        <w:rPr>
          <w:rFonts w:ascii="宋体" w:hAnsi="宋体" w:cs="宋体"/>
          <w:bCs/>
          <w:color w:val="000000" w:themeColor="text1"/>
          <w:szCs w:val="22"/>
          <w14:textFill>
            <w14:solidFill>
              <w14:schemeClr w14:val="tx1"/>
            </w14:solidFill>
          </w14:textFill>
        </w:rPr>
      </w:pPr>
      <w:r>
        <w:rPr>
          <w:rFonts w:ascii="宋体" w:hAnsi="宋体" w:cs="宋体"/>
          <w:bCs/>
          <w:color w:val="000000" w:themeColor="text1"/>
          <w:szCs w:val="22"/>
          <w14:textFill>
            <w14:solidFill>
              <w14:schemeClr w14:val="tx1"/>
            </w14:solidFill>
          </w14:textFill>
        </w:rPr>
        <w:t xml:space="preserve">督查单位：(盖章)</w:t>
      </w:r>
      <w:r/>
    </w:p>
    <w:p>
      <w:pPr>
        <w:ind w:firstLine="422"/>
        <w:spacing w:line="519" w:lineRule="atLeast"/>
        <w:widowControl/>
        <w:rPr>
          <w:rFonts w:ascii="宋体" w:hAnsi="宋体" w:cs="宋体"/>
          <w:bCs/>
          <w:color w:val="000000" w:themeColor="text1"/>
          <w:szCs w:val="22"/>
          <w14:textFill>
            <w14:solidFill>
              <w14:schemeClr w14:val="tx1"/>
            </w14:solidFill>
          </w14:textFill>
        </w:rPr>
      </w:pPr>
      <w:r>
        <w:rPr>
          <w:rFonts w:ascii="宋体" w:hAnsi="宋体" w:cs="宋体"/>
          <w:bCs/>
          <w:color w:val="000000" w:themeColor="text1"/>
          <w:szCs w:val="22"/>
          <w14:textFill>
            <w14:solidFill>
              <w14:schemeClr w14:val="tx1"/>
            </w14:solidFill>
          </w14:textFill>
        </w:rPr>
        <w:t xml:space="preserve">代表人：(签名)</w:t>
      </w:r>
      <w:r/>
    </w:p>
    <w:p>
      <w:pPr>
        <w:ind w:firstLine="422"/>
        <w:spacing w:line="519" w:lineRule="atLeast"/>
        <w:widowControl/>
        <w:rPr>
          <w:rFonts w:ascii="宋体" w:hAnsi="宋体" w:cs="宋体"/>
          <w:bCs/>
          <w:color w:val="000000" w:themeColor="text1"/>
          <w:szCs w:val="22"/>
          <w14:textFill>
            <w14:solidFill>
              <w14:schemeClr w14:val="tx1"/>
            </w14:solidFill>
          </w14:textFill>
        </w:rPr>
      </w:pPr>
      <w:r>
        <w:rPr>
          <w:rFonts w:ascii="宋体" w:hAnsi="宋体" w:cs="宋体"/>
          <w:bCs/>
          <w:color w:val="000000" w:themeColor="text1"/>
          <w:szCs w:val="22"/>
          <w14:textFill>
            <w14:solidFill>
              <w14:schemeClr w14:val="tx1"/>
            </w14:solidFill>
          </w14:textFill>
        </w:rPr>
        <w:t xml:space="preserve">单位地址：</w:t>
      </w:r>
      <w:r/>
    </w:p>
    <w:p>
      <w:pPr>
        <w:ind w:firstLine="422"/>
        <w:spacing w:line="519" w:lineRule="atLeast"/>
        <w:widowControl/>
        <w:rPr>
          <w:rFonts w:ascii="宋体" w:hAnsi="宋体" w:cs="宋体"/>
          <w:bCs/>
          <w:color w:val="000000" w:themeColor="text1"/>
          <w:szCs w:val="22"/>
          <w14:textFill>
            <w14:solidFill>
              <w14:schemeClr w14:val="tx1"/>
            </w14:solidFill>
          </w14:textFill>
        </w:rPr>
      </w:pPr>
      <w:r>
        <w:rPr>
          <w:rFonts w:ascii="宋体" w:hAnsi="宋体" w:cs="宋体"/>
          <w:bCs/>
          <w:color w:val="000000" w:themeColor="text1"/>
          <w:szCs w:val="22"/>
          <w14:textFill>
            <w14:solidFill>
              <w14:schemeClr w14:val="tx1"/>
            </w14:solidFill>
          </w14:textFill>
        </w:rPr>
        <w:t xml:space="preserve">联系电话：</w:t>
      </w:r>
      <w:r/>
    </w:p>
    <w:p>
      <w:pPr>
        <w:rPr>
          <w:rFonts w:ascii="宋体" w:hAnsi="宋体" w:cs="宋体"/>
          <w:color w:val="000000" w:themeColor="text1"/>
          <w:szCs w:val="22"/>
          <w14:textFill>
            <w14:solidFill>
              <w14:schemeClr w14:val="tx1"/>
            </w14:solidFill>
          </w14:textFill>
        </w:rPr>
      </w:pPr>
      <w:r>
        <w:rPr>
          <w:rFonts w:ascii="宋体" w:hAnsi="宋体" w:cs="宋体"/>
          <w:color w:val="000000" w:themeColor="text1"/>
          <w:szCs w:val="22"/>
          <w14:textFill>
            <w14:solidFill>
              <w14:schemeClr w14:val="tx1"/>
            </w14:solidFill>
          </w14:textFill>
        </w:rPr>
      </w:r>
      <w:r/>
    </w:p>
    <w:p>
      <w:pPr>
        <w:jc w:val="right"/>
        <w:rPr>
          <w:color w:val="000000" w:themeColor="text1"/>
          <w14:textFill>
            <w14:solidFill>
              <w14:schemeClr w14:val="tx1"/>
            </w14:solidFill>
          </w14:textFill>
        </w:rPr>
      </w:pPr>
      <w:r>
        <w:rPr>
          <w:rFonts w:hint="eastAsia" w:ascii="宋体" w:hAnsi="宋体" w:cs="宋体"/>
          <w:color w:val="000000" w:themeColor="text1"/>
          <w:szCs w:val="22"/>
          <w14:textFill>
            <w14:solidFill>
              <w14:schemeClr w14:val="tx1"/>
            </w14:solidFill>
          </w14:textFill>
        </w:rPr>
        <w:t xml:space="preserve">签订日期：   年   月   日</w:t>
      </w:r>
      <w:r>
        <w:rPr>
          <w:color w:val="000000" w:themeColor="text1"/>
          <w14:textFill>
            <w14:solidFill>
              <w14:schemeClr w14:val="tx1"/>
            </w14:solidFill>
          </w14:textFill>
        </w:rPr>
        <w:br w:type="page" w:clear="all"/>
      </w:r>
      <w:r/>
    </w:p>
    <w:p>
      <w:pPr>
        <w:ind w:firstLine="420"/>
        <w:jc w:val="center"/>
        <w:spacing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工程安全生产合同</w:t>
      </w:r>
      <w:r/>
    </w:p>
    <w:p>
      <w:pPr>
        <w:ind w:firstLine="420"/>
        <w:jc w:val="center"/>
        <w:spacing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（买方与卖方）</w:t>
      </w:r>
      <w:r/>
    </w:p>
    <w:p>
      <w:pPr>
        <w:ind w:firstLine="420"/>
        <w:spacing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买方（全称）：江苏省水文水资源勘测局南京分局（以下简称“</w:t>
      </w:r>
      <w:r>
        <w:rPr>
          <w:rFonts w:hint="eastAsia"/>
          <w:color w:val="000000" w:themeColor="text1"/>
          <w14:textFill>
            <w14:solidFill>
              <w14:schemeClr w14:val="tx1"/>
            </w14:solidFill>
          </w14:textFill>
        </w:rPr>
        <w:t xml:space="preserve">买方</w:t>
      </w:r>
      <w:r>
        <w:rPr>
          <w:color w:val="000000" w:themeColor="text1"/>
          <w14:textFill>
            <w14:solidFill>
              <w14:schemeClr w14:val="tx1"/>
            </w14:solidFill>
          </w14:textFill>
        </w:rPr>
        <w:t xml:space="preserve">”）</w:t>
      </w:r>
      <w:r/>
    </w:p>
    <w:p>
      <w:pPr>
        <w:ind w:firstLine="420"/>
        <w:spacing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卖方（全称）：（以下简称“</w:t>
      </w:r>
      <w:r>
        <w:rPr>
          <w:rFonts w:hint="eastAsia"/>
          <w:color w:val="000000" w:themeColor="text1"/>
          <w14:textFill>
            <w14:solidFill>
              <w14:schemeClr w14:val="tx1"/>
            </w14:solidFill>
          </w14:textFill>
        </w:rPr>
        <w:t xml:space="preserve">卖方</w:t>
      </w:r>
      <w:r>
        <w:rPr>
          <w:color w:val="000000" w:themeColor="text1"/>
          <w14:textFill>
            <w14:solidFill>
              <w14:schemeClr w14:val="tx1"/>
            </w14:solidFill>
          </w14:textFill>
        </w:rPr>
        <w:t xml:space="preserve">”）</w:t>
      </w:r>
      <w:r/>
    </w:p>
    <w:p>
      <w:pPr>
        <w:ind w:firstLine="420"/>
        <w:spacing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为在合同的实施过程中创造安全、高效的施工环境，切实搞好本项目的安全管理工作，特此签订安全生产合同。具体如下：</w:t>
      </w:r>
      <w:r/>
    </w:p>
    <w:p>
      <w:pPr>
        <w:ind w:firstLine="420"/>
        <w:spacing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一、</w:t>
      </w:r>
      <w:r>
        <w:rPr>
          <w:rFonts w:hint="eastAsia"/>
          <w:color w:val="000000" w:themeColor="text1"/>
          <w14:textFill>
            <w14:solidFill>
              <w14:schemeClr w14:val="tx1"/>
            </w14:solidFill>
          </w14:textFill>
        </w:rPr>
        <w:t xml:space="preserve">买方</w:t>
      </w:r>
      <w:r>
        <w:rPr>
          <w:color w:val="000000" w:themeColor="text1"/>
          <w14:textFill>
            <w14:solidFill>
              <w14:schemeClr w14:val="tx1"/>
            </w14:solidFill>
          </w14:textFill>
        </w:rPr>
        <w:t xml:space="preserve">职责</w:t>
      </w:r>
      <w:r/>
    </w:p>
    <w:p>
      <w:pPr>
        <w:ind w:firstLine="420"/>
        <w:spacing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1．严格遵守国家有关安全生产的法律法规，认真执行合同中的有关安全要求。</w:t>
      </w:r>
      <w:r/>
    </w:p>
    <w:p>
      <w:pPr>
        <w:ind w:firstLine="420"/>
        <w:spacing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2．按照“安全第一、预防为主”和坚持“管生产必需管安全”的原则进行安全生产管理，做到生产与安全工作同时计划、布置、检查、总结和评比。</w:t>
      </w:r>
      <w:r/>
    </w:p>
    <w:p>
      <w:pPr>
        <w:ind w:firstLine="420"/>
        <w:spacing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3．定期召开安全生产协调会，及时传达中央及地方有关安全生产的精神。</w:t>
      </w:r>
      <w:r/>
    </w:p>
    <w:p>
      <w:pPr>
        <w:ind w:firstLine="420"/>
        <w:spacing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4．组织对</w:t>
      </w:r>
      <w:r>
        <w:rPr>
          <w:rFonts w:hint="eastAsia"/>
          <w:color w:val="000000" w:themeColor="text1"/>
          <w14:textFill>
            <w14:solidFill>
              <w14:schemeClr w14:val="tx1"/>
            </w14:solidFill>
          </w14:textFill>
        </w:rPr>
        <w:t xml:space="preserve">卖方</w:t>
      </w:r>
      <w:r>
        <w:rPr>
          <w:color w:val="000000" w:themeColor="text1"/>
          <w14:textFill>
            <w14:solidFill>
              <w14:schemeClr w14:val="tx1"/>
            </w14:solidFill>
          </w14:textFill>
        </w:rPr>
        <w:t xml:space="preserve">施工现场安全生产检查，建立安全生产责任制网络、汇总重要危险源、监督</w:t>
      </w:r>
      <w:r>
        <w:rPr>
          <w:rFonts w:hint="eastAsia"/>
          <w:color w:val="000000" w:themeColor="text1"/>
          <w14:textFill>
            <w14:solidFill>
              <w14:schemeClr w14:val="tx1"/>
            </w14:solidFill>
          </w14:textFill>
        </w:rPr>
        <w:t xml:space="preserve">卖方</w:t>
      </w:r>
      <w:r>
        <w:rPr>
          <w:color w:val="000000" w:themeColor="text1"/>
          <w14:textFill>
            <w14:solidFill>
              <w14:schemeClr w14:val="tx1"/>
            </w14:solidFill>
          </w14:textFill>
        </w:rPr>
        <w:t xml:space="preserve">及时处理发现的各种安全隐患。</w:t>
      </w:r>
      <w:r/>
    </w:p>
    <w:p>
      <w:pPr>
        <w:ind w:firstLine="420"/>
        <w:spacing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二、</w:t>
      </w:r>
      <w:r>
        <w:rPr>
          <w:rFonts w:hint="eastAsia"/>
          <w:color w:val="000000" w:themeColor="text1"/>
          <w14:textFill>
            <w14:solidFill>
              <w14:schemeClr w14:val="tx1"/>
            </w14:solidFill>
          </w14:textFill>
        </w:rPr>
        <w:t xml:space="preserve">卖方</w:t>
      </w:r>
      <w:r>
        <w:rPr>
          <w:color w:val="000000" w:themeColor="text1"/>
          <w14:textFill>
            <w14:solidFill>
              <w14:schemeClr w14:val="tx1"/>
            </w14:solidFill>
          </w14:textFill>
        </w:rPr>
        <w:t xml:space="preserve">职责</w:t>
      </w:r>
      <w:r/>
    </w:p>
    <w:p>
      <w:pPr>
        <w:ind w:firstLine="420"/>
        <w:spacing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1．严格遵守国家有关安全生产的法律法规、有关安全生产的规定，认真执行合同中的有关安全要求，接受</w:t>
      </w:r>
      <w:r>
        <w:rPr>
          <w:rFonts w:hint="eastAsia"/>
          <w:color w:val="000000" w:themeColor="text1"/>
          <w14:textFill>
            <w14:solidFill>
              <w14:schemeClr w14:val="tx1"/>
            </w14:solidFill>
          </w14:textFill>
        </w:rPr>
        <w:t xml:space="preserve">买方</w:t>
      </w:r>
      <w:r>
        <w:rPr>
          <w:color w:val="000000" w:themeColor="text1"/>
          <w14:textFill>
            <w14:solidFill>
              <w14:schemeClr w14:val="tx1"/>
            </w14:solidFill>
          </w14:textFill>
        </w:rPr>
        <w:t xml:space="preserve">对安全生产工作的指导。</w:t>
      </w:r>
      <w:r/>
    </w:p>
    <w:p>
      <w:pPr>
        <w:ind w:firstLine="420"/>
        <w:spacing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2．坚持“安全第一、预防为主”和“管生产必须管安全”的原则，加强安全生产宣传教育，增强全员安全生产意识，建立健全各项安全生产管理制度，配备专职及兼职安全检查人员，有组织有领导地开展安全生产活动。各级领导、工程技术人员、生产管理人员和具体操作人员，必须熟悉和遵守本条款的各项规定，做到生产与安全工作同时计划、布置、检查、总结和评比。</w:t>
      </w:r>
      <w:r/>
    </w:p>
    <w:p>
      <w:pPr>
        <w:ind w:firstLine="420"/>
        <w:spacing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3．建立健全安全生产责任制网络。从派往</w:t>
      </w:r>
      <w:r>
        <w:rPr>
          <w:color w:val="000000" w:themeColor="text1"/>
          <w14:textFill>
            <w14:solidFill>
              <w14:schemeClr w14:val="tx1"/>
            </w14:solidFill>
          </w14:textFill>
        </w:rPr>
        <w:t xml:space="preserve">项目实施的项目负责人到生产工人（包括临时雇请的民工）的安全生产管理系统必须做到纵向到底，一环不漏；各职能部门、人员的安全生产责任制做到横向到边，人人有责。卖方的主要负责人是工程的安全生产负责人，对安全生产负领导责任，项目负责人是工程的安全生产责任人，对安全生产负直接责任，专职安全员和安全员是工程现场的安全生产直接责任人，对安全生产具体负责。现场设置的安全机构，应按施工合同约定配备安全员，专职负责所有员工的安全和治安保卫工作及预防事故的发生。安全机构人员，有权按有关规定发布指令，并采取保护性措施防止事故发生。</w:t>
      </w:r>
      <w:r/>
    </w:p>
    <w:p>
      <w:pPr>
        <w:ind w:firstLine="420"/>
        <w:spacing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4．</w:t>
      </w:r>
      <w:r>
        <w:rPr>
          <w:rFonts w:hint="eastAsia"/>
          <w:color w:val="000000" w:themeColor="text1"/>
          <w14:textFill>
            <w14:solidFill>
              <w14:schemeClr w14:val="tx1"/>
            </w14:solidFill>
          </w14:textFill>
        </w:rPr>
        <w:t xml:space="preserve">卖方</w:t>
      </w:r>
      <w:r>
        <w:rPr>
          <w:color w:val="000000" w:themeColor="text1"/>
          <w14:textFill>
            <w14:solidFill>
              <w14:schemeClr w14:val="tx1"/>
            </w14:solidFill>
          </w14:textFill>
        </w:rPr>
        <w:t xml:space="preserve">在任何时侯都应采取各种合理的预防措施，防止其人员发生任何违法、违禁、暴力、违规或妨碍治安的行为。</w:t>
      </w:r>
      <w:r/>
    </w:p>
    <w:p>
      <w:pPr>
        <w:ind w:firstLine="420"/>
        <w:spacing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5．</w:t>
      </w:r>
      <w:r>
        <w:rPr>
          <w:rFonts w:hint="eastAsia"/>
          <w:color w:val="000000" w:themeColor="text1"/>
          <w14:textFill>
            <w14:solidFill>
              <w14:schemeClr w14:val="tx1"/>
            </w14:solidFill>
          </w14:textFill>
        </w:rPr>
        <w:t xml:space="preserve">卖方</w:t>
      </w:r>
      <w:r>
        <w:rPr>
          <w:color w:val="000000" w:themeColor="text1"/>
          <w14:textFill>
            <w14:solidFill>
              <w14:schemeClr w14:val="tx1"/>
            </w14:solidFill>
          </w14:textFill>
        </w:rPr>
        <w:t xml:space="preserve">必须具有省部级行政主管部门颁发的安全生产证书，参加施工的人员，必须按受安全技术教育，熟知和遵守本工程的各项安全技术操作规程，定期进行安全技术考核，合格者方准上岗操作，对于从事机动车驾驶、电气、起重、建筑登高架设作业、焊接等特殊工程的人员须持证上岗。施工现场如发现无证操作现象时，项目负责人必须承担管理责任。</w:t>
      </w:r>
      <w:r/>
    </w:p>
    <w:p>
      <w:pPr>
        <w:ind w:firstLine="420"/>
        <w:spacing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6．加强施工中交通运输安全管理，各种运输机械等需划定运输路线行驶。</w:t>
      </w:r>
      <w:r/>
    </w:p>
    <w:p>
      <w:pPr>
        <w:ind w:firstLine="420"/>
        <w:spacing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7．对于易燃易爆的材料除应专门有效封闭、妥善保管之外，还应配备有足够的消防设施，所有施工人员都应熟悉消防设备的性能和使用方法。</w:t>
      </w:r>
      <w:r/>
    </w:p>
    <w:p>
      <w:pPr>
        <w:ind w:firstLine="420"/>
        <w:spacing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8．操作人员上岗，必须按规定穿戴防护用品。施工负责人和安全检查员应随时检查劳动防护用品的穿戴情况，不按规定穿戴防护用品的人员不得上岗。</w:t>
      </w:r>
      <w:r/>
    </w:p>
    <w:p>
      <w:pPr>
        <w:ind w:firstLine="420"/>
        <w:spacing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9．所有施工机具、设备和劳动保护用品应具备有效的安检合格证明，并经安全员签字同意后方可使用，施工期间应定期检查，保证其处于完好状态；不合格的机具、设备和劳动保护用品严禁使用。</w:t>
      </w:r>
      <w:r/>
    </w:p>
    <w:p>
      <w:pPr>
        <w:ind w:firstLine="420"/>
        <w:spacing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10．施工现场必须具有相关的安全标志牌。</w:t>
      </w:r>
      <w:r/>
    </w:p>
    <w:p>
      <w:pPr>
        <w:ind w:firstLine="420"/>
        <w:spacing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11．建立主要危险源备案制度，要明确潜在隐患、防范措施和落实责任人。</w:t>
      </w:r>
      <w:r/>
    </w:p>
    <w:p>
      <w:pPr>
        <w:ind w:firstLine="420"/>
        <w:spacing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12．</w:t>
      </w:r>
      <w:r>
        <w:rPr>
          <w:rFonts w:hint="eastAsia"/>
          <w:color w:val="000000" w:themeColor="text1"/>
          <w14:textFill>
            <w14:solidFill>
              <w14:schemeClr w14:val="tx1"/>
            </w14:solidFill>
          </w14:textFill>
        </w:rPr>
        <w:t xml:space="preserve">卖方</w:t>
      </w:r>
      <w:r>
        <w:rPr>
          <w:color w:val="000000" w:themeColor="text1"/>
          <w14:textFill>
            <w14:solidFill>
              <w14:schemeClr w14:val="tx1"/>
            </w14:solidFill>
          </w14:textFill>
        </w:rPr>
        <w:t xml:space="preserve">必须按照本工程项目特点，组织制定本工程实施中的生产安全事故应急救援预案；如果发生安全事故，应按照《国务院关于特大安全事故行政责任追究的规定》以及其它有关规定，及时上报有关部门，并坚持“三不放过”的原则，严肃处理相关责任人。</w:t>
      </w:r>
      <w:r/>
    </w:p>
    <w:p>
      <w:pPr>
        <w:ind w:firstLine="420"/>
        <w:spacing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三、违约责任</w:t>
      </w:r>
      <w:r/>
    </w:p>
    <w:p>
      <w:pPr>
        <w:ind w:firstLine="420"/>
        <w:spacing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如因</w:t>
      </w:r>
      <w:r>
        <w:rPr>
          <w:rFonts w:hint="eastAsia"/>
          <w:color w:val="000000" w:themeColor="text1"/>
          <w14:textFill>
            <w14:solidFill>
              <w14:schemeClr w14:val="tx1"/>
            </w14:solidFill>
          </w14:textFill>
        </w:rPr>
        <w:t xml:space="preserve">买方</w:t>
      </w:r>
      <w:r>
        <w:rPr>
          <w:color w:val="000000" w:themeColor="text1"/>
          <w14:textFill>
            <w14:solidFill>
              <w14:schemeClr w14:val="tx1"/>
            </w14:solidFill>
          </w14:textFill>
        </w:rPr>
        <w:t xml:space="preserve">违约造成安全事故，将报请有关部门依法追究责任。</w:t>
      </w:r>
      <w:r/>
    </w:p>
    <w:p>
      <w:pPr>
        <w:ind w:firstLine="420"/>
        <w:spacing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如因</w:t>
      </w:r>
      <w:r>
        <w:rPr>
          <w:rFonts w:hint="eastAsia"/>
          <w:color w:val="000000" w:themeColor="text1"/>
          <w14:textFill>
            <w14:solidFill>
              <w14:schemeClr w14:val="tx1"/>
            </w14:solidFill>
          </w14:textFill>
        </w:rPr>
        <w:t xml:space="preserve">卖方</w:t>
      </w:r>
      <w:r>
        <w:rPr>
          <w:color w:val="000000" w:themeColor="text1"/>
          <w14:textFill>
            <w14:solidFill>
              <w14:schemeClr w14:val="tx1"/>
            </w14:solidFill>
          </w14:textFill>
        </w:rPr>
        <w:t xml:space="preserve">违约造成安全事故，将报请有关部门依法追究责任。</w:t>
      </w:r>
      <w:r/>
    </w:p>
    <w:p>
      <w:pPr>
        <w:ind w:firstLine="420"/>
        <w:spacing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本合同一式二份，由双方法定代表人或其授权的代理人签署和加盖公章后生效，全部工程竣工验收后失效。</w:t>
      </w:r>
      <w:r/>
    </w:p>
    <w:p>
      <w:pPr>
        <w:ind w:firstLine="420"/>
        <w:spacing w:line="360" w:lineRule="auto"/>
        <w:rPr>
          <w:color w:val="000000" w:themeColor="text1"/>
          <w14:textFill>
            <w14:solidFill>
              <w14:schemeClr w14:val="tx1"/>
            </w14:solidFill>
          </w14:textFill>
        </w:rPr>
      </w:pPr>
      <w:r>
        <w:rPr>
          <w:color w:val="000000" w:themeColor="text1"/>
          <w14:textFill>
            <w14:solidFill>
              <w14:schemeClr w14:val="tx1"/>
            </w14:solidFill>
          </w14:textFill>
        </w:rPr>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买方</w:t>
      </w:r>
      <w:r>
        <w:rPr>
          <w:color w:val="000000" w:themeColor="text1"/>
          <w14:textFill>
            <w14:solidFill>
              <w14:schemeClr w14:val="tx1"/>
            </w14:solidFill>
          </w14:textFill>
        </w:rPr>
        <w:t xml:space="preserve">：(盖章)                      </w:t>
      </w:r>
      <w:r>
        <w:rPr>
          <w:rFonts w:hint="eastAsia"/>
          <w:color w:val="000000" w:themeColor="text1"/>
          <w14:textFill>
            <w14:solidFill>
              <w14:schemeClr w14:val="tx1"/>
            </w14:solidFill>
          </w14:textFill>
        </w:rPr>
        <w:t xml:space="preserve">卖方</w:t>
      </w:r>
      <w:r>
        <w:rPr>
          <w:color w:val="000000" w:themeColor="text1"/>
          <w14:textFill>
            <w14:solidFill>
              <w14:schemeClr w14:val="tx1"/>
            </w14:solidFill>
          </w14:textFill>
        </w:rPr>
        <w:t xml:space="preserve">：(盖章)                </w:t>
      </w:r>
      <w:r/>
    </w:p>
    <w:p>
      <w:pPr>
        <w:ind w:firstLine="420"/>
        <w:spacing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法定代表人：(签名)                法定代表人：(签名)</w:t>
      </w:r>
      <w:r/>
    </w:p>
    <w:p>
      <w:pPr>
        <w:ind w:firstLine="420"/>
        <w:spacing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或授权代理人：(签名)              或授权代理人：(签名)</w:t>
      </w:r>
      <w:r/>
    </w:p>
    <w:p>
      <w:pPr>
        <w:ind w:firstLine="420"/>
        <w:spacing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单位地址：                      单位地址：</w:t>
      </w:r>
      <w:r/>
    </w:p>
    <w:p>
      <w:pPr>
        <w:ind w:firstLine="420"/>
        <w:spacing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联系电话：                      联系电话：</w:t>
      </w:r>
      <w:r/>
    </w:p>
    <w:p>
      <w:pPr>
        <w:ind w:firstLine="420"/>
        <w:spacing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日    期：                      日    期：</w:t>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bookmarkEnd w:id="23"/>
      <w:bookmarkEnd w:id="24"/>
      <w:bookmarkEnd w:id="25"/>
      <w:r/>
    </w:p>
    <w:p>
      <w:pPr>
        <w:pStyle w:val="858"/>
        <w:numPr>
          <w:ilvl w:val="0"/>
          <w:numId w:val="0"/>
        </w:numPr>
        <w:jc w:val="center"/>
        <w:spacing w:before="240" w:after="240"/>
        <w:rPr>
          <w:rFonts w:ascii="宋体" w:hAnsi="宋体" w:cs="宋体"/>
          <w:b w:val="0"/>
          <w:bCs/>
          <w:color w:val="000000" w:themeColor="text1"/>
          <w:szCs w:val="28"/>
          <w14:textFill>
            <w14:solidFill>
              <w14:schemeClr w14:val="tx1"/>
            </w14:solidFill>
          </w14:textFill>
        </w:rPr>
      </w:pPr>
      <w:r/>
      <w:bookmarkStart w:id="27" w:name="_Toc504573082"/>
      <w:r/>
      <w:bookmarkStart w:id="28" w:name="_Toc534273797"/>
      <w:r/>
      <w:bookmarkStart w:id="29" w:name="_Toc534273798"/>
      <w:r/>
      <w:bookmarkStart w:id="30" w:name="_Toc534273675"/>
      <w:r>
        <w:rPr>
          <w:rFonts w:hint="eastAsia" w:ascii="宋体" w:hAnsi="宋体" w:cs="宋体"/>
          <w:b w:val="0"/>
          <w:bCs/>
          <w:color w:val="000000" w:themeColor="text1"/>
          <w:sz w:val="32"/>
          <w:szCs w:val="32"/>
          <w14:textFill>
            <w14:solidFill>
              <w14:schemeClr w14:val="tx1"/>
            </w14:solidFill>
          </w14:textFill>
        </w:rPr>
        <w:br w:type="page" w:clear="all"/>
      </w:r>
      <w:bookmarkStart w:id="31" w:name="_Toc149805860"/>
      <w:r/>
      <w:bookmarkStart w:id="32" w:name="_Toc28015"/>
      <w:r>
        <w:rPr>
          <w:rFonts w:hint="eastAsia" w:ascii="宋体" w:hAnsi="宋体" w:cs="宋体"/>
          <w:b w:val="0"/>
          <w:bCs/>
          <w:color w:val="000000" w:themeColor="text1"/>
          <w:sz w:val="32"/>
          <w:szCs w:val="32"/>
          <w:lang w:val="zh-CN"/>
          <w14:textFill>
            <w14:solidFill>
              <w14:schemeClr w14:val="tx1"/>
            </w14:solidFill>
          </w14:textFill>
        </w:rPr>
        <w:t xml:space="preserve">第六章</w:t>
      </w:r>
      <w:r>
        <w:rPr>
          <w:rFonts w:hint="eastAsia" w:ascii="宋体" w:hAnsi="宋体" w:cs="宋体"/>
          <w:b w:val="0"/>
          <w:bCs/>
          <w:color w:val="000000" w:themeColor="text1"/>
          <w:sz w:val="32"/>
          <w:szCs w:val="32"/>
          <w14:textFill>
            <w14:solidFill>
              <w14:schemeClr w14:val="tx1"/>
            </w14:solidFill>
          </w14:textFill>
        </w:rPr>
        <w:t xml:space="preserve">  </w:t>
      </w:r>
      <w:r>
        <w:rPr>
          <w:rFonts w:hint="eastAsia" w:ascii="宋体" w:hAnsi="宋体" w:cs="宋体"/>
          <w:b w:val="0"/>
          <w:bCs/>
          <w:color w:val="000000" w:themeColor="text1"/>
          <w:sz w:val="32"/>
          <w:szCs w:val="32"/>
          <w:lang w:val="zh-CN"/>
          <w14:textFill>
            <w14:solidFill>
              <w14:schemeClr w14:val="tx1"/>
            </w14:solidFill>
          </w14:textFill>
        </w:rPr>
        <w:t xml:space="preserve">附件</w:t>
      </w:r>
      <w:bookmarkEnd w:id="27"/>
      <w:r/>
      <w:bookmarkEnd w:id="28"/>
      <w:r/>
      <w:bookmarkEnd w:id="29"/>
      <w:r/>
      <w:bookmarkEnd w:id="30"/>
      <w:r/>
      <w:bookmarkEnd w:id="31"/>
      <w:r/>
      <w:bookmarkEnd w:id="32"/>
      <w:r/>
      <w:r/>
    </w:p>
    <w:p>
      <w:pPr>
        <w:jc w:val="center"/>
        <w:spacing w:line="440" w:lineRule="exact"/>
        <w:rPr>
          <w:rFonts w:ascii="宋体" w:hAnsi="宋体" w:cs="宋体"/>
          <w:color w:val="000000" w:themeColor="text1"/>
          <w:sz w:val="20"/>
          <w14:textFill>
            <w14:solidFill>
              <w14:schemeClr w14:val="tx1"/>
            </w14:solidFill>
          </w14:textFill>
        </w:rPr>
      </w:pPr>
      <w:r>
        <w:rPr>
          <w:rFonts w:ascii="宋体" w:hAnsi="宋体" w:cs="宋体"/>
          <w:color w:val="000000" w:themeColor="text1"/>
          <w:sz w:val="20"/>
          <w14:textFill>
            <w14:solidFill>
              <w14:schemeClr w14:val="tx1"/>
            </w14:solidFill>
          </w14:textFill>
        </w:rPr>
      </w:r>
      <w:r/>
    </w:p>
    <w:p>
      <w:pPr>
        <w:jc w:val="center"/>
        <w:spacing w:line="440" w:lineRule="exact"/>
        <w:rPr>
          <w:rFonts w:ascii="宋体" w:hAnsi="宋体" w:cs="宋体"/>
          <w:color w:val="000000" w:themeColor="text1"/>
          <w:sz w:val="20"/>
          <w14:textFill>
            <w14:solidFill>
              <w14:schemeClr w14:val="tx1"/>
            </w14:solidFill>
          </w14:textFill>
        </w:rPr>
      </w:pPr>
      <w:r>
        <w:rPr>
          <w:rFonts w:ascii="宋体" w:hAnsi="宋体" w:cs="宋体"/>
          <w:color w:val="000000" w:themeColor="text1"/>
          <w:sz w:val="20"/>
          <w14:textFill>
            <w14:solidFill>
              <w14:schemeClr w14:val="tx1"/>
            </w14:solidFill>
          </w14:textFill>
        </w:rPr>
      </w:r>
      <w:r/>
    </w:p>
    <w:p>
      <w:pPr>
        <w:spacing w:line="440" w:lineRule="exact"/>
        <w:rPr>
          <w:rFonts w:ascii="宋体" w:hAnsi="宋体" w:cs="宋体"/>
          <w:color w:val="000000" w:themeColor="text1"/>
          <w:sz w:val="20"/>
          <w14:textFill>
            <w14:solidFill>
              <w14:schemeClr w14:val="tx1"/>
            </w14:solidFill>
          </w14:textFill>
        </w:rPr>
      </w:pPr>
      <w:r>
        <w:rPr>
          <w:rFonts w:ascii="宋体" w:hAnsi="宋体" w:cs="宋体"/>
          <w:color w:val="000000" w:themeColor="text1"/>
          <w:sz w:val="20"/>
          <w14:textFill>
            <w14:solidFill>
              <w14:schemeClr w14:val="tx1"/>
            </w14:solidFill>
          </w14:textFill>
        </w:rPr>
      </w:r>
      <w:r/>
    </w:p>
    <w:p>
      <w:pPr>
        <w:spacing w:line="440" w:lineRule="exact"/>
        <w:rPr>
          <w:rFonts w:ascii="宋体" w:hAnsi="宋体" w:cs="宋体"/>
          <w:color w:val="000000" w:themeColor="text1"/>
          <w:sz w:val="20"/>
          <w14:textFill>
            <w14:solidFill>
              <w14:schemeClr w14:val="tx1"/>
            </w14:solidFill>
          </w14:textFill>
        </w:rPr>
      </w:pPr>
      <w:r>
        <w:rPr>
          <w:rFonts w:ascii="宋体" w:hAnsi="宋体" w:cs="宋体"/>
          <w:color w:val="000000" w:themeColor="text1"/>
          <w:sz w:val="20"/>
          <w14:textFill>
            <w14:solidFill>
              <w14:schemeClr w14:val="tx1"/>
            </w14:solidFill>
          </w14:textFill>
        </w:rPr>
      </w:r>
      <w:r/>
    </w:p>
    <w:p>
      <w:pPr>
        <w:spacing w:line="440" w:lineRule="exact"/>
        <w:rPr>
          <w:rFonts w:ascii="宋体" w:hAnsi="宋体" w:cs="宋体"/>
          <w:color w:val="000000" w:themeColor="text1"/>
          <w:sz w:val="20"/>
          <w14:textFill>
            <w14:solidFill>
              <w14:schemeClr w14:val="tx1"/>
            </w14:solidFill>
          </w14:textFill>
        </w:rPr>
      </w:pPr>
      <w:r>
        <w:rPr>
          <w:rFonts w:ascii="宋体" w:hAnsi="宋体" w:cs="宋体"/>
          <w:color w:val="000000" w:themeColor="text1"/>
          <w:sz w:val="20"/>
          <w14:textFill>
            <w14:solidFill>
              <w14:schemeClr w14:val="tx1"/>
            </w14:solidFill>
          </w14:textFill>
        </w:rPr>
      </w:r>
      <w:r/>
    </w:p>
    <w:p>
      <w:pPr>
        <w:jc w:val="center"/>
        <w:spacing w:line="440" w:lineRule="exact"/>
        <w:rPr>
          <w:rFonts w:ascii="宋体" w:hAnsi="宋体" w:cs="宋体"/>
          <w:color w:val="000000" w:themeColor="text1"/>
          <w:sz w:val="20"/>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（项目编号）</w:t>
      </w:r>
      <w:r/>
    </w:p>
    <w:p>
      <w:pPr>
        <w:jc w:val="center"/>
        <w:rPr>
          <w:rFonts w:ascii="宋体" w:hAnsi="宋体" w:cs="宋体"/>
          <w:color w:val="000000" w:themeColor="text1"/>
          <w:sz w:val="20"/>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（项目名称）</w:t>
      </w:r>
      <w:r/>
    </w:p>
    <w:p>
      <w:pPr>
        <w:jc w:val="center"/>
        <w:rPr>
          <w:rFonts w:ascii="宋体" w:hAnsi="宋体" w:cs="宋体"/>
          <w:color w:val="000000" w:themeColor="text1"/>
          <w:sz w:val="20"/>
          <w14:textFill>
            <w14:solidFill>
              <w14:schemeClr w14:val="tx1"/>
            </w14:solidFill>
          </w14:textFill>
        </w:rPr>
      </w:pPr>
      <w:r>
        <w:rPr>
          <w:rFonts w:ascii="宋体" w:hAnsi="宋体" w:cs="宋体"/>
          <w:color w:val="000000" w:themeColor="text1"/>
          <w:sz w:val="20"/>
          <w14:textFill>
            <w14:solidFill>
              <w14:schemeClr w14:val="tx1"/>
            </w14:solidFill>
          </w14:textFill>
        </w:rPr>
      </w:r>
      <w:r/>
    </w:p>
    <w:p>
      <w:pPr>
        <w:jc w:val="center"/>
        <w:rPr>
          <w:rFonts w:ascii="宋体" w:hAnsi="宋体" w:cs="宋体"/>
          <w:color w:val="000000" w:themeColor="text1"/>
          <w:sz w:val="20"/>
          <w14:textFill>
            <w14:solidFill>
              <w14:schemeClr w14:val="tx1"/>
            </w14:solidFill>
          </w14:textFill>
        </w:rPr>
      </w:pPr>
      <w:r>
        <w:rPr>
          <w:rFonts w:ascii="宋体" w:hAnsi="宋体" w:cs="宋体"/>
          <w:color w:val="000000" w:themeColor="text1"/>
          <w:sz w:val="20"/>
          <w14:textFill>
            <w14:solidFill>
              <w14:schemeClr w14:val="tx1"/>
            </w14:solidFill>
          </w14:textFill>
        </w:rPr>
      </w:r>
      <w:r/>
    </w:p>
    <w:p>
      <w:pPr>
        <w:jc w:val="center"/>
        <w:rPr>
          <w:rFonts w:ascii="宋体" w:hAnsi="宋体" w:cs="宋体"/>
          <w:color w:val="000000" w:themeColor="text1"/>
          <w:sz w:val="44"/>
          <w:szCs w:val="44"/>
          <w14:textFill>
            <w14:solidFill>
              <w14:schemeClr w14:val="tx1"/>
            </w14:solidFill>
          </w14:textFill>
        </w:rPr>
      </w:pPr>
      <w:r>
        <w:rPr>
          <w:rFonts w:ascii="宋体" w:hAnsi="宋体" w:cs="宋体"/>
          <w:color w:val="000000" w:themeColor="text1"/>
          <w:sz w:val="44"/>
          <w:szCs w:val="44"/>
          <w14:textFill>
            <w14:solidFill>
              <w14:schemeClr w14:val="tx1"/>
            </w14:solidFill>
          </w14:textFill>
        </w:rPr>
      </w:r>
      <w:r/>
    </w:p>
    <w:p>
      <w:pPr>
        <w:jc w:val="center"/>
        <w:rPr>
          <w:rFonts w:ascii="宋体" w:hAnsi="宋体" w:cs="宋体"/>
          <w:color w:val="000000" w:themeColor="text1"/>
          <w:sz w:val="44"/>
          <w:szCs w:val="44"/>
          <w14:textFill>
            <w14:solidFill>
              <w14:schemeClr w14:val="tx1"/>
            </w14:solidFill>
          </w14:textFill>
        </w:rPr>
      </w:pPr>
      <w:r>
        <w:rPr>
          <w:rFonts w:hint="eastAsia" w:ascii="宋体" w:hAnsi="宋体" w:cs="宋体"/>
          <w:color w:val="000000" w:themeColor="text1"/>
          <w:sz w:val="44"/>
          <w:szCs w:val="44"/>
          <w14:textFill>
            <w14:solidFill>
              <w14:schemeClr w14:val="tx1"/>
            </w14:solidFill>
          </w14:textFill>
        </w:rPr>
        <w:t xml:space="preserve">竞争性磋商响应文件</w:t>
      </w:r>
      <w:r/>
    </w:p>
    <w:p>
      <w:pPr>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r>
      <w:r/>
    </w:p>
    <w:p>
      <w:pPr>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r>
      <w:r/>
    </w:p>
    <w:p>
      <w:pPr>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r>
      <w:r/>
    </w:p>
    <w:p>
      <w:pPr>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r>
      <w:r/>
    </w:p>
    <w:p>
      <w:pPr>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r>
      <w:r/>
    </w:p>
    <w:p>
      <w:pPr>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r>
      <w:r/>
    </w:p>
    <w:p>
      <w:pPr>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r>
      <w:r/>
    </w:p>
    <w:p>
      <w:pPr>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r>
      <w:r/>
    </w:p>
    <w:p>
      <w:pPr>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r>
      <w:r/>
    </w:p>
    <w:p>
      <w:pPr>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r>
      <w:r/>
    </w:p>
    <w:p>
      <w:pPr>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r>
      <w:r/>
    </w:p>
    <w:p>
      <w:pPr>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r>
      <w:r/>
    </w:p>
    <w:p>
      <w:pPr>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r>
      <w:r/>
    </w:p>
    <w:p>
      <w:pPr>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r>
      <w:r/>
    </w:p>
    <w:p>
      <w:pPr>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r>
      <w:r/>
    </w:p>
    <w:p>
      <w:pPr>
        <w:jc w:val="center"/>
        <w:rPr>
          <w:rFonts w:ascii="宋体" w:hAnsi="宋体" w:cs="宋体"/>
          <w:color w:val="000000" w:themeColor="text1"/>
          <w:sz w:val="28"/>
          <w:szCs w:val="28"/>
          <w:u w:val="single"/>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供应商：</w:t>
      </w:r>
      <w:r>
        <w:rPr>
          <w:rFonts w:hint="eastAsia" w:ascii="宋体" w:hAnsi="宋体" w:cs="宋体"/>
          <w:color w:val="000000" w:themeColor="text1"/>
          <w:sz w:val="28"/>
          <w:szCs w:val="28"/>
          <w:u w:val="single"/>
          <w14:textFill>
            <w14:solidFill>
              <w14:schemeClr w14:val="tx1"/>
            </w14:solidFill>
          </w14:textFill>
        </w:rPr>
        <w:t xml:space="preserve">        </w:t>
      </w:r>
      <w:r>
        <w:rPr>
          <w:color w:val="000000" w:themeColor="text1"/>
          <w:sz w:val="28"/>
          <w:szCs w:val="28"/>
          <w14:textFill>
            <w14:solidFill>
              <w14:schemeClr w14:val="tx1"/>
            </w14:solidFill>
          </w14:textFill>
        </w:rPr>
        <w:t xml:space="preserve">（加盖电子公章）</w:t>
      </w:r>
      <w:r/>
    </w:p>
    <w:p>
      <w:pPr>
        <w:jc w:val="center"/>
        <w:rPr>
          <w:rFonts w:ascii="宋体" w:hAnsi="宋体" w:cs="宋体"/>
          <w:color w:val="000000" w:themeColor="text1"/>
          <w:sz w:val="20"/>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年 月 日</w:t>
      </w:r>
      <w:r/>
    </w:p>
    <w:p>
      <w:pPr>
        <w:ind w:firstLine="472"/>
        <w:spacing w:line="360" w:lineRule="auto"/>
        <w:shd w:val="clear" w:color="auto" w:fill="ffffff"/>
        <w:widowControl/>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br w:type="page" w:clear="all"/>
      </w:r>
      <w:bookmarkStart w:id="80" w:name="_GoBack"/>
      <w:r/>
      <w:bookmarkEnd w:id="80"/>
      <w:r/>
      <w:r/>
    </w:p>
    <w:p>
      <w:pPr>
        <w:pStyle w:val="859"/>
        <w:numPr>
          <w:ilvl w:val="0"/>
          <w:numId w:val="0"/>
        </w:numPr>
        <w:rPr>
          <w:rFonts w:ascii="宋体" w:hAnsi="宋体" w:cs="宋体"/>
          <w:color w:val="000000" w:themeColor="text1"/>
          <w:sz w:val="21"/>
          <w:szCs w:val="21"/>
          <w:lang w:val="zh-CN"/>
          <w14:textFill>
            <w14:solidFill>
              <w14:schemeClr w14:val="tx1"/>
            </w14:solidFill>
          </w14:textFill>
        </w:rPr>
      </w:pPr>
      <w:r/>
      <w:bookmarkStart w:id="33" w:name="_Toc504573083"/>
      <w:r/>
      <w:bookmarkStart w:id="34" w:name="_Toc504044380"/>
      <w:r/>
      <w:bookmarkStart w:id="35" w:name="_Toc534273677"/>
      <w:r/>
      <w:bookmarkStart w:id="36" w:name="_Toc534273800"/>
      <w:r/>
      <w:bookmarkStart w:id="37" w:name="_Toc490133028"/>
      <w:r/>
      <w:bookmarkStart w:id="38" w:name="_Toc504056868"/>
      <w:r>
        <w:rPr>
          <w:rFonts w:hint="eastAsia" w:ascii="宋体" w:hAnsi="宋体" w:cs="宋体"/>
          <w:color w:val="000000" w:themeColor="text1"/>
          <w:sz w:val="21"/>
          <w:szCs w:val="21"/>
          <w:lang w:val="zh-CN"/>
          <w14:textFill>
            <w14:solidFill>
              <w14:schemeClr w14:val="tx1"/>
            </w14:solidFill>
          </w14:textFill>
        </w:rPr>
        <w:t xml:space="preserve">附件</w:t>
      </w:r>
      <w:r>
        <w:rPr>
          <w:rFonts w:hint="eastAsia" w:ascii="宋体" w:hAnsi="宋体" w:cs="宋体"/>
          <w:color w:val="000000" w:themeColor="text1"/>
          <w:sz w:val="21"/>
          <w:szCs w:val="21"/>
          <w14:textFill>
            <w14:solidFill>
              <w14:schemeClr w14:val="tx1"/>
            </w14:solidFill>
          </w14:textFill>
        </w:rPr>
        <w:t xml:space="preserve">一</w:t>
      </w:r>
      <w:r>
        <w:rPr>
          <w:rFonts w:hint="eastAsia" w:ascii="宋体" w:hAnsi="宋体" w:cs="宋体"/>
          <w:color w:val="000000" w:themeColor="text1"/>
          <w:sz w:val="21"/>
          <w:szCs w:val="21"/>
          <w:lang w:val="zh-CN"/>
          <w14:textFill>
            <w14:solidFill>
              <w14:schemeClr w14:val="tx1"/>
            </w14:solidFill>
          </w14:textFill>
        </w:rPr>
        <w:t xml:space="preserve">、竞争性磋商申请及声明</w:t>
      </w:r>
      <w:bookmarkEnd w:id="33"/>
      <w:r/>
      <w:bookmarkEnd w:id="34"/>
      <w:r/>
      <w:bookmarkEnd w:id="35"/>
      <w:r/>
      <w:bookmarkEnd w:id="36"/>
      <w:r/>
      <w:bookmarkEnd w:id="37"/>
      <w:r/>
      <w:bookmarkEnd w:id="38"/>
      <w:r/>
      <w:r/>
    </w:p>
    <w:p>
      <w:pPr>
        <w:rPr>
          <w:rFonts w:ascii="宋体" w:hAnsi="宋体" w:cs="宋体"/>
          <w:color w:val="000000" w:themeColor="text1"/>
          <w:szCs w:val="21"/>
          <w:lang w:val="zh-CN"/>
          <w14:textFill>
            <w14:solidFill>
              <w14:schemeClr w14:val="tx1"/>
            </w14:solidFill>
          </w14:textFill>
        </w:rPr>
      </w:pPr>
      <w:r>
        <w:rPr>
          <w:rFonts w:ascii="宋体" w:hAnsi="宋体" w:cs="宋体"/>
          <w:color w:val="000000" w:themeColor="text1"/>
          <w:szCs w:val="21"/>
          <w:lang w:val="zh-CN"/>
          <w14:textFill>
            <w14:solidFill>
              <w14:schemeClr w14:val="tx1"/>
            </w14:solidFill>
          </w14:textFill>
        </w:rPr>
      </w:r>
      <w:r/>
    </w:p>
    <w:p>
      <w:pPr>
        <w:jc w:val="center"/>
        <w:rPr>
          <w:rFonts w:ascii="宋体" w:hAnsi="宋体" w:cs="宋体"/>
          <w:b/>
          <w:color w:val="000000" w:themeColor="text1"/>
          <w:sz w:val="36"/>
          <w:szCs w:val="36"/>
          <w14:textFill>
            <w14:solidFill>
              <w14:schemeClr w14:val="tx1"/>
            </w14:solidFill>
          </w14:textFill>
        </w:rPr>
      </w:pPr>
      <w:r>
        <w:rPr>
          <w:rFonts w:hint="eastAsia" w:ascii="宋体" w:hAnsi="宋体" w:cs="宋体"/>
          <w:b/>
          <w:color w:val="000000" w:themeColor="text1"/>
          <w:sz w:val="36"/>
          <w:szCs w:val="36"/>
          <w14:textFill>
            <w14:solidFill>
              <w14:schemeClr w14:val="tx1"/>
            </w14:solidFill>
          </w14:textFill>
        </w:rPr>
        <w:t xml:space="preserve">竞争性磋商申请及声明</w:t>
      </w:r>
      <w:r/>
    </w:p>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p>
      <w:pPr>
        <w:ind w:firstLine="420"/>
        <w:spacing w:line="360" w:lineRule="auto"/>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致：南京国景工程项目管理有限公司</w:t>
      </w:r>
      <w:r/>
    </w:p>
    <w:p>
      <w:pPr>
        <w:ind w:firstLine="420"/>
        <w:spacing w:line="360" w:lineRule="auto"/>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根据贵方</w:t>
      </w:r>
      <w:r>
        <w:rPr>
          <w:rFonts w:hint="eastAsia" w:ascii="宋体" w:hAnsi="宋体" w:cs="宋体"/>
          <w:color w:val="000000" w:themeColor="text1"/>
          <w:szCs w:val="21"/>
          <w:u w:val="single"/>
          <w:lang w:val="zh-CN"/>
          <w14:textFill>
            <w14:solidFill>
              <w14:schemeClr w14:val="tx1"/>
            </w14:solidFill>
          </w14:textFill>
        </w:rPr>
        <w:t xml:space="preserve">                            </w:t>
      </w:r>
      <w:r>
        <w:rPr>
          <w:rFonts w:hint="eastAsia" w:ascii="宋体" w:hAnsi="宋体" w:cs="宋体"/>
          <w:color w:val="000000" w:themeColor="text1"/>
          <w:szCs w:val="21"/>
          <w:lang w:val="zh-CN"/>
          <w14:textFill>
            <w14:solidFill>
              <w14:schemeClr w14:val="tx1"/>
            </w14:solidFill>
          </w14:textFill>
        </w:rPr>
        <w:t xml:space="preserve">（项目名称） </w:t>
      </w:r>
      <w:r>
        <w:rPr>
          <w:rFonts w:hint="eastAsia" w:ascii="宋体" w:hAnsi="宋体" w:cs="宋体"/>
          <w:b/>
          <w:color w:val="000000" w:themeColor="text1"/>
          <w:szCs w:val="21"/>
          <w:u w:val="single"/>
          <w14:textFill>
            <w14:solidFill>
              <w14:schemeClr w14:val="tx1"/>
            </w14:solidFill>
          </w14:textFill>
        </w:rPr>
        <w:t xml:space="preserve">   </w:t>
      </w:r>
      <w:r>
        <w:rPr>
          <w:rFonts w:hint="eastAsia" w:ascii="宋体" w:hAnsi="宋体" w:cs="宋体"/>
          <w:b/>
          <w:color w:val="000000" w:themeColor="text1"/>
          <w:szCs w:val="21"/>
          <w:u w:val="single"/>
          <w:lang w:val="zh-CN"/>
          <w14:textFill>
            <w14:solidFill>
              <w14:schemeClr w14:val="tx1"/>
            </w14:solidFill>
          </w14:textFill>
        </w:rPr>
        <w:t xml:space="preserve">         </w:t>
      </w:r>
      <w:r>
        <w:rPr>
          <w:rFonts w:hint="eastAsia" w:ascii="宋体" w:hAnsi="宋体" w:cs="宋体"/>
          <w:color w:val="000000" w:themeColor="text1"/>
          <w:szCs w:val="21"/>
          <w:lang w:val="zh-CN"/>
          <w14:textFill>
            <w14:solidFill>
              <w14:schemeClr w14:val="tx1"/>
            </w14:solidFill>
          </w14:textFill>
        </w:rPr>
        <w:t xml:space="preserve">（项目编号）竞争性磋商公告，正式授权下述签字人</w:t>
      </w:r>
      <w:r>
        <w:rPr>
          <w:rFonts w:hint="eastAsia" w:ascii="宋体" w:hAnsi="宋体" w:cs="宋体"/>
          <w:color w:val="000000" w:themeColor="text1"/>
          <w:szCs w:val="21"/>
          <w:u w:val="single"/>
          <w:lang w:val="zh-CN"/>
          <w14:textFill>
            <w14:solidFill>
              <w14:schemeClr w14:val="tx1"/>
            </w14:solidFill>
          </w14:textFill>
        </w:rPr>
        <w:t xml:space="preserve">                   </w:t>
      </w:r>
      <w:r>
        <w:rPr>
          <w:rFonts w:hint="eastAsia" w:ascii="宋体" w:hAnsi="宋体" w:cs="宋体"/>
          <w:color w:val="000000" w:themeColor="text1"/>
          <w:szCs w:val="21"/>
          <w:lang w:val="zh-CN"/>
          <w14:textFill>
            <w14:solidFill>
              <w14:schemeClr w14:val="tx1"/>
            </w14:solidFill>
          </w14:textFill>
        </w:rPr>
        <w:t xml:space="preserve">(姓名和职务)代表</w:t>
      </w:r>
      <w:r>
        <w:rPr>
          <w:rFonts w:hint="eastAsia" w:ascii="宋体" w:hAnsi="宋体" w:cs="宋体"/>
          <w:color w:val="000000" w:themeColor="text1"/>
          <w:szCs w:val="21"/>
          <w:u w:val="single"/>
          <w:lang w:val="zh-CN"/>
          <w14:textFill>
            <w14:solidFill>
              <w14:schemeClr w14:val="tx1"/>
            </w14:solidFill>
          </w14:textFill>
        </w:rPr>
        <w:t xml:space="preserve">                        </w:t>
      </w:r>
      <w:r>
        <w:rPr>
          <w:rFonts w:hint="eastAsia" w:ascii="宋体" w:hAnsi="宋体" w:cs="宋体"/>
          <w:color w:val="000000" w:themeColor="text1"/>
          <w:szCs w:val="21"/>
          <w:lang w:val="zh-CN"/>
          <w14:textFill>
            <w14:solidFill>
              <w14:schemeClr w14:val="tx1"/>
            </w14:solidFill>
          </w14:textFill>
        </w:rPr>
        <w:t xml:space="preserve">（供应商名称），提交响应性文件并参加磋商。</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据此函，签字人兹宣布同意如下：</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w:t>
      </w:r>
      <w:r>
        <w:rPr>
          <w:rFonts w:hint="eastAsia" w:ascii="宋体" w:hAnsi="宋体" w:cs="宋体"/>
          <w:color w:val="000000" w:themeColor="text1"/>
          <w:szCs w:val="21"/>
          <w:lang w:val="zh-CN"/>
          <w14:textFill>
            <w14:solidFill>
              <w14:schemeClr w14:val="tx1"/>
            </w14:solidFill>
          </w14:textFill>
        </w:rPr>
        <w:t xml:space="preserve">我们的资格条件完全符合政府采购法和本次采购要求，</w:t>
      </w:r>
      <w:r>
        <w:rPr>
          <w:rFonts w:hint="eastAsia" w:ascii="宋体" w:hAnsi="宋体" w:cs="宋体"/>
          <w:color w:val="000000" w:themeColor="text1"/>
          <w:szCs w:val="21"/>
          <w14:textFill>
            <w14:solidFill>
              <w14:schemeClr w14:val="tx1"/>
            </w14:solidFill>
          </w14:textFill>
        </w:rPr>
        <w:t xml:space="preserve">我们</w:t>
      </w:r>
      <w:r>
        <w:rPr>
          <w:rFonts w:hint="eastAsia" w:ascii="宋体" w:hAnsi="宋体" w:cs="宋体"/>
          <w:color w:val="000000" w:themeColor="text1"/>
          <w:szCs w:val="21"/>
          <w:lang w:val="zh-CN"/>
          <w14:textFill>
            <w14:solidFill>
              <w14:schemeClr w14:val="tx1"/>
            </w14:solidFill>
          </w14:textFill>
        </w:rPr>
        <w:t xml:space="preserve">同意并向贵方提供了与本次采购活动有关的所有证据和资料</w:t>
      </w:r>
      <w:r>
        <w:rPr>
          <w:rFonts w:hint="eastAsia" w:ascii="宋体" w:hAnsi="宋体" w:cs="宋体"/>
          <w:color w:val="000000" w:themeColor="text1"/>
          <w:szCs w:val="21"/>
          <w14:textFill>
            <w14:solidFill>
              <w14:schemeClr w14:val="tx1"/>
            </w14:solidFill>
          </w14:textFill>
        </w:rPr>
        <w:t xml:space="preserve">。</w:t>
      </w:r>
      <w:r/>
    </w:p>
    <w:p>
      <w:pPr>
        <w:ind w:firstLine="420"/>
        <w:spacing w:line="360" w:lineRule="auto"/>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2.我们投标总报价为______万元，具体详见</w:t>
      </w:r>
      <w:r>
        <w:rPr>
          <w:rFonts w:hint="eastAsia" w:ascii="宋体" w:hAnsi="宋体" w:cs="宋体"/>
          <w:color w:val="000000" w:themeColor="text1"/>
          <w:szCs w:val="21"/>
          <w:u w:val="single"/>
          <w14:textFill>
            <w14:solidFill>
              <w14:schemeClr w14:val="tx1"/>
            </w14:solidFill>
          </w14:textFill>
        </w:rPr>
        <w:t xml:space="preserve">分项报价表</w:t>
      </w:r>
      <w:r>
        <w:rPr>
          <w:rFonts w:hint="eastAsia" w:ascii="宋体" w:hAnsi="宋体" w:cs="宋体"/>
          <w:color w:val="000000" w:themeColor="text1"/>
          <w:szCs w:val="21"/>
          <w14:textFill>
            <w14:solidFill>
              <w14:schemeClr w14:val="tx1"/>
            </w14:solidFill>
          </w14:textFill>
        </w:rPr>
        <w:t xml:space="preserve">。</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3.一旦我方成交，我方将根据磋商文件的规定，严格履行合同，保证于承诺的时间内完成货物的启动、调试等服务，并交付采购人验收、使用。</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4.我方决不提供虚假材料谋取成交、决不采取不正当手段诋毁、排挤其他供应商、决不与采购人、其它供应商或者采购代理机构恶意串通、决不向采购人、采购代理机构工作人员和磋商小组进行商业贿赂、决不拒绝有关部门监督检查或提供虚假情况，如有违反，无条件接受贵方及相关管理部门的处罚。</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5.我方为：</w:t>
      </w:r>
      <w:r>
        <w:rPr>
          <w:rFonts w:ascii="Wingdings" w:hAnsi="Wingdings" w:eastAsia="Wingdings" w:cs="Wingdings"/>
          <w:color w:val="000000" w:themeColor="text1"/>
          <w:sz w:val="24"/>
          <w14:textFill>
            <w14:solidFill>
              <w14:schemeClr w14:val="tx1"/>
            </w14:solidFill>
          </w14:textFill>
        </w:rPr>
        <w:t xml:space="preserve"></w:t>
      </w:r>
      <w:r>
        <w:rPr>
          <w:rFonts w:hint="eastAsia" w:ascii="宋体" w:hAnsi="宋体" w:cs="宋体"/>
          <w:color w:val="000000" w:themeColor="text1"/>
          <w:szCs w:val="21"/>
          <w14:textFill>
            <w14:solidFill>
              <w14:schemeClr w14:val="tx1"/>
            </w14:solidFill>
          </w14:textFill>
        </w:rPr>
        <w:t xml:space="preserve">大型企业</w:t>
      </w:r>
      <w:r>
        <w:rPr>
          <w:rFonts w:ascii="Wingdings" w:hAnsi="Wingdings" w:eastAsia="Wingdings" w:cs="Wingdings"/>
          <w:color w:val="000000" w:themeColor="text1"/>
          <w:sz w:val="24"/>
          <w14:textFill>
            <w14:solidFill>
              <w14:schemeClr w14:val="tx1"/>
            </w14:solidFill>
          </w14:textFill>
        </w:rPr>
        <w:t xml:space="preserve"></w:t>
      </w:r>
      <w:r>
        <w:rPr>
          <w:rFonts w:hint="eastAsia" w:ascii="宋体" w:hAnsi="宋体" w:cs="宋体"/>
          <w:color w:val="000000" w:themeColor="text1"/>
          <w:szCs w:val="21"/>
          <w14:textFill>
            <w14:solidFill>
              <w14:schemeClr w14:val="tx1"/>
            </w14:solidFill>
          </w14:textFill>
        </w:rPr>
        <w:t xml:space="preserve">中型企业</w:t>
      </w:r>
      <w:r>
        <w:rPr>
          <w:rFonts w:ascii="Wingdings" w:hAnsi="Wingdings" w:eastAsia="Wingdings" w:cs="Wingdings"/>
          <w:color w:val="000000" w:themeColor="text1"/>
          <w:sz w:val="24"/>
          <w14:textFill>
            <w14:solidFill>
              <w14:schemeClr w14:val="tx1"/>
            </w14:solidFill>
          </w14:textFill>
        </w:rPr>
        <w:t xml:space="preserve"></w:t>
      </w:r>
      <w:r>
        <w:rPr>
          <w:rFonts w:hint="eastAsia" w:ascii="宋体" w:hAnsi="宋体" w:cs="宋体"/>
          <w:color w:val="000000" w:themeColor="text1"/>
          <w:szCs w:val="21"/>
          <w14:textFill>
            <w14:solidFill>
              <w14:schemeClr w14:val="tx1"/>
            </w14:solidFill>
          </w14:textFill>
        </w:rPr>
        <w:t xml:space="preserve">小型企业</w:t>
      </w:r>
      <w:r>
        <w:rPr>
          <w:rFonts w:ascii="Wingdings" w:hAnsi="Wingdings" w:eastAsia="Wingdings" w:cs="Wingdings"/>
          <w:color w:val="000000" w:themeColor="text1"/>
          <w:sz w:val="24"/>
          <w14:textFill>
            <w14:solidFill>
              <w14:schemeClr w14:val="tx1"/>
            </w14:solidFill>
          </w14:textFill>
        </w:rPr>
        <w:t xml:space="preserve"></w:t>
      </w:r>
      <w:r>
        <w:rPr>
          <w:rFonts w:hint="eastAsia" w:ascii="宋体" w:hAnsi="宋体" w:cs="宋体"/>
          <w:color w:val="000000" w:themeColor="text1"/>
          <w:szCs w:val="21"/>
          <w14:textFill>
            <w14:solidFill>
              <w14:schemeClr w14:val="tx1"/>
            </w14:solidFill>
          </w14:textFill>
        </w:rPr>
        <w:t xml:space="preserve">微型企业（在对应</w:t>
      </w:r>
      <w:r>
        <w:rPr>
          <w:rFonts w:ascii="Wingdings" w:hAnsi="Wingdings" w:eastAsia="Wingdings" w:cs="Wingdings"/>
          <w:color w:val="000000" w:themeColor="text1"/>
          <w:sz w:val="24"/>
          <w14:textFill>
            <w14:solidFill>
              <w14:schemeClr w14:val="tx1"/>
            </w14:solidFill>
          </w14:textFill>
        </w:rPr>
        <w:t xml:space="preserve"></w:t>
      </w:r>
      <w:r>
        <w:rPr>
          <w:rFonts w:hint="eastAsia" w:ascii="宋体" w:hAnsi="宋体" w:cs="宋体"/>
          <w:color w:val="000000" w:themeColor="text1"/>
          <w:szCs w:val="21"/>
          <w14:textFill>
            <w14:solidFill>
              <w14:schemeClr w14:val="tx1"/>
            </w14:solidFill>
          </w14:textFill>
        </w:rPr>
        <w:t xml:space="preserve">内打“√”）</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6.我方正式通讯方式为：</w:t>
      </w:r>
      <w:r/>
    </w:p>
    <w:p>
      <w:pPr>
        <w:ind w:firstLine="420"/>
        <w:spacing w:line="360" w:lineRule="auto"/>
        <w:rPr>
          <w:rFonts w:ascii="宋体" w:hAnsi="宋体" w:cs="宋体"/>
          <w:color w:val="000000" w:themeColor="text1"/>
          <w:szCs w:val="21"/>
          <w:u w:val="single"/>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地   址：</w:t>
      </w:r>
      <w:r>
        <w:rPr>
          <w:rFonts w:hint="eastAsia" w:ascii="宋体" w:hAnsi="宋体" w:cs="宋体"/>
          <w:color w:val="000000" w:themeColor="text1"/>
          <w:szCs w:val="21"/>
          <w:u w:val="single"/>
          <w14:textFill>
            <w14:solidFill>
              <w14:schemeClr w14:val="tx1"/>
            </w14:solidFill>
          </w14:textFill>
        </w:rPr>
        <w:t xml:space="preserve">                       </w:t>
      </w:r>
      <w:r/>
    </w:p>
    <w:p>
      <w:pPr>
        <w:ind w:firstLine="420"/>
        <w:spacing w:line="360" w:lineRule="auto"/>
        <w:rPr>
          <w:rFonts w:ascii="宋体" w:hAnsi="宋体" w:cs="宋体"/>
          <w:color w:val="000000" w:themeColor="text1"/>
          <w:szCs w:val="21"/>
          <w:u w:val="single"/>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电   话：</w:t>
      </w:r>
      <w:r>
        <w:rPr>
          <w:rFonts w:hint="eastAsia" w:ascii="宋体" w:hAnsi="宋体" w:cs="宋体"/>
          <w:color w:val="000000" w:themeColor="text1"/>
          <w:szCs w:val="21"/>
          <w:u w:val="single"/>
          <w14:textFill>
            <w14:solidFill>
              <w14:schemeClr w14:val="tx1"/>
            </w14:solidFill>
          </w14:textFill>
        </w:rPr>
        <w:t xml:space="preserve">                       </w:t>
      </w:r>
      <w:r/>
    </w:p>
    <w:p>
      <w:pPr>
        <w:ind w:firstLine="420"/>
        <w:spacing w:line="360" w:lineRule="auto"/>
        <w:rPr>
          <w:rFonts w:ascii="宋体" w:hAnsi="宋体" w:cs="宋体"/>
          <w:color w:val="000000" w:themeColor="text1"/>
          <w:szCs w:val="21"/>
          <w:u w:val="single"/>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传   真：</w:t>
      </w:r>
      <w:r>
        <w:rPr>
          <w:rFonts w:hint="eastAsia" w:ascii="宋体" w:hAnsi="宋体" w:cs="宋体"/>
          <w:color w:val="000000" w:themeColor="text1"/>
          <w:szCs w:val="21"/>
          <w:u w:val="single"/>
          <w14:textFill>
            <w14:solidFill>
              <w14:schemeClr w14:val="tx1"/>
            </w14:solidFill>
          </w14:textFill>
        </w:rPr>
        <w:t xml:space="preserve">                       </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7.我方正式开户银行和账号为：</w:t>
      </w:r>
      <w:r/>
    </w:p>
    <w:p>
      <w:pPr>
        <w:ind w:firstLine="420"/>
        <w:spacing w:line="360" w:lineRule="auto"/>
        <w:rPr>
          <w:rFonts w:ascii="宋体" w:hAnsi="宋体" w:cs="宋体"/>
          <w:color w:val="000000" w:themeColor="text1"/>
          <w:szCs w:val="21"/>
          <w:u w:val="single"/>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开户银行：</w:t>
      </w:r>
      <w:r>
        <w:rPr>
          <w:rFonts w:hint="eastAsia" w:ascii="宋体" w:hAnsi="宋体" w:cs="宋体"/>
          <w:color w:val="000000" w:themeColor="text1"/>
          <w:szCs w:val="21"/>
          <w:u w:val="single"/>
          <w14:textFill>
            <w14:solidFill>
              <w14:schemeClr w14:val="tx1"/>
            </w14:solidFill>
          </w14:textFill>
        </w:rPr>
        <w:t xml:space="preserve">                       </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账    号：</w:t>
      </w:r>
      <w:r>
        <w:rPr>
          <w:rFonts w:hint="eastAsia" w:ascii="宋体" w:hAnsi="宋体" w:cs="宋体"/>
          <w:color w:val="000000" w:themeColor="text1"/>
          <w:szCs w:val="21"/>
          <w:u w:val="single"/>
          <w14:textFill>
            <w14:solidFill>
              <w14:schemeClr w14:val="tx1"/>
            </w14:solidFill>
          </w14:textFill>
        </w:rPr>
        <w:t xml:space="preserve">                       </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供应商名称</w:t>
      </w:r>
      <w:r>
        <w:rPr>
          <w:color w:val="000000" w:themeColor="text1"/>
          <w:szCs w:val="21"/>
          <w14:textFill>
            <w14:solidFill>
              <w14:schemeClr w14:val="tx1"/>
            </w14:solidFill>
          </w14:textFill>
        </w:rPr>
        <w:t xml:space="preserve">（加盖电子公章）</w:t>
      </w:r>
      <w:r>
        <w:rPr>
          <w:rFonts w:hint="eastAsia" w:ascii="宋体" w:hAnsi="宋体" w:cs="宋体"/>
          <w:color w:val="000000" w:themeColor="text1"/>
          <w:szCs w:val="21"/>
          <w14:textFill>
            <w14:solidFill>
              <w14:schemeClr w14:val="tx1"/>
            </w14:solidFill>
          </w14:textFill>
        </w:rPr>
        <w:t xml:space="preserve">：</w:t>
      </w:r>
      <w:r>
        <w:rPr>
          <w:rFonts w:hint="eastAsia" w:ascii="宋体" w:hAnsi="宋体" w:cs="宋体"/>
          <w:color w:val="000000" w:themeColor="text1"/>
          <w:szCs w:val="21"/>
          <w:u w:val="single"/>
          <w14:textFill>
            <w14:solidFill>
              <w14:schemeClr w14:val="tx1"/>
            </w14:solidFill>
          </w14:textFill>
        </w:rPr>
        <w:t xml:space="preserve">                 </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日    期：</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 xml:space="preserve">年</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 xml:space="preserve">月</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 xml:space="preserve">日</w:t>
      </w:r>
      <w:r/>
    </w:p>
    <w:p>
      <w:pPr>
        <w:pStyle w:val="859"/>
        <w:numPr>
          <w:ilvl w:val="0"/>
          <w:numId w:val="0"/>
        </w:numPr>
        <w:rPr>
          <w:rFonts w:ascii="宋体" w:hAnsi="宋体" w:cs="宋体"/>
          <w:color w:val="000000" w:themeColor="text1"/>
          <w:sz w:val="2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br w:type="page" w:clear="all"/>
      </w:r>
      <w:bookmarkStart w:id="39" w:name="_Toc490133029"/>
      <w:r/>
      <w:bookmarkStart w:id="40" w:name="_Toc504056869"/>
      <w:r/>
      <w:bookmarkStart w:id="41" w:name="_Toc534273801"/>
      <w:r/>
      <w:bookmarkStart w:id="42" w:name="_Toc504044381"/>
      <w:r/>
      <w:bookmarkStart w:id="43" w:name="_Toc534273678"/>
      <w:r/>
      <w:bookmarkStart w:id="44" w:name="_Toc504573084"/>
      <w:r>
        <w:rPr>
          <w:rFonts w:hint="eastAsia" w:ascii="宋体" w:hAnsi="宋体" w:cs="宋体"/>
          <w:color w:val="000000" w:themeColor="text1"/>
          <w:sz w:val="21"/>
          <w:szCs w:val="21"/>
          <w:lang w:val="zh-CN"/>
          <w14:textFill>
            <w14:solidFill>
              <w14:schemeClr w14:val="tx1"/>
            </w14:solidFill>
          </w14:textFill>
        </w:rPr>
        <w:t xml:space="preserve">附件二、法定代表人授权书格式</w:t>
      </w:r>
      <w:bookmarkEnd w:id="39"/>
      <w:r/>
      <w:bookmarkEnd w:id="40"/>
      <w:r/>
      <w:bookmarkEnd w:id="41"/>
      <w:r/>
      <w:bookmarkEnd w:id="42"/>
      <w:r/>
      <w:bookmarkEnd w:id="43"/>
      <w:r/>
      <w:bookmarkEnd w:id="44"/>
      <w:r/>
      <w:r/>
    </w:p>
    <w:p>
      <w:pPr>
        <w:rPr>
          <w:rFonts w:ascii="宋体" w:hAnsi="宋体" w:cs="宋体"/>
          <w:b/>
          <w:color w:val="000000" w:themeColor="text1"/>
          <w:szCs w:val="21"/>
          <w:lang w:val="zh-CN"/>
          <w14:textFill>
            <w14:solidFill>
              <w14:schemeClr w14:val="tx1"/>
            </w14:solidFill>
          </w14:textFill>
        </w:rPr>
      </w:pPr>
      <w:r>
        <w:rPr>
          <w:rFonts w:ascii="宋体" w:hAnsi="宋体" w:cs="宋体"/>
          <w:b/>
          <w:color w:val="000000" w:themeColor="text1"/>
          <w:szCs w:val="21"/>
          <w:lang w:val="zh-CN"/>
          <w14:textFill>
            <w14:solidFill>
              <w14:schemeClr w14:val="tx1"/>
            </w14:solidFill>
          </w14:textFill>
        </w:rPr>
      </w:r>
      <w:r/>
    </w:p>
    <w:p>
      <w:pPr>
        <w:jc w:val="center"/>
        <w:rPr>
          <w:rFonts w:ascii="宋体" w:hAnsi="宋体" w:cs="宋体"/>
          <w:b/>
          <w:color w:val="000000" w:themeColor="text1"/>
          <w:sz w:val="36"/>
          <w:szCs w:val="36"/>
          <w14:textFill>
            <w14:solidFill>
              <w14:schemeClr w14:val="tx1"/>
            </w14:solidFill>
          </w14:textFill>
        </w:rPr>
      </w:pPr>
      <w:r>
        <w:rPr>
          <w:rFonts w:hint="eastAsia" w:ascii="宋体" w:hAnsi="宋体" w:cs="宋体"/>
          <w:b/>
          <w:color w:val="000000" w:themeColor="text1"/>
          <w:sz w:val="36"/>
          <w:szCs w:val="36"/>
          <w14:textFill>
            <w14:solidFill>
              <w14:schemeClr w14:val="tx1"/>
            </w14:solidFill>
          </w14:textFill>
        </w:rPr>
        <w:t xml:space="preserve">法定代表人授权书</w:t>
      </w:r>
      <w:r/>
    </w:p>
    <w:p>
      <w:pPr>
        <w:spacing w:line="360" w:lineRule="auto"/>
        <w:rPr>
          <w:rFonts w:ascii="宋体" w:hAnsi="宋体" w:cs="宋体"/>
          <w:color w:val="000000" w:themeColor="text1"/>
          <w:szCs w:val="21"/>
          <w:lang w:val="zh-CN"/>
          <w14:textFill>
            <w14:solidFill>
              <w14:schemeClr w14:val="tx1"/>
            </w14:solidFill>
          </w14:textFill>
        </w:rPr>
      </w:pPr>
      <w:r>
        <w:rPr>
          <w:rFonts w:ascii="宋体" w:hAnsi="宋体" w:cs="宋体"/>
          <w:color w:val="000000" w:themeColor="text1"/>
          <w:szCs w:val="21"/>
          <w:lang w:val="zh-CN"/>
          <w14:textFill>
            <w14:solidFill>
              <w14:schemeClr w14:val="tx1"/>
            </w14:solidFill>
          </w14:textFill>
        </w:rPr>
      </w:r>
      <w:r/>
    </w:p>
    <w:p>
      <w:pPr>
        <w:spacing w:line="360" w:lineRule="auto"/>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南京国景工程项目管理有限公司</w:t>
      </w:r>
      <w:r/>
    </w:p>
    <w:p>
      <w:pPr>
        <w:ind w:firstLine="420"/>
        <w:spacing w:line="360" w:lineRule="auto"/>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本授权书声明：注册于</w:t>
      </w:r>
      <w:r>
        <w:rPr>
          <w:rFonts w:hint="eastAsia" w:ascii="宋体" w:hAnsi="宋体" w:cs="宋体"/>
          <w:color w:val="000000" w:themeColor="text1"/>
          <w:szCs w:val="21"/>
          <w:u w:val="single"/>
          <w:lang w:val="zh-CN"/>
          <w14:textFill>
            <w14:solidFill>
              <w14:schemeClr w14:val="tx1"/>
            </w14:solidFill>
          </w14:textFill>
        </w:rPr>
        <w:t xml:space="preserve">                             </w:t>
      </w:r>
      <w:r>
        <w:rPr>
          <w:rFonts w:hint="eastAsia" w:ascii="宋体" w:hAnsi="宋体" w:cs="宋体"/>
          <w:color w:val="000000" w:themeColor="text1"/>
          <w:szCs w:val="21"/>
          <w:lang w:val="zh-CN"/>
          <w14:textFill>
            <w14:solidFill>
              <w14:schemeClr w14:val="tx1"/>
            </w14:solidFill>
          </w14:textFill>
        </w:rPr>
        <w:t xml:space="preserve">（供应商住址）的</w:t>
      </w:r>
      <w:r>
        <w:rPr>
          <w:rFonts w:hint="eastAsia" w:ascii="宋体" w:hAnsi="宋体" w:cs="宋体"/>
          <w:color w:val="000000" w:themeColor="text1"/>
          <w:szCs w:val="21"/>
          <w:u w:val="single"/>
          <w:lang w:val="zh-CN"/>
          <w14:textFill>
            <w14:solidFill>
              <w14:schemeClr w14:val="tx1"/>
            </w14:solidFill>
          </w14:textFill>
        </w:rPr>
        <w:t xml:space="preserve">                 </w:t>
      </w:r>
      <w:r>
        <w:rPr>
          <w:rFonts w:hint="eastAsia" w:ascii="宋体" w:hAnsi="宋体" w:cs="宋体"/>
          <w:color w:val="000000" w:themeColor="text1"/>
          <w:szCs w:val="21"/>
          <w:lang w:val="zh-CN"/>
          <w14:textFill>
            <w14:solidFill>
              <w14:schemeClr w14:val="tx1"/>
            </w14:solidFill>
          </w14:textFill>
        </w:rPr>
        <w:t xml:space="preserve">（供应商名称）法定代表人</w:t>
      </w:r>
      <w:r>
        <w:rPr>
          <w:rFonts w:hint="eastAsia" w:ascii="宋体" w:hAnsi="宋体" w:cs="宋体"/>
          <w:color w:val="000000" w:themeColor="text1"/>
          <w:szCs w:val="21"/>
          <w:u w:val="single"/>
          <w:lang w:val="zh-CN"/>
          <w14:textFill>
            <w14:solidFill>
              <w14:schemeClr w14:val="tx1"/>
            </w14:solidFill>
          </w14:textFill>
        </w:rPr>
        <w:t xml:space="preserve">                      </w:t>
      </w:r>
      <w:r>
        <w:rPr>
          <w:rFonts w:hint="eastAsia" w:ascii="宋体" w:hAnsi="宋体" w:cs="宋体"/>
          <w:color w:val="000000" w:themeColor="text1"/>
          <w:szCs w:val="21"/>
          <w:lang w:val="zh-CN"/>
          <w14:textFill>
            <w14:solidFill>
              <w14:schemeClr w14:val="tx1"/>
            </w14:solidFill>
          </w14:textFill>
        </w:rPr>
        <w:t xml:space="preserve">（法定代表人姓名、职务）代表本公司授权在下面签字的</w:t>
      </w:r>
      <w:r>
        <w:rPr>
          <w:rFonts w:hint="eastAsia" w:ascii="宋体" w:hAnsi="宋体" w:cs="宋体"/>
          <w:color w:val="000000" w:themeColor="text1"/>
          <w:szCs w:val="21"/>
          <w:u w:val="single"/>
          <w:lang w:val="zh-CN"/>
          <w14:textFill>
            <w14:solidFill>
              <w14:schemeClr w14:val="tx1"/>
            </w14:solidFill>
          </w14:textFill>
        </w:rPr>
        <w:t xml:space="preserve">                       </w:t>
      </w:r>
      <w:r>
        <w:rPr>
          <w:rFonts w:hint="eastAsia" w:ascii="宋体" w:hAnsi="宋体" w:cs="宋体"/>
          <w:color w:val="000000" w:themeColor="text1"/>
          <w:szCs w:val="21"/>
          <w:lang w:val="zh-CN"/>
          <w14:textFill>
            <w14:solidFill>
              <w14:schemeClr w14:val="tx1"/>
            </w14:solidFill>
          </w14:textFill>
        </w:rPr>
        <w:t xml:space="preserve">（供应商代表姓名、职务）为本公司的合法代理人，就贵方组织的项目名称</w:t>
      </w:r>
      <w:r>
        <w:rPr>
          <w:rFonts w:hint="eastAsia" w:ascii="宋体" w:hAnsi="宋体" w:cs="宋体"/>
          <w:bCs/>
          <w:color w:val="000000" w:themeColor="text1"/>
          <w:szCs w:val="21"/>
          <w:u w:val="single"/>
          <w:lang w:val="zh-CN"/>
          <w14:textFill>
            <w14:solidFill>
              <w14:schemeClr w14:val="tx1"/>
            </w14:solidFill>
          </w14:textFill>
        </w:rPr>
        <w:t xml:space="preserve">                    </w:t>
      </w:r>
      <w:r>
        <w:rPr>
          <w:rFonts w:hint="eastAsia" w:ascii="宋体" w:hAnsi="宋体" w:cs="宋体"/>
          <w:color w:val="000000" w:themeColor="text1"/>
          <w:szCs w:val="21"/>
          <w:lang w:val="zh-CN"/>
          <w14:textFill>
            <w14:solidFill>
              <w14:schemeClr w14:val="tx1"/>
            </w14:solidFill>
          </w14:textFill>
        </w:rPr>
        <w:t xml:space="preserve">，项目编号：</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u w:val="single"/>
          <w:lang w:val="zh-CN"/>
          <w14:textFill>
            <w14:solidFill>
              <w14:schemeClr w14:val="tx1"/>
            </w14:solidFill>
          </w14:textFill>
        </w:rPr>
        <w:t xml:space="preserve">        </w:t>
      </w:r>
      <w:r>
        <w:rPr>
          <w:rFonts w:hint="eastAsia" w:ascii="宋体" w:hAnsi="宋体" w:cs="宋体"/>
          <w:color w:val="000000" w:themeColor="text1"/>
          <w:szCs w:val="21"/>
          <w:lang w:val="zh-CN"/>
          <w14:textFill>
            <w14:solidFill>
              <w14:schemeClr w14:val="tx1"/>
            </w14:solidFill>
          </w14:textFill>
        </w:rPr>
        <w:t xml:space="preserve">竞争性磋商，以本公司名义处理一切与之有关的事务。</w:t>
      </w:r>
      <w:r/>
    </w:p>
    <w:p>
      <w:pPr>
        <w:ind w:firstLine="420"/>
        <w:spacing w:line="360" w:lineRule="auto"/>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本授权书于        年   月   日签字或签章生效，特此声明。</w:t>
      </w:r>
      <w:r/>
    </w:p>
    <w:p>
      <w:pPr>
        <w:spacing w:line="360" w:lineRule="auto"/>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被授权人身份证号码：</w:t>
      </w:r>
      <w:r/>
    </w:p>
    <w:p>
      <w:pPr>
        <w:spacing w:line="360" w:lineRule="auto"/>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被授权人联系电话：（手机）</w:t>
      </w:r>
      <w:r/>
    </w:p>
    <w:p>
      <w:pPr>
        <w:spacing w:line="360" w:lineRule="auto"/>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单位名称：（加盖电子公章）</w:t>
      </w:r>
      <w:r/>
    </w:p>
    <w:p>
      <w:pPr>
        <w:spacing w:line="360" w:lineRule="auto"/>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单位地址：</w:t>
      </w:r>
      <w:r/>
    </w:p>
    <w:p>
      <w:pPr>
        <w:spacing w:line="360" w:lineRule="auto"/>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日    期：</w:t>
      </w:r>
      <w:bookmarkStart w:id="45" w:name="_Hlt26671380"/>
      <w:r/>
      <w:bookmarkEnd w:id="45"/>
      <w:r/>
      <w:bookmarkStart w:id="46" w:name="_格式3__银行出具的资信证明"/>
      <w:r/>
      <w:bookmarkEnd w:id="46"/>
      <w:r/>
      <w:bookmarkStart w:id="47" w:name="_Hlt26955070"/>
      <w:r/>
      <w:bookmarkEnd w:id="47"/>
      <w:r/>
      <w:r/>
    </w:p>
    <w:p>
      <w:pPr>
        <w:spacing w:line="360" w:lineRule="auto"/>
        <w:rPr>
          <w:rFonts w:ascii="宋体" w:hAnsi="宋体" w:cs="宋体"/>
          <w:color w:val="000000" w:themeColor="text1"/>
          <w:szCs w:val="21"/>
          <w:lang w:val="zh-CN"/>
          <w14:textFill>
            <w14:solidFill>
              <w14:schemeClr w14:val="tx1"/>
            </w14:solidFill>
          </w14:textFill>
        </w:rPr>
      </w:pPr>
      <w:r>
        <w:rPr>
          <w:rFonts w:ascii="宋体" w:hAnsi="宋体" w:cs="宋体"/>
          <w:color w:val="000000" w:themeColor="text1"/>
          <w:szCs w:val="21"/>
          <w:lang w:val="zh-CN"/>
          <w14:textFill>
            <w14:solidFill>
              <w14:schemeClr w14:val="tx1"/>
            </w14:solidFill>
          </w14:textFill>
        </w:rPr>
      </w:r>
      <w:r/>
    </w:p>
    <w:p>
      <w:pPr>
        <w:spacing w:line="360" w:lineRule="auto"/>
        <w:rPr>
          <w:rFonts w:ascii="宋体" w:hAnsi="宋体" w:cs="宋体"/>
          <w:b/>
          <w:color w:val="000000" w:themeColor="text1"/>
          <w:szCs w:val="21"/>
          <w:lang w:val="zh-CN"/>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被授权人</w:t>
      </w:r>
      <w:r>
        <w:rPr>
          <w:rFonts w:hint="eastAsia" w:ascii="宋体" w:hAnsi="宋体" w:cs="宋体"/>
          <w:b/>
          <w:color w:val="000000" w:themeColor="text1"/>
          <w:szCs w:val="21"/>
          <w:lang w:val="zh-CN"/>
          <w14:textFill>
            <w14:solidFill>
              <w14:schemeClr w14:val="tx1"/>
            </w14:solidFill>
          </w14:textFill>
        </w:rPr>
        <w:t xml:space="preserve">的身份证明文件：</w:t>
      </w:r>
      <w:r/>
    </w:p>
    <w:p>
      <w:pPr>
        <w:pStyle w:val="859"/>
        <w:numPr>
          <w:ilvl w:val="0"/>
          <w:numId w:val="0"/>
        </w:numPr>
        <w:rPr>
          <w:rFonts w:ascii="宋体" w:hAnsi="宋体" w:cs="宋体"/>
          <w:color w:val="000000" w:themeColor="text1"/>
          <w:sz w:val="2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br w:type="page" w:clear="all"/>
      </w:r>
      <w:r>
        <w:rPr>
          <w:rFonts w:ascii="宋体" w:hAnsi="宋体" w:cs="宋体"/>
          <w:color w:val="000000" w:themeColor="text1"/>
          <w:sz w:val="21"/>
          <w:szCs w:val="21"/>
          <w:lang w:val="zh-CN"/>
          <w14:textFill>
            <w14:solidFill>
              <w14:schemeClr w14:val="tx1"/>
            </w14:solidFill>
          </w14:textFill>
        </w:rPr>
        <w:t xml:space="preserve">附件三、报价表</w:t>
      </w:r>
      <w:r/>
    </w:p>
    <w:p>
      <w:pPr>
        <w:rPr>
          <w:rFonts w:ascii="Arial" w:hAnsi="Arial" w:cs="Arial"/>
          <w:b/>
          <w:bCs/>
          <w:color w:val="000000" w:themeColor="text1"/>
          <w14:textFill>
            <w14:solidFill>
              <w14:schemeClr w14:val="tx1"/>
            </w14:solidFill>
          </w14:textFill>
        </w:rPr>
      </w:pPr>
      <w:r>
        <w:rPr>
          <w:rFonts w:ascii="Arial" w:hAnsi="Arial" w:cs="Arial"/>
          <w:b/>
          <w:bCs/>
          <w:color w:val="000000" w:themeColor="text1"/>
          <w14:textFill>
            <w14:solidFill>
              <w14:schemeClr w14:val="tx1"/>
            </w14:solidFill>
          </w14:textFill>
        </w:rPr>
        <w:t xml:space="preserve"> </w:t>
      </w:r>
      <w:r/>
    </w:p>
    <w:p>
      <w:pPr>
        <w:jc w:val="center"/>
        <w:spacing w:line="360" w:lineRule="auto"/>
        <w:shd w:val="clear" w:color="auto" w:fill="ffffff"/>
        <w:widowControl/>
        <w:rPr>
          <w:rFonts w:ascii="Arial" w:hAnsi="Arial" w:cs="Arial"/>
          <w:color w:val="000000" w:themeColor="text1"/>
          <w:sz w:val="24"/>
          <w:szCs w:val="24"/>
          <w14:textFill>
            <w14:solidFill>
              <w14:schemeClr w14:val="tx1"/>
            </w14:solidFill>
          </w14:textFill>
        </w:rPr>
      </w:pPr>
      <w:r>
        <w:rPr>
          <w:b/>
          <w:color w:val="000000" w:themeColor="text1"/>
          <w:sz w:val="36"/>
          <w:szCs w:val="36"/>
          <w14:textFill>
            <w14:solidFill>
              <w14:schemeClr w14:val="tx1"/>
            </w14:solidFill>
          </w14:textFill>
        </w:rPr>
        <w:t xml:space="preserve">报价一览表</w:t>
      </w:r>
      <w:r>
        <w:rPr>
          <w:rFonts w:ascii="Arial" w:hAnsi="Arial" w:cs="Arial"/>
          <w:color w:val="000000" w:themeColor="text1"/>
          <w:sz w:val="24"/>
          <w:szCs w:val="24"/>
          <w14:textFill>
            <w14:solidFill>
              <w14:schemeClr w14:val="tx1"/>
            </w14:solidFill>
          </w14:textFill>
        </w:rPr>
        <w:t xml:space="preserve"> </w:t>
      </w:r>
      <w:r/>
    </w:p>
    <w:p>
      <w:pPr>
        <w:pStyle w:val="884"/>
        <w:ind w:firstLine="472"/>
        <w:spacing w:line="440" w:lineRule="exact"/>
        <w:rPr>
          <w:rFonts w:ascii="Arial" w:hAnsi="Arial" w:cs="Arial"/>
          <w:color w:val="000000" w:themeColor="text1"/>
          <w:szCs w:val="21"/>
          <w14:textFill>
            <w14:solidFill>
              <w14:schemeClr w14:val="tx1"/>
            </w14:solidFill>
          </w14:textFill>
        </w:rPr>
      </w:pPr>
      <w:r>
        <w:rPr>
          <w:rFonts w:ascii="宋体" w:hAnsi="宋体" w:cs="Arial"/>
          <w:color w:val="000000" w:themeColor="text1"/>
          <w:szCs w:val="21"/>
          <w14:textFill>
            <w14:solidFill>
              <w14:schemeClr w14:val="tx1"/>
            </w14:solidFill>
          </w14:textFill>
        </w:rPr>
        <w:t xml:space="preserve">项目名称：</w:t>
      </w:r>
      <w:r>
        <w:rPr>
          <w:rFonts w:ascii="Arial" w:hAnsi="Arial" w:cs="Arial"/>
          <w:color w:val="000000" w:themeColor="text1"/>
          <w:szCs w:val="21"/>
          <w14:textFill>
            <w14:solidFill>
              <w14:schemeClr w14:val="tx1"/>
            </w14:solidFill>
          </w14:textFill>
        </w:rPr>
        <w:t xml:space="preserve">                                         </w:t>
      </w:r>
      <w:r>
        <w:rPr>
          <w:rFonts w:ascii="宋体" w:hAnsi="宋体" w:cs="Arial"/>
          <w:color w:val="000000" w:themeColor="text1"/>
          <w:szCs w:val="21"/>
          <w14:textFill>
            <w14:solidFill>
              <w14:schemeClr w14:val="tx1"/>
            </w14:solidFill>
          </w14:textFill>
        </w:rPr>
        <w:t xml:space="preserve">项目编号：</w:t>
      </w:r>
      <w:r/>
    </w:p>
    <w:tbl>
      <w:tblPr>
        <w:tblStyle w:val="676"/>
        <w:tblW w:w="864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70"/>
        <w:gridCol w:w="5131"/>
        <w:gridCol w:w="1639"/>
      </w:tblGrid>
      <w:tr>
        <w:trPr>
          <w:cantSplit/>
          <w:trHeight w:val="1225"/>
        </w:trPr>
        <w:tc>
          <w:tcPr>
            <w:tcW w:w="1870" w:type="dxa"/>
            <w:vAlign w:val="center"/>
            <w:textDirection w:val="lrTb"/>
            <w:noWrap w:val="false"/>
          </w:tcPr>
          <w:p>
            <w:pPr>
              <w:pStyle w:val="884"/>
              <w:ind w:firstLine="0"/>
              <w:spacing w:line="44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投标</w:t>
            </w:r>
            <w:r>
              <w:rPr>
                <w:rFonts w:hint="eastAsia" w:ascii="Arial" w:hAnsi="Arial" w:cs="Arial"/>
                <w:color w:val="000000" w:themeColor="text1"/>
                <w:szCs w:val="21"/>
                <w14:textFill>
                  <w14:solidFill>
                    <w14:schemeClr w14:val="tx1"/>
                  </w14:solidFill>
                </w14:textFill>
              </w:rPr>
              <w:t xml:space="preserve">报价</w:t>
            </w:r>
            <w:r/>
          </w:p>
        </w:tc>
        <w:tc>
          <w:tcPr>
            <w:tcW w:w="5131" w:type="dxa"/>
            <w:vAlign w:val="center"/>
            <w:textDirection w:val="lrTb"/>
            <w:noWrap w:val="false"/>
          </w:tcPr>
          <w:p>
            <w:pPr>
              <w:pStyle w:val="884"/>
              <w:ind w:firstLine="0"/>
              <w:spacing w:line="44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小写：人民币</w:t>
            </w:r>
            <w:r>
              <w:rPr>
                <w:rFonts w:hint="eastAsia" w:ascii="Arial" w:hAnsi="Arial" w:cs="Arial"/>
                <w:color w:val="000000" w:themeColor="text1"/>
                <w:szCs w:val="21"/>
                <w:u w:val="single"/>
                <w14:textFill>
                  <w14:solidFill>
                    <w14:schemeClr w14:val="tx1"/>
                  </w14:solidFill>
                </w14:textFill>
              </w:rPr>
              <w:t xml:space="preserve">        </w:t>
            </w:r>
            <w:r>
              <w:rPr>
                <w:rFonts w:ascii="Arial" w:hAnsi="Arial" w:cs="Arial"/>
                <w:color w:val="000000" w:themeColor="text1"/>
                <w:szCs w:val="21"/>
                <w14:textFill>
                  <w14:solidFill>
                    <w14:schemeClr w14:val="tx1"/>
                  </w14:solidFill>
                </w14:textFill>
              </w:rPr>
              <w:t xml:space="preserve">            </w:t>
            </w:r>
            <w:r/>
          </w:p>
          <w:p>
            <w:pPr>
              <w:pStyle w:val="884"/>
              <w:ind w:firstLine="0"/>
              <w:spacing w:line="44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大写：人民币</w:t>
            </w:r>
            <w:r>
              <w:rPr>
                <w:rFonts w:ascii="Arial" w:hAnsi="Arial" w:cs="Arial"/>
                <w:color w:val="000000" w:themeColor="text1"/>
                <w:szCs w:val="21"/>
                <w:u w:val="single"/>
                <w14:textFill>
                  <w14:solidFill>
                    <w14:schemeClr w14:val="tx1"/>
                  </w14:solidFill>
                </w14:textFill>
              </w:rPr>
              <w:t xml:space="preserve">        </w:t>
            </w:r>
            <w:r>
              <w:rPr>
                <w:rFonts w:ascii="Arial" w:hAnsi="Arial" w:cs="Arial"/>
                <w:color w:val="000000" w:themeColor="text1"/>
                <w:szCs w:val="21"/>
                <w14:textFill>
                  <w14:solidFill>
                    <w14:schemeClr w14:val="tx1"/>
                  </w14:solidFill>
                </w14:textFill>
              </w:rPr>
              <w:t xml:space="preserve">  </w:t>
            </w:r>
            <w:r/>
          </w:p>
        </w:tc>
        <w:tc>
          <w:tcPr>
            <w:tcW w:w="1639" w:type="dxa"/>
            <w:vAlign w:val="center"/>
            <w:textDirection w:val="lrTb"/>
            <w:noWrap w:val="false"/>
          </w:tcPr>
          <w:p>
            <w:pPr>
              <w:pStyle w:val="884"/>
              <w:ind w:firstLine="0"/>
              <w:spacing w:line="44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备注</w:t>
            </w:r>
            <w:r/>
          </w:p>
        </w:tc>
      </w:tr>
      <w:tr>
        <w:trPr>
          <w:trHeight w:val="829"/>
        </w:trPr>
        <w:tc>
          <w:tcPr>
            <w:tcW w:w="1870" w:type="dxa"/>
            <w:vAlign w:val="center"/>
            <w:textDirection w:val="lrTb"/>
            <w:noWrap w:val="false"/>
          </w:tcPr>
          <w:p>
            <w:pPr>
              <w:pStyle w:val="884"/>
              <w:ind w:firstLine="0"/>
              <w:spacing w:line="440" w:lineRule="exact"/>
              <w:rPr>
                <w:rFonts w:ascii="Arial" w:hAnsi="Arial" w:cs="Arial"/>
                <w:color w:val="000000" w:themeColor="text1"/>
                <w:szCs w:val="21"/>
                <w14:textFill>
                  <w14:solidFill>
                    <w14:schemeClr w14:val="tx1"/>
                  </w14:solidFill>
                </w14:textFill>
              </w:rPr>
            </w:pPr>
            <w:r>
              <w:rPr>
                <w:rFonts w:hint="eastAsia" w:ascii="Arial" w:hAnsi="Arial" w:cs="Arial"/>
                <w:color w:val="000000" w:themeColor="text1"/>
                <w:szCs w:val="21"/>
                <w14:textFill>
                  <w14:solidFill>
                    <w14:schemeClr w14:val="tx1"/>
                  </w14:solidFill>
                </w14:textFill>
              </w:rPr>
              <w:t xml:space="preserve">合同履行期限</w:t>
            </w:r>
            <w:r/>
          </w:p>
        </w:tc>
        <w:tc>
          <w:tcPr>
            <w:tcW w:w="5131" w:type="dxa"/>
            <w:vAlign w:val="center"/>
            <w:textDirection w:val="lrTb"/>
            <w:noWrap w:val="false"/>
          </w:tcPr>
          <w:p>
            <w:pPr>
              <w:pStyle w:val="884"/>
              <w:ind w:firstLine="472"/>
              <w:spacing w:line="440" w:lineRule="exact"/>
              <w:rPr>
                <w:rFonts w:ascii="Arial" w:hAnsi="Arial" w:cs="Arial"/>
                <w:color w:val="000000" w:themeColor="text1"/>
                <w:szCs w:val="21"/>
                <w:u w:val="single"/>
                <w14:textFill>
                  <w14:solidFill>
                    <w14:schemeClr w14:val="tx1"/>
                  </w14:solidFill>
                </w14:textFill>
              </w:rPr>
            </w:pPr>
            <w:r>
              <w:rPr>
                <w:rFonts w:ascii="Arial" w:hAnsi="Arial" w:cs="Arial"/>
                <w:color w:val="000000" w:themeColor="text1"/>
                <w:szCs w:val="21"/>
                <w14:textFill>
                  <w14:solidFill>
                    <w14:schemeClr w14:val="tx1"/>
                  </w14:solidFill>
                </w14:textFill>
              </w:rPr>
              <w:t xml:space="preserve">满足</w:t>
            </w:r>
            <w:r>
              <w:rPr>
                <w:rFonts w:hint="eastAsia" w:ascii="Arial" w:hAnsi="Arial" w:cs="Arial"/>
                <w:color w:val="000000" w:themeColor="text1"/>
                <w:szCs w:val="21"/>
                <w14:textFill>
                  <w14:solidFill>
                    <w14:schemeClr w14:val="tx1"/>
                  </w14:solidFill>
                </w14:textFill>
              </w:rPr>
              <w:t xml:space="preserve">磋商</w:t>
            </w:r>
            <w:r>
              <w:rPr>
                <w:rFonts w:ascii="Arial" w:hAnsi="Arial" w:cs="Arial"/>
                <w:color w:val="000000" w:themeColor="text1"/>
                <w:szCs w:val="21"/>
                <w14:textFill>
                  <w14:solidFill>
                    <w14:schemeClr w14:val="tx1"/>
                  </w14:solidFill>
                </w14:textFill>
              </w:rPr>
              <w:t xml:space="preserve">文件要求。</w:t>
            </w:r>
            <w:r/>
          </w:p>
        </w:tc>
        <w:tc>
          <w:tcPr>
            <w:tcW w:w="1639" w:type="dxa"/>
            <w:vAlign w:val="center"/>
            <w:textDirection w:val="lrTb"/>
            <w:noWrap w:val="false"/>
          </w:tcPr>
          <w:p>
            <w:pPr>
              <w:pStyle w:val="884"/>
              <w:ind w:firstLine="472"/>
              <w:spacing w:line="44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p>
            <w:pPr>
              <w:pStyle w:val="884"/>
              <w:ind w:firstLine="472"/>
              <w:spacing w:line="44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r>
      <w:tr>
        <w:trPr>
          <w:trHeight w:val="924" w:hRule="exact"/>
        </w:trPr>
        <w:tc>
          <w:tcPr>
            <w:tcW w:w="1870" w:type="dxa"/>
            <w:vAlign w:val="center"/>
            <w:textDirection w:val="lrTb"/>
            <w:noWrap w:val="false"/>
          </w:tcPr>
          <w:p>
            <w:pPr>
              <w:jc w:val="center"/>
              <w:rPr>
                <w:rFonts w:ascii="Arial" w:hAnsi="Arial" w:cs="Arial"/>
                <w:color w:val="000000" w:themeColor="text1"/>
                <w:szCs w:val="21"/>
                <w14:textFill>
                  <w14:solidFill>
                    <w14:schemeClr w14:val="tx1"/>
                  </w14:solidFill>
                </w14:textFill>
              </w:rPr>
            </w:pPr>
            <w:r>
              <w:rPr>
                <w:rFonts w:hint="eastAsia"/>
                <w:color w:val="000000" w:themeColor="text1"/>
                <w:lang w:val="zh-CN"/>
                <w14:textFill>
                  <w14:solidFill>
                    <w14:schemeClr w14:val="tx1"/>
                  </w14:solidFill>
                </w14:textFill>
              </w:rPr>
              <w:t xml:space="preserve">供应商是否属于小微型企业</w:t>
            </w:r>
            <w:r/>
          </w:p>
        </w:tc>
        <w:tc>
          <w:tcPr>
            <w:tcW w:w="5131" w:type="dxa"/>
            <w:vAlign w:val="center"/>
            <w:textDirection w:val="lrTb"/>
            <w:noWrap w:val="false"/>
          </w:tcPr>
          <w:p>
            <w:pPr>
              <w:jc w:val="center"/>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w:t>
            </w:r>
            <w:r>
              <w:rPr>
                <w:rFonts w:ascii="Arial" w:hAnsi="Arial" w:cs="Arial"/>
                <w:color w:val="000000" w:themeColor="text1"/>
                <w:szCs w:val="21"/>
                <w:lang w:val="zh-CN"/>
                <w14:textFill>
                  <w14:solidFill>
                    <w14:schemeClr w14:val="tx1"/>
                  </w14:solidFill>
                </w14:textFill>
              </w:rPr>
              <w:t xml:space="preserve">填写“是”或“否</w:t>
            </w:r>
            <w:r>
              <w:rPr>
                <w:rFonts w:ascii="Arial" w:hAnsi="Arial" w:cs="Arial"/>
                <w:color w:val="000000" w:themeColor="text1"/>
                <w:szCs w:val="21"/>
                <w14:textFill>
                  <w14:solidFill>
                    <w14:schemeClr w14:val="tx1"/>
                  </w14:solidFill>
                </w14:textFill>
              </w:rPr>
              <w:t xml:space="preserve">）</w:t>
            </w:r>
            <w:r/>
          </w:p>
        </w:tc>
        <w:tc>
          <w:tcPr>
            <w:tcW w:w="1639" w:type="dxa"/>
            <w:vAlign w:val="center"/>
            <w:textDirection w:val="lrTb"/>
            <w:noWrap w:val="false"/>
          </w:tcPr>
          <w:p>
            <w:pPr>
              <w:pStyle w:val="884"/>
              <w:ind w:firstLine="472"/>
              <w:spacing w:line="44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r>
      <w:tr>
        <w:trPr>
          <w:trHeight w:val="924" w:hRule="exact"/>
        </w:trPr>
        <w:tc>
          <w:tcPr>
            <w:tcW w:w="1870" w:type="dxa"/>
            <w:vAlign w:val="center"/>
            <w:textDirection w:val="lrTb"/>
            <w:noWrap w:val="false"/>
          </w:tcPr>
          <w:p>
            <w:pPr>
              <w:jc w:val="center"/>
              <w:rPr>
                <w:rFonts w:ascii="Arial" w:hAnsi="Arial" w:cs="Arial"/>
                <w:color w:val="000000" w:themeColor="text1"/>
                <w:szCs w:val="21"/>
                <w14:textFill>
                  <w14:solidFill>
                    <w14:schemeClr w14:val="tx1"/>
                  </w14:solidFill>
                </w14:textFill>
              </w:rPr>
            </w:pPr>
            <w:r>
              <w:rPr>
                <w:rFonts w:hint="eastAsia"/>
                <w:color w:val="000000" w:themeColor="text1"/>
                <w:lang w:val="zh-CN"/>
                <w14:textFill>
                  <w14:solidFill>
                    <w14:schemeClr w14:val="tx1"/>
                  </w14:solidFill>
                </w14:textFill>
              </w:rPr>
              <w:t xml:space="preserve">供应商是否属于残疾人福利性单位</w:t>
            </w:r>
            <w:r/>
          </w:p>
        </w:tc>
        <w:tc>
          <w:tcPr>
            <w:tcW w:w="5131" w:type="dxa"/>
            <w:vAlign w:val="center"/>
            <w:textDirection w:val="lrTb"/>
            <w:noWrap w:val="false"/>
          </w:tcPr>
          <w:p>
            <w:pPr>
              <w:jc w:val="center"/>
              <w:rPr>
                <w:rFonts w:ascii="Arial" w:hAnsi="Arial" w:cs="Arial"/>
                <w:color w:val="000000" w:themeColor="text1"/>
                <w:szCs w:val="21"/>
                <w:u w:val="single"/>
                <w14:textFill>
                  <w14:solidFill>
                    <w14:schemeClr w14:val="tx1"/>
                  </w14:solidFill>
                </w14:textFill>
              </w:rPr>
            </w:pPr>
            <w:r>
              <w:rPr>
                <w:rFonts w:ascii="Arial" w:hAnsi="Arial" w:cs="Arial"/>
                <w:color w:val="000000" w:themeColor="text1"/>
                <w:szCs w:val="21"/>
                <w14:textFill>
                  <w14:solidFill>
                    <w14:schemeClr w14:val="tx1"/>
                  </w14:solidFill>
                </w14:textFill>
              </w:rPr>
              <w:t xml:space="preserve">（</w:t>
            </w:r>
            <w:r>
              <w:rPr>
                <w:rFonts w:ascii="Arial" w:hAnsi="Arial" w:cs="Arial"/>
                <w:color w:val="000000" w:themeColor="text1"/>
                <w:szCs w:val="21"/>
                <w:lang w:val="zh-CN"/>
                <w14:textFill>
                  <w14:solidFill>
                    <w14:schemeClr w14:val="tx1"/>
                  </w14:solidFill>
                </w14:textFill>
              </w:rPr>
              <w:t xml:space="preserve">填写“是”或“否</w:t>
            </w:r>
            <w:r>
              <w:rPr>
                <w:rFonts w:ascii="Arial" w:hAnsi="Arial" w:cs="Arial"/>
                <w:color w:val="000000" w:themeColor="text1"/>
                <w:szCs w:val="21"/>
                <w14:textFill>
                  <w14:solidFill>
                    <w14:schemeClr w14:val="tx1"/>
                  </w14:solidFill>
                </w14:textFill>
              </w:rPr>
              <w:t xml:space="preserve">）</w:t>
            </w:r>
            <w:r/>
          </w:p>
        </w:tc>
        <w:tc>
          <w:tcPr>
            <w:tcW w:w="1639" w:type="dxa"/>
            <w:vAlign w:val="center"/>
            <w:textDirection w:val="lrTb"/>
            <w:noWrap w:val="false"/>
          </w:tcPr>
          <w:p>
            <w:pPr>
              <w:pStyle w:val="884"/>
              <w:ind w:firstLine="472"/>
              <w:spacing w:line="44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r>
      <w:tr>
        <w:trPr>
          <w:trHeight w:val="924" w:hRule="exact"/>
        </w:trPr>
        <w:tc>
          <w:tcPr>
            <w:tcW w:w="1870" w:type="dxa"/>
            <w:vAlign w:val="center"/>
            <w:textDirection w:val="lrTb"/>
            <w:noWrap w:val="false"/>
          </w:tcPr>
          <w:p>
            <w:pPr>
              <w:jc w:val="center"/>
              <w:rPr>
                <w:rFonts w:ascii="Arial" w:hAnsi="Arial" w:cs="Arial"/>
                <w:color w:val="000000" w:themeColor="text1"/>
                <w:szCs w:val="21"/>
                <w14:textFill>
                  <w14:solidFill>
                    <w14:schemeClr w14:val="tx1"/>
                  </w14:solidFill>
                </w14:textFill>
              </w:rPr>
            </w:pPr>
            <w:r>
              <w:rPr>
                <w:rFonts w:hint="eastAsia"/>
                <w:color w:val="000000" w:themeColor="text1"/>
                <w:lang w:val="zh-CN"/>
                <w14:textFill>
                  <w14:solidFill>
                    <w14:schemeClr w14:val="tx1"/>
                  </w14:solidFill>
                </w14:textFill>
              </w:rPr>
              <w:t xml:space="preserve">供应商是否属于监狱企业</w:t>
            </w:r>
            <w:r/>
          </w:p>
        </w:tc>
        <w:tc>
          <w:tcPr>
            <w:tcW w:w="5131" w:type="dxa"/>
            <w:vAlign w:val="center"/>
            <w:textDirection w:val="lrTb"/>
            <w:noWrap w:val="false"/>
          </w:tcPr>
          <w:p>
            <w:pPr>
              <w:jc w:val="center"/>
              <w:rPr>
                <w:rFonts w:ascii="Arial" w:hAnsi="Arial" w:cs="Arial"/>
                <w:color w:val="000000" w:themeColor="text1"/>
                <w:szCs w:val="21"/>
                <w:u w:val="single"/>
                <w14:textFill>
                  <w14:solidFill>
                    <w14:schemeClr w14:val="tx1"/>
                  </w14:solidFill>
                </w14:textFill>
              </w:rPr>
            </w:pPr>
            <w:r>
              <w:rPr>
                <w:rFonts w:ascii="Arial" w:hAnsi="Arial" w:cs="Arial"/>
                <w:color w:val="000000" w:themeColor="text1"/>
                <w:szCs w:val="21"/>
                <w14:textFill>
                  <w14:solidFill>
                    <w14:schemeClr w14:val="tx1"/>
                  </w14:solidFill>
                </w14:textFill>
              </w:rPr>
              <w:t xml:space="preserve">（</w:t>
            </w:r>
            <w:r>
              <w:rPr>
                <w:rFonts w:ascii="Arial" w:hAnsi="Arial" w:cs="Arial"/>
                <w:color w:val="000000" w:themeColor="text1"/>
                <w:szCs w:val="21"/>
                <w:lang w:val="zh-CN"/>
                <w14:textFill>
                  <w14:solidFill>
                    <w14:schemeClr w14:val="tx1"/>
                  </w14:solidFill>
                </w14:textFill>
              </w:rPr>
              <w:t xml:space="preserve">填写“是”或“否</w:t>
            </w:r>
            <w:r>
              <w:rPr>
                <w:rFonts w:ascii="Arial" w:hAnsi="Arial" w:cs="Arial"/>
                <w:color w:val="000000" w:themeColor="text1"/>
                <w:szCs w:val="21"/>
                <w14:textFill>
                  <w14:solidFill>
                    <w14:schemeClr w14:val="tx1"/>
                  </w14:solidFill>
                </w14:textFill>
              </w:rPr>
              <w:t xml:space="preserve">）</w:t>
            </w:r>
            <w:r/>
          </w:p>
        </w:tc>
        <w:tc>
          <w:tcPr>
            <w:tcW w:w="1639" w:type="dxa"/>
            <w:vAlign w:val="center"/>
            <w:textDirection w:val="lrTb"/>
            <w:noWrap w:val="false"/>
          </w:tcPr>
          <w:p>
            <w:pPr>
              <w:pStyle w:val="884"/>
              <w:ind w:firstLine="472"/>
              <w:spacing w:line="44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r>
      <w:tr>
        <w:trPr>
          <w:trHeight w:val="924" w:hRule="exact"/>
        </w:trPr>
        <w:tc>
          <w:tcPr>
            <w:tcW w:w="1870" w:type="dxa"/>
            <w:vAlign w:val="center"/>
            <w:textDirection w:val="lrTb"/>
            <w:noWrap w:val="false"/>
          </w:tcPr>
          <w:p>
            <w:pPr>
              <w:pStyle w:val="884"/>
              <w:ind w:firstLine="0"/>
              <w:jc w:val="center"/>
              <w:rPr>
                <w:color w:val="000000" w:themeColor="text1"/>
                <w:lang w:val="zh-CN"/>
                <w14:textFill>
                  <w14:solidFill>
                    <w14:schemeClr w14:val="tx1"/>
                  </w14:solidFill>
                </w14:textFill>
              </w:rPr>
            </w:pPr>
            <w:r>
              <w:rPr>
                <w:rFonts w:hint="eastAsia" w:ascii="Arial" w:hAnsi="Arial" w:cs="Arial"/>
                <w:color w:val="000000" w:themeColor="text1"/>
                <w:szCs w:val="21"/>
                <w14:textFill>
                  <w14:solidFill>
                    <w14:schemeClr w14:val="tx1"/>
                  </w14:solidFill>
                </w14:textFill>
              </w:rPr>
              <w:t xml:space="preserve">投标产品制造商是否全部由小微企业提供</w:t>
            </w:r>
            <w:r/>
          </w:p>
        </w:tc>
        <w:tc>
          <w:tcPr>
            <w:tcW w:w="5131" w:type="dxa"/>
            <w:vAlign w:val="center"/>
            <w:textDirection w:val="lrTb"/>
            <w:noWrap w:val="false"/>
          </w:tcPr>
          <w:p>
            <w:pPr>
              <w:pStyle w:val="884"/>
              <w:ind w:firstLine="0"/>
              <w:jc w:val="center"/>
              <w:rPr>
                <w:color w:val="000000" w:themeColor="text1"/>
                <w:lang w:val="zh-CN"/>
                <w14:textFill>
                  <w14:solidFill>
                    <w14:schemeClr w14:val="tx1"/>
                  </w14:solidFill>
                </w14:textFill>
              </w:rPr>
            </w:pPr>
            <w:r>
              <w:rPr>
                <w:rFonts w:ascii="Arial" w:hAnsi="Arial" w:cs="Arial"/>
                <w:color w:val="000000" w:themeColor="text1"/>
                <w:szCs w:val="21"/>
                <w14:textFill>
                  <w14:solidFill>
                    <w14:schemeClr w14:val="tx1"/>
                  </w14:solidFill>
                </w14:textFill>
              </w:rPr>
              <w:t xml:space="preserve">（</w:t>
            </w:r>
            <w:r>
              <w:rPr>
                <w:rFonts w:ascii="Arial" w:hAnsi="Arial" w:cs="Arial"/>
                <w:color w:val="000000" w:themeColor="text1"/>
                <w:szCs w:val="21"/>
                <w:lang w:val="zh-CN"/>
                <w14:textFill>
                  <w14:solidFill>
                    <w14:schemeClr w14:val="tx1"/>
                  </w14:solidFill>
                </w14:textFill>
              </w:rPr>
              <w:t xml:space="preserve">填写“是”或“否</w:t>
            </w:r>
            <w:r>
              <w:rPr>
                <w:rFonts w:ascii="Arial" w:hAnsi="Arial" w:cs="Arial"/>
                <w:color w:val="000000" w:themeColor="text1"/>
                <w:szCs w:val="21"/>
                <w14:textFill>
                  <w14:solidFill>
                    <w14:schemeClr w14:val="tx1"/>
                  </w14:solidFill>
                </w14:textFill>
              </w:rPr>
              <w:t xml:space="preserve">）</w:t>
            </w:r>
            <w:r/>
          </w:p>
        </w:tc>
        <w:tc>
          <w:tcPr>
            <w:tcW w:w="1639" w:type="dxa"/>
            <w:vAlign w:val="center"/>
            <w:textDirection w:val="lrTb"/>
            <w:noWrap w:val="false"/>
          </w:tcPr>
          <w:p>
            <w:pPr>
              <w:pStyle w:val="884"/>
              <w:ind w:firstLine="472"/>
              <w:spacing w:line="44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r>
    </w:tbl>
    <w:p>
      <w:pPr>
        <w:jc w:val="left"/>
        <w:spacing w:line="360" w:lineRule="auto"/>
        <w:shd w:val="clear" w:color="auto" w:fill="ffffff"/>
        <w:widowControl/>
        <w:rPr>
          <w:rFonts w:ascii="Arial" w:hAnsi="Arial" w:cs="Arial"/>
          <w:color w:val="000000" w:themeColor="text1"/>
          <w14:textFill>
            <w14:solidFill>
              <w14:schemeClr w14:val="tx1"/>
            </w14:solidFill>
          </w14:textFill>
        </w:rPr>
      </w:pPr>
      <w:r>
        <w:rPr>
          <w:rFonts w:ascii="Arial" w:hAnsi="Arial" w:cs="Arial"/>
          <w:color w:val="000000" w:themeColor="text1"/>
          <w14:textFill>
            <w14:solidFill>
              <w14:schemeClr w14:val="tx1"/>
            </w14:solidFill>
          </w14:textFill>
        </w:rPr>
        <w:t xml:space="preserve"> </w:t>
      </w:r>
      <w:r/>
    </w:p>
    <w:p>
      <w:pPr>
        <w:ind w:firstLine="420"/>
        <w:jc w:val="left"/>
        <w:spacing w:line="360" w:lineRule="auto"/>
        <w:shd w:val="clear" w:color="auto" w:fill="ffffff"/>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供应商名称（加盖电子公章）：</w:t>
      </w:r>
      <w:r>
        <w:rPr>
          <w:color w:val="000000" w:themeColor="text1"/>
          <w:szCs w:val="21"/>
          <w:u w:val="single"/>
          <w14:textFill>
            <w14:solidFill>
              <w14:schemeClr w14:val="tx1"/>
            </w14:solidFill>
          </w14:textFill>
        </w:rPr>
        <w:t xml:space="preserve">                </w:t>
      </w:r>
      <w:r/>
    </w:p>
    <w:p>
      <w:pPr>
        <w:ind w:firstLine="420"/>
        <w:jc w:val="left"/>
        <w:spacing w:line="360" w:lineRule="auto"/>
        <w:shd w:val="clear" w:color="auto" w:fill="ffffff"/>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日    期：   年    月    日</w:t>
      </w:r>
      <w:r/>
    </w:p>
    <w:p>
      <w:pPr>
        <w:jc w:val="left"/>
        <w:spacing w:line="360" w:lineRule="auto"/>
        <w:shd w:val="clear" w:color="auto" w:fill="ffffff"/>
        <w:widowControl/>
        <w:rPr>
          <w:rFonts w:ascii="Arial" w:hAnsi="Arial" w:cs="Arial"/>
          <w:color w:val="000000" w:themeColor="text1"/>
          <w14:textFill>
            <w14:solidFill>
              <w14:schemeClr w14:val="tx1"/>
            </w14:solidFill>
          </w14:textFill>
        </w:rPr>
      </w:pPr>
      <w:r>
        <w:rPr>
          <w:rFonts w:ascii="宋体" w:hAnsi="宋体" w:cs="Arial"/>
          <w:color w:val="000000" w:themeColor="text1"/>
          <w14:textFill>
            <w14:solidFill>
              <w14:schemeClr w14:val="tx1"/>
            </w14:solidFill>
          </w14:textFill>
        </w:rPr>
        <w:t xml:space="preserve">说明：</w:t>
      </w:r>
      <w:r/>
    </w:p>
    <w:p>
      <w:pPr>
        <w:ind w:left="422"/>
        <w:jc w:val="left"/>
        <w:spacing w:line="360" w:lineRule="auto"/>
        <w:shd w:val="clear" w:color="auto" w:fill="ffffff"/>
        <w:widowControl/>
        <w:rPr>
          <w:rFonts w:ascii="Arial" w:hAnsi="Arial" w:cs="Arial"/>
          <w:b/>
          <w:bCs/>
          <w:color w:val="000000" w:themeColor="text1"/>
          <w14:textFill>
            <w14:solidFill>
              <w14:schemeClr w14:val="tx1"/>
            </w14:solidFill>
          </w14:textFill>
        </w:rPr>
      </w:pPr>
      <w:r>
        <w:rPr>
          <w:rFonts w:ascii="宋体" w:hAnsi="宋体" w:cs="Arial"/>
          <w:b/>
          <w:bCs/>
          <w:color w:val="000000" w:themeColor="text1"/>
          <w14:textFill>
            <w14:solidFill>
              <w14:schemeClr w14:val="tx1"/>
            </w14:solidFill>
          </w14:textFill>
        </w:rPr>
        <w:t xml:space="preserve">1.本项目仅接受一个价格，不得填报有选择性报价方案。若有优惠条款须注明，但不得影响报价，影响产品整体功能。</w:t>
      </w:r>
      <w:r/>
    </w:p>
    <w:p>
      <w:pPr>
        <w:ind w:firstLine="420"/>
        <w:jc w:val="left"/>
        <w:spacing w:line="360" w:lineRule="auto"/>
        <w:shd w:val="clear" w:color="auto" w:fill="ffffff"/>
        <w:widowControl/>
        <w:rPr>
          <w:rFonts w:ascii="Arial" w:hAnsi="Arial" w:cs="Arial"/>
          <w:b/>
          <w:bCs/>
          <w:color w:val="000000" w:themeColor="text1"/>
          <w14:textFill>
            <w14:solidFill>
              <w14:schemeClr w14:val="tx1"/>
            </w14:solidFill>
          </w14:textFill>
        </w:rPr>
      </w:pPr>
      <w:r>
        <w:rPr>
          <w:rFonts w:hint="eastAsia" w:ascii="宋体" w:hAnsi="宋体" w:cs="Arial"/>
          <w:b/>
          <w:bCs/>
          <w:color w:val="000000" w:themeColor="text1"/>
          <w14:textFill>
            <w14:solidFill>
              <w14:schemeClr w14:val="tx1"/>
            </w14:solidFill>
          </w14:textFill>
        </w:rPr>
        <w:t xml:space="preserve">2.</w:t>
      </w:r>
      <w:r>
        <w:rPr>
          <w:rFonts w:hint="eastAsia" w:ascii="宋体" w:hAnsi="宋体" w:cs="宋体"/>
          <w:b/>
          <w:bCs/>
          <w:color w:val="000000" w:themeColor="text1"/>
          <w:szCs w:val="21"/>
          <w14:textFill>
            <w14:solidFill>
              <w14:schemeClr w14:val="tx1"/>
            </w14:solidFill>
          </w14:textFill>
        </w:rPr>
        <w:t xml:space="preserve">投标人如实填写“是”或“否”</w:t>
      </w:r>
      <w:r>
        <w:rPr>
          <w:rFonts w:hint="eastAsia" w:ascii="Arial" w:hAnsi="Arial" w:cs="Arial"/>
          <w:b/>
          <w:bCs/>
          <w:color w:val="000000" w:themeColor="text1"/>
          <w:lang w:val="zh-CN"/>
          <w14:textFill>
            <w14:solidFill>
              <w14:schemeClr w14:val="tx1"/>
            </w14:solidFill>
          </w14:textFill>
        </w:rPr>
        <w:t xml:space="preserve">。如填写“是”，</w:t>
      </w:r>
      <w:r>
        <w:rPr>
          <w:rFonts w:hint="eastAsia" w:ascii="Arial" w:hAnsi="Arial" w:cs="Arial"/>
          <w:b/>
          <w:bCs/>
          <w:color w:val="000000" w:themeColor="text1"/>
          <w14:textFill>
            <w14:solidFill>
              <w14:schemeClr w14:val="tx1"/>
            </w14:solidFill>
          </w14:textFill>
        </w:rPr>
        <w:t xml:space="preserve">供应商应按招标文件要求提供《中小企业声明函》、《残疾人福利性单位声明函》、《属于监狱企业的证明文件》。如未按要求提供、填写，或相关内容表述不清前后矛盾的，不享受价格扣除。</w:t>
      </w:r>
      <w:r/>
    </w:p>
    <w:p>
      <w:pPr>
        <w:pStyle w:val="859"/>
        <w:numPr>
          <w:ilvl w:val="0"/>
          <w:numId w:val="0"/>
        </w:numPr>
        <w:rPr>
          <w:rFonts w:ascii="宋体" w:hAnsi="宋体" w:cs="宋体"/>
          <w:b w:val="0"/>
          <w:bCs w:val="0"/>
          <w:color w:val="000000" w:themeColor="text1"/>
          <w:szCs w:val="21"/>
          <w:lang w:val="zh-CN"/>
          <w14:textFill>
            <w14:solidFill>
              <w14:schemeClr w14:val="tx1"/>
            </w14:solidFill>
          </w14:textFill>
        </w:rPr>
      </w:pPr>
      <w:r>
        <w:rPr>
          <w:rFonts w:hint="eastAsia" w:ascii="宋体" w:hAnsi="宋体" w:cs="宋体"/>
          <w:color w:val="000000" w:themeColor="text1"/>
          <w:szCs w:val="21"/>
          <w14:textFill>
            <w14:solidFill>
              <w14:schemeClr w14:val="tx1"/>
            </w14:solidFill>
          </w14:textFill>
        </w:rPr>
        <w:br w:type="page" w:clear="all"/>
      </w:r>
      <w:bookmarkStart w:id="48" w:name="_Toc490133031"/>
      <w:r/>
      <w:bookmarkStart w:id="49" w:name="_Toc504044383"/>
      <w:r/>
      <w:bookmarkStart w:id="50" w:name="_Toc504056871"/>
      <w:r/>
      <w:bookmarkStart w:id="51" w:name="_Toc534273803"/>
      <w:r/>
      <w:bookmarkStart w:id="52" w:name="_Toc534273680"/>
      <w:r/>
      <w:bookmarkStart w:id="53" w:name="_Toc504573086"/>
      <w:r>
        <w:rPr>
          <w:rFonts w:hint="eastAsia" w:ascii="宋体" w:hAnsi="宋体" w:cs="宋体"/>
          <w:color w:val="000000" w:themeColor="text1"/>
          <w:sz w:val="21"/>
          <w:szCs w:val="21"/>
          <w:lang w:val="zh-CN"/>
          <w14:textFill>
            <w14:solidFill>
              <w14:schemeClr w14:val="tx1"/>
            </w14:solidFill>
          </w14:textFill>
        </w:rPr>
        <w:t xml:space="preserve">附件四、分项报价表</w:t>
      </w:r>
      <w:bookmarkEnd w:id="48"/>
      <w:r/>
      <w:bookmarkEnd w:id="49"/>
      <w:r/>
      <w:bookmarkEnd w:id="50"/>
      <w:r/>
      <w:bookmarkEnd w:id="51"/>
      <w:r/>
      <w:bookmarkEnd w:id="52"/>
      <w:r/>
      <w:bookmarkEnd w:id="53"/>
      <w:r/>
      <w:r/>
    </w:p>
    <w:p>
      <w:pPr>
        <w:rPr>
          <w:rFonts w:ascii="宋体" w:hAnsi="宋体" w:cs="宋体"/>
          <w:b/>
          <w:color w:val="000000" w:themeColor="text1"/>
          <w:szCs w:val="21"/>
          <w:lang w:val="zh-CN"/>
          <w14:textFill>
            <w14:solidFill>
              <w14:schemeClr w14:val="tx1"/>
            </w14:solidFill>
          </w14:textFill>
        </w:rPr>
      </w:pPr>
      <w:r>
        <w:rPr>
          <w:rFonts w:ascii="宋体" w:hAnsi="宋体" w:cs="宋体"/>
          <w:b/>
          <w:color w:val="000000" w:themeColor="text1"/>
          <w:szCs w:val="21"/>
          <w:lang w:val="zh-CN"/>
          <w14:textFill>
            <w14:solidFill>
              <w14:schemeClr w14:val="tx1"/>
            </w14:solidFill>
          </w14:textFill>
        </w:rPr>
      </w:r>
      <w:r/>
    </w:p>
    <w:p>
      <w:pPr>
        <w:jc w:val="center"/>
        <w:spacing w:line="360" w:lineRule="auto"/>
        <w:shd w:val="clear" w:color="auto" w:fill="ffffff"/>
        <w:widowControl/>
        <w:rPr>
          <w:rFonts w:ascii="宋体" w:hAnsi="宋体" w:cs="宋体"/>
          <w:b/>
          <w:color w:val="000000" w:themeColor="text1"/>
          <w:sz w:val="36"/>
          <w:szCs w:val="36"/>
          <w14:textFill>
            <w14:solidFill>
              <w14:schemeClr w14:val="tx1"/>
            </w14:solidFill>
          </w14:textFill>
        </w:rPr>
      </w:pPr>
      <w:r/>
      <w:bookmarkStart w:id="54" w:name="_Toc490133032"/>
      <w:r/>
      <w:bookmarkStart w:id="55" w:name="_Toc504573087"/>
      <w:r/>
      <w:bookmarkStart w:id="56" w:name="_Toc534273682"/>
      <w:r/>
      <w:bookmarkStart w:id="57" w:name="_Toc504056872"/>
      <w:r/>
      <w:bookmarkStart w:id="58" w:name="_Toc534273805"/>
      <w:r/>
      <w:bookmarkStart w:id="59" w:name="_Toc504044384"/>
      <w:r/>
      <w:bookmarkStart w:id="60" w:name="_Toc534273804"/>
      <w:r/>
      <w:bookmarkStart w:id="61" w:name="_Toc534273681"/>
      <w:r>
        <w:rPr>
          <w:rFonts w:hint="eastAsia" w:ascii="宋体" w:hAnsi="宋体" w:cs="宋体"/>
          <w:b/>
          <w:color w:val="000000" w:themeColor="text1"/>
          <w:sz w:val="36"/>
          <w:szCs w:val="36"/>
          <w14:textFill>
            <w14:solidFill>
              <w14:schemeClr w14:val="tx1"/>
            </w14:solidFill>
          </w14:textFill>
        </w:rPr>
        <w:t xml:space="preserve">分项报价表</w:t>
      </w:r>
      <w:r/>
    </w:p>
    <w:p>
      <w:pPr>
        <w:jc w:val="center"/>
        <w:spacing w:line="360" w:lineRule="auto"/>
        <w:shd w:val="clear" w:color="auto" w:fill="ffffff"/>
        <w:widowControl/>
        <w:rPr>
          <w:rFonts w:ascii="宋体" w:hAnsi="宋体" w:cs="宋体"/>
          <w:b/>
          <w:color w:val="000000" w:themeColor="text1"/>
          <w:sz w:val="36"/>
          <w:szCs w:val="36"/>
          <w14:textFill>
            <w14:solidFill>
              <w14:schemeClr w14:val="tx1"/>
            </w14:solidFill>
          </w14:textFill>
        </w:rPr>
      </w:pPr>
      <w:r>
        <w:rPr>
          <w:rFonts w:hint="eastAsia" w:ascii="宋体" w:hAnsi="宋体" w:cs="宋体"/>
          <w:b/>
          <w:bCs/>
          <w:color w:val="000000" w:themeColor="text1"/>
          <w:szCs w:val="21"/>
          <w:lang w:val="zh-CN"/>
          <w14:textFill>
            <w14:solidFill>
              <w14:schemeClr w14:val="tx1"/>
            </w14:solidFill>
          </w14:textFill>
        </w:rPr>
        <w:t xml:space="preserve">（</w:t>
      </w:r>
      <w:r>
        <w:rPr>
          <w:rFonts w:hint="eastAsia" w:ascii="宋体" w:hAnsi="宋体" w:cs="宋体"/>
          <w:b/>
          <w:bCs/>
          <w:color w:val="000000" w:themeColor="text1"/>
          <w:szCs w:val="21"/>
          <w14:textFill>
            <w14:solidFill>
              <w14:schemeClr w14:val="tx1"/>
            </w14:solidFill>
          </w14:textFill>
        </w:rPr>
        <w:t xml:space="preserve">附清单报价加盖电子公章</w:t>
      </w:r>
      <w:r>
        <w:rPr>
          <w:rFonts w:hint="eastAsia" w:ascii="宋体" w:hAnsi="宋体" w:cs="宋体"/>
          <w:b/>
          <w:bCs/>
          <w:color w:val="000000" w:themeColor="text1"/>
          <w:szCs w:val="21"/>
          <w:lang w:val="zh-CN"/>
          <w14:textFill>
            <w14:solidFill>
              <w14:schemeClr w14:val="tx1"/>
            </w14:solidFill>
          </w14:textFill>
        </w:rPr>
        <w:t xml:space="preserve">）</w:t>
      </w:r>
      <w:r/>
    </w:p>
    <w:tbl>
      <w:tblPr>
        <w:tblStyle w:val="676"/>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41"/>
        <w:gridCol w:w="3650"/>
        <w:gridCol w:w="639"/>
        <w:gridCol w:w="745"/>
        <w:gridCol w:w="1399"/>
        <w:gridCol w:w="1019"/>
        <w:gridCol w:w="1095"/>
      </w:tblGrid>
      <w:tr>
        <w:trPr>
          <w:jc w:val="center"/>
        </w:trPr>
        <w:tc>
          <w:tcPr>
            <w:tcW w:w="352" w:type="pct"/>
            <w:vAlign w:val="center"/>
            <w:textDirection w:val="lrTb"/>
            <w:noWrap/>
          </w:tcPr>
          <w:p>
            <w:pPr>
              <w:jc w:val="center"/>
              <w:widowControl/>
              <w:rPr>
                <w:rFonts w:ascii="宋体" w:hAnsi="宋体" w:cs="宋体"/>
                <w:b/>
                <w:bCs/>
                <w:color w:val="000000" w:themeColor="text1"/>
                <w:szCs w:val="21"/>
                <w14:textFill>
                  <w14:solidFill>
                    <w14:schemeClr w14:val="tx1"/>
                  </w14:solidFill>
                </w14:textFill>
              </w:rPr>
            </w:pPr>
            <w:r>
              <w:rPr>
                <w:rFonts w:ascii="宋体" w:hAnsi="宋体" w:cs="宋体"/>
                <w:b/>
                <w:bCs/>
                <w:color w:val="000000" w:themeColor="text1"/>
                <w:szCs w:val="21"/>
                <w14:textFill>
                  <w14:solidFill>
                    <w14:schemeClr w14:val="tx1"/>
                  </w14:solidFill>
                </w14:textFill>
              </w:rPr>
              <w:t xml:space="preserve">序号</w:t>
            </w:r>
            <w:r/>
          </w:p>
        </w:tc>
        <w:tc>
          <w:tcPr>
            <w:tcW w:w="1973" w:type="pct"/>
            <w:vAlign w:val="center"/>
            <w:textDirection w:val="lrTb"/>
            <w:noWrap/>
          </w:tcPr>
          <w:p>
            <w:pPr>
              <w:jc w:val="center"/>
              <w:widowControl/>
              <w:rPr>
                <w:rFonts w:ascii="宋体" w:hAnsi="宋体" w:cs="宋体"/>
                <w:b/>
                <w:bCs/>
                <w:color w:val="000000" w:themeColor="text1"/>
                <w:szCs w:val="21"/>
                <w14:textFill>
                  <w14:solidFill>
                    <w14:schemeClr w14:val="tx1"/>
                  </w14:solidFill>
                </w14:textFill>
              </w:rPr>
            </w:pPr>
            <w:r>
              <w:rPr>
                <w:rFonts w:ascii="宋体" w:hAnsi="宋体" w:cs="宋体"/>
                <w:b/>
                <w:bCs/>
                <w:color w:val="000000" w:themeColor="text1"/>
                <w:szCs w:val="21"/>
                <w14:textFill>
                  <w14:solidFill>
                    <w14:schemeClr w14:val="tx1"/>
                  </w14:solidFill>
                </w14:textFill>
              </w:rPr>
              <w:t xml:space="preserve">项目名称</w:t>
            </w:r>
            <w:r/>
          </w:p>
        </w:tc>
        <w:tc>
          <w:tcPr>
            <w:tcW w:w="352" w:type="pct"/>
            <w:vAlign w:val="center"/>
            <w:textDirection w:val="lrTb"/>
            <w:noWrap/>
          </w:tcPr>
          <w:p>
            <w:pPr>
              <w:jc w:val="center"/>
              <w:widowControl/>
              <w:rPr>
                <w:rFonts w:ascii="宋体" w:hAnsi="宋体" w:cs="宋体"/>
                <w:b/>
                <w:bCs/>
                <w:color w:val="000000" w:themeColor="text1"/>
                <w:szCs w:val="21"/>
                <w14:textFill>
                  <w14:solidFill>
                    <w14:schemeClr w14:val="tx1"/>
                  </w14:solidFill>
                </w14:textFill>
              </w:rPr>
            </w:pPr>
            <w:r>
              <w:rPr>
                <w:rFonts w:ascii="宋体" w:hAnsi="宋体" w:cs="宋体"/>
                <w:b/>
                <w:bCs/>
                <w:color w:val="000000" w:themeColor="text1"/>
                <w:szCs w:val="21"/>
                <w14:textFill>
                  <w14:solidFill>
                    <w14:schemeClr w14:val="tx1"/>
                  </w14:solidFill>
                </w14:textFill>
              </w:rPr>
              <w:t xml:space="preserve">单位</w:t>
            </w:r>
            <w:r/>
          </w:p>
        </w:tc>
        <w:tc>
          <w:tcPr>
            <w:tcW w:w="409" w:type="pct"/>
            <w:vAlign w:val="center"/>
            <w:textDirection w:val="lrTb"/>
            <w:noWrap/>
          </w:tcPr>
          <w:p>
            <w:pPr>
              <w:jc w:val="center"/>
              <w:widowControl/>
              <w:rPr>
                <w:rFonts w:ascii="宋体" w:hAnsi="宋体" w:cs="宋体"/>
                <w:b/>
                <w:bCs/>
                <w:color w:val="000000" w:themeColor="text1"/>
                <w:szCs w:val="21"/>
                <w14:textFill>
                  <w14:solidFill>
                    <w14:schemeClr w14:val="tx1"/>
                  </w14:solidFill>
                </w14:textFill>
              </w:rPr>
            </w:pPr>
            <w:r>
              <w:rPr>
                <w:rFonts w:ascii="宋体" w:hAnsi="宋体" w:cs="宋体"/>
                <w:b/>
                <w:bCs/>
                <w:color w:val="000000" w:themeColor="text1"/>
                <w:szCs w:val="21"/>
                <w14:textFill>
                  <w14:solidFill>
                    <w14:schemeClr w14:val="tx1"/>
                  </w14:solidFill>
                </w14:textFill>
              </w:rPr>
              <w:t xml:space="preserve">数量</w:t>
            </w:r>
            <w:r/>
          </w:p>
        </w:tc>
        <w:tc>
          <w:tcPr>
            <w:tcW w:w="761" w:type="pct"/>
            <w:vAlign w:val="center"/>
            <w:textDirection w:val="lrTb"/>
            <w:noWrap w:val="false"/>
          </w:tcPr>
          <w:p>
            <w:pPr>
              <w:jc w:val="center"/>
              <w:widowControl/>
              <w:rPr>
                <w:rFonts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规格/型号</w:t>
            </w:r>
            <w:r/>
          </w:p>
        </w:tc>
        <w:tc>
          <w:tcPr>
            <w:tcW w:w="556" w:type="pct"/>
            <w:vAlign w:val="center"/>
            <w:textDirection w:val="lrTb"/>
            <w:noWrap w:val="false"/>
          </w:tcPr>
          <w:p>
            <w:pPr>
              <w:jc w:val="center"/>
              <w:widowControl/>
              <w:rPr>
                <w:rFonts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单价（元）</w:t>
            </w:r>
            <w:r/>
          </w:p>
        </w:tc>
        <w:tc>
          <w:tcPr>
            <w:tcW w:w="597" w:type="pct"/>
            <w:vAlign w:val="center"/>
            <w:textDirection w:val="lrTb"/>
            <w:noWrap w:val="false"/>
          </w:tcPr>
          <w:p>
            <w:pPr>
              <w:jc w:val="center"/>
              <w:widowControl/>
              <w:rPr>
                <w:rFonts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合价（元）</w:t>
            </w:r>
            <w:r/>
          </w:p>
        </w:tc>
      </w:tr>
      <w:tr>
        <w:trPr>
          <w:jc w:val="center"/>
        </w:trPr>
        <w:tc>
          <w:tcPr>
            <w:tcW w:w="352" w:type="pct"/>
            <w:vAlign w:val="center"/>
            <w:textDirection w:val="lrTb"/>
            <w:noWrap/>
          </w:tcPr>
          <w:p>
            <w:pPr>
              <w:jc w:val="center"/>
              <w:widowControl/>
              <w:rPr>
                <w:rFonts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一</w:t>
            </w:r>
            <w:r/>
          </w:p>
        </w:tc>
        <w:tc>
          <w:tcPr>
            <w:tcW w:w="1973" w:type="pct"/>
            <w:vAlign w:val="center"/>
            <w:textDirection w:val="lrTb"/>
            <w:noWrap/>
          </w:tcPr>
          <w:p>
            <w:pPr>
              <w:jc w:val="center"/>
              <w:widowControl/>
              <w:rPr>
                <w:rFonts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设备部分</w:t>
            </w:r>
            <w:r/>
          </w:p>
        </w:tc>
        <w:tc>
          <w:tcPr>
            <w:tcW w:w="352" w:type="pct"/>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409" w:type="pct"/>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761"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556"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597"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r>
      <w:tr>
        <w:trPr>
          <w:jc w:val="center"/>
        </w:trPr>
        <w:tc>
          <w:tcPr>
            <w:tcW w:w="352" w:type="pct"/>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1</w:t>
            </w:r>
            <w:r/>
          </w:p>
        </w:tc>
        <w:tc>
          <w:tcPr>
            <w:tcW w:w="1973" w:type="pct"/>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标准气象观测设备</w:t>
            </w:r>
            <w:r/>
          </w:p>
        </w:tc>
        <w:tc>
          <w:tcPr>
            <w:tcW w:w="352" w:type="pct"/>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套</w:t>
            </w:r>
            <w:r/>
          </w:p>
        </w:tc>
        <w:tc>
          <w:tcPr>
            <w:tcW w:w="409" w:type="pct"/>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1</w:t>
            </w:r>
            <w:r/>
          </w:p>
        </w:tc>
        <w:tc>
          <w:tcPr>
            <w:tcW w:w="761"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556"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597"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r>
      <w:tr>
        <w:trPr>
          <w:jc w:val="center"/>
        </w:trPr>
        <w:tc>
          <w:tcPr>
            <w:tcW w:w="352" w:type="pct"/>
            <w:vAlign w:val="center"/>
            <w:textDirection w:val="lrTb"/>
            <w:noWrap/>
          </w:tcPr>
          <w:p>
            <w:pPr>
              <w:jc w:val="center"/>
              <w:widowControl/>
              <w:rPr>
                <w:rFonts w:ascii="宋体" w:hAnsi="宋体" w:cs="宋体"/>
                <w:b/>
                <w:bCs/>
                <w:color w:val="000000" w:themeColor="text1"/>
                <w:szCs w:val="21"/>
                <w14:textFill>
                  <w14:solidFill>
                    <w14:schemeClr w14:val="tx1"/>
                  </w14:solidFill>
                </w14:textFill>
              </w:rPr>
            </w:pPr>
            <w:r>
              <w:rPr>
                <w:rFonts w:ascii="宋体" w:hAnsi="宋体" w:cs="宋体"/>
                <w:b/>
                <w:bCs/>
                <w:color w:val="000000" w:themeColor="text1"/>
                <w:szCs w:val="21"/>
                <w14:textFill>
                  <w14:solidFill>
                    <w14:schemeClr w14:val="tx1"/>
                  </w14:solidFill>
                </w14:textFill>
              </w:rPr>
              <w:t xml:space="preserve">2</w:t>
            </w:r>
            <w:r/>
          </w:p>
        </w:tc>
        <w:tc>
          <w:tcPr>
            <w:tcW w:w="1973" w:type="pct"/>
            <w:vAlign w:val="center"/>
            <w:textDirection w:val="lrTb"/>
            <w:noWrap/>
          </w:tcPr>
          <w:p>
            <w:pPr>
              <w:jc w:val="center"/>
              <w:widowControl/>
              <w:rPr>
                <w:rFonts w:ascii="宋体" w:hAnsi="宋体" w:cs="宋体"/>
                <w:b/>
                <w:bCs/>
                <w:color w:val="000000" w:themeColor="text1"/>
                <w:szCs w:val="21"/>
                <w14:textFill>
                  <w14:solidFill>
                    <w14:schemeClr w14:val="tx1"/>
                  </w14:solidFill>
                </w14:textFill>
              </w:rPr>
            </w:pPr>
            <w:r>
              <w:rPr>
                <w:rFonts w:ascii="宋体" w:hAnsi="宋体" w:cs="宋体"/>
                <w:b/>
                <w:bCs/>
                <w:color w:val="000000" w:themeColor="text1"/>
                <w:szCs w:val="21"/>
                <w14:textFill>
                  <w14:solidFill>
                    <w14:schemeClr w14:val="tx1"/>
                  </w14:solidFill>
                </w14:textFill>
              </w:rPr>
              <w:t xml:space="preserve">水面蒸发自动监测系统</w:t>
            </w:r>
            <w:r/>
          </w:p>
        </w:tc>
        <w:tc>
          <w:tcPr>
            <w:tcW w:w="352" w:type="pct"/>
            <w:vAlign w:val="center"/>
            <w:textDirection w:val="lrTb"/>
            <w:noWrap/>
          </w:tcPr>
          <w:p>
            <w:pPr>
              <w:jc w:val="left"/>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　</w:t>
            </w:r>
            <w:r/>
          </w:p>
        </w:tc>
        <w:tc>
          <w:tcPr>
            <w:tcW w:w="409" w:type="pct"/>
            <w:vAlign w:val="center"/>
            <w:textDirection w:val="lrTb"/>
            <w:noWrap/>
          </w:tcPr>
          <w:p>
            <w:pPr>
              <w:jc w:val="left"/>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　</w:t>
            </w:r>
            <w:r/>
          </w:p>
        </w:tc>
        <w:tc>
          <w:tcPr>
            <w:tcW w:w="761" w:type="pct"/>
            <w:vAlign w:val="center"/>
            <w:textDirection w:val="lrTb"/>
            <w:noWrap w:val="false"/>
          </w:tcPr>
          <w:p>
            <w:pPr>
              <w:jc w:val="left"/>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556" w:type="pct"/>
            <w:vAlign w:val="center"/>
            <w:textDirection w:val="lrTb"/>
            <w:noWrap w:val="false"/>
          </w:tcPr>
          <w:p>
            <w:pPr>
              <w:jc w:val="left"/>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597" w:type="pct"/>
            <w:vAlign w:val="center"/>
            <w:textDirection w:val="lrTb"/>
            <w:noWrap w:val="false"/>
          </w:tcPr>
          <w:p>
            <w:pPr>
              <w:jc w:val="left"/>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r>
      <w:tr>
        <w:trPr>
          <w:jc w:val="center"/>
        </w:trPr>
        <w:tc>
          <w:tcPr>
            <w:tcW w:w="352" w:type="pct"/>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2.1</w:t>
            </w:r>
            <w:r/>
          </w:p>
        </w:tc>
        <w:tc>
          <w:tcPr>
            <w:tcW w:w="1973" w:type="pct"/>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全过程高精度水面蒸发自动观测系统</w:t>
            </w:r>
            <w:r/>
          </w:p>
        </w:tc>
        <w:tc>
          <w:tcPr>
            <w:tcW w:w="352" w:type="pct"/>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套</w:t>
            </w:r>
            <w:r/>
          </w:p>
        </w:tc>
        <w:tc>
          <w:tcPr>
            <w:tcW w:w="409" w:type="pct"/>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1</w:t>
            </w:r>
            <w:r/>
          </w:p>
        </w:tc>
        <w:tc>
          <w:tcPr>
            <w:tcW w:w="761"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556"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597"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r>
      <w:tr>
        <w:trPr>
          <w:jc w:val="center"/>
        </w:trPr>
        <w:tc>
          <w:tcPr>
            <w:tcW w:w="352" w:type="pct"/>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2.2</w:t>
            </w:r>
            <w:r/>
          </w:p>
        </w:tc>
        <w:tc>
          <w:tcPr>
            <w:tcW w:w="1973" w:type="pct"/>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称重式雨雪量计</w:t>
            </w:r>
            <w:r/>
          </w:p>
        </w:tc>
        <w:tc>
          <w:tcPr>
            <w:tcW w:w="352" w:type="pct"/>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套</w:t>
            </w:r>
            <w:r/>
          </w:p>
        </w:tc>
        <w:tc>
          <w:tcPr>
            <w:tcW w:w="409" w:type="pct"/>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1</w:t>
            </w:r>
            <w:r/>
          </w:p>
        </w:tc>
        <w:tc>
          <w:tcPr>
            <w:tcW w:w="761"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556"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597"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r>
      <w:tr>
        <w:trPr>
          <w:jc w:val="center"/>
        </w:trPr>
        <w:tc>
          <w:tcPr>
            <w:tcW w:w="352" w:type="pct"/>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2.3</w:t>
            </w:r>
            <w:r/>
          </w:p>
        </w:tc>
        <w:tc>
          <w:tcPr>
            <w:tcW w:w="1973" w:type="pct"/>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时域法墒情监测设备</w:t>
            </w:r>
            <w:r/>
          </w:p>
        </w:tc>
        <w:tc>
          <w:tcPr>
            <w:tcW w:w="352" w:type="pct"/>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套</w:t>
            </w:r>
            <w:r/>
          </w:p>
        </w:tc>
        <w:tc>
          <w:tcPr>
            <w:tcW w:w="409" w:type="pct"/>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1</w:t>
            </w:r>
            <w:r/>
          </w:p>
        </w:tc>
        <w:tc>
          <w:tcPr>
            <w:tcW w:w="761"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556"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597"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r>
      <w:tr>
        <w:trPr>
          <w:jc w:val="center"/>
        </w:trPr>
        <w:tc>
          <w:tcPr>
            <w:tcW w:w="352" w:type="pct"/>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2.4</w:t>
            </w:r>
            <w:r/>
          </w:p>
        </w:tc>
        <w:tc>
          <w:tcPr>
            <w:tcW w:w="1973" w:type="pct"/>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频域法墒情监测设备</w:t>
            </w:r>
            <w:r/>
          </w:p>
        </w:tc>
        <w:tc>
          <w:tcPr>
            <w:tcW w:w="352" w:type="pct"/>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套</w:t>
            </w:r>
            <w:r/>
          </w:p>
        </w:tc>
        <w:tc>
          <w:tcPr>
            <w:tcW w:w="409" w:type="pct"/>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1</w:t>
            </w:r>
            <w:r/>
          </w:p>
        </w:tc>
        <w:tc>
          <w:tcPr>
            <w:tcW w:w="761"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556"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597"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r>
      <w:tr>
        <w:trPr>
          <w:jc w:val="center"/>
        </w:trPr>
        <w:tc>
          <w:tcPr>
            <w:tcW w:w="352" w:type="pct"/>
            <w:vAlign w:val="center"/>
            <w:textDirection w:val="lrTb"/>
            <w:noWrap/>
          </w:tcPr>
          <w:p>
            <w:pPr>
              <w:jc w:val="center"/>
              <w:widowControl/>
              <w:rPr>
                <w:rFonts w:ascii="宋体" w:hAnsi="宋体" w:cs="宋体"/>
                <w:b/>
                <w:bCs/>
                <w:color w:val="000000" w:themeColor="text1"/>
                <w:szCs w:val="21"/>
                <w14:textFill>
                  <w14:solidFill>
                    <w14:schemeClr w14:val="tx1"/>
                  </w14:solidFill>
                </w14:textFill>
              </w:rPr>
            </w:pPr>
            <w:r>
              <w:rPr>
                <w:rFonts w:ascii="宋体" w:hAnsi="宋体" w:cs="宋体"/>
                <w:b/>
                <w:bCs/>
                <w:color w:val="000000" w:themeColor="text1"/>
                <w:szCs w:val="21"/>
                <w14:textFill>
                  <w14:solidFill>
                    <w14:schemeClr w14:val="tx1"/>
                  </w14:solidFill>
                </w14:textFill>
              </w:rPr>
              <w:t xml:space="preserve">3</w:t>
            </w:r>
            <w:r/>
          </w:p>
        </w:tc>
        <w:tc>
          <w:tcPr>
            <w:tcW w:w="1973" w:type="pct"/>
            <w:vAlign w:val="center"/>
            <w:textDirection w:val="lrTb"/>
            <w:noWrap/>
          </w:tcPr>
          <w:p>
            <w:pPr>
              <w:jc w:val="center"/>
              <w:widowControl/>
              <w:rPr>
                <w:rFonts w:ascii="宋体" w:hAnsi="宋体" w:cs="宋体"/>
                <w:b/>
                <w:bCs/>
                <w:color w:val="000000" w:themeColor="text1"/>
                <w:szCs w:val="21"/>
                <w14:textFill>
                  <w14:solidFill>
                    <w14:schemeClr w14:val="tx1"/>
                  </w14:solidFill>
                </w14:textFill>
              </w:rPr>
            </w:pPr>
            <w:r>
              <w:rPr>
                <w:rFonts w:ascii="宋体" w:hAnsi="宋体" w:cs="宋体"/>
                <w:b/>
                <w:bCs/>
                <w:color w:val="000000" w:themeColor="text1"/>
                <w:szCs w:val="21"/>
                <w14:textFill>
                  <w14:solidFill>
                    <w14:schemeClr w14:val="tx1"/>
                  </w14:solidFill>
                </w14:textFill>
              </w:rPr>
              <w:t xml:space="preserve">AR全景展示系统</w:t>
            </w:r>
            <w:r/>
          </w:p>
        </w:tc>
        <w:tc>
          <w:tcPr>
            <w:tcW w:w="352" w:type="pct"/>
            <w:vAlign w:val="center"/>
            <w:textDirection w:val="lrTb"/>
            <w:noWrap/>
          </w:tcPr>
          <w:p>
            <w:pPr>
              <w:jc w:val="left"/>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　</w:t>
            </w:r>
            <w:r/>
          </w:p>
        </w:tc>
        <w:tc>
          <w:tcPr>
            <w:tcW w:w="409" w:type="pct"/>
            <w:vAlign w:val="center"/>
            <w:textDirection w:val="lrTb"/>
            <w:noWrap/>
          </w:tcPr>
          <w:p>
            <w:pPr>
              <w:jc w:val="left"/>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　</w:t>
            </w:r>
            <w:r/>
          </w:p>
        </w:tc>
        <w:tc>
          <w:tcPr>
            <w:tcW w:w="761" w:type="pct"/>
            <w:vAlign w:val="center"/>
            <w:textDirection w:val="lrTb"/>
            <w:noWrap w:val="false"/>
          </w:tcPr>
          <w:p>
            <w:pPr>
              <w:jc w:val="left"/>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556" w:type="pct"/>
            <w:vAlign w:val="center"/>
            <w:textDirection w:val="lrTb"/>
            <w:noWrap w:val="false"/>
          </w:tcPr>
          <w:p>
            <w:pPr>
              <w:jc w:val="left"/>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597" w:type="pct"/>
            <w:vAlign w:val="center"/>
            <w:textDirection w:val="lrTb"/>
            <w:noWrap w:val="false"/>
          </w:tcPr>
          <w:p>
            <w:pPr>
              <w:jc w:val="left"/>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r>
      <w:tr>
        <w:trPr>
          <w:jc w:val="center"/>
        </w:trPr>
        <w:tc>
          <w:tcPr>
            <w:tcW w:w="352" w:type="pct"/>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3.1</w:t>
            </w:r>
            <w:r/>
          </w:p>
        </w:tc>
        <w:tc>
          <w:tcPr>
            <w:tcW w:w="1973" w:type="pct"/>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河道流速监测仪</w:t>
            </w:r>
            <w:r/>
          </w:p>
        </w:tc>
        <w:tc>
          <w:tcPr>
            <w:tcW w:w="352" w:type="pct"/>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套</w:t>
            </w:r>
            <w:r/>
          </w:p>
        </w:tc>
        <w:tc>
          <w:tcPr>
            <w:tcW w:w="409" w:type="pct"/>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1</w:t>
            </w:r>
            <w:r/>
          </w:p>
        </w:tc>
        <w:tc>
          <w:tcPr>
            <w:tcW w:w="761"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556"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597"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r>
      <w:tr>
        <w:trPr>
          <w:jc w:val="center"/>
        </w:trPr>
        <w:tc>
          <w:tcPr>
            <w:tcW w:w="352" w:type="pct"/>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3.2</w:t>
            </w:r>
            <w:r/>
          </w:p>
        </w:tc>
        <w:tc>
          <w:tcPr>
            <w:tcW w:w="1973" w:type="pct"/>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600万25倍全光谱警戒全景枪球</w:t>
            </w:r>
            <w:r/>
          </w:p>
        </w:tc>
        <w:tc>
          <w:tcPr>
            <w:tcW w:w="352" w:type="pct"/>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台</w:t>
            </w:r>
            <w:r/>
          </w:p>
        </w:tc>
        <w:tc>
          <w:tcPr>
            <w:tcW w:w="409" w:type="pct"/>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3</w:t>
            </w:r>
            <w:r/>
          </w:p>
        </w:tc>
        <w:tc>
          <w:tcPr>
            <w:tcW w:w="761"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556"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597"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r>
      <w:tr>
        <w:trPr>
          <w:jc w:val="center"/>
        </w:trPr>
        <w:tc>
          <w:tcPr>
            <w:tcW w:w="352" w:type="pct"/>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3.3</w:t>
            </w:r>
            <w:r/>
          </w:p>
        </w:tc>
        <w:tc>
          <w:tcPr>
            <w:tcW w:w="1973" w:type="pct"/>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500万定焦警戒一体机</w:t>
            </w:r>
            <w:r/>
          </w:p>
        </w:tc>
        <w:tc>
          <w:tcPr>
            <w:tcW w:w="352" w:type="pct"/>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台</w:t>
            </w:r>
            <w:r/>
          </w:p>
        </w:tc>
        <w:tc>
          <w:tcPr>
            <w:tcW w:w="409" w:type="pct"/>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1</w:t>
            </w:r>
            <w:r/>
          </w:p>
        </w:tc>
        <w:tc>
          <w:tcPr>
            <w:tcW w:w="761"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556"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597"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r>
      <w:tr>
        <w:trPr>
          <w:jc w:val="center"/>
        </w:trPr>
        <w:tc>
          <w:tcPr>
            <w:tcW w:w="352" w:type="pct"/>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3.4</w:t>
            </w:r>
            <w:r/>
          </w:p>
        </w:tc>
        <w:tc>
          <w:tcPr>
            <w:tcW w:w="1973" w:type="pct"/>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1600万63倍全光谱AR全景球</w:t>
            </w:r>
            <w:r/>
          </w:p>
        </w:tc>
        <w:tc>
          <w:tcPr>
            <w:tcW w:w="352" w:type="pct"/>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台</w:t>
            </w:r>
            <w:r/>
          </w:p>
        </w:tc>
        <w:tc>
          <w:tcPr>
            <w:tcW w:w="409" w:type="pct"/>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2</w:t>
            </w:r>
            <w:r/>
          </w:p>
        </w:tc>
        <w:tc>
          <w:tcPr>
            <w:tcW w:w="761"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556"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597"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r>
      <w:tr>
        <w:trPr>
          <w:jc w:val="center"/>
        </w:trPr>
        <w:tc>
          <w:tcPr>
            <w:tcW w:w="352" w:type="pct"/>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3.5</w:t>
            </w:r>
            <w:r/>
          </w:p>
        </w:tc>
        <w:tc>
          <w:tcPr>
            <w:tcW w:w="1973" w:type="pct"/>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AR智慧管理一体机</w:t>
            </w:r>
            <w:r/>
          </w:p>
        </w:tc>
        <w:tc>
          <w:tcPr>
            <w:tcW w:w="352" w:type="pct"/>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台</w:t>
            </w:r>
            <w:r/>
          </w:p>
        </w:tc>
        <w:tc>
          <w:tcPr>
            <w:tcW w:w="409" w:type="pct"/>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1</w:t>
            </w:r>
            <w:r/>
          </w:p>
        </w:tc>
        <w:tc>
          <w:tcPr>
            <w:tcW w:w="761"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556"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597"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r>
      <w:tr>
        <w:trPr>
          <w:jc w:val="center"/>
        </w:trPr>
        <w:tc>
          <w:tcPr>
            <w:tcW w:w="352" w:type="pct"/>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3.6</w:t>
            </w:r>
            <w:r/>
          </w:p>
        </w:tc>
        <w:tc>
          <w:tcPr>
            <w:tcW w:w="1973" w:type="pct"/>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硬盘录像机</w:t>
            </w:r>
            <w:r/>
          </w:p>
        </w:tc>
        <w:tc>
          <w:tcPr>
            <w:tcW w:w="352" w:type="pct"/>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套</w:t>
            </w:r>
            <w:r/>
          </w:p>
        </w:tc>
        <w:tc>
          <w:tcPr>
            <w:tcW w:w="409" w:type="pct"/>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1</w:t>
            </w:r>
            <w:r/>
          </w:p>
        </w:tc>
        <w:tc>
          <w:tcPr>
            <w:tcW w:w="761"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556"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597"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r>
      <w:tr>
        <w:trPr>
          <w:jc w:val="center"/>
        </w:trPr>
        <w:tc>
          <w:tcPr>
            <w:tcW w:w="352" w:type="pct"/>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4</w:t>
            </w:r>
            <w:r/>
          </w:p>
        </w:tc>
        <w:tc>
          <w:tcPr>
            <w:tcW w:w="1973" w:type="pct"/>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数据展示终端</w:t>
            </w:r>
            <w:r/>
          </w:p>
        </w:tc>
        <w:tc>
          <w:tcPr>
            <w:tcW w:w="352" w:type="pct"/>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套</w:t>
            </w:r>
            <w:r/>
          </w:p>
        </w:tc>
        <w:tc>
          <w:tcPr>
            <w:tcW w:w="409" w:type="pct"/>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1</w:t>
            </w:r>
            <w:r/>
          </w:p>
        </w:tc>
        <w:tc>
          <w:tcPr>
            <w:tcW w:w="761"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556"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597"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r>
      <w:tr>
        <w:trPr>
          <w:jc w:val="center"/>
        </w:trPr>
        <w:tc>
          <w:tcPr>
            <w:tcW w:w="352" w:type="pct"/>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5</w:t>
            </w:r>
            <w:r/>
          </w:p>
        </w:tc>
        <w:tc>
          <w:tcPr>
            <w:tcW w:w="1973" w:type="pct"/>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融媒体平台主机</w:t>
            </w:r>
            <w:r/>
          </w:p>
        </w:tc>
        <w:tc>
          <w:tcPr>
            <w:tcW w:w="352" w:type="pct"/>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台</w:t>
            </w:r>
            <w:r/>
          </w:p>
        </w:tc>
        <w:tc>
          <w:tcPr>
            <w:tcW w:w="409" w:type="pct"/>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1</w:t>
            </w:r>
            <w:r/>
          </w:p>
        </w:tc>
        <w:tc>
          <w:tcPr>
            <w:tcW w:w="761"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556"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597"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r>
      <w:tr>
        <w:trPr>
          <w:jc w:val="center"/>
        </w:trPr>
        <w:tc>
          <w:tcPr>
            <w:tcW w:w="352" w:type="pct"/>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6</w:t>
            </w:r>
            <w:r/>
          </w:p>
        </w:tc>
        <w:tc>
          <w:tcPr>
            <w:tcW w:w="1973" w:type="pct"/>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微缩模型显示柜</w:t>
            </w:r>
            <w:r/>
          </w:p>
        </w:tc>
        <w:tc>
          <w:tcPr>
            <w:tcW w:w="352" w:type="pct"/>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台</w:t>
            </w:r>
            <w:r/>
          </w:p>
        </w:tc>
        <w:tc>
          <w:tcPr>
            <w:tcW w:w="409" w:type="pct"/>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2</w:t>
            </w:r>
            <w:r/>
          </w:p>
        </w:tc>
        <w:tc>
          <w:tcPr>
            <w:tcW w:w="761"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556"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597"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r>
      <w:tr>
        <w:trPr>
          <w:jc w:val="center"/>
        </w:trPr>
        <w:tc>
          <w:tcPr>
            <w:tcW w:w="352" w:type="pct"/>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7</w:t>
            </w:r>
            <w:r/>
          </w:p>
        </w:tc>
        <w:tc>
          <w:tcPr>
            <w:tcW w:w="1973" w:type="pct"/>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自动导航 AI机器人展播</w:t>
            </w:r>
            <w:r/>
          </w:p>
        </w:tc>
        <w:tc>
          <w:tcPr>
            <w:tcW w:w="352" w:type="pct"/>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套</w:t>
            </w:r>
            <w:r/>
          </w:p>
        </w:tc>
        <w:tc>
          <w:tcPr>
            <w:tcW w:w="409" w:type="pct"/>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1</w:t>
            </w:r>
            <w:r/>
          </w:p>
        </w:tc>
        <w:tc>
          <w:tcPr>
            <w:tcW w:w="761"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556"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597"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r>
      <w:tr>
        <w:trPr>
          <w:jc w:val="center"/>
        </w:trPr>
        <w:tc>
          <w:tcPr>
            <w:tcW w:w="352" w:type="pct"/>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8</w:t>
            </w:r>
            <w:r/>
          </w:p>
        </w:tc>
        <w:tc>
          <w:tcPr>
            <w:tcW w:w="1973" w:type="pct"/>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应急库房智能化升级</w:t>
            </w:r>
            <w:r/>
          </w:p>
        </w:tc>
        <w:tc>
          <w:tcPr>
            <w:tcW w:w="352" w:type="pct"/>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409" w:type="pct"/>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761"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556"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597"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r>
      <w:tr>
        <w:trPr>
          <w:jc w:val="center"/>
        </w:trPr>
        <w:tc>
          <w:tcPr>
            <w:tcW w:w="352" w:type="pct"/>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8.1</w:t>
            </w:r>
            <w:r/>
          </w:p>
        </w:tc>
        <w:tc>
          <w:tcPr>
            <w:tcW w:w="1973" w:type="pct"/>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壁挂一体机</w:t>
            </w:r>
            <w:r/>
          </w:p>
        </w:tc>
        <w:tc>
          <w:tcPr>
            <w:tcW w:w="352" w:type="pct"/>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台</w:t>
            </w:r>
            <w:r/>
          </w:p>
        </w:tc>
        <w:tc>
          <w:tcPr>
            <w:tcW w:w="409" w:type="pct"/>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w:t>
            </w:r>
            <w:r/>
          </w:p>
        </w:tc>
        <w:tc>
          <w:tcPr>
            <w:tcW w:w="761"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556"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597"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r>
      <w:tr>
        <w:trPr>
          <w:jc w:val="center"/>
        </w:trPr>
        <w:tc>
          <w:tcPr>
            <w:tcW w:w="352" w:type="pct"/>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8.2</w:t>
            </w:r>
            <w:r/>
          </w:p>
        </w:tc>
        <w:tc>
          <w:tcPr>
            <w:tcW w:w="1973" w:type="pct"/>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RFID柔性抗金属标签</w:t>
            </w:r>
            <w:r/>
          </w:p>
        </w:tc>
        <w:tc>
          <w:tcPr>
            <w:tcW w:w="352" w:type="pct"/>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个</w:t>
            </w:r>
            <w:r/>
          </w:p>
        </w:tc>
        <w:tc>
          <w:tcPr>
            <w:tcW w:w="409" w:type="pct"/>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50</w:t>
            </w:r>
            <w:r/>
          </w:p>
        </w:tc>
        <w:tc>
          <w:tcPr>
            <w:tcW w:w="761"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556"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597"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r>
      <w:tr>
        <w:trPr>
          <w:jc w:val="center"/>
        </w:trPr>
        <w:tc>
          <w:tcPr>
            <w:tcW w:w="352" w:type="pct"/>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8.3</w:t>
            </w:r>
            <w:r/>
          </w:p>
        </w:tc>
        <w:tc>
          <w:tcPr>
            <w:tcW w:w="1973" w:type="pct"/>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RFID超高频重复使用扎带</w:t>
            </w:r>
            <w:r/>
          </w:p>
        </w:tc>
        <w:tc>
          <w:tcPr>
            <w:tcW w:w="352" w:type="pct"/>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个</w:t>
            </w:r>
            <w:r/>
          </w:p>
        </w:tc>
        <w:tc>
          <w:tcPr>
            <w:tcW w:w="409" w:type="pct"/>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50</w:t>
            </w:r>
            <w:r/>
          </w:p>
        </w:tc>
        <w:tc>
          <w:tcPr>
            <w:tcW w:w="761"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556"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597"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r>
      <w:tr>
        <w:trPr>
          <w:jc w:val="center"/>
        </w:trPr>
        <w:tc>
          <w:tcPr>
            <w:tcW w:w="352" w:type="pct"/>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8.4</w:t>
            </w:r>
            <w:r/>
          </w:p>
        </w:tc>
        <w:tc>
          <w:tcPr>
            <w:tcW w:w="1973" w:type="pct"/>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桌面发卡器</w:t>
            </w:r>
            <w:r/>
          </w:p>
        </w:tc>
        <w:tc>
          <w:tcPr>
            <w:tcW w:w="352" w:type="pct"/>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个</w:t>
            </w:r>
            <w:r/>
          </w:p>
        </w:tc>
        <w:tc>
          <w:tcPr>
            <w:tcW w:w="409" w:type="pct"/>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w:t>
            </w:r>
            <w:r/>
          </w:p>
        </w:tc>
        <w:tc>
          <w:tcPr>
            <w:tcW w:w="761"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556"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597"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r>
      <w:tr>
        <w:trPr>
          <w:jc w:val="center"/>
        </w:trPr>
        <w:tc>
          <w:tcPr>
            <w:tcW w:w="352" w:type="pct"/>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9</w:t>
            </w:r>
            <w:r/>
          </w:p>
        </w:tc>
        <w:tc>
          <w:tcPr>
            <w:tcW w:w="1973" w:type="pct"/>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网络带宽提升</w:t>
            </w:r>
            <w:r/>
          </w:p>
        </w:tc>
        <w:tc>
          <w:tcPr>
            <w:tcW w:w="352" w:type="pct"/>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年</w:t>
            </w:r>
            <w:r/>
          </w:p>
        </w:tc>
        <w:tc>
          <w:tcPr>
            <w:tcW w:w="409" w:type="pct"/>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2</w:t>
            </w:r>
            <w:r/>
          </w:p>
        </w:tc>
        <w:tc>
          <w:tcPr>
            <w:tcW w:w="761"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556"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597"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r>
      <w:tr>
        <w:trPr>
          <w:jc w:val="center"/>
        </w:trPr>
        <w:tc>
          <w:tcPr>
            <w:tcW w:w="352" w:type="pct"/>
            <w:vAlign w:val="center"/>
            <w:textDirection w:val="lrTb"/>
            <w:noWrap/>
          </w:tcPr>
          <w:p>
            <w:pPr>
              <w:jc w:val="center"/>
              <w:widowControl/>
              <w:rPr>
                <w:rFonts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10</w:t>
            </w:r>
            <w:r/>
          </w:p>
        </w:tc>
        <w:tc>
          <w:tcPr>
            <w:tcW w:w="1973" w:type="pct"/>
            <w:vAlign w:val="center"/>
            <w:textDirection w:val="lrTb"/>
            <w:noWrap/>
          </w:tcPr>
          <w:p>
            <w:pPr>
              <w:jc w:val="center"/>
              <w:widowControl/>
              <w:rPr>
                <w:rFonts w:ascii="宋体" w:hAnsi="宋体" w:cs="宋体"/>
                <w:b/>
                <w:bCs/>
                <w:color w:val="000000" w:themeColor="text1"/>
                <w:szCs w:val="21"/>
                <w14:textFill>
                  <w14:solidFill>
                    <w14:schemeClr w14:val="tx1"/>
                  </w14:solidFill>
                </w14:textFill>
              </w:rPr>
            </w:pPr>
            <w:r>
              <w:rPr>
                <w:rFonts w:ascii="宋体" w:hAnsi="宋体" w:cs="宋体"/>
                <w:b/>
                <w:bCs/>
                <w:color w:val="000000" w:themeColor="text1"/>
                <w:szCs w:val="21"/>
                <w14:textFill>
                  <w14:solidFill>
                    <w14:schemeClr w14:val="tx1"/>
                  </w14:solidFill>
                </w14:textFill>
              </w:rPr>
              <w:t xml:space="preserve">数据传输集成</w:t>
            </w:r>
            <w:r/>
          </w:p>
        </w:tc>
        <w:tc>
          <w:tcPr>
            <w:tcW w:w="352" w:type="pct"/>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409" w:type="pct"/>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761"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556"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597"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r>
      <w:tr>
        <w:trPr>
          <w:jc w:val="center"/>
        </w:trPr>
        <w:tc>
          <w:tcPr>
            <w:tcW w:w="352" w:type="pct"/>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10.1</w:t>
            </w:r>
            <w:r/>
          </w:p>
        </w:tc>
        <w:tc>
          <w:tcPr>
            <w:tcW w:w="1973" w:type="pct"/>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数据传输集成</w:t>
            </w:r>
            <w:r/>
          </w:p>
        </w:tc>
        <w:tc>
          <w:tcPr>
            <w:tcW w:w="352" w:type="pct"/>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套</w:t>
            </w:r>
            <w:r/>
          </w:p>
        </w:tc>
        <w:tc>
          <w:tcPr>
            <w:tcW w:w="409" w:type="pct"/>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1</w:t>
            </w:r>
            <w:r/>
          </w:p>
        </w:tc>
        <w:tc>
          <w:tcPr>
            <w:tcW w:w="761"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556"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597"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r>
      <w:tr>
        <w:trPr>
          <w:jc w:val="center"/>
        </w:trPr>
        <w:tc>
          <w:tcPr>
            <w:tcW w:w="352" w:type="pct"/>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10.2</w:t>
            </w:r>
            <w:r/>
          </w:p>
        </w:tc>
        <w:tc>
          <w:tcPr>
            <w:tcW w:w="1973" w:type="pct"/>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24接口千兆交换机</w:t>
            </w:r>
            <w:r/>
          </w:p>
        </w:tc>
        <w:tc>
          <w:tcPr>
            <w:tcW w:w="352" w:type="pct"/>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台</w:t>
            </w:r>
            <w:r/>
          </w:p>
        </w:tc>
        <w:tc>
          <w:tcPr>
            <w:tcW w:w="409" w:type="pct"/>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1</w:t>
            </w:r>
            <w:r/>
          </w:p>
        </w:tc>
        <w:tc>
          <w:tcPr>
            <w:tcW w:w="761"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556"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597"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r>
      <w:tr>
        <w:trPr>
          <w:jc w:val="center"/>
        </w:trPr>
        <w:tc>
          <w:tcPr>
            <w:tcW w:w="352" w:type="pct"/>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10.3</w:t>
            </w:r>
            <w:r/>
          </w:p>
        </w:tc>
        <w:tc>
          <w:tcPr>
            <w:tcW w:w="1973" w:type="pct"/>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AC控制器</w:t>
            </w:r>
            <w:r/>
          </w:p>
        </w:tc>
        <w:tc>
          <w:tcPr>
            <w:tcW w:w="352" w:type="pct"/>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台</w:t>
            </w:r>
            <w:r/>
          </w:p>
        </w:tc>
        <w:tc>
          <w:tcPr>
            <w:tcW w:w="409" w:type="pct"/>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1</w:t>
            </w:r>
            <w:r/>
          </w:p>
        </w:tc>
        <w:tc>
          <w:tcPr>
            <w:tcW w:w="761"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556"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597"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r>
      <w:tr>
        <w:trPr>
          <w:jc w:val="center"/>
        </w:trPr>
        <w:tc>
          <w:tcPr>
            <w:tcW w:w="352" w:type="pct"/>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10.4</w:t>
            </w:r>
            <w:r/>
          </w:p>
        </w:tc>
        <w:tc>
          <w:tcPr>
            <w:tcW w:w="1973" w:type="pct"/>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POE交换机</w:t>
            </w:r>
            <w:r/>
          </w:p>
        </w:tc>
        <w:tc>
          <w:tcPr>
            <w:tcW w:w="352" w:type="pct"/>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台</w:t>
            </w:r>
            <w:r/>
          </w:p>
        </w:tc>
        <w:tc>
          <w:tcPr>
            <w:tcW w:w="409" w:type="pct"/>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1</w:t>
            </w:r>
            <w:r/>
          </w:p>
        </w:tc>
        <w:tc>
          <w:tcPr>
            <w:tcW w:w="761"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556"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597"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r>
      <w:tr>
        <w:trPr>
          <w:jc w:val="center"/>
        </w:trPr>
        <w:tc>
          <w:tcPr>
            <w:tcW w:w="352" w:type="pct"/>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10.5</w:t>
            </w:r>
            <w:r/>
          </w:p>
        </w:tc>
        <w:tc>
          <w:tcPr>
            <w:tcW w:w="1973" w:type="pct"/>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吸顶AP</w:t>
            </w:r>
            <w:r/>
          </w:p>
        </w:tc>
        <w:tc>
          <w:tcPr>
            <w:tcW w:w="352" w:type="pct"/>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台</w:t>
            </w:r>
            <w:r/>
          </w:p>
        </w:tc>
        <w:tc>
          <w:tcPr>
            <w:tcW w:w="409" w:type="pct"/>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2</w:t>
            </w:r>
            <w:r/>
          </w:p>
        </w:tc>
        <w:tc>
          <w:tcPr>
            <w:tcW w:w="761"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556"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597"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r>
      <w:tr>
        <w:trPr>
          <w:jc w:val="center"/>
        </w:trPr>
        <w:tc>
          <w:tcPr>
            <w:tcW w:w="352" w:type="pct"/>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10.6</w:t>
            </w:r>
            <w:r/>
          </w:p>
        </w:tc>
        <w:tc>
          <w:tcPr>
            <w:tcW w:w="1973" w:type="pct"/>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室外AP</w:t>
            </w:r>
            <w:r/>
          </w:p>
        </w:tc>
        <w:tc>
          <w:tcPr>
            <w:tcW w:w="352" w:type="pct"/>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台</w:t>
            </w:r>
            <w:r/>
          </w:p>
        </w:tc>
        <w:tc>
          <w:tcPr>
            <w:tcW w:w="409" w:type="pct"/>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4</w:t>
            </w:r>
            <w:r/>
          </w:p>
        </w:tc>
        <w:tc>
          <w:tcPr>
            <w:tcW w:w="761"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556"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597"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r>
      <w:tr>
        <w:trPr>
          <w:jc w:val="center"/>
        </w:trPr>
        <w:tc>
          <w:tcPr>
            <w:tcW w:w="352" w:type="pct"/>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10.7</w:t>
            </w:r>
            <w:r/>
          </w:p>
        </w:tc>
        <w:tc>
          <w:tcPr>
            <w:tcW w:w="1973" w:type="pct"/>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移动支架</w:t>
            </w:r>
            <w:r/>
          </w:p>
        </w:tc>
        <w:tc>
          <w:tcPr>
            <w:tcW w:w="352" w:type="pct"/>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套</w:t>
            </w:r>
            <w:r/>
          </w:p>
        </w:tc>
        <w:tc>
          <w:tcPr>
            <w:tcW w:w="409" w:type="pct"/>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1</w:t>
            </w:r>
            <w:r/>
          </w:p>
        </w:tc>
        <w:tc>
          <w:tcPr>
            <w:tcW w:w="761"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556"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597"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r>
      <w:tr>
        <w:trPr>
          <w:jc w:val="center"/>
        </w:trPr>
        <w:tc>
          <w:tcPr>
            <w:tcW w:w="352" w:type="pct"/>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11</w:t>
            </w:r>
            <w:r/>
          </w:p>
        </w:tc>
        <w:tc>
          <w:tcPr>
            <w:tcW w:w="1973" w:type="pct"/>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太阳能供电设备</w:t>
            </w:r>
            <w:r/>
          </w:p>
        </w:tc>
        <w:tc>
          <w:tcPr>
            <w:tcW w:w="352" w:type="pct"/>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套</w:t>
            </w:r>
            <w:r/>
          </w:p>
        </w:tc>
        <w:tc>
          <w:tcPr>
            <w:tcW w:w="409" w:type="pct"/>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1</w:t>
            </w:r>
            <w:r/>
          </w:p>
        </w:tc>
        <w:tc>
          <w:tcPr>
            <w:tcW w:w="761"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556"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597"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r>
      <w:tr>
        <w:trPr>
          <w:jc w:val="center"/>
        </w:trPr>
        <w:tc>
          <w:tcPr>
            <w:tcW w:w="352" w:type="pct"/>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12</w:t>
            </w:r>
            <w:r/>
          </w:p>
        </w:tc>
        <w:tc>
          <w:tcPr>
            <w:tcW w:w="1973" w:type="pct"/>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院内外布线</w:t>
            </w:r>
            <w:r/>
          </w:p>
        </w:tc>
        <w:tc>
          <w:tcPr>
            <w:tcW w:w="352" w:type="pct"/>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项</w:t>
            </w:r>
            <w:r/>
          </w:p>
        </w:tc>
        <w:tc>
          <w:tcPr>
            <w:tcW w:w="409" w:type="pct"/>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1</w:t>
            </w:r>
            <w:r/>
          </w:p>
        </w:tc>
        <w:tc>
          <w:tcPr>
            <w:tcW w:w="761"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556"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597"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r>
      <w:tr>
        <w:trPr>
          <w:jc w:val="center"/>
        </w:trPr>
        <w:tc>
          <w:tcPr>
            <w:tcW w:w="352" w:type="pct"/>
            <w:vAlign w:val="center"/>
            <w:textDirection w:val="lrTb"/>
            <w:noWrap/>
          </w:tcPr>
          <w:p>
            <w:pPr>
              <w:jc w:val="center"/>
              <w:widowControl/>
              <w:rPr>
                <w:rFonts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二</w:t>
            </w:r>
            <w:r/>
          </w:p>
        </w:tc>
        <w:tc>
          <w:tcPr>
            <w:tcW w:w="1973" w:type="pct"/>
            <w:vAlign w:val="center"/>
            <w:textDirection w:val="lrTb"/>
            <w:noWrap/>
          </w:tcPr>
          <w:p>
            <w:pPr>
              <w:jc w:val="center"/>
              <w:widowControl/>
              <w:rPr>
                <w:rFonts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建筑工程部分</w:t>
            </w:r>
            <w:r/>
          </w:p>
        </w:tc>
        <w:tc>
          <w:tcPr>
            <w:tcW w:w="352" w:type="pct"/>
            <w:vAlign w:val="center"/>
            <w:textDirection w:val="lrTb"/>
            <w:noWrap/>
          </w:tcPr>
          <w:p>
            <w:pPr>
              <w:jc w:val="center"/>
              <w:widowControl/>
              <w:rPr>
                <w:rFonts w:ascii="宋体" w:hAnsi="宋体" w:cs="宋体"/>
                <w:b/>
                <w:bCs/>
                <w:color w:val="000000" w:themeColor="text1"/>
                <w:szCs w:val="21"/>
                <w14:textFill>
                  <w14:solidFill>
                    <w14:schemeClr w14:val="tx1"/>
                  </w14:solidFill>
                </w14:textFill>
              </w:rPr>
            </w:pPr>
            <w:r>
              <w:rPr>
                <w:rFonts w:ascii="宋体" w:hAnsi="宋体" w:cs="宋体"/>
                <w:b/>
                <w:bCs/>
                <w:color w:val="000000" w:themeColor="text1"/>
                <w:szCs w:val="21"/>
                <w14:textFill>
                  <w14:solidFill>
                    <w14:schemeClr w14:val="tx1"/>
                  </w14:solidFill>
                </w14:textFill>
              </w:rPr>
            </w:r>
            <w:r/>
          </w:p>
        </w:tc>
        <w:tc>
          <w:tcPr>
            <w:tcW w:w="409" w:type="pct"/>
            <w:vAlign w:val="center"/>
            <w:textDirection w:val="lrTb"/>
            <w:noWrap/>
          </w:tcPr>
          <w:p>
            <w:pPr>
              <w:jc w:val="center"/>
              <w:widowControl/>
              <w:rPr>
                <w:rFonts w:ascii="宋体" w:hAnsi="宋体" w:cs="宋体"/>
                <w:b/>
                <w:bCs/>
                <w:color w:val="000000" w:themeColor="text1"/>
                <w:szCs w:val="21"/>
                <w14:textFill>
                  <w14:solidFill>
                    <w14:schemeClr w14:val="tx1"/>
                  </w14:solidFill>
                </w14:textFill>
              </w:rPr>
            </w:pPr>
            <w:r>
              <w:rPr>
                <w:rFonts w:ascii="宋体" w:hAnsi="宋体" w:cs="宋体"/>
                <w:b/>
                <w:bCs/>
                <w:color w:val="000000" w:themeColor="text1"/>
                <w:szCs w:val="21"/>
                <w14:textFill>
                  <w14:solidFill>
                    <w14:schemeClr w14:val="tx1"/>
                  </w14:solidFill>
                </w14:textFill>
              </w:rPr>
            </w:r>
            <w:r/>
          </w:p>
        </w:tc>
        <w:tc>
          <w:tcPr>
            <w:tcW w:w="761" w:type="pct"/>
            <w:vAlign w:val="center"/>
            <w:textDirection w:val="lrTb"/>
            <w:noWrap w:val="false"/>
          </w:tcPr>
          <w:p>
            <w:pPr>
              <w:jc w:val="center"/>
              <w:widowControl/>
              <w:rPr>
                <w:rFonts w:ascii="宋体" w:hAnsi="宋体" w:cs="宋体"/>
                <w:b/>
                <w:bCs/>
                <w:color w:val="000000" w:themeColor="text1"/>
                <w:szCs w:val="21"/>
                <w14:textFill>
                  <w14:solidFill>
                    <w14:schemeClr w14:val="tx1"/>
                  </w14:solidFill>
                </w14:textFill>
              </w:rPr>
            </w:pPr>
            <w:r>
              <w:rPr>
                <w:rFonts w:ascii="宋体" w:hAnsi="宋体" w:cs="宋体"/>
                <w:b/>
                <w:bCs/>
                <w:color w:val="000000" w:themeColor="text1"/>
                <w:szCs w:val="21"/>
                <w14:textFill>
                  <w14:solidFill>
                    <w14:schemeClr w14:val="tx1"/>
                  </w14:solidFill>
                </w14:textFill>
              </w:rPr>
            </w:r>
            <w:r/>
          </w:p>
        </w:tc>
        <w:tc>
          <w:tcPr>
            <w:tcW w:w="556" w:type="pct"/>
            <w:vAlign w:val="center"/>
            <w:textDirection w:val="lrTb"/>
            <w:noWrap w:val="false"/>
          </w:tcPr>
          <w:p>
            <w:pPr>
              <w:jc w:val="center"/>
              <w:widowControl/>
              <w:rPr>
                <w:rFonts w:ascii="宋体" w:hAnsi="宋体" w:cs="宋体"/>
                <w:b/>
                <w:bCs/>
                <w:color w:val="000000" w:themeColor="text1"/>
                <w:szCs w:val="21"/>
                <w14:textFill>
                  <w14:solidFill>
                    <w14:schemeClr w14:val="tx1"/>
                  </w14:solidFill>
                </w14:textFill>
              </w:rPr>
            </w:pPr>
            <w:r>
              <w:rPr>
                <w:rFonts w:ascii="宋体" w:hAnsi="宋体" w:cs="宋体"/>
                <w:b/>
                <w:bCs/>
                <w:color w:val="000000" w:themeColor="text1"/>
                <w:szCs w:val="21"/>
                <w14:textFill>
                  <w14:solidFill>
                    <w14:schemeClr w14:val="tx1"/>
                  </w14:solidFill>
                </w14:textFill>
              </w:rPr>
            </w:r>
            <w:r/>
          </w:p>
        </w:tc>
        <w:tc>
          <w:tcPr>
            <w:tcW w:w="597" w:type="pct"/>
            <w:vAlign w:val="center"/>
            <w:textDirection w:val="lrTb"/>
            <w:noWrap w:val="false"/>
          </w:tcPr>
          <w:p>
            <w:pPr>
              <w:jc w:val="center"/>
              <w:widowControl/>
              <w:rPr>
                <w:rFonts w:ascii="宋体" w:hAnsi="宋体" w:cs="宋体"/>
                <w:b/>
                <w:bCs/>
                <w:color w:val="000000" w:themeColor="text1"/>
                <w:szCs w:val="21"/>
                <w14:textFill>
                  <w14:solidFill>
                    <w14:schemeClr w14:val="tx1"/>
                  </w14:solidFill>
                </w14:textFill>
              </w:rPr>
            </w:pPr>
            <w:r>
              <w:rPr>
                <w:rFonts w:ascii="宋体" w:hAnsi="宋体" w:cs="宋体"/>
                <w:b/>
                <w:bCs/>
                <w:color w:val="000000" w:themeColor="text1"/>
                <w:szCs w:val="21"/>
                <w14:textFill>
                  <w14:solidFill>
                    <w14:schemeClr w14:val="tx1"/>
                  </w14:solidFill>
                </w14:textFill>
              </w:rPr>
            </w:r>
            <w:r/>
          </w:p>
        </w:tc>
      </w:tr>
      <w:tr>
        <w:trPr>
          <w:jc w:val="center"/>
        </w:trPr>
        <w:tc>
          <w:tcPr>
            <w:tcW w:w="352" w:type="pct"/>
            <w:vAlign w:val="center"/>
            <w:textDirection w:val="lrTb"/>
            <w:noWrap/>
          </w:tcPr>
          <w:p>
            <w:pPr>
              <w:jc w:val="center"/>
              <w:widowControl/>
              <w:rPr>
                <w:rFonts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1</w:t>
            </w:r>
            <w:r/>
          </w:p>
        </w:tc>
        <w:tc>
          <w:tcPr>
            <w:tcW w:w="1973" w:type="pct"/>
            <w:vAlign w:val="center"/>
            <w:textDirection w:val="lrTb"/>
            <w:noWrap/>
          </w:tcPr>
          <w:p>
            <w:pPr>
              <w:jc w:val="center"/>
              <w:widowControl/>
              <w:rPr>
                <w:rFonts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环境改造</w:t>
            </w:r>
            <w:r>
              <w:rPr>
                <w:rFonts w:ascii="宋体" w:hAnsi="宋体" w:cs="宋体"/>
                <w:b/>
                <w:bCs/>
                <w:color w:val="000000" w:themeColor="text1"/>
                <w:szCs w:val="21"/>
                <w14:textFill>
                  <w14:solidFill>
                    <w14:schemeClr w14:val="tx1"/>
                  </w14:solidFill>
                </w14:textFill>
              </w:rPr>
              <w:t xml:space="preserve">工程</w:t>
            </w:r>
            <w:r/>
          </w:p>
        </w:tc>
        <w:tc>
          <w:tcPr>
            <w:tcW w:w="352" w:type="pct"/>
            <w:vAlign w:val="center"/>
            <w:textDirection w:val="lrTb"/>
            <w:noWrap/>
          </w:tcPr>
          <w:p>
            <w:pPr>
              <w:jc w:val="center"/>
              <w:widowControl/>
              <w:rPr>
                <w:rFonts w:ascii="宋体" w:hAnsi="宋体" w:cs="宋体"/>
                <w:b/>
                <w:bCs/>
                <w:color w:val="000000" w:themeColor="text1"/>
                <w:szCs w:val="21"/>
                <w14:textFill>
                  <w14:solidFill>
                    <w14:schemeClr w14:val="tx1"/>
                  </w14:solidFill>
                </w14:textFill>
              </w:rPr>
            </w:pPr>
            <w:r>
              <w:rPr>
                <w:rFonts w:ascii="宋体" w:hAnsi="宋体" w:cs="宋体"/>
                <w:b/>
                <w:bCs/>
                <w:color w:val="000000" w:themeColor="text1"/>
                <w:szCs w:val="21"/>
                <w14:textFill>
                  <w14:solidFill>
                    <w14:schemeClr w14:val="tx1"/>
                  </w14:solidFill>
                </w14:textFill>
              </w:rPr>
              <w:t xml:space="preserve">　</w:t>
            </w:r>
            <w:r/>
          </w:p>
        </w:tc>
        <w:tc>
          <w:tcPr>
            <w:tcW w:w="409" w:type="pct"/>
            <w:vAlign w:val="center"/>
            <w:textDirection w:val="lrTb"/>
            <w:noWrap/>
          </w:tcPr>
          <w:p>
            <w:pPr>
              <w:jc w:val="center"/>
              <w:widowControl/>
              <w:rPr>
                <w:rFonts w:ascii="宋体" w:hAnsi="宋体" w:cs="宋体"/>
                <w:b/>
                <w:bCs/>
                <w:color w:val="000000" w:themeColor="text1"/>
                <w:szCs w:val="21"/>
                <w14:textFill>
                  <w14:solidFill>
                    <w14:schemeClr w14:val="tx1"/>
                  </w14:solidFill>
                </w14:textFill>
              </w:rPr>
            </w:pPr>
            <w:r>
              <w:rPr>
                <w:rFonts w:ascii="宋体" w:hAnsi="宋体" w:cs="宋体"/>
                <w:b/>
                <w:bCs/>
                <w:color w:val="000000" w:themeColor="text1"/>
                <w:szCs w:val="21"/>
                <w14:textFill>
                  <w14:solidFill>
                    <w14:schemeClr w14:val="tx1"/>
                  </w14:solidFill>
                </w14:textFill>
              </w:rPr>
              <w:t xml:space="preserve">　</w:t>
            </w:r>
            <w:r/>
          </w:p>
        </w:tc>
        <w:tc>
          <w:tcPr>
            <w:tcW w:w="761" w:type="pct"/>
            <w:vAlign w:val="center"/>
            <w:textDirection w:val="lrTb"/>
            <w:noWrap w:val="false"/>
          </w:tcPr>
          <w:p>
            <w:pPr>
              <w:jc w:val="center"/>
              <w:widowControl/>
              <w:rPr>
                <w:rFonts w:ascii="宋体" w:hAnsi="宋体" w:cs="宋体"/>
                <w:b/>
                <w:bCs/>
                <w:color w:val="000000" w:themeColor="text1"/>
                <w:szCs w:val="21"/>
                <w14:textFill>
                  <w14:solidFill>
                    <w14:schemeClr w14:val="tx1"/>
                  </w14:solidFill>
                </w14:textFill>
              </w:rPr>
            </w:pPr>
            <w:r>
              <w:rPr>
                <w:rFonts w:ascii="宋体" w:hAnsi="宋体" w:cs="宋体"/>
                <w:b/>
                <w:bCs/>
                <w:color w:val="000000" w:themeColor="text1"/>
                <w:szCs w:val="21"/>
                <w14:textFill>
                  <w14:solidFill>
                    <w14:schemeClr w14:val="tx1"/>
                  </w14:solidFill>
                </w14:textFill>
              </w:rPr>
            </w:r>
            <w:r/>
          </w:p>
        </w:tc>
        <w:tc>
          <w:tcPr>
            <w:tcW w:w="556" w:type="pct"/>
            <w:vAlign w:val="center"/>
            <w:textDirection w:val="lrTb"/>
            <w:noWrap w:val="false"/>
          </w:tcPr>
          <w:p>
            <w:pPr>
              <w:jc w:val="center"/>
              <w:widowControl/>
              <w:rPr>
                <w:rFonts w:ascii="宋体" w:hAnsi="宋体" w:cs="宋体"/>
                <w:b/>
                <w:bCs/>
                <w:color w:val="000000" w:themeColor="text1"/>
                <w:szCs w:val="21"/>
                <w14:textFill>
                  <w14:solidFill>
                    <w14:schemeClr w14:val="tx1"/>
                  </w14:solidFill>
                </w14:textFill>
              </w:rPr>
            </w:pPr>
            <w:r>
              <w:rPr>
                <w:rFonts w:ascii="宋体" w:hAnsi="宋体" w:cs="宋体"/>
                <w:b/>
                <w:bCs/>
                <w:color w:val="000000" w:themeColor="text1"/>
                <w:szCs w:val="21"/>
                <w14:textFill>
                  <w14:solidFill>
                    <w14:schemeClr w14:val="tx1"/>
                  </w14:solidFill>
                </w14:textFill>
              </w:rPr>
            </w:r>
            <w:r/>
          </w:p>
        </w:tc>
        <w:tc>
          <w:tcPr>
            <w:tcW w:w="597" w:type="pct"/>
            <w:vAlign w:val="center"/>
            <w:textDirection w:val="lrTb"/>
            <w:noWrap w:val="false"/>
          </w:tcPr>
          <w:p>
            <w:pPr>
              <w:jc w:val="center"/>
              <w:widowControl/>
              <w:rPr>
                <w:rFonts w:ascii="宋体" w:hAnsi="宋体" w:cs="宋体"/>
                <w:b/>
                <w:bCs/>
                <w:color w:val="000000" w:themeColor="text1"/>
                <w:szCs w:val="21"/>
                <w14:textFill>
                  <w14:solidFill>
                    <w14:schemeClr w14:val="tx1"/>
                  </w14:solidFill>
                </w14:textFill>
              </w:rPr>
            </w:pPr>
            <w:r>
              <w:rPr>
                <w:rFonts w:ascii="宋体" w:hAnsi="宋体" w:cs="宋体"/>
                <w:b/>
                <w:bCs/>
                <w:color w:val="000000" w:themeColor="text1"/>
                <w:szCs w:val="21"/>
                <w14:textFill>
                  <w14:solidFill>
                    <w14:schemeClr w14:val="tx1"/>
                  </w14:solidFill>
                </w14:textFill>
              </w:rPr>
            </w:r>
            <w:r/>
          </w:p>
        </w:tc>
      </w:tr>
      <w:tr>
        <w:trPr>
          <w:jc w:val="center"/>
        </w:trPr>
        <w:tc>
          <w:tcPr>
            <w:tcW w:w="352"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1.1</w:t>
            </w:r>
            <w:r/>
          </w:p>
        </w:tc>
        <w:tc>
          <w:tcPr>
            <w:tcW w:w="1973" w:type="pct"/>
            <w:vAlign w:val="center"/>
            <w:textDirection w:val="lrTb"/>
            <w:noWrap w:val="false"/>
          </w:tcPr>
          <w:p>
            <w:pPr>
              <w:jc w:val="left"/>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原透水砖铺装拆除</w:t>
            </w:r>
            <w:r/>
          </w:p>
        </w:tc>
        <w:tc>
          <w:tcPr>
            <w:tcW w:w="352"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w:t>
            </w:r>
            <w:r/>
          </w:p>
        </w:tc>
        <w:tc>
          <w:tcPr>
            <w:tcW w:w="409"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228</w:t>
            </w:r>
            <w:r/>
          </w:p>
        </w:tc>
        <w:tc>
          <w:tcPr>
            <w:tcW w:w="761"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556"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597"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r>
      <w:tr>
        <w:trPr>
          <w:jc w:val="center"/>
        </w:trPr>
        <w:tc>
          <w:tcPr>
            <w:tcW w:w="352"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1.2</w:t>
            </w:r>
            <w:r/>
          </w:p>
        </w:tc>
        <w:tc>
          <w:tcPr>
            <w:tcW w:w="1973" w:type="pct"/>
            <w:vAlign w:val="center"/>
            <w:textDirection w:val="lrTb"/>
            <w:noWrap w:val="false"/>
          </w:tcPr>
          <w:p>
            <w:pPr>
              <w:jc w:val="left"/>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原透水混凝土铺装拆除</w:t>
            </w:r>
            <w:r/>
          </w:p>
        </w:tc>
        <w:tc>
          <w:tcPr>
            <w:tcW w:w="352"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w:t>
            </w:r>
            <w:r/>
          </w:p>
        </w:tc>
        <w:tc>
          <w:tcPr>
            <w:tcW w:w="409"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412</w:t>
            </w:r>
            <w:r/>
          </w:p>
        </w:tc>
        <w:tc>
          <w:tcPr>
            <w:tcW w:w="761"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556"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597"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r>
      <w:tr>
        <w:trPr>
          <w:jc w:val="center"/>
        </w:trPr>
        <w:tc>
          <w:tcPr>
            <w:tcW w:w="352"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1.3</w:t>
            </w:r>
            <w:r/>
          </w:p>
        </w:tc>
        <w:tc>
          <w:tcPr>
            <w:tcW w:w="1973" w:type="pct"/>
            <w:vAlign w:val="center"/>
            <w:textDirection w:val="lrTb"/>
            <w:noWrap w:val="false"/>
          </w:tcPr>
          <w:p>
            <w:pPr>
              <w:jc w:val="left"/>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彩色透水混凝土园路垫层</w:t>
            </w:r>
            <w:r/>
          </w:p>
        </w:tc>
        <w:tc>
          <w:tcPr>
            <w:tcW w:w="352"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w:t>
            </w:r>
            <w:r/>
          </w:p>
        </w:tc>
        <w:tc>
          <w:tcPr>
            <w:tcW w:w="409"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262</w:t>
            </w:r>
            <w:r/>
          </w:p>
        </w:tc>
        <w:tc>
          <w:tcPr>
            <w:tcW w:w="761"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556"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597"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r>
      <w:tr>
        <w:trPr>
          <w:jc w:val="center"/>
        </w:trPr>
        <w:tc>
          <w:tcPr>
            <w:tcW w:w="352"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1.4</w:t>
            </w:r>
            <w:r/>
          </w:p>
        </w:tc>
        <w:tc>
          <w:tcPr>
            <w:tcW w:w="1973" w:type="pct"/>
            <w:vAlign w:val="center"/>
            <w:textDirection w:val="lrTb"/>
            <w:noWrap w:val="false"/>
          </w:tcPr>
          <w:p>
            <w:pPr>
              <w:jc w:val="left"/>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彩色透水混凝土园路面层</w:t>
            </w:r>
            <w:r/>
          </w:p>
        </w:tc>
        <w:tc>
          <w:tcPr>
            <w:tcW w:w="352"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w:t>
            </w:r>
            <w:r/>
          </w:p>
        </w:tc>
        <w:tc>
          <w:tcPr>
            <w:tcW w:w="409"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262</w:t>
            </w:r>
            <w:r/>
          </w:p>
        </w:tc>
        <w:tc>
          <w:tcPr>
            <w:tcW w:w="761"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556"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597"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r>
      <w:tr>
        <w:trPr>
          <w:jc w:val="center"/>
        </w:trPr>
        <w:tc>
          <w:tcPr>
            <w:tcW w:w="352"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1.5</w:t>
            </w:r>
            <w:r/>
          </w:p>
        </w:tc>
        <w:tc>
          <w:tcPr>
            <w:tcW w:w="1973" w:type="pct"/>
            <w:vAlign w:val="center"/>
            <w:textDirection w:val="lrTb"/>
            <w:noWrap w:val="false"/>
          </w:tcPr>
          <w:p>
            <w:pPr>
              <w:jc w:val="left"/>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透水砖园路垫层</w:t>
            </w:r>
            <w:r/>
          </w:p>
        </w:tc>
        <w:tc>
          <w:tcPr>
            <w:tcW w:w="352"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w:t>
            </w:r>
            <w:r/>
          </w:p>
        </w:tc>
        <w:tc>
          <w:tcPr>
            <w:tcW w:w="409"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13.3</w:t>
            </w:r>
            <w:r/>
          </w:p>
        </w:tc>
        <w:tc>
          <w:tcPr>
            <w:tcW w:w="761"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556"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597"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r>
      <w:tr>
        <w:trPr>
          <w:jc w:val="center"/>
        </w:trPr>
        <w:tc>
          <w:tcPr>
            <w:tcW w:w="352"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1.6</w:t>
            </w:r>
            <w:r/>
          </w:p>
        </w:tc>
        <w:tc>
          <w:tcPr>
            <w:tcW w:w="1973" w:type="pct"/>
            <w:vAlign w:val="center"/>
            <w:textDirection w:val="lrTb"/>
            <w:noWrap w:val="false"/>
          </w:tcPr>
          <w:p>
            <w:pPr>
              <w:jc w:val="left"/>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透水砖园路找平层</w:t>
            </w:r>
            <w:r/>
          </w:p>
        </w:tc>
        <w:tc>
          <w:tcPr>
            <w:tcW w:w="352"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w:t>
            </w:r>
            <w:r/>
          </w:p>
        </w:tc>
        <w:tc>
          <w:tcPr>
            <w:tcW w:w="409"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13.3</w:t>
            </w:r>
            <w:r/>
          </w:p>
        </w:tc>
        <w:tc>
          <w:tcPr>
            <w:tcW w:w="761"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556"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597"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r>
      <w:tr>
        <w:trPr>
          <w:jc w:val="center"/>
        </w:trPr>
        <w:tc>
          <w:tcPr>
            <w:tcW w:w="352"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1.7</w:t>
            </w:r>
            <w:r/>
          </w:p>
        </w:tc>
        <w:tc>
          <w:tcPr>
            <w:tcW w:w="1973" w:type="pct"/>
            <w:vAlign w:val="center"/>
            <w:textDirection w:val="lrTb"/>
            <w:noWrap w:val="false"/>
          </w:tcPr>
          <w:p>
            <w:pPr>
              <w:jc w:val="left"/>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灰色透水砖园路面层</w:t>
            </w:r>
            <w:r/>
          </w:p>
        </w:tc>
        <w:tc>
          <w:tcPr>
            <w:tcW w:w="352"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w:t>
            </w:r>
            <w:r/>
          </w:p>
        </w:tc>
        <w:tc>
          <w:tcPr>
            <w:tcW w:w="409"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13.3</w:t>
            </w:r>
            <w:r/>
          </w:p>
        </w:tc>
        <w:tc>
          <w:tcPr>
            <w:tcW w:w="761"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556"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597"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r>
      <w:tr>
        <w:trPr>
          <w:jc w:val="center"/>
        </w:trPr>
        <w:tc>
          <w:tcPr>
            <w:tcW w:w="352"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1.8</w:t>
            </w:r>
            <w:r/>
          </w:p>
        </w:tc>
        <w:tc>
          <w:tcPr>
            <w:tcW w:w="1973" w:type="pct"/>
            <w:vAlign w:val="center"/>
            <w:textDirection w:val="lrTb"/>
            <w:noWrap w:val="false"/>
          </w:tcPr>
          <w:p>
            <w:pPr>
              <w:jc w:val="left"/>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入口沥青园路面层</w:t>
            </w:r>
            <w:r/>
          </w:p>
        </w:tc>
        <w:tc>
          <w:tcPr>
            <w:tcW w:w="352"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w:t>
            </w:r>
            <w:r/>
          </w:p>
        </w:tc>
        <w:tc>
          <w:tcPr>
            <w:tcW w:w="409"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451.6</w:t>
            </w:r>
            <w:r/>
          </w:p>
        </w:tc>
        <w:tc>
          <w:tcPr>
            <w:tcW w:w="761"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556"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597"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r>
      <w:tr>
        <w:trPr>
          <w:jc w:val="center"/>
        </w:trPr>
        <w:tc>
          <w:tcPr>
            <w:tcW w:w="352"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1.9</w:t>
            </w:r>
            <w:r/>
          </w:p>
        </w:tc>
        <w:tc>
          <w:tcPr>
            <w:tcW w:w="1973" w:type="pct"/>
            <w:vAlign w:val="center"/>
            <w:textDirection w:val="lrTb"/>
            <w:noWrap w:val="false"/>
          </w:tcPr>
          <w:p>
            <w:pPr>
              <w:jc w:val="left"/>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芝麻白花岗岩路牙及收边</w:t>
            </w:r>
            <w:r/>
          </w:p>
        </w:tc>
        <w:tc>
          <w:tcPr>
            <w:tcW w:w="352"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m</w:t>
            </w:r>
            <w:r/>
          </w:p>
        </w:tc>
        <w:tc>
          <w:tcPr>
            <w:tcW w:w="409"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461</w:t>
            </w:r>
            <w:r/>
          </w:p>
        </w:tc>
        <w:tc>
          <w:tcPr>
            <w:tcW w:w="761"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556"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597"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r>
      <w:tr>
        <w:trPr>
          <w:jc w:val="center"/>
        </w:trPr>
        <w:tc>
          <w:tcPr>
            <w:tcW w:w="352"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1.10 </w:t>
            </w:r>
            <w:r/>
          </w:p>
        </w:tc>
        <w:tc>
          <w:tcPr>
            <w:tcW w:w="1973" w:type="pct"/>
            <w:vAlign w:val="center"/>
            <w:textDirection w:val="lrTb"/>
            <w:noWrap w:val="false"/>
          </w:tcPr>
          <w:p>
            <w:pPr>
              <w:jc w:val="left"/>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防腐木构筑物综合出新</w:t>
            </w:r>
            <w:r/>
          </w:p>
        </w:tc>
        <w:tc>
          <w:tcPr>
            <w:tcW w:w="352"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w:t>
            </w:r>
            <w:r/>
          </w:p>
        </w:tc>
        <w:tc>
          <w:tcPr>
            <w:tcW w:w="409"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135</w:t>
            </w:r>
            <w:r/>
          </w:p>
        </w:tc>
        <w:tc>
          <w:tcPr>
            <w:tcW w:w="761"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556"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597"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r>
      <w:tr>
        <w:trPr>
          <w:jc w:val="center"/>
        </w:trPr>
        <w:tc>
          <w:tcPr>
            <w:tcW w:w="352"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1.11</w:t>
            </w:r>
            <w:r/>
          </w:p>
        </w:tc>
        <w:tc>
          <w:tcPr>
            <w:tcW w:w="1973" w:type="pct"/>
            <w:vAlign w:val="center"/>
            <w:textDirection w:val="lrTb"/>
            <w:noWrap w:val="false"/>
          </w:tcPr>
          <w:p>
            <w:pPr>
              <w:jc w:val="left"/>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入口标识牌</w:t>
            </w:r>
            <w:r/>
          </w:p>
        </w:tc>
        <w:tc>
          <w:tcPr>
            <w:tcW w:w="352"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个</w:t>
            </w:r>
            <w:r/>
          </w:p>
        </w:tc>
        <w:tc>
          <w:tcPr>
            <w:tcW w:w="409"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1</w:t>
            </w:r>
            <w:r/>
          </w:p>
        </w:tc>
        <w:tc>
          <w:tcPr>
            <w:tcW w:w="761"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556"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597"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r>
      <w:tr>
        <w:trPr>
          <w:jc w:val="center"/>
        </w:trPr>
        <w:tc>
          <w:tcPr>
            <w:tcW w:w="352"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1.12 </w:t>
            </w:r>
            <w:r/>
          </w:p>
        </w:tc>
        <w:tc>
          <w:tcPr>
            <w:tcW w:w="1973" w:type="pct"/>
            <w:vAlign w:val="center"/>
            <w:textDirection w:val="lrTb"/>
            <w:noWrap w:val="false"/>
          </w:tcPr>
          <w:p>
            <w:pPr>
              <w:jc w:val="left"/>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入口显示屏标识系统</w:t>
            </w:r>
            <w:r/>
          </w:p>
        </w:tc>
        <w:tc>
          <w:tcPr>
            <w:tcW w:w="352"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项</w:t>
            </w:r>
            <w:r/>
          </w:p>
        </w:tc>
        <w:tc>
          <w:tcPr>
            <w:tcW w:w="409"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1</w:t>
            </w:r>
            <w:r/>
          </w:p>
        </w:tc>
        <w:tc>
          <w:tcPr>
            <w:tcW w:w="761"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556"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597"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r>
      <w:tr>
        <w:trPr>
          <w:jc w:val="center"/>
        </w:trPr>
        <w:tc>
          <w:tcPr>
            <w:tcW w:w="352"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1.13</w:t>
            </w:r>
            <w:r/>
          </w:p>
        </w:tc>
        <w:tc>
          <w:tcPr>
            <w:tcW w:w="1973" w:type="pct"/>
            <w:vAlign w:val="center"/>
            <w:textDirection w:val="lrTb"/>
            <w:noWrap w:val="false"/>
          </w:tcPr>
          <w:p>
            <w:pPr>
              <w:jc w:val="left"/>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水文长廊成套制安</w:t>
            </w:r>
            <w:r/>
          </w:p>
        </w:tc>
        <w:tc>
          <w:tcPr>
            <w:tcW w:w="352"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项</w:t>
            </w:r>
            <w:r/>
          </w:p>
        </w:tc>
        <w:tc>
          <w:tcPr>
            <w:tcW w:w="409"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1</w:t>
            </w:r>
            <w:r/>
          </w:p>
        </w:tc>
        <w:tc>
          <w:tcPr>
            <w:tcW w:w="761"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556"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597"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r>
      <w:tr>
        <w:trPr>
          <w:jc w:val="center"/>
        </w:trPr>
        <w:tc>
          <w:tcPr>
            <w:tcW w:w="352"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1.14 </w:t>
            </w:r>
            <w:r/>
          </w:p>
        </w:tc>
        <w:tc>
          <w:tcPr>
            <w:tcW w:w="1973" w:type="pct"/>
            <w:vAlign w:val="center"/>
            <w:textDirection w:val="lrTb"/>
            <w:noWrap w:val="false"/>
          </w:tcPr>
          <w:p>
            <w:pPr>
              <w:jc w:val="left"/>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主题Logo字</w:t>
            </w:r>
            <w:r/>
          </w:p>
        </w:tc>
        <w:tc>
          <w:tcPr>
            <w:tcW w:w="352"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项</w:t>
            </w:r>
            <w:r/>
          </w:p>
        </w:tc>
        <w:tc>
          <w:tcPr>
            <w:tcW w:w="409"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1</w:t>
            </w:r>
            <w:r/>
          </w:p>
        </w:tc>
        <w:tc>
          <w:tcPr>
            <w:tcW w:w="761"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556"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597"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r>
      <w:tr>
        <w:trPr>
          <w:jc w:val="center"/>
        </w:trPr>
        <w:tc>
          <w:tcPr>
            <w:tcW w:w="352"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1.15</w:t>
            </w:r>
            <w:r/>
          </w:p>
        </w:tc>
        <w:tc>
          <w:tcPr>
            <w:tcW w:w="1973" w:type="pct"/>
            <w:vAlign w:val="center"/>
            <w:textDirection w:val="lrTb"/>
            <w:noWrap w:val="false"/>
          </w:tcPr>
          <w:p>
            <w:pPr>
              <w:jc w:val="left"/>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定制镀锌钢休闲座椅</w:t>
            </w:r>
            <w:r/>
          </w:p>
        </w:tc>
        <w:tc>
          <w:tcPr>
            <w:tcW w:w="352"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个</w:t>
            </w:r>
            <w:r/>
          </w:p>
        </w:tc>
        <w:tc>
          <w:tcPr>
            <w:tcW w:w="409"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2</w:t>
            </w:r>
            <w:r/>
          </w:p>
        </w:tc>
        <w:tc>
          <w:tcPr>
            <w:tcW w:w="761"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556"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597"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r>
      <w:tr>
        <w:trPr>
          <w:jc w:val="center"/>
        </w:trPr>
        <w:tc>
          <w:tcPr>
            <w:tcW w:w="352"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1.16 </w:t>
            </w:r>
            <w:r/>
          </w:p>
        </w:tc>
        <w:tc>
          <w:tcPr>
            <w:tcW w:w="1973" w:type="pct"/>
            <w:vAlign w:val="center"/>
            <w:textDirection w:val="lrTb"/>
            <w:noWrap w:val="false"/>
          </w:tcPr>
          <w:p>
            <w:pPr>
              <w:jc w:val="left"/>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定制水文尺</w:t>
            </w:r>
            <w:r/>
          </w:p>
        </w:tc>
        <w:tc>
          <w:tcPr>
            <w:tcW w:w="352"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套</w:t>
            </w:r>
            <w:r/>
          </w:p>
        </w:tc>
        <w:tc>
          <w:tcPr>
            <w:tcW w:w="409"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1</w:t>
            </w:r>
            <w:r/>
          </w:p>
        </w:tc>
        <w:tc>
          <w:tcPr>
            <w:tcW w:w="761"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556"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597"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r>
      <w:tr>
        <w:trPr>
          <w:jc w:val="center"/>
        </w:trPr>
        <w:tc>
          <w:tcPr>
            <w:tcW w:w="352"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1.17</w:t>
            </w:r>
            <w:r/>
          </w:p>
        </w:tc>
        <w:tc>
          <w:tcPr>
            <w:tcW w:w="1973" w:type="pct"/>
            <w:vAlign w:val="center"/>
            <w:textDirection w:val="lrTb"/>
            <w:noWrap w:val="false"/>
          </w:tcPr>
          <w:p>
            <w:pPr>
              <w:jc w:val="left"/>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植物种植</w:t>
            </w:r>
            <w:r/>
          </w:p>
        </w:tc>
        <w:tc>
          <w:tcPr>
            <w:tcW w:w="352"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w:t>
            </w:r>
            <w:r/>
          </w:p>
        </w:tc>
        <w:tc>
          <w:tcPr>
            <w:tcW w:w="409"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406.3</w:t>
            </w:r>
            <w:r/>
          </w:p>
        </w:tc>
        <w:tc>
          <w:tcPr>
            <w:tcW w:w="761"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556"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597"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r>
      <w:tr>
        <w:trPr>
          <w:jc w:val="center"/>
        </w:trPr>
        <w:tc>
          <w:tcPr>
            <w:tcW w:w="352"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1.18 </w:t>
            </w:r>
            <w:r/>
          </w:p>
        </w:tc>
        <w:tc>
          <w:tcPr>
            <w:tcW w:w="1973" w:type="pct"/>
            <w:vAlign w:val="center"/>
            <w:textDirection w:val="lrTb"/>
            <w:noWrap w:val="false"/>
          </w:tcPr>
          <w:p>
            <w:pPr>
              <w:jc w:val="left"/>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水文长廊土建基础</w:t>
            </w:r>
            <w:r/>
          </w:p>
        </w:tc>
        <w:tc>
          <w:tcPr>
            <w:tcW w:w="352"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项</w:t>
            </w:r>
            <w:r/>
          </w:p>
        </w:tc>
        <w:tc>
          <w:tcPr>
            <w:tcW w:w="409"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1</w:t>
            </w:r>
            <w:r/>
          </w:p>
        </w:tc>
        <w:tc>
          <w:tcPr>
            <w:tcW w:w="761"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556"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597"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r>
      <w:tr>
        <w:trPr>
          <w:jc w:val="center"/>
        </w:trPr>
        <w:tc>
          <w:tcPr>
            <w:tcW w:w="352"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1.19</w:t>
            </w:r>
            <w:r/>
          </w:p>
        </w:tc>
        <w:tc>
          <w:tcPr>
            <w:tcW w:w="1973" w:type="pct"/>
            <w:vAlign w:val="center"/>
            <w:textDirection w:val="lrTb"/>
            <w:noWrap w:val="false"/>
          </w:tcPr>
          <w:p>
            <w:pPr>
              <w:jc w:val="left"/>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丁香移除</w:t>
            </w:r>
            <w:r/>
          </w:p>
        </w:tc>
        <w:tc>
          <w:tcPr>
            <w:tcW w:w="352"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株</w:t>
            </w:r>
            <w:r/>
          </w:p>
        </w:tc>
        <w:tc>
          <w:tcPr>
            <w:tcW w:w="409"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3</w:t>
            </w:r>
            <w:r/>
          </w:p>
        </w:tc>
        <w:tc>
          <w:tcPr>
            <w:tcW w:w="761"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556"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597"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r>
      <w:tr>
        <w:trPr>
          <w:jc w:val="center"/>
        </w:trPr>
        <w:tc>
          <w:tcPr>
            <w:tcW w:w="352"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1.20 </w:t>
            </w:r>
            <w:r/>
          </w:p>
        </w:tc>
        <w:tc>
          <w:tcPr>
            <w:tcW w:w="1973" w:type="pct"/>
            <w:vAlign w:val="center"/>
            <w:textDirection w:val="lrTb"/>
            <w:noWrap w:val="false"/>
          </w:tcPr>
          <w:p>
            <w:pPr>
              <w:jc w:val="left"/>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木槿移除</w:t>
            </w:r>
            <w:r/>
          </w:p>
        </w:tc>
        <w:tc>
          <w:tcPr>
            <w:tcW w:w="352"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株</w:t>
            </w:r>
            <w:r/>
          </w:p>
        </w:tc>
        <w:tc>
          <w:tcPr>
            <w:tcW w:w="409"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7</w:t>
            </w:r>
            <w:r/>
          </w:p>
        </w:tc>
        <w:tc>
          <w:tcPr>
            <w:tcW w:w="761"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556"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597"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r>
      <w:tr>
        <w:trPr>
          <w:jc w:val="center"/>
        </w:trPr>
        <w:tc>
          <w:tcPr>
            <w:tcW w:w="352"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1.21</w:t>
            </w:r>
            <w:r/>
          </w:p>
        </w:tc>
        <w:tc>
          <w:tcPr>
            <w:tcW w:w="1973" w:type="pct"/>
            <w:vAlign w:val="center"/>
            <w:textDirection w:val="lrTb"/>
            <w:noWrap w:val="false"/>
          </w:tcPr>
          <w:p>
            <w:pPr>
              <w:jc w:val="left"/>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海桐移栽</w:t>
            </w:r>
            <w:r/>
          </w:p>
        </w:tc>
        <w:tc>
          <w:tcPr>
            <w:tcW w:w="352"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株</w:t>
            </w:r>
            <w:r/>
          </w:p>
        </w:tc>
        <w:tc>
          <w:tcPr>
            <w:tcW w:w="409"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3</w:t>
            </w:r>
            <w:r/>
          </w:p>
        </w:tc>
        <w:tc>
          <w:tcPr>
            <w:tcW w:w="761"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556"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597"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r>
      <w:tr>
        <w:trPr>
          <w:jc w:val="center"/>
        </w:trPr>
        <w:tc>
          <w:tcPr>
            <w:tcW w:w="352"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1.22 </w:t>
            </w:r>
            <w:r/>
          </w:p>
        </w:tc>
        <w:tc>
          <w:tcPr>
            <w:tcW w:w="1973" w:type="pct"/>
            <w:vAlign w:val="center"/>
            <w:textDirection w:val="lrTb"/>
            <w:noWrap w:val="false"/>
          </w:tcPr>
          <w:p>
            <w:pPr>
              <w:jc w:val="left"/>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既有黑松修剪</w:t>
            </w:r>
            <w:r/>
          </w:p>
        </w:tc>
        <w:tc>
          <w:tcPr>
            <w:tcW w:w="352"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株</w:t>
            </w:r>
            <w:r/>
          </w:p>
        </w:tc>
        <w:tc>
          <w:tcPr>
            <w:tcW w:w="409"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6</w:t>
            </w:r>
            <w:r/>
          </w:p>
        </w:tc>
        <w:tc>
          <w:tcPr>
            <w:tcW w:w="761"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556"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597"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r>
      <w:tr>
        <w:trPr>
          <w:jc w:val="center"/>
        </w:trPr>
        <w:tc>
          <w:tcPr>
            <w:tcW w:w="352"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1.23</w:t>
            </w:r>
            <w:r/>
          </w:p>
        </w:tc>
        <w:tc>
          <w:tcPr>
            <w:tcW w:w="1973" w:type="pct"/>
            <w:vAlign w:val="center"/>
            <w:textDirection w:val="lrTb"/>
            <w:noWrap w:val="false"/>
          </w:tcPr>
          <w:p>
            <w:pPr>
              <w:jc w:val="left"/>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杂草清理及植物综合梳理</w:t>
            </w:r>
            <w:r/>
          </w:p>
        </w:tc>
        <w:tc>
          <w:tcPr>
            <w:tcW w:w="352"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w:t>
            </w:r>
            <w:r/>
          </w:p>
        </w:tc>
        <w:tc>
          <w:tcPr>
            <w:tcW w:w="409"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195</w:t>
            </w:r>
            <w:r/>
          </w:p>
        </w:tc>
        <w:tc>
          <w:tcPr>
            <w:tcW w:w="761"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556"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597"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r>
      <w:tr>
        <w:trPr>
          <w:jc w:val="center"/>
        </w:trPr>
        <w:tc>
          <w:tcPr>
            <w:tcW w:w="352"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1.24 </w:t>
            </w:r>
            <w:r/>
          </w:p>
        </w:tc>
        <w:tc>
          <w:tcPr>
            <w:tcW w:w="1973" w:type="pct"/>
            <w:vAlign w:val="center"/>
            <w:textDirection w:val="lrTb"/>
            <w:noWrap w:val="false"/>
          </w:tcPr>
          <w:p>
            <w:pPr>
              <w:jc w:val="left"/>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绿化土方工程</w:t>
            </w:r>
            <w:r/>
          </w:p>
        </w:tc>
        <w:tc>
          <w:tcPr>
            <w:tcW w:w="352"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m³</w:t>
            </w:r>
            <w:r/>
          </w:p>
        </w:tc>
        <w:tc>
          <w:tcPr>
            <w:tcW w:w="409"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131.2</w:t>
            </w:r>
            <w:r/>
          </w:p>
        </w:tc>
        <w:tc>
          <w:tcPr>
            <w:tcW w:w="761"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556"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597"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r>
      <w:tr>
        <w:trPr>
          <w:jc w:val="center"/>
        </w:trPr>
        <w:tc>
          <w:tcPr>
            <w:tcW w:w="352" w:type="pct"/>
            <w:vAlign w:val="center"/>
            <w:textDirection w:val="lrTb"/>
            <w:noWrap/>
          </w:tcPr>
          <w:p>
            <w:pPr>
              <w:jc w:val="center"/>
              <w:widowControl/>
              <w:rPr>
                <w:rFonts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2</w:t>
            </w:r>
            <w:r/>
          </w:p>
        </w:tc>
        <w:tc>
          <w:tcPr>
            <w:tcW w:w="1973" w:type="pct"/>
            <w:vAlign w:val="center"/>
            <w:textDirection w:val="lrTb"/>
            <w:noWrap/>
          </w:tcPr>
          <w:p>
            <w:pPr>
              <w:jc w:val="center"/>
              <w:widowControl/>
              <w:rPr>
                <w:rFonts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设施改造</w:t>
            </w:r>
            <w:r>
              <w:rPr>
                <w:rFonts w:ascii="宋体" w:hAnsi="宋体" w:cs="宋体"/>
                <w:b/>
                <w:bCs/>
                <w:color w:val="000000" w:themeColor="text1"/>
                <w:szCs w:val="21"/>
                <w14:textFill>
                  <w14:solidFill>
                    <w14:schemeClr w14:val="tx1"/>
                  </w14:solidFill>
                </w14:textFill>
              </w:rPr>
              <w:t xml:space="preserve">工程</w:t>
            </w:r>
            <w:r/>
          </w:p>
        </w:tc>
        <w:tc>
          <w:tcPr>
            <w:tcW w:w="352" w:type="pct"/>
            <w:vAlign w:val="center"/>
            <w:textDirection w:val="lrTb"/>
            <w:noWrap/>
          </w:tcPr>
          <w:p>
            <w:pPr>
              <w:jc w:val="center"/>
              <w:widowControl/>
              <w:rPr>
                <w:rFonts w:ascii="宋体" w:hAnsi="宋体" w:cs="宋体"/>
                <w:b/>
                <w:bCs/>
                <w:color w:val="000000" w:themeColor="text1"/>
                <w:szCs w:val="21"/>
                <w14:textFill>
                  <w14:solidFill>
                    <w14:schemeClr w14:val="tx1"/>
                  </w14:solidFill>
                </w14:textFill>
              </w:rPr>
            </w:pPr>
            <w:r>
              <w:rPr>
                <w:rFonts w:ascii="宋体" w:hAnsi="宋体" w:cs="宋体"/>
                <w:b/>
                <w:bCs/>
                <w:color w:val="000000" w:themeColor="text1"/>
                <w:szCs w:val="21"/>
                <w14:textFill>
                  <w14:solidFill>
                    <w14:schemeClr w14:val="tx1"/>
                  </w14:solidFill>
                </w14:textFill>
              </w:rPr>
              <w:t xml:space="preserve">　</w:t>
            </w:r>
            <w:r/>
          </w:p>
        </w:tc>
        <w:tc>
          <w:tcPr>
            <w:tcW w:w="409" w:type="pct"/>
            <w:vAlign w:val="center"/>
            <w:textDirection w:val="lrTb"/>
            <w:noWrap/>
          </w:tcPr>
          <w:p>
            <w:pPr>
              <w:jc w:val="center"/>
              <w:widowControl/>
              <w:rPr>
                <w:rFonts w:ascii="宋体" w:hAnsi="宋体" w:cs="宋体"/>
                <w:b/>
                <w:bCs/>
                <w:color w:val="000000" w:themeColor="text1"/>
                <w:szCs w:val="21"/>
                <w14:textFill>
                  <w14:solidFill>
                    <w14:schemeClr w14:val="tx1"/>
                  </w14:solidFill>
                </w14:textFill>
              </w:rPr>
            </w:pPr>
            <w:r>
              <w:rPr>
                <w:rFonts w:ascii="宋体" w:hAnsi="宋体" w:cs="宋体"/>
                <w:b/>
                <w:bCs/>
                <w:color w:val="000000" w:themeColor="text1"/>
                <w:szCs w:val="21"/>
                <w14:textFill>
                  <w14:solidFill>
                    <w14:schemeClr w14:val="tx1"/>
                  </w14:solidFill>
                </w14:textFill>
              </w:rPr>
              <w:t xml:space="preserve">　</w:t>
            </w:r>
            <w:r/>
          </w:p>
        </w:tc>
        <w:tc>
          <w:tcPr>
            <w:tcW w:w="761" w:type="pct"/>
            <w:vAlign w:val="center"/>
            <w:textDirection w:val="lrTb"/>
            <w:noWrap w:val="false"/>
          </w:tcPr>
          <w:p>
            <w:pPr>
              <w:jc w:val="center"/>
              <w:widowControl/>
              <w:rPr>
                <w:rFonts w:ascii="宋体" w:hAnsi="宋体" w:cs="宋体"/>
                <w:b/>
                <w:bCs/>
                <w:color w:val="000000" w:themeColor="text1"/>
                <w:szCs w:val="21"/>
                <w14:textFill>
                  <w14:solidFill>
                    <w14:schemeClr w14:val="tx1"/>
                  </w14:solidFill>
                </w14:textFill>
              </w:rPr>
            </w:pPr>
            <w:r>
              <w:rPr>
                <w:rFonts w:ascii="宋体" w:hAnsi="宋体" w:cs="宋体"/>
                <w:b/>
                <w:bCs/>
                <w:color w:val="000000" w:themeColor="text1"/>
                <w:szCs w:val="21"/>
                <w14:textFill>
                  <w14:solidFill>
                    <w14:schemeClr w14:val="tx1"/>
                  </w14:solidFill>
                </w14:textFill>
              </w:rPr>
            </w:r>
            <w:r/>
          </w:p>
        </w:tc>
        <w:tc>
          <w:tcPr>
            <w:tcW w:w="556" w:type="pct"/>
            <w:vAlign w:val="center"/>
            <w:textDirection w:val="lrTb"/>
            <w:noWrap w:val="false"/>
          </w:tcPr>
          <w:p>
            <w:pPr>
              <w:jc w:val="center"/>
              <w:widowControl/>
              <w:rPr>
                <w:rFonts w:ascii="宋体" w:hAnsi="宋体" w:cs="宋体"/>
                <w:b/>
                <w:bCs/>
                <w:color w:val="000000" w:themeColor="text1"/>
                <w:szCs w:val="21"/>
                <w14:textFill>
                  <w14:solidFill>
                    <w14:schemeClr w14:val="tx1"/>
                  </w14:solidFill>
                </w14:textFill>
              </w:rPr>
            </w:pPr>
            <w:r>
              <w:rPr>
                <w:rFonts w:ascii="宋体" w:hAnsi="宋体" w:cs="宋体"/>
                <w:b/>
                <w:bCs/>
                <w:color w:val="000000" w:themeColor="text1"/>
                <w:szCs w:val="21"/>
                <w14:textFill>
                  <w14:solidFill>
                    <w14:schemeClr w14:val="tx1"/>
                  </w14:solidFill>
                </w14:textFill>
              </w:rPr>
            </w:r>
            <w:r/>
          </w:p>
        </w:tc>
        <w:tc>
          <w:tcPr>
            <w:tcW w:w="597" w:type="pct"/>
            <w:vAlign w:val="center"/>
            <w:textDirection w:val="lrTb"/>
            <w:noWrap w:val="false"/>
          </w:tcPr>
          <w:p>
            <w:pPr>
              <w:jc w:val="center"/>
              <w:widowControl/>
              <w:rPr>
                <w:rFonts w:ascii="宋体" w:hAnsi="宋体" w:cs="宋体"/>
                <w:b/>
                <w:bCs/>
                <w:color w:val="000000" w:themeColor="text1"/>
                <w:szCs w:val="21"/>
                <w14:textFill>
                  <w14:solidFill>
                    <w14:schemeClr w14:val="tx1"/>
                  </w14:solidFill>
                </w14:textFill>
              </w:rPr>
            </w:pPr>
            <w:r>
              <w:rPr>
                <w:rFonts w:ascii="宋体" w:hAnsi="宋体" w:cs="宋体"/>
                <w:b/>
                <w:bCs/>
                <w:color w:val="000000" w:themeColor="text1"/>
                <w:szCs w:val="21"/>
                <w14:textFill>
                  <w14:solidFill>
                    <w14:schemeClr w14:val="tx1"/>
                  </w14:solidFill>
                </w14:textFill>
              </w:rPr>
            </w:r>
            <w:r/>
          </w:p>
        </w:tc>
      </w:tr>
      <w:tr>
        <w:trPr>
          <w:jc w:val="center"/>
        </w:trPr>
        <w:tc>
          <w:tcPr>
            <w:tcW w:w="352"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2.1 </w:t>
            </w:r>
            <w:r/>
          </w:p>
        </w:tc>
        <w:tc>
          <w:tcPr>
            <w:tcW w:w="1973" w:type="pct"/>
            <w:vAlign w:val="center"/>
            <w:textDirection w:val="lrTb"/>
            <w:noWrap w:val="false"/>
          </w:tcPr>
          <w:p>
            <w:pPr>
              <w:jc w:val="left"/>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水文设备混凝土基础</w:t>
            </w:r>
            <w:r/>
          </w:p>
        </w:tc>
        <w:tc>
          <w:tcPr>
            <w:tcW w:w="352"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409"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761"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556"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597"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r>
      <w:tr>
        <w:trPr>
          <w:jc w:val="center"/>
        </w:trPr>
        <w:tc>
          <w:tcPr>
            <w:tcW w:w="352"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2.1.1</w:t>
            </w:r>
            <w:r/>
          </w:p>
        </w:tc>
        <w:tc>
          <w:tcPr>
            <w:tcW w:w="1973" w:type="pct"/>
            <w:vAlign w:val="center"/>
            <w:textDirection w:val="lrTb"/>
            <w:noWrap w:val="false"/>
          </w:tcPr>
          <w:p>
            <w:pPr>
              <w:jc w:val="lef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蒸发皿基础</w:t>
            </w:r>
            <w:r/>
          </w:p>
        </w:tc>
        <w:tc>
          <w:tcPr>
            <w:tcW w:w="352"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座</w:t>
            </w:r>
            <w:r/>
          </w:p>
        </w:tc>
        <w:tc>
          <w:tcPr>
            <w:tcW w:w="409"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w:t>
            </w:r>
            <w:r/>
          </w:p>
        </w:tc>
        <w:tc>
          <w:tcPr>
            <w:tcW w:w="761"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556"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597"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r>
      <w:tr>
        <w:trPr>
          <w:jc w:val="center"/>
        </w:trPr>
        <w:tc>
          <w:tcPr>
            <w:tcW w:w="352"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2.1.2</w:t>
            </w:r>
            <w:r/>
          </w:p>
        </w:tc>
        <w:tc>
          <w:tcPr>
            <w:tcW w:w="1973" w:type="pct"/>
            <w:vAlign w:val="center"/>
            <w:textDirection w:val="lrTb"/>
            <w:noWrap w:val="false"/>
          </w:tcPr>
          <w:p>
            <w:pPr>
              <w:jc w:val="lef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气象等水文设备安装基础</w:t>
            </w:r>
            <w:r/>
          </w:p>
        </w:tc>
        <w:tc>
          <w:tcPr>
            <w:tcW w:w="352"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座</w:t>
            </w:r>
            <w:r/>
          </w:p>
        </w:tc>
        <w:tc>
          <w:tcPr>
            <w:tcW w:w="409"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9</w:t>
            </w:r>
            <w:r/>
          </w:p>
        </w:tc>
        <w:tc>
          <w:tcPr>
            <w:tcW w:w="761"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556"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597"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r>
      <w:tr>
        <w:trPr>
          <w:jc w:val="center"/>
        </w:trPr>
        <w:tc>
          <w:tcPr>
            <w:tcW w:w="352"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2.2</w:t>
            </w:r>
            <w:r/>
          </w:p>
        </w:tc>
        <w:tc>
          <w:tcPr>
            <w:tcW w:w="1973" w:type="pct"/>
            <w:vAlign w:val="center"/>
            <w:textDirection w:val="lrTb"/>
            <w:noWrap w:val="false"/>
          </w:tcPr>
          <w:p>
            <w:pPr>
              <w:jc w:val="left"/>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定制货架</w:t>
            </w:r>
            <w:r/>
          </w:p>
        </w:tc>
        <w:tc>
          <w:tcPr>
            <w:tcW w:w="352"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套</w:t>
            </w:r>
            <w:r/>
          </w:p>
        </w:tc>
        <w:tc>
          <w:tcPr>
            <w:tcW w:w="409"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1</w:t>
            </w:r>
            <w:r/>
          </w:p>
        </w:tc>
        <w:tc>
          <w:tcPr>
            <w:tcW w:w="761"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556"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597"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r>
      <w:tr>
        <w:trPr>
          <w:jc w:val="center"/>
        </w:trPr>
        <w:tc>
          <w:tcPr>
            <w:tcW w:w="352"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2.3 </w:t>
            </w:r>
            <w:r/>
          </w:p>
        </w:tc>
        <w:tc>
          <w:tcPr>
            <w:tcW w:w="1973" w:type="pct"/>
            <w:vAlign w:val="center"/>
            <w:textDirection w:val="lrTb"/>
            <w:noWrap w:val="false"/>
          </w:tcPr>
          <w:p>
            <w:pPr>
              <w:jc w:val="left"/>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3D模型灯箱</w:t>
            </w:r>
            <w:r/>
          </w:p>
        </w:tc>
        <w:tc>
          <w:tcPr>
            <w:tcW w:w="352"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套</w:t>
            </w:r>
            <w:r/>
          </w:p>
        </w:tc>
        <w:tc>
          <w:tcPr>
            <w:tcW w:w="409"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1</w:t>
            </w:r>
            <w:r/>
          </w:p>
        </w:tc>
        <w:tc>
          <w:tcPr>
            <w:tcW w:w="761"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556"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597"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r>
      <w:tr>
        <w:trPr>
          <w:jc w:val="center"/>
        </w:trPr>
        <w:tc>
          <w:tcPr>
            <w:tcW w:w="352"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2.4 </w:t>
            </w:r>
            <w:r/>
          </w:p>
        </w:tc>
        <w:tc>
          <w:tcPr>
            <w:tcW w:w="1973" w:type="pct"/>
            <w:vAlign w:val="center"/>
            <w:textDirection w:val="lrTb"/>
            <w:noWrap w:val="false"/>
          </w:tcPr>
          <w:p>
            <w:pPr>
              <w:jc w:val="left"/>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会商展示室南北两面墙的钢结构隔墙</w:t>
            </w:r>
            <w:r/>
          </w:p>
        </w:tc>
        <w:tc>
          <w:tcPr>
            <w:tcW w:w="352"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项</w:t>
            </w:r>
            <w:r/>
          </w:p>
        </w:tc>
        <w:tc>
          <w:tcPr>
            <w:tcW w:w="409"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1</w:t>
            </w:r>
            <w:r/>
          </w:p>
        </w:tc>
        <w:tc>
          <w:tcPr>
            <w:tcW w:w="761"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556"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597"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r>
      <w:tr>
        <w:trPr>
          <w:jc w:val="center"/>
        </w:trPr>
        <w:tc>
          <w:tcPr>
            <w:tcW w:w="352"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2.5 </w:t>
            </w:r>
            <w:r/>
          </w:p>
        </w:tc>
        <w:tc>
          <w:tcPr>
            <w:tcW w:w="1973" w:type="pct"/>
            <w:vAlign w:val="center"/>
            <w:textDirection w:val="lrTb"/>
            <w:noWrap w:val="false"/>
          </w:tcPr>
          <w:p>
            <w:pPr>
              <w:jc w:val="left"/>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中间办公室后墙体开窗</w:t>
            </w:r>
            <w:r/>
          </w:p>
        </w:tc>
        <w:tc>
          <w:tcPr>
            <w:tcW w:w="352"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樘</w:t>
            </w:r>
            <w:r/>
          </w:p>
        </w:tc>
        <w:tc>
          <w:tcPr>
            <w:tcW w:w="409"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1</w:t>
            </w:r>
            <w:r/>
          </w:p>
        </w:tc>
        <w:tc>
          <w:tcPr>
            <w:tcW w:w="761"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556"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597"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r>
      <w:tr>
        <w:trPr>
          <w:jc w:val="center"/>
        </w:trPr>
        <w:tc>
          <w:tcPr>
            <w:tcW w:w="352"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2.6 </w:t>
            </w:r>
            <w:r/>
          </w:p>
        </w:tc>
        <w:tc>
          <w:tcPr>
            <w:tcW w:w="1973" w:type="pct"/>
            <w:vAlign w:val="center"/>
            <w:textDirection w:val="lrTb"/>
            <w:noWrap w:val="false"/>
          </w:tcPr>
          <w:p>
            <w:pPr>
              <w:jc w:val="left"/>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中间办公室前玻璃幕墙开窗</w:t>
            </w:r>
            <w:r/>
          </w:p>
        </w:tc>
        <w:tc>
          <w:tcPr>
            <w:tcW w:w="352"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处</w:t>
            </w:r>
            <w:r/>
          </w:p>
        </w:tc>
        <w:tc>
          <w:tcPr>
            <w:tcW w:w="409"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1</w:t>
            </w:r>
            <w:r/>
          </w:p>
        </w:tc>
        <w:tc>
          <w:tcPr>
            <w:tcW w:w="761"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556"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597"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r>
      <w:tr>
        <w:trPr>
          <w:jc w:val="center"/>
        </w:trPr>
        <w:tc>
          <w:tcPr>
            <w:tcW w:w="352"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2.7 </w:t>
            </w:r>
            <w:r/>
          </w:p>
        </w:tc>
        <w:tc>
          <w:tcPr>
            <w:tcW w:w="1973" w:type="pct"/>
            <w:vAlign w:val="center"/>
            <w:textDirection w:val="lrTb"/>
            <w:noWrap w:val="false"/>
          </w:tcPr>
          <w:p>
            <w:pPr>
              <w:jc w:val="left"/>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会商展示室灯具更换</w:t>
            </w:r>
            <w:r/>
          </w:p>
        </w:tc>
        <w:tc>
          <w:tcPr>
            <w:tcW w:w="352"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项</w:t>
            </w:r>
            <w:r/>
          </w:p>
        </w:tc>
        <w:tc>
          <w:tcPr>
            <w:tcW w:w="409"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1</w:t>
            </w:r>
            <w:r/>
          </w:p>
        </w:tc>
        <w:tc>
          <w:tcPr>
            <w:tcW w:w="761"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556"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597"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r>
      <w:tr>
        <w:trPr>
          <w:jc w:val="center"/>
        </w:trPr>
        <w:tc>
          <w:tcPr>
            <w:tcW w:w="352"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2.8 </w:t>
            </w:r>
            <w:r/>
          </w:p>
        </w:tc>
        <w:tc>
          <w:tcPr>
            <w:tcW w:w="1973" w:type="pct"/>
            <w:vAlign w:val="center"/>
            <w:textDirection w:val="lrTb"/>
            <w:noWrap w:val="false"/>
          </w:tcPr>
          <w:p>
            <w:pPr>
              <w:jc w:val="left"/>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墙面乳胶漆出新</w:t>
            </w:r>
            <w:r/>
          </w:p>
        </w:tc>
        <w:tc>
          <w:tcPr>
            <w:tcW w:w="352"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项</w:t>
            </w:r>
            <w:r/>
          </w:p>
        </w:tc>
        <w:tc>
          <w:tcPr>
            <w:tcW w:w="409"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1</w:t>
            </w:r>
            <w:r/>
          </w:p>
        </w:tc>
        <w:tc>
          <w:tcPr>
            <w:tcW w:w="761"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556"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597"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r>
      <w:tr>
        <w:trPr>
          <w:jc w:val="center"/>
        </w:trPr>
        <w:tc>
          <w:tcPr>
            <w:tcW w:w="352"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2.9 </w:t>
            </w:r>
            <w:r/>
          </w:p>
        </w:tc>
        <w:tc>
          <w:tcPr>
            <w:tcW w:w="1973" w:type="pct"/>
            <w:vAlign w:val="center"/>
            <w:textDirection w:val="lrTb"/>
            <w:noWrap w:val="false"/>
          </w:tcPr>
          <w:p>
            <w:pPr>
              <w:jc w:val="left"/>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乳胶漆顶出新</w:t>
            </w:r>
            <w:r/>
          </w:p>
        </w:tc>
        <w:tc>
          <w:tcPr>
            <w:tcW w:w="352"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项</w:t>
            </w:r>
            <w:r/>
          </w:p>
        </w:tc>
        <w:tc>
          <w:tcPr>
            <w:tcW w:w="409"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1</w:t>
            </w:r>
            <w:r/>
          </w:p>
        </w:tc>
        <w:tc>
          <w:tcPr>
            <w:tcW w:w="761"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556"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597"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r>
      <w:tr>
        <w:trPr>
          <w:jc w:val="center"/>
        </w:trPr>
        <w:tc>
          <w:tcPr>
            <w:tcW w:w="352" w:type="pct"/>
            <w:vAlign w:val="center"/>
            <w:textDirection w:val="lrTb"/>
            <w:noWrap/>
          </w:tcPr>
          <w:p>
            <w:pPr>
              <w:jc w:val="center"/>
              <w:widowControl/>
              <w:rPr>
                <w:rFonts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3</w:t>
            </w:r>
            <w:r/>
          </w:p>
        </w:tc>
        <w:tc>
          <w:tcPr>
            <w:tcW w:w="1973" w:type="pct"/>
            <w:vAlign w:val="center"/>
            <w:textDirection w:val="lrTb"/>
            <w:noWrap/>
          </w:tcPr>
          <w:p>
            <w:pPr>
              <w:jc w:val="center"/>
              <w:widowControl/>
              <w:rPr>
                <w:rFonts w:ascii="宋体" w:hAnsi="宋体" w:cs="宋体"/>
                <w:b/>
                <w:bCs/>
                <w:color w:val="000000" w:themeColor="text1"/>
                <w:szCs w:val="21"/>
                <w14:textFill>
                  <w14:solidFill>
                    <w14:schemeClr w14:val="tx1"/>
                  </w14:solidFill>
                </w14:textFill>
              </w:rPr>
            </w:pPr>
            <w:r>
              <w:rPr>
                <w:rFonts w:ascii="宋体" w:hAnsi="宋体" w:cs="宋体"/>
                <w:b/>
                <w:bCs/>
                <w:color w:val="000000" w:themeColor="text1"/>
                <w:szCs w:val="21"/>
                <w14:textFill>
                  <w14:solidFill>
                    <w14:schemeClr w14:val="tx1"/>
                  </w14:solidFill>
                </w14:textFill>
              </w:rPr>
              <w:t xml:space="preserve">通用安装工程</w:t>
            </w:r>
            <w:r/>
          </w:p>
        </w:tc>
        <w:tc>
          <w:tcPr>
            <w:tcW w:w="352" w:type="pct"/>
            <w:vAlign w:val="center"/>
            <w:textDirection w:val="lrTb"/>
            <w:noWrap/>
          </w:tcPr>
          <w:p>
            <w:pPr>
              <w:jc w:val="center"/>
              <w:widowControl/>
              <w:rPr>
                <w:rFonts w:ascii="宋体" w:hAnsi="宋体" w:cs="宋体"/>
                <w:b/>
                <w:bCs/>
                <w:color w:val="000000" w:themeColor="text1"/>
                <w:szCs w:val="21"/>
                <w14:textFill>
                  <w14:solidFill>
                    <w14:schemeClr w14:val="tx1"/>
                  </w14:solidFill>
                </w14:textFill>
              </w:rPr>
            </w:pPr>
            <w:r>
              <w:rPr>
                <w:rFonts w:ascii="宋体" w:hAnsi="宋体" w:cs="宋体"/>
                <w:b/>
                <w:bCs/>
                <w:color w:val="000000" w:themeColor="text1"/>
                <w:szCs w:val="21"/>
                <w14:textFill>
                  <w14:solidFill>
                    <w14:schemeClr w14:val="tx1"/>
                  </w14:solidFill>
                </w14:textFill>
              </w:rPr>
              <w:t xml:space="preserve">　</w:t>
            </w:r>
            <w:r/>
          </w:p>
        </w:tc>
        <w:tc>
          <w:tcPr>
            <w:tcW w:w="409" w:type="pct"/>
            <w:vAlign w:val="center"/>
            <w:textDirection w:val="lrTb"/>
            <w:noWrap/>
          </w:tcPr>
          <w:p>
            <w:pPr>
              <w:jc w:val="center"/>
              <w:widowControl/>
              <w:rPr>
                <w:rFonts w:ascii="宋体" w:hAnsi="宋体" w:cs="宋体"/>
                <w:b/>
                <w:bCs/>
                <w:color w:val="000000" w:themeColor="text1"/>
                <w:szCs w:val="21"/>
                <w14:textFill>
                  <w14:solidFill>
                    <w14:schemeClr w14:val="tx1"/>
                  </w14:solidFill>
                </w14:textFill>
              </w:rPr>
            </w:pPr>
            <w:r>
              <w:rPr>
                <w:rFonts w:ascii="宋体" w:hAnsi="宋体" w:cs="宋体"/>
                <w:b/>
                <w:bCs/>
                <w:color w:val="000000" w:themeColor="text1"/>
                <w:szCs w:val="21"/>
                <w14:textFill>
                  <w14:solidFill>
                    <w14:schemeClr w14:val="tx1"/>
                  </w14:solidFill>
                </w14:textFill>
              </w:rPr>
              <w:t xml:space="preserve">　</w:t>
            </w:r>
            <w:r/>
          </w:p>
        </w:tc>
        <w:tc>
          <w:tcPr>
            <w:tcW w:w="761" w:type="pct"/>
            <w:vAlign w:val="center"/>
            <w:textDirection w:val="lrTb"/>
            <w:noWrap w:val="false"/>
          </w:tcPr>
          <w:p>
            <w:pPr>
              <w:jc w:val="center"/>
              <w:widowControl/>
              <w:rPr>
                <w:rFonts w:ascii="宋体" w:hAnsi="宋体" w:cs="宋体"/>
                <w:b/>
                <w:bCs/>
                <w:color w:val="000000" w:themeColor="text1"/>
                <w:szCs w:val="21"/>
                <w14:textFill>
                  <w14:solidFill>
                    <w14:schemeClr w14:val="tx1"/>
                  </w14:solidFill>
                </w14:textFill>
              </w:rPr>
            </w:pPr>
            <w:r>
              <w:rPr>
                <w:rFonts w:ascii="宋体" w:hAnsi="宋体" w:cs="宋体"/>
                <w:b/>
                <w:bCs/>
                <w:color w:val="000000" w:themeColor="text1"/>
                <w:szCs w:val="21"/>
                <w14:textFill>
                  <w14:solidFill>
                    <w14:schemeClr w14:val="tx1"/>
                  </w14:solidFill>
                </w14:textFill>
              </w:rPr>
            </w:r>
            <w:r/>
          </w:p>
        </w:tc>
        <w:tc>
          <w:tcPr>
            <w:tcW w:w="556" w:type="pct"/>
            <w:vAlign w:val="center"/>
            <w:textDirection w:val="lrTb"/>
            <w:noWrap w:val="false"/>
          </w:tcPr>
          <w:p>
            <w:pPr>
              <w:jc w:val="center"/>
              <w:widowControl/>
              <w:rPr>
                <w:rFonts w:ascii="宋体" w:hAnsi="宋体" w:cs="宋体"/>
                <w:b/>
                <w:bCs/>
                <w:color w:val="000000" w:themeColor="text1"/>
                <w:szCs w:val="21"/>
                <w14:textFill>
                  <w14:solidFill>
                    <w14:schemeClr w14:val="tx1"/>
                  </w14:solidFill>
                </w14:textFill>
              </w:rPr>
            </w:pPr>
            <w:r>
              <w:rPr>
                <w:rFonts w:ascii="宋体" w:hAnsi="宋体" w:cs="宋体"/>
                <w:b/>
                <w:bCs/>
                <w:color w:val="000000" w:themeColor="text1"/>
                <w:szCs w:val="21"/>
                <w14:textFill>
                  <w14:solidFill>
                    <w14:schemeClr w14:val="tx1"/>
                  </w14:solidFill>
                </w14:textFill>
              </w:rPr>
            </w:r>
            <w:r/>
          </w:p>
        </w:tc>
        <w:tc>
          <w:tcPr>
            <w:tcW w:w="597" w:type="pct"/>
            <w:vAlign w:val="center"/>
            <w:textDirection w:val="lrTb"/>
            <w:noWrap w:val="false"/>
          </w:tcPr>
          <w:p>
            <w:pPr>
              <w:jc w:val="center"/>
              <w:widowControl/>
              <w:rPr>
                <w:rFonts w:ascii="宋体" w:hAnsi="宋体" w:cs="宋体"/>
                <w:b/>
                <w:bCs/>
                <w:color w:val="000000" w:themeColor="text1"/>
                <w:szCs w:val="21"/>
                <w14:textFill>
                  <w14:solidFill>
                    <w14:schemeClr w14:val="tx1"/>
                  </w14:solidFill>
                </w14:textFill>
              </w:rPr>
            </w:pPr>
            <w:r>
              <w:rPr>
                <w:rFonts w:ascii="宋体" w:hAnsi="宋体" w:cs="宋体"/>
                <w:b/>
                <w:bCs/>
                <w:color w:val="000000" w:themeColor="text1"/>
                <w:szCs w:val="21"/>
                <w14:textFill>
                  <w14:solidFill>
                    <w14:schemeClr w14:val="tx1"/>
                  </w14:solidFill>
                </w14:textFill>
              </w:rPr>
            </w:r>
            <w:r/>
          </w:p>
        </w:tc>
      </w:tr>
      <w:tr>
        <w:trPr>
          <w:jc w:val="center"/>
        </w:trPr>
        <w:tc>
          <w:tcPr>
            <w:tcW w:w="352"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3.1 </w:t>
            </w:r>
            <w:r/>
          </w:p>
        </w:tc>
        <w:tc>
          <w:tcPr>
            <w:tcW w:w="1973" w:type="pct"/>
            <w:vAlign w:val="center"/>
            <w:textDirection w:val="lrTb"/>
            <w:noWrap w:val="false"/>
          </w:tcPr>
          <w:p>
            <w:pPr>
              <w:jc w:val="left"/>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仓库网线敷设</w:t>
            </w:r>
            <w:r/>
          </w:p>
        </w:tc>
        <w:tc>
          <w:tcPr>
            <w:tcW w:w="352"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路</w:t>
            </w:r>
            <w:r/>
          </w:p>
        </w:tc>
        <w:tc>
          <w:tcPr>
            <w:tcW w:w="409"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2 </w:t>
            </w:r>
            <w:r/>
          </w:p>
        </w:tc>
        <w:tc>
          <w:tcPr>
            <w:tcW w:w="761"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556"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597"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r>
      <w:tr>
        <w:trPr>
          <w:jc w:val="center"/>
        </w:trPr>
        <w:tc>
          <w:tcPr>
            <w:tcW w:w="352"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3.2 </w:t>
            </w:r>
            <w:r/>
          </w:p>
        </w:tc>
        <w:tc>
          <w:tcPr>
            <w:tcW w:w="1973" w:type="pct"/>
            <w:vAlign w:val="center"/>
            <w:textDirection w:val="lrTb"/>
            <w:noWrap w:val="false"/>
          </w:tcPr>
          <w:p>
            <w:pPr>
              <w:jc w:val="left"/>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强电综合布线、插座及桥架</w:t>
            </w:r>
            <w:r/>
          </w:p>
        </w:tc>
        <w:tc>
          <w:tcPr>
            <w:tcW w:w="352"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项</w:t>
            </w:r>
            <w:r/>
          </w:p>
        </w:tc>
        <w:tc>
          <w:tcPr>
            <w:tcW w:w="409"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1 </w:t>
            </w:r>
            <w:r/>
          </w:p>
        </w:tc>
        <w:tc>
          <w:tcPr>
            <w:tcW w:w="761"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556"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597"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r>
      <w:tr>
        <w:trPr>
          <w:jc w:val="center"/>
        </w:trPr>
        <w:tc>
          <w:tcPr>
            <w:tcW w:w="352" w:type="pct"/>
            <w:vAlign w:val="center"/>
            <w:textDirection w:val="lrTb"/>
            <w:noWrap w:val="false"/>
          </w:tcPr>
          <w:p>
            <w:pPr>
              <w:jc w:val="center"/>
              <w:widowControl/>
              <w:rPr>
                <w:rFonts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4</w:t>
            </w:r>
            <w:r/>
          </w:p>
        </w:tc>
        <w:tc>
          <w:tcPr>
            <w:tcW w:w="1973" w:type="pct"/>
            <w:vAlign w:val="center"/>
            <w:textDirection w:val="lrTb"/>
            <w:noWrap w:val="false"/>
          </w:tcPr>
          <w:p>
            <w:pPr>
              <w:jc w:val="center"/>
              <w:widowControl/>
              <w:rPr>
                <w:rFonts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其他</w:t>
            </w:r>
            <w:r/>
          </w:p>
        </w:tc>
        <w:tc>
          <w:tcPr>
            <w:tcW w:w="352"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409"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761"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556"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597"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r>
      <w:tr>
        <w:trPr>
          <w:jc w:val="center"/>
        </w:trPr>
        <w:tc>
          <w:tcPr>
            <w:tcW w:w="352"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4.1</w:t>
            </w:r>
            <w:r/>
          </w:p>
        </w:tc>
        <w:tc>
          <w:tcPr>
            <w:tcW w:w="1973" w:type="pct"/>
            <w:vAlign w:val="center"/>
            <w:textDirection w:val="lrTb"/>
            <w:noWrap w:val="false"/>
          </w:tcPr>
          <w:p>
            <w:pPr>
              <w:jc w:val="lef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零星工程</w:t>
            </w:r>
            <w:r/>
          </w:p>
        </w:tc>
        <w:tc>
          <w:tcPr>
            <w:tcW w:w="352"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项</w:t>
            </w:r>
            <w:r/>
          </w:p>
        </w:tc>
        <w:tc>
          <w:tcPr>
            <w:tcW w:w="409"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w:t>
            </w:r>
            <w:r/>
          </w:p>
        </w:tc>
        <w:tc>
          <w:tcPr>
            <w:tcW w:w="761"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556"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597"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r>
      <w:tr>
        <w:trPr>
          <w:jc w:val="center"/>
        </w:trPr>
        <w:tc>
          <w:tcPr>
            <w:tcW w:w="352" w:type="pct"/>
            <w:vAlign w:val="center"/>
            <w:textDirection w:val="lrTb"/>
            <w:noWrap w:val="false"/>
          </w:tcPr>
          <w:p>
            <w:pPr>
              <w:jc w:val="center"/>
              <w:widowControl/>
              <w:rPr>
                <w:rFonts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三</w:t>
            </w:r>
            <w:r/>
          </w:p>
        </w:tc>
        <w:tc>
          <w:tcPr>
            <w:tcW w:w="1973" w:type="pct"/>
            <w:vAlign w:val="center"/>
            <w:textDirection w:val="lrTb"/>
            <w:noWrap w:val="false"/>
          </w:tcPr>
          <w:p>
            <w:pPr>
              <w:jc w:val="center"/>
              <w:widowControl/>
              <w:rPr>
                <w:rFonts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总计</w:t>
            </w:r>
            <w:r/>
          </w:p>
        </w:tc>
        <w:tc>
          <w:tcPr>
            <w:tcW w:w="352"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409"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761"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556"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597"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r>
    </w:tbl>
    <w:p>
      <w:pPr>
        <w:jc w:val="left"/>
        <w:spacing w:line="360" w:lineRule="auto"/>
        <w:shd w:val="clear" w:color="auto" w:fill="ffffff"/>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p>
      <w:pPr>
        <w:jc w:val="left"/>
        <w:spacing w:line="360" w:lineRule="auto"/>
        <w:shd w:val="clear" w:color="auto" w:fill="ffffff"/>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p>
      <w:pPr>
        <w:ind w:firstLine="420"/>
        <w:jc w:val="left"/>
        <w:spacing w:line="360" w:lineRule="auto"/>
        <w:shd w:val="clear" w:color="auto" w:fill="ffffff"/>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供应商名称（加盖电子公章）：</w:t>
      </w:r>
      <w:r>
        <w:rPr>
          <w:color w:val="000000" w:themeColor="text1"/>
          <w:szCs w:val="21"/>
          <w:u w:val="single"/>
          <w14:textFill>
            <w14:solidFill>
              <w14:schemeClr w14:val="tx1"/>
            </w14:solidFill>
          </w14:textFill>
        </w:rPr>
        <w:t xml:space="preserve">                </w:t>
      </w:r>
      <w:r/>
    </w:p>
    <w:p>
      <w:pPr>
        <w:ind w:firstLine="420"/>
        <w:jc w:val="left"/>
        <w:spacing w:line="360" w:lineRule="auto"/>
        <w:shd w:val="clear" w:color="auto" w:fill="ffffff"/>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日    期：   年    月    日</w:t>
      </w:r>
      <w:r/>
    </w:p>
    <w:p>
      <w:pPr>
        <w:jc w:val="left"/>
        <w:spacing w:line="360" w:lineRule="auto"/>
        <w:shd w:val="clear" w:color="auto" w:fill="ffffff"/>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p>
      <w:pPr>
        <w:jc w:val="left"/>
        <w:spacing w:line="360" w:lineRule="auto"/>
        <w:shd w:val="clear" w:color="auto" w:fill="ffffff"/>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p>
      <w:pPr>
        <w:pStyle w:val="859"/>
        <w:numPr>
          <w:ilvl w:val="0"/>
          <w:numId w:val="0"/>
        </w:numPr>
        <w:rPr>
          <w:rFonts w:ascii="宋体" w:hAnsi="宋体" w:cs="宋体"/>
          <w:color w:val="000000" w:themeColor="text1"/>
          <w:sz w:val="21"/>
          <w:szCs w:val="21"/>
          <w:lang w:val="zh-CN"/>
          <w14:textFill>
            <w14:solidFill>
              <w14:schemeClr w14:val="tx1"/>
            </w14:solidFill>
          </w14:textFill>
        </w:rPr>
      </w:pPr>
      <w:r>
        <w:rPr>
          <w:rFonts w:hint="eastAsia" w:ascii="宋体" w:hAnsi="宋体" w:cs="宋体"/>
          <w:color w:val="000000" w:themeColor="text1"/>
          <w:szCs w:val="21"/>
          <w14:textFill>
            <w14:solidFill>
              <w14:schemeClr w14:val="tx1"/>
            </w14:solidFill>
          </w14:textFill>
        </w:rPr>
        <w:br w:type="page" w:clear="all"/>
      </w:r>
      <w:r>
        <w:rPr>
          <w:rFonts w:hint="eastAsia" w:ascii="宋体" w:hAnsi="宋体" w:cs="宋体"/>
          <w:color w:val="000000" w:themeColor="text1"/>
          <w:sz w:val="21"/>
          <w:szCs w:val="21"/>
          <w:lang w:val="zh-CN"/>
          <w14:textFill>
            <w14:solidFill>
              <w14:schemeClr w14:val="tx1"/>
            </w14:solidFill>
          </w14:textFill>
        </w:rPr>
        <w:t xml:space="preserve">附件五、商务条款偏离表格式</w:t>
      </w:r>
      <w:r/>
    </w:p>
    <w:p>
      <w:pPr>
        <w:ind w:firstLine="420"/>
        <w:rPr>
          <w:rFonts w:ascii="宋体" w:hAnsi="宋体" w:cs="宋体"/>
          <w:color w:val="000000" w:themeColor="text1"/>
          <w:szCs w:val="21"/>
          <w:lang w:val="zh-CN"/>
          <w14:textFill>
            <w14:solidFill>
              <w14:schemeClr w14:val="tx1"/>
            </w14:solidFill>
          </w14:textFill>
        </w:rPr>
      </w:pPr>
      <w:r>
        <w:rPr>
          <w:rFonts w:ascii="宋体" w:hAnsi="宋体" w:cs="宋体"/>
          <w:color w:val="000000" w:themeColor="text1"/>
          <w:szCs w:val="21"/>
          <w:lang w:val="zh-CN"/>
          <w14:textFill>
            <w14:solidFill>
              <w14:schemeClr w14:val="tx1"/>
            </w14:solidFill>
          </w14:textFill>
        </w:rPr>
      </w:r>
      <w:r/>
    </w:p>
    <w:p>
      <w:pPr>
        <w:jc w:val="center"/>
        <w:spacing w:before="240" w:line="360" w:lineRule="auto"/>
        <w:shd w:val="clear" w:color="auto" w:fill="ffffff"/>
        <w:widowControl/>
        <w:rPr>
          <w:rFonts w:ascii="宋体" w:hAnsi="宋体" w:cs="宋体"/>
          <w:b/>
          <w:color w:val="000000" w:themeColor="text1"/>
          <w:sz w:val="36"/>
          <w:szCs w:val="36"/>
          <w14:textFill>
            <w14:solidFill>
              <w14:schemeClr w14:val="tx1"/>
            </w14:solidFill>
          </w14:textFill>
        </w:rPr>
      </w:pPr>
      <w:r>
        <w:rPr>
          <w:rFonts w:hint="eastAsia" w:ascii="宋体" w:hAnsi="宋体" w:cs="宋体"/>
          <w:b/>
          <w:color w:val="000000" w:themeColor="text1"/>
          <w:sz w:val="36"/>
          <w:szCs w:val="36"/>
          <w14:textFill>
            <w14:solidFill>
              <w14:schemeClr w14:val="tx1"/>
            </w14:solidFill>
          </w14:textFill>
        </w:rPr>
        <w:t xml:space="preserve">商务条款偏离表</w:t>
      </w:r>
      <w:r/>
    </w:p>
    <w:p>
      <w:pPr>
        <w:rPr>
          <w:rFonts w:ascii="宋体" w:hAnsi="宋体" w:cs="宋体"/>
          <w:color w:val="000000" w:themeColor="text1"/>
          <w:szCs w:val="21"/>
          <w:lang w:val="zh-CN"/>
          <w14:textFill>
            <w14:solidFill>
              <w14:schemeClr w14:val="tx1"/>
            </w14:solidFill>
          </w14:textFill>
        </w:rPr>
      </w:pPr>
      <w:r>
        <w:rPr>
          <w:rFonts w:ascii="宋体" w:hAnsi="宋体" w:cs="宋体"/>
          <w:color w:val="000000" w:themeColor="text1"/>
          <w:szCs w:val="21"/>
          <w:lang w:val="zh-CN"/>
          <w14:textFill>
            <w14:solidFill>
              <w14:schemeClr w14:val="tx1"/>
            </w14:solidFill>
          </w14:textFill>
        </w:rPr>
      </w:r>
      <w:r/>
    </w:p>
    <w:tbl>
      <w:tblPr>
        <w:tblStyle w:val="676"/>
        <w:tblW w:w="0" w:type="auto"/>
        <w:jc w:val="center"/>
        <w:tblLayout w:type="fixed"/>
        <w:tblCellMar>
          <w:left w:w="10" w:type="dxa"/>
          <w:top w:w="0" w:type="dxa"/>
          <w:right w:w="10" w:type="dxa"/>
          <w:bottom w:w="0" w:type="dxa"/>
        </w:tblCellMar>
        <w:tblLook w:val="04A0" w:firstRow="1" w:lastRow="0" w:firstColumn="1" w:lastColumn="0" w:noHBand="0" w:noVBand="1"/>
      </w:tblPr>
      <w:tblGrid>
        <w:gridCol w:w="665"/>
        <w:gridCol w:w="1656"/>
        <w:gridCol w:w="2759"/>
        <w:gridCol w:w="1656"/>
        <w:gridCol w:w="1638"/>
        <w:gridCol w:w="1038"/>
      </w:tblGrid>
      <w:tr>
        <w:trPr>
          <w:jc w:val="center"/>
          <w:trHeight w:val="284"/>
        </w:trPr>
        <w:tc>
          <w:tcPr>
            <w:gridSpan w:val="4"/>
            <w:tcBorders>
              <w:top w:val="none" w:color="000000" w:sz="4" w:space="0"/>
              <w:left w:val="none" w:color="000000" w:sz="4" w:space="0"/>
              <w:bottom w:val="single" w:color="000000" w:sz="6" w:space="0"/>
              <w:right w:val="none" w:color="000000" w:sz="4" w:space="0"/>
            </w:tcBorders>
            <w:tcW w:w="6736" w:type="dxa"/>
            <w:vAlign w:val="center"/>
            <w:textDirection w:val="lrTb"/>
            <w:noWrap w:val="false"/>
          </w:tcPr>
          <w:p>
            <w:pPr>
              <w:jc w:val="left"/>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项目名称：</w:t>
            </w:r>
            <w:r/>
          </w:p>
        </w:tc>
        <w:tc>
          <w:tcPr>
            <w:gridSpan w:val="2"/>
            <w:tcBorders>
              <w:top w:val="none" w:color="000000" w:sz="4" w:space="0"/>
              <w:left w:val="none" w:color="000000" w:sz="4" w:space="0"/>
              <w:bottom w:val="single" w:color="000000" w:sz="6" w:space="0"/>
              <w:right w:val="none" w:color="000000" w:sz="4" w:space="0"/>
            </w:tcBorders>
            <w:tcW w:w="2676" w:type="dxa"/>
            <w:vAlign w:val="center"/>
            <w:textDirection w:val="lrTb"/>
            <w:noWrap w:val="false"/>
          </w:tcPr>
          <w:p>
            <w:pPr>
              <w:jc w:val="left"/>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项目编号： </w:t>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jc w:val="center"/>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序号</w:t>
            </w:r>
            <w:r/>
          </w:p>
        </w:tc>
        <w:tc>
          <w:tcPr>
            <w:tcBorders>
              <w:top w:val="single" w:color="000000" w:sz="6" w:space="0"/>
              <w:left w:val="single" w:color="000000" w:sz="6" w:space="0"/>
              <w:bottom w:val="single" w:color="000000" w:sz="6" w:space="0"/>
              <w:right w:val="single" w:color="000000" w:sz="6" w:space="0"/>
            </w:tcBorders>
            <w:tcW w:w="1656" w:type="dxa"/>
            <w:vAlign w:val="center"/>
            <w:textDirection w:val="lrTb"/>
            <w:noWrap w:val="false"/>
          </w:tcPr>
          <w:p>
            <w:pPr>
              <w:jc w:val="center"/>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采购文件条目号</w:t>
            </w:r>
            <w:r/>
          </w:p>
        </w:tc>
        <w:tc>
          <w:tcPr>
            <w:tcBorders>
              <w:top w:val="single" w:color="000000" w:sz="6" w:space="0"/>
              <w:left w:val="single" w:color="000000" w:sz="6" w:space="0"/>
              <w:bottom w:val="single" w:color="000000" w:sz="6" w:space="0"/>
              <w:right w:val="single" w:color="000000" w:sz="6" w:space="0"/>
            </w:tcBorders>
            <w:tcW w:w="2759" w:type="dxa"/>
            <w:vAlign w:val="center"/>
            <w:textDirection w:val="lrTb"/>
            <w:noWrap w:val="false"/>
          </w:tcPr>
          <w:p>
            <w:pPr>
              <w:jc w:val="center"/>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采购文件要求的商务条款</w:t>
            </w:r>
            <w:r/>
          </w:p>
        </w:tc>
        <w:tc>
          <w:tcPr>
            <w:gridSpan w:val="2"/>
            <w:tcBorders>
              <w:top w:val="single" w:color="000000" w:sz="6" w:space="0"/>
              <w:left w:val="single" w:color="000000" w:sz="6" w:space="0"/>
              <w:bottom w:val="single" w:color="000000" w:sz="6" w:space="0"/>
              <w:right w:val="single" w:color="000000" w:sz="6" w:space="0"/>
            </w:tcBorders>
            <w:tcW w:w="3294" w:type="dxa"/>
            <w:vAlign w:val="center"/>
            <w:textDirection w:val="lrTb"/>
            <w:noWrap w:val="false"/>
          </w:tcPr>
          <w:p>
            <w:pPr>
              <w:jc w:val="center"/>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磋商响应</w:t>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jc w:val="center"/>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偏离说明</w:t>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jc w:val="center"/>
              <w:rPr>
                <w:rFonts w:ascii="宋体" w:hAnsi="宋体" w:cs="宋体"/>
                <w:color w:val="000000" w:themeColor="text1"/>
                <w:szCs w:val="21"/>
                <w:lang w:val="zh-CN"/>
                <w14:textFill>
                  <w14:solidFill>
                    <w14:schemeClr w14:val="tx1"/>
                  </w14:solidFill>
                </w14:textFill>
              </w:rPr>
            </w:pPr>
            <w:r>
              <w:rPr>
                <w:rFonts w:ascii="宋体" w:hAnsi="宋体" w:cs="宋体"/>
                <w:color w:val="000000" w:themeColor="text1"/>
                <w:szCs w:val="21"/>
                <w:lang w:val="zh-CN"/>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656" w:type="dxa"/>
            <w:vAlign w:val="center"/>
            <w:textDirection w:val="lrTb"/>
            <w:noWrap w:val="false"/>
          </w:tcPr>
          <w:p>
            <w:pPr>
              <w:jc w:val="center"/>
              <w:rPr>
                <w:rFonts w:ascii="宋体" w:hAnsi="宋体" w:cs="宋体"/>
                <w:color w:val="000000" w:themeColor="text1"/>
                <w:szCs w:val="21"/>
                <w:lang w:val="zh-CN"/>
                <w14:textFill>
                  <w14:solidFill>
                    <w14:schemeClr w14:val="tx1"/>
                  </w14:solidFill>
                </w14:textFill>
              </w:rPr>
            </w:pPr>
            <w:r>
              <w:rPr>
                <w:rFonts w:ascii="宋体" w:hAnsi="宋体" w:cs="宋体"/>
                <w:color w:val="000000" w:themeColor="text1"/>
                <w:szCs w:val="21"/>
                <w:lang w:val="zh-CN"/>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2759" w:type="dxa"/>
            <w:vAlign w:val="center"/>
            <w:textDirection w:val="lrTb"/>
            <w:noWrap w:val="false"/>
          </w:tcPr>
          <w:p>
            <w:pPr>
              <w:jc w:val="center"/>
              <w:rPr>
                <w:rFonts w:ascii="宋体" w:hAnsi="宋体" w:cs="宋体"/>
                <w:color w:val="000000" w:themeColor="text1"/>
                <w:szCs w:val="21"/>
                <w:lang w:val="zh-CN"/>
                <w14:textFill>
                  <w14:solidFill>
                    <w14:schemeClr w14:val="tx1"/>
                  </w14:solidFill>
                </w14:textFill>
              </w:rPr>
            </w:pPr>
            <w:r>
              <w:rPr>
                <w:rFonts w:ascii="宋体" w:hAnsi="宋体" w:cs="宋体"/>
                <w:color w:val="000000" w:themeColor="text1"/>
                <w:szCs w:val="21"/>
                <w:lang w:val="zh-CN"/>
                <w14:textFill>
                  <w14:solidFill>
                    <w14:schemeClr w14:val="tx1"/>
                  </w14:solidFill>
                </w14:textFill>
              </w:rPr>
            </w:r>
            <w:r/>
          </w:p>
        </w:tc>
        <w:tc>
          <w:tcPr>
            <w:gridSpan w:val="2"/>
            <w:tcBorders>
              <w:top w:val="single" w:color="000000" w:sz="6" w:space="0"/>
              <w:left w:val="single" w:color="000000" w:sz="6" w:space="0"/>
              <w:bottom w:val="single" w:color="000000" w:sz="6" w:space="0"/>
              <w:right w:val="single" w:color="000000" w:sz="6" w:space="0"/>
            </w:tcBorders>
            <w:tcW w:w="3294" w:type="dxa"/>
            <w:vAlign w:val="center"/>
            <w:textDirection w:val="lrTb"/>
            <w:noWrap w:val="false"/>
          </w:tcPr>
          <w:p>
            <w:pPr>
              <w:jc w:val="center"/>
              <w:rPr>
                <w:rFonts w:ascii="宋体" w:hAnsi="宋体" w:cs="宋体"/>
                <w:color w:val="000000" w:themeColor="text1"/>
                <w:szCs w:val="21"/>
                <w:lang w:val="zh-CN"/>
                <w14:textFill>
                  <w14:solidFill>
                    <w14:schemeClr w14:val="tx1"/>
                  </w14:solidFill>
                </w14:textFill>
              </w:rPr>
            </w:pPr>
            <w:r>
              <w:rPr>
                <w:rFonts w:ascii="宋体" w:hAnsi="宋体" w:cs="宋体"/>
                <w:color w:val="000000" w:themeColor="text1"/>
                <w:szCs w:val="21"/>
                <w:lang w:val="zh-CN"/>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jc w:val="center"/>
              <w:rPr>
                <w:rFonts w:ascii="宋体" w:hAnsi="宋体" w:cs="宋体"/>
                <w:color w:val="000000" w:themeColor="text1"/>
                <w:szCs w:val="21"/>
                <w:lang w:val="zh-CN"/>
                <w14:textFill>
                  <w14:solidFill>
                    <w14:schemeClr w14:val="tx1"/>
                  </w14:solidFill>
                </w14:textFill>
              </w:rPr>
            </w:pPr>
            <w:r>
              <w:rPr>
                <w:rFonts w:ascii="宋体" w:hAnsi="宋体" w:cs="宋体"/>
                <w:color w:val="000000" w:themeColor="text1"/>
                <w:szCs w:val="21"/>
                <w:lang w:val="zh-CN"/>
                <w14:textFill>
                  <w14:solidFill>
                    <w14:schemeClr w14:val="tx1"/>
                  </w14:solidFill>
                </w14:textFill>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jc w:val="center"/>
              <w:rPr>
                <w:rFonts w:ascii="宋体" w:hAnsi="宋体" w:cs="宋体"/>
                <w:color w:val="000000" w:themeColor="text1"/>
                <w:szCs w:val="21"/>
                <w:lang w:val="zh-CN"/>
                <w14:textFill>
                  <w14:solidFill>
                    <w14:schemeClr w14:val="tx1"/>
                  </w14:solidFill>
                </w14:textFill>
              </w:rPr>
            </w:pPr>
            <w:r>
              <w:rPr>
                <w:rFonts w:ascii="宋体" w:hAnsi="宋体" w:cs="宋体"/>
                <w:color w:val="000000" w:themeColor="text1"/>
                <w:szCs w:val="21"/>
                <w:lang w:val="zh-CN"/>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656" w:type="dxa"/>
            <w:vAlign w:val="center"/>
            <w:textDirection w:val="lrTb"/>
            <w:noWrap w:val="false"/>
          </w:tcPr>
          <w:p>
            <w:pPr>
              <w:jc w:val="center"/>
              <w:rPr>
                <w:rFonts w:ascii="宋体" w:hAnsi="宋体" w:cs="宋体"/>
                <w:color w:val="000000" w:themeColor="text1"/>
                <w:szCs w:val="21"/>
                <w:lang w:val="zh-CN"/>
                <w14:textFill>
                  <w14:solidFill>
                    <w14:schemeClr w14:val="tx1"/>
                  </w14:solidFill>
                </w14:textFill>
              </w:rPr>
            </w:pPr>
            <w:r>
              <w:rPr>
                <w:rFonts w:ascii="宋体" w:hAnsi="宋体" w:cs="宋体"/>
                <w:color w:val="000000" w:themeColor="text1"/>
                <w:szCs w:val="21"/>
                <w:lang w:val="zh-CN"/>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2759" w:type="dxa"/>
            <w:vAlign w:val="center"/>
            <w:textDirection w:val="lrTb"/>
            <w:noWrap w:val="false"/>
          </w:tcPr>
          <w:p>
            <w:pPr>
              <w:jc w:val="center"/>
              <w:rPr>
                <w:rFonts w:ascii="宋体" w:hAnsi="宋体" w:cs="宋体"/>
                <w:color w:val="000000" w:themeColor="text1"/>
                <w:szCs w:val="21"/>
                <w:lang w:val="zh-CN"/>
                <w14:textFill>
                  <w14:solidFill>
                    <w14:schemeClr w14:val="tx1"/>
                  </w14:solidFill>
                </w14:textFill>
              </w:rPr>
            </w:pPr>
            <w:r>
              <w:rPr>
                <w:rFonts w:ascii="宋体" w:hAnsi="宋体" w:cs="宋体"/>
                <w:color w:val="000000" w:themeColor="text1"/>
                <w:szCs w:val="21"/>
                <w:lang w:val="zh-CN"/>
                <w14:textFill>
                  <w14:solidFill>
                    <w14:schemeClr w14:val="tx1"/>
                  </w14:solidFill>
                </w14:textFill>
              </w:rPr>
            </w:r>
            <w:r/>
          </w:p>
        </w:tc>
        <w:tc>
          <w:tcPr>
            <w:gridSpan w:val="2"/>
            <w:tcBorders>
              <w:top w:val="single" w:color="000000" w:sz="6" w:space="0"/>
              <w:left w:val="single" w:color="000000" w:sz="6" w:space="0"/>
              <w:bottom w:val="single" w:color="000000" w:sz="6" w:space="0"/>
              <w:right w:val="single" w:color="000000" w:sz="6" w:space="0"/>
            </w:tcBorders>
            <w:tcW w:w="3294" w:type="dxa"/>
            <w:vAlign w:val="center"/>
            <w:textDirection w:val="lrTb"/>
            <w:noWrap w:val="false"/>
          </w:tcPr>
          <w:p>
            <w:pPr>
              <w:jc w:val="center"/>
              <w:rPr>
                <w:rFonts w:ascii="宋体" w:hAnsi="宋体" w:cs="宋体"/>
                <w:color w:val="000000" w:themeColor="text1"/>
                <w:szCs w:val="21"/>
                <w:lang w:val="zh-CN"/>
                <w14:textFill>
                  <w14:solidFill>
                    <w14:schemeClr w14:val="tx1"/>
                  </w14:solidFill>
                </w14:textFill>
              </w:rPr>
            </w:pPr>
            <w:r>
              <w:rPr>
                <w:rFonts w:ascii="宋体" w:hAnsi="宋体" w:cs="宋体"/>
                <w:color w:val="000000" w:themeColor="text1"/>
                <w:szCs w:val="21"/>
                <w:lang w:val="zh-CN"/>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jc w:val="center"/>
              <w:rPr>
                <w:rFonts w:ascii="宋体" w:hAnsi="宋体" w:cs="宋体"/>
                <w:color w:val="000000" w:themeColor="text1"/>
                <w:szCs w:val="21"/>
                <w:lang w:val="zh-CN"/>
                <w14:textFill>
                  <w14:solidFill>
                    <w14:schemeClr w14:val="tx1"/>
                  </w14:solidFill>
                </w14:textFill>
              </w:rPr>
            </w:pPr>
            <w:r>
              <w:rPr>
                <w:rFonts w:ascii="宋体" w:hAnsi="宋体" w:cs="宋体"/>
                <w:color w:val="000000" w:themeColor="text1"/>
                <w:szCs w:val="21"/>
                <w:lang w:val="zh-CN"/>
                <w14:textFill>
                  <w14:solidFill>
                    <w14:schemeClr w14:val="tx1"/>
                  </w14:solidFill>
                </w14:textFill>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jc w:val="center"/>
              <w:rPr>
                <w:rFonts w:ascii="宋体" w:hAnsi="宋体" w:cs="宋体"/>
                <w:color w:val="000000" w:themeColor="text1"/>
                <w:szCs w:val="21"/>
                <w:lang w:val="zh-CN"/>
                <w14:textFill>
                  <w14:solidFill>
                    <w14:schemeClr w14:val="tx1"/>
                  </w14:solidFill>
                </w14:textFill>
              </w:rPr>
            </w:pPr>
            <w:r>
              <w:rPr>
                <w:rFonts w:ascii="宋体" w:hAnsi="宋体" w:cs="宋体"/>
                <w:color w:val="000000" w:themeColor="text1"/>
                <w:szCs w:val="21"/>
                <w:lang w:val="zh-CN"/>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656" w:type="dxa"/>
            <w:vAlign w:val="center"/>
            <w:textDirection w:val="lrTb"/>
            <w:noWrap w:val="false"/>
          </w:tcPr>
          <w:p>
            <w:pPr>
              <w:jc w:val="center"/>
              <w:rPr>
                <w:rFonts w:ascii="宋体" w:hAnsi="宋体" w:cs="宋体"/>
                <w:color w:val="000000" w:themeColor="text1"/>
                <w:szCs w:val="21"/>
                <w:lang w:val="zh-CN"/>
                <w14:textFill>
                  <w14:solidFill>
                    <w14:schemeClr w14:val="tx1"/>
                  </w14:solidFill>
                </w14:textFill>
              </w:rPr>
            </w:pPr>
            <w:r>
              <w:rPr>
                <w:rFonts w:ascii="宋体" w:hAnsi="宋体" w:cs="宋体"/>
                <w:color w:val="000000" w:themeColor="text1"/>
                <w:szCs w:val="21"/>
                <w:lang w:val="zh-CN"/>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2759" w:type="dxa"/>
            <w:vAlign w:val="center"/>
            <w:textDirection w:val="lrTb"/>
            <w:noWrap w:val="false"/>
          </w:tcPr>
          <w:p>
            <w:pPr>
              <w:jc w:val="center"/>
              <w:rPr>
                <w:rFonts w:ascii="宋体" w:hAnsi="宋体" w:cs="宋体"/>
                <w:color w:val="000000" w:themeColor="text1"/>
                <w:szCs w:val="21"/>
                <w:lang w:val="zh-CN"/>
                <w14:textFill>
                  <w14:solidFill>
                    <w14:schemeClr w14:val="tx1"/>
                  </w14:solidFill>
                </w14:textFill>
              </w:rPr>
            </w:pPr>
            <w:r>
              <w:rPr>
                <w:rFonts w:ascii="宋体" w:hAnsi="宋体" w:cs="宋体"/>
                <w:color w:val="000000" w:themeColor="text1"/>
                <w:szCs w:val="21"/>
                <w:lang w:val="zh-CN"/>
                <w14:textFill>
                  <w14:solidFill>
                    <w14:schemeClr w14:val="tx1"/>
                  </w14:solidFill>
                </w14:textFill>
              </w:rPr>
            </w:r>
            <w:r/>
          </w:p>
        </w:tc>
        <w:tc>
          <w:tcPr>
            <w:gridSpan w:val="2"/>
            <w:tcBorders>
              <w:top w:val="single" w:color="000000" w:sz="6" w:space="0"/>
              <w:left w:val="single" w:color="000000" w:sz="6" w:space="0"/>
              <w:bottom w:val="single" w:color="000000" w:sz="6" w:space="0"/>
              <w:right w:val="single" w:color="000000" w:sz="6" w:space="0"/>
            </w:tcBorders>
            <w:tcW w:w="3294" w:type="dxa"/>
            <w:vAlign w:val="center"/>
            <w:textDirection w:val="lrTb"/>
            <w:noWrap w:val="false"/>
          </w:tcPr>
          <w:p>
            <w:pPr>
              <w:jc w:val="center"/>
              <w:rPr>
                <w:rFonts w:ascii="宋体" w:hAnsi="宋体" w:cs="宋体"/>
                <w:color w:val="000000" w:themeColor="text1"/>
                <w:szCs w:val="21"/>
                <w:lang w:val="zh-CN"/>
                <w14:textFill>
                  <w14:solidFill>
                    <w14:schemeClr w14:val="tx1"/>
                  </w14:solidFill>
                </w14:textFill>
              </w:rPr>
            </w:pPr>
            <w:r>
              <w:rPr>
                <w:rFonts w:ascii="宋体" w:hAnsi="宋体" w:cs="宋体"/>
                <w:color w:val="000000" w:themeColor="text1"/>
                <w:szCs w:val="21"/>
                <w:lang w:val="zh-CN"/>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jc w:val="center"/>
              <w:rPr>
                <w:rFonts w:ascii="宋体" w:hAnsi="宋体" w:cs="宋体"/>
                <w:color w:val="000000" w:themeColor="text1"/>
                <w:szCs w:val="21"/>
                <w:lang w:val="zh-CN"/>
                <w14:textFill>
                  <w14:solidFill>
                    <w14:schemeClr w14:val="tx1"/>
                  </w14:solidFill>
                </w14:textFill>
              </w:rPr>
            </w:pPr>
            <w:r>
              <w:rPr>
                <w:rFonts w:ascii="宋体" w:hAnsi="宋体" w:cs="宋体"/>
                <w:color w:val="000000" w:themeColor="text1"/>
                <w:szCs w:val="21"/>
                <w:lang w:val="zh-CN"/>
                <w14:textFill>
                  <w14:solidFill>
                    <w14:schemeClr w14:val="tx1"/>
                  </w14:solidFill>
                </w14:textFill>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jc w:val="center"/>
              <w:rPr>
                <w:rFonts w:ascii="宋体" w:hAnsi="宋体" w:cs="宋体"/>
                <w:color w:val="000000" w:themeColor="text1"/>
                <w:szCs w:val="21"/>
                <w:lang w:val="zh-CN"/>
                <w14:textFill>
                  <w14:solidFill>
                    <w14:schemeClr w14:val="tx1"/>
                  </w14:solidFill>
                </w14:textFill>
              </w:rPr>
            </w:pPr>
            <w:r>
              <w:rPr>
                <w:rFonts w:ascii="宋体" w:hAnsi="宋体" w:cs="宋体"/>
                <w:color w:val="000000" w:themeColor="text1"/>
                <w:szCs w:val="21"/>
                <w:lang w:val="zh-CN"/>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656" w:type="dxa"/>
            <w:vAlign w:val="center"/>
            <w:textDirection w:val="lrTb"/>
            <w:noWrap w:val="false"/>
          </w:tcPr>
          <w:p>
            <w:pPr>
              <w:jc w:val="center"/>
              <w:rPr>
                <w:rFonts w:ascii="宋体" w:hAnsi="宋体" w:cs="宋体"/>
                <w:color w:val="000000" w:themeColor="text1"/>
                <w:szCs w:val="21"/>
                <w:lang w:val="zh-CN"/>
                <w14:textFill>
                  <w14:solidFill>
                    <w14:schemeClr w14:val="tx1"/>
                  </w14:solidFill>
                </w14:textFill>
              </w:rPr>
            </w:pPr>
            <w:r>
              <w:rPr>
                <w:rFonts w:ascii="宋体" w:hAnsi="宋体" w:cs="宋体"/>
                <w:color w:val="000000" w:themeColor="text1"/>
                <w:szCs w:val="21"/>
                <w:lang w:val="zh-CN"/>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2759" w:type="dxa"/>
            <w:vAlign w:val="center"/>
            <w:textDirection w:val="lrTb"/>
            <w:noWrap w:val="false"/>
          </w:tcPr>
          <w:p>
            <w:pPr>
              <w:jc w:val="center"/>
              <w:rPr>
                <w:rFonts w:ascii="宋体" w:hAnsi="宋体" w:cs="宋体"/>
                <w:color w:val="000000" w:themeColor="text1"/>
                <w:szCs w:val="21"/>
                <w:lang w:val="zh-CN"/>
                <w14:textFill>
                  <w14:solidFill>
                    <w14:schemeClr w14:val="tx1"/>
                  </w14:solidFill>
                </w14:textFill>
              </w:rPr>
            </w:pPr>
            <w:r>
              <w:rPr>
                <w:rFonts w:ascii="宋体" w:hAnsi="宋体" w:cs="宋体"/>
                <w:color w:val="000000" w:themeColor="text1"/>
                <w:szCs w:val="21"/>
                <w:lang w:val="zh-CN"/>
                <w14:textFill>
                  <w14:solidFill>
                    <w14:schemeClr w14:val="tx1"/>
                  </w14:solidFill>
                </w14:textFill>
              </w:rPr>
            </w:r>
            <w:r/>
          </w:p>
        </w:tc>
        <w:tc>
          <w:tcPr>
            <w:gridSpan w:val="2"/>
            <w:tcBorders>
              <w:top w:val="single" w:color="000000" w:sz="6" w:space="0"/>
              <w:left w:val="single" w:color="000000" w:sz="6" w:space="0"/>
              <w:bottom w:val="single" w:color="000000" w:sz="6" w:space="0"/>
              <w:right w:val="single" w:color="000000" w:sz="6" w:space="0"/>
            </w:tcBorders>
            <w:tcW w:w="3294" w:type="dxa"/>
            <w:vAlign w:val="center"/>
            <w:textDirection w:val="lrTb"/>
            <w:noWrap w:val="false"/>
          </w:tcPr>
          <w:p>
            <w:pPr>
              <w:jc w:val="center"/>
              <w:rPr>
                <w:rFonts w:ascii="宋体" w:hAnsi="宋体" w:cs="宋体"/>
                <w:color w:val="000000" w:themeColor="text1"/>
                <w:szCs w:val="21"/>
                <w:lang w:val="zh-CN"/>
                <w14:textFill>
                  <w14:solidFill>
                    <w14:schemeClr w14:val="tx1"/>
                  </w14:solidFill>
                </w14:textFill>
              </w:rPr>
            </w:pPr>
            <w:r>
              <w:rPr>
                <w:rFonts w:ascii="宋体" w:hAnsi="宋体" w:cs="宋体"/>
                <w:color w:val="000000" w:themeColor="text1"/>
                <w:szCs w:val="21"/>
                <w:lang w:val="zh-CN"/>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jc w:val="center"/>
              <w:rPr>
                <w:rFonts w:ascii="宋体" w:hAnsi="宋体" w:cs="宋体"/>
                <w:color w:val="000000" w:themeColor="text1"/>
                <w:szCs w:val="21"/>
                <w:lang w:val="zh-CN"/>
                <w14:textFill>
                  <w14:solidFill>
                    <w14:schemeClr w14:val="tx1"/>
                  </w14:solidFill>
                </w14:textFill>
              </w:rPr>
            </w:pPr>
            <w:r>
              <w:rPr>
                <w:rFonts w:ascii="宋体" w:hAnsi="宋体" w:cs="宋体"/>
                <w:color w:val="000000" w:themeColor="text1"/>
                <w:szCs w:val="21"/>
                <w:lang w:val="zh-CN"/>
                <w14:textFill>
                  <w14:solidFill>
                    <w14:schemeClr w14:val="tx1"/>
                  </w14:solidFill>
                </w14:textFill>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jc w:val="center"/>
              <w:rPr>
                <w:rFonts w:ascii="宋体" w:hAnsi="宋体" w:cs="宋体"/>
                <w:color w:val="000000" w:themeColor="text1"/>
                <w:szCs w:val="21"/>
                <w:lang w:val="zh-CN"/>
                <w14:textFill>
                  <w14:solidFill>
                    <w14:schemeClr w14:val="tx1"/>
                  </w14:solidFill>
                </w14:textFill>
              </w:rPr>
            </w:pPr>
            <w:r>
              <w:rPr>
                <w:rFonts w:ascii="宋体" w:hAnsi="宋体" w:cs="宋体"/>
                <w:color w:val="000000" w:themeColor="text1"/>
                <w:szCs w:val="21"/>
                <w:lang w:val="zh-CN"/>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656" w:type="dxa"/>
            <w:vAlign w:val="center"/>
            <w:textDirection w:val="lrTb"/>
            <w:noWrap w:val="false"/>
          </w:tcPr>
          <w:p>
            <w:pPr>
              <w:jc w:val="center"/>
              <w:rPr>
                <w:rFonts w:ascii="宋体" w:hAnsi="宋体" w:cs="宋体"/>
                <w:color w:val="000000" w:themeColor="text1"/>
                <w:szCs w:val="21"/>
                <w:lang w:val="zh-CN"/>
                <w14:textFill>
                  <w14:solidFill>
                    <w14:schemeClr w14:val="tx1"/>
                  </w14:solidFill>
                </w14:textFill>
              </w:rPr>
            </w:pPr>
            <w:r>
              <w:rPr>
                <w:rFonts w:ascii="宋体" w:hAnsi="宋体" w:cs="宋体"/>
                <w:color w:val="000000" w:themeColor="text1"/>
                <w:szCs w:val="21"/>
                <w:lang w:val="zh-CN"/>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2759" w:type="dxa"/>
            <w:vAlign w:val="center"/>
            <w:textDirection w:val="lrTb"/>
            <w:noWrap w:val="false"/>
          </w:tcPr>
          <w:p>
            <w:pPr>
              <w:jc w:val="center"/>
              <w:rPr>
                <w:rFonts w:ascii="宋体" w:hAnsi="宋体" w:cs="宋体"/>
                <w:color w:val="000000" w:themeColor="text1"/>
                <w:szCs w:val="21"/>
                <w:lang w:val="zh-CN"/>
                <w14:textFill>
                  <w14:solidFill>
                    <w14:schemeClr w14:val="tx1"/>
                  </w14:solidFill>
                </w14:textFill>
              </w:rPr>
            </w:pPr>
            <w:r>
              <w:rPr>
                <w:rFonts w:ascii="宋体" w:hAnsi="宋体" w:cs="宋体"/>
                <w:color w:val="000000" w:themeColor="text1"/>
                <w:szCs w:val="21"/>
                <w:lang w:val="zh-CN"/>
                <w14:textFill>
                  <w14:solidFill>
                    <w14:schemeClr w14:val="tx1"/>
                  </w14:solidFill>
                </w14:textFill>
              </w:rPr>
            </w:r>
            <w:r/>
          </w:p>
        </w:tc>
        <w:tc>
          <w:tcPr>
            <w:gridSpan w:val="2"/>
            <w:tcBorders>
              <w:top w:val="single" w:color="000000" w:sz="6" w:space="0"/>
              <w:left w:val="single" w:color="000000" w:sz="6" w:space="0"/>
              <w:bottom w:val="single" w:color="000000" w:sz="6" w:space="0"/>
              <w:right w:val="single" w:color="000000" w:sz="6" w:space="0"/>
            </w:tcBorders>
            <w:tcW w:w="3294" w:type="dxa"/>
            <w:vAlign w:val="center"/>
            <w:textDirection w:val="lrTb"/>
            <w:noWrap w:val="false"/>
          </w:tcPr>
          <w:p>
            <w:pPr>
              <w:jc w:val="center"/>
              <w:rPr>
                <w:rFonts w:ascii="宋体" w:hAnsi="宋体" w:cs="宋体"/>
                <w:color w:val="000000" w:themeColor="text1"/>
                <w:szCs w:val="21"/>
                <w:lang w:val="zh-CN"/>
                <w14:textFill>
                  <w14:solidFill>
                    <w14:schemeClr w14:val="tx1"/>
                  </w14:solidFill>
                </w14:textFill>
              </w:rPr>
            </w:pPr>
            <w:r>
              <w:rPr>
                <w:rFonts w:ascii="宋体" w:hAnsi="宋体" w:cs="宋体"/>
                <w:color w:val="000000" w:themeColor="text1"/>
                <w:szCs w:val="21"/>
                <w:lang w:val="zh-CN"/>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jc w:val="center"/>
              <w:rPr>
                <w:rFonts w:ascii="宋体" w:hAnsi="宋体" w:cs="宋体"/>
                <w:color w:val="000000" w:themeColor="text1"/>
                <w:szCs w:val="21"/>
                <w:lang w:val="zh-CN"/>
                <w14:textFill>
                  <w14:solidFill>
                    <w14:schemeClr w14:val="tx1"/>
                  </w14:solidFill>
                </w14:textFill>
              </w:rPr>
            </w:pPr>
            <w:r>
              <w:rPr>
                <w:rFonts w:ascii="宋体" w:hAnsi="宋体" w:cs="宋体"/>
                <w:color w:val="000000" w:themeColor="text1"/>
                <w:szCs w:val="21"/>
                <w:lang w:val="zh-CN"/>
                <w14:textFill>
                  <w14:solidFill>
                    <w14:schemeClr w14:val="tx1"/>
                  </w14:solidFill>
                </w14:textFill>
              </w:rPr>
            </w:r>
            <w:r/>
          </w:p>
        </w:tc>
      </w:tr>
    </w:tbl>
    <w:p>
      <w:pPr>
        <w:jc w:val="left"/>
        <w:spacing w:line="360" w:lineRule="auto"/>
        <w:shd w:val="clear" w:color="auto" w:fill="ffffff"/>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p>
      <w:pPr>
        <w:ind w:firstLine="420"/>
        <w:jc w:val="left"/>
        <w:spacing w:line="360" w:lineRule="auto"/>
        <w:shd w:val="clear" w:color="auto" w:fill="ffffff"/>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供应商名称（加盖电子公章）：</w:t>
      </w:r>
      <w:r>
        <w:rPr>
          <w:color w:val="000000" w:themeColor="text1"/>
          <w:szCs w:val="21"/>
          <w:u w:val="single"/>
          <w14:textFill>
            <w14:solidFill>
              <w14:schemeClr w14:val="tx1"/>
            </w14:solidFill>
          </w14:textFill>
        </w:rPr>
        <w:t xml:space="preserve">                </w:t>
      </w:r>
      <w:r/>
    </w:p>
    <w:p>
      <w:pPr>
        <w:ind w:firstLine="420"/>
        <w:jc w:val="left"/>
        <w:spacing w:line="360" w:lineRule="auto"/>
        <w:shd w:val="clear" w:color="auto" w:fill="ffffff"/>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日    期：   年    月    日</w:t>
      </w:r>
      <w:r/>
    </w:p>
    <w:p>
      <w:pP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注：（1）投标人需根据本项目工期、质保等商务条款要求进行响应；</w:t>
      </w:r>
      <w:r/>
    </w:p>
    <w:p>
      <w:pPr>
        <w:ind w:firstLine="42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（2）如无任何偏离，请于本表“偏离说明”中注明“无偏离”；</w:t>
      </w:r>
      <w:r>
        <w:rPr>
          <w:rFonts w:hint="eastAsia" w:ascii="宋体" w:hAnsi="宋体" w:cs="宋体"/>
          <w:bCs/>
          <w:color w:val="000000" w:themeColor="text1"/>
          <w:szCs w:val="21"/>
          <w14:textFill>
            <w14:solidFill>
              <w14:schemeClr w14:val="tx1"/>
            </w14:solidFill>
          </w14:textFill>
        </w:rPr>
        <w:t xml:space="preserve">如有偏离项，请于本表中列明偏离内容，如需要可自行延长，其余无偏离内容不须赘述。</w:t>
      </w:r>
      <w:r/>
    </w:p>
    <w:p>
      <w:pPr>
        <w:jc w:val="left"/>
        <w:spacing w:line="360" w:lineRule="auto"/>
        <w:shd w:val="clear" w:color="auto" w:fill="ffffff"/>
        <w:widowControl/>
        <w:rPr>
          <w:rFonts w:ascii="宋体" w:hAnsi="宋体" w:cs="宋体"/>
          <w:b/>
          <w:bCs/>
          <w:color w:val="000000" w:themeColor="text1"/>
          <w:szCs w:val="21"/>
          <w14:textFill>
            <w14:solidFill>
              <w14:schemeClr w14:val="tx1"/>
            </w14:solidFill>
          </w14:textFill>
        </w:rPr>
      </w:pPr>
      <w:r>
        <w:rPr>
          <w:rFonts w:ascii="宋体" w:hAnsi="宋体" w:cs="宋体"/>
          <w:b/>
          <w:bCs/>
          <w:color w:val="000000" w:themeColor="text1"/>
          <w:szCs w:val="21"/>
          <w14:textFill>
            <w14:solidFill>
              <w14:schemeClr w14:val="tx1"/>
            </w14:solidFill>
          </w14:textFill>
        </w:rPr>
      </w:r>
      <w:r/>
    </w:p>
    <w:p>
      <w:pPr>
        <w:jc w:val="left"/>
        <w:spacing w:line="360" w:lineRule="auto"/>
        <w:shd w:val="clear" w:color="auto" w:fill="ffffff"/>
        <w:widowControl/>
        <w:rPr>
          <w:rFonts w:ascii="宋体" w:hAnsi="宋体" w:cs="宋体"/>
          <w:b/>
          <w:bCs/>
          <w:color w:val="000000" w:themeColor="text1"/>
          <w:szCs w:val="21"/>
          <w:lang w:val="zh-CN"/>
          <w14:textFill>
            <w14:solidFill>
              <w14:schemeClr w14:val="tx1"/>
            </w14:solidFill>
          </w14:textFill>
        </w:rPr>
      </w:pPr>
      <w:r>
        <w:rPr>
          <w:rFonts w:ascii="宋体" w:hAnsi="宋体" w:cs="宋体"/>
          <w:b/>
          <w:bCs/>
          <w:color w:val="000000" w:themeColor="text1"/>
          <w:szCs w:val="21"/>
          <w:lang w:val="zh-CN"/>
          <w14:textFill>
            <w14:solidFill>
              <w14:schemeClr w14:val="tx1"/>
            </w14:solidFill>
          </w14:textFill>
        </w:rPr>
      </w:r>
      <w:r/>
    </w:p>
    <w:p>
      <w:pPr>
        <w:jc w:val="left"/>
        <w:spacing w:line="360" w:lineRule="auto"/>
        <w:shd w:val="clear" w:color="auto" w:fill="ffffff"/>
        <w:widowControl/>
        <w:rPr>
          <w:rFonts w:ascii="宋体" w:hAnsi="宋体" w:cs="宋体"/>
          <w:b/>
          <w:bCs/>
          <w:color w:val="000000" w:themeColor="text1"/>
          <w:szCs w:val="21"/>
          <w:lang w:val="zh-CN"/>
          <w14:textFill>
            <w14:solidFill>
              <w14:schemeClr w14:val="tx1"/>
            </w14:solidFill>
          </w14:textFill>
        </w:rPr>
      </w:pPr>
      <w:r>
        <w:rPr>
          <w:rFonts w:ascii="宋体" w:hAnsi="宋体" w:cs="宋体"/>
          <w:b/>
          <w:bCs/>
          <w:color w:val="000000" w:themeColor="text1"/>
          <w:szCs w:val="21"/>
          <w:lang w:val="zh-CN"/>
          <w14:textFill>
            <w14:solidFill>
              <w14:schemeClr w14:val="tx1"/>
            </w14:solidFill>
          </w14:textFill>
        </w:rPr>
      </w:r>
      <w:r/>
    </w:p>
    <w:p>
      <w:pPr>
        <w:pStyle w:val="859"/>
        <w:numPr>
          <w:ilvl w:val="0"/>
          <w:numId w:val="0"/>
        </w:numPr>
        <w:rPr>
          <w:rFonts w:ascii="宋体" w:hAnsi="宋体" w:cs="宋体"/>
          <w:color w:val="000000" w:themeColor="text1"/>
          <w:sz w:val="21"/>
          <w:szCs w:val="21"/>
          <w:lang w:val="zh-CN"/>
          <w14:textFill>
            <w14:solidFill>
              <w14:schemeClr w14:val="tx1"/>
            </w14:solidFill>
          </w14:textFill>
        </w:rPr>
      </w:pPr>
      <w:r>
        <w:rPr>
          <w:rFonts w:hint="eastAsia" w:ascii="宋体" w:hAnsi="宋体" w:cs="宋体"/>
          <w:color w:val="000000" w:themeColor="text1"/>
          <w:sz w:val="21"/>
          <w:szCs w:val="21"/>
          <w:lang w:val="zh-CN"/>
          <w14:textFill>
            <w14:solidFill>
              <w14:schemeClr w14:val="tx1"/>
            </w14:solidFill>
          </w14:textFill>
        </w:rPr>
        <w:t xml:space="preserve">附件六、采购需求条款偏离表格式</w:t>
      </w:r>
      <w:bookmarkEnd w:id="54"/>
      <w:r/>
      <w:bookmarkEnd w:id="55"/>
      <w:r/>
      <w:bookmarkEnd w:id="56"/>
      <w:r/>
      <w:bookmarkEnd w:id="57"/>
      <w:r/>
      <w:bookmarkEnd w:id="58"/>
      <w:r/>
      <w:bookmarkEnd w:id="59"/>
      <w:r/>
      <w:bookmarkEnd w:id="60"/>
      <w:r/>
      <w:bookmarkEnd w:id="61"/>
      <w:r/>
      <w:r/>
    </w:p>
    <w:p>
      <w:pPr>
        <w:rPr>
          <w:rFonts w:ascii="宋体" w:hAnsi="宋体" w:cs="宋体"/>
          <w:b/>
          <w:color w:val="000000" w:themeColor="text1"/>
          <w:szCs w:val="21"/>
          <w14:textFill>
            <w14:solidFill>
              <w14:schemeClr w14:val="tx1"/>
            </w14:solidFill>
          </w14:textFill>
        </w:rPr>
      </w:pPr>
      <w:r>
        <w:rPr>
          <w:rFonts w:ascii="宋体" w:hAnsi="宋体" w:cs="宋体"/>
          <w:b/>
          <w:color w:val="000000" w:themeColor="text1"/>
          <w:szCs w:val="21"/>
          <w14:textFill>
            <w14:solidFill>
              <w14:schemeClr w14:val="tx1"/>
            </w14:solidFill>
          </w14:textFill>
        </w:rPr>
      </w:r>
      <w:r/>
    </w:p>
    <w:p>
      <w:pPr>
        <w:jc w:val="center"/>
        <w:spacing w:before="240" w:line="360" w:lineRule="auto"/>
        <w:shd w:val="clear" w:color="auto" w:fill="ffffff"/>
        <w:widowControl/>
        <w:rPr>
          <w:rFonts w:ascii="宋体" w:hAnsi="宋体" w:cs="宋体"/>
          <w:b/>
          <w:color w:val="000000" w:themeColor="text1"/>
          <w:sz w:val="36"/>
          <w:szCs w:val="36"/>
          <w14:textFill>
            <w14:solidFill>
              <w14:schemeClr w14:val="tx1"/>
            </w14:solidFill>
          </w14:textFill>
        </w:rPr>
      </w:pPr>
      <w:r>
        <w:rPr>
          <w:rFonts w:hint="eastAsia" w:ascii="宋体" w:hAnsi="宋体" w:cs="宋体"/>
          <w:b/>
          <w:color w:val="000000" w:themeColor="text1"/>
          <w:sz w:val="36"/>
          <w:szCs w:val="36"/>
          <w14:textFill>
            <w14:solidFill>
              <w14:schemeClr w14:val="tx1"/>
            </w14:solidFill>
          </w14:textFill>
        </w:rPr>
        <w:t xml:space="preserve">采购需求条款偏离表</w:t>
      </w:r>
      <w:r/>
    </w:p>
    <w:p>
      <w:pPr>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                        </w:t>
      </w:r>
      <w:r/>
    </w:p>
    <w:p>
      <w:pP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w:t>
      </w:r>
      <w:r/>
    </w:p>
    <w:tbl>
      <w:tblPr>
        <w:tblStyle w:val="676"/>
        <w:tblW w:w="0" w:type="auto"/>
        <w:jc w:val="center"/>
        <w:tblLayout w:type="fixed"/>
        <w:tblCellMar>
          <w:left w:w="10" w:type="dxa"/>
          <w:top w:w="0" w:type="dxa"/>
          <w:right w:w="10" w:type="dxa"/>
          <w:bottom w:w="0" w:type="dxa"/>
        </w:tblCellMar>
        <w:tblLook w:val="04A0" w:firstRow="1" w:lastRow="0" w:firstColumn="1" w:lastColumn="0" w:noHBand="0" w:noVBand="1"/>
      </w:tblPr>
      <w:tblGrid>
        <w:gridCol w:w="665"/>
        <w:gridCol w:w="2549"/>
        <w:gridCol w:w="2820"/>
        <w:gridCol w:w="702"/>
        <w:gridCol w:w="1638"/>
        <w:gridCol w:w="1038"/>
      </w:tblGrid>
      <w:tr>
        <w:trPr>
          <w:jc w:val="center"/>
          <w:trHeight w:val="284"/>
        </w:trPr>
        <w:tc>
          <w:tcPr>
            <w:gridSpan w:val="4"/>
            <w:tcBorders>
              <w:top w:val="none" w:color="000000" w:sz="4" w:space="0"/>
              <w:left w:val="none" w:color="000000" w:sz="4" w:space="0"/>
              <w:bottom w:val="single" w:color="000000" w:sz="6" w:space="0"/>
              <w:right w:val="none" w:color="000000" w:sz="4" w:space="0"/>
            </w:tcBorders>
            <w:tcW w:w="6736" w:type="dxa"/>
            <w:vAlign w:val="center"/>
            <w:textDirection w:val="lrTb"/>
            <w:noWrap w:val="false"/>
          </w:tcPr>
          <w:p>
            <w:pPr>
              <w:jc w:val="left"/>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项目名称：</w:t>
            </w:r>
            <w:r/>
          </w:p>
        </w:tc>
        <w:tc>
          <w:tcPr>
            <w:gridSpan w:val="2"/>
            <w:tcBorders>
              <w:top w:val="none" w:color="000000" w:sz="4" w:space="0"/>
              <w:left w:val="none" w:color="000000" w:sz="4" w:space="0"/>
              <w:bottom w:val="single" w:color="000000" w:sz="6" w:space="0"/>
              <w:right w:val="none" w:color="000000" w:sz="4" w:space="0"/>
            </w:tcBorders>
            <w:tcW w:w="2676" w:type="dxa"/>
            <w:vAlign w:val="center"/>
            <w:textDirection w:val="lrTb"/>
            <w:noWrap w:val="false"/>
          </w:tcPr>
          <w:p>
            <w:pPr>
              <w:jc w:val="left"/>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项目编号： </w:t>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jc w:val="center"/>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序号</w:t>
            </w:r>
            <w:r/>
          </w:p>
        </w:tc>
        <w:tc>
          <w:tcPr>
            <w:tcBorders>
              <w:top w:val="single" w:color="000000" w:sz="6" w:space="0"/>
              <w:left w:val="single" w:color="000000" w:sz="6" w:space="0"/>
              <w:bottom w:val="single" w:color="000000" w:sz="6" w:space="0"/>
              <w:right w:val="single" w:color="000000" w:sz="6" w:space="0"/>
            </w:tcBorders>
            <w:tcW w:w="2549" w:type="dxa"/>
            <w:vAlign w:val="center"/>
            <w:textDirection w:val="lrTb"/>
            <w:noWrap w:val="false"/>
          </w:tcPr>
          <w:p>
            <w:pPr>
              <w:jc w:val="center"/>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采购文件条目号</w:t>
            </w:r>
            <w:r/>
          </w:p>
        </w:tc>
        <w:tc>
          <w:tcPr>
            <w:tcBorders>
              <w:top w:val="single" w:color="000000" w:sz="6" w:space="0"/>
              <w:left w:val="single" w:color="000000" w:sz="6" w:space="0"/>
              <w:bottom w:val="single" w:color="000000" w:sz="6" w:space="0"/>
              <w:right w:val="single" w:color="000000" w:sz="6" w:space="0"/>
            </w:tcBorders>
            <w:tcW w:w="2820" w:type="dxa"/>
            <w:vAlign w:val="center"/>
            <w:textDirection w:val="lrTb"/>
            <w:noWrap w:val="false"/>
          </w:tcPr>
          <w:p>
            <w:pPr>
              <w:jc w:val="center"/>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采购文件要求的</w:t>
            </w:r>
            <w:r>
              <w:rPr>
                <w:rFonts w:hint="eastAsia" w:ascii="宋体" w:hAnsi="宋体" w:cs="宋体"/>
                <w:color w:val="000000" w:themeColor="text1"/>
                <w:szCs w:val="21"/>
                <w14:textFill>
                  <w14:solidFill>
                    <w14:schemeClr w14:val="tx1"/>
                  </w14:solidFill>
                </w14:textFill>
              </w:rPr>
              <w:t xml:space="preserve">采购需求</w:t>
            </w:r>
            <w:r>
              <w:rPr>
                <w:rFonts w:hint="eastAsia" w:ascii="宋体" w:hAnsi="宋体" w:cs="宋体"/>
                <w:color w:val="000000" w:themeColor="text1"/>
                <w:szCs w:val="21"/>
                <w:lang w:val="zh-CN"/>
                <w14:textFill>
                  <w14:solidFill>
                    <w14:schemeClr w14:val="tx1"/>
                  </w14:solidFill>
                </w14:textFill>
              </w:rPr>
              <w:t xml:space="preserve">条款</w:t>
            </w:r>
            <w:r/>
          </w:p>
        </w:tc>
        <w:tc>
          <w:tcPr>
            <w:gridSpan w:val="2"/>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jc w:val="center"/>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磋商响应</w:t>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jc w:val="center"/>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偏离说明</w:t>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jc w:val="center"/>
              <w:rPr>
                <w:rFonts w:ascii="宋体" w:hAnsi="宋体" w:cs="宋体"/>
                <w:color w:val="000000" w:themeColor="text1"/>
                <w:szCs w:val="21"/>
                <w:lang w:val="zh-CN"/>
                <w14:textFill>
                  <w14:solidFill>
                    <w14:schemeClr w14:val="tx1"/>
                  </w14:solidFill>
                </w14:textFill>
              </w:rPr>
            </w:pPr>
            <w:r>
              <w:rPr>
                <w:rFonts w:ascii="宋体" w:hAnsi="宋体" w:cs="宋体"/>
                <w:color w:val="000000" w:themeColor="text1"/>
                <w:szCs w:val="21"/>
                <w:lang w:val="zh-CN"/>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2549" w:type="dxa"/>
            <w:vAlign w:val="center"/>
            <w:textDirection w:val="lrTb"/>
            <w:noWrap w:val="false"/>
          </w:tcPr>
          <w:p>
            <w:pPr>
              <w:jc w:val="center"/>
              <w:rPr>
                <w:rFonts w:ascii="宋体" w:hAnsi="宋体" w:cs="宋体"/>
                <w:color w:val="000000" w:themeColor="text1"/>
                <w:szCs w:val="21"/>
                <w:lang w:val="zh-CN"/>
                <w14:textFill>
                  <w14:solidFill>
                    <w14:schemeClr w14:val="tx1"/>
                  </w14:solidFill>
                </w14:textFill>
              </w:rPr>
            </w:pPr>
            <w:r>
              <w:rPr>
                <w:rFonts w:ascii="宋体" w:hAnsi="宋体" w:cs="宋体"/>
                <w:color w:val="000000" w:themeColor="text1"/>
                <w:szCs w:val="21"/>
                <w:lang w:val="zh-CN"/>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2820" w:type="dxa"/>
            <w:vAlign w:val="center"/>
            <w:textDirection w:val="lrTb"/>
            <w:noWrap w:val="false"/>
          </w:tcPr>
          <w:p>
            <w:pPr>
              <w:jc w:val="center"/>
              <w:rPr>
                <w:rFonts w:ascii="宋体" w:hAnsi="宋体" w:cs="宋体"/>
                <w:color w:val="000000" w:themeColor="text1"/>
                <w:szCs w:val="21"/>
                <w:lang w:val="zh-CN"/>
                <w14:textFill>
                  <w14:solidFill>
                    <w14:schemeClr w14:val="tx1"/>
                  </w14:solidFill>
                </w14:textFill>
              </w:rPr>
            </w:pPr>
            <w:r>
              <w:rPr>
                <w:rFonts w:ascii="宋体" w:hAnsi="宋体" w:cs="宋体"/>
                <w:color w:val="000000" w:themeColor="text1"/>
                <w:szCs w:val="21"/>
                <w:lang w:val="zh-CN"/>
                <w14:textFill>
                  <w14:solidFill>
                    <w14:schemeClr w14:val="tx1"/>
                  </w14:solidFill>
                </w14:textFill>
              </w:rPr>
            </w:r>
            <w:r/>
          </w:p>
        </w:tc>
        <w:tc>
          <w:tcPr>
            <w:gridSpan w:val="2"/>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jc w:val="center"/>
              <w:rPr>
                <w:rFonts w:ascii="宋体" w:hAnsi="宋体" w:cs="宋体"/>
                <w:color w:val="000000" w:themeColor="text1"/>
                <w:szCs w:val="21"/>
                <w:lang w:val="zh-CN"/>
                <w14:textFill>
                  <w14:solidFill>
                    <w14:schemeClr w14:val="tx1"/>
                  </w14:solidFill>
                </w14:textFill>
              </w:rPr>
            </w:pPr>
            <w:r>
              <w:rPr>
                <w:rFonts w:ascii="宋体" w:hAnsi="宋体" w:cs="宋体"/>
                <w:color w:val="000000" w:themeColor="text1"/>
                <w:szCs w:val="21"/>
                <w:lang w:val="zh-CN"/>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jc w:val="center"/>
              <w:rPr>
                <w:rFonts w:ascii="宋体" w:hAnsi="宋体" w:cs="宋体"/>
                <w:color w:val="000000" w:themeColor="text1"/>
                <w:szCs w:val="21"/>
                <w:lang w:val="zh-CN"/>
                <w14:textFill>
                  <w14:solidFill>
                    <w14:schemeClr w14:val="tx1"/>
                  </w14:solidFill>
                </w14:textFill>
              </w:rPr>
            </w:pPr>
            <w:r>
              <w:rPr>
                <w:rFonts w:ascii="宋体" w:hAnsi="宋体" w:cs="宋体"/>
                <w:color w:val="000000" w:themeColor="text1"/>
                <w:szCs w:val="21"/>
                <w:lang w:val="zh-CN"/>
                <w14:textFill>
                  <w14:solidFill>
                    <w14:schemeClr w14:val="tx1"/>
                  </w14:solidFill>
                </w14:textFill>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jc w:val="center"/>
              <w:rPr>
                <w:rFonts w:ascii="宋体" w:hAnsi="宋体" w:cs="宋体"/>
                <w:color w:val="000000" w:themeColor="text1"/>
                <w:szCs w:val="21"/>
                <w:lang w:val="zh-CN"/>
                <w14:textFill>
                  <w14:solidFill>
                    <w14:schemeClr w14:val="tx1"/>
                  </w14:solidFill>
                </w14:textFill>
              </w:rPr>
            </w:pPr>
            <w:r>
              <w:rPr>
                <w:rFonts w:ascii="宋体" w:hAnsi="宋体" w:cs="宋体"/>
                <w:color w:val="000000" w:themeColor="text1"/>
                <w:szCs w:val="21"/>
                <w:lang w:val="zh-CN"/>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2549" w:type="dxa"/>
            <w:vAlign w:val="center"/>
            <w:textDirection w:val="lrTb"/>
            <w:noWrap w:val="false"/>
          </w:tcPr>
          <w:p>
            <w:pPr>
              <w:jc w:val="center"/>
              <w:rPr>
                <w:rFonts w:ascii="宋体" w:hAnsi="宋体" w:cs="宋体"/>
                <w:color w:val="000000" w:themeColor="text1"/>
                <w:szCs w:val="21"/>
                <w:lang w:val="zh-CN"/>
                <w14:textFill>
                  <w14:solidFill>
                    <w14:schemeClr w14:val="tx1"/>
                  </w14:solidFill>
                </w14:textFill>
              </w:rPr>
            </w:pPr>
            <w:r>
              <w:rPr>
                <w:rFonts w:ascii="宋体" w:hAnsi="宋体" w:cs="宋体"/>
                <w:color w:val="000000" w:themeColor="text1"/>
                <w:szCs w:val="21"/>
                <w:lang w:val="zh-CN"/>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2820" w:type="dxa"/>
            <w:vAlign w:val="center"/>
            <w:textDirection w:val="lrTb"/>
            <w:noWrap w:val="false"/>
          </w:tcPr>
          <w:p>
            <w:pPr>
              <w:jc w:val="center"/>
              <w:rPr>
                <w:rFonts w:ascii="宋体" w:hAnsi="宋体" w:cs="宋体"/>
                <w:color w:val="000000" w:themeColor="text1"/>
                <w:szCs w:val="21"/>
                <w:lang w:val="zh-CN"/>
                <w14:textFill>
                  <w14:solidFill>
                    <w14:schemeClr w14:val="tx1"/>
                  </w14:solidFill>
                </w14:textFill>
              </w:rPr>
            </w:pPr>
            <w:r>
              <w:rPr>
                <w:rFonts w:ascii="宋体" w:hAnsi="宋体" w:cs="宋体"/>
                <w:color w:val="000000" w:themeColor="text1"/>
                <w:szCs w:val="21"/>
                <w:lang w:val="zh-CN"/>
                <w14:textFill>
                  <w14:solidFill>
                    <w14:schemeClr w14:val="tx1"/>
                  </w14:solidFill>
                </w14:textFill>
              </w:rPr>
            </w:r>
            <w:r/>
          </w:p>
        </w:tc>
        <w:tc>
          <w:tcPr>
            <w:gridSpan w:val="2"/>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jc w:val="center"/>
              <w:rPr>
                <w:rFonts w:ascii="宋体" w:hAnsi="宋体" w:cs="宋体"/>
                <w:color w:val="000000" w:themeColor="text1"/>
                <w:szCs w:val="21"/>
                <w:lang w:val="zh-CN"/>
                <w14:textFill>
                  <w14:solidFill>
                    <w14:schemeClr w14:val="tx1"/>
                  </w14:solidFill>
                </w14:textFill>
              </w:rPr>
            </w:pPr>
            <w:r>
              <w:rPr>
                <w:rFonts w:ascii="宋体" w:hAnsi="宋体" w:cs="宋体"/>
                <w:color w:val="000000" w:themeColor="text1"/>
                <w:szCs w:val="21"/>
                <w:lang w:val="zh-CN"/>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jc w:val="center"/>
              <w:rPr>
                <w:rFonts w:ascii="宋体" w:hAnsi="宋体" w:cs="宋体"/>
                <w:color w:val="000000" w:themeColor="text1"/>
                <w:szCs w:val="21"/>
                <w:lang w:val="zh-CN"/>
                <w14:textFill>
                  <w14:solidFill>
                    <w14:schemeClr w14:val="tx1"/>
                  </w14:solidFill>
                </w14:textFill>
              </w:rPr>
            </w:pPr>
            <w:r>
              <w:rPr>
                <w:rFonts w:ascii="宋体" w:hAnsi="宋体" w:cs="宋体"/>
                <w:color w:val="000000" w:themeColor="text1"/>
                <w:szCs w:val="21"/>
                <w:lang w:val="zh-CN"/>
                <w14:textFill>
                  <w14:solidFill>
                    <w14:schemeClr w14:val="tx1"/>
                  </w14:solidFill>
                </w14:textFill>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jc w:val="center"/>
              <w:rPr>
                <w:rFonts w:ascii="宋体" w:hAnsi="宋体" w:cs="宋体"/>
                <w:color w:val="000000" w:themeColor="text1"/>
                <w:szCs w:val="21"/>
                <w:lang w:val="zh-CN"/>
                <w14:textFill>
                  <w14:solidFill>
                    <w14:schemeClr w14:val="tx1"/>
                  </w14:solidFill>
                </w14:textFill>
              </w:rPr>
            </w:pPr>
            <w:r>
              <w:rPr>
                <w:rFonts w:ascii="宋体" w:hAnsi="宋体" w:cs="宋体"/>
                <w:color w:val="000000" w:themeColor="text1"/>
                <w:szCs w:val="21"/>
                <w:lang w:val="zh-CN"/>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2549" w:type="dxa"/>
            <w:vAlign w:val="center"/>
            <w:textDirection w:val="lrTb"/>
            <w:noWrap w:val="false"/>
          </w:tcPr>
          <w:p>
            <w:pPr>
              <w:jc w:val="center"/>
              <w:rPr>
                <w:rFonts w:ascii="宋体" w:hAnsi="宋体" w:cs="宋体"/>
                <w:color w:val="000000" w:themeColor="text1"/>
                <w:szCs w:val="21"/>
                <w:lang w:val="zh-CN"/>
                <w14:textFill>
                  <w14:solidFill>
                    <w14:schemeClr w14:val="tx1"/>
                  </w14:solidFill>
                </w14:textFill>
              </w:rPr>
            </w:pPr>
            <w:r>
              <w:rPr>
                <w:rFonts w:ascii="宋体" w:hAnsi="宋体" w:cs="宋体"/>
                <w:color w:val="000000" w:themeColor="text1"/>
                <w:szCs w:val="21"/>
                <w:lang w:val="zh-CN"/>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2820" w:type="dxa"/>
            <w:vAlign w:val="center"/>
            <w:textDirection w:val="lrTb"/>
            <w:noWrap w:val="false"/>
          </w:tcPr>
          <w:p>
            <w:pPr>
              <w:jc w:val="center"/>
              <w:rPr>
                <w:rFonts w:ascii="宋体" w:hAnsi="宋体" w:cs="宋体"/>
                <w:color w:val="000000" w:themeColor="text1"/>
                <w:szCs w:val="21"/>
                <w:lang w:val="zh-CN"/>
                <w14:textFill>
                  <w14:solidFill>
                    <w14:schemeClr w14:val="tx1"/>
                  </w14:solidFill>
                </w14:textFill>
              </w:rPr>
            </w:pPr>
            <w:r>
              <w:rPr>
                <w:rFonts w:ascii="宋体" w:hAnsi="宋体" w:cs="宋体"/>
                <w:color w:val="000000" w:themeColor="text1"/>
                <w:szCs w:val="21"/>
                <w:lang w:val="zh-CN"/>
                <w14:textFill>
                  <w14:solidFill>
                    <w14:schemeClr w14:val="tx1"/>
                  </w14:solidFill>
                </w14:textFill>
              </w:rPr>
            </w:r>
            <w:r/>
          </w:p>
        </w:tc>
        <w:tc>
          <w:tcPr>
            <w:gridSpan w:val="2"/>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jc w:val="center"/>
              <w:rPr>
                <w:rFonts w:ascii="宋体" w:hAnsi="宋体" w:cs="宋体"/>
                <w:color w:val="000000" w:themeColor="text1"/>
                <w:szCs w:val="21"/>
                <w:lang w:val="zh-CN"/>
                <w14:textFill>
                  <w14:solidFill>
                    <w14:schemeClr w14:val="tx1"/>
                  </w14:solidFill>
                </w14:textFill>
              </w:rPr>
            </w:pPr>
            <w:r>
              <w:rPr>
                <w:rFonts w:ascii="宋体" w:hAnsi="宋体" w:cs="宋体"/>
                <w:color w:val="000000" w:themeColor="text1"/>
                <w:szCs w:val="21"/>
                <w:lang w:val="zh-CN"/>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jc w:val="center"/>
              <w:rPr>
                <w:rFonts w:ascii="宋体" w:hAnsi="宋体" w:cs="宋体"/>
                <w:color w:val="000000" w:themeColor="text1"/>
                <w:szCs w:val="21"/>
                <w:lang w:val="zh-CN"/>
                <w14:textFill>
                  <w14:solidFill>
                    <w14:schemeClr w14:val="tx1"/>
                  </w14:solidFill>
                </w14:textFill>
              </w:rPr>
            </w:pPr>
            <w:r>
              <w:rPr>
                <w:rFonts w:ascii="宋体" w:hAnsi="宋体" w:cs="宋体"/>
                <w:color w:val="000000" w:themeColor="text1"/>
                <w:szCs w:val="21"/>
                <w:lang w:val="zh-CN"/>
                <w14:textFill>
                  <w14:solidFill>
                    <w14:schemeClr w14:val="tx1"/>
                  </w14:solidFill>
                </w14:textFill>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jc w:val="center"/>
              <w:rPr>
                <w:rFonts w:ascii="宋体" w:hAnsi="宋体" w:cs="宋体"/>
                <w:color w:val="000000" w:themeColor="text1"/>
                <w:szCs w:val="21"/>
                <w:lang w:val="zh-CN"/>
                <w14:textFill>
                  <w14:solidFill>
                    <w14:schemeClr w14:val="tx1"/>
                  </w14:solidFill>
                </w14:textFill>
              </w:rPr>
            </w:pPr>
            <w:r>
              <w:rPr>
                <w:rFonts w:ascii="宋体" w:hAnsi="宋体" w:cs="宋体"/>
                <w:color w:val="000000" w:themeColor="text1"/>
                <w:szCs w:val="21"/>
                <w:lang w:val="zh-CN"/>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2549" w:type="dxa"/>
            <w:vAlign w:val="center"/>
            <w:textDirection w:val="lrTb"/>
            <w:noWrap w:val="false"/>
          </w:tcPr>
          <w:p>
            <w:pPr>
              <w:jc w:val="center"/>
              <w:rPr>
                <w:rFonts w:ascii="宋体" w:hAnsi="宋体" w:cs="宋体"/>
                <w:color w:val="000000" w:themeColor="text1"/>
                <w:szCs w:val="21"/>
                <w:lang w:val="zh-CN"/>
                <w14:textFill>
                  <w14:solidFill>
                    <w14:schemeClr w14:val="tx1"/>
                  </w14:solidFill>
                </w14:textFill>
              </w:rPr>
            </w:pPr>
            <w:r>
              <w:rPr>
                <w:rFonts w:ascii="宋体" w:hAnsi="宋体" w:cs="宋体"/>
                <w:color w:val="000000" w:themeColor="text1"/>
                <w:szCs w:val="21"/>
                <w:lang w:val="zh-CN"/>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2820" w:type="dxa"/>
            <w:vAlign w:val="center"/>
            <w:textDirection w:val="lrTb"/>
            <w:noWrap w:val="false"/>
          </w:tcPr>
          <w:p>
            <w:pPr>
              <w:jc w:val="center"/>
              <w:rPr>
                <w:rFonts w:ascii="宋体" w:hAnsi="宋体" w:cs="宋体"/>
                <w:color w:val="000000" w:themeColor="text1"/>
                <w:szCs w:val="21"/>
                <w:lang w:val="zh-CN"/>
                <w14:textFill>
                  <w14:solidFill>
                    <w14:schemeClr w14:val="tx1"/>
                  </w14:solidFill>
                </w14:textFill>
              </w:rPr>
            </w:pPr>
            <w:r>
              <w:rPr>
                <w:rFonts w:ascii="宋体" w:hAnsi="宋体" w:cs="宋体"/>
                <w:color w:val="000000" w:themeColor="text1"/>
                <w:szCs w:val="21"/>
                <w:lang w:val="zh-CN"/>
                <w14:textFill>
                  <w14:solidFill>
                    <w14:schemeClr w14:val="tx1"/>
                  </w14:solidFill>
                </w14:textFill>
              </w:rPr>
            </w:r>
            <w:r/>
          </w:p>
        </w:tc>
        <w:tc>
          <w:tcPr>
            <w:gridSpan w:val="2"/>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jc w:val="center"/>
              <w:rPr>
                <w:rFonts w:ascii="宋体" w:hAnsi="宋体" w:cs="宋体"/>
                <w:color w:val="000000" w:themeColor="text1"/>
                <w:szCs w:val="21"/>
                <w:lang w:val="zh-CN"/>
                <w14:textFill>
                  <w14:solidFill>
                    <w14:schemeClr w14:val="tx1"/>
                  </w14:solidFill>
                </w14:textFill>
              </w:rPr>
            </w:pPr>
            <w:r>
              <w:rPr>
                <w:rFonts w:ascii="宋体" w:hAnsi="宋体" w:cs="宋体"/>
                <w:color w:val="000000" w:themeColor="text1"/>
                <w:szCs w:val="21"/>
                <w:lang w:val="zh-CN"/>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jc w:val="center"/>
              <w:rPr>
                <w:rFonts w:ascii="宋体" w:hAnsi="宋体" w:cs="宋体"/>
                <w:color w:val="000000" w:themeColor="text1"/>
                <w:szCs w:val="21"/>
                <w:lang w:val="zh-CN"/>
                <w14:textFill>
                  <w14:solidFill>
                    <w14:schemeClr w14:val="tx1"/>
                  </w14:solidFill>
                </w14:textFill>
              </w:rPr>
            </w:pPr>
            <w:r>
              <w:rPr>
                <w:rFonts w:ascii="宋体" w:hAnsi="宋体" w:cs="宋体"/>
                <w:color w:val="000000" w:themeColor="text1"/>
                <w:szCs w:val="21"/>
                <w:lang w:val="zh-CN"/>
                <w14:textFill>
                  <w14:solidFill>
                    <w14:schemeClr w14:val="tx1"/>
                  </w14:solidFill>
                </w14:textFill>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jc w:val="center"/>
              <w:rPr>
                <w:rFonts w:ascii="宋体" w:hAnsi="宋体" w:cs="宋体"/>
                <w:color w:val="000000" w:themeColor="text1"/>
                <w:szCs w:val="21"/>
                <w:lang w:val="zh-CN"/>
                <w14:textFill>
                  <w14:solidFill>
                    <w14:schemeClr w14:val="tx1"/>
                  </w14:solidFill>
                </w14:textFill>
              </w:rPr>
            </w:pPr>
            <w:r>
              <w:rPr>
                <w:rFonts w:ascii="宋体" w:hAnsi="宋体" w:cs="宋体"/>
                <w:color w:val="000000" w:themeColor="text1"/>
                <w:szCs w:val="21"/>
                <w:lang w:val="zh-CN"/>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2549" w:type="dxa"/>
            <w:vAlign w:val="center"/>
            <w:textDirection w:val="lrTb"/>
            <w:noWrap w:val="false"/>
          </w:tcPr>
          <w:p>
            <w:pPr>
              <w:jc w:val="center"/>
              <w:rPr>
                <w:rFonts w:ascii="宋体" w:hAnsi="宋体" w:cs="宋体"/>
                <w:color w:val="000000" w:themeColor="text1"/>
                <w:szCs w:val="21"/>
                <w:lang w:val="zh-CN"/>
                <w14:textFill>
                  <w14:solidFill>
                    <w14:schemeClr w14:val="tx1"/>
                  </w14:solidFill>
                </w14:textFill>
              </w:rPr>
            </w:pPr>
            <w:r>
              <w:rPr>
                <w:rFonts w:ascii="宋体" w:hAnsi="宋体" w:cs="宋体"/>
                <w:color w:val="000000" w:themeColor="text1"/>
                <w:szCs w:val="21"/>
                <w:lang w:val="zh-CN"/>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2820" w:type="dxa"/>
            <w:vAlign w:val="center"/>
            <w:textDirection w:val="lrTb"/>
            <w:noWrap w:val="false"/>
          </w:tcPr>
          <w:p>
            <w:pPr>
              <w:jc w:val="center"/>
              <w:rPr>
                <w:rFonts w:ascii="宋体" w:hAnsi="宋体" w:cs="宋体"/>
                <w:color w:val="000000" w:themeColor="text1"/>
                <w:szCs w:val="21"/>
                <w:lang w:val="zh-CN"/>
                <w14:textFill>
                  <w14:solidFill>
                    <w14:schemeClr w14:val="tx1"/>
                  </w14:solidFill>
                </w14:textFill>
              </w:rPr>
            </w:pPr>
            <w:r>
              <w:rPr>
                <w:rFonts w:ascii="宋体" w:hAnsi="宋体" w:cs="宋体"/>
                <w:color w:val="000000" w:themeColor="text1"/>
                <w:szCs w:val="21"/>
                <w:lang w:val="zh-CN"/>
                <w14:textFill>
                  <w14:solidFill>
                    <w14:schemeClr w14:val="tx1"/>
                  </w14:solidFill>
                </w14:textFill>
              </w:rPr>
            </w:r>
            <w:r/>
          </w:p>
        </w:tc>
        <w:tc>
          <w:tcPr>
            <w:gridSpan w:val="2"/>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jc w:val="center"/>
              <w:rPr>
                <w:rFonts w:ascii="宋体" w:hAnsi="宋体" w:cs="宋体"/>
                <w:color w:val="000000" w:themeColor="text1"/>
                <w:szCs w:val="21"/>
                <w:lang w:val="zh-CN"/>
                <w14:textFill>
                  <w14:solidFill>
                    <w14:schemeClr w14:val="tx1"/>
                  </w14:solidFill>
                </w14:textFill>
              </w:rPr>
            </w:pPr>
            <w:r>
              <w:rPr>
                <w:rFonts w:ascii="宋体" w:hAnsi="宋体" w:cs="宋体"/>
                <w:color w:val="000000" w:themeColor="text1"/>
                <w:szCs w:val="21"/>
                <w:lang w:val="zh-CN"/>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jc w:val="center"/>
              <w:rPr>
                <w:rFonts w:ascii="宋体" w:hAnsi="宋体" w:cs="宋体"/>
                <w:color w:val="000000" w:themeColor="text1"/>
                <w:szCs w:val="21"/>
                <w:lang w:val="zh-CN"/>
                <w14:textFill>
                  <w14:solidFill>
                    <w14:schemeClr w14:val="tx1"/>
                  </w14:solidFill>
                </w14:textFill>
              </w:rPr>
            </w:pPr>
            <w:r>
              <w:rPr>
                <w:rFonts w:ascii="宋体" w:hAnsi="宋体" w:cs="宋体"/>
                <w:color w:val="000000" w:themeColor="text1"/>
                <w:szCs w:val="21"/>
                <w:lang w:val="zh-CN"/>
                <w14:textFill>
                  <w14:solidFill>
                    <w14:schemeClr w14:val="tx1"/>
                  </w14:solidFill>
                </w14:textFill>
              </w:rPr>
            </w:r>
            <w:r/>
          </w:p>
        </w:tc>
      </w:tr>
    </w:tbl>
    <w:p>
      <w:pPr>
        <w:rPr>
          <w:rFonts w:ascii="宋体" w:hAnsi="宋体" w:cs="宋体"/>
          <w:color w:val="000000" w:themeColor="text1"/>
          <w:szCs w:val="21"/>
          <w:lang w:val="zh-CN"/>
          <w14:textFill>
            <w14:solidFill>
              <w14:schemeClr w14:val="tx1"/>
            </w14:solidFill>
          </w14:textFill>
        </w:rPr>
      </w:pPr>
      <w:r>
        <w:rPr>
          <w:rFonts w:ascii="宋体" w:hAnsi="宋体" w:cs="宋体"/>
          <w:color w:val="000000" w:themeColor="text1"/>
          <w:szCs w:val="21"/>
          <w:lang w:val="zh-CN"/>
          <w14:textFill>
            <w14:solidFill>
              <w14:schemeClr w14:val="tx1"/>
            </w14:solidFill>
          </w14:textFill>
        </w:rPr>
      </w:r>
      <w:r/>
    </w:p>
    <w:p>
      <w:pPr>
        <w:ind w:firstLine="420"/>
        <w:jc w:val="left"/>
        <w:spacing w:line="360" w:lineRule="auto"/>
        <w:shd w:val="clear" w:color="auto" w:fill="ffffff"/>
        <w:widowControl/>
        <w:rPr>
          <w:color w:val="000000" w:themeColor="text1"/>
          <w:szCs w:val="21"/>
          <w14:textFill>
            <w14:solidFill>
              <w14:schemeClr w14:val="tx1"/>
            </w14:solidFill>
          </w14:textFill>
        </w:rPr>
      </w:pPr>
      <w:r/>
      <w:bookmarkStart w:id="62" w:name="_Toc490133033"/>
      <w:r/>
      <w:bookmarkStart w:id="63" w:name="_Toc504573088"/>
      <w:r/>
      <w:bookmarkStart w:id="64" w:name="_Toc504044385"/>
      <w:r/>
      <w:bookmarkStart w:id="65" w:name="_Toc504056873"/>
      <w:r>
        <w:rPr>
          <w:color w:val="000000" w:themeColor="text1"/>
          <w:szCs w:val="21"/>
          <w14:textFill>
            <w14:solidFill>
              <w14:schemeClr w14:val="tx1"/>
            </w14:solidFill>
          </w14:textFill>
        </w:rPr>
        <w:t xml:space="preserve">供应商名称（加盖电子公章）：</w:t>
      </w:r>
      <w:r>
        <w:rPr>
          <w:color w:val="000000" w:themeColor="text1"/>
          <w:szCs w:val="21"/>
          <w:u w:val="single"/>
          <w14:textFill>
            <w14:solidFill>
              <w14:schemeClr w14:val="tx1"/>
            </w14:solidFill>
          </w14:textFill>
        </w:rPr>
        <w:t xml:space="preserve">                </w:t>
      </w:r>
      <w:r/>
    </w:p>
    <w:p>
      <w:pPr>
        <w:ind w:firstLine="420"/>
        <w:jc w:val="left"/>
        <w:spacing w:line="360" w:lineRule="auto"/>
        <w:shd w:val="clear" w:color="auto" w:fill="ffffff"/>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日    期：   年    月    日</w:t>
      </w:r>
      <w:r/>
    </w:p>
    <w:p>
      <w:pP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注：（1）投标人需根据“第四章 采购需求”中内容进行响应；</w:t>
      </w:r>
      <w:r/>
    </w:p>
    <w:p>
      <w:pPr>
        <w:ind w:firstLine="42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（2）如无任何偏离，请于本表“偏离说明”中注明“无偏离”；</w:t>
      </w:r>
      <w:r>
        <w:rPr>
          <w:rFonts w:hint="eastAsia" w:ascii="宋体" w:hAnsi="宋体" w:cs="宋体"/>
          <w:bCs/>
          <w:color w:val="000000" w:themeColor="text1"/>
          <w:szCs w:val="21"/>
          <w14:textFill>
            <w14:solidFill>
              <w14:schemeClr w14:val="tx1"/>
            </w14:solidFill>
          </w14:textFill>
        </w:rPr>
        <w:t xml:space="preserve">如有偏离项，请于本表中列明偏离内容，如需要可自行延长，其余无偏离内容不须赘述。</w:t>
      </w:r>
      <w:r/>
    </w:p>
    <w:p>
      <w:pP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bookmarkEnd w:id="62"/>
      <w:bookmarkEnd w:id="63"/>
      <w:bookmarkEnd w:id="64"/>
      <w:bookmarkEnd w:id="65"/>
      <w:r/>
    </w:p>
    <w:p>
      <w:pPr>
        <w:pStyle w:val="859"/>
        <w:rPr>
          <w:rFonts w:ascii="宋体" w:hAnsi="宋体" w:cs="宋体"/>
          <w:color w:val="000000" w:themeColor="text1"/>
          <w:sz w:val="21"/>
          <w:szCs w:val="21"/>
          <w14:textFill>
            <w14:solidFill>
              <w14:schemeClr w14:val="tx1"/>
            </w14:solidFill>
          </w14:textFill>
        </w:rPr>
      </w:pPr>
      <w:r/>
      <w:bookmarkStart w:id="66" w:name="_Toc534273684"/>
      <w:r/>
      <w:bookmarkStart w:id="67" w:name="_Toc534273807"/>
      <w:r/>
      <w:bookmarkStart w:id="68" w:name="_Toc504044387"/>
      <w:r/>
      <w:bookmarkStart w:id="69" w:name="_Toc504573090"/>
      <w:r/>
      <w:bookmarkStart w:id="70" w:name="_Toc504056875"/>
      <w:r/>
      <w:bookmarkStart w:id="71" w:name="_Toc490133035"/>
      <w:r>
        <w:rPr>
          <w:rFonts w:hint="eastAsia" w:ascii="宋体" w:hAnsi="宋体" w:cs="宋体"/>
          <w:color w:val="000000" w:themeColor="text1"/>
          <w:sz w:val="21"/>
          <w:szCs w:val="21"/>
          <w14:textFill>
            <w14:solidFill>
              <w14:schemeClr w14:val="tx1"/>
            </w14:solidFill>
          </w14:textFill>
        </w:rPr>
        <w:t xml:space="preserve">附件七、供应商类似业绩情况表</w:t>
      </w:r>
      <w:bookmarkEnd w:id="66"/>
      <w:r/>
      <w:bookmarkEnd w:id="67"/>
      <w:r/>
      <w:bookmarkEnd w:id="68"/>
      <w:r/>
      <w:bookmarkEnd w:id="69"/>
      <w:r/>
      <w:bookmarkEnd w:id="70"/>
      <w:r/>
      <w:bookmarkEnd w:id="71"/>
      <w:r/>
      <w:r/>
    </w:p>
    <w:p>
      <w:pP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p>
      <w:pPr>
        <w:jc w:val="center"/>
        <w:spacing w:before="240" w:line="360" w:lineRule="auto"/>
        <w:shd w:val="clear" w:color="auto" w:fill="ffffff"/>
        <w:widowControl/>
        <w:rPr>
          <w:rFonts w:ascii="宋体" w:hAnsi="宋体" w:cs="宋体"/>
          <w:b/>
          <w:color w:val="000000" w:themeColor="text1"/>
          <w:sz w:val="36"/>
          <w:szCs w:val="36"/>
          <w14:textFill>
            <w14:solidFill>
              <w14:schemeClr w14:val="tx1"/>
            </w14:solidFill>
          </w14:textFill>
        </w:rPr>
      </w:pPr>
      <w:r>
        <w:rPr>
          <w:rFonts w:hint="eastAsia" w:ascii="宋体" w:hAnsi="宋体" w:cs="宋体"/>
          <w:b/>
          <w:color w:val="000000" w:themeColor="text1"/>
          <w:sz w:val="36"/>
          <w:szCs w:val="36"/>
          <w14:textFill>
            <w14:solidFill>
              <w14:schemeClr w14:val="tx1"/>
            </w14:solidFill>
          </w14:textFill>
        </w:rPr>
        <w:t xml:space="preserve">供应商类似业绩情况表</w:t>
      </w:r>
      <w:r/>
    </w:p>
    <w:tbl>
      <w:tblPr>
        <w:tblStyle w:val="67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3"/>
        <w:gridCol w:w="1710"/>
        <w:gridCol w:w="1365"/>
        <w:gridCol w:w="1455"/>
        <w:gridCol w:w="1300"/>
        <w:gridCol w:w="1026"/>
        <w:gridCol w:w="1026"/>
      </w:tblGrid>
      <w:tr>
        <w:trPr>
          <w:jc w:val="center"/>
          <w:trHeight w:val="890"/>
        </w:trPr>
        <w:tc>
          <w:tcPr>
            <w:tcW w:w="773" w:type="dxa"/>
            <w:vAlign w:val="center"/>
            <w:textDirection w:val="lrTb"/>
            <w:noWrap w:val="false"/>
          </w:tcPr>
          <w:p>
            <w:pPr>
              <w:jc w:val="center"/>
              <w:rPr>
                <w:rFonts w:ascii="宋体" w:hAnsi="宋体" w:cs="宋体"/>
                <w:b/>
                <w:color w:val="000000" w:themeColor="text1"/>
                <w:szCs w:val="21"/>
                <w:lang w:val="zh-CN"/>
                <w14:textFill>
                  <w14:solidFill>
                    <w14:schemeClr w14:val="tx1"/>
                  </w14:solidFill>
                </w14:textFill>
              </w:rPr>
            </w:pPr>
            <w:r>
              <w:rPr>
                <w:rFonts w:hint="eastAsia" w:ascii="宋体" w:hAnsi="宋体" w:cs="宋体"/>
                <w:b/>
                <w:color w:val="000000" w:themeColor="text1"/>
                <w:szCs w:val="21"/>
                <w:lang w:val="zh-CN"/>
                <w14:textFill>
                  <w14:solidFill>
                    <w14:schemeClr w14:val="tx1"/>
                  </w14:solidFill>
                </w14:textFill>
              </w:rPr>
              <w:t xml:space="preserve">序号</w:t>
            </w:r>
            <w:r/>
          </w:p>
        </w:tc>
        <w:tc>
          <w:tcPr>
            <w:tcW w:w="1710" w:type="dxa"/>
            <w:vAlign w:val="center"/>
            <w:textDirection w:val="lrTb"/>
            <w:noWrap w:val="false"/>
          </w:tcPr>
          <w:p>
            <w:pPr>
              <w:jc w:val="center"/>
              <w:rPr>
                <w:rFonts w:ascii="宋体" w:hAnsi="宋体" w:cs="宋体"/>
                <w:b/>
                <w:color w:val="000000" w:themeColor="text1"/>
                <w:szCs w:val="21"/>
                <w:lang w:val="zh-CN"/>
                <w14:textFill>
                  <w14:solidFill>
                    <w14:schemeClr w14:val="tx1"/>
                  </w14:solidFill>
                </w14:textFill>
              </w:rPr>
            </w:pPr>
            <w:r>
              <w:rPr>
                <w:rFonts w:hint="eastAsia" w:ascii="宋体" w:hAnsi="宋体" w:cs="宋体"/>
                <w:b/>
                <w:color w:val="000000" w:themeColor="text1"/>
                <w:szCs w:val="21"/>
                <w:lang w:val="zh-CN"/>
                <w14:textFill>
                  <w14:solidFill>
                    <w14:schemeClr w14:val="tx1"/>
                  </w14:solidFill>
                </w14:textFill>
              </w:rPr>
              <w:t xml:space="preserve">项目名称</w:t>
            </w:r>
            <w:r/>
          </w:p>
        </w:tc>
        <w:tc>
          <w:tcPr>
            <w:tcW w:w="1365" w:type="dxa"/>
            <w:vAlign w:val="center"/>
            <w:textDirection w:val="lrTb"/>
            <w:noWrap w:val="false"/>
          </w:tcPr>
          <w:p>
            <w:pPr>
              <w:jc w:val="center"/>
              <w:rPr>
                <w:rFonts w:ascii="宋体" w:hAnsi="宋体" w:cs="宋体"/>
                <w:b/>
                <w:color w:val="000000" w:themeColor="text1"/>
                <w:szCs w:val="21"/>
                <w:lang w:val="zh-CN"/>
                <w14:textFill>
                  <w14:solidFill>
                    <w14:schemeClr w14:val="tx1"/>
                  </w14:solidFill>
                </w14:textFill>
              </w:rPr>
            </w:pPr>
            <w:r>
              <w:rPr>
                <w:rFonts w:hint="eastAsia" w:ascii="宋体" w:hAnsi="宋体" w:cs="宋体"/>
                <w:b/>
                <w:color w:val="000000" w:themeColor="text1"/>
                <w:szCs w:val="21"/>
                <w:lang w:val="zh-CN"/>
                <w14:textFill>
                  <w14:solidFill>
                    <w14:schemeClr w14:val="tx1"/>
                  </w14:solidFill>
                </w14:textFill>
              </w:rPr>
              <w:t xml:space="preserve">业主单位</w:t>
            </w:r>
            <w:r/>
          </w:p>
        </w:tc>
        <w:tc>
          <w:tcPr>
            <w:tcW w:w="1455" w:type="dxa"/>
            <w:vAlign w:val="center"/>
            <w:textDirection w:val="lrTb"/>
            <w:noWrap w:val="false"/>
          </w:tcPr>
          <w:p>
            <w:pPr>
              <w:jc w:val="center"/>
              <w:rPr>
                <w:rFonts w:ascii="宋体" w:hAnsi="宋体" w:cs="宋体"/>
                <w:b/>
                <w:color w:val="000000" w:themeColor="text1"/>
                <w:szCs w:val="21"/>
                <w:lang w:val="zh-CN"/>
                <w14:textFill>
                  <w14:solidFill>
                    <w14:schemeClr w14:val="tx1"/>
                  </w14:solidFill>
                </w14:textFill>
              </w:rPr>
            </w:pPr>
            <w:r>
              <w:rPr>
                <w:rFonts w:hint="eastAsia" w:ascii="宋体" w:hAnsi="宋体" w:cs="宋体"/>
                <w:b/>
                <w:color w:val="000000" w:themeColor="text1"/>
                <w:szCs w:val="21"/>
                <w:lang w:val="zh-CN"/>
                <w14:textFill>
                  <w14:solidFill>
                    <w14:schemeClr w14:val="tx1"/>
                  </w14:solidFill>
                </w14:textFill>
              </w:rPr>
              <w:t xml:space="preserve">业主联系</w:t>
            </w:r>
            <w:r/>
          </w:p>
          <w:p>
            <w:pPr>
              <w:jc w:val="center"/>
              <w:rPr>
                <w:rFonts w:ascii="宋体" w:hAnsi="宋体" w:cs="宋体"/>
                <w:b/>
                <w:color w:val="000000" w:themeColor="text1"/>
                <w:szCs w:val="21"/>
                <w:lang w:val="zh-CN"/>
                <w14:textFill>
                  <w14:solidFill>
                    <w14:schemeClr w14:val="tx1"/>
                  </w14:solidFill>
                </w14:textFill>
              </w:rPr>
            </w:pPr>
            <w:r>
              <w:rPr>
                <w:rFonts w:hint="eastAsia" w:ascii="宋体" w:hAnsi="宋体" w:cs="宋体"/>
                <w:b/>
                <w:color w:val="000000" w:themeColor="text1"/>
                <w:szCs w:val="21"/>
                <w:lang w:val="zh-CN"/>
                <w14:textFill>
                  <w14:solidFill>
                    <w14:schemeClr w14:val="tx1"/>
                  </w14:solidFill>
                </w14:textFill>
              </w:rPr>
              <w:t xml:space="preserve">方式</w:t>
            </w:r>
            <w:r/>
          </w:p>
        </w:tc>
        <w:tc>
          <w:tcPr>
            <w:tcW w:w="1300" w:type="dxa"/>
            <w:vAlign w:val="center"/>
            <w:textDirection w:val="lrTb"/>
            <w:noWrap w:val="false"/>
          </w:tcPr>
          <w:p>
            <w:pPr>
              <w:jc w:val="center"/>
              <w:rPr>
                <w:rFonts w:ascii="宋体" w:hAnsi="宋体" w:cs="宋体"/>
                <w:b/>
                <w:color w:val="000000" w:themeColor="text1"/>
                <w:szCs w:val="21"/>
                <w:lang w:val="zh-CN"/>
                <w14:textFill>
                  <w14:solidFill>
                    <w14:schemeClr w14:val="tx1"/>
                  </w14:solidFill>
                </w14:textFill>
              </w:rPr>
            </w:pPr>
            <w:r>
              <w:rPr>
                <w:rFonts w:hint="eastAsia" w:ascii="宋体" w:hAnsi="宋体" w:cs="宋体"/>
                <w:b/>
                <w:color w:val="000000" w:themeColor="text1"/>
                <w:szCs w:val="21"/>
                <w:lang w:val="zh-CN"/>
                <w14:textFill>
                  <w14:solidFill>
                    <w14:schemeClr w14:val="tx1"/>
                  </w14:solidFill>
                </w14:textFill>
              </w:rPr>
              <w:t xml:space="preserve">工作主要</w:t>
            </w:r>
            <w:r/>
          </w:p>
          <w:p>
            <w:pPr>
              <w:jc w:val="center"/>
              <w:rPr>
                <w:rFonts w:ascii="宋体" w:hAnsi="宋体" w:cs="宋体"/>
                <w:b/>
                <w:color w:val="000000" w:themeColor="text1"/>
                <w:szCs w:val="21"/>
                <w:lang w:val="zh-CN"/>
                <w14:textFill>
                  <w14:solidFill>
                    <w14:schemeClr w14:val="tx1"/>
                  </w14:solidFill>
                </w14:textFill>
              </w:rPr>
            </w:pPr>
            <w:r>
              <w:rPr>
                <w:rFonts w:hint="eastAsia" w:ascii="宋体" w:hAnsi="宋体" w:cs="宋体"/>
                <w:b/>
                <w:color w:val="000000" w:themeColor="text1"/>
                <w:szCs w:val="21"/>
                <w:lang w:val="zh-CN"/>
                <w14:textFill>
                  <w14:solidFill>
                    <w14:schemeClr w14:val="tx1"/>
                  </w14:solidFill>
                </w14:textFill>
              </w:rPr>
              <w:t xml:space="preserve">内容</w:t>
            </w:r>
            <w:r/>
          </w:p>
        </w:tc>
        <w:tc>
          <w:tcPr>
            <w:tcW w:w="1026" w:type="dxa"/>
            <w:vAlign w:val="center"/>
            <w:textDirection w:val="lrTb"/>
            <w:noWrap w:val="false"/>
          </w:tcPr>
          <w:p>
            <w:pPr>
              <w:jc w:val="center"/>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合同</w:t>
            </w:r>
            <w:r/>
          </w:p>
          <w:p>
            <w:pPr>
              <w:jc w:val="center"/>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金额</w:t>
            </w:r>
            <w:r/>
          </w:p>
        </w:tc>
        <w:tc>
          <w:tcPr>
            <w:tcW w:w="1026" w:type="dxa"/>
            <w:vAlign w:val="center"/>
            <w:textDirection w:val="lrTb"/>
            <w:noWrap w:val="false"/>
          </w:tcPr>
          <w:p>
            <w:pPr>
              <w:jc w:val="center"/>
              <w:rPr>
                <w:rFonts w:ascii="宋体" w:hAnsi="宋体" w:cs="宋体"/>
                <w:b/>
                <w:color w:val="000000" w:themeColor="text1"/>
                <w:szCs w:val="21"/>
                <w:lang w:val="zh-CN"/>
                <w14:textFill>
                  <w14:solidFill>
                    <w14:schemeClr w14:val="tx1"/>
                  </w14:solidFill>
                </w14:textFill>
              </w:rPr>
            </w:pPr>
            <w:r>
              <w:rPr>
                <w:rFonts w:hint="eastAsia" w:ascii="宋体" w:hAnsi="宋体" w:cs="宋体"/>
                <w:b/>
                <w:color w:val="000000" w:themeColor="text1"/>
                <w:szCs w:val="21"/>
                <w:lang w:val="zh-CN"/>
                <w14:textFill>
                  <w14:solidFill>
                    <w14:schemeClr w14:val="tx1"/>
                  </w14:solidFill>
                </w14:textFill>
              </w:rPr>
              <w:t xml:space="preserve">备注</w:t>
            </w:r>
            <w:r/>
          </w:p>
        </w:tc>
      </w:tr>
      <w:tr>
        <w:trPr>
          <w:jc w:val="center"/>
          <w:trHeight w:val="352"/>
        </w:trPr>
        <w:tc>
          <w:tcPr>
            <w:tcW w:w="773" w:type="dxa"/>
            <w:textDirection w:val="lrTb"/>
            <w:noWrap w:val="false"/>
          </w:tcPr>
          <w:p>
            <w:pPr>
              <w:rPr>
                <w:rFonts w:ascii="宋体" w:hAnsi="宋体" w:cs="宋体"/>
                <w:color w:val="000000" w:themeColor="text1"/>
                <w:szCs w:val="21"/>
                <w:lang w:val="zh-CN"/>
                <w14:textFill>
                  <w14:solidFill>
                    <w14:schemeClr w14:val="tx1"/>
                  </w14:solidFill>
                </w14:textFill>
              </w:rPr>
            </w:pPr>
            <w:r>
              <w:rPr>
                <w:rFonts w:ascii="宋体" w:hAnsi="宋体" w:cs="宋体"/>
                <w:color w:val="000000" w:themeColor="text1"/>
                <w:szCs w:val="21"/>
                <w:lang w:val="zh-CN"/>
                <w14:textFill>
                  <w14:solidFill>
                    <w14:schemeClr w14:val="tx1"/>
                  </w14:solidFill>
                </w14:textFill>
              </w:rPr>
            </w:r>
            <w:r/>
          </w:p>
        </w:tc>
        <w:tc>
          <w:tcPr>
            <w:tcW w:w="1710" w:type="dxa"/>
            <w:textDirection w:val="lrTb"/>
            <w:noWrap w:val="false"/>
          </w:tcPr>
          <w:p>
            <w:pPr>
              <w:rPr>
                <w:rFonts w:ascii="宋体" w:hAnsi="宋体" w:cs="宋体"/>
                <w:color w:val="000000" w:themeColor="text1"/>
                <w:szCs w:val="21"/>
                <w:lang w:val="zh-CN"/>
                <w14:textFill>
                  <w14:solidFill>
                    <w14:schemeClr w14:val="tx1"/>
                  </w14:solidFill>
                </w14:textFill>
              </w:rPr>
            </w:pPr>
            <w:r>
              <w:rPr>
                <w:rFonts w:ascii="宋体" w:hAnsi="宋体" w:cs="宋体"/>
                <w:color w:val="000000" w:themeColor="text1"/>
                <w:szCs w:val="21"/>
                <w:lang w:val="zh-CN"/>
                <w14:textFill>
                  <w14:solidFill>
                    <w14:schemeClr w14:val="tx1"/>
                  </w14:solidFill>
                </w14:textFill>
              </w:rPr>
            </w:r>
            <w:r/>
          </w:p>
        </w:tc>
        <w:tc>
          <w:tcPr>
            <w:tcW w:w="1365" w:type="dxa"/>
            <w:textDirection w:val="lrTb"/>
            <w:noWrap w:val="false"/>
          </w:tcPr>
          <w:p>
            <w:pPr>
              <w:rPr>
                <w:rFonts w:ascii="宋体" w:hAnsi="宋体" w:cs="宋体"/>
                <w:color w:val="000000" w:themeColor="text1"/>
                <w:szCs w:val="21"/>
                <w:lang w:val="zh-CN"/>
                <w14:textFill>
                  <w14:solidFill>
                    <w14:schemeClr w14:val="tx1"/>
                  </w14:solidFill>
                </w14:textFill>
              </w:rPr>
            </w:pPr>
            <w:r>
              <w:rPr>
                <w:rFonts w:ascii="宋体" w:hAnsi="宋体" w:cs="宋体"/>
                <w:color w:val="000000" w:themeColor="text1"/>
                <w:szCs w:val="21"/>
                <w:lang w:val="zh-CN"/>
                <w14:textFill>
                  <w14:solidFill>
                    <w14:schemeClr w14:val="tx1"/>
                  </w14:solidFill>
                </w14:textFill>
              </w:rPr>
            </w:r>
            <w:r/>
          </w:p>
        </w:tc>
        <w:tc>
          <w:tcPr>
            <w:tcW w:w="1455" w:type="dxa"/>
            <w:textDirection w:val="lrTb"/>
            <w:noWrap w:val="false"/>
          </w:tcPr>
          <w:p>
            <w:pPr>
              <w:rPr>
                <w:rFonts w:ascii="宋体" w:hAnsi="宋体" w:cs="宋体"/>
                <w:color w:val="000000" w:themeColor="text1"/>
                <w:szCs w:val="21"/>
                <w:lang w:val="zh-CN"/>
                <w14:textFill>
                  <w14:solidFill>
                    <w14:schemeClr w14:val="tx1"/>
                  </w14:solidFill>
                </w14:textFill>
              </w:rPr>
            </w:pPr>
            <w:r>
              <w:rPr>
                <w:rFonts w:ascii="宋体" w:hAnsi="宋体" w:cs="宋体"/>
                <w:color w:val="000000" w:themeColor="text1"/>
                <w:szCs w:val="21"/>
                <w:lang w:val="zh-CN"/>
                <w14:textFill>
                  <w14:solidFill>
                    <w14:schemeClr w14:val="tx1"/>
                  </w14:solidFill>
                </w14:textFill>
              </w:rPr>
            </w:r>
            <w:r/>
          </w:p>
        </w:tc>
        <w:tc>
          <w:tcPr>
            <w:tcW w:w="1300" w:type="dxa"/>
            <w:textDirection w:val="lrTb"/>
            <w:noWrap w:val="false"/>
          </w:tcPr>
          <w:p>
            <w:pPr>
              <w:rPr>
                <w:rFonts w:ascii="宋体" w:hAnsi="宋体" w:cs="宋体"/>
                <w:color w:val="000000" w:themeColor="text1"/>
                <w:szCs w:val="21"/>
                <w:lang w:val="zh-CN"/>
                <w14:textFill>
                  <w14:solidFill>
                    <w14:schemeClr w14:val="tx1"/>
                  </w14:solidFill>
                </w14:textFill>
              </w:rPr>
            </w:pPr>
            <w:r>
              <w:rPr>
                <w:rFonts w:ascii="宋体" w:hAnsi="宋体" w:cs="宋体"/>
                <w:color w:val="000000" w:themeColor="text1"/>
                <w:szCs w:val="21"/>
                <w:lang w:val="zh-CN"/>
                <w14:textFill>
                  <w14:solidFill>
                    <w14:schemeClr w14:val="tx1"/>
                  </w14:solidFill>
                </w14:textFill>
              </w:rPr>
            </w:r>
            <w:r/>
          </w:p>
        </w:tc>
        <w:tc>
          <w:tcPr>
            <w:tcW w:w="1026" w:type="dxa"/>
            <w:textDirection w:val="lrTb"/>
            <w:noWrap w:val="false"/>
          </w:tcPr>
          <w:p>
            <w:pPr>
              <w:rPr>
                <w:rFonts w:ascii="宋体" w:hAnsi="宋体" w:cs="宋体"/>
                <w:color w:val="000000" w:themeColor="text1"/>
                <w:szCs w:val="21"/>
                <w:lang w:val="zh-CN"/>
                <w14:textFill>
                  <w14:solidFill>
                    <w14:schemeClr w14:val="tx1"/>
                  </w14:solidFill>
                </w14:textFill>
              </w:rPr>
            </w:pPr>
            <w:r>
              <w:rPr>
                <w:rFonts w:ascii="宋体" w:hAnsi="宋体" w:cs="宋体"/>
                <w:color w:val="000000" w:themeColor="text1"/>
                <w:szCs w:val="21"/>
                <w:lang w:val="zh-CN"/>
                <w14:textFill>
                  <w14:solidFill>
                    <w14:schemeClr w14:val="tx1"/>
                  </w14:solidFill>
                </w14:textFill>
              </w:rPr>
            </w:r>
            <w:r/>
          </w:p>
        </w:tc>
        <w:tc>
          <w:tcPr>
            <w:tcW w:w="1026" w:type="dxa"/>
            <w:textDirection w:val="lrTb"/>
            <w:noWrap w:val="false"/>
          </w:tcPr>
          <w:p>
            <w:pPr>
              <w:rPr>
                <w:rFonts w:ascii="宋体" w:hAnsi="宋体" w:cs="宋体"/>
                <w:color w:val="000000" w:themeColor="text1"/>
                <w:szCs w:val="21"/>
                <w:lang w:val="zh-CN"/>
                <w14:textFill>
                  <w14:solidFill>
                    <w14:schemeClr w14:val="tx1"/>
                  </w14:solidFill>
                </w14:textFill>
              </w:rPr>
            </w:pPr>
            <w:r>
              <w:rPr>
                <w:rFonts w:ascii="宋体" w:hAnsi="宋体" w:cs="宋体"/>
                <w:color w:val="000000" w:themeColor="text1"/>
                <w:szCs w:val="21"/>
                <w:lang w:val="zh-CN"/>
                <w14:textFill>
                  <w14:solidFill>
                    <w14:schemeClr w14:val="tx1"/>
                  </w14:solidFill>
                </w14:textFill>
              </w:rPr>
            </w:r>
            <w:r/>
          </w:p>
        </w:tc>
      </w:tr>
      <w:tr>
        <w:trPr>
          <w:jc w:val="center"/>
          <w:trHeight w:val="352"/>
        </w:trPr>
        <w:tc>
          <w:tcPr>
            <w:tcW w:w="773" w:type="dxa"/>
            <w:textDirection w:val="lrTb"/>
            <w:noWrap w:val="false"/>
          </w:tcPr>
          <w:p>
            <w:pPr>
              <w:rPr>
                <w:rFonts w:ascii="宋体" w:hAnsi="宋体" w:cs="宋体"/>
                <w:color w:val="000000" w:themeColor="text1"/>
                <w:szCs w:val="21"/>
                <w:lang w:val="zh-CN"/>
                <w14:textFill>
                  <w14:solidFill>
                    <w14:schemeClr w14:val="tx1"/>
                  </w14:solidFill>
                </w14:textFill>
              </w:rPr>
            </w:pPr>
            <w:r>
              <w:rPr>
                <w:rFonts w:ascii="宋体" w:hAnsi="宋体" w:cs="宋体"/>
                <w:color w:val="000000" w:themeColor="text1"/>
                <w:szCs w:val="21"/>
                <w:lang w:val="zh-CN"/>
                <w14:textFill>
                  <w14:solidFill>
                    <w14:schemeClr w14:val="tx1"/>
                  </w14:solidFill>
                </w14:textFill>
              </w:rPr>
            </w:r>
            <w:r/>
          </w:p>
        </w:tc>
        <w:tc>
          <w:tcPr>
            <w:tcW w:w="1710" w:type="dxa"/>
            <w:textDirection w:val="lrTb"/>
            <w:noWrap w:val="false"/>
          </w:tcPr>
          <w:p>
            <w:pPr>
              <w:rPr>
                <w:rFonts w:ascii="宋体" w:hAnsi="宋体" w:cs="宋体"/>
                <w:color w:val="000000" w:themeColor="text1"/>
                <w:szCs w:val="21"/>
                <w:lang w:val="zh-CN"/>
                <w14:textFill>
                  <w14:solidFill>
                    <w14:schemeClr w14:val="tx1"/>
                  </w14:solidFill>
                </w14:textFill>
              </w:rPr>
            </w:pPr>
            <w:r>
              <w:rPr>
                <w:rFonts w:ascii="宋体" w:hAnsi="宋体" w:cs="宋体"/>
                <w:color w:val="000000" w:themeColor="text1"/>
                <w:szCs w:val="21"/>
                <w:lang w:val="zh-CN"/>
                <w14:textFill>
                  <w14:solidFill>
                    <w14:schemeClr w14:val="tx1"/>
                  </w14:solidFill>
                </w14:textFill>
              </w:rPr>
            </w:r>
            <w:r/>
          </w:p>
        </w:tc>
        <w:tc>
          <w:tcPr>
            <w:tcW w:w="1365" w:type="dxa"/>
            <w:textDirection w:val="lrTb"/>
            <w:noWrap w:val="false"/>
          </w:tcPr>
          <w:p>
            <w:pPr>
              <w:rPr>
                <w:rFonts w:ascii="宋体" w:hAnsi="宋体" w:cs="宋体"/>
                <w:color w:val="000000" w:themeColor="text1"/>
                <w:szCs w:val="21"/>
                <w:lang w:val="zh-CN"/>
                <w14:textFill>
                  <w14:solidFill>
                    <w14:schemeClr w14:val="tx1"/>
                  </w14:solidFill>
                </w14:textFill>
              </w:rPr>
            </w:pPr>
            <w:r>
              <w:rPr>
                <w:rFonts w:ascii="宋体" w:hAnsi="宋体" w:cs="宋体"/>
                <w:color w:val="000000" w:themeColor="text1"/>
                <w:szCs w:val="21"/>
                <w:lang w:val="zh-CN"/>
                <w14:textFill>
                  <w14:solidFill>
                    <w14:schemeClr w14:val="tx1"/>
                  </w14:solidFill>
                </w14:textFill>
              </w:rPr>
            </w:r>
            <w:r/>
          </w:p>
        </w:tc>
        <w:tc>
          <w:tcPr>
            <w:tcW w:w="1455" w:type="dxa"/>
            <w:textDirection w:val="lrTb"/>
            <w:noWrap w:val="false"/>
          </w:tcPr>
          <w:p>
            <w:pPr>
              <w:rPr>
                <w:rFonts w:ascii="宋体" w:hAnsi="宋体" w:cs="宋体"/>
                <w:color w:val="000000" w:themeColor="text1"/>
                <w:szCs w:val="21"/>
                <w:lang w:val="zh-CN"/>
                <w14:textFill>
                  <w14:solidFill>
                    <w14:schemeClr w14:val="tx1"/>
                  </w14:solidFill>
                </w14:textFill>
              </w:rPr>
            </w:pPr>
            <w:r>
              <w:rPr>
                <w:rFonts w:ascii="宋体" w:hAnsi="宋体" w:cs="宋体"/>
                <w:color w:val="000000" w:themeColor="text1"/>
                <w:szCs w:val="21"/>
                <w:lang w:val="zh-CN"/>
                <w14:textFill>
                  <w14:solidFill>
                    <w14:schemeClr w14:val="tx1"/>
                  </w14:solidFill>
                </w14:textFill>
              </w:rPr>
            </w:r>
            <w:r/>
          </w:p>
        </w:tc>
        <w:tc>
          <w:tcPr>
            <w:tcW w:w="1300" w:type="dxa"/>
            <w:textDirection w:val="lrTb"/>
            <w:noWrap w:val="false"/>
          </w:tcPr>
          <w:p>
            <w:pPr>
              <w:rPr>
                <w:rFonts w:ascii="宋体" w:hAnsi="宋体" w:cs="宋体"/>
                <w:color w:val="000000" w:themeColor="text1"/>
                <w:szCs w:val="21"/>
                <w:lang w:val="zh-CN"/>
                <w14:textFill>
                  <w14:solidFill>
                    <w14:schemeClr w14:val="tx1"/>
                  </w14:solidFill>
                </w14:textFill>
              </w:rPr>
            </w:pPr>
            <w:r>
              <w:rPr>
                <w:rFonts w:ascii="宋体" w:hAnsi="宋体" w:cs="宋体"/>
                <w:color w:val="000000" w:themeColor="text1"/>
                <w:szCs w:val="21"/>
                <w:lang w:val="zh-CN"/>
                <w14:textFill>
                  <w14:solidFill>
                    <w14:schemeClr w14:val="tx1"/>
                  </w14:solidFill>
                </w14:textFill>
              </w:rPr>
            </w:r>
            <w:r/>
          </w:p>
        </w:tc>
        <w:tc>
          <w:tcPr>
            <w:tcW w:w="1026" w:type="dxa"/>
            <w:textDirection w:val="lrTb"/>
            <w:noWrap w:val="false"/>
          </w:tcPr>
          <w:p>
            <w:pPr>
              <w:rPr>
                <w:rFonts w:ascii="宋体" w:hAnsi="宋体" w:cs="宋体"/>
                <w:color w:val="000000" w:themeColor="text1"/>
                <w:szCs w:val="21"/>
                <w:lang w:val="zh-CN"/>
                <w14:textFill>
                  <w14:solidFill>
                    <w14:schemeClr w14:val="tx1"/>
                  </w14:solidFill>
                </w14:textFill>
              </w:rPr>
            </w:pPr>
            <w:r>
              <w:rPr>
                <w:rFonts w:ascii="宋体" w:hAnsi="宋体" w:cs="宋体"/>
                <w:color w:val="000000" w:themeColor="text1"/>
                <w:szCs w:val="21"/>
                <w:lang w:val="zh-CN"/>
                <w14:textFill>
                  <w14:solidFill>
                    <w14:schemeClr w14:val="tx1"/>
                  </w14:solidFill>
                </w14:textFill>
              </w:rPr>
            </w:r>
            <w:r/>
          </w:p>
        </w:tc>
        <w:tc>
          <w:tcPr>
            <w:tcW w:w="1026" w:type="dxa"/>
            <w:textDirection w:val="lrTb"/>
            <w:noWrap w:val="false"/>
          </w:tcPr>
          <w:p>
            <w:pPr>
              <w:rPr>
                <w:rFonts w:ascii="宋体" w:hAnsi="宋体" w:cs="宋体"/>
                <w:color w:val="000000" w:themeColor="text1"/>
                <w:szCs w:val="21"/>
                <w:lang w:val="zh-CN"/>
                <w14:textFill>
                  <w14:solidFill>
                    <w14:schemeClr w14:val="tx1"/>
                  </w14:solidFill>
                </w14:textFill>
              </w:rPr>
            </w:pPr>
            <w:r>
              <w:rPr>
                <w:rFonts w:ascii="宋体" w:hAnsi="宋体" w:cs="宋体"/>
                <w:color w:val="000000" w:themeColor="text1"/>
                <w:szCs w:val="21"/>
                <w:lang w:val="zh-CN"/>
                <w14:textFill>
                  <w14:solidFill>
                    <w14:schemeClr w14:val="tx1"/>
                  </w14:solidFill>
                </w14:textFill>
              </w:rPr>
            </w:r>
            <w:r/>
          </w:p>
        </w:tc>
      </w:tr>
      <w:tr>
        <w:trPr>
          <w:jc w:val="center"/>
          <w:trHeight w:val="362"/>
        </w:trPr>
        <w:tc>
          <w:tcPr>
            <w:tcW w:w="773" w:type="dxa"/>
            <w:textDirection w:val="lrTb"/>
            <w:noWrap w:val="false"/>
          </w:tcPr>
          <w:p>
            <w:pPr>
              <w:rPr>
                <w:rFonts w:ascii="宋体" w:hAnsi="宋体" w:cs="宋体"/>
                <w:color w:val="000000" w:themeColor="text1"/>
                <w:szCs w:val="21"/>
                <w:lang w:val="zh-CN"/>
                <w14:textFill>
                  <w14:solidFill>
                    <w14:schemeClr w14:val="tx1"/>
                  </w14:solidFill>
                </w14:textFill>
              </w:rPr>
            </w:pPr>
            <w:r>
              <w:rPr>
                <w:rFonts w:ascii="宋体" w:hAnsi="宋体" w:cs="宋体"/>
                <w:color w:val="000000" w:themeColor="text1"/>
                <w:szCs w:val="21"/>
                <w:lang w:val="zh-CN"/>
                <w14:textFill>
                  <w14:solidFill>
                    <w14:schemeClr w14:val="tx1"/>
                  </w14:solidFill>
                </w14:textFill>
              </w:rPr>
            </w:r>
            <w:r/>
          </w:p>
        </w:tc>
        <w:tc>
          <w:tcPr>
            <w:tcW w:w="1710" w:type="dxa"/>
            <w:textDirection w:val="lrTb"/>
            <w:noWrap w:val="false"/>
          </w:tcPr>
          <w:p>
            <w:pPr>
              <w:rPr>
                <w:rFonts w:ascii="宋体" w:hAnsi="宋体" w:cs="宋体"/>
                <w:color w:val="000000" w:themeColor="text1"/>
                <w:szCs w:val="21"/>
                <w:lang w:val="zh-CN"/>
                <w14:textFill>
                  <w14:solidFill>
                    <w14:schemeClr w14:val="tx1"/>
                  </w14:solidFill>
                </w14:textFill>
              </w:rPr>
            </w:pPr>
            <w:r>
              <w:rPr>
                <w:rFonts w:ascii="宋体" w:hAnsi="宋体" w:cs="宋体"/>
                <w:color w:val="000000" w:themeColor="text1"/>
                <w:szCs w:val="21"/>
                <w:lang w:val="zh-CN"/>
                <w14:textFill>
                  <w14:solidFill>
                    <w14:schemeClr w14:val="tx1"/>
                  </w14:solidFill>
                </w14:textFill>
              </w:rPr>
            </w:r>
            <w:r/>
          </w:p>
        </w:tc>
        <w:tc>
          <w:tcPr>
            <w:tcW w:w="1365" w:type="dxa"/>
            <w:textDirection w:val="lrTb"/>
            <w:noWrap w:val="false"/>
          </w:tcPr>
          <w:p>
            <w:pPr>
              <w:rPr>
                <w:rFonts w:ascii="宋体" w:hAnsi="宋体" w:cs="宋体"/>
                <w:color w:val="000000" w:themeColor="text1"/>
                <w:szCs w:val="21"/>
                <w:lang w:val="zh-CN"/>
                <w14:textFill>
                  <w14:solidFill>
                    <w14:schemeClr w14:val="tx1"/>
                  </w14:solidFill>
                </w14:textFill>
              </w:rPr>
            </w:pPr>
            <w:r>
              <w:rPr>
                <w:rFonts w:ascii="宋体" w:hAnsi="宋体" w:cs="宋体"/>
                <w:color w:val="000000" w:themeColor="text1"/>
                <w:szCs w:val="21"/>
                <w:lang w:val="zh-CN"/>
                <w14:textFill>
                  <w14:solidFill>
                    <w14:schemeClr w14:val="tx1"/>
                  </w14:solidFill>
                </w14:textFill>
              </w:rPr>
            </w:r>
            <w:r/>
          </w:p>
        </w:tc>
        <w:tc>
          <w:tcPr>
            <w:tcW w:w="1455" w:type="dxa"/>
            <w:textDirection w:val="lrTb"/>
            <w:noWrap w:val="false"/>
          </w:tcPr>
          <w:p>
            <w:pPr>
              <w:rPr>
                <w:rFonts w:ascii="宋体" w:hAnsi="宋体" w:cs="宋体"/>
                <w:color w:val="000000" w:themeColor="text1"/>
                <w:szCs w:val="21"/>
                <w:lang w:val="zh-CN"/>
                <w14:textFill>
                  <w14:solidFill>
                    <w14:schemeClr w14:val="tx1"/>
                  </w14:solidFill>
                </w14:textFill>
              </w:rPr>
            </w:pPr>
            <w:r>
              <w:rPr>
                <w:rFonts w:ascii="宋体" w:hAnsi="宋体" w:cs="宋体"/>
                <w:color w:val="000000" w:themeColor="text1"/>
                <w:szCs w:val="21"/>
                <w:lang w:val="zh-CN"/>
                <w14:textFill>
                  <w14:solidFill>
                    <w14:schemeClr w14:val="tx1"/>
                  </w14:solidFill>
                </w14:textFill>
              </w:rPr>
            </w:r>
            <w:r/>
          </w:p>
        </w:tc>
        <w:tc>
          <w:tcPr>
            <w:tcW w:w="1300" w:type="dxa"/>
            <w:textDirection w:val="lrTb"/>
            <w:noWrap w:val="false"/>
          </w:tcPr>
          <w:p>
            <w:pPr>
              <w:rPr>
                <w:rFonts w:ascii="宋体" w:hAnsi="宋体" w:cs="宋体"/>
                <w:color w:val="000000" w:themeColor="text1"/>
                <w:szCs w:val="21"/>
                <w:lang w:val="zh-CN"/>
                <w14:textFill>
                  <w14:solidFill>
                    <w14:schemeClr w14:val="tx1"/>
                  </w14:solidFill>
                </w14:textFill>
              </w:rPr>
            </w:pPr>
            <w:r>
              <w:rPr>
                <w:rFonts w:ascii="宋体" w:hAnsi="宋体" w:cs="宋体"/>
                <w:color w:val="000000" w:themeColor="text1"/>
                <w:szCs w:val="21"/>
                <w:lang w:val="zh-CN"/>
                <w14:textFill>
                  <w14:solidFill>
                    <w14:schemeClr w14:val="tx1"/>
                  </w14:solidFill>
                </w14:textFill>
              </w:rPr>
            </w:r>
            <w:r/>
          </w:p>
        </w:tc>
        <w:tc>
          <w:tcPr>
            <w:tcW w:w="1026" w:type="dxa"/>
            <w:textDirection w:val="lrTb"/>
            <w:noWrap w:val="false"/>
          </w:tcPr>
          <w:p>
            <w:pPr>
              <w:rPr>
                <w:rFonts w:ascii="宋体" w:hAnsi="宋体" w:cs="宋体"/>
                <w:color w:val="000000" w:themeColor="text1"/>
                <w:szCs w:val="21"/>
                <w:lang w:val="zh-CN"/>
                <w14:textFill>
                  <w14:solidFill>
                    <w14:schemeClr w14:val="tx1"/>
                  </w14:solidFill>
                </w14:textFill>
              </w:rPr>
            </w:pPr>
            <w:r>
              <w:rPr>
                <w:rFonts w:ascii="宋体" w:hAnsi="宋体" w:cs="宋体"/>
                <w:color w:val="000000" w:themeColor="text1"/>
                <w:szCs w:val="21"/>
                <w:lang w:val="zh-CN"/>
                <w14:textFill>
                  <w14:solidFill>
                    <w14:schemeClr w14:val="tx1"/>
                  </w14:solidFill>
                </w14:textFill>
              </w:rPr>
            </w:r>
            <w:r/>
          </w:p>
        </w:tc>
        <w:tc>
          <w:tcPr>
            <w:tcW w:w="1026" w:type="dxa"/>
            <w:textDirection w:val="lrTb"/>
            <w:noWrap w:val="false"/>
          </w:tcPr>
          <w:p>
            <w:pPr>
              <w:rPr>
                <w:rFonts w:ascii="宋体" w:hAnsi="宋体" w:cs="宋体"/>
                <w:color w:val="000000" w:themeColor="text1"/>
                <w:szCs w:val="21"/>
                <w:lang w:val="zh-CN"/>
                <w14:textFill>
                  <w14:solidFill>
                    <w14:schemeClr w14:val="tx1"/>
                  </w14:solidFill>
                </w14:textFill>
              </w:rPr>
            </w:pPr>
            <w:r>
              <w:rPr>
                <w:rFonts w:ascii="宋体" w:hAnsi="宋体" w:cs="宋体"/>
                <w:color w:val="000000" w:themeColor="text1"/>
                <w:szCs w:val="21"/>
                <w:lang w:val="zh-CN"/>
                <w14:textFill>
                  <w14:solidFill>
                    <w14:schemeClr w14:val="tx1"/>
                  </w14:solidFill>
                </w14:textFill>
              </w:rPr>
            </w:r>
            <w:r/>
          </w:p>
        </w:tc>
      </w:tr>
      <w:tr>
        <w:trPr>
          <w:jc w:val="center"/>
          <w:trHeight w:val="362"/>
        </w:trPr>
        <w:tc>
          <w:tcPr>
            <w:tcW w:w="773" w:type="dxa"/>
            <w:textDirection w:val="lrTb"/>
            <w:noWrap w:val="false"/>
          </w:tcPr>
          <w:p>
            <w:pPr>
              <w:rPr>
                <w:rFonts w:ascii="宋体" w:hAnsi="宋体" w:cs="宋体"/>
                <w:color w:val="000000" w:themeColor="text1"/>
                <w:szCs w:val="21"/>
                <w:lang w:val="zh-CN"/>
                <w14:textFill>
                  <w14:solidFill>
                    <w14:schemeClr w14:val="tx1"/>
                  </w14:solidFill>
                </w14:textFill>
              </w:rPr>
            </w:pPr>
            <w:r>
              <w:rPr>
                <w:rFonts w:ascii="宋体" w:hAnsi="宋体" w:cs="宋体"/>
                <w:color w:val="000000" w:themeColor="text1"/>
                <w:szCs w:val="21"/>
                <w:lang w:val="zh-CN"/>
                <w14:textFill>
                  <w14:solidFill>
                    <w14:schemeClr w14:val="tx1"/>
                  </w14:solidFill>
                </w14:textFill>
              </w:rPr>
            </w:r>
            <w:r/>
          </w:p>
        </w:tc>
        <w:tc>
          <w:tcPr>
            <w:tcW w:w="1710" w:type="dxa"/>
            <w:textDirection w:val="lrTb"/>
            <w:noWrap w:val="false"/>
          </w:tcPr>
          <w:p>
            <w:pPr>
              <w:rPr>
                <w:rFonts w:ascii="宋体" w:hAnsi="宋体" w:cs="宋体"/>
                <w:color w:val="000000" w:themeColor="text1"/>
                <w:szCs w:val="21"/>
                <w:lang w:val="zh-CN"/>
                <w14:textFill>
                  <w14:solidFill>
                    <w14:schemeClr w14:val="tx1"/>
                  </w14:solidFill>
                </w14:textFill>
              </w:rPr>
            </w:pPr>
            <w:r>
              <w:rPr>
                <w:rFonts w:ascii="宋体" w:hAnsi="宋体" w:cs="宋体"/>
                <w:color w:val="000000" w:themeColor="text1"/>
                <w:szCs w:val="21"/>
                <w:lang w:val="zh-CN"/>
                <w14:textFill>
                  <w14:solidFill>
                    <w14:schemeClr w14:val="tx1"/>
                  </w14:solidFill>
                </w14:textFill>
              </w:rPr>
            </w:r>
            <w:r/>
          </w:p>
        </w:tc>
        <w:tc>
          <w:tcPr>
            <w:tcW w:w="1365" w:type="dxa"/>
            <w:textDirection w:val="lrTb"/>
            <w:noWrap w:val="false"/>
          </w:tcPr>
          <w:p>
            <w:pPr>
              <w:rPr>
                <w:rFonts w:ascii="宋体" w:hAnsi="宋体" w:cs="宋体"/>
                <w:color w:val="000000" w:themeColor="text1"/>
                <w:szCs w:val="21"/>
                <w:lang w:val="zh-CN"/>
                <w14:textFill>
                  <w14:solidFill>
                    <w14:schemeClr w14:val="tx1"/>
                  </w14:solidFill>
                </w14:textFill>
              </w:rPr>
            </w:pPr>
            <w:r>
              <w:rPr>
                <w:rFonts w:ascii="宋体" w:hAnsi="宋体" w:cs="宋体"/>
                <w:color w:val="000000" w:themeColor="text1"/>
                <w:szCs w:val="21"/>
                <w:lang w:val="zh-CN"/>
                <w14:textFill>
                  <w14:solidFill>
                    <w14:schemeClr w14:val="tx1"/>
                  </w14:solidFill>
                </w14:textFill>
              </w:rPr>
            </w:r>
            <w:r/>
          </w:p>
        </w:tc>
        <w:tc>
          <w:tcPr>
            <w:tcW w:w="1455" w:type="dxa"/>
            <w:textDirection w:val="lrTb"/>
            <w:noWrap w:val="false"/>
          </w:tcPr>
          <w:p>
            <w:pPr>
              <w:rPr>
                <w:rFonts w:ascii="宋体" w:hAnsi="宋体" w:cs="宋体"/>
                <w:color w:val="000000" w:themeColor="text1"/>
                <w:szCs w:val="21"/>
                <w:lang w:val="zh-CN"/>
                <w14:textFill>
                  <w14:solidFill>
                    <w14:schemeClr w14:val="tx1"/>
                  </w14:solidFill>
                </w14:textFill>
              </w:rPr>
            </w:pPr>
            <w:r>
              <w:rPr>
                <w:rFonts w:ascii="宋体" w:hAnsi="宋体" w:cs="宋体"/>
                <w:color w:val="000000" w:themeColor="text1"/>
                <w:szCs w:val="21"/>
                <w:lang w:val="zh-CN"/>
                <w14:textFill>
                  <w14:solidFill>
                    <w14:schemeClr w14:val="tx1"/>
                  </w14:solidFill>
                </w14:textFill>
              </w:rPr>
            </w:r>
            <w:r/>
          </w:p>
        </w:tc>
        <w:tc>
          <w:tcPr>
            <w:tcW w:w="1300" w:type="dxa"/>
            <w:textDirection w:val="lrTb"/>
            <w:noWrap w:val="false"/>
          </w:tcPr>
          <w:p>
            <w:pPr>
              <w:rPr>
                <w:rFonts w:ascii="宋体" w:hAnsi="宋体" w:cs="宋体"/>
                <w:color w:val="000000" w:themeColor="text1"/>
                <w:szCs w:val="21"/>
                <w:lang w:val="zh-CN"/>
                <w14:textFill>
                  <w14:solidFill>
                    <w14:schemeClr w14:val="tx1"/>
                  </w14:solidFill>
                </w14:textFill>
              </w:rPr>
            </w:pPr>
            <w:r>
              <w:rPr>
                <w:rFonts w:ascii="宋体" w:hAnsi="宋体" w:cs="宋体"/>
                <w:color w:val="000000" w:themeColor="text1"/>
                <w:szCs w:val="21"/>
                <w:lang w:val="zh-CN"/>
                <w14:textFill>
                  <w14:solidFill>
                    <w14:schemeClr w14:val="tx1"/>
                  </w14:solidFill>
                </w14:textFill>
              </w:rPr>
            </w:r>
            <w:r/>
          </w:p>
        </w:tc>
        <w:tc>
          <w:tcPr>
            <w:tcW w:w="1026" w:type="dxa"/>
            <w:textDirection w:val="lrTb"/>
            <w:noWrap w:val="false"/>
          </w:tcPr>
          <w:p>
            <w:pPr>
              <w:rPr>
                <w:rFonts w:ascii="宋体" w:hAnsi="宋体" w:cs="宋体"/>
                <w:color w:val="000000" w:themeColor="text1"/>
                <w:szCs w:val="21"/>
                <w:lang w:val="zh-CN"/>
                <w14:textFill>
                  <w14:solidFill>
                    <w14:schemeClr w14:val="tx1"/>
                  </w14:solidFill>
                </w14:textFill>
              </w:rPr>
            </w:pPr>
            <w:r>
              <w:rPr>
                <w:rFonts w:ascii="宋体" w:hAnsi="宋体" w:cs="宋体"/>
                <w:color w:val="000000" w:themeColor="text1"/>
                <w:szCs w:val="21"/>
                <w:lang w:val="zh-CN"/>
                <w14:textFill>
                  <w14:solidFill>
                    <w14:schemeClr w14:val="tx1"/>
                  </w14:solidFill>
                </w14:textFill>
              </w:rPr>
            </w:r>
            <w:r/>
          </w:p>
        </w:tc>
        <w:tc>
          <w:tcPr>
            <w:tcW w:w="1026" w:type="dxa"/>
            <w:textDirection w:val="lrTb"/>
            <w:noWrap w:val="false"/>
          </w:tcPr>
          <w:p>
            <w:pPr>
              <w:rPr>
                <w:rFonts w:ascii="宋体" w:hAnsi="宋体" w:cs="宋体"/>
                <w:color w:val="000000" w:themeColor="text1"/>
                <w:szCs w:val="21"/>
                <w:lang w:val="zh-CN"/>
                <w14:textFill>
                  <w14:solidFill>
                    <w14:schemeClr w14:val="tx1"/>
                  </w14:solidFill>
                </w14:textFill>
              </w:rPr>
            </w:pPr>
            <w:r>
              <w:rPr>
                <w:rFonts w:ascii="宋体" w:hAnsi="宋体" w:cs="宋体"/>
                <w:color w:val="000000" w:themeColor="text1"/>
                <w:szCs w:val="21"/>
                <w:lang w:val="zh-CN"/>
                <w14:textFill>
                  <w14:solidFill>
                    <w14:schemeClr w14:val="tx1"/>
                  </w14:solidFill>
                </w14:textFill>
              </w:rPr>
            </w:r>
            <w:r/>
          </w:p>
        </w:tc>
      </w:tr>
      <w:tr>
        <w:trPr>
          <w:jc w:val="center"/>
          <w:trHeight w:val="362"/>
        </w:trPr>
        <w:tc>
          <w:tcPr>
            <w:tcW w:w="773" w:type="dxa"/>
            <w:textDirection w:val="lrTb"/>
            <w:noWrap w:val="false"/>
          </w:tcPr>
          <w:p>
            <w:pPr>
              <w:rPr>
                <w:rFonts w:ascii="宋体" w:hAnsi="宋体" w:cs="宋体"/>
                <w:color w:val="000000" w:themeColor="text1"/>
                <w:szCs w:val="21"/>
                <w:lang w:val="zh-CN"/>
                <w14:textFill>
                  <w14:solidFill>
                    <w14:schemeClr w14:val="tx1"/>
                  </w14:solidFill>
                </w14:textFill>
              </w:rPr>
            </w:pPr>
            <w:r>
              <w:rPr>
                <w:rFonts w:ascii="宋体" w:hAnsi="宋体" w:cs="宋体"/>
                <w:color w:val="000000" w:themeColor="text1"/>
                <w:szCs w:val="21"/>
                <w:lang w:val="zh-CN"/>
                <w14:textFill>
                  <w14:solidFill>
                    <w14:schemeClr w14:val="tx1"/>
                  </w14:solidFill>
                </w14:textFill>
              </w:rPr>
            </w:r>
            <w:r/>
          </w:p>
        </w:tc>
        <w:tc>
          <w:tcPr>
            <w:tcW w:w="1710" w:type="dxa"/>
            <w:textDirection w:val="lrTb"/>
            <w:noWrap w:val="false"/>
          </w:tcPr>
          <w:p>
            <w:pPr>
              <w:rPr>
                <w:rFonts w:ascii="宋体" w:hAnsi="宋体" w:cs="宋体"/>
                <w:color w:val="000000" w:themeColor="text1"/>
                <w:szCs w:val="21"/>
                <w:lang w:val="zh-CN"/>
                <w14:textFill>
                  <w14:solidFill>
                    <w14:schemeClr w14:val="tx1"/>
                  </w14:solidFill>
                </w14:textFill>
              </w:rPr>
            </w:pPr>
            <w:r>
              <w:rPr>
                <w:rFonts w:ascii="宋体" w:hAnsi="宋体" w:cs="宋体"/>
                <w:color w:val="000000" w:themeColor="text1"/>
                <w:szCs w:val="21"/>
                <w:lang w:val="zh-CN"/>
                <w14:textFill>
                  <w14:solidFill>
                    <w14:schemeClr w14:val="tx1"/>
                  </w14:solidFill>
                </w14:textFill>
              </w:rPr>
            </w:r>
            <w:r/>
          </w:p>
        </w:tc>
        <w:tc>
          <w:tcPr>
            <w:tcW w:w="1365" w:type="dxa"/>
            <w:textDirection w:val="lrTb"/>
            <w:noWrap w:val="false"/>
          </w:tcPr>
          <w:p>
            <w:pPr>
              <w:rPr>
                <w:rFonts w:ascii="宋体" w:hAnsi="宋体" w:cs="宋体"/>
                <w:color w:val="000000" w:themeColor="text1"/>
                <w:szCs w:val="21"/>
                <w:lang w:val="zh-CN"/>
                <w14:textFill>
                  <w14:solidFill>
                    <w14:schemeClr w14:val="tx1"/>
                  </w14:solidFill>
                </w14:textFill>
              </w:rPr>
            </w:pPr>
            <w:r>
              <w:rPr>
                <w:rFonts w:ascii="宋体" w:hAnsi="宋体" w:cs="宋体"/>
                <w:color w:val="000000" w:themeColor="text1"/>
                <w:szCs w:val="21"/>
                <w:lang w:val="zh-CN"/>
                <w14:textFill>
                  <w14:solidFill>
                    <w14:schemeClr w14:val="tx1"/>
                  </w14:solidFill>
                </w14:textFill>
              </w:rPr>
            </w:r>
            <w:r/>
          </w:p>
        </w:tc>
        <w:tc>
          <w:tcPr>
            <w:tcW w:w="1455" w:type="dxa"/>
            <w:textDirection w:val="lrTb"/>
            <w:noWrap w:val="false"/>
          </w:tcPr>
          <w:p>
            <w:pPr>
              <w:rPr>
                <w:rFonts w:ascii="宋体" w:hAnsi="宋体" w:cs="宋体"/>
                <w:color w:val="000000" w:themeColor="text1"/>
                <w:szCs w:val="21"/>
                <w:lang w:val="zh-CN"/>
                <w14:textFill>
                  <w14:solidFill>
                    <w14:schemeClr w14:val="tx1"/>
                  </w14:solidFill>
                </w14:textFill>
              </w:rPr>
            </w:pPr>
            <w:r>
              <w:rPr>
                <w:rFonts w:ascii="宋体" w:hAnsi="宋体" w:cs="宋体"/>
                <w:color w:val="000000" w:themeColor="text1"/>
                <w:szCs w:val="21"/>
                <w:lang w:val="zh-CN"/>
                <w14:textFill>
                  <w14:solidFill>
                    <w14:schemeClr w14:val="tx1"/>
                  </w14:solidFill>
                </w14:textFill>
              </w:rPr>
            </w:r>
            <w:r/>
          </w:p>
        </w:tc>
        <w:tc>
          <w:tcPr>
            <w:tcW w:w="1300" w:type="dxa"/>
            <w:textDirection w:val="lrTb"/>
            <w:noWrap w:val="false"/>
          </w:tcPr>
          <w:p>
            <w:pPr>
              <w:rPr>
                <w:rFonts w:ascii="宋体" w:hAnsi="宋体" w:cs="宋体"/>
                <w:color w:val="000000" w:themeColor="text1"/>
                <w:szCs w:val="21"/>
                <w:lang w:val="zh-CN"/>
                <w14:textFill>
                  <w14:solidFill>
                    <w14:schemeClr w14:val="tx1"/>
                  </w14:solidFill>
                </w14:textFill>
              </w:rPr>
            </w:pPr>
            <w:r>
              <w:rPr>
                <w:rFonts w:ascii="宋体" w:hAnsi="宋体" w:cs="宋体"/>
                <w:color w:val="000000" w:themeColor="text1"/>
                <w:szCs w:val="21"/>
                <w:lang w:val="zh-CN"/>
                <w14:textFill>
                  <w14:solidFill>
                    <w14:schemeClr w14:val="tx1"/>
                  </w14:solidFill>
                </w14:textFill>
              </w:rPr>
            </w:r>
            <w:r/>
          </w:p>
        </w:tc>
        <w:tc>
          <w:tcPr>
            <w:tcW w:w="1026" w:type="dxa"/>
            <w:textDirection w:val="lrTb"/>
            <w:noWrap w:val="false"/>
          </w:tcPr>
          <w:p>
            <w:pPr>
              <w:rPr>
                <w:rFonts w:ascii="宋体" w:hAnsi="宋体" w:cs="宋体"/>
                <w:color w:val="000000" w:themeColor="text1"/>
                <w:szCs w:val="21"/>
                <w:lang w:val="zh-CN"/>
                <w14:textFill>
                  <w14:solidFill>
                    <w14:schemeClr w14:val="tx1"/>
                  </w14:solidFill>
                </w14:textFill>
              </w:rPr>
            </w:pPr>
            <w:r>
              <w:rPr>
                <w:rFonts w:ascii="宋体" w:hAnsi="宋体" w:cs="宋体"/>
                <w:color w:val="000000" w:themeColor="text1"/>
                <w:szCs w:val="21"/>
                <w:lang w:val="zh-CN"/>
                <w14:textFill>
                  <w14:solidFill>
                    <w14:schemeClr w14:val="tx1"/>
                  </w14:solidFill>
                </w14:textFill>
              </w:rPr>
            </w:r>
            <w:r/>
          </w:p>
        </w:tc>
        <w:tc>
          <w:tcPr>
            <w:tcW w:w="1026" w:type="dxa"/>
            <w:textDirection w:val="lrTb"/>
            <w:noWrap w:val="false"/>
          </w:tcPr>
          <w:p>
            <w:pPr>
              <w:rPr>
                <w:rFonts w:ascii="宋体" w:hAnsi="宋体" w:cs="宋体"/>
                <w:color w:val="000000" w:themeColor="text1"/>
                <w:szCs w:val="21"/>
                <w:lang w:val="zh-CN"/>
                <w14:textFill>
                  <w14:solidFill>
                    <w14:schemeClr w14:val="tx1"/>
                  </w14:solidFill>
                </w14:textFill>
              </w:rPr>
            </w:pPr>
            <w:r>
              <w:rPr>
                <w:rFonts w:ascii="宋体" w:hAnsi="宋体" w:cs="宋体"/>
                <w:color w:val="000000" w:themeColor="text1"/>
                <w:szCs w:val="21"/>
                <w:lang w:val="zh-CN"/>
                <w14:textFill>
                  <w14:solidFill>
                    <w14:schemeClr w14:val="tx1"/>
                  </w14:solidFill>
                </w14:textFill>
              </w:rPr>
            </w:r>
            <w:r/>
          </w:p>
        </w:tc>
      </w:tr>
    </w:tbl>
    <w:p>
      <w:pPr>
        <w:rPr>
          <w:rFonts w:ascii="宋体" w:hAnsi="宋体" w:cs="宋体"/>
          <w:color w:val="000000" w:themeColor="text1"/>
          <w:szCs w:val="21"/>
          <w:lang w:val="zh-CN"/>
          <w14:textFill>
            <w14:solidFill>
              <w14:schemeClr w14:val="tx1"/>
            </w14:solidFill>
          </w14:textFill>
        </w:rPr>
      </w:pPr>
      <w:r>
        <w:rPr>
          <w:rFonts w:ascii="宋体" w:hAnsi="宋体" w:cs="宋体"/>
          <w:color w:val="000000" w:themeColor="text1"/>
          <w:szCs w:val="21"/>
          <w:lang w:val="zh-CN"/>
          <w14:textFill>
            <w14:solidFill>
              <w14:schemeClr w14:val="tx1"/>
            </w14:solidFill>
          </w14:textFill>
        </w:rPr>
      </w:r>
      <w:r/>
    </w:p>
    <w:p>
      <w:pPr>
        <w:ind w:firstLine="420"/>
        <w:jc w:val="left"/>
        <w:spacing w:line="360" w:lineRule="auto"/>
        <w:shd w:val="clear" w:color="auto" w:fill="ffffff"/>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供应商名称（加盖电子公章）：</w:t>
      </w:r>
      <w:r>
        <w:rPr>
          <w:color w:val="000000" w:themeColor="text1"/>
          <w:szCs w:val="21"/>
          <w:u w:val="single"/>
          <w14:textFill>
            <w14:solidFill>
              <w14:schemeClr w14:val="tx1"/>
            </w14:solidFill>
          </w14:textFill>
        </w:rPr>
        <w:t xml:space="preserve">                </w:t>
      </w:r>
      <w:r/>
    </w:p>
    <w:p>
      <w:pPr>
        <w:ind w:firstLine="420"/>
        <w:jc w:val="left"/>
        <w:spacing w:line="360" w:lineRule="auto"/>
        <w:shd w:val="clear" w:color="auto" w:fill="ffffff"/>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日    期：   年    月    日</w:t>
      </w:r>
      <w:r/>
    </w:p>
    <w:p>
      <w:pPr>
        <w:spacing w:line="360" w:lineRule="auto"/>
        <w:rPr>
          <w:rStyle w:val="892"/>
          <w:rFonts w:ascii="宋体" w:hAnsi="宋体" w:cs="宋体"/>
          <w:color w:val="000000" w:themeColor="text1"/>
          <w:sz w:val="21"/>
          <w:szCs w:val="21"/>
          <w14:textFill>
            <w14:solidFill>
              <w14:schemeClr w14:val="tx1"/>
            </w14:solidFill>
          </w14:textFill>
        </w:rPr>
      </w:pPr>
      <w:r>
        <w:rPr>
          <w:rFonts w:ascii="宋体" w:hAnsi="宋体" w:cs="宋体"/>
          <w:color w:val="000000" w:themeColor="text1"/>
          <w:sz w:val="21"/>
          <w:szCs w:val="21"/>
          <w14:textFill>
            <w14:solidFill>
              <w14:schemeClr w14:val="tx1"/>
            </w14:solidFill>
          </w14:textFill>
        </w:rPr>
      </w:r>
      <w:r/>
    </w:p>
    <w:p>
      <w:pPr>
        <w:spacing w:line="360" w:lineRule="auto"/>
        <w:rPr>
          <w:rStyle w:val="892"/>
          <w:rFonts w:ascii="宋体" w:hAnsi="宋体" w:cs="宋体"/>
          <w:color w:val="000000" w:themeColor="text1"/>
          <w:sz w:val="21"/>
          <w:szCs w:val="21"/>
          <w14:textFill>
            <w14:solidFill>
              <w14:schemeClr w14:val="tx1"/>
            </w14:solidFill>
          </w14:textFill>
        </w:rPr>
      </w:pPr>
      <w:r>
        <w:rPr>
          <w:rFonts w:ascii="宋体" w:hAnsi="宋体" w:cs="宋体"/>
          <w:color w:val="000000" w:themeColor="text1"/>
          <w:sz w:val="21"/>
          <w:szCs w:val="21"/>
          <w14:textFill>
            <w14:solidFill>
              <w14:schemeClr w14:val="tx1"/>
            </w14:solidFill>
          </w14:textFill>
        </w:rPr>
      </w:r>
      <w:r/>
    </w:p>
    <w:p>
      <w:pPr>
        <w:spacing w:line="360" w:lineRule="auto"/>
        <w:rPr>
          <w:rFonts w:ascii="宋体" w:hAnsi="宋体" w:cs="宋体"/>
          <w:b/>
          <w:color w:val="000000" w:themeColor="text1"/>
          <w:szCs w:val="21"/>
          <w:lang w:val="zh-CN"/>
          <w14:textFill>
            <w14:solidFill>
              <w14:schemeClr w14:val="tx1"/>
            </w14:solidFill>
          </w14:textFill>
        </w:rPr>
      </w:pPr>
      <w:r>
        <w:rPr>
          <w:rStyle w:val="892"/>
          <w:rFonts w:hint="eastAsia" w:ascii="宋体" w:hAnsi="宋体" w:cs="宋体"/>
          <w:color w:val="000000" w:themeColor="text1"/>
          <w:sz w:val="21"/>
          <w:szCs w:val="21"/>
          <w14:textFill>
            <w14:solidFill>
              <w14:schemeClr w14:val="tx1"/>
            </w14:solidFill>
          </w14:textFill>
        </w:rPr>
        <w:t xml:space="preserve">附件八、</w:t>
      </w:r>
      <w:r>
        <w:rPr>
          <w:rFonts w:hint="eastAsia" w:ascii="宋体" w:hAnsi="宋体" w:cs="宋体"/>
          <w:b/>
          <w:color w:val="000000" w:themeColor="text1"/>
          <w:szCs w:val="21"/>
          <w:lang w:val="zh-CN"/>
          <w14:textFill>
            <w14:solidFill>
              <w14:schemeClr w14:val="tx1"/>
            </w14:solidFill>
          </w14:textFill>
        </w:rPr>
        <w:t xml:space="preserve">资格证明文件</w:t>
      </w:r>
      <w:r/>
    </w:p>
    <w:p>
      <w:pPr>
        <w:rPr>
          <w:rFonts w:ascii="宋体" w:hAnsi="宋体" w:cs="宋体"/>
          <w:b/>
          <w:color w:val="000000" w:themeColor="text1"/>
          <w:szCs w:val="21"/>
          <w14:textFill>
            <w14:solidFill>
              <w14:schemeClr w14:val="tx1"/>
            </w14:solidFill>
          </w14:textFill>
        </w:rPr>
      </w:pPr>
      <w:r>
        <w:rPr>
          <w:rFonts w:ascii="宋体" w:hAnsi="宋体" w:cs="宋体"/>
          <w:b/>
          <w:color w:val="000000" w:themeColor="text1"/>
          <w:szCs w:val="21"/>
          <w14:textFill>
            <w14:solidFill>
              <w14:schemeClr w14:val="tx1"/>
            </w14:solidFill>
          </w14:textFill>
        </w:rPr>
      </w:r>
      <w:r/>
    </w:p>
    <w:p>
      <w:pPr>
        <w:rPr>
          <w:rFonts w:ascii="宋体" w:hAnsi="宋体" w:cs="宋体"/>
          <w:b/>
          <w:color w:val="000000" w:themeColor="text1"/>
          <w:szCs w:val="21"/>
          <w14:textFill>
            <w14:solidFill>
              <w14:schemeClr w14:val="tx1"/>
            </w14:solidFill>
          </w14:textFill>
        </w:rPr>
      </w:pPr>
      <w:r>
        <w:rPr>
          <w:rFonts w:ascii="宋体" w:hAnsi="宋体" w:cs="宋体"/>
          <w:b/>
          <w:color w:val="000000" w:themeColor="text1"/>
          <w:szCs w:val="21"/>
          <w14:textFill>
            <w14:solidFill>
              <w14:schemeClr w14:val="tx1"/>
            </w14:solidFill>
          </w14:textFill>
        </w:rPr>
      </w:r>
      <w:r/>
    </w:p>
    <w:p>
      <w:pPr>
        <w:rPr>
          <w:color w:val="000000" w:themeColor="text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附件九、方案</w:t>
      </w:r>
      <w:r/>
    </w:p>
    <w:p>
      <w:pPr>
        <w:spacing w:line="360" w:lineRule="auto"/>
        <w:rPr>
          <w:rFonts w:ascii="宋体" w:hAnsi="宋体" w:cs="宋体"/>
          <w:b/>
          <w:color w:val="000000" w:themeColor="text1"/>
          <w14:textFill>
            <w14:solidFill>
              <w14:schemeClr w14:val="tx1"/>
            </w14:solidFill>
          </w14:textFill>
        </w:rPr>
      </w:pPr>
      <w:r>
        <w:rPr>
          <w:rFonts w:ascii="宋体" w:hAnsi="宋体" w:cs="宋体"/>
          <w:b/>
          <w:color w:val="000000" w:themeColor="text1"/>
          <w14:textFill>
            <w14:solidFill>
              <w14:schemeClr w14:val="tx1"/>
            </w14:solidFill>
          </w14:textFill>
        </w:rPr>
      </w:r>
      <w:r/>
    </w:p>
    <w:p>
      <w:pPr>
        <w:spacing w:line="240" w:lineRule="atLeast"/>
        <w:rPr>
          <w:rFonts w:ascii="宋体" w:hAnsi="宋体" w:cs="宋体"/>
          <w:b/>
          <w:color w:val="000000" w:themeColor="text1"/>
          <w14:textFill>
            <w14:solidFill>
              <w14:schemeClr w14:val="tx1"/>
            </w14:solidFill>
          </w14:textFill>
        </w:rPr>
      </w:pPr>
      <w:r>
        <w:rPr>
          <w:rFonts w:ascii="宋体" w:hAnsi="宋体" w:cs="宋体"/>
          <w:b/>
          <w:color w:val="000000" w:themeColor="text1"/>
          <w14:textFill>
            <w14:solidFill>
              <w14:schemeClr w14:val="tx1"/>
            </w14:solidFill>
          </w14:textFill>
        </w:rPr>
      </w:r>
      <w:r/>
    </w:p>
    <w:p>
      <w:pPr>
        <w:spacing w:line="240" w:lineRule="atLeast"/>
        <w:rPr>
          <w:rFonts w:ascii="宋体" w:cs="宋体"/>
          <w:b/>
          <w:color w:val="000000" w:themeColor="text1"/>
          <w:szCs w:val="21"/>
          <w:lang w:val="zh-CN"/>
          <w14:textFill>
            <w14:solidFill>
              <w14:schemeClr w14:val="tx1"/>
            </w14:solidFill>
          </w14:textFill>
        </w:rPr>
      </w:pPr>
      <w:r>
        <w:rPr>
          <w:rFonts w:hint="eastAsia" w:ascii="宋体" w:hAnsi="宋体" w:cs="宋体"/>
          <w:b/>
          <w:color w:val="000000" w:themeColor="text1"/>
          <w14:textFill>
            <w14:solidFill>
              <w14:schemeClr w14:val="tx1"/>
            </w14:solidFill>
          </w14:textFill>
        </w:rPr>
        <w:t xml:space="preserve">附件十、</w:t>
      </w:r>
      <w:r>
        <w:rPr>
          <w:rFonts w:hint="eastAsia" w:ascii="宋体" w:cs="宋体"/>
          <w:b/>
          <w:color w:val="000000" w:themeColor="text1"/>
          <w:szCs w:val="21"/>
          <w14:textFill>
            <w14:solidFill>
              <w14:schemeClr w14:val="tx1"/>
            </w14:solidFill>
          </w14:textFill>
        </w:rPr>
        <w:t xml:space="preserve">投标需要的其他证明文件及材料</w:t>
      </w:r>
      <w:r/>
    </w:p>
    <w:p>
      <w:pPr>
        <w:spacing w:line="240" w:lineRule="atLeast"/>
        <w:rPr>
          <w:rFonts w:ascii="宋体" w:cs="宋体"/>
          <w:b/>
          <w:color w:val="000000" w:themeColor="text1"/>
          <w:szCs w:val="21"/>
          <w14:textFill>
            <w14:solidFill>
              <w14:schemeClr w14:val="tx1"/>
            </w14:solidFill>
          </w14:textFill>
        </w:rPr>
      </w:pPr>
      <w:r>
        <w:rPr>
          <w:rFonts w:ascii="宋体" w:cs="宋体"/>
          <w:b/>
          <w:color w:val="000000" w:themeColor="text1"/>
          <w:szCs w:val="21"/>
          <w14:textFill>
            <w14:solidFill>
              <w14:schemeClr w14:val="tx1"/>
            </w14:solidFill>
          </w14:textFill>
        </w:rPr>
      </w:r>
      <w:r/>
    </w:p>
    <w:p>
      <w:pPr>
        <w:spacing w:line="240" w:lineRule="atLeast"/>
        <w:rPr>
          <w:rFonts w:ascii="宋体" w:cs="宋体"/>
          <w:b/>
          <w:color w:val="000000" w:themeColor="text1"/>
          <w:szCs w:val="21"/>
          <w14:textFill>
            <w14:solidFill>
              <w14:schemeClr w14:val="tx1"/>
            </w14:solidFill>
          </w14:textFill>
        </w:rPr>
      </w:pPr>
      <w:r>
        <w:rPr>
          <w:rFonts w:ascii="宋体" w:cs="宋体"/>
          <w:b/>
          <w:color w:val="000000" w:themeColor="text1"/>
          <w:szCs w:val="21"/>
          <w14:textFill>
            <w14:solidFill>
              <w14:schemeClr w14:val="tx1"/>
            </w14:solidFill>
          </w14:textFill>
        </w:rPr>
      </w:r>
      <w:r/>
    </w:p>
    <w:p>
      <w:pPr>
        <w:spacing w:line="360" w:lineRule="auto"/>
        <w:rPr>
          <w:rFonts w:ascii="宋体" w:hAnsi="宋体" w:cs="宋体"/>
          <w:b/>
          <w:color w:val="000000" w:themeColor="text1"/>
          <w14:textFill>
            <w14:solidFill>
              <w14:schemeClr w14:val="tx1"/>
            </w14:solidFill>
          </w14:textFill>
        </w:rPr>
      </w:pPr>
      <w:r>
        <w:rPr>
          <w:rFonts w:hint="eastAsia" w:ascii="宋体" w:cs="宋体"/>
          <w:b/>
          <w:color w:val="000000" w:themeColor="text1"/>
          <w:szCs w:val="21"/>
          <w14:textFill>
            <w14:solidFill>
              <w14:schemeClr w14:val="tx1"/>
            </w14:solidFill>
          </w14:textFill>
        </w:rPr>
        <w:t xml:space="preserve">                 </w:t>
      </w:r>
      <w:r>
        <w:rPr>
          <w:rFonts w:hint="eastAsia" w:ascii="宋体" w:cs="宋体"/>
          <w:color w:val="000000" w:themeColor="text1"/>
          <w:szCs w:val="21"/>
          <w:lang w:val="zh-CN"/>
          <w14:textFill>
            <w14:solidFill>
              <w14:schemeClr w14:val="tx1"/>
            </w14:solidFill>
          </w14:textFill>
        </w:rPr>
        <w:t xml:space="preserve">投标需要的其他证明文件及材料（若有）</w:t>
      </w:r>
      <w:r/>
    </w:p>
    <w:p>
      <w:pPr>
        <w:spacing w:line="360" w:lineRule="auto"/>
        <w:rPr>
          <w:rFonts w:ascii="宋体" w:hAnsi="宋体" w:cs="宋体"/>
          <w:b/>
          <w:color w:val="000000" w:themeColor="text1"/>
          <w14:textFill>
            <w14:solidFill>
              <w14:schemeClr w14:val="tx1"/>
            </w14:solidFill>
          </w14:textFill>
        </w:rPr>
        <w:sectPr>
          <w:footnotePr/>
          <w:endnotePr/>
          <w:type w:val="nextPage"/>
          <w:pgSz w:w="11906" w:h="16838" w:orient="portrait"/>
          <w:pgMar w:top="1417" w:right="1417" w:bottom="1417" w:left="1417" w:header="851" w:footer="794" w:gutter="0"/>
          <w:cols w:num="1" w:sep="0" w:space="0" w:equalWidth="1"/>
          <w:docGrid w:linePitch="360"/>
        </w:sectPr>
      </w:pPr>
      <w:r>
        <w:rPr>
          <w:rFonts w:ascii="宋体" w:hAnsi="宋体" w:cs="宋体"/>
          <w:b/>
          <w:color w:val="000000" w:themeColor="text1"/>
          <w14:textFill>
            <w14:solidFill>
              <w14:schemeClr w14:val="tx1"/>
            </w14:solidFill>
          </w14:textFill>
        </w:rPr>
      </w:r>
      <w:r/>
    </w:p>
    <w:p>
      <w:pPr>
        <w:spacing w:line="360" w:lineRule="auto"/>
        <w:rPr>
          <w:rFonts w:ascii="宋体" w:hAnsi="宋体" w:cs="宋体"/>
          <w:b/>
          <w:bCs/>
          <w:color w:val="000000" w:themeColor="text1"/>
          <w14:textFill>
            <w14:solidFill>
              <w14:schemeClr w14:val="tx1"/>
            </w14:solidFill>
          </w14:textFill>
        </w:rPr>
      </w:pPr>
      <w:r>
        <w:rPr>
          <w:rFonts w:hint="eastAsia" w:ascii="宋体" w:hAnsi="宋体" w:cs="宋体"/>
          <w:b/>
          <w:color w:val="000000" w:themeColor="text1"/>
          <w14:textFill>
            <w14:solidFill>
              <w14:schemeClr w14:val="tx1"/>
            </w14:solidFill>
          </w14:textFill>
        </w:rPr>
        <w:t xml:space="preserve">附件十一</w:t>
      </w:r>
      <w:r>
        <w:rPr>
          <w:rFonts w:hint="eastAsia" w:ascii="宋体" w:hAnsi="宋体" w:cs="宋体"/>
          <w:b/>
          <w:bCs/>
          <w:color w:val="000000" w:themeColor="text1"/>
          <w14:textFill>
            <w14:solidFill>
              <w14:schemeClr w14:val="tx1"/>
            </w14:solidFill>
          </w14:textFill>
        </w:rPr>
        <w:t xml:space="preserve">：企业声明函格式</w:t>
      </w:r>
      <w:r/>
    </w:p>
    <w:p>
      <w:pPr>
        <w:jc w:val="center"/>
        <w:keepLines/>
        <w:keepNext/>
        <w:spacing w:after="500"/>
        <w:rPr>
          <w:rFonts w:ascii="宋体" w:hAnsi="宋体" w:cs="宋体"/>
          <w:b/>
          <w:bCs/>
          <w:color w:val="000000" w:themeColor="text1"/>
          <w:szCs w:val="21"/>
          <w14:textFill>
            <w14:solidFill>
              <w14:schemeClr w14:val="tx1"/>
            </w14:solidFill>
          </w14:textFill>
        </w:rPr>
        <w:outlineLvl w:val="1"/>
      </w:pPr>
      <w:r>
        <w:rPr>
          <w:rFonts w:hint="eastAsia" w:ascii="宋体" w:hAnsi="宋体" w:cs="宋体"/>
          <w:b/>
          <w:bCs/>
          <w:color w:val="000000" w:themeColor="text1"/>
          <w:szCs w:val="21"/>
          <w14:textFill>
            <w14:solidFill>
              <w14:schemeClr w14:val="tx1"/>
            </w14:solidFill>
          </w14:textFill>
        </w:rPr>
        <w:t xml:space="preserve">中小企业声明函（货物）</w:t>
      </w:r>
      <w:r/>
    </w:p>
    <w:p>
      <w:pPr>
        <w:ind w:firstLine="480"/>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本公司郑重声明，根据《政府采购促进中小企业发展管理办法》（财库﹝2020﹞46 号）的规定，本公司参加</w:t>
      </w:r>
      <w:r>
        <w:rPr>
          <w:rFonts w:hint="eastAsia" w:ascii="宋体" w:hAnsi="宋体" w:cs="宋体"/>
          <w:color w:val="000000" w:themeColor="text1"/>
          <w:u w:val="single"/>
          <w14:textFill>
            <w14:solidFill>
              <w14:schemeClr w14:val="tx1"/>
            </w14:solidFill>
          </w14:textFill>
        </w:rPr>
        <w:t xml:space="preserve">  </w:t>
      </w:r>
      <w:r>
        <w:rPr>
          <w:rFonts w:hint="eastAsia" w:ascii="宋体" w:hAnsi="宋体" w:cs="宋体"/>
          <w:color w:val="000000" w:themeColor="text1"/>
          <w:u w:val="single"/>
          <w14:textFill>
            <w14:solidFill>
              <w14:schemeClr w14:val="tx1"/>
            </w14:solidFill>
          </w14:textFill>
        </w:rPr>
        <w:tab/>
      </w:r>
      <w:r>
        <w:rPr>
          <w:rFonts w:hint="eastAsia" w:ascii="宋体" w:hAnsi="宋体" w:cs="宋体"/>
          <w:color w:val="000000" w:themeColor="text1"/>
          <w14:textFill>
            <w14:solidFill>
              <w14:schemeClr w14:val="tx1"/>
            </w14:solidFill>
          </w14:textFill>
        </w:rPr>
        <w:t xml:space="preserve">（单位名称）的</w:t>
      </w:r>
      <w:r>
        <w:rPr>
          <w:rFonts w:hint="eastAsia" w:ascii="宋体" w:hAnsi="宋体" w:cs="宋体"/>
          <w:color w:val="000000" w:themeColor="text1"/>
          <w:u w:val="single"/>
          <w14:textFill>
            <w14:solidFill>
              <w14:schemeClr w14:val="tx1"/>
            </w14:solidFill>
          </w14:textFill>
        </w:rPr>
        <w:t xml:space="preserve">      </w:t>
      </w:r>
      <w:r>
        <w:rPr>
          <w:rFonts w:hint="eastAsia" w:ascii="宋体" w:hAnsi="宋体" w:cs="宋体"/>
          <w:color w:val="000000" w:themeColor="text1"/>
          <w14:textFill>
            <w14:solidFill>
              <w14:schemeClr w14:val="tx1"/>
            </w14:solidFill>
          </w14:textFill>
        </w:rPr>
        <w:t xml:space="preserve">（项目名称）</w:t>
      </w:r>
      <w:r>
        <w:rPr>
          <w:rFonts w:hint="eastAsia" w:ascii="宋体" w:hAnsi="宋体" w:cs="宋体"/>
          <w:color w:val="000000" w:themeColor="text1"/>
          <w:u w:val="single"/>
          <w14:textFill>
            <w14:solidFill>
              <w14:schemeClr w14:val="tx1"/>
            </w14:solidFill>
          </w14:textFill>
        </w:rPr>
        <w:t xml:space="preserve">      </w:t>
      </w:r>
      <w:r>
        <w:rPr>
          <w:rFonts w:hint="eastAsia" w:ascii="宋体" w:hAnsi="宋体" w:cs="宋体"/>
          <w:color w:val="000000" w:themeColor="text1"/>
          <w14:textFill>
            <w14:solidFill>
              <w14:schemeClr w14:val="tx1"/>
            </w14:solidFill>
          </w14:textFill>
        </w:rPr>
        <w:t xml:space="preserve">（分包号）</w:t>
      </w:r>
      <w:r>
        <w:rPr>
          <w:rFonts w:hint="eastAsia" w:ascii="宋体" w:hAnsi="宋体" w:cs="宋体"/>
          <w:color w:val="000000" w:themeColor="text1"/>
          <w:u w:val="single"/>
          <w14:textFill>
            <w14:solidFill>
              <w14:schemeClr w14:val="tx1"/>
            </w14:solidFill>
          </w14:textFill>
        </w:rPr>
        <w:t xml:space="preserve">      </w:t>
      </w:r>
      <w:r>
        <w:rPr>
          <w:rFonts w:hint="eastAsia" w:ascii="宋体" w:hAnsi="宋体" w:cs="宋体"/>
          <w:color w:val="000000" w:themeColor="text1"/>
          <w14:textFill>
            <w14:solidFill>
              <w14:schemeClr w14:val="tx1"/>
            </w14:solidFill>
          </w14:textFill>
        </w:rPr>
        <w:t xml:space="preserve">（分包名称）   采购活动，提供的货物全部由符合政策要求的中小企业制造。相关企业（含联合体中的中小企业、签订分包意向协议的中小企业）的具体情况如下：</w:t>
      </w:r>
      <w:r/>
    </w:p>
    <w:p>
      <w:pPr>
        <w:ind w:firstLine="480"/>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1、</w:t>
      </w:r>
      <w:r>
        <w:rPr>
          <w:rFonts w:hint="eastAsia" w:ascii="宋体" w:hAnsi="宋体" w:cs="宋体"/>
          <w:color w:val="000000" w:themeColor="text1"/>
          <w:u w:val="single"/>
          <w14:textFill>
            <w14:solidFill>
              <w14:schemeClr w14:val="tx1"/>
            </w14:solidFill>
          </w14:textFill>
        </w:rPr>
        <w:t xml:space="preserve">（标的名称）</w:t>
      </w:r>
      <w:r>
        <w:rPr>
          <w:rFonts w:hint="eastAsia" w:ascii="宋体" w:hAnsi="宋体" w:cs="宋体"/>
          <w:color w:val="000000" w:themeColor="text1"/>
          <w14:textFill>
            <w14:solidFill>
              <w14:schemeClr w14:val="tx1"/>
            </w14:solidFill>
          </w14:textFill>
        </w:rPr>
        <w:t xml:space="preserve">，属于</w:t>
      </w:r>
      <w:r>
        <w:rPr>
          <w:rFonts w:hint="eastAsia" w:ascii="宋体" w:hAnsi="宋体" w:cs="宋体"/>
          <w:color w:val="000000" w:themeColor="text1"/>
          <w:u w:val="single"/>
          <w14:textFill>
            <w14:solidFill>
              <w14:schemeClr w14:val="tx1"/>
            </w14:solidFill>
          </w14:textFill>
        </w:rPr>
        <w:t xml:space="preserve">工业</w:t>
      </w:r>
      <w:r>
        <w:rPr>
          <w:rFonts w:hint="eastAsia" w:ascii="宋体" w:hAnsi="宋体" w:cs="宋体"/>
          <w:color w:val="000000" w:themeColor="text1"/>
          <w14:textFill>
            <w14:solidFill>
              <w14:schemeClr w14:val="tx1"/>
            </w14:solidFill>
          </w14:textFill>
        </w:rPr>
        <w:t xml:space="preserve">行业；制造商为</w:t>
      </w:r>
      <w:r>
        <w:rPr>
          <w:rFonts w:hint="eastAsia" w:ascii="宋体" w:hAnsi="宋体" w:cs="宋体"/>
          <w:color w:val="000000" w:themeColor="text1"/>
          <w:u w:val="single"/>
          <w14:textFill>
            <w14:solidFill>
              <w14:schemeClr w14:val="tx1"/>
            </w14:solidFill>
          </w14:textFill>
        </w:rPr>
        <w:t xml:space="preserve">（企业名称）</w:t>
      </w:r>
      <w:r>
        <w:rPr>
          <w:rFonts w:hint="eastAsia" w:ascii="宋体" w:hAnsi="宋体" w:cs="宋体"/>
          <w:color w:val="000000" w:themeColor="text1"/>
          <w14:textFill>
            <w14:solidFill>
              <w14:schemeClr w14:val="tx1"/>
            </w14:solidFill>
          </w14:textFill>
        </w:rPr>
        <w:t xml:space="preserve">，从业人员</w:t>
      </w:r>
      <w:r>
        <w:rPr>
          <w:rFonts w:hint="eastAsia" w:ascii="宋体" w:hAnsi="宋体" w:cs="宋体"/>
          <w:color w:val="000000" w:themeColor="text1"/>
          <w:u w:val="single"/>
          <w14:textFill>
            <w14:solidFill>
              <w14:schemeClr w14:val="tx1"/>
            </w14:solidFill>
          </w14:textFill>
        </w:rPr>
        <w:t xml:space="preserve">  </w:t>
      </w:r>
      <w:r>
        <w:rPr>
          <w:rFonts w:hint="eastAsia" w:ascii="宋体" w:hAnsi="宋体" w:cs="宋体"/>
          <w:color w:val="000000" w:themeColor="text1"/>
          <w:u w:val="single"/>
          <w14:textFill>
            <w14:solidFill>
              <w14:schemeClr w14:val="tx1"/>
            </w14:solidFill>
          </w14:textFill>
        </w:rPr>
        <w:tab/>
      </w:r>
      <w:r>
        <w:rPr>
          <w:rFonts w:hint="eastAsia" w:ascii="宋体" w:hAnsi="宋体" w:cs="宋体"/>
          <w:color w:val="000000" w:themeColor="text1"/>
          <w14:textFill>
            <w14:solidFill>
              <w14:schemeClr w14:val="tx1"/>
            </w14:solidFill>
          </w14:textFill>
        </w:rPr>
        <w:t xml:space="preserve">人，营业收入为</w:t>
      </w:r>
      <w:r>
        <w:rPr>
          <w:rFonts w:hint="eastAsia" w:ascii="宋体" w:hAnsi="宋体" w:cs="宋体"/>
          <w:color w:val="000000" w:themeColor="text1"/>
          <w:u w:val="single"/>
          <w14:textFill>
            <w14:solidFill>
              <w14:schemeClr w14:val="tx1"/>
            </w14:solidFill>
          </w14:textFill>
        </w:rPr>
        <w:t xml:space="preserve">  </w:t>
      </w:r>
      <w:r>
        <w:rPr>
          <w:rFonts w:hint="eastAsia" w:ascii="宋体" w:hAnsi="宋体" w:cs="宋体"/>
          <w:color w:val="000000" w:themeColor="text1"/>
          <w:u w:val="single"/>
          <w14:textFill>
            <w14:solidFill>
              <w14:schemeClr w14:val="tx1"/>
            </w14:solidFill>
          </w14:textFill>
        </w:rPr>
        <w:tab/>
      </w:r>
      <w:r>
        <w:rPr>
          <w:rFonts w:hint="eastAsia" w:ascii="宋体" w:hAnsi="宋体" w:cs="宋体"/>
          <w:color w:val="000000" w:themeColor="text1"/>
          <w14:textFill>
            <w14:solidFill>
              <w14:schemeClr w14:val="tx1"/>
            </w14:solidFill>
          </w14:textFill>
        </w:rPr>
        <w:t xml:space="preserve">万元，资产总额为</w:t>
      </w:r>
      <w:r>
        <w:rPr>
          <w:rFonts w:hint="eastAsia" w:ascii="宋体" w:hAnsi="宋体" w:cs="宋体"/>
          <w:color w:val="000000" w:themeColor="text1"/>
          <w:u w:val="single"/>
          <w14:textFill>
            <w14:solidFill>
              <w14:schemeClr w14:val="tx1"/>
            </w14:solidFill>
          </w14:textFill>
        </w:rPr>
        <w:t xml:space="preserve"> </w:t>
      </w:r>
      <w:r>
        <w:rPr>
          <w:rFonts w:hint="eastAsia" w:ascii="宋体" w:hAnsi="宋体" w:cs="宋体"/>
          <w:color w:val="000000" w:themeColor="text1"/>
          <w:u w:val="single"/>
          <w14:textFill>
            <w14:solidFill>
              <w14:schemeClr w14:val="tx1"/>
            </w14:solidFill>
          </w14:textFill>
        </w:rPr>
        <w:tab/>
      </w:r>
      <w:r>
        <w:rPr>
          <w:rFonts w:hint="eastAsia" w:ascii="宋体" w:hAnsi="宋体" w:cs="宋体"/>
          <w:color w:val="000000" w:themeColor="text1"/>
          <w:u w:val="single"/>
          <w14:textFill>
            <w14:solidFill>
              <w14:schemeClr w14:val="tx1"/>
            </w14:solidFill>
          </w14:textFill>
        </w:rPr>
        <w:t xml:space="preserve"> </w:t>
      </w:r>
      <w:r>
        <w:rPr>
          <w:rFonts w:hint="eastAsia" w:ascii="宋体" w:hAnsi="宋体" w:cs="宋体"/>
          <w:color w:val="000000" w:themeColor="text1"/>
          <w14:textFill>
            <w14:solidFill>
              <w14:schemeClr w14:val="tx1"/>
            </w14:solidFill>
          </w14:textFill>
        </w:rPr>
        <w:t xml:space="preserve">万元，属于</w:t>
      </w:r>
      <w:r>
        <w:rPr>
          <w:rFonts w:ascii="Wingdings" w:hAnsi="Wingdings" w:eastAsia="Wingdings" w:cs="Wingdings"/>
          <w:color w:val="000000" w:themeColor="text1"/>
          <w:sz w:val="24"/>
          <w14:textFill>
            <w14:solidFill>
              <w14:schemeClr w14:val="tx1"/>
            </w14:solidFill>
          </w14:textFill>
        </w:rPr>
        <w:t xml:space="preserve"></w:t>
      </w:r>
      <w:r>
        <w:rPr>
          <w:rFonts w:hint="eastAsia" w:ascii="宋体" w:hAnsi="宋体"/>
          <w:color w:val="000000" w:themeColor="text1"/>
          <w:sz w:val="24"/>
          <w14:textFill>
            <w14:solidFill>
              <w14:schemeClr w14:val="tx1"/>
            </w14:solidFill>
          </w14:textFill>
        </w:rPr>
        <w:t xml:space="preserve">中型企业 </w:t>
      </w:r>
      <w:r>
        <w:rPr>
          <w:rFonts w:ascii="Wingdings" w:hAnsi="Wingdings" w:eastAsia="Wingdings" w:cs="Wingdings"/>
          <w:color w:val="000000" w:themeColor="text1"/>
          <w:sz w:val="24"/>
          <w14:textFill>
            <w14:solidFill>
              <w14:schemeClr w14:val="tx1"/>
            </w14:solidFill>
          </w14:textFill>
        </w:rPr>
        <w:t xml:space="preserve"></w:t>
      </w:r>
      <w:r>
        <w:rPr>
          <w:rFonts w:hint="eastAsia" w:ascii="宋体" w:hAnsi="宋体"/>
          <w:color w:val="000000" w:themeColor="text1"/>
          <w:sz w:val="24"/>
          <w14:textFill>
            <w14:solidFill>
              <w14:schemeClr w14:val="tx1"/>
            </w14:solidFill>
          </w14:textFill>
        </w:rPr>
        <w:t xml:space="preserve">小型企业 </w:t>
      </w:r>
      <w:r>
        <w:rPr>
          <w:rFonts w:ascii="Wingdings" w:hAnsi="Wingdings" w:eastAsia="Wingdings" w:cs="Wingdings"/>
          <w:color w:val="000000" w:themeColor="text1"/>
          <w:sz w:val="24"/>
          <w14:textFill>
            <w14:solidFill>
              <w14:schemeClr w14:val="tx1"/>
            </w14:solidFill>
          </w14:textFill>
        </w:rPr>
        <w:t xml:space="preserve"></w:t>
      </w:r>
      <w:r>
        <w:rPr>
          <w:rFonts w:hint="eastAsia" w:ascii="宋体" w:hAnsi="宋体"/>
          <w:color w:val="000000" w:themeColor="text1"/>
          <w:sz w:val="24"/>
          <w14:textFill>
            <w14:solidFill>
              <w14:schemeClr w14:val="tx1"/>
            </w14:solidFill>
          </w14:textFill>
        </w:rPr>
        <w:t xml:space="preserve">微型企业</w:t>
      </w:r>
      <w:r>
        <w:rPr>
          <w:rFonts w:hint="eastAsia" w:ascii="宋体" w:hAnsi="宋体" w:cs="宋体"/>
          <w:color w:val="000000" w:themeColor="text1"/>
          <w14:textFill>
            <w14:solidFill>
              <w14:schemeClr w14:val="tx1"/>
            </w14:solidFill>
          </w14:textFill>
        </w:rPr>
        <w:t xml:space="preserve">；</w:t>
      </w:r>
      <w:r/>
    </w:p>
    <w:p>
      <w:pPr>
        <w:ind w:firstLine="480"/>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w:t>
      </w:r>
      <w:r>
        <w:rPr>
          <w:rFonts w:hint="eastAsia" w:ascii="宋体" w:hAnsi="宋体" w:cs="宋体"/>
          <w:color w:val="000000" w:themeColor="text1"/>
          <w:u w:val="single"/>
          <w14:textFill>
            <w14:solidFill>
              <w14:schemeClr w14:val="tx1"/>
            </w14:solidFill>
          </w14:textFill>
        </w:rPr>
        <w:t xml:space="preserve">（标的名称）</w:t>
      </w:r>
      <w:r>
        <w:rPr>
          <w:rFonts w:hint="eastAsia" w:ascii="宋体" w:hAnsi="宋体" w:cs="宋体"/>
          <w:color w:val="000000" w:themeColor="text1"/>
          <w14:textFill>
            <w14:solidFill>
              <w14:schemeClr w14:val="tx1"/>
            </w14:solidFill>
          </w14:textFill>
        </w:rPr>
        <w:t xml:space="preserve">，属于</w:t>
      </w:r>
      <w:r>
        <w:rPr>
          <w:rFonts w:hint="eastAsia" w:ascii="宋体" w:hAnsi="宋体" w:cs="宋体"/>
          <w:color w:val="000000" w:themeColor="text1"/>
          <w:u w:val="single"/>
          <w14:textFill>
            <w14:solidFill>
              <w14:schemeClr w14:val="tx1"/>
            </w14:solidFill>
          </w14:textFill>
        </w:rPr>
        <w:t xml:space="preserve">工业</w:t>
      </w:r>
      <w:r>
        <w:rPr>
          <w:rFonts w:hint="eastAsia" w:ascii="宋体" w:hAnsi="宋体" w:cs="宋体"/>
          <w:color w:val="000000" w:themeColor="text1"/>
          <w14:textFill>
            <w14:solidFill>
              <w14:schemeClr w14:val="tx1"/>
            </w14:solidFill>
          </w14:textFill>
        </w:rPr>
        <w:t xml:space="preserve">行业；制造商为</w:t>
      </w:r>
      <w:r>
        <w:rPr>
          <w:rFonts w:hint="eastAsia" w:ascii="宋体" w:hAnsi="宋体" w:cs="宋体"/>
          <w:color w:val="000000" w:themeColor="text1"/>
          <w:u w:val="single"/>
          <w14:textFill>
            <w14:solidFill>
              <w14:schemeClr w14:val="tx1"/>
            </w14:solidFill>
          </w14:textFill>
        </w:rPr>
        <w:t xml:space="preserve">（企业名称）</w:t>
      </w:r>
      <w:r>
        <w:rPr>
          <w:rFonts w:hint="eastAsia" w:ascii="宋体" w:hAnsi="宋体" w:cs="宋体"/>
          <w:color w:val="000000" w:themeColor="text1"/>
          <w14:textFill>
            <w14:solidFill>
              <w14:schemeClr w14:val="tx1"/>
            </w14:solidFill>
          </w14:textFill>
        </w:rPr>
        <w:t xml:space="preserve">，从业人员</w:t>
      </w:r>
      <w:r>
        <w:rPr>
          <w:rFonts w:hint="eastAsia" w:ascii="宋体" w:hAnsi="宋体" w:cs="宋体"/>
          <w:color w:val="000000" w:themeColor="text1"/>
          <w:u w:val="single"/>
          <w14:textFill>
            <w14:solidFill>
              <w14:schemeClr w14:val="tx1"/>
            </w14:solidFill>
          </w14:textFill>
        </w:rPr>
        <w:t xml:space="preserve">  </w:t>
      </w:r>
      <w:r>
        <w:rPr>
          <w:rFonts w:hint="eastAsia" w:ascii="宋体" w:hAnsi="宋体" w:cs="宋体"/>
          <w:color w:val="000000" w:themeColor="text1"/>
          <w:u w:val="single"/>
          <w14:textFill>
            <w14:solidFill>
              <w14:schemeClr w14:val="tx1"/>
            </w14:solidFill>
          </w14:textFill>
        </w:rPr>
        <w:tab/>
      </w:r>
      <w:r>
        <w:rPr>
          <w:rFonts w:hint="eastAsia" w:ascii="宋体" w:hAnsi="宋体" w:cs="宋体"/>
          <w:color w:val="000000" w:themeColor="text1"/>
          <w14:textFill>
            <w14:solidFill>
              <w14:schemeClr w14:val="tx1"/>
            </w14:solidFill>
          </w14:textFill>
        </w:rPr>
        <w:t xml:space="preserve">人，营业收入为</w:t>
      </w:r>
      <w:r>
        <w:rPr>
          <w:rFonts w:hint="eastAsia" w:ascii="宋体" w:hAnsi="宋体" w:cs="宋体"/>
          <w:color w:val="000000" w:themeColor="text1"/>
          <w:u w:val="single"/>
          <w14:textFill>
            <w14:solidFill>
              <w14:schemeClr w14:val="tx1"/>
            </w14:solidFill>
          </w14:textFill>
        </w:rPr>
        <w:t xml:space="preserve">  </w:t>
      </w:r>
      <w:r>
        <w:rPr>
          <w:rFonts w:hint="eastAsia" w:ascii="宋体" w:hAnsi="宋体" w:cs="宋体"/>
          <w:color w:val="000000" w:themeColor="text1"/>
          <w:u w:val="single"/>
          <w14:textFill>
            <w14:solidFill>
              <w14:schemeClr w14:val="tx1"/>
            </w14:solidFill>
          </w14:textFill>
        </w:rPr>
        <w:tab/>
      </w:r>
      <w:r>
        <w:rPr>
          <w:rFonts w:hint="eastAsia" w:ascii="宋体" w:hAnsi="宋体" w:cs="宋体"/>
          <w:color w:val="000000" w:themeColor="text1"/>
          <w14:textFill>
            <w14:solidFill>
              <w14:schemeClr w14:val="tx1"/>
            </w14:solidFill>
          </w14:textFill>
        </w:rPr>
        <w:t xml:space="preserve">万元，资产总额为</w:t>
      </w:r>
      <w:r>
        <w:rPr>
          <w:rFonts w:hint="eastAsia" w:ascii="宋体" w:hAnsi="宋体" w:cs="宋体"/>
          <w:color w:val="000000" w:themeColor="text1"/>
          <w:u w:val="single"/>
          <w14:textFill>
            <w14:solidFill>
              <w14:schemeClr w14:val="tx1"/>
            </w14:solidFill>
          </w14:textFill>
        </w:rPr>
        <w:t xml:space="preserve"> </w:t>
      </w:r>
      <w:r>
        <w:rPr>
          <w:rFonts w:hint="eastAsia" w:ascii="宋体" w:hAnsi="宋体" w:cs="宋体"/>
          <w:color w:val="000000" w:themeColor="text1"/>
          <w:u w:val="single"/>
          <w14:textFill>
            <w14:solidFill>
              <w14:schemeClr w14:val="tx1"/>
            </w14:solidFill>
          </w14:textFill>
        </w:rPr>
        <w:tab/>
      </w:r>
      <w:r>
        <w:rPr>
          <w:rFonts w:hint="eastAsia" w:ascii="宋体" w:hAnsi="宋体" w:cs="宋体"/>
          <w:color w:val="000000" w:themeColor="text1"/>
          <w:u w:val="single"/>
          <w14:textFill>
            <w14:solidFill>
              <w14:schemeClr w14:val="tx1"/>
            </w14:solidFill>
          </w14:textFill>
        </w:rPr>
        <w:t xml:space="preserve"> </w:t>
      </w:r>
      <w:r>
        <w:rPr>
          <w:rFonts w:hint="eastAsia" w:ascii="宋体" w:hAnsi="宋体" w:cs="宋体"/>
          <w:color w:val="000000" w:themeColor="text1"/>
          <w14:textFill>
            <w14:solidFill>
              <w14:schemeClr w14:val="tx1"/>
            </w14:solidFill>
          </w14:textFill>
        </w:rPr>
        <w:t xml:space="preserve">万元，属于</w:t>
      </w:r>
      <w:r>
        <w:rPr>
          <w:rFonts w:ascii="Wingdings" w:hAnsi="Wingdings" w:eastAsia="Wingdings" w:cs="Wingdings"/>
          <w:color w:val="000000" w:themeColor="text1"/>
          <w:sz w:val="24"/>
          <w14:textFill>
            <w14:solidFill>
              <w14:schemeClr w14:val="tx1"/>
            </w14:solidFill>
          </w14:textFill>
        </w:rPr>
        <w:t xml:space="preserve"></w:t>
      </w:r>
      <w:r>
        <w:rPr>
          <w:rFonts w:hint="eastAsia" w:ascii="宋体" w:hAnsi="宋体"/>
          <w:color w:val="000000" w:themeColor="text1"/>
          <w:sz w:val="24"/>
          <w14:textFill>
            <w14:solidFill>
              <w14:schemeClr w14:val="tx1"/>
            </w14:solidFill>
          </w14:textFill>
        </w:rPr>
        <w:t xml:space="preserve">中型企业 </w:t>
      </w:r>
      <w:r>
        <w:rPr>
          <w:rFonts w:ascii="Wingdings" w:hAnsi="Wingdings" w:eastAsia="Wingdings" w:cs="Wingdings"/>
          <w:color w:val="000000" w:themeColor="text1"/>
          <w:sz w:val="24"/>
          <w14:textFill>
            <w14:solidFill>
              <w14:schemeClr w14:val="tx1"/>
            </w14:solidFill>
          </w14:textFill>
        </w:rPr>
        <w:t xml:space="preserve"></w:t>
      </w:r>
      <w:r>
        <w:rPr>
          <w:rFonts w:hint="eastAsia" w:ascii="宋体" w:hAnsi="宋体"/>
          <w:color w:val="000000" w:themeColor="text1"/>
          <w:sz w:val="24"/>
          <w14:textFill>
            <w14:solidFill>
              <w14:schemeClr w14:val="tx1"/>
            </w14:solidFill>
          </w14:textFill>
        </w:rPr>
        <w:t xml:space="preserve">小型企业 </w:t>
      </w:r>
      <w:r>
        <w:rPr>
          <w:rFonts w:ascii="Wingdings" w:hAnsi="Wingdings" w:eastAsia="Wingdings" w:cs="Wingdings"/>
          <w:color w:val="000000" w:themeColor="text1"/>
          <w:sz w:val="24"/>
          <w14:textFill>
            <w14:solidFill>
              <w14:schemeClr w14:val="tx1"/>
            </w14:solidFill>
          </w14:textFill>
        </w:rPr>
        <w:t xml:space="preserve"></w:t>
      </w:r>
      <w:r>
        <w:rPr>
          <w:rFonts w:hint="eastAsia" w:ascii="宋体" w:hAnsi="宋体"/>
          <w:color w:val="000000" w:themeColor="text1"/>
          <w:sz w:val="24"/>
          <w14:textFill>
            <w14:solidFill>
              <w14:schemeClr w14:val="tx1"/>
            </w14:solidFill>
          </w14:textFill>
        </w:rPr>
        <w:t xml:space="preserve">微型企业</w:t>
      </w:r>
      <w:r>
        <w:rPr>
          <w:rFonts w:hint="eastAsia" w:ascii="宋体" w:hAnsi="宋体" w:cs="宋体"/>
          <w:color w:val="000000" w:themeColor="text1"/>
          <w14:textFill>
            <w14:solidFill>
              <w14:schemeClr w14:val="tx1"/>
            </w14:solidFill>
          </w14:textFill>
        </w:rPr>
        <w:t xml:space="preserve">；</w:t>
      </w:r>
      <w:r/>
    </w:p>
    <w:p>
      <w:pPr>
        <w:ind w:firstLine="480"/>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w:t>
      </w:r>
      <w:r/>
    </w:p>
    <w:p>
      <w:pPr>
        <w:ind w:firstLine="480"/>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以上企业，不属于大企业的分支机构，不存在控股股东为大企业的情形，也不存在与大企业的负责人为同一人的情形。</w:t>
      </w:r>
      <w:r/>
    </w:p>
    <w:p>
      <w:pPr>
        <w:ind w:firstLine="480"/>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本企业对上述声明内容的真实性负责。如有虚假，将依法承担相应责任。</w:t>
      </w:r>
      <w:r/>
    </w:p>
    <w:p>
      <w:pPr>
        <w:ind w:firstLine="420"/>
        <w:jc w:val="right"/>
        <w:spacing w:line="360" w:lineRule="auto"/>
        <w:shd w:val="clear" w:color="ffffff" w:fill="ffffff"/>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14:textFill>
            <w14:solidFill>
              <w14:schemeClr w14:val="tx1"/>
            </w14:solidFill>
          </w14:textFill>
        </w:rPr>
        <w:t xml:space="preserve">企业名称（加盖电子公章）：</w:t>
      </w:r>
      <w:r/>
    </w:p>
    <w:p>
      <w:pPr>
        <w:ind w:firstLine="420"/>
        <w:jc w:val="right"/>
        <w:spacing w:line="360" w:lineRule="auto"/>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14:textFill>
            <w14:solidFill>
              <w14:schemeClr w14:val="tx1"/>
            </w14:solidFill>
          </w14:textFill>
        </w:rPr>
        <w:t xml:space="preserve">日 期：</w:t>
      </w:r>
      <w:r/>
    </w:p>
    <w:p>
      <w:pPr>
        <w:ind w:firstLine="420"/>
        <w:spacing w:line="494" w:lineRule="exact"/>
        <w:tabs>
          <w:tab w:val="left" w:pos="1166" w:leader="none"/>
          <w:tab w:val="left" w:pos="6653" w:leader="none"/>
        </w:tabs>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w:t>
      </w:r>
      <w:r/>
    </w:p>
    <w:p>
      <w:pPr>
        <w:ind w:firstLine="640"/>
        <w:spacing w:line="499" w:lineRule="exact"/>
        <w:rPr>
          <w:rFonts w:ascii="宋体" w:hAnsi="宋体" w:cs="宋体"/>
          <w:b/>
          <w:bCs/>
          <w:color w:val="000000" w:themeColor="text1"/>
          <w:szCs w:val="21"/>
          <w14:textFill>
            <w14:solidFill>
              <w14:schemeClr w14:val="tx1"/>
            </w14:solidFill>
          </w14:textFill>
        </w:rPr>
      </w:pPr>
      <w:r/>
      <w:bookmarkStart w:id="72" w:name="bookmark27"/>
      <w:r/>
      <w:bookmarkEnd w:id="72"/>
      <w:r>
        <w:rPr>
          <w:rFonts w:hint="eastAsia" w:ascii="宋体" w:hAnsi="宋体" w:cs="宋体"/>
          <w:b/>
          <w:bCs/>
          <w:color w:val="000000" w:themeColor="text1"/>
          <w:szCs w:val="21"/>
          <w14:textFill>
            <w14:solidFill>
              <w14:schemeClr w14:val="tx1"/>
            </w14:solidFill>
          </w14:textFill>
        </w:rPr>
        <w:t xml:space="preserve">以上企业，不属于大企业的分支机构，不存在控股股东为大企业的情形，也不存在与大企业的负责人为同一人的情形。</w:t>
      </w:r>
      <w:r/>
    </w:p>
    <w:p>
      <w:pPr>
        <w:ind w:firstLine="640"/>
        <w:spacing w:line="499" w:lineRule="exact"/>
        <w:rPr>
          <w:rFonts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本企业对上述声明内容的真实性负责。如有虚假，将依法承担相应责任。</w:t>
      </w:r>
      <w:r/>
    </w:p>
    <w:p>
      <w:pPr>
        <w:ind w:firstLine="420"/>
        <w:jc w:val="left"/>
        <w:spacing w:line="360" w:lineRule="auto"/>
        <w:shd w:val="clear" w:color="auto" w:fill="ffffff"/>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供应商名称（加盖电子公章）：</w:t>
      </w:r>
      <w:r>
        <w:rPr>
          <w:color w:val="000000" w:themeColor="text1"/>
          <w:szCs w:val="21"/>
          <w:u w:val="single"/>
          <w14:textFill>
            <w14:solidFill>
              <w14:schemeClr w14:val="tx1"/>
            </w14:solidFill>
          </w14:textFill>
        </w:rPr>
        <w:t xml:space="preserve">                </w:t>
      </w:r>
      <w:r/>
    </w:p>
    <w:p>
      <w:pPr>
        <w:ind w:firstLine="420"/>
        <w:jc w:val="left"/>
        <w:spacing w:line="360" w:lineRule="auto"/>
        <w:shd w:val="clear" w:color="auto" w:fill="ffffff"/>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日    期：   年    月    日</w:t>
      </w:r>
      <w:r/>
    </w:p>
    <w:p>
      <w:pPr>
        <w:ind w:firstLine="240"/>
        <w:spacing w:after="120"/>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p>
      <w:pPr>
        <w:ind w:firstLine="400"/>
        <w:rPr>
          <w:rFonts w:ascii="Calibri" w:hAnsi="Calibri" w:eastAsia="Calibri" w:cs="宋体"/>
          <w:color w:val="000000" w:themeColor="text1"/>
          <w:sz w:val="20"/>
          <w:lang w:val="zh-CN"/>
          <w14:textFill>
            <w14:solidFill>
              <w14:schemeClr w14:val="tx1"/>
            </w14:solidFill>
          </w14:textFill>
        </w:rPr>
      </w:pPr>
      <w:r>
        <w:rPr>
          <w:rFonts w:ascii="Calibri" w:hAnsi="Calibri" w:eastAsia="Calibri" w:cs="宋体"/>
          <w:color w:val="000000" w:themeColor="text1"/>
          <w:sz w:val="20"/>
          <w:lang w:val="zh-CN"/>
          <w14:textFill>
            <w14:solidFill>
              <w14:schemeClr w14:val="tx1"/>
            </w14:solidFill>
          </w14:textFill>
        </w:rPr>
      </w:r>
      <w:r/>
    </w:p>
    <w:p>
      <w:pPr>
        <w:ind w:firstLine="422"/>
        <w:spacing w:line="360" w:lineRule="auto"/>
        <w:rPr>
          <w:rFonts w:ascii="宋体" w:hAnsi="宋体" w:cs="宋体"/>
          <w:b/>
          <w:bCs/>
          <w:color w:val="000000" w:themeColor="text1"/>
          <w:szCs w:val="21"/>
          <w14:textFill>
            <w14:solidFill>
              <w14:schemeClr w14:val="tx1"/>
            </w14:solidFill>
          </w14:textFill>
        </w:rPr>
      </w:pPr>
      <w:r>
        <w:rPr>
          <w:rFonts w:ascii="宋体" w:hAnsi="宋体" w:cs="宋体"/>
          <w:b/>
          <w:bCs/>
          <w:color w:val="000000" w:themeColor="text1"/>
          <w:szCs w:val="21"/>
          <w14:textFill>
            <w14:solidFill>
              <w14:schemeClr w14:val="tx1"/>
            </w14:solidFill>
          </w14:textFill>
        </w:rPr>
      </w:r>
      <w:r/>
    </w:p>
    <w:p>
      <w:pPr>
        <w:ind w:firstLine="422"/>
        <w:spacing w:line="360" w:lineRule="auto"/>
        <w:rPr>
          <w:rFonts w:ascii="宋体" w:hAnsi="宋体" w:cs="宋体"/>
          <w:b/>
          <w:bCs/>
          <w:color w:val="000000" w:themeColor="text1"/>
          <w:szCs w:val="21"/>
          <w14:textFill>
            <w14:solidFill>
              <w14:schemeClr w14:val="tx1"/>
            </w14:solidFill>
          </w14:textFill>
        </w:rPr>
      </w:pPr>
      <w:r>
        <w:rPr>
          <w:rFonts w:ascii="宋体" w:hAnsi="宋体" w:cs="宋体"/>
          <w:b/>
          <w:bCs/>
          <w:color w:val="000000" w:themeColor="text1"/>
          <w:szCs w:val="21"/>
          <w14:textFill>
            <w14:solidFill>
              <w14:schemeClr w14:val="tx1"/>
            </w14:solidFill>
          </w14:textFill>
        </w:rPr>
      </w:r>
      <w:r/>
    </w:p>
    <w:p>
      <w:pPr>
        <w:ind w:firstLine="422"/>
        <w:spacing w:line="360" w:lineRule="auto"/>
        <w:rPr>
          <w:rFonts w:ascii="宋体" w:hAnsi="宋体" w:cs="宋体"/>
          <w:b/>
          <w:bCs/>
          <w:color w:val="000000" w:themeColor="text1"/>
          <w:szCs w:val="21"/>
          <w14:textFill>
            <w14:solidFill>
              <w14:schemeClr w14:val="tx1"/>
            </w14:solidFill>
          </w14:textFill>
        </w:rPr>
      </w:pPr>
      <w:r>
        <w:rPr>
          <w:rFonts w:ascii="宋体" w:hAnsi="宋体" w:cs="宋体"/>
          <w:b/>
          <w:bCs/>
          <w:color w:val="000000" w:themeColor="text1"/>
          <w:szCs w:val="21"/>
          <w14:textFill>
            <w14:solidFill>
              <w14:schemeClr w14:val="tx1"/>
            </w14:solidFill>
          </w14:textFill>
        </w:rPr>
      </w:r>
      <w:r/>
    </w:p>
    <w:p>
      <w:pPr>
        <w:ind w:firstLine="422"/>
        <w:spacing w:line="360" w:lineRule="auto"/>
        <w:rPr>
          <w:rFonts w:ascii="宋体" w:hAnsi="宋体" w:cs="宋体"/>
          <w:b/>
          <w:bCs/>
          <w:color w:val="000000" w:themeColor="text1"/>
          <w:szCs w:val="21"/>
          <w14:textFill>
            <w14:solidFill>
              <w14:schemeClr w14:val="tx1"/>
            </w14:solidFill>
          </w14:textFill>
        </w:rPr>
      </w:pPr>
      <w:r>
        <w:rPr>
          <w:rFonts w:ascii="宋体" w:hAnsi="宋体" w:cs="宋体"/>
          <w:b/>
          <w:bCs/>
          <w:color w:val="000000" w:themeColor="text1"/>
          <w:szCs w:val="21"/>
          <w14:textFill>
            <w14:solidFill>
              <w14:schemeClr w14:val="tx1"/>
            </w14:solidFill>
          </w14:textFill>
        </w:rPr>
      </w:r>
      <w:r/>
    </w:p>
    <w:p>
      <w:pPr>
        <w:ind w:firstLine="422"/>
        <w:spacing w:line="360" w:lineRule="auto"/>
        <w:rPr>
          <w:rFonts w:ascii="宋体" w:hAnsi="宋体" w:cs="宋体"/>
          <w:b/>
          <w:bCs/>
          <w:color w:val="000000" w:themeColor="text1"/>
          <w:szCs w:val="21"/>
          <w14:textFill>
            <w14:solidFill>
              <w14:schemeClr w14:val="tx1"/>
            </w14:solidFill>
          </w14:textFill>
        </w:rPr>
      </w:pPr>
      <w:r>
        <w:rPr>
          <w:rFonts w:ascii="宋体" w:hAnsi="宋体" w:cs="宋体"/>
          <w:b/>
          <w:bCs/>
          <w:color w:val="000000" w:themeColor="text1"/>
          <w:szCs w:val="21"/>
          <w14:textFill>
            <w14:solidFill>
              <w14:schemeClr w14:val="tx1"/>
            </w14:solidFill>
          </w14:textFill>
        </w:rPr>
      </w:r>
      <w:r/>
    </w:p>
    <w:p>
      <w:pPr>
        <w:ind w:firstLine="422"/>
        <w:spacing w:line="360" w:lineRule="auto"/>
        <w:rPr>
          <w:rFonts w:ascii="宋体" w:hAnsi="宋体" w:cs="宋体"/>
          <w:b/>
          <w:bCs/>
          <w:color w:val="000000" w:themeColor="text1"/>
          <w:szCs w:val="21"/>
          <w14:textFill>
            <w14:solidFill>
              <w14:schemeClr w14:val="tx1"/>
            </w14:solidFill>
          </w14:textFill>
        </w:rPr>
      </w:pPr>
      <w:r>
        <w:rPr>
          <w:rFonts w:ascii="宋体" w:hAnsi="宋体" w:cs="宋体"/>
          <w:b/>
          <w:bCs/>
          <w:color w:val="000000" w:themeColor="text1"/>
          <w:szCs w:val="21"/>
          <w14:textFill>
            <w14:solidFill>
              <w14:schemeClr w14:val="tx1"/>
            </w14:solidFill>
          </w14:textFill>
        </w:rPr>
      </w:r>
      <w:r/>
    </w:p>
    <w:p>
      <w:pPr>
        <w:ind w:firstLine="422"/>
        <w:spacing w:line="360" w:lineRule="auto"/>
        <w:rPr>
          <w:rFonts w:ascii="宋体" w:hAnsi="宋体" w:cs="宋体"/>
          <w:b/>
          <w:bCs/>
          <w:color w:val="000000" w:themeColor="text1"/>
          <w:szCs w:val="21"/>
          <w14:textFill>
            <w14:solidFill>
              <w14:schemeClr w14:val="tx1"/>
            </w14:solidFill>
          </w14:textFill>
        </w:rPr>
      </w:pPr>
      <w:r>
        <w:rPr>
          <w:rFonts w:ascii="宋体" w:hAnsi="宋体" w:cs="宋体"/>
          <w:b/>
          <w:bCs/>
          <w:color w:val="000000" w:themeColor="text1"/>
          <w:szCs w:val="21"/>
          <w14:textFill>
            <w14:solidFill>
              <w14:schemeClr w14:val="tx1"/>
            </w14:solidFill>
          </w14:textFill>
        </w:rPr>
      </w:r>
      <w:r/>
    </w:p>
    <w:p>
      <w:pPr>
        <w:ind w:firstLine="422"/>
        <w:spacing w:line="360" w:lineRule="auto"/>
        <w:rPr>
          <w:rFonts w:ascii="宋体" w:hAnsi="宋体" w:cs="宋体"/>
          <w:b/>
          <w:bCs/>
          <w:color w:val="000000" w:themeColor="text1"/>
          <w:szCs w:val="21"/>
          <w14:textFill>
            <w14:solidFill>
              <w14:schemeClr w14:val="tx1"/>
            </w14:solidFill>
          </w14:textFill>
        </w:rPr>
      </w:pPr>
      <w:r>
        <w:rPr>
          <w:rFonts w:ascii="宋体" w:hAnsi="宋体" w:cs="宋体"/>
          <w:b/>
          <w:bCs/>
          <w:color w:val="000000" w:themeColor="text1"/>
          <w:szCs w:val="21"/>
          <w14:textFill>
            <w14:solidFill>
              <w14:schemeClr w14:val="tx1"/>
            </w14:solidFill>
          </w14:textFill>
        </w:rPr>
      </w:r>
      <w:r/>
    </w:p>
    <w:p>
      <w:pPr>
        <w:ind w:firstLine="422"/>
        <w:spacing w:line="360" w:lineRule="auto"/>
        <w:rPr>
          <w:rFonts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备注：1.从业人员、营业收入、资产总额填报上一年度数据，无上一年度数据的新成立企业可不填报。</w:t>
      </w:r>
      <w:r/>
    </w:p>
    <w:p>
      <w:pPr>
        <w:ind w:firstLine="422"/>
        <w:spacing w:line="360" w:lineRule="auto"/>
        <w:rPr>
          <w:rFonts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2.在所属企业类型前的</w:t>
      </w:r>
      <w:r>
        <w:rPr>
          <w:rFonts w:ascii="Wingdings" w:hAnsi="Wingdings" w:eastAsia="Wingdings" w:cs="Wingdings"/>
          <w:b/>
          <w:bCs/>
          <w:color w:val="000000" w:themeColor="text1"/>
          <w:szCs w:val="21"/>
          <w14:textFill>
            <w14:solidFill>
              <w14:schemeClr w14:val="tx1"/>
            </w14:solidFill>
          </w14:textFill>
        </w:rPr>
        <w:t xml:space="preserve">¨</w:t>
      </w:r>
      <w:r>
        <w:rPr>
          <w:rFonts w:hint="eastAsia" w:ascii="宋体" w:hAnsi="宋体" w:cs="宋体"/>
          <w:b/>
          <w:bCs/>
          <w:color w:val="000000" w:themeColor="text1"/>
          <w:szCs w:val="21"/>
          <w14:textFill>
            <w14:solidFill>
              <w14:schemeClr w14:val="tx1"/>
            </w14:solidFill>
          </w14:textFill>
        </w:rPr>
        <w:t xml:space="preserve">内打“√”</w:t>
      </w:r>
      <w:r/>
    </w:p>
    <w:p>
      <w:pPr>
        <w:ind w:firstLine="422"/>
        <w:spacing w:line="360" w:lineRule="auto"/>
        <w:rPr>
          <w:rFonts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3.投标人如不提供此声明函，不得参加专门面向中小企业采购项目或者不得享受小微企业价格扣除政策。项目清单中列示的所有货物，投标人须在声明函中逐项列示并明确制造商的企业类型，如有缺失将按“不提供声明函”处理。</w:t>
      </w:r>
      <w:r/>
    </w:p>
    <w:p>
      <w:pPr>
        <w:ind w:firstLine="422"/>
        <w:spacing w:line="360" w:lineRule="auto"/>
        <w:rPr>
          <w:rFonts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4.货物采购项目中，货物的制造商应当为中小企业，不对其中涉及的服务的承接商、工程的承建商作出要求。</w:t>
      </w:r>
      <w:r/>
    </w:p>
    <w:p>
      <w:pPr>
        <w:ind w:firstLine="422"/>
        <w:spacing w:line="360" w:lineRule="auto"/>
        <w:rPr>
          <w:rFonts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5.在政府采购活动中，供应商提供的货物、工程或者服务符合下列情形的，享受本办法规定的中小企业扶持政策：</w:t>
      </w:r>
      <w:r/>
    </w:p>
    <w:p>
      <w:pPr>
        <w:ind w:firstLine="422"/>
        <w:spacing w:line="360" w:lineRule="auto"/>
        <w:rPr>
          <w:rFonts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（一）在服务采购项目中，服务由中小企业承接，即提供服务的人员为中小企业依照《中华人民共和国劳动合同法》 订立劳动合同的从业人员。</w:t>
      </w:r>
      <w:r/>
    </w:p>
    <w:p>
      <w:pPr>
        <w:ind w:firstLine="422"/>
        <w:spacing w:line="360" w:lineRule="auto"/>
        <w:rPr>
          <w:rFonts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在货物采购项目中，供应商提供的货物既有中小企业制造货物，也有大型企业制造货物的，不享受本办法规定的中小企业扶持政策。</w:t>
      </w:r>
      <w:r/>
    </w:p>
    <w:p>
      <w:pPr>
        <w:ind w:firstLine="422"/>
        <w:spacing w:line="360" w:lineRule="auto"/>
        <w:rPr>
          <w:rFonts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以联合体形式参加政府采购活动，联合体各方均为中小企业的，联合体视同中小企业。其中，联合体各方均为小微企业的，联合体视同小微企业。</w:t>
      </w:r>
      <w:r/>
    </w:p>
    <w:p>
      <w:pPr>
        <w:ind w:firstLine="422"/>
        <w:spacing w:line="360" w:lineRule="auto"/>
        <w:rPr>
          <w:rFonts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6.《中小企业声明函》中所填的行业应与本采购标的对应的中小企业划分标准所属行业一致，不一致的不可享受相应政策优惠。本采购标的对应的中小企业划分标准所属行业，以采购文件规定为准。</w:t>
      </w:r>
      <w:r/>
    </w:p>
    <w:p>
      <w:pPr>
        <w:ind w:firstLine="422"/>
        <w:spacing w:line="360" w:lineRule="auto"/>
        <w:rPr>
          <w:rFonts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7.如未对（中型企业、小型企业、微型企业）进行勾选，视同非小微企业，不可享受相应扶持政策。</w:t>
      </w:r>
      <w:r/>
    </w:p>
    <w:p>
      <w:pPr>
        <w:ind w:firstLine="422"/>
        <w:spacing w:line="360" w:lineRule="auto"/>
        <w:rPr>
          <w:rFonts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8.中标单位为中小企业的，《中小企业声明函》将随中标结果同时公告。</w:t>
      </w:r>
      <w:r/>
    </w:p>
    <w:p>
      <w:pPr>
        <w:spacing w:line="360" w:lineRule="auto"/>
        <w:rPr>
          <w:rFonts w:ascii="宋体" w:hAnsi="宋体" w:cs="宋体"/>
          <w:b/>
          <w:color w:val="000000" w:themeColor="text1"/>
          <w:szCs w:val="24"/>
          <w14:textFill>
            <w14:solidFill>
              <w14:schemeClr w14:val="tx1"/>
            </w14:solidFill>
          </w14:textFill>
        </w:rPr>
      </w:pPr>
      <w:r>
        <w:rPr>
          <w:rFonts w:ascii="宋体" w:hAnsi="宋体" w:cs="宋体"/>
          <w:b/>
          <w:color w:val="000000" w:themeColor="text1"/>
          <w:szCs w:val="24"/>
          <w14:textFill>
            <w14:solidFill>
              <w14:schemeClr w14:val="tx1"/>
            </w14:solidFill>
          </w14:textFill>
        </w:rPr>
      </w:r>
      <w:r/>
    </w:p>
    <w:p>
      <w:pPr>
        <w:spacing w:line="360" w:lineRule="auto"/>
        <w:rPr>
          <w:rFonts w:ascii="宋体" w:hAnsi="宋体" w:cs="宋体"/>
          <w:b/>
          <w:color w:val="000000" w:themeColor="text1"/>
          <w:szCs w:val="24"/>
          <w14:textFill>
            <w14:solidFill>
              <w14:schemeClr w14:val="tx1"/>
            </w14:solidFill>
          </w14:textFill>
        </w:rPr>
        <w:sectPr>
          <w:footnotePr/>
          <w:endnotePr/>
          <w:type w:val="nextPage"/>
          <w:pgSz w:w="11906" w:h="16838" w:orient="portrait"/>
          <w:pgMar w:top="1417" w:right="1417" w:bottom="1417" w:left="1417" w:header="851" w:footer="794" w:gutter="0"/>
          <w:cols w:num="1" w:sep="0" w:space="0" w:equalWidth="1"/>
          <w:docGrid w:linePitch="360"/>
        </w:sectPr>
      </w:pPr>
      <w:r>
        <w:rPr>
          <w:rFonts w:ascii="宋体" w:hAnsi="宋体" w:cs="宋体"/>
          <w:b/>
          <w:color w:val="000000" w:themeColor="text1"/>
          <w:szCs w:val="24"/>
          <w14:textFill>
            <w14:solidFill>
              <w14:schemeClr w14:val="tx1"/>
            </w14:solidFill>
          </w14:textFill>
        </w:rPr>
      </w:r>
      <w:r/>
    </w:p>
    <w:p>
      <w:pPr>
        <w:spacing w:line="360" w:lineRule="auto"/>
        <w:rPr>
          <w:rFonts w:ascii="宋体" w:hAnsi="宋体" w:cs="宋体"/>
          <w:b/>
          <w:color w:val="000000" w:themeColor="text1"/>
          <w:szCs w:val="24"/>
          <w14:textFill>
            <w14:solidFill>
              <w14:schemeClr w14:val="tx1"/>
            </w14:solidFill>
          </w14:textFill>
        </w:rPr>
      </w:pPr>
      <w:r>
        <w:rPr>
          <w:rFonts w:hint="eastAsia" w:ascii="宋体" w:hAnsi="宋体" w:cs="宋体"/>
          <w:b/>
          <w:color w:val="000000" w:themeColor="text1"/>
          <w:szCs w:val="24"/>
          <w14:textFill>
            <w14:solidFill>
              <w14:schemeClr w14:val="tx1"/>
            </w14:solidFill>
          </w14:textFill>
        </w:rPr>
        <w:t xml:space="preserve">附：中小企业划型标准规定</w:t>
      </w:r>
      <w:r/>
    </w:p>
    <w:p>
      <w:pPr>
        <w:ind w:firstLine="422"/>
        <w:spacing w:line="360" w:lineRule="auto"/>
        <w:rPr>
          <w:rFonts w:ascii="宋体" w:hAnsi="宋体" w:cs="宋体"/>
          <w:color w:val="000000" w:themeColor="text1"/>
          <w:szCs w:val="24"/>
          <w14:textFill>
            <w14:solidFill>
              <w14:schemeClr w14:val="tx1"/>
            </w14:solidFill>
          </w14:textFill>
        </w:rPr>
      </w:pPr>
      <w:r>
        <w:rPr>
          <w:rFonts w:hint="eastAsia" w:ascii="宋体" w:hAnsi="宋体" w:cs="宋体"/>
          <w:b/>
          <w:color w:val="000000" w:themeColor="text1"/>
          <w:szCs w:val="24"/>
          <w14:textFill>
            <w14:solidFill>
              <w14:schemeClr w14:val="tx1"/>
            </w14:solidFill>
          </w14:textFill>
        </w:rPr>
        <w:t xml:space="preserve">（一）农、林、牧、渔业。</w:t>
      </w:r>
      <w:r>
        <w:rPr>
          <w:rFonts w:hint="eastAsia" w:ascii="宋体" w:hAnsi="宋体" w:cs="宋体"/>
          <w:color w:val="000000" w:themeColor="text1"/>
          <w:szCs w:val="24"/>
          <w14:textFill>
            <w14:solidFill>
              <w14:schemeClr w14:val="tx1"/>
            </w14:solidFill>
          </w14:textFill>
        </w:rPr>
        <w:t xml:space="preserve">营业收入20000万元以下的为中小微型企业。其中，营业收入500万元及以上的为中型企业，营业收入50万元及以上的为小型企业，营业收入50万元以下的为微型企业。</w:t>
      </w:r>
      <w:r/>
    </w:p>
    <w:p>
      <w:pPr>
        <w:ind w:firstLine="422"/>
        <w:spacing w:line="360" w:lineRule="auto"/>
        <w:rPr>
          <w:rFonts w:ascii="宋体" w:hAnsi="宋体" w:cs="宋体"/>
          <w:color w:val="000000" w:themeColor="text1"/>
          <w:szCs w:val="24"/>
          <w14:textFill>
            <w14:solidFill>
              <w14:schemeClr w14:val="tx1"/>
            </w14:solidFill>
          </w14:textFill>
        </w:rPr>
      </w:pPr>
      <w:r>
        <w:rPr>
          <w:rFonts w:hint="eastAsia" w:ascii="宋体" w:hAnsi="宋体" w:cs="宋体"/>
          <w:b/>
          <w:color w:val="000000" w:themeColor="text1"/>
          <w:szCs w:val="24"/>
          <w14:textFill>
            <w14:solidFill>
              <w14:schemeClr w14:val="tx1"/>
            </w14:solidFill>
          </w14:textFill>
        </w:rPr>
        <w:t xml:space="preserve">（二）工业。</w:t>
      </w:r>
      <w:r>
        <w:rPr>
          <w:rFonts w:hint="eastAsia" w:ascii="宋体" w:hAnsi="宋体" w:cs="宋体"/>
          <w:color w:val="000000" w:themeColor="text1"/>
          <w:szCs w:val="24"/>
          <w14:textFill>
            <w14:solidFill>
              <w14:schemeClr w14:val="tx1"/>
            </w14:solidFill>
          </w14:textFill>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2"/>
        <w:spacing w:line="360" w:lineRule="auto"/>
        <w:rPr>
          <w:rFonts w:ascii="宋体" w:hAnsi="宋体" w:cs="宋体"/>
          <w:color w:val="000000" w:themeColor="text1"/>
          <w:szCs w:val="24"/>
          <w14:textFill>
            <w14:solidFill>
              <w14:schemeClr w14:val="tx1"/>
            </w14:solidFill>
          </w14:textFill>
        </w:rPr>
      </w:pPr>
      <w:r>
        <w:rPr>
          <w:rFonts w:hint="eastAsia" w:ascii="宋体" w:hAnsi="宋体" w:cs="宋体"/>
          <w:b/>
          <w:color w:val="000000" w:themeColor="text1"/>
          <w:szCs w:val="24"/>
          <w14:textFill>
            <w14:solidFill>
              <w14:schemeClr w14:val="tx1"/>
            </w14:solidFill>
          </w14:textFill>
        </w:rPr>
        <w:t xml:space="preserve">（三）建筑业。</w:t>
      </w:r>
      <w:r>
        <w:rPr>
          <w:rFonts w:hint="eastAsia" w:ascii="宋体" w:hAnsi="宋体" w:cs="宋体"/>
          <w:color w:val="000000" w:themeColor="text1"/>
          <w:szCs w:val="24"/>
          <w14:textFill>
            <w14:solidFill>
              <w14:schemeClr w14:val="tx1"/>
            </w14:solidFill>
          </w14:textFill>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2"/>
        <w:spacing w:line="360" w:lineRule="auto"/>
        <w:rPr>
          <w:rFonts w:ascii="宋体" w:hAnsi="宋体" w:cs="宋体"/>
          <w:color w:val="000000" w:themeColor="text1"/>
          <w:szCs w:val="24"/>
          <w14:textFill>
            <w14:solidFill>
              <w14:schemeClr w14:val="tx1"/>
            </w14:solidFill>
          </w14:textFill>
        </w:rPr>
      </w:pPr>
      <w:r>
        <w:rPr>
          <w:rFonts w:hint="eastAsia" w:ascii="宋体" w:hAnsi="宋体" w:cs="宋体"/>
          <w:b/>
          <w:color w:val="000000" w:themeColor="text1"/>
          <w:szCs w:val="24"/>
          <w14:textFill>
            <w14:solidFill>
              <w14:schemeClr w14:val="tx1"/>
            </w14:solidFill>
          </w14:textFill>
        </w:rPr>
        <w:t xml:space="preserve">（四）批发业。</w:t>
      </w:r>
      <w:r>
        <w:rPr>
          <w:rFonts w:hint="eastAsia" w:ascii="宋体" w:hAnsi="宋体" w:cs="宋体"/>
          <w:color w:val="000000" w:themeColor="text1"/>
          <w:szCs w:val="24"/>
          <w14:textFill>
            <w14:solidFill>
              <w14:schemeClr w14:val="tx1"/>
            </w14:solidFill>
          </w14:textFill>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2"/>
        <w:spacing w:line="360" w:lineRule="auto"/>
        <w:rPr>
          <w:rFonts w:ascii="宋体" w:hAnsi="宋体" w:cs="宋体"/>
          <w:color w:val="000000" w:themeColor="text1"/>
          <w:szCs w:val="24"/>
          <w14:textFill>
            <w14:solidFill>
              <w14:schemeClr w14:val="tx1"/>
            </w14:solidFill>
          </w14:textFill>
        </w:rPr>
      </w:pPr>
      <w:r>
        <w:rPr>
          <w:rFonts w:hint="eastAsia" w:ascii="宋体" w:hAnsi="宋体" w:cs="宋体"/>
          <w:b/>
          <w:color w:val="000000" w:themeColor="text1"/>
          <w:szCs w:val="24"/>
          <w14:textFill>
            <w14:solidFill>
              <w14:schemeClr w14:val="tx1"/>
            </w14:solidFill>
          </w14:textFill>
        </w:rPr>
        <w:t xml:space="preserve">（五）零售业。</w:t>
      </w:r>
      <w:r>
        <w:rPr>
          <w:rFonts w:hint="eastAsia" w:ascii="宋体" w:hAnsi="宋体" w:cs="宋体"/>
          <w:color w:val="000000" w:themeColor="text1"/>
          <w:szCs w:val="24"/>
          <w14:textFill>
            <w14:solidFill>
              <w14:schemeClr w14:val="tx1"/>
            </w14:solidFill>
          </w14:textFill>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22"/>
        <w:spacing w:line="360" w:lineRule="auto"/>
        <w:rPr>
          <w:rFonts w:ascii="宋体" w:hAnsi="宋体" w:cs="宋体"/>
          <w:color w:val="000000" w:themeColor="text1"/>
          <w:szCs w:val="24"/>
          <w14:textFill>
            <w14:solidFill>
              <w14:schemeClr w14:val="tx1"/>
            </w14:solidFill>
          </w14:textFill>
        </w:rPr>
      </w:pPr>
      <w:r>
        <w:rPr>
          <w:rFonts w:hint="eastAsia" w:ascii="宋体" w:hAnsi="宋体" w:cs="宋体"/>
          <w:b/>
          <w:color w:val="000000" w:themeColor="text1"/>
          <w:szCs w:val="24"/>
          <w14:textFill>
            <w14:solidFill>
              <w14:schemeClr w14:val="tx1"/>
            </w14:solidFill>
          </w14:textFill>
        </w:rPr>
        <w:t xml:space="preserve">（六）交通运输业。</w:t>
      </w:r>
      <w:r>
        <w:rPr>
          <w:rFonts w:hint="eastAsia" w:ascii="宋体" w:hAnsi="宋体" w:cs="宋体"/>
          <w:color w:val="000000" w:themeColor="text1"/>
          <w:szCs w:val="24"/>
          <w14:textFill>
            <w14:solidFill>
              <w14:schemeClr w14:val="tx1"/>
            </w14:solidFill>
          </w14:textFill>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22"/>
        <w:spacing w:line="360" w:lineRule="auto"/>
        <w:rPr>
          <w:rFonts w:ascii="宋体" w:hAnsi="宋体" w:cs="宋体"/>
          <w:color w:val="000000" w:themeColor="text1"/>
          <w:szCs w:val="24"/>
          <w14:textFill>
            <w14:solidFill>
              <w14:schemeClr w14:val="tx1"/>
            </w14:solidFill>
          </w14:textFill>
        </w:rPr>
      </w:pPr>
      <w:r>
        <w:rPr>
          <w:rFonts w:hint="eastAsia" w:ascii="宋体" w:hAnsi="宋体" w:cs="宋体"/>
          <w:b/>
          <w:color w:val="000000" w:themeColor="text1"/>
          <w:szCs w:val="24"/>
          <w14:textFill>
            <w14:solidFill>
              <w14:schemeClr w14:val="tx1"/>
            </w14:solidFill>
          </w14:textFill>
        </w:rPr>
        <w:t xml:space="preserve">（七）仓储业。</w:t>
      </w:r>
      <w:r>
        <w:rPr>
          <w:rFonts w:hint="eastAsia" w:ascii="宋体" w:hAnsi="宋体" w:cs="宋体"/>
          <w:color w:val="000000" w:themeColor="text1"/>
          <w:szCs w:val="24"/>
          <w14:textFill>
            <w14:solidFill>
              <w14:schemeClr w14:val="tx1"/>
            </w14:solidFill>
          </w14:textFill>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2"/>
        <w:spacing w:line="360" w:lineRule="auto"/>
        <w:rPr>
          <w:rFonts w:ascii="宋体" w:hAnsi="宋体" w:cs="宋体"/>
          <w:color w:val="000000" w:themeColor="text1"/>
          <w:szCs w:val="24"/>
          <w14:textFill>
            <w14:solidFill>
              <w14:schemeClr w14:val="tx1"/>
            </w14:solidFill>
          </w14:textFill>
        </w:rPr>
      </w:pPr>
      <w:r>
        <w:rPr>
          <w:rFonts w:hint="eastAsia" w:ascii="宋体" w:hAnsi="宋体" w:cs="宋体"/>
          <w:b/>
          <w:color w:val="000000" w:themeColor="text1"/>
          <w:szCs w:val="24"/>
          <w14:textFill>
            <w14:solidFill>
              <w14:schemeClr w14:val="tx1"/>
            </w14:solidFill>
          </w14:textFill>
        </w:rPr>
        <w:t xml:space="preserve">（八）邮政业。</w:t>
      </w:r>
      <w:r>
        <w:rPr>
          <w:rFonts w:hint="eastAsia" w:ascii="宋体" w:hAnsi="宋体" w:cs="宋体"/>
          <w:color w:val="000000" w:themeColor="text1"/>
          <w:szCs w:val="24"/>
          <w14:textFill>
            <w14:solidFill>
              <w14:schemeClr w14:val="tx1"/>
            </w14:solidFill>
          </w14:textFill>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2"/>
        <w:spacing w:line="360" w:lineRule="auto"/>
        <w:rPr>
          <w:rFonts w:ascii="宋体" w:hAnsi="宋体" w:cs="宋体"/>
          <w:color w:val="000000" w:themeColor="text1"/>
          <w:szCs w:val="24"/>
          <w14:textFill>
            <w14:solidFill>
              <w14:schemeClr w14:val="tx1"/>
            </w14:solidFill>
          </w14:textFill>
        </w:rPr>
      </w:pPr>
      <w:r>
        <w:rPr>
          <w:rFonts w:hint="eastAsia" w:ascii="宋体" w:hAnsi="宋体" w:cs="宋体"/>
          <w:b/>
          <w:color w:val="000000" w:themeColor="text1"/>
          <w:szCs w:val="24"/>
          <w14:textFill>
            <w14:solidFill>
              <w14:schemeClr w14:val="tx1"/>
            </w14:solidFill>
          </w14:textFill>
        </w:rPr>
        <w:t xml:space="preserve">（九）住宿业。</w:t>
      </w:r>
      <w:r>
        <w:rPr>
          <w:rFonts w:hint="eastAsia" w:ascii="宋体" w:hAnsi="宋体" w:cs="宋体"/>
          <w:color w:val="000000" w:themeColor="text1"/>
          <w:szCs w:val="24"/>
          <w14:textFill>
            <w14:solidFill>
              <w14:schemeClr w14:val="tx1"/>
            </w14:solidFill>
          </w14:textFill>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line="360" w:lineRule="auto"/>
        <w:rPr>
          <w:rFonts w:ascii="宋体" w:hAnsi="宋体" w:cs="宋体"/>
          <w:color w:val="000000" w:themeColor="text1"/>
          <w:szCs w:val="24"/>
          <w14:textFill>
            <w14:solidFill>
              <w14:schemeClr w14:val="tx1"/>
            </w14:solidFill>
          </w14:textFill>
        </w:rPr>
      </w:pPr>
      <w:r>
        <w:rPr>
          <w:rFonts w:hint="eastAsia" w:ascii="宋体" w:hAnsi="宋体" w:cs="宋体"/>
          <w:b/>
          <w:color w:val="000000" w:themeColor="text1"/>
          <w:szCs w:val="24"/>
          <w14:textFill>
            <w14:solidFill>
              <w14:schemeClr w14:val="tx1"/>
            </w14:solidFill>
          </w14:textFill>
        </w:rPr>
        <w:t xml:space="preserve">（十）餐饮业。</w:t>
      </w:r>
      <w:r>
        <w:rPr>
          <w:rFonts w:hint="eastAsia" w:ascii="宋体" w:hAnsi="宋体" w:cs="宋体"/>
          <w:color w:val="000000" w:themeColor="text1"/>
          <w:szCs w:val="24"/>
          <w14:textFill>
            <w14:solidFill>
              <w14:schemeClr w14:val="tx1"/>
            </w14:solidFill>
          </w14:textFill>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line="360" w:lineRule="auto"/>
        <w:rPr>
          <w:rFonts w:ascii="宋体" w:hAnsi="宋体" w:cs="宋体"/>
          <w:color w:val="000000" w:themeColor="text1"/>
          <w:szCs w:val="24"/>
          <w14:textFill>
            <w14:solidFill>
              <w14:schemeClr w14:val="tx1"/>
            </w14:solidFill>
          </w14:textFill>
        </w:rPr>
      </w:pPr>
      <w:r>
        <w:rPr>
          <w:rFonts w:hint="eastAsia" w:ascii="宋体" w:hAnsi="宋体" w:cs="宋体"/>
          <w:b/>
          <w:color w:val="000000" w:themeColor="text1"/>
          <w:szCs w:val="24"/>
          <w14:textFill>
            <w14:solidFill>
              <w14:schemeClr w14:val="tx1"/>
            </w14:solidFill>
          </w14:textFill>
        </w:rPr>
        <w:t xml:space="preserve">（十一）信息传输业。</w:t>
      </w:r>
      <w:r>
        <w:rPr>
          <w:rFonts w:hint="eastAsia" w:ascii="宋体" w:hAnsi="宋体" w:cs="宋体"/>
          <w:color w:val="000000" w:themeColor="text1"/>
          <w:szCs w:val="24"/>
          <w14:textFill>
            <w14:solidFill>
              <w14:schemeClr w14:val="tx1"/>
            </w14:solidFill>
          </w14:textFill>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22"/>
        <w:spacing w:line="360" w:lineRule="auto"/>
        <w:rPr>
          <w:rFonts w:ascii="宋体" w:hAnsi="宋体" w:cs="宋体"/>
          <w:color w:val="000000" w:themeColor="text1"/>
          <w:szCs w:val="24"/>
          <w14:textFill>
            <w14:solidFill>
              <w14:schemeClr w14:val="tx1"/>
            </w14:solidFill>
          </w14:textFill>
        </w:rPr>
      </w:pPr>
      <w:r>
        <w:rPr>
          <w:rFonts w:hint="eastAsia" w:ascii="宋体" w:hAnsi="宋体" w:cs="宋体"/>
          <w:b/>
          <w:color w:val="000000" w:themeColor="text1"/>
          <w:szCs w:val="24"/>
          <w14:textFill>
            <w14:solidFill>
              <w14:schemeClr w14:val="tx1"/>
            </w14:solidFill>
          </w14:textFill>
        </w:rPr>
        <w:t xml:space="preserve">（十二）软件和信息技术服务业。</w:t>
      </w:r>
      <w:r>
        <w:rPr>
          <w:rFonts w:hint="eastAsia" w:ascii="宋体" w:hAnsi="宋体" w:cs="宋体"/>
          <w:color w:val="000000" w:themeColor="text1"/>
          <w:szCs w:val="24"/>
          <w14:textFill>
            <w14:solidFill>
              <w14:schemeClr w14:val="tx1"/>
            </w14:solidFill>
          </w14:textFill>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2"/>
        <w:spacing w:line="360" w:lineRule="auto"/>
        <w:rPr>
          <w:rFonts w:ascii="宋体" w:hAnsi="宋体" w:cs="宋体"/>
          <w:color w:val="000000" w:themeColor="text1"/>
          <w:szCs w:val="24"/>
          <w14:textFill>
            <w14:solidFill>
              <w14:schemeClr w14:val="tx1"/>
            </w14:solidFill>
          </w14:textFill>
        </w:rPr>
      </w:pPr>
      <w:r>
        <w:rPr>
          <w:rFonts w:hint="eastAsia" w:ascii="宋体" w:hAnsi="宋体" w:cs="宋体"/>
          <w:b/>
          <w:color w:val="000000" w:themeColor="text1"/>
          <w:szCs w:val="24"/>
          <w14:textFill>
            <w14:solidFill>
              <w14:schemeClr w14:val="tx1"/>
            </w14:solidFill>
          </w14:textFill>
        </w:rPr>
        <w:t xml:space="preserve">（十三）房地产开发经营。</w:t>
      </w:r>
      <w:r>
        <w:rPr>
          <w:rFonts w:hint="eastAsia" w:ascii="宋体" w:hAnsi="宋体" w:cs="宋体"/>
          <w:color w:val="000000" w:themeColor="text1"/>
          <w:szCs w:val="24"/>
          <w14:textFill>
            <w14:solidFill>
              <w14:schemeClr w14:val="tx1"/>
            </w14:solidFill>
          </w14:textFill>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2"/>
        <w:spacing w:line="360" w:lineRule="auto"/>
        <w:rPr>
          <w:rFonts w:ascii="宋体" w:hAnsi="宋体" w:cs="宋体"/>
          <w:color w:val="000000" w:themeColor="text1"/>
          <w:szCs w:val="24"/>
          <w14:textFill>
            <w14:solidFill>
              <w14:schemeClr w14:val="tx1"/>
            </w14:solidFill>
          </w14:textFill>
        </w:rPr>
      </w:pPr>
      <w:r>
        <w:rPr>
          <w:rFonts w:hint="eastAsia" w:ascii="宋体" w:hAnsi="宋体" w:cs="宋体"/>
          <w:b/>
          <w:color w:val="000000" w:themeColor="text1"/>
          <w:szCs w:val="24"/>
          <w14:textFill>
            <w14:solidFill>
              <w14:schemeClr w14:val="tx1"/>
            </w14:solidFill>
          </w14:textFill>
        </w:rPr>
        <w:t xml:space="preserve">（十四）物业管理。</w:t>
      </w:r>
      <w:r>
        <w:rPr>
          <w:rFonts w:hint="eastAsia" w:ascii="宋体" w:hAnsi="宋体" w:cs="宋体"/>
          <w:color w:val="000000" w:themeColor="text1"/>
          <w:szCs w:val="24"/>
          <w14:textFill>
            <w14:solidFill>
              <w14:schemeClr w14:val="tx1"/>
            </w14:solidFill>
          </w14:textFill>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22"/>
        <w:spacing w:line="360" w:lineRule="auto"/>
        <w:rPr>
          <w:rFonts w:ascii="宋体" w:hAnsi="宋体" w:cs="宋体"/>
          <w:color w:val="000000" w:themeColor="text1"/>
          <w:szCs w:val="24"/>
          <w14:textFill>
            <w14:solidFill>
              <w14:schemeClr w14:val="tx1"/>
            </w14:solidFill>
          </w14:textFill>
        </w:rPr>
      </w:pPr>
      <w:r>
        <w:rPr>
          <w:rFonts w:hint="eastAsia" w:ascii="宋体" w:hAnsi="宋体" w:cs="宋体"/>
          <w:b/>
          <w:color w:val="000000" w:themeColor="text1"/>
          <w:szCs w:val="24"/>
          <w14:textFill>
            <w14:solidFill>
              <w14:schemeClr w14:val="tx1"/>
            </w14:solidFill>
          </w14:textFill>
        </w:rPr>
        <w:t xml:space="preserve">（十五）租赁和商务服务业。</w:t>
      </w:r>
      <w:r>
        <w:rPr>
          <w:rFonts w:hint="eastAsia" w:ascii="宋体" w:hAnsi="宋体" w:cs="宋体"/>
          <w:color w:val="000000" w:themeColor="text1"/>
          <w:szCs w:val="24"/>
          <w14:textFill>
            <w14:solidFill>
              <w14:schemeClr w14:val="tx1"/>
            </w14:solidFill>
          </w14:textFill>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22"/>
        <w:spacing w:line="360" w:lineRule="auto"/>
        <w:rPr>
          <w:rFonts w:ascii="宋体" w:hAnsi="宋体" w:cs="宋体"/>
          <w:color w:val="000000" w:themeColor="text1"/>
          <w:szCs w:val="24"/>
          <w14:textFill>
            <w14:solidFill>
              <w14:schemeClr w14:val="tx1"/>
            </w14:solidFill>
          </w14:textFill>
        </w:rPr>
      </w:pPr>
      <w:r>
        <w:rPr>
          <w:rFonts w:hint="eastAsia" w:ascii="宋体" w:hAnsi="宋体" w:cs="宋体"/>
          <w:b/>
          <w:color w:val="000000" w:themeColor="text1"/>
          <w:szCs w:val="24"/>
          <w14:textFill>
            <w14:solidFill>
              <w14:schemeClr w14:val="tx1"/>
            </w14:solidFill>
          </w14:textFill>
        </w:rPr>
        <w:t xml:space="preserve">（十六）其他未列明行业。</w:t>
      </w:r>
      <w:r>
        <w:rPr>
          <w:rFonts w:hint="eastAsia" w:ascii="宋体" w:hAnsi="宋体" w:cs="宋体"/>
          <w:color w:val="000000" w:themeColor="text1"/>
          <w:szCs w:val="24"/>
          <w14:textFill>
            <w14:solidFill>
              <w14:schemeClr w14:val="tx1"/>
            </w14:solidFill>
          </w14:textFill>
        </w:rPr>
        <w:t xml:space="preserve">从业人员300人以下的为中小微型企业。其中，从业人员100人及以上的为中型企业；从业人员10人及以上的为小型企业；从业人员10人以下的为微型企业。</w:t>
      </w:r>
      <w:r/>
    </w:p>
    <w:p>
      <w:pPr>
        <w:jc w:val="center"/>
        <w:spacing w:before="120" w:after="48" w:line="360" w:lineRule="auto"/>
        <w:rPr>
          <w:rFonts w:ascii="宋体" w:hAnsi="宋体" w:cs="宋体"/>
          <w:b/>
          <w:color w:val="000000" w:themeColor="text1"/>
          <w:szCs w:val="21"/>
          <w14:textFill>
            <w14:solidFill>
              <w14:schemeClr w14:val="tx1"/>
            </w14:solidFill>
          </w14:textFill>
        </w:rPr>
      </w:pPr>
      <w:r>
        <w:rPr>
          <w:rFonts w:ascii="宋体" w:hAnsi="宋体" w:cs="宋体"/>
          <w:b/>
          <w:color w:val="000000" w:themeColor="text1"/>
          <w:szCs w:val="21"/>
          <w14:textFill>
            <w14:solidFill>
              <w14:schemeClr w14:val="tx1"/>
            </w14:solidFill>
          </w14:textFill>
        </w:rPr>
      </w:r>
      <w:r/>
    </w:p>
    <w:p>
      <w:pPr>
        <w:jc w:val="center"/>
        <w:spacing w:before="120" w:after="48" w:line="360" w:lineRule="auto"/>
        <w:rPr>
          <w:rFonts w:ascii="宋体" w:hAnsi="宋体" w:cs="宋体"/>
          <w:b/>
          <w:color w:val="000000" w:themeColor="text1"/>
          <w:szCs w:val="21"/>
          <w14:textFill>
            <w14:solidFill>
              <w14:schemeClr w14:val="tx1"/>
            </w14:solidFill>
          </w14:textFill>
        </w:rPr>
      </w:pPr>
      <w:r>
        <w:rPr>
          <w:rFonts w:ascii="宋体" w:hAnsi="宋体" w:cs="宋体"/>
          <w:b/>
          <w:color w:val="000000" w:themeColor="text1"/>
          <w:szCs w:val="21"/>
          <w14:textFill>
            <w14:solidFill>
              <w14:schemeClr w14:val="tx1"/>
            </w14:solidFill>
          </w14:textFill>
        </w:rPr>
      </w:r>
      <w:r/>
    </w:p>
    <w:p>
      <w:pPr>
        <w:jc w:val="center"/>
        <w:spacing w:before="120" w:after="48" w:line="360" w:lineRule="auto"/>
        <w:rPr>
          <w:rFonts w:ascii="宋体" w:hAnsi="宋体" w:cs="宋体"/>
          <w:b/>
          <w:color w:val="000000" w:themeColor="text1"/>
          <w:szCs w:val="21"/>
          <w14:textFill>
            <w14:solidFill>
              <w14:schemeClr w14:val="tx1"/>
            </w14:solidFill>
          </w14:textFill>
        </w:rPr>
      </w:pPr>
      <w:r>
        <w:rPr>
          <w:rFonts w:ascii="宋体" w:hAnsi="宋体" w:cs="宋体"/>
          <w:b/>
          <w:color w:val="000000" w:themeColor="text1"/>
          <w:szCs w:val="21"/>
          <w14:textFill>
            <w14:solidFill>
              <w14:schemeClr w14:val="tx1"/>
            </w14:solidFill>
          </w14:textFill>
        </w:rPr>
      </w:r>
      <w:r/>
    </w:p>
    <w:p>
      <w:pPr>
        <w:jc w:val="center"/>
        <w:spacing w:before="120" w:after="48" w:line="360" w:lineRule="auto"/>
        <w:rPr>
          <w:rFonts w:ascii="宋体" w:hAnsi="宋体" w:cs="宋体"/>
          <w:b/>
          <w:color w:val="000000" w:themeColor="text1"/>
          <w:szCs w:val="21"/>
          <w14:textFill>
            <w14:solidFill>
              <w14:schemeClr w14:val="tx1"/>
            </w14:solidFill>
          </w14:textFill>
        </w:rPr>
      </w:pPr>
      <w:r>
        <w:rPr>
          <w:rFonts w:ascii="宋体" w:hAnsi="宋体" w:cs="宋体"/>
          <w:b/>
          <w:color w:val="000000" w:themeColor="text1"/>
          <w:szCs w:val="21"/>
          <w14:textFill>
            <w14:solidFill>
              <w14:schemeClr w14:val="tx1"/>
            </w14:solidFill>
          </w14:textFill>
        </w:rPr>
      </w:r>
      <w:r/>
    </w:p>
    <w:p>
      <w:pPr>
        <w:jc w:val="center"/>
        <w:spacing w:before="120" w:after="48" w:line="360" w:lineRule="auto"/>
        <w:rPr>
          <w:rFonts w:ascii="宋体" w:hAnsi="宋体" w:cs="宋体"/>
          <w:b/>
          <w:color w:val="000000" w:themeColor="text1"/>
          <w:szCs w:val="21"/>
          <w14:textFill>
            <w14:solidFill>
              <w14:schemeClr w14:val="tx1"/>
            </w14:solidFill>
          </w14:textFill>
        </w:rPr>
      </w:pPr>
      <w:r>
        <w:rPr>
          <w:rFonts w:ascii="宋体" w:hAnsi="宋体" w:cs="宋体"/>
          <w:b/>
          <w:color w:val="000000" w:themeColor="text1"/>
          <w:szCs w:val="21"/>
          <w14:textFill>
            <w14:solidFill>
              <w14:schemeClr w14:val="tx1"/>
            </w14:solidFill>
          </w14:textFill>
        </w:rPr>
      </w:r>
      <w:r/>
    </w:p>
    <w:p>
      <w:pPr>
        <w:jc w:val="center"/>
        <w:spacing w:before="120" w:after="48" w:line="360" w:lineRule="auto"/>
        <w:rPr>
          <w:rFonts w:ascii="宋体" w:hAnsi="宋体" w:cs="宋体"/>
          <w:b/>
          <w:color w:val="000000" w:themeColor="text1"/>
          <w:szCs w:val="21"/>
          <w14:textFill>
            <w14:solidFill>
              <w14:schemeClr w14:val="tx1"/>
            </w14:solidFill>
          </w14:textFill>
        </w:rPr>
      </w:pPr>
      <w:r>
        <w:rPr>
          <w:rFonts w:ascii="宋体" w:hAnsi="宋体" w:cs="宋体"/>
          <w:b/>
          <w:color w:val="000000" w:themeColor="text1"/>
          <w:szCs w:val="21"/>
          <w14:textFill>
            <w14:solidFill>
              <w14:schemeClr w14:val="tx1"/>
            </w14:solidFill>
          </w14:textFill>
        </w:rPr>
      </w:r>
      <w:r/>
    </w:p>
    <w:p>
      <w:pPr>
        <w:jc w:val="center"/>
        <w:spacing w:before="120" w:after="48" w:line="360" w:lineRule="auto"/>
        <w:rPr>
          <w:rFonts w:ascii="宋体" w:hAnsi="宋体" w:cs="宋体"/>
          <w:b/>
          <w:color w:val="000000" w:themeColor="text1"/>
          <w:szCs w:val="21"/>
          <w14:textFill>
            <w14:solidFill>
              <w14:schemeClr w14:val="tx1"/>
            </w14:solidFill>
          </w14:textFill>
        </w:rPr>
      </w:pPr>
      <w:r>
        <w:rPr>
          <w:rFonts w:ascii="宋体" w:hAnsi="宋体" w:cs="宋体"/>
          <w:b/>
          <w:color w:val="000000" w:themeColor="text1"/>
          <w:szCs w:val="21"/>
          <w14:textFill>
            <w14:solidFill>
              <w14:schemeClr w14:val="tx1"/>
            </w14:solidFill>
          </w14:textFill>
        </w:rPr>
      </w:r>
      <w:r/>
    </w:p>
    <w:p>
      <w:pPr>
        <w:jc w:val="center"/>
        <w:spacing w:before="120" w:after="48" w:line="360" w:lineRule="auto"/>
        <w:rPr>
          <w:rFonts w:ascii="宋体" w:hAnsi="宋体" w:cs="宋体"/>
          <w:b/>
          <w:color w:val="000000" w:themeColor="text1"/>
          <w:szCs w:val="21"/>
          <w14:textFill>
            <w14:solidFill>
              <w14:schemeClr w14:val="tx1"/>
            </w14:solidFill>
          </w14:textFill>
        </w:rPr>
      </w:pPr>
      <w:r>
        <w:rPr>
          <w:rFonts w:ascii="宋体" w:hAnsi="宋体" w:cs="宋体"/>
          <w:b/>
          <w:color w:val="000000" w:themeColor="text1"/>
          <w:szCs w:val="21"/>
          <w14:textFill>
            <w14:solidFill>
              <w14:schemeClr w14:val="tx1"/>
            </w14:solidFill>
          </w14:textFill>
        </w:rPr>
      </w:r>
      <w:r/>
    </w:p>
    <w:p>
      <w:pPr>
        <w:jc w:val="center"/>
        <w:spacing w:before="120" w:after="48" w:line="360" w:lineRule="auto"/>
        <w:rPr>
          <w:rFonts w:ascii="宋体" w:hAnsi="宋体" w:cs="宋体"/>
          <w:b/>
          <w:color w:val="000000" w:themeColor="text1"/>
          <w:szCs w:val="21"/>
          <w14:textFill>
            <w14:solidFill>
              <w14:schemeClr w14:val="tx1"/>
            </w14:solidFill>
          </w14:textFill>
        </w:rPr>
      </w:pPr>
      <w:r>
        <w:rPr>
          <w:rFonts w:ascii="宋体" w:hAnsi="宋体" w:cs="宋体"/>
          <w:b/>
          <w:color w:val="000000" w:themeColor="text1"/>
          <w:szCs w:val="21"/>
          <w14:textFill>
            <w14:solidFill>
              <w14:schemeClr w14:val="tx1"/>
            </w14:solidFill>
          </w14:textFill>
        </w:rPr>
      </w:r>
      <w:r/>
    </w:p>
    <w:p>
      <w:pPr>
        <w:jc w:val="center"/>
        <w:spacing w:before="120" w:after="48" w:line="360" w:lineRule="auto"/>
        <w:rPr>
          <w:rFonts w:ascii="宋体" w:hAnsi="宋体" w:cs="宋体"/>
          <w:b/>
          <w:color w:val="000000" w:themeColor="text1"/>
          <w:szCs w:val="21"/>
          <w14:textFill>
            <w14:solidFill>
              <w14:schemeClr w14:val="tx1"/>
            </w14:solidFill>
          </w14:textFill>
        </w:rPr>
      </w:pPr>
      <w:r>
        <w:rPr>
          <w:rFonts w:ascii="宋体" w:hAnsi="宋体" w:cs="宋体"/>
          <w:b/>
          <w:color w:val="000000" w:themeColor="text1"/>
          <w:szCs w:val="21"/>
          <w14:textFill>
            <w14:solidFill>
              <w14:schemeClr w14:val="tx1"/>
            </w14:solidFill>
          </w14:textFill>
        </w:rPr>
      </w:r>
      <w:r/>
    </w:p>
    <w:p>
      <w:pPr>
        <w:jc w:val="center"/>
        <w:spacing w:before="120" w:after="48" w:line="360" w:lineRule="auto"/>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残疾人福利性单位声明函声明</w:t>
      </w:r>
      <w:r/>
    </w:p>
    <w:p>
      <w:pPr>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江苏省水文水资源勘测局南京分局</w:t>
      </w:r>
      <w:r>
        <w:rPr>
          <w:rFonts w:hint="eastAsia" w:ascii="宋体" w:hAnsi="宋体" w:cs="宋体"/>
          <w:color w:val="000000" w:themeColor="text1"/>
          <w:szCs w:val="21"/>
          <w14:textFill>
            <w14:solidFill>
              <w14:schemeClr w14:val="tx1"/>
            </w14:solidFill>
          </w14:textFill>
        </w:rPr>
        <w:t xml:space="preserve">：</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我单位</w:t>
      </w:r>
      <w:r>
        <w:rPr>
          <w:rFonts w:hint="eastAsia" w:ascii="宋体" w:hAnsi="宋体" w:cs="宋体"/>
          <w:color w:val="000000" w:themeColor="text1"/>
          <w:szCs w:val="21"/>
          <w:u w:val="single"/>
          <w14:textFill>
            <w14:solidFill>
              <w14:schemeClr w14:val="tx1"/>
            </w14:solidFill>
          </w14:textFill>
        </w:rPr>
        <w:t xml:space="preserve"> （供应商名称）</w:t>
      </w:r>
      <w:r>
        <w:rPr>
          <w:rFonts w:hint="eastAsia" w:ascii="宋体" w:hAnsi="宋体" w:cs="宋体"/>
          <w:color w:val="000000" w:themeColor="text1"/>
          <w:szCs w:val="21"/>
          <w14:textFill>
            <w14:solidFill>
              <w14:schemeClr w14:val="tx1"/>
            </w14:solidFill>
          </w14:textFill>
        </w:rPr>
        <w:t xml:space="preserve">郑重声明，本公司为残疾人福利性单位。即，本单位同时满足以下条件：</w:t>
      </w:r>
      <w:r/>
    </w:p>
    <w:p>
      <w:pPr>
        <w:ind w:firstLine="420"/>
        <w:spacing w:line="360" w:lineRule="auto"/>
        <w:shd w:val="clear" w:color="auto" w:fill="ffffff"/>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1、安置的残疾人占本单位在职职工人数的比例不低于25%（含25%），并且安置的残疾人人数不少于10人（含10人）；</w:t>
      </w:r>
      <w:r/>
    </w:p>
    <w:p>
      <w:pPr>
        <w:ind w:firstLine="420"/>
        <w:spacing w:line="360" w:lineRule="auto"/>
        <w:shd w:val="clear" w:color="auto" w:fill="ffffff"/>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2、依法与安置的每位残疾人签订了一年以上（含一年）的劳动合同或服务协议；</w:t>
      </w:r>
      <w:r/>
    </w:p>
    <w:p>
      <w:pPr>
        <w:ind w:firstLine="420"/>
        <w:spacing w:line="360" w:lineRule="auto"/>
        <w:shd w:val="clear" w:color="auto" w:fill="ffffff"/>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3、为安置的每位残疾人按月足额缴纳了基本养老保险、基本医疗保险、失业保险、工伤保险和生育保险等社会保险费；</w:t>
      </w:r>
      <w:r/>
    </w:p>
    <w:p>
      <w:pPr>
        <w:ind w:firstLine="420"/>
        <w:spacing w:line="360" w:lineRule="auto"/>
        <w:shd w:val="clear" w:color="auto" w:fill="ffffff"/>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4、通过银行等金融机构向安置的每位残疾人，按月支付了不低于单位所在区县适用的经省级人民政府批准的月最低工资标准的工资；</w:t>
      </w:r>
      <w:r/>
    </w:p>
    <w:p>
      <w:pPr>
        <w:ind w:firstLine="420"/>
        <w:spacing w:line="360" w:lineRule="auto"/>
        <w:shd w:val="clear" w:color="auto" w:fill="ffffff"/>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5、本单位参加______（项目编号）_______________（项目名称）采购活动提供本单位制造的货物、承担的工程或者服务（以下简称产品），或者提供其他残疾人福利性单位制造的货物（不包括使用非残疾人福利性单位注册商标的货物）。</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本单位对上述声明的真实性负责。如有虚假，将依法承担相应责任。</w:t>
      </w:r>
      <w:r/>
    </w:p>
    <w:p>
      <w:pPr>
        <w:ind w:firstLine="420"/>
        <w:jc w:val="left"/>
        <w:spacing w:line="360" w:lineRule="auto"/>
        <w:shd w:val="clear" w:color="auto" w:fill="ffffff"/>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供应商名称（加盖电子公章）：</w:t>
      </w:r>
      <w:r>
        <w:rPr>
          <w:color w:val="000000" w:themeColor="text1"/>
          <w:szCs w:val="21"/>
          <w:u w:val="single"/>
          <w14:textFill>
            <w14:solidFill>
              <w14:schemeClr w14:val="tx1"/>
            </w14:solidFill>
          </w14:textFill>
        </w:rPr>
        <w:t xml:space="preserve">                </w:t>
      </w:r>
      <w:r/>
    </w:p>
    <w:p>
      <w:pPr>
        <w:ind w:firstLine="420"/>
        <w:jc w:val="left"/>
        <w:spacing w:line="360" w:lineRule="auto"/>
        <w:shd w:val="clear" w:color="auto" w:fill="ffffff"/>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日    期：   年    月    日</w:t>
      </w:r>
      <w:r/>
    </w:p>
    <w:p>
      <w:pPr>
        <w:ind w:firstLine="420"/>
        <w:jc w:val="center"/>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p>
      <w:pPr>
        <w:jc w:val="left"/>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p>
      <w:pPr>
        <w:jc w:val="center"/>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属于监狱企业的证明文件</w:t>
      </w:r>
      <w:r/>
    </w:p>
    <w:p>
      <w:pPr>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（提供由省级以上监狱管理局、戒毒管理局(含新疆生产建设兵团)出具的属于监狱企业的证明</w:t>
      </w:r>
      <w:r/>
    </w:p>
    <w:p>
      <w:pPr>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文件）</w:t>
      </w:r>
      <w:r/>
    </w:p>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p>
      <w:pPr>
        <w:jc w:val="center"/>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p>
      <w:pPr>
        <w:jc w:val="center"/>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节能产品认证证书</w:t>
      </w:r>
      <w:r/>
    </w:p>
    <w:p>
      <w:pPr>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（提供国家确定的认证机构出具的、处于有效期之内的产品认证证书）</w:t>
      </w:r>
      <w:r/>
    </w:p>
    <w:p>
      <w:pPr>
        <w:jc w:val="left"/>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p>
      <w:pPr>
        <w:jc w:val="center"/>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环境标志产品认证证书</w:t>
      </w:r>
      <w:r/>
    </w:p>
    <w:p>
      <w:pPr>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（提供国家确定的认证机构出具的、处于有效期之内的产品认证证书）</w:t>
      </w:r>
      <w:r/>
    </w:p>
    <w:p>
      <w:pPr>
        <w:spacing w:line="360" w:lineRule="auto"/>
        <w:rPr>
          <w:rFonts w:ascii="宋体" w:hAnsi="宋体" w:cs="宋体"/>
          <w:b/>
          <w:bCs/>
          <w:color w:val="000000" w:themeColor="text1"/>
          <w:szCs w:val="21"/>
          <w14:textFill>
            <w14:solidFill>
              <w14:schemeClr w14:val="tx1"/>
            </w14:solidFill>
          </w14:textFill>
        </w:rPr>
      </w:pPr>
      <w:r>
        <w:rPr>
          <w:rFonts w:ascii="宋体" w:hAnsi="宋体" w:cs="宋体"/>
          <w:b/>
          <w:bCs/>
          <w:color w:val="000000" w:themeColor="text1"/>
          <w:szCs w:val="21"/>
          <w14:textFill>
            <w14:solidFill>
              <w14:schemeClr w14:val="tx1"/>
            </w14:solidFill>
          </w14:textFill>
        </w:rPr>
      </w:r>
      <w:r/>
    </w:p>
    <w:p>
      <w:pPr>
        <w:spacing w:line="360" w:lineRule="auto"/>
        <w:rPr>
          <w:rFonts w:ascii="宋体" w:hAnsi="宋体" w:cs="宋体"/>
          <w:b/>
          <w:bCs/>
          <w:color w:val="000000" w:themeColor="text1"/>
          <w:szCs w:val="21"/>
          <w14:textFill>
            <w14:solidFill>
              <w14:schemeClr w14:val="tx1"/>
            </w14:solidFill>
          </w14:textFill>
        </w:rPr>
      </w:pPr>
      <w:r>
        <w:rPr>
          <w:rFonts w:ascii="宋体" w:hAnsi="宋体" w:cs="宋体"/>
          <w:b/>
          <w:bCs/>
          <w:color w:val="000000" w:themeColor="text1"/>
          <w:szCs w:val="21"/>
          <w14:textFill>
            <w14:solidFill>
              <w14:schemeClr w14:val="tx1"/>
            </w14:solidFill>
          </w14:textFill>
        </w:rPr>
      </w:r>
      <w:r/>
    </w:p>
    <w:p>
      <w:pPr>
        <w:spacing w:line="360" w:lineRule="auto"/>
        <w:rPr>
          <w:rFonts w:ascii="宋体" w:hAnsi="宋体" w:cs="宋体"/>
          <w:b/>
          <w:bCs/>
          <w:color w:val="000000" w:themeColor="text1"/>
          <w:szCs w:val="21"/>
          <w14:textFill>
            <w14:solidFill>
              <w14:schemeClr w14:val="tx1"/>
            </w14:solidFill>
          </w14:textFill>
        </w:rPr>
      </w:pPr>
      <w:r>
        <w:rPr>
          <w:rFonts w:ascii="宋体" w:hAnsi="宋体" w:cs="宋体"/>
          <w:b/>
          <w:bCs/>
          <w:color w:val="000000" w:themeColor="text1"/>
          <w:szCs w:val="21"/>
          <w14:textFill>
            <w14:solidFill>
              <w14:schemeClr w14:val="tx1"/>
            </w14:solidFill>
          </w14:textFill>
        </w:rPr>
      </w:r>
      <w:r/>
    </w:p>
    <w:p>
      <w:pPr>
        <w:spacing w:line="360" w:lineRule="auto"/>
        <w:rPr>
          <w:rFonts w:ascii="宋体" w:hAnsi="宋体" w:cs="宋体"/>
          <w:b/>
          <w:color w:val="000000" w:themeColor="text1"/>
          <w14:textFill>
            <w14:solidFill>
              <w14:schemeClr w14:val="tx1"/>
            </w14:solidFill>
          </w14:textFill>
        </w:rPr>
      </w:pPr>
      <w:r/>
      <w:bookmarkStart w:id="73" w:name="_Toc8704"/>
      <w:r/>
      <w:bookmarkStart w:id="74" w:name="_Toc504573092"/>
      <w:r/>
      <w:bookmarkStart w:id="75" w:name="_Toc504044389"/>
      <w:r/>
      <w:bookmarkStart w:id="76" w:name="_Toc534273686"/>
      <w:r/>
      <w:bookmarkStart w:id="77" w:name="_Toc490133037"/>
      <w:r/>
      <w:bookmarkStart w:id="78" w:name="_Toc504056877"/>
      <w:r/>
      <w:bookmarkStart w:id="79" w:name="_Toc534273809"/>
      <w:r/>
      <w:r/>
    </w:p>
    <w:p>
      <w:pPr>
        <w:spacing w:line="360" w:lineRule="auto"/>
        <w:rPr>
          <w:rFonts w:ascii="宋体" w:hAnsi="宋体" w:cs="宋体"/>
          <w:b/>
          <w:color w:val="000000" w:themeColor="text1"/>
          <w14:textFill>
            <w14:solidFill>
              <w14:schemeClr w14:val="tx1"/>
            </w14:solidFill>
          </w14:textFill>
        </w:rPr>
      </w:pPr>
      <w:r>
        <w:rPr>
          <w:rFonts w:ascii="宋体" w:hAnsi="宋体" w:cs="宋体"/>
          <w:b/>
          <w:color w:val="000000" w:themeColor="text1"/>
          <w14:textFill>
            <w14:solidFill>
              <w14:schemeClr w14:val="tx1"/>
            </w14:solidFill>
          </w14:textFill>
        </w:rPr>
      </w:r>
      <w:r/>
    </w:p>
    <w:p>
      <w:pPr>
        <w:spacing w:line="360" w:lineRule="auto"/>
        <w:rPr>
          <w:rFonts w:ascii="宋体" w:hAnsi="宋体" w:cs="宋体"/>
          <w:b/>
          <w:color w:val="000000" w:themeColor="text1"/>
          <w14:textFill>
            <w14:solidFill>
              <w14:schemeClr w14:val="tx1"/>
            </w14:solidFill>
          </w14:textFill>
        </w:rPr>
      </w:pPr>
      <w:r>
        <w:rPr>
          <w:rFonts w:ascii="宋体" w:hAnsi="宋体" w:cs="宋体"/>
          <w:b/>
          <w:color w:val="000000" w:themeColor="text1"/>
          <w14:textFill>
            <w14:solidFill>
              <w14:schemeClr w14:val="tx1"/>
            </w14:solidFill>
          </w14:textFill>
        </w:rPr>
      </w:r>
      <w:r/>
    </w:p>
    <w:p>
      <w:pPr>
        <w:spacing w:line="360" w:lineRule="auto"/>
        <w:rPr>
          <w:rFonts w:ascii="宋体" w:hAnsi="宋体" w:cs="宋体"/>
          <w:b/>
          <w:color w:val="000000" w:themeColor="text1"/>
          <w14:textFill>
            <w14:solidFill>
              <w14:schemeClr w14:val="tx1"/>
            </w14:solidFill>
          </w14:textFill>
        </w:rPr>
      </w:pPr>
      <w:r>
        <w:rPr>
          <w:rFonts w:hint="eastAsia" w:ascii="宋体" w:hAnsi="宋体" w:cs="宋体"/>
          <w:b/>
          <w:color w:val="000000" w:themeColor="text1"/>
          <w14:textFill>
            <w14:solidFill>
              <w14:schemeClr w14:val="tx1"/>
            </w14:solidFill>
          </w14:textFill>
        </w:rPr>
        <w:t xml:space="preserve">附件十三、无重大违法记录声明格式</w:t>
      </w:r>
      <w:r/>
    </w:p>
    <w:p>
      <w:pPr>
        <w:jc w:val="center"/>
        <w:spacing w:line="240" w:lineRule="atLeast"/>
        <w:rPr>
          <w:rFonts w:ascii="宋体" w:hAnsi="宋体" w:cs="宋体"/>
          <w:color w:val="000000" w:themeColor="text1"/>
          <w:sz w:val="28"/>
          <w:szCs w:val="36"/>
          <w14:textFill>
            <w14:solidFill>
              <w14:schemeClr w14:val="tx1"/>
            </w14:solidFill>
          </w14:textFill>
        </w:rPr>
      </w:pPr>
      <w:r>
        <w:rPr>
          <w:rFonts w:ascii="宋体" w:hAnsi="宋体" w:cs="宋体"/>
          <w:color w:val="000000" w:themeColor="text1"/>
          <w:sz w:val="28"/>
          <w:szCs w:val="36"/>
          <w14:textFill>
            <w14:solidFill>
              <w14:schemeClr w14:val="tx1"/>
            </w14:solidFill>
          </w14:textFill>
        </w:rPr>
      </w:r>
      <w:r/>
    </w:p>
    <w:p>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无重大违法记录声明</w:t>
      </w:r>
      <w:r/>
    </w:p>
    <w:p>
      <w:pPr>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p>
      <w:pPr>
        <w:ind w:firstLine="422"/>
        <w:spacing w:line="360" w:lineRule="auto"/>
        <w:rPr>
          <w:rFonts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江苏省水文水资源勘测局南京分局：</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我单位</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 xml:space="preserve">（供应商名称）郑重声明：</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参加政府采购活动前3年内在经营活动中</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 xml:space="preserve">（在下划线上如实填写：有或没有）重大违法记录。</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（说明：政府采购法第二十二条第一款第五项所称重大违法记录，是指供应商因违法经营受到刑事处罚或者责令停产停业、吊销许可证或者执照、较大数额罚款等行政处罚。）</w:t>
      </w:r>
      <w:r/>
    </w:p>
    <w:p>
      <w:pPr>
        <w:ind w:firstLine="420"/>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p>
      <w:pPr>
        <w:ind w:firstLine="420"/>
        <w:jc w:val="left"/>
        <w:spacing w:line="360" w:lineRule="auto"/>
        <w:shd w:val="clear" w:color="auto" w:fill="ffffff"/>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供应商名称（加盖电子公章）：</w:t>
      </w:r>
      <w:r>
        <w:rPr>
          <w:color w:val="000000" w:themeColor="text1"/>
          <w:szCs w:val="21"/>
          <w:u w:val="single"/>
          <w14:textFill>
            <w14:solidFill>
              <w14:schemeClr w14:val="tx1"/>
            </w14:solidFill>
          </w14:textFill>
        </w:rPr>
        <w:t xml:space="preserve">                </w:t>
      </w:r>
      <w:r/>
    </w:p>
    <w:p>
      <w:pPr>
        <w:ind w:firstLine="420"/>
        <w:jc w:val="left"/>
        <w:spacing w:line="360" w:lineRule="auto"/>
        <w:shd w:val="clear" w:color="auto" w:fill="ffffff"/>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日    期：   年    月    日</w:t>
      </w:r>
      <w:r/>
    </w:p>
    <w:p>
      <w:pPr>
        <w:spacing w:line="360" w:lineRule="auto"/>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bookmarkEnd w:id="73"/>
      <w:bookmarkEnd w:id="74"/>
      <w:bookmarkEnd w:id="75"/>
      <w:bookmarkEnd w:id="76"/>
      <w:bookmarkEnd w:id="77"/>
      <w:bookmarkEnd w:id="78"/>
      <w:bookmarkEnd w:id="79"/>
      <w:r/>
    </w:p>
    <w:p>
      <w:pPr>
        <w:spacing w:line="360" w:lineRule="auto"/>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p>
      <w:pPr>
        <w:spacing w:line="360" w:lineRule="auto"/>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p>
      <w:pPr>
        <w:spacing w:line="360" w:lineRule="auto"/>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p>
      <w:pPr>
        <w:spacing w:line="360" w:lineRule="auto"/>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p>
      <w:pPr>
        <w:spacing w:line="360" w:lineRule="auto"/>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14:textFill>
            <w14:solidFill>
              <w14:schemeClr w14:val="tx1"/>
            </w14:solidFill>
          </w14:textFill>
        </w:rPr>
        <w:t xml:space="preserve">附件十四、</w:t>
      </w:r>
      <w:r>
        <w:rPr>
          <w:rFonts w:hint="eastAsia" w:ascii="宋体" w:hAnsi="宋体" w:cs="宋体"/>
          <w:b/>
          <w:color w:val="000000" w:themeColor="text1"/>
          <w:szCs w:val="21"/>
          <w14:textFill>
            <w14:solidFill>
              <w14:schemeClr w14:val="tx1"/>
            </w14:solidFill>
          </w14:textFill>
        </w:rPr>
        <w:t xml:space="preserve">具备履行合同所必需的设备和专业技术能力的声明格式及证明材料</w:t>
      </w:r>
      <w:r/>
    </w:p>
    <w:p>
      <w:pPr>
        <w:jc w:val="center"/>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具备履行合同所必需的设备和专业技术能力的声明格式</w:t>
      </w:r>
      <w:r/>
    </w:p>
    <w:p>
      <w:pPr>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江苏省水文水资源勘测局南京分局：</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我单位</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 xml:space="preserve"> （供应商名称）郑重声明：我公司具备履行本项目采购合同所必需的设备和专业技术能力，为履行本项目采购合同我单位具备如下主要设备和主要专业技术能力：</w:t>
      </w:r>
      <w:r/>
    </w:p>
    <w:p>
      <w:pPr>
        <w:ind w:firstLine="422"/>
        <w:spacing w:line="360" w:lineRule="auto"/>
        <w:rPr>
          <w:rFonts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主要设备有：                       </w:t>
      </w:r>
      <w:r>
        <w:rPr>
          <w:rFonts w:hint="eastAsia" w:ascii="宋体" w:hAnsi="宋体" w:cs="宋体"/>
          <w:color w:val="000000" w:themeColor="text1"/>
          <w:szCs w:val="21"/>
          <w14:textFill>
            <w14:solidFill>
              <w14:schemeClr w14:val="tx1"/>
            </w14:solidFill>
          </w14:textFill>
        </w:rPr>
        <w:t xml:space="preserve">   。</w:t>
      </w:r>
      <w:r/>
    </w:p>
    <w:p>
      <w:pPr>
        <w:ind w:firstLine="422"/>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主要专业技术能力有：</w:t>
      </w:r>
      <w:r>
        <w:rPr>
          <w:rFonts w:hint="eastAsia" w:ascii="宋体" w:hAnsi="宋体" w:cs="宋体"/>
          <w:color w:val="000000" w:themeColor="text1"/>
          <w:szCs w:val="21"/>
          <w14:textFill>
            <w14:solidFill>
              <w14:schemeClr w14:val="tx1"/>
            </w14:solidFill>
          </w14:textFill>
        </w:rPr>
        <w:t xml:space="preserve">                  。</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w:t>
      </w:r>
      <w:r/>
    </w:p>
    <w:p>
      <w:pPr>
        <w:ind w:firstLine="420"/>
        <w:jc w:val="left"/>
        <w:spacing w:line="360" w:lineRule="auto"/>
        <w:shd w:val="clear" w:color="auto" w:fill="ffffff"/>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供应商名称（加盖电子公章）：</w:t>
      </w:r>
      <w:r>
        <w:rPr>
          <w:color w:val="000000" w:themeColor="text1"/>
          <w:szCs w:val="21"/>
          <w:u w:val="single"/>
          <w14:textFill>
            <w14:solidFill>
              <w14:schemeClr w14:val="tx1"/>
            </w14:solidFill>
          </w14:textFill>
        </w:rPr>
        <w:t xml:space="preserve">                </w:t>
      </w:r>
      <w:r/>
    </w:p>
    <w:p>
      <w:pPr>
        <w:ind w:firstLine="420"/>
        <w:jc w:val="left"/>
        <w:spacing w:line="360" w:lineRule="auto"/>
        <w:shd w:val="clear" w:color="auto" w:fill="ffffff"/>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日    期：   年    月    日</w:t>
      </w:r>
      <w:r/>
    </w:p>
    <w:p>
      <w:pPr>
        <w:spacing w:line="360" w:lineRule="auto"/>
        <w:rPr>
          <w:rFonts w:ascii="宋体" w:hAnsi="宋体" w:cs="宋体"/>
          <w:b/>
          <w:color w:val="000000" w:themeColor="text1"/>
          <w14:textFill>
            <w14:solidFill>
              <w14:schemeClr w14:val="tx1"/>
            </w14:solidFill>
          </w14:textFill>
        </w:rPr>
      </w:pPr>
      <w:r>
        <w:rPr>
          <w:rFonts w:ascii="宋体" w:hAnsi="宋体" w:cs="宋体"/>
          <w:b/>
          <w:color w:val="000000" w:themeColor="text1"/>
          <w14:textFill>
            <w14:solidFill>
              <w14:schemeClr w14:val="tx1"/>
            </w14:solidFill>
          </w14:textFill>
        </w:rPr>
      </w:r>
      <w:r/>
    </w:p>
    <w:p>
      <w:pPr>
        <w:spacing w:line="360" w:lineRule="auto"/>
        <w:rPr>
          <w:rFonts w:ascii="宋体" w:hAnsi="宋体" w:cs="宋体"/>
          <w:b/>
          <w:bCs/>
          <w:color w:val="000000" w:themeColor="text1"/>
          <w:szCs w:val="21"/>
          <w14:textFill>
            <w14:solidFill>
              <w14:schemeClr w14:val="tx1"/>
            </w14:solidFill>
          </w14:textFill>
        </w:rPr>
      </w:pPr>
      <w:r>
        <w:rPr>
          <w:rFonts w:ascii="宋体" w:hAnsi="宋体" w:cs="宋体"/>
          <w:b/>
          <w:bCs/>
          <w:color w:val="000000" w:themeColor="text1"/>
          <w:szCs w:val="21"/>
          <w14:textFill>
            <w14:solidFill>
              <w14:schemeClr w14:val="tx1"/>
            </w14:solidFill>
          </w14:textFill>
        </w:rPr>
      </w:r>
      <w:r/>
    </w:p>
    <w:p>
      <w:pPr>
        <w:spacing w:line="360" w:lineRule="auto"/>
        <w:rPr>
          <w:rFonts w:ascii="宋体" w:hAnsi="宋体" w:cs="宋体"/>
          <w:b/>
          <w:bCs/>
          <w:color w:val="000000" w:themeColor="text1"/>
          <w:szCs w:val="21"/>
          <w14:textFill>
            <w14:solidFill>
              <w14:schemeClr w14:val="tx1"/>
            </w14:solidFill>
          </w14:textFill>
        </w:rPr>
      </w:pPr>
      <w:r>
        <w:rPr>
          <w:rFonts w:ascii="宋体" w:hAnsi="宋体" w:cs="宋体"/>
          <w:b/>
          <w:bCs/>
          <w:color w:val="000000" w:themeColor="text1"/>
          <w:szCs w:val="21"/>
          <w14:textFill>
            <w14:solidFill>
              <w14:schemeClr w14:val="tx1"/>
            </w14:solidFill>
          </w14:textFill>
        </w:rPr>
      </w:r>
      <w:r/>
    </w:p>
    <w:p>
      <w:pPr>
        <w:spacing w:line="360" w:lineRule="auto"/>
        <w:rPr>
          <w:rFonts w:ascii="宋体" w:hAnsi="宋体" w:cs="宋体"/>
          <w:b/>
          <w:bCs/>
          <w:color w:val="000000" w:themeColor="text1"/>
          <w:szCs w:val="21"/>
          <w14:textFill>
            <w14:solidFill>
              <w14:schemeClr w14:val="tx1"/>
            </w14:solidFill>
          </w14:textFill>
        </w:rPr>
      </w:pPr>
      <w:r>
        <w:rPr>
          <w:rFonts w:ascii="宋体" w:hAnsi="宋体" w:cs="宋体"/>
          <w:b/>
          <w:bCs/>
          <w:color w:val="000000" w:themeColor="text1"/>
          <w:szCs w:val="21"/>
          <w14:textFill>
            <w14:solidFill>
              <w14:schemeClr w14:val="tx1"/>
            </w14:solidFill>
          </w14:textFill>
        </w:rPr>
      </w:r>
      <w:r/>
    </w:p>
    <w:p>
      <w:pPr>
        <w:spacing w:line="360" w:lineRule="auto"/>
        <w:rPr>
          <w:rFonts w:ascii="宋体" w:hAnsi="宋体" w:cs="宋体"/>
          <w:b/>
          <w:bCs/>
          <w:color w:val="000000" w:themeColor="text1"/>
          <w:szCs w:val="21"/>
          <w14:textFill>
            <w14:solidFill>
              <w14:schemeClr w14:val="tx1"/>
            </w14:solidFill>
          </w14:textFill>
        </w:rPr>
      </w:pPr>
      <w:r>
        <w:rPr>
          <w:rFonts w:ascii="宋体" w:hAnsi="宋体" w:cs="宋体"/>
          <w:b/>
          <w:bCs/>
          <w:color w:val="000000" w:themeColor="text1"/>
          <w:szCs w:val="21"/>
          <w14:textFill>
            <w14:solidFill>
              <w14:schemeClr w14:val="tx1"/>
            </w14:solidFill>
          </w14:textFill>
        </w:rPr>
      </w:r>
      <w:r/>
    </w:p>
    <w:p>
      <w:pPr>
        <w:spacing w:line="360" w:lineRule="auto"/>
        <w:rPr>
          <w:rFonts w:ascii="宋体" w:hAnsi="宋体" w:cs="宋体"/>
          <w:b/>
          <w:bCs/>
          <w:color w:val="000000" w:themeColor="text1"/>
          <w:szCs w:val="21"/>
          <w14:textFill>
            <w14:solidFill>
              <w14:schemeClr w14:val="tx1"/>
            </w14:solidFill>
          </w14:textFill>
        </w:rPr>
      </w:pPr>
      <w:r>
        <w:rPr>
          <w:rFonts w:ascii="宋体" w:hAnsi="宋体" w:cs="宋体"/>
          <w:b/>
          <w:bCs/>
          <w:color w:val="000000" w:themeColor="text1"/>
          <w:szCs w:val="21"/>
          <w14:textFill>
            <w14:solidFill>
              <w14:schemeClr w14:val="tx1"/>
            </w14:solidFill>
          </w14:textFill>
        </w:rPr>
      </w:r>
      <w:r/>
    </w:p>
    <w:p>
      <w:pPr>
        <w:spacing w:line="360" w:lineRule="auto"/>
        <w:rPr>
          <w:rFonts w:ascii="宋体" w:hAnsi="宋体" w:cs="宋体"/>
          <w:b/>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附件十五、</w:t>
      </w:r>
      <w:r>
        <w:rPr>
          <w:rFonts w:hint="eastAsia" w:ascii="宋体" w:hAnsi="宋体" w:cs="宋体"/>
          <w:b/>
          <w:color w:val="000000" w:themeColor="text1"/>
          <w:szCs w:val="21"/>
          <w14:textFill>
            <w14:solidFill>
              <w14:schemeClr w14:val="tx1"/>
            </w14:solidFill>
          </w14:textFill>
        </w:rPr>
        <w:t xml:space="preserve">承诺书</w:t>
      </w:r>
      <w:r/>
    </w:p>
    <w:p>
      <w:pPr>
        <w:jc w:val="center"/>
        <w:spacing w:line="360" w:lineRule="auto"/>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承诺书</w:t>
      </w:r>
      <w:r/>
    </w:p>
    <w:p>
      <w:pPr>
        <w:spacing w:line="360" w:lineRule="auto"/>
        <w:rPr>
          <w:rFonts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江苏省水文水资源勘测局南京分局：</w:t>
      </w:r>
      <w:r/>
    </w:p>
    <w:p>
      <w:pPr>
        <w:ind w:firstLine="420"/>
        <w:spacing w:line="360" w:lineRule="auto"/>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根据贵方组织的</w:t>
      </w:r>
      <w:r>
        <w:rPr>
          <w:rFonts w:hint="eastAsia" w:ascii="宋体" w:hAnsi="宋体" w:cs="宋体"/>
          <w:bCs/>
          <w:color w:val="000000" w:themeColor="text1"/>
          <w:szCs w:val="21"/>
          <w:u w:val="single"/>
          <w14:textFill>
            <w14:solidFill>
              <w14:schemeClr w14:val="tx1"/>
            </w14:solidFill>
          </w14:textFill>
        </w:rPr>
        <w:t xml:space="preserve">                            </w:t>
      </w:r>
      <w:r>
        <w:rPr>
          <w:rFonts w:hint="eastAsia" w:ascii="宋体" w:hAnsi="宋体" w:cs="宋体"/>
          <w:bCs/>
          <w:color w:val="000000" w:themeColor="text1"/>
          <w:szCs w:val="21"/>
          <w14:textFill>
            <w14:solidFill>
              <w14:schemeClr w14:val="tx1"/>
            </w14:solidFill>
          </w14:textFill>
        </w:rPr>
        <w:t xml:space="preserve">项目（项目名称）</w:t>
      </w:r>
      <w:r>
        <w:rPr>
          <w:rFonts w:hint="eastAsia" w:ascii="宋体" w:hAnsi="宋体" w:cs="宋体"/>
          <w:bCs/>
          <w:color w:val="000000" w:themeColor="text1"/>
          <w:szCs w:val="21"/>
          <w:u w:val="single"/>
          <w14:textFill>
            <w14:solidFill>
              <w14:schemeClr w14:val="tx1"/>
            </w14:solidFill>
          </w14:textFill>
        </w:rPr>
        <w:t xml:space="preserve">          </w:t>
      </w:r>
      <w:r>
        <w:rPr>
          <w:rFonts w:hint="eastAsia" w:ascii="宋体" w:hAnsi="宋体" w:cs="宋体"/>
          <w:bCs/>
          <w:color w:val="000000" w:themeColor="text1"/>
          <w:szCs w:val="21"/>
          <w14:textFill>
            <w14:solidFill>
              <w14:schemeClr w14:val="tx1"/>
            </w14:solidFill>
          </w14:textFill>
        </w:rPr>
        <w:t xml:space="preserve">（项目编号）的要求，我方 </w:t>
      </w:r>
      <w:r>
        <w:rPr>
          <w:rFonts w:hint="eastAsia" w:ascii="宋体" w:hAnsi="宋体" w:cs="宋体"/>
          <w:bCs/>
          <w:color w:val="000000" w:themeColor="text1"/>
          <w:szCs w:val="21"/>
          <w:u w:val="single"/>
          <w14:textFill>
            <w14:solidFill>
              <w14:schemeClr w14:val="tx1"/>
            </w14:solidFill>
          </w14:textFill>
        </w:rPr>
        <w:t xml:space="preserve">              </w:t>
      </w:r>
      <w:r>
        <w:rPr>
          <w:rFonts w:hint="eastAsia" w:ascii="宋体" w:hAnsi="宋体" w:cs="宋体"/>
          <w:bCs/>
          <w:color w:val="000000" w:themeColor="text1"/>
          <w:szCs w:val="21"/>
          <w14:textFill>
            <w14:solidFill>
              <w14:schemeClr w14:val="tx1"/>
            </w14:solidFill>
          </w14:textFill>
        </w:rPr>
        <w:t xml:space="preserve">（投标供应商名称）作为供应商承诺符合</w:t>
      </w:r>
      <w:r>
        <w:rPr>
          <w:rFonts w:hint="eastAsia"/>
          <w:color w:val="000000" w:themeColor="text1"/>
          <w:szCs w:val="21"/>
          <w14:textFill>
            <w14:solidFill>
              <w14:schemeClr w14:val="tx1"/>
            </w14:solidFill>
          </w14:textFill>
        </w:rPr>
        <w:t xml:space="preserve">法律、行政法规规定的其他条件。</w:t>
      </w:r>
      <w:r/>
    </w:p>
    <w:p>
      <w:pPr>
        <w:ind w:firstLine="420"/>
        <w:jc w:val="left"/>
        <w:spacing w:line="360" w:lineRule="auto"/>
        <w:shd w:val="clear" w:color="auto" w:fill="ffffff"/>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p>
      <w:pPr>
        <w:ind w:firstLine="420"/>
        <w:jc w:val="left"/>
        <w:spacing w:line="360" w:lineRule="auto"/>
        <w:shd w:val="clear" w:color="auto" w:fill="ffffff"/>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供应商名称（加盖电子公章）：</w:t>
      </w:r>
      <w:r>
        <w:rPr>
          <w:color w:val="000000" w:themeColor="text1"/>
          <w:szCs w:val="21"/>
          <w:u w:val="single"/>
          <w14:textFill>
            <w14:solidFill>
              <w14:schemeClr w14:val="tx1"/>
            </w14:solidFill>
          </w14:textFill>
        </w:rPr>
        <w:t xml:space="preserve">                </w:t>
      </w:r>
      <w:r/>
    </w:p>
    <w:p>
      <w:pPr>
        <w:ind w:firstLine="420"/>
        <w:jc w:val="left"/>
        <w:spacing w:line="360" w:lineRule="auto"/>
        <w:shd w:val="clear" w:color="auto" w:fill="ffffff"/>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日    期：   年    月    日</w:t>
      </w:r>
      <w:r/>
    </w:p>
    <w:p>
      <w:pPr>
        <w:pStyle w:val="682"/>
        <w:ind w:left="1260"/>
        <w:rPr>
          <w:rFonts w:ascii="宋体" w:hAnsi="宋体" w:cs="宋体"/>
          <w:color w:val="000000" w:themeColor="text1"/>
          <w:szCs w:val="21"/>
          <w:lang w:val="zh-CN"/>
          <w14:textFill>
            <w14:solidFill>
              <w14:schemeClr w14:val="tx1"/>
            </w14:solidFill>
          </w14:textFill>
        </w:rPr>
      </w:pPr>
      <w:r>
        <w:rPr>
          <w:rFonts w:ascii="宋体" w:hAnsi="宋体" w:cs="宋体"/>
          <w:color w:val="000000" w:themeColor="text1"/>
          <w:szCs w:val="21"/>
          <w:lang w:val="zh-CN"/>
          <w14:textFill>
            <w14:solidFill>
              <w14:schemeClr w14:val="tx1"/>
            </w14:solidFill>
          </w14:textFill>
        </w:rPr>
      </w:r>
      <w:r/>
    </w:p>
    <w:p>
      <w:pPr>
        <w:rPr>
          <w:rFonts w:ascii="宋体" w:hAnsi="宋体" w:cs="宋体"/>
          <w:color w:val="000000" w:themeColor="text1"/>
          <w:szCs w:val="21"/>
          <w:lang w:val="zh-CN"/>
          <w14:textFill>
            <w14:solidFill>
              <w14:schemeClr w14:val="tx1"/>
            </w14:solidFill>
          </w14:textFill>
        </w:rPr>
      </w:pPr>
      <w:r>
        <w:rPr>
          <w:rFonts w:ascii="宋体" w:hAnsi="宋体" w:cs="宋体"/>
          <w:color w:val="000000" w:themeColor="text1"/>
          <w:szCs w:val="21"/>
          <w:lang w:val="zh-CN"/>
          <w14:textFill>
            <w14:solidFill>
              <w14:schemeClr w14:val="tx1"/>
            </w14:solidFill>
          </w14:textFill>
        </w:rPr>
      </w:r>
      <w:r/>
    </w:p>
    <w:p>
      <w:pPr>
        <w:pStyle w:val="682"/>
        <w:ind w:left="1260"/>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spacing w:line="360" w:lineRule="auto"/>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附件十六、承诺书</w:t>
      </w:r>
      <w:r/>
    </w:p>
    <w:p>
      <w:pPr>
        <w:pStyle w:val="1020"/>
        <w:ind w:firstLine="422"/>
        <w:jc w:val="center"/>
        <w:rPr>
          <w:b/>
          <w:color w:val="000000" w:themeColor="text1"/>
          <w:sz w:val="21"/>
          <w:szCs w:val="21"/>
          <w14:textFill>
            <w14:solidFill>
              <w14:schemeClr w14:val="tx1"/>
            </w14:solidFill>
          </w14:textFill>
        </w:rPr>
      </w:pPr>
      <w:r>
        <w:rPr>
          <w:rFonts w:hint="eastAsia"/>
          <w:b/>
          <w:color w:val="000000" w:themeColor="text1"/>
          <w:sz w:val="21"/>
          <w:szCs w:val="21"/>
          <w14:textFill>
            <w14:solidFill>
              <w14:schemeClr w14:val="tx1"/>
            </w14:solidFill>
          </w14:textFill>
        </w:rPr>
        <w:t xml:space="preserve">承诺书</w:t>
      </w:r>
      <w:r/>
    </w:p>
    <w:p>
      <w:pPr>
        <w:spacing w:line="360" w:lineRule="auto"/>
        <w:rPr>
          <w:rFonts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江苏省水文水资源勘测局南京分局：</w:t>
      </w:r>
      <w:r/>
    </w:p>
    <w:p>
      <w:pPr>
        <w:ind w:firstLine="420"/>
        <w:spacing w:line="360" w:lineRule="auto"/>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根据贵方组织的</w:t>
      </w:r>
      <w:r>
        <w:rPr>
          <w:rFonts w:hint="eastAsia" w:ascii="宋体" w:hAnsi="宋体" w:cs="宋体"/>
          <w:bCs/>
          <w:color w:val="000000" w:themeColor="text1"/>
          <w:szCs w:val="21"/>
          <w:u w:val="single"/>
          <w14:textFill>
            <w14:solidFill>
              <w14:schemeClr w14:val="tx1"/>
            </w14:solidFill>
          </w14:textFill>
        </w:rPr>
        <w:t xml:space="preserve">                            </w:t>
      </w:r>
      <w:r>
        <w:rPr>
          <w:rFonts w:hint="eastAsia" w:ascii="宋体" w:hAnsi="宋体" w:cs="宋体"/>
          <w:bCs/>
          <w:color w:val="000000" w:themeColor="text1"/>
          <w:szCs w:val="21"/>
          <w14:textFill>
            <w14:solidFill>
              <w14:schemeClr w14:val="tx1"/>
            </w14:solidFill>
          </w14:textFill>
        </w:rPr>
        <w:t xml:space="preserve">项目（项目名称）</w:t>
      </w:r>
      <w:r>
        <w:rPr>
          <w:rFonts w:hint="eastAsia" w:ascii="宋体" w:hAnsi="宋体" w:cs="宋体"/>
          <w:bCs/>
          <w:color w:val="000000" w:themeColor="text1"/>
          <w:szCs w:val="21"/>
          <w:u w:val="single"/>
          <w14:textFill>
            <w14:solidFill>
              <w14:schemeClr w14:val="tx1"/>
            </w14:solidFill>
          </w14:textFill>
        </w:rPr>
        <w:t xml:space="preserve">          </w:t>
      </w:r>
      <w:r>
        <w:rPr>
          <w:rFonts w:hint="eastAsia" w:ascii="宋体" w:hAnsi="宋体" w:cs="宋体"/>
          <w:bCs/>
          <w:color w:val="000000" w:themeColor="text1"/>
          <w:szCs w:val="21"/>
          <w14:textFill>
            <w14:solidFill>
              <w14:schemeClr w14:val="tx1"/>
            </w14:solidFill>
          </w14:textFill>
        </w:rPr>
        <w:t xml:space="preserve">（项目编号）的要求，我方 </w:t>
      </w:r>
      <w:r>
        <w:rPr>
          <w:rFonts w:hint="eastAsia" w:ascii="宋体" w:hAnsi="宋体" w:cs="宋体"/>
          <w:bCs/>
          <w:color w:val="000000" w:themeColor="text1"/>
          <w:szCs w:val="21"/>
          <w:u w:val="single"/>
          <w14:textFill>
            <w14:solidFill>
              <w14:schemeClr w14:val="tx1"/>
            </w14:solidFill>
          </w14:textFill>
        </w:rPr>
        <w:t xml:space="preserve">              </w:t>
      </w:r>
      <w:r>
        <w:rPr>
          <w:rFonts w:hint="eastAsia" w:ascii="宋体" w:hAnsi="宋体" w:cs="宋体"/>
          <w:bCs/>
          <w:color w:val="000000" w:themeColor="text1"/>
          <w:szCs w:val="21"/>
          <w14:textFill>
            <w14:solidFill>
              <w14:schemeClr w14:val="tx1"/>
            </w14:solidFill>
          </w14:textFill>
        </w:rPr>
        <w:t xml:space="preserve">（投标供应商名称）作为供应商承诺</w:t>
      </w:r>
      <w:r>
        <w:rPr>
          <w:rFonts w:hint="eastAsia" w:ascii="宋体" w:hAnsi="宋体" w:cs="宋体"/>
          <w:b/>
          <w:color w:val="000000" w:themeColor="text1"/>
          <w:szCs w:val="21"/>
          <w14:textFill>
            <w14:solidFill>
              <w14:schemeClr w14:val="tx1"/>
            </w14:solidFill>
          </w14:textFill>
        </w:rPr>
        <w:t xml:space="preserve">不存在以下情况</w:t>
      </w:r>
      <w:r>
        <w:rPr>
          <w:rFonts w:hint="eastAsia" w:ascii="宋体" w:hAnsi="宋体" w:cs="宋体"/>
          <w:bCs/>
          <w:color w:val="000000" w:themeColor="text1"/>
          <w:szCs w:val="21"/>
          <w14:textFill>
            <w14:solidFill>
              <w14:schemeClr w14:val="tx1"/>
            </w14:solidFill>
          </w14:textFill>
        </w:rPr>
        <w:t xml:space="preserve">：</w:t>
      </w:r>
      <w:r/>
    </w:p>
    <w:p>
      <w:pPr>
        <w:ind w:firstLine="420"/>
        <w:spacing w:line="360" w:lineRule="auto"/>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 （1）供应商单位负责人为同一人或者存在直接控股、管理关系的不同供应商，参加同一合同项下的政府采购活动。</w:t>
      </w:r>
      <w:r/>
    </w:p>
    <w:p>
      <w:pPr>
        <w:ind w:firstLine="420"/>
        <w:spacing w:line="360" w:lineRule="auto"/>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（2）凡为采购项目提供整体设计、规范编制或者项目管理、监理、检测等服务的供应商，再参加本项目的采购活动。</w:t>
      </w:r>
      <w:r/>
    </w:p>
    <w:p>
      <w:pPr>
        <w:ind w:firstLine="420"/>
        <w:spacing w:line="360" w:lineRule="auto"/>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（3）供应商被“信用中国”网站（www.creditchina.gov.cn）、“中国政府采购网"(www.ccgp.gov.cn)列入失信被执行人、重大税收违法失信主体、政府采购严重违法失信行为记录名单。</w:t>
      </w:r>
      <w:r/>
    </w:p>
    <w:p>
      <w:pPr>
        <w:ind w:firstLine="420"/>
        <w:jc w:val="left"/>
        <w:spacing w:line="360" w:lineRule="auto"/>
        <w:shd w:val="clear" w:color="auto" w:fill="ffffff"/>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供应商名称（加盖电子公章）：</w:t>
      </w:r>
      <w:r>
        <w:rPr>
          <w:color w:val="000000" w:themeColor="text1"/>
          <w:szCs w:val="21"/>
          <w:u w:val="single"/>
          <w14:textFill>
            <w14:solidFill>
              <w14:schemeClr w14:val="tx1"/>
            </w14:solidFill>
          </w14:textFill>
        </w:rPr>
        <w:t xml:space="preserve">                </w:t>
      </w:r>
      <w:r/>
    </w:p>
    <w:p>
      <w:pPr>
        <w:ind w:firstLine="420"/>
        <w:jc w:val="left"/>
        <w:spacing w:line="360" w:lineRule="auto"/>
        <w:shd w:val="clear" w:color="auto" w:fill="ffffff"/>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日    期：   年    月    日</w:t>
      </w:r>
      <w:r/>
    </w:p>
    <w:p>
      <w:pPr>
        <w:jc w:val="left"/>
        <w:spacing w:line="360" w:lineRule="auto"/>
        <w:shd w:val="clear" w:color="auto" w:fill="ffffff"/>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p>
      <w:pPr>
        <w:pStyle w:val="682"/>
        <w:ind w:left="1260"/>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p>
      <w:pPr>
        <w:rPr>
          <w:color w:val="000000" w:themeColor="text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附件十七、信用中国”（www.creditchina.gov.cn）、“中国政府采购网"(www.ccgp.gov.cn)网站截图</w:t>
      </w:r>
      <w:r/>
    </w:p>
    <w:p>
      <w:pPr>
        <w:jc w:val="left"/>
        <w:spacing w:line="360" w:lineRule="auto"/>
        <w:shd w:val="clear" w:color="auto" w:fill="ffffff"/>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p>
      <w:pPr>
        <w:jc w:val="left"/>
        <w:spacing w:line="360" w:lineRule="auto"/>
        <w:shd w:val="clear" w:color="auto" w:fill="ffffff"/>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p>
      <w:pPr>
        <w:jc w:val="left"/>
        <w:spacing w:line="360" w:lineRule="auto"/>
        <w:shd w:val="clear" w:color="auto" w:fill="ffffff"/>
        <w:widowControl/>
        <w:rPr>
          <w:rFonts w:ascii="宋体" w:hAnsi="宋体" w:cs="宋体"/>
          <w:b/>
          <w:bCs/>
          <w:color w:val="000000" w:themeColor="text1"/>
          <w:szCs w:val="21"/>
          <w14:textFill>
            <w14:solidFill>
              <w14:schemeClr w14:val="tx1"/>
            </w14:solidFill>
          </w14:textFill>
        </w:rPr>
      </w:pPr>
      <w:r>
        <w:rPr>
          <w:rFonts w:ascii="宋体" w:hAnsi="宋体" w:cs="宋体"/>
          <w:b/>
          <w:bCs/>
          <w:color w:val="000000" w:themeColor="text1"/>
          <w:szCs w:val="21"/>
          <w14:textFill>
            <w14:solidFill>
              <w14:schemeClr w14:val="tx1"/>
            </w14:solidFill>
          </w14:textFill>
        </w:rPr>
      </w:r>
      <w:r/>
    </w:p>
    <w:p>
      <w:pPr>
        <w:jc w:val="left"/>
        <w:spacing w:line="360" w:lineRule="auto"/>
        <w:shd w:val="clear" w:color="auto" w:fill="ffffff"/>
        <w:widowControl/>
        <w:rPr>
          <w:rFonts w:ascii="宋体" w:hAnsi="宋体" w:cs="宋体"/>
          <w:b/>
          <w:bCs/>
          <w:color w:val="000000" w:themeColor="text1"/>
          <w:szCs w:val="21"/>
          <w14:textFill>
            <w14:solidFill>
              <w14:schemeClr w14:val="tx1"/>
            </w14:solidFill>
          </w14:textFill>
        </w:rPr>
      </w:pPr>
      <w:r>
        <w:rPr>
          <w:rFonts w:ascii="宋体" w:hAnsi="宋体" w:cs="宋体"/>
          <w:b/>
          <w:bCs/>
          <w:color w:val="000000" w:themeColor="text1"/>
          <w:szCs w:val="21"/>
          <w14:textFill>
            <w14:solidFill>
              <w14:schemeClr w14:val="tx1"/>
            </w14:solidFill>
          </w14:textFill>
        </w:rPr>
      </w:r>
      <w:r/>
    </w:p>
    <w:sectPr>
      <w:footnotePr/>
      <w:endnotePr/>
      <w:type w:val="nextPage"/>
      <w:pgSz w:w="11906" w:h="16838" w:orient="portrait"/>
      <w:pgMar w:top="1417" w:right="1417" w:bottom="1417" w:left="1417" w:header="851" w:footer="794"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Mants nts nts nts nts n">
    <w:panose1 w:val="02040503050406030204"/>
  </w:font>
  <w:font w:name="Segoe UI Symbol">
    <w:panose1 w:val="020B0502040204020203"/>
  </w:font>
  <w:font w:name="方正小标宋_GBK">
    <w:panose1 w:val="020B0503020202020204"/>
  </w:font>
  <w:font w:name="Wingdings">
    <w:panose1 w:val="05000000000000000000"/>
  </w:font>
  <w:font w:name="Symbol">
    <w:panose1 w:val="05050102010706020507"/>
  </w:font>
  <w:font w:name="Cambria Math">
    <w:panose1 w:val="02040503050406030204"/>
  </w:font>
  <w:font w:name="MingLiU">
    <w:panose1 w:val="02020500000000000000"/>
  </w:font>
  <w:font w:name="方正仿宋简体">
    <w:panose1 w:val="020B0503020202020204"/>
  </w:font>
  <w:font w:name="Tahoma">
    <w:panose1 w:val="020B0604030504040204"/>
  </w:font>
  <w:font w:name="Courier New">
    <w:panose1 w:val="02070309020205020404"/>
  </w:font>
  <w:font w:name="Cambria">
    <w:panose1 w:val="02040503050406030204"/>
  </w:font>
  <w:font w:name="仿宋_GB2312">
    <w:panose1 w:val="02010609060101010101"/>
  </w:font>
  <w:font w:name="Verdana">
    <w:panose1 w:val="020B0604030504040204"/>
  </w:font>
  <w:font w:name="黑体">
    <w:panose1 w:val="02010609060101010101"/>
  </w:font>
  <w:font w:name="等线">
    <w:panose1 w:val="02010600030101010101"/>
  </w:font>
  <w:font w:name="Calibri">
    <w:panose1 w:val="020F0502020204030204"/>
  </w:font>
  <w:font w:name="楷体_GB2312">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6"/>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6"/>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67310" cy="153035"/>
              <wp:effectExtent l="0" t="0" r="0" b="0"/>
              <wp:wrapNone/>
              <wp:docPr id="1" name="Text Box 1025"/>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67310" cy="153035"/>
                      </a:xfrm>
                      <a:prstGeom prst="rect">
                        <a:avLst/>
                      </a:prstGeom>
                      <a:noFill/>
                      <a:ln>
                        <a:noFill/>
                      </a:ln>
                    </wps:spPr>
                    <wps:txbx>
                      <w:txbxContent>
                        <w:p>
                          <w:pPr>
                            <w:pStyle w:val="688"/>
                          </w:pPr>
                          <w:r>
                            <w:fldChar w:fldCharType="begin"/>
                          </w:r>
                          <w:r>
                            <w:instrText xml:space="preserve"> PAGE  \* MERGEFORMAT </w:instrText>
                          </w:r>
                          <w:r>
                            <w:fldChar w:fldCharType="separate"/>
                          </w:r>
                          <w:r>
                            <w:t xml:space="preserve">62</w:t>
                          </w:r>
                          <w:r>
                            <w:fldChar w:fldCharType="end"/>
                          </w:r>
                          <w:r/>
                        </w:p>
                      </w:txbxContent>
                    </wps:txbx>
                    <wps:bodyPr rot="0" vert="horz" wrap="none" lIns="0" tIns="0" rIns="0" bIns="0" anchor="t" anchorCtr="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5.3pt;height:12.0pt;mso-wrap-distance-left:9.0pt;mso-wrap-distance-top:0.0pt;mso-wrap-distance-right:9.0pt;mso-wrap-distance-bottom:0.0pt;v-text-anchor:top;visibility:visible;" filled="f" stroked="f">
              <v:textbox inset="0,0,0,0">
                <w:txbxContent>
                  <w:p>
                    <w:pPr>
                      <w:pStyle w:val="688"/>
                    </w:pPr>
                    <w:r>
                      <w:fldChar w:fldCharType="begin"/>
                    </w:r>
                    <w:r>
                      <w:instrText xml:space="preserve"> PAGE  \* MERGEFORMAT </w:instrText>
                    </w:r>
                    <w:r>
                      <w:fldChar w:fldCharType="separate"/>
                    </w:r>
                    <w:r>
                      <w:t xml:space="preserve">62</w:t>
                    </w:r>
                    <w:r>
                      <w:fldChar w:fldCharType="end"/>
                    </w:r>
                    <w:r/>
                  </w:p>
                </w:txbxContent>
              </v:textbox>
            </v:shape>
          </w:pict>
        </mc:Fallback>
      </mc:AlternateContent>
    </w:r>
    <w:r>
      <w:rPr>
        <w:rFonts w:hint="eastAsia"/>
      </w:rPr>
      <w:t xml:space="preserve"> </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8"/>
      <w:jc w:val="both"/>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1011"/>
      <w:isLgl w:val="false"/>
      <w:suff w:val="tab"/>
      <w:lvlText w:val=""/>
      <w:lvlJc w:val="left"/>
      <w:pPr>
        <w:ind w:left="360" w:hanging="360"/>
        <w:tabs>
          <w:tab w:val="left" w:pos="360" w:leader="none"/>
        </w:tabs>
      </w:pPr>
      <w:rPr>
        <w:rFonts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990"/>
      <w:isLgl w:val="false"/>
      <w:suff w:val="tab"/>
      <w:lvlText w:val="(%1)"/>
      <w:lvlJc w:val="left"/>
      <w:pPr>
        <w:ind w:left="397" w:hanging="397"/>
        <w:tabs>
          <w:tab w:val="left" w:pos="397" w:leader="none"/>
        </w:tabs>
      </w:pPr>
      <w:rPr>
        <w:rFonts w:ascii="Arial" w:hAnsi="Arial" w:eastAsia="宋体" w:cs="Times New Roman"/>
        <w:b w:val="0"/>
        <w:i w:val="0"/>
        <w:color w:val="000000"/>
        <w:sz w:val="18"/>
        <w:szCs w:val="18"/>
      </w:rPr>
    </w:lvl>
    <w:lvl w:ilvl="1">
      <w:start w:val="1"/>
      <w:numFmt w:val="lowerLetter"/>
      <w:isLgl w:val="false"/>
      <w:suff w:val="tab"/>
      <w:lvlText w:val="%2)"/>
      <w:lvlJc w:val="left"/>
      <w:pPr>
        <w:ind w:left="840" w:hanging="420"/>
        <w:tabs>
          <w:tab w:val="left" w:pos="840" w:leader="none"/>
        </w:tabs>
      </w:pPr>
      <w:rPr>
        <w:rFonts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2">
    <w:multiLevelType w:val="hybridMultilevel"/>
    <w:lvl w:ilvl="0">
      <w:start w:val="1"/>
      <w:numFmt w:val="decimal"/>
      <w:pStyle w:val="974"/>
      <w:isLgl w:val="false"/>
      <w:suff w:val="tab"/>
      <w:lvlText w:val="%1"/>
      <w:lvlJc w:val="left"/>
      <w:pPr>
        <w:ind w:left="567" w:hanging="567"/>
        <w:tabs>
          <w:tab w:val="left" w:pos="567" w:leader="none"/>
        </w:tabs>
      </w:pPr>
      <w:rPr>
        <w:rFonts w:hint="eastAsia" w:cs="Times New Roman"/>
      </w:rPr>
    </w:lvl>
    <w:lvl w:ilvl="1">
      <w:start w:val="1"/>
      <w:numFmt w:val="decimal"/>
      <w:pStyle w:val="970"/>
      <w:isLgl w:val="false"/>
      <w:suff w:val="tab"/>
      <w:lvlText w:val="%1.%2"/>
      <w:lvlJc w:val="left"/>
      <w:pPr>
        <w:ind w:left="567" w:hanging="283"/>
        <w:tabs>
          <w:tab w:val="left" w:pos="1004" w:leader="none"/>
        </w:tabs>
      </w:pPr>
      <w:rPr>
        <w:rFonts w:hint="eastAsia" w:cs="Times New Roman"/>
      </w:rPr>
    </w:lvl>
    <w:lvl w:ilvl="2">
      <w:start w:val="1"/>
      <w:numFmt w:val="decimal"/>
      <w:isLgl w:val="false"/>
      <w:suff w:val="tab"/>
      <w:lvlText w:val="%1.%2.%3"/>
      <w:lvlJc w:val="left"/>
      <w:pPr>
        <w:ind w:left="1134" w:hanging="567"/>
        <w:tabs>
          <w:tab w:val="left" w:pos="1647" w:leader="none"/>
        </w:tabs>
      </w:pPr>
      <w:rPr>
        <w:rFonts w:hint="eastAsia" w:cs="Times New Roman"/>
      </w:rPr>
    </w:lvl>
    <w:lvl w:ilvl="3">
      <w:start w:val="1"/>
      <w:numFmt w:val="decimal"/>
      <w:isLgl w:val="false"/>
      <w:suff w:val="tab"/>
      <w:lvlText w:val="%1.%2.%3.%4"/>
      <w:lvlJc w:val="left"/>
      <w:pPr>
        <w:ind w:left="2851" w:hanging="708"/>
        <w:tabs>
          <w:tab w:val="left" w:pos="3223" w:leader="none"/>
        </w:tabs>
      </w:pPr>
      <w:rPr>
        <w:rFonts w:hint="eastAsia" w:cs="Times New Roman"/>
      </w:rPr>
    </w:lvl>
    <w:lvl w:ilvl="4">
      <w:start w:val="1"/>
      <w:numFmt w:val="decimal"/>
      <w:isLgl w:val="false"/>
      <w:suff w:val="tab"/>
      <w:lvlText w:val="%1.%2.%3.%4.%5"/>
      <w:lvlJc w:val="left"/>
      <w:pPr>
        <w:ind w:left="3418" w:hanging="850"/>
        <w:tabs>
          <w:tab w:val="left" w:pos="3648" w:leader="none"/>
        </w:tabs>
      </w:pPr>
      <w:rPr>
        <w:rFonts w:hint="eastAsia" w:cs="Times New Roman"/>
      </w:rPr>
    </w:lvl>
    <w:lvl w:ilvl="5">
      <w:start w:val="1"/>
      <w:numFmt w:val="decimal"/>
      <w:isLgl w:val="false"/>
      <w:suff w:val="tab"/>
      <w:lvlText w:val="%1.%2.%3.%4.%5.%6"/>
      <w:lvlJc w:val="left"/>
      <w:pPr>
        <w:ind w:left="4127" w:hanging="1134"/>
        <w:tabs>
          <w:tab w:val="left" w:pos="4433" w:leader="none"/>
        </w:tabs>
      </w:pPr>
      <w:rPr>
        <w:rFonts w:hint="eastAsia" w:cs="Times New Roman"/>
      </w:rPr>
    </w:lvl>
    <w:lvl w:ilvl="6">
      <w:start w:val="1"/>
      <w:numFmt w:val="decimal"/>
      <w:isLgl w:val="false"/>
      <w:suff w:val="tab"/>
      <w:lvlText w:val="%1.%2.%3.%4.%5.%6.%7"/>
      <w:lvlJc w:val="left"/>
      <w:pPr>
        <w:ind w:left="4694" w:hanging="1276"/>
        <w:tabs>
          <w:tab w:val="left" w:pos="4858" w:leader="none"/>
        </w:tabs>
      </w:pPr>
      <w:rPr>
        <w:rFonts w:hint="eastAsia" w:cs="Times New Roman"/>
      </w:rPr>
    </w:lvl>
    <w:lvl w:ilvl="7">
      <w:start w:val="1"/>
      <w:numFmt w:val="decimal"/>
      <w:isLgl w:val="false"/>
      <w:suff w:val="tab"/>
      <w:lvlText w:val="%1.%2.%3.%4.%5.%6.%7.%8"/>
      <w:lvlJc w:val="left"/>
      <w:pPr>
        <w:ind w:left="5261" w:hanging="1418"/>
        <w:tabs>
          <w:tab w:val="left" w:pos="5643" w:leader="none"/>
        </w:tabs>
      </w:pPr>
      <w:rPr>
        <w:rFonts w:hint="eastAsia" w:cs="Times New Roman"/>
      </w:rPr>
    </w:lvl>
    <w:lvl w:ilvl="8">
      <w:start w:val="1"/>
      <w:numFmt w:val="decimal"/>
      <w:isLgl w:val="false"/>
      <w:suff w:val="tab"/>
      <w:lvlText w:val="%1.%2.%3.%4.%5.%6.%7.%8.%9"/>
      <w:lvlJc w:val="left"/>
      <w:pPr>
        <w:ind w:left="5969" w:hanging="1700"/>
        <w:tabs>
          <w:tab w:val="left" w:pos="6429" w:leader="none"/>
        </w:tabs>
      </w:pPr>
      <w:rPr>
        <w:rFonts w:hint="eastAsia" w:cs="Times New Roman"/>
      </w:rPr>
    </w:lvl>
  </w:abstractNum>
  <w:abstractNum w:abstractNumId="3">
    <w:multiLevelType w:val="hybridMultilevel"/>
    <w:lvl w:ilvl="0">
      <w:start w:val="1"/>
      <w:numFmt w:val="chineseCountingThousand"/>
      <w:pStyle w:val="858"/>
      <w:isLgl w:val="false"/>
      <w:suff w:val="nothing"/>
      <w:lvlText w:val="第%1章"/>
      <w:lvlJc w:val="left"/>
      <w:pPr>
        <w:ind w:left="0" w:firstLine="0"/>
      </w:pPr>
    </w:lvl>
    <w:lvl w:ilvl="1">
      <w:start w:val="1"/>
      <w:numFmt w:val="decimal"/>
      <w:pStyle w:val="859"/>
      <w:isLgl w:val="false"/>
      <w:suff w:val="nothing"/>
      <w:lvlText w:val=""/>
      <w:lvlJc w:val="left"/>
      <w:pPr>
        <w:ind w:left="0" w:firstLine="0"/>
      </w:pPr>
    </w:lvl>
    <w:lvl w:ilvl="2">
      <w:start w:val="1"/>
      <w:numFmt w:val="decimal"/>
      <w:pStyle w:val="860"/>
      <w:isLgl w:val="false"/>
      <w:suff w:val="nothing"/>
      <w:lvlText w:val=""/>
      <w:lvlJc w:val="left"/>
      <w:pPr>
        <w:ind w:left="0" w:firstLine="0"/>
      </w:pPr>
    </w:lvl>
    <w:lvl w:ilvl="3">
      <w:start w:val="1"/>
      <w:numFmt w:val="decimal"/>
      <w:pStyle w:val="861"/>
      <w:isLgl w:val="false"/>
      <w:suff w:val="nothing"/>
      <w:lvlText w:val=""/>
      <w:lvlJc w:val="left"/>
      <w:pPr>
        <w:ind w:left="0" w:firstLine="0"/>
      </w:pPr>
    </w:lvl>
    <w:lvl w:ilvl="4">
      <w:start w:val="1"/>
      <w:numFmt w:val="decimal"/>
      <w:pStyle w:val="883"/>
      <w:isLgl w:val="false"/>
      <w:suff w:val="nothing"/>
      <w:lvlText w:val=""/>
      <w:lvlJc w:val="left"/>
      <w:pPr>
        <w:ind w:left="0" w:firstLine="0"/>
      </w:pPr>
    </w:lvl>
    <w:lvl w:ilvl="5">
      <w:start w:val="1"/>
      <w:numFmt w:val="decimal"/>
      <w:pStyle w:val="885"/>
      <w:isLgl w:val="false"/>
      <w:suff w:val="nothing"/>
      <w:lvlText w:val=""/>
      <w:lvlJc w:val="left"/>
      <w:pPr>
        <w:ind w:left="0" w:firstLine="0"/>
      </w:pPr>
    </w:lvl>
    <w:lvl w:ilvl="6">
      <w:start w:val="1"/>
      <w:numFmt w:val="decimal"/>
      <w:pStyle w:val="886"/>
      <w:isLgl w:val="false"/>
      <w:suff w:val="nothing"/>
      <w:lvlText w:val=""/>
      <w:lvlJc w:val="left"/>
      <w:pPr>
        <w:ind w:left="0" w:firstLine="0"/>
      </w:pPr>
    </w:lvl>
    <w:lvl w:ilvl="7">
      <w:start w:val="1"/>
      <w:numFmt w:val="decimal"/>
      <w:pStyle w:val="887"/>
      <w:isLgl w:val="false"/>
      <w:suff w:val="nothing"/>
      <w:lvlText w:val=""/>
      <w:lvlJc w:val="left"/>
      <w:pPr>
        <w:ind w:left="0" w:firstLine="0"/>
      </w:pPr>
    </w:lvl>
    <w:lvl w:ilvl="8">
      <w:start w:val="1"/>
      <w:numFmt w:val="decimal"/>
      <w:pStyle w:val="888"/>
      <w:isLgl w:val="false"/>
      <w:suff w:val="nothing"/>
      <w:lvlText w:val=""/>
      <w:lvlJc w:val="left"/>
      <w:pPr>
        <w:ind w:left="0" w:firstLine="0"/>
      </w:pPr>
    </w:lvl>
  </w:abstractNum>
  <w:abstractNum w:abstractNumId="4">
    <w:multiLevelType w:val="hybridMultilevel"/>
    <w:lvl w:ilvl="0">
      <w:start w:val="1"/>
      <w:numFmt w:val="bullet"/>
      <w:pStyle w:val="979"/>
      <w:isLgl w:val="false"/>
      <w:suff w:val="tab"/>
      <w:lvlText w:val=""/>
      <w:lvlJc w:val="left"/>
      <w:pPr>
        <w:ind w:left="420" w:hanging="420"/>
        <w:tabs>
          <w:tab w:val="left" w:pos="420" w:leader="none"/>
        </w:tabs>
      </w:pPr>
      <w:rPr>
        <w:rFonts w:ascii="Wingdings" w:hAnsi="Wingdings"/>
      </w:rPr>
    </w:lvl>
    <w:lvl w:ilvl="1">
      <w:start w:val="1"/>
      <w:numFmt w:val="decimal"/>
      <w:isLgl w:val="false"/>
      <w:suff w:val="tab"/>
      <w:lvlText w:val="（%2）"/>
      <w:lvlJc w:val="left"/>
      <w:pPr>
        <w:ind w:left="1500" w:hanging="1080"/>
        <w:tabs>
          <w:tab w:val="left" w:pos="1500" w:leader="none"/>
        </w:tabs>
      </w:pPr>
      <w:rPr>
        <w:rFonts w:hint="eastAsia" w:cs="Times New Roman"/>
      </w:rPr>
    </w:lvl>
    <w:lvl w:ilvl="2">
      <w:start w:val="1"/>
      <w:numFmt w:val="decimal"/>
      <w:isLgl w:val="false"/>
      <w:suff w:val="tab"/>
      <w:lvlText w:val="（%3）"/>
      <w:lvlJc w:val="left"/>
      <w:pPr>
        <w:ind w:left="1560" w:hanging="720"/>
        <w:tabs>
          <w:tab w:val="left" w:pos="1560" w:leader="none"/>
        </w:tabs>
      </w:pPr>
      <w:rPr>
        <w:rFonts w:hint="eastAsia"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5">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4"/>
  </w:num>
  <w:num w:numId="4">
    <w:abstractNumId w:val="1"/>
  </w:num>
  <w:num w:numId="5">
    <w:abstractNumId w:val="0"/>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mirrorMargins w:val="true"/>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75"/>
    <w:link w:val="666"/>
    <w:uiPriority w:val="9"/>
    <w:rPr>
      <w:rFonts w:ascii="Arial" w:hAnsi="Arial" w:eastAsia="Arial" w:cs="Arial"/>
      <w:sz w:val="40"/>
      <w:szCs w:val="40"/>
    </w:rPr>
  </w:style>
  <w:style w:type="character" w:styleId="15">
    <w:name w:val="Heading 2 Char"/>
    <w:basedOn w:val="675"/>
    <w:link w:val="667"/>
    <w:uiPriority w:val="9"/>
    <w:rPr>
      <w:rFonts w:ascii="Arial" w:hAnsi="Arial" w:eastAsia="Arial" w:cs="Arial"/>
      <w:sz w:val="34"/>
    </w:rPr>
  </w:style>
  <w:style w:type="character" w:styleId="17">
    <w:name w:val="Heading 3 Char"/>
    <w:basedOn w:val="675"/>
    <w:link w:val="668"/>
    <w:uiPriority w:val="9"/>
    <w:rPr>
      <w:rFonts w:ascii="Arial" w:hAnsi="Arial" w:eastAsia="Arial" w:cs="Arial"/>
      <w:sz w:val="30"/>
      <w:szCs w:val="30"/>
    </w:rPr>
  </w:style>
  <w:style w:type="character" w:styleId="19">
    <w:name w:val="Heading 4 Char"/>
    <w:basedOn w:val="675"/>
    <w:link w:val="669"/>
    <w:uiPriority w:val="9"/>
    <w:rPr>
      <w:rFonts w:ascii="Arial" w:hAnsi="Arial" w:eastAsia="Arial" w:cs="Arial"/>
      <w:b/>
      <w:bCs/>
      <w:sz w:val="26"/>
      <w:szCs w:val="26"/>
    </w:rPr>
  </w:style>
  <w:style w:type="character" w:styleId="21">
    <w:name w:val="Heading 5 Char"/>
    <w:basedOn w:val="675"/>
    <w:link w:val="670"/>
    <w:uiPriority w:val="9"/>
    <w:rPr>
      <w:rFonts w:ascii="Arial" w:hAnsi="Arial" w:eastAsia="Arial" w:cs="Arial"/>
      <w:b/>
      <w:bCs/>
      <w:sz w:val="24"/>
      <w:szCs w:val="24"/>
    </w:rPr>
  </w:style>
  <w:style w:type="character" w:styleId="23">
    <w:name w:val="Heading 6 Char"/>
    <w:basedOn w:val="675"/>
    <w:link w:val="671"/>
    <w:uiPriority w:val="9"/>
    <w:rPr>
      <w:rFonts w:ascii="Arial" w:hAnsi="Arial" w:eastAsia="Arial" w:cs="Arial"/>
      <w:b/>
      <w:bCs/>
      <w:sz w:val="22"/>
      <w:szCs w:val="22"/>
    </w:rPr>
  </w:style>
  <w:style w:type="character" w:styleId="25">
    <w:name w:val="Heading 7 Char"/>
    <w:basedOn w:val="675"/>
    <w:link w:val="672"/>
    <w:uiPriority w:val="9"/>
    <w:rPr>
      <w:rFonts w:ascii="Arial" w:hAnsi="Arial" w:eastAsia="Arial" w:cs="Arial"/>
      <w:b/>
      <w:bCs/>
      <w:i/>
      <w:iCs/>
      <w:sz w:val="22"/>
      <w:szCs w:val="22"/>
    </w:rPr>
  </w:style>
  <w:style w:type="character" w:styleId="27">
    <w:name w:val="Heading 8 Char"/>
    <w:basedOn w:val="675"/>
    <w:link w:val="673"/>
    <w:uiPriority w:val="9"/>
    <w:rPr>
      <w:rFonts w:ascii="Arial" w:hAnsi="Arial" w:eastAsia="Arial" w:cs="Arial"/>
      <w:i/>
      <w:iCs/>
      <w:sz w:val="22"/>
      <w:szCs w:val="22"/>
    </w:rPr>
  </w:style>
  <w:style w:type="character" w:styleId="29">
    <w:name w:val="Heading 9 Char"/>
    <w:basedOn w:val="675"/>
    <w:link w:val="674"/>
    <w:uiPriority w:val="9"/>
    <w:rPr>
      <w:rFonts w:ascii="Arial" w:hAnsi="Arial" w:eastAsia="Arial" w:cs="Arial"/>
      <w:i/>
      <w:iCs/>
      <w:sz w:val="21"/>
      <w:szCs w:val="21"/>
    </w:rPr>
  </w:style>
  <w:style w:type="character" w:styleId="34">
    <w:name w:val="Title Char"/>
    <w:basedOn w:val="675"/>
    <w:link w:val="699"/>
    <w:uiPriority w:val="10"/>
    <w:rPr>
      <w:sz w:val="48"/>
      <w:szCs w:val="48"/>
    </w:rPr>
  </w:style>
  <w:style w:type="character" w:styleId="36">
    <w:name w:val="Subtitle Char"/>
    <w:basedOn w:val="675"/>
    <w:link w:val="692"/>
    <w:uiPriority w:val="11"/>
    <w:rPr>
      <w:sz w:val="24"/>
      <w:szCs w:val="24"/>
    </w:rPr>
  </w:style>
  <w:style w:type="character" w:styleId="38">
    <w:name w:val="Quote Char"/>
    <w:link w:val="723"/>
    <w:uiPriority w:val="29"/>
    <w:rPr>
      <w:i/>
    </w:rPr>
  </w:style>
  <w:style w:type="character" w:styleId="40">
    <w:name w:val="Intense Quote Char"/>
    <w:link w:val="725"/>
    <w:uiPriority w:val="30"/>
    <w:rPr>
      <w:i/>
    </w:rPr>
  </w:style>
  <w:style w:type="character" w:styleId="42">
    <w:name w:val="Header Char"/>
    <w:basedOn w:val="675"/>
    <w:link w:val="689"/>
    <w:uiPriority w:val="99"/>
  </w:style>
  <w:style w:type="character" w:styleId="46">
    <w:name w:val="Caption Char"/>
    <w:basedOn w:val="679"/>
    <w:link w:val="688"/>
    <w:uiPriority w:val="99"/>
  </w:style>
  <w:style w:type="table" w:styleId="49">
    <w:name w:val="Plain Table 1"/>
    <w:basedOn w:val="67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7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7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7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7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7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67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67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7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67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67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67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67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67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67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67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67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7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67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693"/>
    <w:uiPriority w:val="99"/>
    <w:rPr>
      <w:sz w:val="18"/>
    </w:rPr>
  </w:style>
  <w:style w:type="character" w:styleId="178">
    <w:name w:val="Endnote Text Char"/>
    <w:link w:val="686"/>
    <w:uiPriority w:val="99"/>
    <w:rPr>
      <w:sz w:val="20"/>
    </w:rPr>
  </w:style>
  <w:style w:type="paragraph" w:styleId="189">
    <w:name w:val="TOC Heading"/>
    <w:uiPriority w:val="39"/>
    <w:unhideWhenUsed/>
  </w:style>
  <w:style w:type="paragraph" w:styleId="665" w:default="1">
    <w:name w:val="Normal"/>
    <w:uiPriority w:val="0"/>
    <w:qFormat/>
    <w:pPr>
      <w:jc w:val="both"/>
      <w:widowControl w:val="off"/>
    </w:pPr>
    <w:rPr>
      <w:rFonts w:ascii="Times New Roman" w:hAnsi="Times New Roman" w:eastAsia="宋体" w:cs="Times New Roman"/>
      <w:sz w:val="21"/>
      <w:lang w:val="en-US" w:eastAsia="zh-CN" w:bidi="ar-SA"/>
    </w:rPr>
  </w:style>
  <w:style w:type="paragraph" w:styleId="666">
    <w:name w:val="Heading 1"/>
    <w:basedOn w:val="665"/>
    <w:next w:val="665"/>
    <w:link w:val="711"/>
    <w:uiPriority w:val="9"/>
    <w:qFormat/>
    <w:pPr>
      <w:keepLines/>
      <w:keepNext/>
      <w:spacing w:before="480" w:after="200"/>
      <w:outlineLvl w:val="0"/>
    </w:pPr>
    <w:rPr>
      <w:rFonts w:ascii="Arial" w:hAnsi="Arial" w:eastAsia="Arial" w:cs="Arial"/>
      <w:sz w:val="40"/>
      <w:szCs w:val="40"/>
    </w:rPr>
  </w:style>
  <w:style w:type="paragraph" w:styleId="667">
    <w:name w:val="Heading 2"/>
    <w:basedOn w:val="665"/>
    <w:next w:val="665"/>
    <w:link w:val="712"/>
    <w:uiPriority w:val="9"/>
    <w:unhideWhenUsed/>
    <w:qFormat/>
    <w:pPr>
      <w:keepLines/>
      <w:keepNext/>
      <w:spacing w:before="360" w:after="200"/>
      <w:outlineLvl w:val="1"/>
    </w:pPr>
    <w:rPr>
      <w:rFonts w:ascii="Arial" w:hAnsi="Arial" w:eastAsia="Arial" w:cs="Arial"/>
      <w:sz w:val="34"/>
    </w:rPr>
  </w:style>
  <w:style w:type="paragraph" w:styleId="668">
    <w:name w:val="Heading 3"/>
    <w:basedOn w:val="665"/>
    <w:next w:val="665"/>
    <w:link w:val="713"/>
    <w:uiPriority w:val="9"/>
    <w:unhideWhenUsed/>
    <w:qFormat/>
    <w:pPr>
      <w:keepLines/>
      <w:keepNext/>
      <w:spacing w:before="320" w:after="200"/>
      <w:outlineLvl w:val="2"/>
    </w:pPr>
    <w:rPr>
      <w:rFonts w:ascii="Arial" w:hAnsi="Arial" w:eastAsia="Arial" w:cs="Arial"/>
      <w:sz w:val="30"/>
      <w:szCs w:val="30"/>
    </w:rPr>
  </w:style>
  <w:style w:type="paragraph" w:styleId="669">
    <w:name w:val="Heading 4"/>
    <w:basedOn w:val="665"/>
    <w:next w:val="665"/>
    <w:link w:val="714"/>
    <w:uiPriority w:val="9"/>
    <w:unhideWhenUsed/>
    <w:qFormat/>
    <w:pPr>
      <w:keepLines/>
      <w:keepNext/>
      <w:spacing w:before="320" w:after="200"/>
      <w:outlineLvl w:val="3"/>
    </w:pPr>
    <w:rPr>
      <w:rFonts w:ascii="Arial" w:hAnsi="Arial" w:eastAsia="Arial" w:cs="Arial"/>
      <w:b/>
      <w:bCs/>
      <w:sz w:val="26"/>
      <w:szCs w:val="26"/>
    </w:rPr>
  </w:style>
  <w:style w:type="paragraph" w:styleId="670">
    <w:name w:val="Heading 5"/>
    <w:basedOn w:val="665"/>
    <w:next w:val="677"/>
    <w:link w:val="715"/>
    <w:uiPriority w:val="9"/>
    <w:unhideWhenUsed/>
    <w:qFormat/>
    <w:pPr>
      <w:keepLines/>
      <w:keepNext/>
      <w:spacing w:before="320" w:after="200"/>
      <w:outlineLvl w:val="4"/>
    </w:pPr>
    <w:rPr>
      <w:rFonts w:ascii="Arial" w:hAnsi="Arial" w:eastAsia="Arial" w:cs="Arial"/>
      <w:b/>
      <w:bCs/>
      <w:sz w:val="24"/>
      <w:szCs w:val="24"/>
    </w:rPr>
  </w:style>
  <w:style w:type="paragraph" w:styleId="671">
    <w:name w:val="Heading 6"/>
    <w:basedOn w:val="665"/>
    <w:next w:val="665"/>
    <w:link w:val="716"/>
    <w:uiPriority w:val="9"/>
    <w:unhideWhenUsed/>
    <w:qFormat/>
    <w:pPr>
      <w:keepLines/>
      <w:keepNext/>
      <w:spacing w:before="320" w:after="200"/>
      <w:outlineLvl w:val="5"/>
    </w:pPr>
    <w:rPr>
      <w:rFonts w:ascii="Arial" w:hAnsi="Arial" w:eastAsia="Arial" w:cs="Arial"/>
      <w:b/>
      <w:bCs/>
      <w:sz w:val="22"/>
      <w:szCs w:val="22"/>
    </w:rPr>
  </w:style>
  <w:style w:type="paragraph" w:styleId="672">
    <w:name w:val="Heading 7"/>
    <w:basedOn w:val="665"/>
    <w:next w:val="665"/>
    <w:link w:val="717"/>
    <w:uiPriority w:val="9"/>
    <w:unhideWhenUsed/>
    <w:qFormat/>
    <w:pPr>
      <w:keepLines/>
      <w:keepNext/>
      <w:spacing w:before="320" w:after="200"/>
      <w:outlineLvl w:val="6"/>
    </w:pPr>
    <w:rPr>
      <w:rFonts w:ascii="Arial" w:hAnsi="Arial" w:eastAsia="Arial" w:cs="Arial"/>
      <w:b/>
      <w:bCs/>
      <w:i/>
      <w:iCs/>
      <w:sz w:val="22"/>
      <w:szCs w:val="22"/>
    </w:rPr>
  </w:style>
  <w:style w:type="paragraph" w:styleId="673">
    <w:name w:val="Heading 8"/>
    <w:basedOn w:val="665"/>
    <w:next w:val="665"/>
    <w:link w:val="718"/>
    <w:uiPriority w:val="9"/>
    <w:unhideWhenUsed/>
    <w:qFormat/>
    <w:pPr>
      <w:keepLines/>
      <w:keepNext/>
      <w:spacing w:before="320" w:after="200"/>
      <w:outlineLvl w:val="7"/>
    </w:pPr>
    <w:rPr>
      <w:rFonts w:ascii="Arial" w:hAnsi="Arial" w:eastAsia="Arial" w:cs="Arial"/>
      <w:i/>
      <w:iCs/>
      <w:sz w:val="22"/>
      <w:szCs w:val="22"/>
    </w:rPr>
  </w:style>
  <w:style w:type="paragraph" w:styleId="674">
    <w:name w:val="Heading 9"/>
    <w:basedOn w:val="665"/>
    <w:next w:val="665"/>
    <w:link w:val="719"/>
    <w:uiPriority w:val="9"/>
    <w:unhideWhenUsed/>
    <w:qFormat/>
    <w:pPr>
      <w:keepLines/>
      <w:keepNext/>
      <w:spacing w:before="320" w:after="200"/>
      <w:outlineLvl w:val="8"/>
    </w:pPr>
    <w:rPr>
      <w:rFonts w:ascii="Arial" w:hAnsi="Arial" w:eastAsia="Arial" w:cs="Arial"/>
      <w:i/>
      <w:iCs/>
      <w:szCs w:val="21"/>
    </w:rPr>
  </w:style>
  <w:style w:type="character" w:styleId="675" w:default="1">
    <w:name w:val="Default Paragraph Font"/>
    <w:uiPriority w:val="1"/>
    <w:semiHidden/>
    <w:unhideWhenUsed/>
    <w:qFormat/>
  </w:style>
  <w:style w:type="table" w:styleId="676" w:default="1">
    <w:name w:val="Normal Table"/>
    <w:uiPriority w:val="99"/>
    <w:semiHidden/>
    <w:unhideWhenUsed/>
    <w:tblPr>
      <w:tblCellMar>
        <w:left w:w="108" w:type="dxa"/>
        <w:top w:w="0" w:type="dxa"/>
        <w:right w:w="108" w:type="dxa"/>
        <w:bottom w:w="0" w:type="dxa"/>
      </w:tblCellMar>
    </w:tblPr>
  </w:style>
  <w:style w:type="paragraph" w:styleId="677">
    <w:name w:val="Body Text"/>
    <w:basedOn w:val="665"/>
    <w:next w:val="665"/>
    <w:uiPriority w:val="1"/>
    <w:qFormat/>
    <w:rPr>
      <w:rFonts w:ascii="楷体_GB2312" w:hAnsi="Calibri" w:eastAsia="楷体_GB2312"/>
      <w:sz w:val="28"/>
      <w:szCs w:val="28"/>
    </w:rPr>
  </w:style>
  <w:style w:type="paragraph" w:styleId="678">
    <w:name w:val="toc 7"/>
    <w:basedOn w:val="665"/>
    <w:next w:val="665"/>
    <w:uiPriority w:val="39"/>
    <w:unhideWhenUsed/>
    <w:qFormat/>
    <w:pPr>
      <w:ind w:left="1701"/>
      <w:spacing w:after="57"/>
    </w:pPr>
  </w:style>
  <w:style w:type="paragraph" w:styleId="679">
    <w:name w:val="Caption"/>
    <w:basedOn w:val="665"/>
    <w:next w:val="665"/>
    <w:uiPriority w:val="35"/>
    <w:semiHidden/>
    <w:unhideWhenUsed/>
    <w:qFormat/>
    <w:pPr>
      <w:spacing w:line="276" w:lineRule="auto"/>
    </w:pPr>
    <w:rPr>
      <w:b/>
      <w:bCs/>
      <w:color w:val="4f81bd"/>
      <w:sz w:val="18"/>
      <w:szCs w:val="18"/>
    </w:rPr>
  </w:style>
  <w:style w:type="paragraph" w:styleId="680">
    <w:name w:val="annotation text"/>
    <w:basedOn w:val="665"/>
    <w:link w:val="1037"/>
    <w:uiPriority w:val="99"/>
    <w:semiHidden/>
    <w:unhideWhenUsed/>
    <w:qFormat/>
    <w:pPr>
      <w:jc w:val="left"/>
    </w:pPr>
  </w:style>
  <w:style w:type="paragraph" w:styleId="681">
    <w:name w:val="Body Text Indent"/>
    <w:basedOn w:val="665"/>
    <w:uiPriority w:val="0"/>
    <w:qFormat/>
    <w:rPr>
      <w:rFonts w:ascii="楷体_GB2312" w:eastAsia="楷体_GB2312"/>
      <w:sz w:val="32"/>
      <w:szCs w:val="32"/>
    </w:rPr>
  </w:style>
  <w:style w:type="paragraph" w:styleId="682">
    <w:name w:val="index 4"/>
    <w:basedOn w:val="665"/>
    <w:next w:val="665"/>
    <w:uiPriority w:val="0"/>
    <w:unhideWhenUsed/>
    <w:qFormat/>
    <w:pPr>
      <w:ind w:left="600"/>
    </w:pPr>
    <w:rPr>
      <w:szCs w:val="24"/>
    </w:rPr>
  </w:style>
  <w:style w:type="paragraph" w:styleId="683">
    <w:name w:val="toc 5"/>
    <w:basedOn w:val="665"/>
    <w:next w:val="665"/>
    <w:uiPriority w:val="39"/>
    <w:unhideWhenUsed/>
    <w:qFormat/>
    <w:pPr>
      <w:ind w:left="1134"/>
      <w:spacing w:after="57"/>
    </w:pPr>
  </w:style>
  <w:style w:type="paragraph" w:styleId="684">
    <w:name w:val="toc 3"/>
    <w:basedOn w:val="665"/>
    <w:next w:val="665"/>
    <w:uiPriority w:val="39"/>
    <w:unhideWhenUsed/>
    <w:qFormat/>
    <w:pPr>
      <w:ind w:left="567"/>
      <w:spacing w:after="57"/>
    </w:pPr>
  </w:style>
  <w:style w:type="paragraph" w:styleId="685">
    <w:name w:val="toc 8"/>
    <w:basedOn w:val="665"/>
    <w:next w:val="665"/>
    <w:uiPriority w:val="39"/>
    <w:unhideWhenUsed/>
    <w:qFormat/>
    <w:pPr>
      <w:ind w:left="1984"/>
      <w:spacing w:after="57"/>
    </w:pPr>
  </w:style>
  <w:style w:type="paragraph" w:styleId="686">
    <w:name w:val="endnote text"/>
    <w:basedOn w:val="665"/>
    <w:link w:val="856"/>
    <w:uiPriority w:val="99"/>
    <w:semiHidden/>
    <w:unhideWhenUsed/>
    <w:qFormat/>
    <w:rPr>
      <w:sz w:val="20"/>
    </w:rPr>
  </w:style>
  <w:style w:type="paragraph" w:styleId="687">
    <w:name w:val="Balloon Text"/>
    <w:basedOn w:val="665"/>
    <w:link w:val="1039"/>
    <w:uiPriority w:val="99"/>
    <w:semiHidden/>
    <w:unhideWhenUsed/>
    <w:qFormat/>
    <w:rPr>
      <w:sz w:val="18"/>
      <w:szCs w:val="18"/>
    </w:rPr>
  </w:style>
  <w:style w:type="paragraph" w:styleId="688">
    <w:name w:val="Footer"/>
    <w:basedOn w:val="665"/>
    <w:link w:val="729"/>
    <w:uiPriority w:val="99"/>
    <w:unhideWhenUsed/>
    <w:qFormat/>
    <w:pPr>
      <w:tabs>
        <w:tab w:val="center" w:pos="7143" w:leader="none"/>
        <w:tab w:val="right" w:pos="14287" w:leader="none"/>
      </w:tabs>
    </w:pPr>
  </w:style>
  <w:style w:type="paragraph" w:styleId="689">
    <w:name w:val="Header"/>
    <w:basedOn w:val="665"/>
    <w:link w:val="727"/>
    <w:uiPriority w:val="99"/>
    <w:unhideWhenUsed/>
    <w:qFormat/>
    <w:pPr>
      <w:tabs>
        <w:tab w:val="center" w:pos="7143" w:leader="none"/>
        <w:tab w:val="right" w:pos="14287" w:leader="none"/>
      </w:tabs>
    </w:pPr>
  </w:style>
  <w:style w:type="paragraph" w:styleId="690">
    <w:name w:val="toc 1"/>
    <w:basedOn w:val="665"/>
    <w:next w:val="665"/>
    <w:uiPriority w:val="39"/>
    <w:unhideWhenUsed/>
    <w:qFormat/>
    <w:pPr>
      <w:spacing w:after="57"/>
    </w:pPr>
  </w:style>
  <w:style w:type="paragraph" w:styleId="691">
    <w:name w:val="toc 4"/>
    <w:basedOn w:val="665"/>
    <w:next w:val="665"/>
    <w:uiPriority w:val="39"/>
    <w:unhideWhenUsed/>
    <w:qFormat/>
    <w:pPr>
      <w:ind w:left="850"/>
      <w:spacing w:after="57"/>
    </w:pPr>
  </w:style>
  <w:style w:type="paragraph" w:styleId="692">
    <w:name w:val="Subtitle"/>
    <w:basedOn w:val="665"/>
    <w:next w:val="665"/>
    <w:link w:val="722"/>
    <w:uiPriority w:val="11"/>
    <w:qFormat/>
    <w:pPr>
      <w:spacing w:before="200" w:after="200"/>
    </w:pPr>
    <w:rPr>
      <w:sz w:val="24"/>
      <w:szCs w:val="24"/>
    </w:rPr>
  </w:style>
  <w:style w:type="paragraph" w:styleId="693">
    <w:name w:val="footnote text"/>
    <w:basedOn w:val="665"/>
    <w:link w:val="855"/>
    <w:uiPriority w:val="99"/>
    <w:semiHidden/>
    <w:unhideWhenUsed/>
    <w:qFormat/>
    <w:pPr>
      <w:spacing w:after="40"/>
    </w:pPr>
    <w:rPr>
      <w:sz w:val="18"/>
    </w:rPr>
  </w:style>
  <w:style w:type="paragraph" w:styleId="694">
    <w:name w:val="toc 6"/>
    <w:basedOn w:val="665"/>
    <w:next w:val="665"/>
    <w:uiPriority w:val="39"/>
    <w:unhideWhenUsed/>
    <w:qFormat/>
    <w:pPr>
      <w:ind w:left="1417"/>
      <w:spacing w:after="57"/>
    </w:pPr>
  </w:style>
  <w:style w:type="paragraph" w:styleId="695">
    <w:name w:val="table of figures"/>
    <w:basedOn w:val="665"/>
    <w:next w:val="665"/>
    <w:uiPriority w:val="99"/>
    <w:unhideWhenUsed/>
    <w:qFormat/>
  </w:style>
  <w:style w:type="paragraph" w:styleId="696">
    <w:name w:val="toc 2"/>
    <w:basedOn w:val="665"/>
    <w:next w:val="665"/>
    <w:uiPriority w:val="39"/>
    <w:unhideWhenUsed/>
    <w:qFormat/>
    <w:pPr>
      <w:ind w:left="283"/>
      <w:spacing w:after="57"/>
    </w:pPr>
  </w:style>
  <w:style w:type="paragraph" w:styleId="697">
    <w:name w:val="toc 9"/>
    <w:basedOn w:val="665"/>
    <w:next w:val="665"/>
    <w:uiPriority w:val="39"/>
    <w:unhideWhenUsed/>
    <w:qFormat/>
    <w:pPr>
      <w:ind w:left="2268"/>
      <w:spacing w:after="57"/>
    </w:pPr>
  </w:style>
  <w:style w:type="paragraph" w:styleId="698">
    <w:name w:val="Normal (Web)"/>
    <w:basedOn w:val="665"/>
    <w:uiPriority w:val="0"/>
    <w:qFormat/>
    <w:pPr>
      <w:jc w:val="left"/>
      <w:spacing w:before="100" w:beforeAutospacing="1" w:after="100" w:afterAutospacing="1"/>
      <w:widowControl/>
    </w:pPr>
    <w:rPr>
      <w:rFonts w:ascii="宋体" w:hAnsi="宋体" w:cs="宋体"/>
      <w:sz w:val="24"/>
    </w:rPr>
  </w:style>
  <w:style w:type="paragraph" w:styleId="699">
    <w:name w:val="Title"/>
    <w:basedOn w:val="665"/>
    <w:next w:val="665"/>
    <w:link w:val="721"/>
    <w:uiPriority w:val="10"/>
    <w:qFormat/>
    <w:pPr>
      <w:contextualSpacing/>
      <w:spacing w:before="300" w:after="200"/>
    </w:pPr>
    <w:rPr>
      <w:sz w:val="48"/>
      <w:szCs w:val="48"/>
    </w:rPr>
  </w:style>
  <w:style w:type="paragraph" w:styleId="700">
    <w:name w:val="annotation subject"/>
    <w:basedOn w:val="680"/>
    <w:next w:val="680"/>
    <w:link w:val="1038"/>
    <w:uiPriority w:val="99"/>
    <w:semiHidden/>
    <w:unhideWhenUsed/>
    <w:qFormat/>
    <w:rPr>
      <w:b/>
      <w:bCs/>
    </w:rPr>
  </w:style>
  <w:style w:type="paragraph" w:styleId="701">
    <w:name w:val="Body Text First Indent"/>
    <w:basedOn w:val="677"/>
    <w:uiPriority w:val="0"/>
    <w:qFormat/>
    <w:pPr>
      <w:ind w:firstLine="420"/>
    </w:pPr>
  </w:style>
  <w:style w:type="paragraph" w:styleId="702">
    <w:name w:val="Body Text First Indent 2"/>
    <w:basedOn w:val="681"/>
    <w:next w:val="665"/>
    <w:uiPriority w:val="99"/>
    <w:qFormat/>
    <w:pPr>
      <w:ind w:left="200"/>
      <w:spacing w:after="120"/>
    </w:pPr>
    <w:rPr>
      <w:rFonts w:ascii="Times New Roman"/>
      <w:sz w:val="21"/>
      <w:szCs w:val="22"/>
      <w:lang w:val="en-GB"/>
    </w:rPr>
  </w:style>
  <w:style w:type="table" w:styleId="703">
    <w:name w:val="Table Grid"/>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04">
    <w:name w:val="Strong"/>
    <w:basedOn w:val="675"/>
    <w:uiPriority w:val="22"/>
    <w:qFormat/>
    <w:rPr>
      <w:b/>
    </w:rPr>
  </w:style>
  <w:style w:type="character" w:styleId="705">
    <w:name w:val="endnote reference"/>
    <w:uiPriority w:val="99"/>
    <w:semiHidden/>
    <w:unhideWhenUsed/>
    <w:qFormat/>
    <w:rPr>
      <w:vertAlign w:val="superscript"/>
    </w:rPr>
  </w:style>
  <w:style w:type="character" w:styleId="706">
    <w:name w:val="Hyperlink"/>
    <w:uiPriority w:val="99"/>
    <w:unhideWhenUsed/>
    <w:qFormat/>
    <w:rPr>
      <w:color w:val="0000ff"/>
      <w:u w:val="single"/>
    </w:rPr>
  </w:style>
  <w:style w:type="character" w:styleId="707">
    <w:name w:val="annotation reference"/>
    <w:uiPriority w:val="99"/>
    <w:semiHidden/>
    <w:unhideWhenUsed/>
    <w:qFormat/>
    <w:rPr>
      <w:sz w:val="21"/>
      <w:szCs w:val="21"/>
    </w:rPr>
  </w:style>
  <w:style w:type="character" w:styleId="708">
    <w:name w:val="footnote reference"/>
    <w:uiPriority w:val="99"/>
    <w:unhideWhenUsed/>
    <w:qFormat/>
    <w:rPr>
      <w:vertAlign w:val="superscript"/>
    </w:rPr>
  </w:style>
  <w:style w:type="paragraph" w:styleId="709" w:customStyle="1">
    <w:name w:val="D标题5"/>
    <w:basedOn w:val="670"/>
    <w:next w:val="710"/>
    <w:uiPriority w:val="0"/>
    <w:qFormat/>
    <w:pPr>
      <w:spacing w:beforeAutospacing="1" w:afterAutospacing="1"/>
      <w:tabs>
        <w:tab w:val="left" w:pos="425" w:leader="none"/>
        <w:tab w:val="left" w:pos="560" w:leader="none"/>
        <w:tab w:val="left" w:pos="851" w:leader="none"/>
      </w:tabs>
    </w:pPr>
    <w:rPr>
      <w:rFonts w:eastAsia="宋体"/>
      <w:sz w:val="21"/>
      <w:szCs w:val="20"/>
    </w:rPr>
  </w:style>
  <w:style w:type="paragraph" w:styleId="710" w:customStyle="1">
    <w:name w:val="D正文"/>
    <w:basedOn w:val="702"/>
    <w:uiPriority w:val="0"/>
    <w:qFormat/>
    <w:pPr>
      <w:ind w:firstLine="496"/>
    </w:pPr>
    <w:rPr>
      <w:rFonts w:ascii="宋体" w:hAnsi="宋体" w:eastAsia="等线" w:cs="宋体"/>
      <w:szCs w:val="24"/>
      <w:lang w:val="zh-CN"/>
    </w:rPr>
  </w:style>
  <w:style w:type="character" w:styleId="711" w:customStyle="1">
    <w:name w:val="标题 1 Char1"/>
    <w:link w:val="666"/>
    <w:uiPriority w:val="9"/>
    <w:qFormat/>
    <w:rPr>
      <w:rFonts w:ascii="Arial" w:hAnsi="Arial" w:eastAsia="Arial" w:cs="Arial"/>
      <w:sz w:val="40"/>
      <w:szCs w:val="40"/>
    </w:rPr>
  </w:style>
  <w:style w:type="character" w:styleId="712" w:customStyle="1">
    <w:name w:val="标题 2 Char1"/>
    <w:link w:val="667"/>
    <w:uiPriority w:val="9"/>
    <w:qFormat/>
    <w:rPr>
      <w:rFonts w:ascii="Arial" w:hAnsi="Arial" w:eastAsia="Arial" w:cs="Arial"/>
      <w:sz w:val="34"/>
    </w:rPr>
  </w:style>
  <w:style w:type="character" w:styleId="713" w:customStyle="1">
    <w:name w:val="标题 3 Char2"/>
    <w:link w:val="668"/>
    <w:uiPriority w:val="9"/>
    <w:qFormat/>
    <w:rPr>
      <w:rFonts w:ascii="Arial" w:hAnsi="Arial" w:eastAsia="Arial" w:cs="Arial"/>
      <w:sz w:val="30"/>
      <w:szCs w:val="30"/>
    </w:rPr>
  </w:style>
  <w:style w:type="character" w:styleId="714" w:customStyle="1">
    <w:name w:val="标题 4 Char1"/>
    <w:link w:val="669"/>
    <w:uiPriority w:val="9"/>
    <w:qFormat/>
    <w:rPr>
      <w:rFonts w:ascii="Arial" w:hAnsi="Arial" w:eastAsia="Arial" w:cs="Arial"/>
      <w:b/>
      <w:bCs/>
      <w:sz w:val="26"/>
      <w:szCs w:val="26"/>
    </w:rPr>
  </w:style>
  <w:style w:type="character" w:styleId="715" w:customStyle="1">
    <w:name w:val="标题 5 Char1"/>
    <w:link w:val="670"/>
    <w:uiPriority w:val="9"/>
    <w:qFormat/>
    <w:rPr>
      <w:rFonts w:ascii="Arial" w:hAnsi="Arial" w:eastAsia="Arial" w:cs="Arial"/>
      <w:b/>
      <w:bCs/>
      <w:sz w:val="24"/>
      <w:szCs w:val="24"/>
    </w:rPr>
  </w:style>
  <w:style w:type="character" w:styleId="716" w:customStyle="1">
    <w:name w:val="标题 6 Char1"/>
    <w:link w:val="671"/>
    <w:uiPriority w:val="9"/>
    <w:qFormat/>
    <w:rPr>
      <w:rFonts w:ascii="Arial" w:hAnsi="Arial" w:eastAsia="Arial" w:cs="Arial"/>
      <w:b/>
      <w:bCs/>
      <w:sz w:val="22"/>
      <w:szCs w:val="22"/>
    </w:rPr>
  </w:style>
  <w:style w:type="character" w:styleId="717" w:customStyle="1">
    <w:name w:val="标题 7 Char1"/>
    <w:link w:val="672"/>
    <w:uiPriority w:val="9"/>
    <w:qFormat/>
    <w:rPr>
      <w:rFonts w:ascii="Arial" w:hAnsi="Arial" w:eastAsia="Arial" w:cs="Arial"/>
      <w:b/>
      <w:bCs/>
      <w:i/>
      <w:iCs/>
      <w:sz w:val="22"/>
      <w:szCs w:val="22"/>
    </w:rPr>
  </w:style>
  <w:style w:type="character" w:styleId="718" w:customStyle="1">
    <w:name w:val="标题 8 Char1"/>
    <w:link w:val="673"/>
    <w:uiPriority w:val="9"/>
    <w:qFormat/>
    <w:rPr>
      <w:rFonts w:ascii="Arial" w:hAnsi="Arial" w:eastAsia="Arial" w:cs="Arial"/>
      <w:i/>
      <w:iCs/>
      <w:sz w:val="22"/>
      <w:szCs w:val="22"/>
    </w:rPr>
  </w:style>
  <w:style w:type="character" w:styleId="719" w:customStyle="1">
    <w:name w:val="标题 9 Char1"/>
    <w:link w:val="674"/>
    <w:uiPriority w:val="9"/>
    <w:qFormat/>
    <w:rPr>
      <w:rFonts w:ascii="Arial" w:hAnsi="Arial" w:eastAsia="Arial" w:cs="Arial"/>
      <w:i/>
      <w:iCs/>
      <w:sz w:val="21"/>
      <w:szCs w:val="21"/>
    </w:rPr>
  </w:style>
  <w:style w:type="paragraph" w:styleId="720">
    <w:name w:val="No Spacing"/>
    <w:uiPriority w:val="1"/>
    <w:qFormat/>
    <w:rPr>
      <w:rFonts w:ascii="Times New Roman" w:hAnsi="Times New Roman" w:eastAsia="宋体" w:cs="Times New Roman"/>
      <w:lang w:val="en-US" w:eastAsia="zh-CN" w:bidi="ar-SA"/>
    </w:rPr>
  </w:style>
  <w:style w:type="character" w:styleId="721" w:customStyle="1">
    <w:name w:val="标题 Char1"/>
    <w:link w:val="699"/>
    <w:uiPriority w:val="10"/>
    <w:qFormat/>
    <w:rPr>
      <w:sz w:val="48"/>
      <w:szCs w:val="48"/>
    </w:rPr>
  </w:style>
  <w:style w:type="character" w:styleId="722" w:customStyle="1">
    <w:name w:val="副标题 Char"/>
    <w:link w:val="692"/>
    <w:uiPriority w:val="11"/>
    <w:qFormat/>
    <w:rPr>
      <w:sz w:val="24"/>
      <w:szCs w:val="24"/>
    </w:rPr>
  </w:style>
  <w:style w:type="paragraph" w:styleId="723">
    <w:name w:val="Quote"/>
    <w:basedOn w:val="665"/>
    <w:next w:val="665"/>
    <w:link w:val="724"/>
    <w:uiPriority w:val="29"/>
    <w:qFormat/>
    <w:pPr>
      <w:ind w:left="720" w:right="720"/>
    </w:pPr>
    <w:rPr>
      <w:i/>
    </w:rPr>
  </w:style>
  <w:style w:type="character" w:styleId="724" w:customStyle="1">
    <w:name w:val="引用 Char"/>
    <w:link w:val="723"/>
    <w:uiPriority w:val="29"/>
    <w:qFormat/>
    <w:rPr>
      <w:i/>
    </w:rPr>
  </w:style>
  <w:style w:type="paragraph" w:styleId="725">
    <w:name w:val="Intense Quote"/>
    <w:basedOn w:val="665"/>
    <w:next w:val="665"/>
    <w:link w:val="72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6" w:customStyle="1">
    <w:name w:val="明显引用 Char"/>
    <w:link w:val="725"/>
    <w:uiPriority w:val="30"/>
    <w:qFormat/>
    <w:rPr>
      <w:i/>
    </w:rPr>
  </w:style>
  <w:style w:type="character" w:styleId="727" w:customStyle="1">
    <w:name w:val="页眉 Char1"/>
    <w:link w:val="689"/>
    <w:uiPriority w:val="99"/>
    <w:qFormat/>
  </w:style>
  <w:style w:type="character" w:styleId="728" w:customStyle="1">
    <w:name w:val="Footer Char"/>
    <w:uiPriority w:val="99"/>
    <w:qFormat/>
  </w:style>
  <w:style w:type="character" w:styleId="729" w:customStyle="1">
    <w:name w:val="页脚 Char1"/>
    <w:link w:val="688"/>
    <w:uiPriority w:val="99"/>
    <w:qFormat/>
  </w:style>
  <w:style w:type="table" w:styleId="730"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731"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732"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733" w:customStyle="1">
    <w:name w:val="无格式表格 31"/>
    <w:uiPriority w:val="99"/>
    <w:qFormat/>
    <w:tblPr>
      <w:tblCellMar>
        <w:left w:w="0" w:type="dxa"/>
        <w:top w:w="0" w:type="dxa"/>
        <w:right w:w="0" w:type="dxa"/>
        <w:bottom w:w="0" w:type="dxa"/>
      </w:tblCellMar>
    </w:tblPr>
  </w:style>
  <w:style w:type="table" w:styleId="734" w:customStyle="1">
    <w:name w:val="无格式表格 41"/>
    <w:uiPriority w:val="99"/>
    <w:qFormat/>
    <w:tblPr>
      <w:tblCellMar>
        <w:left w:w="0" w:type="dxa"/>
        <w:top w:w="0" w:type="dxa"/>
        <w:right w:w="0" w:type="dxa"/>
        <w:bottom w:w="0" w:type="dxa"/>
      </w:tblCellMar>
    </w:tblPr>
  </w:style>
  <w:style w:type="table" w:styleId="735" w:customStyle="1">
    <w:name w:val="无格式表格 51"/>
    <w:uiPriority w:val="99"/>
    <w:qFormat/>
    <w:tblPr>
      <w:tblCellMar>
        <w:left w:w="0" w:type="dxa"/>
        <w:top w:w="0" w:type="dxa"/>
        <w:right w:w="0" w:type="dxa"/>
        <w:bottom w:w="0" w:type="dxa"/>
      </w:tblCellMar>
    </w:tblPr>
  </w:style>
  <w:style w:type="table" w:styleId="736"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737"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738"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739"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740"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741"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742"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743"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744"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745"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746"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747"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748"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749"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750"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751"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752"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753"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754"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755"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756"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757"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758"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759"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760"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761"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762"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763"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764"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765"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766"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767"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768"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769"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770"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771"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772"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773"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774"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775"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776"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777"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778"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779"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780"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781"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782"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783"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784"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785" w:customStyle="1">
    <w:name w:val="清单表 1 浅色1"/>
    <w:uiPriority w:val="99"/>
    <w:qFormat/>
    <w:tblPr>
      <w:tblCellMar>
        <w:left w:w="0" w:type="dxa"/>
        <w:top w:w="0" w:type="dxa"/>
        <w:right w:w="0" w:type="dxa"/>
        <w:bottom w:w="0" w:type="dxa"/>
      </w:tblCellMar>
    </w:tblPr>
  </w:style>
  <w:style w:type="table" w:styleId="786" w:customStyle="1">
    <w:name w:val="List Table 1 Light - Accent 1"/>
    <w:uiPriority w:val="99"/>
    <w:qFormat/>
    <w:tblPr>
      <w:tblCellMar>
        <w:left w:w="0" w:type="dxa"/>
        <w:top w:w="0" w:type="dxa"/>
        <w:right w:w="0" w:type="dxa"/>
        <w:bottom w:w="0" w:type="dxa"/>
      </w:tblCellMar>
    </w:tblPr>
  </w:style>
  <w:style w:type="table" w:styleId="787" w:customStyle="1">
    <w:name w:val="List Table 1 Light - Accent 2"/>
    <w:uiPriority w:val="99"/>
    <w:qFormat/>
    <w:tblPr>
      <w:tblCellMar>
        <w:left w:w="0" w:type="dxa"/>
        <w:top w:w="0" w:type="dxa"/>
        <w:right w:w="0" w:type="dxa"/>
        <w:bottom w:w="0" w:type="dxa"/>
      </w:tblCellMar>
    </w:tblPr>
  </w:style>
  <w:style w:type="table" w:styleId="788" w:customStyle="1">
    <w:name w:val="List Table 1 Light - Accent 3"/>
    <w:uiPriority w:val="99"/>
    <w:qFormat/>
    <w:tblPr>
      <w:tblCellMar>
        <w:left w:w="0" w:type="dxa"/>
        <w:top w:w="0" w:type="dxa"/>
        <w:right w:w="0" w:type="dxa"/>
        <w:bottom w:w="0" w:type="dxa"/>
      </w:tblCellMar>
    </w:tblPr>
  </w:style>
  <w:style w:type="table" w:styleId="789" w:customStyle="1">
    <w:name w:val="List Table 1 Light - Accent 4"/>
    <w:uiPriority w:val="99"/>
    <w:qFormat/>
    <w:tblPr>
      <w:tblCellMar>
        <w:left w:w="0" w:type="dxa"/>
        <w:top w:w="0" w:type="dxa"/>
        <w:right w:w="0" w:type="dxa"/>
        <w:bottom w:w="0" w:type="dxa"/>
      </w:tblCellMar>
    </w:tblPr>
  </w:style>
  <w:style w:type="table" w:styleId="790" w:customStyle="1">
    <w:name w:val="List Table 1 Light - Accent 5"/>
    <w:uiPriority w:val="99"/>
    <w:qFormat/>
    <w:tblPr>
      <w:tblCellMar>
        <w:left w:w="0" w:type="dxa"/>
        <w:top w:w="0" w:type="dxa"/>
        <w:right w:w="0" w:type="dxa"/>
        <w:bottom w:w="0" w:type="dxa"/>
      </w:tblCellMar>
    </w:tblPr>
  </w:style>
  <w:style w:type="table" w:styleId="791" w:customStyle="1">
    <w:name w:val="List Table 1 Light - Accent 6"/>
    <w:uiPriority w:val="99"/>
    <w:qFormat/>
    <w:tblPr>
      <w:tblCellMar>
        <w:left w:w="0" w:type="dxa"/>
        <w:top w:w="0" w:type="dxa"/>
        <w:right w:w="0" w:type="dxa"/>
        <w:bottom w:w="0" w:type="dxa"/>
      </w:tblCellMar>
    </w:tblPr>
  </w:style>
  <w:style w:type="table" w:styleId="792"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793"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794"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795"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796"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797"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798"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799"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800"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801"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802"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803"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804"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805"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806"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807"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808"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809"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810"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811"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812"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813"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814"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815"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816"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817"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818"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819"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820"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821"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822"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823"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824"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825"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826"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827" w:customStyle="1">
    <w:name w:val="清单表 7 彩色1"/>
    <w:uiPriority w:val="99"/>
    <w:qFormat/>
    <w:tblPr>
      <w:tblBorders>
        <w:right w:val="single" w:color="7F7F7F" w:sz="4" w:space="0"/>
      </w:tblBorders>
      <w:tblCellMar>
        <w:left w:w="0" w:type="dxa"/>
        <w:top w:w="0" w:type="dxa"/>
        <w:right w:w="0" w:type="dxa"/>
        <w:bottom w:w="0" w:type="dxa"/>
      </w:tblCellMar>
    </w:tblPr>
  </w:style>
  <w:style w:type="table" w:styleId="828"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829"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830"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831"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832"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833"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834" w:customStyle="1">
    <w:name w:val="Lined - Accent"/>
    <w:uiPriority w:val="99"/>
    <w:qFormat/>
    <w:rPr>
      <w:color w:val="404040"/>
    </w:rPr>
    <w:tblPr>
      <w:tblCellMar>
        <w:left w:w="0" w:type="dxa"/>
        <w:top w:w="0" w:type="dxa"/>
        <w:right w:w="0" w:type="dxa"/>
        <w:bottom w:w="0" w:type="dxa"/>
      </w:tblCellMar>
    </w:tblPr>
  </w:style>
  <w:style w:type="table" w:styleId="835" w:customStyle="1">
    <w:name w:val="Lined - Accent 1"/>
    <w:uiPriority w:val="99"/>
    <w:qFormat/>
    <w:rPr>
      <w:color w:val="404040"/>
    </w:rPr>
    <w:tblPr>
      <w:tblCellMar>
        <w:left w:w="0" w:type="dxa"/>
        <w:top w:w="0" w:type="dxa"/>
        <w:right w:w="0" w:type="dxa"/>
        <w:bottom w:w="0" w:type="dxa"/>
      </w:tblCellMar>
    </w:tblPr>
  </w:style>
  <w:style w:type="table" w:styleId="836" w:customStyle="1">
    <w:name w:val="Lined - Accent 2"/>
    <w:uiPriority w:val="99"/>
    <w:qFormat/>
    <w:rPr>
      <w:color w:val="404040"/>
    </w:rPr>
    <w:tblPr>
      <w:tblCellMar>
        <w:left w:w="0" w:type="dxa"/>
        <w:top w:w="0" w:type="dxa"/>
        <w:right w:w="0" w:type="dxa"/>
        <w:bottom w:w="0" w:type="dxa"/>
      </w:tblCellMar>
    </w:tblPr>
  </w:style>
  <w:style w:type="table" w:styleId="837" w:customStyle="1">
    <w:name w:val="Lined - Accent 3"/>
    <w:uiPriority w:val="99"/>
    <w:qFormat/>
    <w:rPr>
      <w:color w:val="404040"/>
    </w:rPr>
    <w:tblPr>
      <w:tblCellMar>
        <w:left w:w="0" w:type="dxa"/>
        <w:top w:w="0" w:type="dxa"/>
        <w:right w:w="0" w:type="dxa"/>
        <w:bottom w:w="0" w:type="dxa"/>
      </w:tblCellMar>
    </w:tblPr>
  </w:style>
  <w:style w:type="table" w:styleId="838" w:customStyle="1">
    <w:name w:val="Lined - Accent 4"/>
    <w:uiPriority w:val="99"/>
    <w:qFormat/>
    <w:rPr>
      <w:color w:val="404040"/>
    </w:rPr>
    <w:tblPr>
      <w:tblCellMar>
        <w:left w:w="0" w:type="dxa"/>
        <w:top w:w="0" w:type="dxa"/>
        <w:right w:w="0" w:type="dxa"/>
        <w:bottom w:w="0" w:type="dxa"/>
      </w:tblCellMar>
    </w:tblPr>
  </w:style>
  <w:style w:type="table" w:styleId="839" w:customStyle="1">
    <w:name w:val="Lined - Accent 5"/>
    <w:uiPriority w:val="99"/>
    <w:qFormat/>
    <w:rPr>
      <w:color w:val="404040"/>
    </w:rPr>
    <w:tblPr>
      <w:tblCellMar>
        <w:left w:w="0" w:type="dxa"/>
        <w:top w:w="0" w:type="dxa"/>
        <w:right w:w="0" w:type="dxa"/>
        <w:bottom w:w="0" w:type="dxa"/>
      </w:tblCellMar>
    </w:tblPr>
  </w:style>
  <w:style w:type="table" w:styleId="840" w:customStyle="1">
    <w:name w:val="Lined - Accent 6"/>
    <w:uiPriority w:val="99"/>
    <w:qFormat/>
    <w:rPr>
      <w:color w:val="404040"/>
    </w:rPr>
    <w:tblPr>
      <w:tblCellMar>
        <w:left w:w="0" w:type="dxa"/>
        <w:top w:w="0" w:type="dxa"/>
        <w:right w:w="0" w:type="dxa"/>
        <w:bottom w:w="0" w:type="dxa"/>
      </w:tblCellMar>
    </w:tblPr>
  </w:style>
  <w:style w:type="table" w:styleId="841"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842"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843"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844"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845"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846"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847"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848"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849"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50"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51"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52"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53"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54"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855" w:customStyle="1">
    <w:name w:val="脚注文本 Char"/>
    <w:link w:val="693"/>
    <w:uiPriority w:val="99"/>
    <w:qFormat/>
    <w:rPr>
      <w:sz w:val="18"/>
    </w:rPr>
  </w:style>
  <w:style w:type="character" w:styleId="856" w:customStyle="1">
    <w:name w:val="尾注文本 Char"/>
    <w:link w:val="686"/>
    <w:uiPriority w:val="99"/>
    <w:qFormat/>
    <w:rPr>
      <w:sz w:val="20"/>
    </w:rPr>
  </w:style>
  <w:style w:type="paragraph" w:styleId="857" w:customStyle="1">
    <w:name w:val="TOC 标题1"/>
    <w:uiPriority w:val="39"/>
    <w:unhideWhenUsed/>
    <w:qFormat/>
    <w:rPr>
      <w:rFonts w:ascii="Times New Roman" w:hAnsi="Times New Roman" w:eastAsia="宋体" w:cs="Times New Roman"/>
      <w:lang w:val="en-US" w:eastAsia="zh-CN" w:bidi="ar-SA"/>
    </w:rPr>
  </w:style>
  <w:style w:type="paragraph" w:styleId="858" w:customStyle="1">
    <w:name w:val="标题 11"/>
    <w:basedOn w:val="665"/>
    <w:next w:val="665"/>
    <w:link w:val="891"/>
    <w:uiPriority w:val="0"/>
    <w:qFormat/>
    <w:pPr>
      <w:numPr>
        <w:ilvl w:val="0"/>
        <w:numId w:val="1"/>
      </w:numPr>
      <w:keepNext/>
      <w:spacing w:before="312" w:after="312"/>
      <w:tabs>
        <w:tab w:val="left" w:pos="1440" w:leader="none"/>
        <w:tab w:val="left" w:pos="5670" w:leader="none"/>
      </w:tabs>
      <w:outlineLvl w:val="0"/>
    </w:pPr>
    <w:rPr>
      <w:rFonts w:ascii="黑体" w:eastAsia="黑体"/>
      <w:b/>
      <w:sz w:val="28"/>
    </w:rPr>
  </w:style>
  <w:style w:type="paragraph" w:styleId="859" w:customStyle="1">
    <w:name w:val="标题 21"/>
    <w:basedOn w:val="665"/>
    <w:next w:val="665"/>
    <w:link w:val="892"/>
    <w:uiPriority w:val="99"/>
    <w:qFormat/>
    <w:pPr>
      <w:numPr>
        <w:ilvl w:val="1"/>
        <w:numId w:val="1"/>
      </w:numPr>
      <w:jc w:val="left"/>
      <w:keepLines/>
      <w:keepNext/>
      <w:spacing w:before="120" w:after="120"/>
      <w:outlineLvl w:val="1"/>
    </w:pPr>
    <w:rPr>
      <w:rFonts w:ascii="Cambria" w:hAnsi="Cambria"/>
      <w:b/>
      <w:bCs/>
      <w:sz w:val="32"/>
      <w:szCs w:val="32"/>
    </w:rPr>
  </w:style>
  <w:style w:type="paragraph" w:styleId="860" w:customStyle="1">
    <w:name w:val="标题 31"/>
    <w:basedOn w:val="665"/>
    <w:next w:val="665"/>
    <w:link w:val="893"/>
    <w:uiPriority w:val="99"/>
    <w:qFormat/>
    <w:pPr>
      <w:numPr>
        <w:ilvl w:val="2"/>
        <w:numId w:val="1"/>
      </w:numPr>
      <w:keepLines/>
      <w:keepNext/>
      <w:spacing w:before="120" w:after="120"/>
      <w:outlineLvl w:val="2"/>
    </w:pPr>
    <w:rPr>
      <w:b/>
      <w:bCs/>
      <w:sz w:val="32"/>
      <w:szCs w:val="32"/>
    </w:rPr>
  </w:style>
  <w:style w:type="paragraph" w:styleId="861" w:customStyle="1">
    <w:name w:val="标题 41"/>
    <w:basedOn w:val="862"/>
    <w:next w:val="874"/>
    <w:link w:val="894"/>
    <w:uiPriority w:val="99"/>
    <w:qFormat/>
    <w:pPr>
      <w:numPr>
        <w:ilvl w:val="3"/>
        <w:numId w:val="1"/>
      </w:numPr>
      <w:keepLines/>
      <w:keepNext/>
      <w:spacing w:before="120" w:after="120"/>
      <w:outlineLvl w:val="3"/>
    </w:pPr>
    <w:rPr>
      <w:rFonts w:ascii="Cambria" w:hAnsi="Cambria"/>
      <w:b/>
      <w:bCs/>
      <w:sz w:val="28"/>
      <w:szCs w:val="28"/>
    </w:rPr>
  </w:style>
  <w:style w:type="paragraph" w:styleId="862" w:customStyle="1">
    <w:name w:val="正文1121"/>
    <w:next w:val="863"/>
    <w:uiPriority w:val="0"/>
    <w:qFormat/>
    <w:pPr>
      <w:jc w:val="both"/>
      <w:widowControl w:val="off"/>
    </w:pPr>
    <w:rPr>
      <w:rFonts w:ascii="Calibri" w:hAnsi="Calibri" w:eastAsia="宋体" w:cs="Times New Roman"/>
      <w:sz w:val="21"/>
      <w:szCs w:val="24"/>
      <w:lang w:val="en-US" w:eastAsia="zh-CN" w:bidi="ar-SA"/>
    </w:rPr>
  </w:style>
  <w:style w:type="paragraph" w:styleId="863" w:customStyle="1">
    <w:name w:val="正文文本111"/>
    <w:basedOn w:val="862"/>
    <w:next w:val="864"/>
    <w:uiPriority w:val="0"/>
    <w:qFormat/>
  </w:style>
  <w:style w:type="paragraph" w:styleId="864" w:customStyle="1">
    <w:name w:val="正文12"/>
    <w:next w:val="865"/>
    <w:uiPriority w:val="0"/>
    <w:qFormat/>
    <w:pPr>
      <w:ind w:firstLine="723"/>
      <w:jc w:val="both"/>
      <w:spacing w:line="360" w:lineRule="auto"/>
      <w:widowControl w:val="off"/>
    </w:pPr>
    <w:rPr>
      <w:rFonts w:ascii="Times New Roman" w:hAnsi="Times New Roman" w:eastAsia="宋体" w:cs="Times New Roman"/>
      <w:sz w:val="24"/>
      <w:szCs w:val="24"/>
      <w:lang w:val="en-US" w:eastAsia="zh-CN" w:bidi="ar-SA"/>
    </w:rPr>
  </w:style>
  <w:style w:type="paragraph" w:styleId="865" w:customStyle="1">
    <w:name w:val="脚注文本1"/>
    <w:next w:val="866"/>
    <w:uiPriority w:val="0"/>
    <w:qFormat/>
    <w:rPr>
      <w:rFonts w:ascii="Calibri" w:hAnsi="Calibri" w:eastAsia="宋体" w:cs="Times New Roman"/>
      <w:sz w:val="18"/>
      <w:szCs w:val="18"/>
      <w:lang w:val="en-US" w:eastAsia="zh-CN" w:bidi="ar-SA"/>
    </w:rPr>
  </w:style>
  <w:style w:type="paragraph" w:styleId="866" w:customStyle="1">
    <w:name w:val="索引 51"/>
    <w:basedOn w:val="867"/>
    <w:next w:val="868"/>
    <w:uiPriority w:val="99"/>
    <w:semiHidden/>
    <w:qFormat/>
    <w:pPr>
      <w:ind w:left="1680"/>
    </w:pPr>
  </w:style>
  <w:style w:type="paragraph" w:styleId="867" w:customStyle="1">
    <w:name w:val="文本块11"/>
    <w:basedOn w:val="864"/>
    <w:uiPriority w:val="0"/>
    <w:qFormat/>
    <w:pPr>
      <w:ind w:left="1440" w:right="1440"/>
      <w:spacing w:after="120"/>
    </w:pPr>
  </w:style>
  <w:style w:type="paragraph" w:styleId="868" w:customStyle="1">
    <w:name w:val="正文1"/>
    <w:next w:val="869"/>
    <w:uiPriority w:val="0"/>
    <w:qFormat/>
    <w:pPr>
      <w:ind w:firstLine="420"/>
    </w:pPr>
    <w:rPr>
      <w:rFonts w:ascii="Times New Roman" w:hAnsi="Times New Roman" w:eastAsia="宋体" w:cs="宋体"/>
      <w:lang w:val="en-US" w:eastAsia="zh-CN" w:bidi="ar-SA"/>
    </w:rPr>
  </w:style>
  <w:style w:type="paragraph" w:styleId="869" w:customStyle="1">
    <w:name w:val="正文文本1"/>
    <w:basedOn w:val="870"/>
    <w:next w:val="880"/>
    <w:link w:val="911"/>
    <w:uiPriority w:val="99"/>
    <w:qFormat/>
    <w:rPr>
      <w:sz w:val="20"/>
    </w:rPr>
  </w:style>
  <w:style w:type="paragraph" w:styleId="870" w:customStyle="1">
    <w:name w:val="正文13"/>
    <w:next w:val="871"/>
    <w:uiPriority w:val="0"/>
    <w:qFormat/>
    <w:pPr>
      <w:jc w:val="both"/>
      <w:widowControl w:val="off"/>
    </w:pPr>
    <w:rPr>
      <w:rFonts w:ascii="Times New Roman" w:hAnsi="Times New Roman" w:eastAsia="宋体" w:cs="Times New Roman"/>
      <w:sz w:val="21"/>
      <w:szCs w:val="24"/>
      <w:lang w:val="en-US" w:eastAsia="zh-CN" w:bidi="ar-SA"/>
    </w:rPr>
  </w:style>
  <w:style w:type="paragraph" w:styleId="871" w:customStyle="1">
    <w:name w:val="正文首行缩进1"/>
    <w:basedOn w:val="872"/>
    <w:next w:val="877"/>
    <w:link w:val="952"/>
    <w:uiPriority w:val="99"/>
    <w:qFormat/>
    <w:pPr>
      <w:ind w:firstLine="420"/>
    </w:pPr>
    <w:rPr>
      <w:sz w:val="21"/>
      <w:szCs w:val="24"/>
    </w:rPr>
  </w:style>
  <w:style w:type="paragraph" w:styleId="872" w:customStyle="1">
    <w:name w:val="正文文本11"/>
    <w:basedOn w:val="873"/>
    <w:next w:val="874"/>
    <w:uiPriority w:val="0"/>
    <w:qFormat/>
    <w:pPr>
      <w:spacing w:after="120"/>
    </w:pPr>
    <w:rPr>
      <w:sz w:val="20"/>
      <w:szCs w:val="20"/>
    </w:rPr>
  </w:style>
  <w:style w:type="paragraph" w:styleId="873" w:customStyle="1">
    <w:name w:val="正文112"/>
    <w:next w:val="871"/>
    <w:uiPriority w:val="0"/>
    <w:qFormat/>
    <w:pPr>
      <w:jc w:val="both"/>
      <w:widowControl w:val="off"/>
    </w:pPr>
    <w:rPr>
      <w:rFonts w:ascii="Times New Roman" w:hAnsi="Times New Roman" w:eastAsia="宋体" w:cs="Times New Roman"/>
      <w:sz w:val="21"/>
      <w:szCs w:val="24"/>
      <w:lang w:val="en-US" w:eastAsia="zh-CN" w:bidi="ar-SA"/>
    </w:rPr>
  </w:style>
  <w:style w:type="paragraph" w:styleId="874" w:customStyle="1">
    <w:name w:val="正文11"/>
    <w:next w:val="875"/>
    <w:uiPriority w:val="0"/>
    <w:qFormat/>
    <w:pPr>
      <w:jc w:val="both"/>
      <w:widowControl w:val="off"/>
    </w:pPr>
    <w:rPr>
      <w:rFonts w:ascii="Calibri" w:hAnsi="Calibri" w:eastAsia="宋体" w:cs="Times New Roman"/>
      <w:sz w:val="21"/>
      <w:szCs w:val="24"/>
      <w:lang w:val="en-US" w:eastAsia="zh-CN" w:bidi="ar-SA"/>
    </w:rPr>
  </w:style>
  <w:style w:type="paragraph" w:styleId="875" w:customStyle="1">
    <w:name w:val="文本块1"/>
    <w:basedOn w:val="876"/>
    <w:next w:val="861"/>
    <w:uiPriority w:val="0"/>
    <w:qFormat/>
    <w:pPr>
      <w:ind w:left="1440" w:right="1440"/>
      <w:spacing w:after="120"/>
    </w:pPr>
  </w:style>
  <w:style w:type="paragraph" w:styleId="876" w:customStyle="1">
    <w:name w:val="正文111"/>
    <w:next w:val="665"/>
    <w:uiPriority w:val="0"/>
    <w:qFormat/>
    <w:pPr>
      <w:jc w:val="both"/>
      <w:widowControl w:val="off"/>
    </w:pPr>
    <w:rPr>
      <w:rFonts w:ascii="Times New Roman" w:hAnsi="Times New Roman" w:eastAsia="宋体" w:cs="Times New Roman"/>
      <w:sz w:val="21"/>
      <w:szCs w:val="24"/>
      <w:lang w:val="en-US" w:eastAsia="zh-CN" w:bidi="ar-SA"/>
    </w:rPr>
  </w:style>
  <w:style w:type="paragraph" w:styleId="877" w:customStyle="1">
    <w:name w:val="正文首行缩进 211"/>
    <w:basedOn w:val="878"/>
    <w:next w:val="665"/>
    <w:uiPriority w:val="99"/>
    <w:qFormat/>
    <w:pPr>
      <w:ind w:firstLine="420"/>
      <w:spacing w:line="360" w:lineRule="auto"/>
    </w:pPr>
    <w:rPr>
      <w:rFonts w:ascii="宋体" w:hAnsi="宋体"/>
    </w:rPr>
  </w:style>
  <w:style w:type="paragraph" w:styleId="878" w:customStyle="1">
    <w:name w:val="正文文本缩进11"/>
    <w:basedOn w:val="873"/>
    <w:next w:val="879"/>
    <w:link w:val="912"/>
    <w:uiPriority w:val="99"/>
    <w:qFormat/>
    <w:pPr>
      <w:ind w:firstLine="645"/>
    </w:pPr>
    <w:rPr>
      <w:sz w:val="20"/>
    </w:rPr>
  </w:style>
  <w:style w:type="paragraph" w:styleId="879" w:customStyle="1">
    <w:name w:val="寄信人地址1"/>
    <w:basedOn w:val="665"/>
    <w:uiPriority w:val="0"/>
    <w:qFormat/>
    <w:rPr>
      <w:rFonts w:ascii="Arial" w:hAnsi="Arial" w:cs="宋体"/>
    </w:rPr>
  </w:style>
  <w:style w:type="paragraph" w:styleId="880" w:customStyle="1">
    <w:name w:val="一级条标题"/>
    <w:basedOn w:val="881"/>
    <w:next w:val="882"/>
    <w:uiPriority w:val="0"/>
    <w:qFormat/>
    <w:pPr>
      <w:ind w:left="360"/>
      <w:tabs>
        <w:tab w:val="left" w:pos="810" w:leader="none"/>
        <w:tab w:val="left" w:pos="1265" w:leader="none"/>
      </w:tabs>
      <w:outlineLvl w:val="2"/>
    </w:pPr>
  </w:style>
  <w:style w:type="paragraph" w:styleId="881" w:customStyle="1">
    <w:name w:val="章标题"/>
    <w:next w:val="665"/>
    <w:uiPriority w:val="0"/>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882" w:customStyle="1">
    <w:name w:val="段"/>
    <w:next w:val="665"/>
    <w:uiPriority w:val="0"/>
    <w:qFormat/>
    <w:pPr>
      <w:ind w:firstLine="200"/>
      <w:jc w:val="both"/>
      <w:widowControl w:val="off"/>
    </w:pPr>
    <w:rPr>
      <w:rFonts w:ascii="宋体" w:hAnsi="宋体" w:eastAsia="宋体" w:cs="宋体"/>
      <w:color w:val="000000"/>
      <w:sz w:val="21"/>
      <w:szCs w:val="21"/>
      <w:lang w:val="en-US" w:eastAsia="zh-CN" w:bidi="ar-SA"/>
    </w:rPr>
  </w:style>
  <w:style w:type="paragraph" w:styleId="883" w:customStyle="1">
    <w:name w:val="标题 51"/>
    <w:basedOn w:val="665"/>
    <w:next w:val="884"/>
    <w:link w:val="895"/>
    <w:uiPriority w:val="99"/>
    <w:qFormat/>
    <w:pPr>
      <w:numPr>
        <w:ilvl w:val="4"/>
        <w:numId w:val="1"/>
      </w:numPr>
      <w:keepNext/>
      <w:spacing w:before="156" w:after="156"/>
      <w:outlineLvl w:val="4"/>
    </w:pPr>
    <w:rPr>
      <w:b/>
      <w:bCs/>
      <w:sz w:val="28"/>
      <w:szCs w:val="28"/>
    </w:rPr>
  </w:style>
  <w:style w:type="paragraph" w:styleId="884" w:customStyle="1">
    <w:name w:val="正文缩进1"/>
    <w:basedOn w:val="665"/>
    <w:link w:val="896"/>
    <w:uiPriority w:val="0"/>
    <w:qFormat/>
    <w:pPr>
      <w:ind w:firstLine="420"/>
    </w:pPr>
  </w:style>
  <w:style w:type="paragraph" w:styleId="885" w:customStyle="1">
    <w:name w:val="标题 61"/>
    <w:basedOn w:val="665"/>
    <w:next w:val="665"/>
    <w:link w:val="897"/>
    <w:uiPriority w:val="99"/>
    <w:qFormat/>
    <w:pPr>
      <w:numPr>
        <w:ilvl w:val="5"/>
        <w:numId w:val="1"/>
      </w:numPr>
      <w:keepLines/>
      <w:keepNext/>
      <w:spacing w:before="240" w:after="64" w:line="320" w:lineRule="auto"/>
      <w:outlineLvl w:val="5"/>
    </w:pPr>
    <w:rPr>
      <w:rFonts w:ascii="Cambria" w:hAnsi="Cambria"/>
      <w:b/>
      <w:bCs/>
      <w:sz w:val="24"/>
      <w:szCs w:val="24"/>
    </w:rPr>
  </w:style>
  <w:style w:type="paragraph" w:styleId="886" w:customStyle="1">
    <w:name w:val="标题 71"/>
    <w:basedOn w:val="665"/>
    <w:next w:val="665"/>
    <w:link w:val="898"/>
    <w:uiPriority w:val="99"/>
    <w:qFormat/>
    <w:pPr>
      <w:numPr>
        <w:ilvl w:val="6"/>
        <w:numId w:val="1"/>
      </w:numPr>
      <w:keepLines/>
      <w:keepNext/>
      <w:spacing w:before="240" w:after="64" w:line="320" w:lineRule="auto"/>
      <w:outlineLvl w:val="6"/>
    </w:pPr>
    <w:rPr>
      <w:b/>
      <w:bCs/>
      <w:sz w:val="24"/>
      <w:szCs w:val="24"/>
    </w:rPr>
  </w:style>
  <w:style w:type="paragraph" w:styleId="887" w:customStyle="1">
    <w:name w:val="标题 81"/>
    <w:basedOn w:val="665"/>
    <w:next w:val="665"/>
    <w:link w:val="899"/>
    <w:uiPriority w:val="99"/>
    <w:qFormat/>
    <w:pPr>
      <w:numPr>
        <w:ilvl w:val="7"/>
        <w:numId w:val="1"/>
      </w:numPr>
      <w:keepLines/>
      <w:keepNext/>
      <w:spacing w:before="240" w:after="64" w:line="320" w:lineRule="auto"/>
      <w:outlineLvl w:val="7"/>
    </w:pPr>
    <w:rPr>
      <w:rFonts w:ascii="Cambria" w:hAnsi="Cambria"/>
      <w:sz w:val="24"/>
      <w:szCs w:val="24"/>
    </w:rPr>
  </w:style>
  <w:style w:type="paragraph" w:styleId="888" w:customStyle="1">
    <w:name w:val="标题 91"/>
    <w:basedOn w:val="665"/>
    <w:next w:val="665"/>
    <w:link w:val="900"/>
    <w:uiPriority w:val="99"/>
    <w:qFormat/>
    <w:pPr>
      <w:numPr>
        <w:ilvl w:val="8"/>
        <w:numId w:val="1"/>
      </w:numPr>
      <w:keepLines/>
      <w:keepNext/>
      <w:spacing w:before="240" w:after="64" w:line="320" w:lineRule="auto"/>
      <w:outlineLvl w:val="8"/>
    </w:pPr>
    <w:rPr>
      <w:rFonts w:ascii="Cambria" w:hAnsi="Cambria"/>
      <w:szCs w:val="21"/>
    </w:rPr>
  </w:style>
  <w:style w:type="character" w:styleId="889" w:customStyle="1">
    <w:name w:val="默认段落字体1"/>
    <w:uiPriority w:val="1"/>
    <w:unhideWhenUsed/>
    <w:qFormat/>
  </w:style>
  <w:style w:type="table" w:styleId="890" w:customStyle="1">
    <w:name w:val="普通表格1"/>
    <w:uiPriority w:val="99"/>
    <w:unhideWhenUsed/>
    <w:qFormat/>
    <w:tblPr>
      <w:tblCellMar>
        <w:left w:w="0" w:type="dxa"/>
        <w:top w:w="0" w:type="dxa"/>
        <w:right w:w="0" w:type="dxa"/>
        <w:bottom w:w="0" w:type="dxa"/>
      </w:tblCellMar>
    </w:tblPr>
  </w:style>
  <w:style w:type="character" w:styleId="891" w:customStyle="1">
    <w:name w:val="标题 1 Char"/>
    <w:link w:val="858"/>
    <w:uiPriority w:val="0"/>
    <w:qFormat/>
    <w:rPr>
      <w:rFonts w:ascii="黑体" w:eastAsia="黑体"/>
      <w:b/>
      <w:sz w:val="28"/>
    </w:rPr>
  </w:style>
  <w:style w:type="character" w:styleId="892" w:customStyle="1">
    <w:name w:val="标题 2 Char"/>
    <w:link w:val="859"/>
    <w:uiPriority w:val="99"/>
    <w:qFormat/>
    <w:rPr>
      <w:rFonts w:ascii="Cambria" w:hAnsi="Cambria"/>
      <w:b/>
      <w:bCs/>
      <w:sz w:val="32"/>
      <w:szCs w:val="32"/>
    </w:rPr>
  </w:style>
  <w:style w:type="character" w:styleId="893" w:customStyle="1">
    <w:name w:val="标题 3 Char1"/>
    <w:link w:val="860"/>
    <w:uiPriority w:val="99"/>
    <w:qFormat/>
    <w:rPr>
      <w:b/>
      <w:bCs/>
      <w:sz w:val="32"/>
      <w:szCs w:val="32"/>
    </w:rPr>
  </w:style>
  <w:style w:type="character" w:styleId="894" w:customStyle="1">
    <w:name w:val="标题 4 Char"/>
    <w:link w:val="861"/>
    <w:uiPriority w:val="99"/>
    <w:qFormat/>
    <w:rPr>
      <w:rFonts w:ascii="Cambria" w:hAnsi="Cambria"/>
      <w:b/>
      <w:bCs/>
      <w:sz w:val="28"/>
      <w:szCs w:val="28"/>
    </w:rPr>
  </w:style>
  <w:style w:type="character" w:styleId="895" w:customStyle="1">
    <w:name w:val="标题 5 Char"/>
    <w:link w:val="883"/>
    <w:uiPriority w:val="99"/>
    <w:qFormat/>
    <w:rPr>
      <w:b/>
      <w:bCs/>
      <w:sz w:val="28"/>
      <w:szCs w:val="28"/>
    </w:rPr>
  </w:style>
  <w:style w:type="character" w:styleId="896" w:customStyle="1">
    <w:name w:val="正文缩进 Char"/>
    <w:link w:val="884"/>
    <w:uiPriority w:val="0"/>
    <w:qFormat/>
    <w:rPr>
      <w:rFonts w:eastAsia="宋体" w:cs="Times New Roman"/>
      <w:sz w:val="21"/>
      <w:lang w:val="en-US" w:eastAsia="zh-CN" w:bidi="ar-SA"/>
    </w:rPr>
  </w:style>
  <w:style w:type="character" w:styleId="897" w:customStyle="1">
    <w:name w:val="标题 6 Char"/>
    <w:link w:val="885"/>
    <w:uiPriority w:val="99"/>
    <w:qFormat/>
    <w:rPr>
      <w:rFonts w:ascii="Cambria" w:hAnsi="Cambria"/>
      <w:b/>
      <w:bCs/>
      <w:sz w:val="24"/>
      <w:szCs w:val="24"/>
    </w:rPr>
  </w:style>
  <w:style w:type="character" w:styleId="898" w:customStyle="1">
    <w:name w:val="标题 7 Char"/>
    <w:link w:val="886"/>
    <w:uiPriority w:val="99"/>
    <w:qFormat/>
    <w:rPr>
      <w:b/>
      <w:bCs/>
      <w:sz w:val="24"/>
      <w:szCs w:val="24"/>
    </w:rPr>
  </w:style>
  <w:style w:type="character" w:styleId="899" w:customStyle="1">
    <w:name w:val="标题 8 Char"/>
    <w:link w:val="887"/>
    <w:uiPriority w:val="99"/>
    <w:qFormat/>
    <w:rPr>
      <w:rFonts w:ascii="Cambria" w:hAnsi="Cambria"/>
      <w:sz w:val="24"/>
      <w:szCs w:val="24"/>
    </w:rPr>
  </w:style>
  <w:style w:type="character" w:styleId="900" w:customStyle="1">
    <w:name w:val="标题 9 Char"/>
    <w:link w:val="888"/>
    <w:uiPriority w:val="99"/>
    <w:qFormat/>
    <w:rPr>
      <w:rFonts w:ascii="Cambria" w:hAnsi="Cambria"/>
      <w:sz w:val="21"/>
      <w:szCs w:val="21"/>
    </w:rPr>
  </w:style>
  <w:style w:type="paragraph" w:styleId="901" w:customStyle="1">
    <w:name w:val="列表 31"/>
    <w:basedOn w:val="665"/>
    <w:uiPriority w:val="99"/>
    <w:qFormat/>
    <w:pPr>
      <w:ind w:left="1260" w:hanging="420"/>
    </w:pPr>
  </w:style>
  <w:style w:type="paragraph" w:styleId="902" w:customStyle="1">
    <w:name w:val="目录 71"/>
    <w:basedOn w:val="665"/>
    <w:next w:val="665"/>
    <w:uiPriority w:val="99"/>
    <w:semiHidden/>
    <w:qFormat/>
    <w:pPr>
      <w:ind w:left="1260"/>
      <w:jc w:val="left"/>
    </w:pPr>
    <w:rPr>
      <w:sz w:val="18"/>
    </w:rPr>
  </w:style>
  <w:style w:type="paragraph" w:styleId="903" w:customStyle="1">
    <w:name w:val="索引 81"/>
    <w:basedOn w:val="665"/>
    <w:next w:val="665"/>
    <w:uiPriority w:val="99"/>
    <w:semiHidden/>
    <w:qFormat/>
    <w:pPr>
      <w:ind w:left="2940"/>
    </w:pPr>
  </w:style>
  <w:style w:type="paragraph" w:styleId="904" w:customStyle="1">
    <w:name w:val="文档结构图1"/>
    <w:basedOn w:val="665"/>
    <w:link w:val="905"/>
    <w:uiPriority w:val="99"/>
    <w:semiHidden/>
    <w:qFormat/>
    <w:pPr>
      <w:shd w:val="clear" w:color="auto" w:fill="000080"/>
    </w:pPr>
    <w:rPr>
      <w:sz w:val="2"/>
    </w:rPr>
  </w:style>
  <w:style w:type="character" w:styleId="905" w:customStyle="1">
    <w:name w:val="文档结构图 Char"/>
    <w:link w:val="904"/>
    <w:uiPriority w:val="99"/>
    <w:semiHidden/>
    <w:qFormat/>
    <w:rPr>
      <w:rFonts w:cs="Times New Roman"/>
      <w:sz w:val="2"/>
    </w:rPr>
  </w:style>
  <w:style w:type="paragraph" w:styleId="906" w:customStyle="1">
    <w:name w:val="批注文字1"/>
    <w:basedOn w:val="665"/>
    <w:link w:val="907"/>
    <w:uiPriority w:val="0"/>
    <w:qFormat/>
    <w:pPr>
      <w:jc w:val="left"/>
    </w:pPr>
    <w:rPr>
      <w:sz w:val="20"/>
    </w:rPr>
  </w:style>
  <w:style w:type="character" w:styleId="907" w:customStyle="1">
    <w:name w:val="批注文字 Char"/>
    <w:link w:val="906"/>
    <w:uiPriority w:val="0"/>
    <w:qFormat/>
    <w:rPr>
      <w:rFonts w:cs="Times New Roman"/>
      <w:sz w:val="20"/>
      <w:szCs w:val="20"/>
    </w:rPr>
  </w:style>
  <w:style w:type="paragraph" w:styleId="908" w:customStyle="1">
    <w:name w:val="索引 61"/>
    <w:basedOn w:val="665"/>
    <w:next w:val="665"/>
    <w:uiPriority w:val="99"/>
    <w:semiHidden/>
    <w:qFormat/>
    <w:pPr>
      <w:ind w:left="2100"/>
    </w:pPr>
  </w:style>
  <w:style w:type="paragraph" w:styleId="909" w:customStyle="1">
    <w:name w:val="正文文本 31"/>
    <w:basedOn w:val="665"/>
    <w:link w:val="910"/>
    <w:uiPriority w:val="99"/>
    <w:qFormat/>
    <w:rPr>
      <w:sz w:val="16"/>
      <w:szCs w:val="16"/>
    </w:rPr>
  </w:style>
  <w:style w:type="character" w:styleId="910" w:customStyle="1">
    <w:name w:val="正文文本 3 Char"/>
    <w:link w:val="909"/>
    <w:uiPriority w:val="99"/>
    <w:semiHidden/>
    <w:qFormat/>
    <w:rPr>
      <w:rFonts w:cs="Times New Roman"/>
      <w:sz w:val="16"/>
      <w:szCs w:val="16"/>
    </w:rPr>
  </w:style>
  <w:style w:type="character" w:styleId="911" w:customStyle="1">
    <w:name w:val="正文文本 Char"/>
    <w:link w:val="869"/>
    <w:uiPriority w:val="99"/>
    <w:semiHidden/>
    <w:qFormat/>
    <w:rPr>
      <w:rFonts w:cs="Times New Roman"/>
      <w:sz w:val="20"/>
      <w:szCs w:val="20"/>
    </w:rPr>
  </w:style>
  <w:style w:type="character" w:styleId="912" w:customStyle="1">
    <w:name w:val="正文文本缩进 Char"/>
    <w:link w:val="878"/>
    <w:uiPriority w:val="99"/>
    <w:semiHidden/>
    <w:qFormat/>
    <w:rPr>
      <w:rFonts w:cs="Times New Roman"/>
      <w:sz w:val="20"/>
      <w:szCs w:val="20"/>
    </w:rPr>
  </w:style>
  <w:style w:type="paragraph" w:styleId="913" w:customStyle="1">
    <w:name w:val="索引 41"/>
    <w:basedOn w:val="665"/>
    <w:next w:val="665"/>
    <w:uiPriority w:val="99"/>
    <w:semiHidden/>
    <w:qFormat/>
    <w:pPr>
      <w:ind w:left="1260"/>
    </w:pPr>
  </w:style>
  <w:style w:type="paragraph" w:styleId="914" w:customStyle="1">
    <w:name w:val="目录 51"/>
    <w:basedOn w:val="665"/>
    <w:next w:val="665"/>
    <w:uiPriority w:val="99"/>
    <w:semiHidden/>
    <w:qFormat/>
    <w:pPr>
      <w:ind w:left="840"/>
      <w:jc w:val="left"/>
    </w:pPr>
    <w:rPr>
      <w:sz w:val="18"/>
    </w:rPr>
  </w:style>
  <w:style w:type="paragraph" w:styleId="915" w:customStyle="1">
    <w:name w:val="目录 31"/>
    <w:basedOn w:val="665"/>
    <w:next w:val="665"/>
    <w:uiPriority w:val="99"/>
    <w:semiHidden/>
    <w:qFormat/>
    <w:pPr>
      <w:ind w:left="420"/>
      <w:jc w:val="left"/>
    </w:pPr>
    <w:rPr>
      <w:i/>
      <w:sz w:val="20"/>
    </w:rPr>
  </w:style>
  <w:style w:type="paragraph" w:styleId="916" w:customStyle="1">
    <w:name w:val="纯文本1"/>
    <w:basedOn w:val="665"/>
    <w:link w:val="917"/>
    <w:uiPriority w:val="0"/>
    <w:qFormat/>
    <w:rPr>
      <w:rFonts w:ascii="宋体" w:hAnsi="Courier New"/>
      <w:szCs w:val="21"/>
    </w:rPr>
  </w:style>
  <w:style w:type="character" w:styleId="917" w:customStyle="1">
    <w:name w:val="纯文本 Char"/>
    <w:link w:val="916"/>
    <w:uiPriority w:val="0"/>
    <w:qFormat/>
    <w:rPr>
      <w:rFonts w:ascii="宋体" w:hAnsi="Courier New" w:cs="Courier New"/>
      <w:sz w:val="21"/>
      <w:szCs w:val="21"/>
    </w:rPr>
  </w:style>
  <w:style w:type="paragraph" w:styleId="918" w:customStyle="1">
    <w:name w:val="目录 81"/>
    <w:basedOn w:val="665"/>
    <w:next w:val="665"/>
    <w:uiPriority w:val="99"/>
    <w:semiHidden/>
    <w:qFormat/>
    <w:pPr>
      <w:ind w:left="1470"/>
      <w:jc w:val="left"/>
    </w:pPr>
    <w:rPr>
      <w:sz w:val="18"/>
    </w:rPr>
  </w:style>
  <w:style w:type="paragraph" w:styleId="919" w:customStyle="1">
    <w:name w:val="索引 31"/>
    <w:basedOn w:val="665"/>
    <w:next w:val="665"/>
    <w:uiPriority w:val="99"/>
    <w:semiHidden/>
    <w:qFormat/>
    <w:pPr>
      <w:ind w:left="840"/>
    </w:pPr>
  </w:style>
  <w:style w:type="paragraph" w:styleId="920" w:customStyle="1">
    <w:name w:val="日期1"/>
    <w:basedOn w:val="665"/>
    <w:next w:val="665"/>
    <w:link w:val="921"/>
    <w:uiPriority w:val="99"/>
    <w:qFormat/>
    <w:pPr>
      <w:ind w:left="100"/>
    </w:pPr>
    <w:rPr>
      <w:sz w:val="20"/>
    </w:rPr>
  </w:style>
  <w:style w:type="character" w:styleId="921" w:customStyle="1">
    <w:name w:val="日期 Char"/>
    <w:link w:val="920"/>
    <w:uiPriority w:val="99"/>
    <w:semiHidden/>
    <w:qFormat/>
    <w:rPr>
      <w:rFonts w:cs="Times New Roman"/>
      <w:sz w:val="20"/>
      <w:szCs w:val="20"/>
    </w:rPr>
  </w:style>
  <w:style w:type="paragraph" w:styleId="922" w:customStyle="1">
    <w:name w:val="正文文本缩进 21"/>
    <w:basedOn w:val="665"/>
    <w:link w:val="923"/>
    <w:uiPriority w:val="99"/>
    <w:qFormat/>
    <w:pPr>
      <w:ind w:left="630" w:firstLine="645"/>
    </w:pPr>
    <w:rPr>
      <w:sz w:val="20"/>
    </w:rPr>
  </w:style>
  <w:style w:type="character" w:styleId="923" w:customStyle="1">
    <w:name w:val="正文文本缩进 2 Char"/>
    <w:link w:val="922"/>
    <w:uiPriority w:val="99"/>
    <w:semiHidden/>
    <w:qFormat/>
    <w:rPr>
      <w:rFonts w:cs="Times New Roman"/>
      <w:sz w:val="20"/>
      <w:szCs w:val="20"/>
    </w:rPr>
  </w:style>
  <w:style w:type="paragraph" w:styleId="924" w:customStyle="1">
    <w:name w:val="批注框文本1"/>
    <w:basedOn w:val="665"/>
    <w:link w:val="925"/>
    <w:uiPriority w:val="99"/>
    <w:semiHidden/>
    <w:qFormat/>
    <w:rPr>
      <w:sz w:val="18"/>
      <w:szCs w:val="18"/>
    </w:rPr>
  </w:style>
  <w:style w:type="character" w:styleId="925" w:customStyle="1">
    <w:name w:val="批注框文本 Char"/>
    <w:link w:val="924"/>
    <w:uiPriority w:val="99"/>
    <w:semiHidden/>
    <w:qFormat/>
    <w:rPr>
      <w:sz w:val="18"/>
      <w:szCs w:val="18"/>
    </w:rPr>
  </w:style>
  <w:style w:type="paragraph" w:styleId="926" w:customStyle="1">
    <w:name w:val="页脚1"/>
    <w:basedOn w:val="665"/>
    <w:link w:val="927"/>
    <w:uiPriority w:val="99"/>
    <w:qFormat/>
    <w:pPr>
      <w:jc w:val="left"/>
      <w:tabs>
        <w:tab w:val="center" w:pos="4153" w:leader="none"/>
        <w:tab w:val="right" w:pos="8306" w:leader="none"/>
      </w:tabs>
    </w:pPr>
    <w:rPr>
      <w:sz w:val="18"/>
    </w:rPr>
  </w:style>
  <w:style w:type="character" w:styleId="927" w:customStyle="1">
    <w:name w:val="页脚 Char"/>
    <w:link w:val="926"/>
    <w:uiPriority w:val="99"/>
    <w:qFormat/>
    <w:rPr>
      <w:rFonts w:eastAsia="宋体" w:cs="Times New Roman"/>
      <w:sz w:val="18"/>
      <w:lang w:val="en-US" w:eastAsia="zh-CN" w:bidi="ar-SA"/>
    </w:rPr>
  </w:style>
  <w:style w:type="paragraph" w:styleId="928" w:customStyle="1">
    <w:name w:val="页眉1"/>
    <w:basedOn w:val="665"/>
    <w:link w:val="929"/>
    <w:uiPriority w:val="99"/>
    <w:qFormat/>
    <w:pPr>
      <w:jc w:val="center"/>
      <w:tabs>
        <w:tab w:val="center" w:pos="4153" w:leader="none"/>
        <w:tab w:val="right" w:pos="8306" w:leader="none"/>
      </w:tabs>
      <w:pBdr>
        <w:bottom w:val="single" w:color="000000" w:sz="6" w:space="1"/>
      </w:pBdr>
    </w:pPr>
    <w:rPr>
      <w:sz w:val="18"/>
    </w:rPr>
  </w:style>
  <w:style w:type="character" w:styleId="929" w:customStyle="1">
    <w:name w:val="页眉 Char"/>
    <w:link w:val="928"/>
    <w:uiPriority w:val="99"/>
    <w:semiHidden/>
    <w:qFormat/>
    <w:rPr>
      <w:rFonts w:eastAsia="宋体" w:cs="Times New Roman"/>
      <w:sz w:val="18"/>
      <w:lang w:val="en-US" w:eastAsia="zh-CN" w:bidi="ar-SA"/>
    </w:rPr>
  </w:style>
  <w:style w:type="paragraph" w:styleId="930" w:customStyle="1">
    <w:name w:val="目录 11"/>
    <w:basedOn w:val="665"/>
    <w:next w:val="665"/>
    <w:uiPriority w:val="39"/>
    <w:qFormat/>
    <w:pPr>
      <w:jc w:val="left"/>
      <w:spacing w:before="120" w:after="120"/>
    </w:pPr>
    <w:rPr>
      <w:b/>
      <w:caps/>
      <w:sz w:val="20"/>
    </w:rPr>
  </w:style>
  <w:style w:type="paragraph" w:styleId="931" w:customStyle="1">
    <w:name w:val="目录 41"/>
    <w:basedOn w:val="665"/>
    <w:next w:val="665"/>
    <w:uiPriority w:val="99"/>
    <w:semiHidden/>
    <w:qFormat/>
    <w:pPr>
      <w:ind w:left="630"/>
      <w:jc w:val="left"/>
    </w:pPr>
    <w:rPr>
      <w:sz w:val="18"/>
    </w:rPr>
  </w:style>
  <w:style w:type="paragraph" w:styleId="932" w:customStyle="1">
    <w:name w:val="索引标题1"/>
    <w:basedOn w:val="665"/>
    <w:next w:val="933"/>
    <w:uiPriority w:val="99"/>
    <w:semiHidden/>
    <w:qFormat/>
  </w:style>
  <w:style w:type="paragraph" w:styleId="933" w:customStyle="1">
    <w:name w:val="索引 11"/>
    <w:basedOn w:val="665"/>
    <w:next w:val="665"/>
    <w:uiPriority w:val="99"/>
    <w:semiHidden/>
    <w:qFormat/>
    <w:pPr>
      <w:jc w:val="center"/>
    </w:pPr>
    <w:rPr>
      <w:rFonts w:ascii="仿宋_GB2312" w:hAnsi="宋体" w:eastAsia="仿宋_GB2312"/>
      <w:sz w:val="30"/>
      <w:szCs w:val="24"/>
    </w:rPr>
  </w:style>
  <w:style w:type="paragraph" w:styleId="934" w:customStyle="1">
    <w:name w:val="目录 61"/>
    <w:basedOn w:val="665"/>
    <w:next w:val="665"/>
    <w:uiPriority w:val="99"/>
    <w:semiHidden/>
    <w:qFormat/>
    <w:pPr>
      <w:ind w:left="1050"/>
      <w:jc w:val="left"/>
    </w:pPr>
    <w:rPr>
      <w:sz w:val="18"/>
    </w:rPr>
  </w:style>
  <w:style w:type="paragraph" w:styleId="935" w:customStyle="1">
    <w:name w:val="正文文本缩进 31"/>
    <w:basedOn w:val="665"/>
    <w:link w:val="936"/>
    <w:uiPriority w:val="99"/>
    <w:qFormat/>
    <w:pPr>
      <w:ind w:left="645" w:firstLine="645"/>
    </w:pPr>
    <w:rPr>
      <w:sz w:val="16"/>
      <w:szCs w:val="16"/>
    </w:rPr>
  </w:style>
  <w:style w:type="character" w:styleId="936" w:customStyle="1">
    <w:name w:val="正文文本缩进 3 Char"/>
    <w:link w:val="935"/>
    <w:uiPriority w:val="99"/>
    <w:semiHidden/>
    <w:qFormat/>
    <w:rPr>
      <w:rFonts w:cs="Times New Roman"/>
      <w:sz w:val="16"/>
      <w:szCs w:val="16"/>
    </w:rPr>
  </w:style>
  <w:style w:type="paragraph" w:styleId="937" w:customStyle="1">
    <w:name w:val="索引 71"/>
    <w:basedOn w:val="665"/>
    <w:next w:val="665"/>
    <w:uiPriority w:val="99"/>
    <w:semiHidden/>
    <w:qFormat/>
    <w:pPr>
      <w:ind w:left="2520"/>
    </w:pPr>
  </w:style>
  <w:style w:type="paragraph" w:styleId="938" w:customStyle="1">
    <w:name w:val="索引 91"/>
    <w:basedOn w:val="665"/>
    <w:next w:val="665"/>
    <w:uiPriority w:val="99"/>
    <w:semiHidden/>
    <w:qFormat/>
    <w:pPr>
      <w:ind w:left="3360"/>
    </w:pPr>
  </w:style>
  <w:style w:type="paragraph" w:styleId="939" w:customStyle="1">
    <w:name w:val="图表目录1"/>
    <w:basedOn w:val="665"/>
    <w:next w:val="665"/>
    <w:uiPriority w:val="99"/>
    <w:semiHidden/>
    <w:qFormat/>
    <w:pPr>
      <w:ind w:left="840" w:hanging="420"/>
    </w:pPr>
  </w:style>
  <w:style w:type="paragraph" w:styleId="940" w:customStyle="1">
    <w:name w:val="目录 21"/>
    <w:basedOn w:val="665"/>
    <w:next w:val="665"/>
    <w:uiPriority w:val="39"/>
    <w:qFormat/>
    <w:pPr>
      <w:ind w:left="210"/>
      <w:jc w:val="left"/>
    </w:pPr>
    <w:rPr>
      <w:smallCaps/>
      <w:sz w:val="20"/>
    </w:rPr>
  </w:style>
  <w:style w:type="paragraph" w:styleId="941" w:customStyle="1">
    <w:name w:val="目录 91"/>
    <w:basedOn w:val="665"/>
    <w:next w:val="665"/>
    <w:uiPriority w:val="99"/>
    <w:semiHidden/>
    <w:qFormat/>
    <w:pPr>
      <w:ind w:left="1680"/>
      <w:jc w:val="left"/>
    </w:pPr>
    <w:rPr>
      <w:sz w:val="18"/>
    </w:rPr>
  </w:style>
  <w:style w:type="paragraph" w:styleId="942" w:customStyle="1">
    <w:name w:val="正文文本 21"/>
    <w:basedOn w:val="665"/>
    <w:link w:val="943"/>
    <w:uiPriority w:val="99"/>
    <w:qFormat/>
    <w:pPr>
      <w:jc w:val="center"/>
      <w:widowControl/>
    </w:pPr>
    <w:rPr>
      <w:sz w:val="20"/>
    </w:rPr>
  </w:style>
  <w:style w:type="character" w:styleId="943" w:customStyle="1">
    <w:name w:val="正文文本 2 Char"/>
    <w:link w:val="942"/>
    <w:uiPriority w:val="99"/>
    <w:semiHidden/>
    <w:qFormat/>
    <w:rPr>
      <w:rFonts w:cs="Times New Roman"/>
      <w:sz w:val="20"/>
      <w:szCs w:val="20"/>
    </w:rPr>
  </w:style>
  <w:style w:type="paragraph" w:styleId="944" w:customStyle="1">
    <w:name w:val="HTML 预设格式1"/>
    <w:basedOn w:val="665"/>
    <w:link w:val="945"/>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Courier New" w:hAnsi="Courier New"/>
      <w:sz w:val="20"/>
    </w:rPr>
  </w:style>
  <w:style w:type="character" w:styleId="945" w:customStyle="1">
    <w:name w:val="HTML 预设格式 Char"/>
    <w:link w:val="944"/>
    <w:uiPriority w:val="99"/>
    <w:semiHidden/>
    <w:qFormat/>
    <w:rPr>
      <w:rFonts w:ascii="Courier New" w:hAnsi="Courier New" w:cs="Courier New"/>
      <w:sz w:val="20"/>
      <w:szCs w:val="20"/>
    </w:rPr>
  </w:style>
  <w:style w:type="paragraph" w:styleId="946" w:customStyle="1">
    <w:name w:val="普通(网站)1"/>
    <w:basedOn w:val="665"/>
    <w:uiPriority w:val="99"/>
    <w:qFormat/>
    <w:pPr>
      <w:jc w:val="left"/>
      <w:spacing w:before="100" w:beforeAutospacing="1" w:after="100" w:afterAutospacing="1"/>
      <w:widowControl/>
    </w:pPr>
    <w:rPr>
      <w:rFonts w:ascii="Arial" w:hAnsi="Arial" w:cs="Arial"/>
      <w:sz w:val="24"/>
      <w:szCs w:val="24"/>
    </w:rPr>
  </w:style>
  <w:style w:type="paragraph" w:styleId="947" w:customStyle="1">
    <w:name w:val="索引 21"/>
    <w:basedOn w:val="665"/>
    <w:next w:val="665"/>
    <w:uiPriority w:val="99"/>
    <w:semiHidden/>
    <w:qFormat/>
    <w:pPr>
      <w:ind w:left="420"/>
    </w:pPr>
  </w:style>
  <w:style w:type="paragraph" w:styleId="948" w:customStyle="1">
    <w:name w:val="标题1"/>
    <w:basedOn w:val="665"/>
    <w:next w:val="665"/>
    <w:link w:val="949"/>
    <w:uiPriority w:val="10"/>
    <w:qFormat/>
    <w:pPr>
      <w:jc w:val="center"/>
      <w:spacing w:before="240" w:after="60"/>
      <w:outlineLvl w:val="0"/>
    </w:pPr>
    <w:rPr>
      <w:rFonts w:ascii="Cambria" w:hAnsi="Cambria"/>
      <w:b/>
      <w:bCs/>
      <w:sz w:val="32"/>
      <w:szCs w:val="32"/>
    </w:rPr>
  </w:style>
  <w:style w:type="character" w:styleId="949" w:customStyle="1">
    <w:name w:val="标题 Char"/>
    <w:link w:val="948"/>
    <w:uiPriority w:val="10"/>
    <w:qFormat/>
    <w:rPr>
      <w:rFonts w:ascii="Cambria" w:hAnsi="Cambria" w:cs="Times New Roman"/>
      <w:b/>
      <w:bCs/>
      <w:sz w:val="32"/>
      <w:szCs w:val="32"/>
    </w:rPr>
  </w:style>
  <w:style w:type="paragraph" w:styleId="950" w:customStyle="1">
    <w:name w:val="批注主题1"/>
    <w:basedOn w:val="906"/>
    <w:next w:val="906"/>
    <w:link w:val="951"/>
    <w:uiPriority w:val="99"/>
    <w:semiHidden/>
    <w:qFormat/>
    <w:rPr>
      <w:b/>
      <w:bCs/>
    </w:rPr>
  </w:style>
  <w:style w:type="character" w:styleId="951" w:customStyle="1">
    <w:name w:val="批注主题 Char"/>
    <w:link w:val="950"/>
    <w:uiPriority w:val="99"/>
    <w:semiHidden/>
    <w:qFormat/>
    <w:rPr>
      <w:rFonts w:cs="Times New Roman"/>
      <w:b/>
      <w:bCs/>
      <w:sz w:val="20"/>
      <w:szCs w:val="20"/>
    </w:rPr>
  </w:style>
  <w:style w:type="character" w:styleId="952" w:customStyle="1">
    <w:name w:val="正文首行缩进 Char"/>
    <w:link w:val="871"/>
    <w:uiPriority w:val="99"/>
    <w:semiHidden/>
    <w:qFormat/>
  </w:style>
  <w:style w:type="paragraph" w:styleId="953" w:customStyle="1">
    <w:name w:val="正文首行缩进 21"/>
    <w:basedOn w:val="878"/>
    <w:uiPriority w:val="0"/>
    <w:qFormat/>
    <w:pPr>
      <w:ind w:firstLine="420"/>
      <w:widowControl/>
    </w:pPr>
    <w:rPr>
      <w:rFonts w:ascii="Calibri" w:hAnsi="Calibri" w:cs="黑体"/>
      <w:sz w:val="21"/>
      <w:szCs w:val="22"/>
    </w:rPr>
  </w:style>
  <w:style w:type="table" w:styleId="954" w:customStyle="1">
    <w:name w:val="网格型1"/>
    <w:basedOn w:val="890"/>
    <w:uiPriority w:val="59"/>
    <w:qFormat/>
    <w:tblPr/>
  </w:style>
  <w:style w:type="character" w:styleId="955" w:customStyle="1">
    <w:name w:val="要点1"/>
    <w:uiPriority w:val="0"/>
    <w:qFormat/>
    <w:rPr>
      <w:b/>
    </w:rPr>
  </w:style>
  <w:style w:type="character" w:styleId="956" w:customStyle="1">
    <w:name w:val="页码1"/>
    <w:uiPriority w:val="0"/>
    <w:qFormat/>
    <w:rPr>
      <w:rFonts w:cs="Times New Roman"/>
    </w:rPr>
  </w:style>
  <w:style w:type="character" w:styleId="957" w:customStyle="1">
    <w:name w:val="已访问的超链接1"/>
    <w:uiPriority w:val="99"/>
    <w:qFormat/>
    <w:rPr>
      <w:rFonts w:cs="Times New Roman"/>
      <w:color w:val="800080"/>
      <w:u w:val="single"/>
    </w:rPr>
  </w:style>
  <w:style w:type="character" w:styleId="958" w:customStyle="1">
    <w:name w:val="超链接1"/>
    <w:uiPriority w:val="99"/>
    <w:qFormat/>
    <w:rPr>
      <w:rFonts w:cs="Times New Roman"/>
      <w:color w:val="0000ff"/>
      <w:u w:val="single"/>
    </w:rPr>
  </w:style>
  <w:style w:type="character" w:styleId="959" w:customStyle="1">
    <w:name w:val="批注引用1"/>
    <w:uiPriority w:val="0"/>
    <w:qFormat/>
    <w:rPr>
      <w:rFonts w:cs="Times New Roman"/>
      <w:sz w:val="21"/>
    </w:rPr>
  </w:style>
  <w:style w:type="character" w:styleId="960" w:customStyle="1">
    <w:name w:val="point_normal1"/>
    <w:uiPriority w:val="99"/>
    <w:qFormat/>
    <w:rPr>
      <w:rFonts w:ascii="Arial" w:hAnsi="Arial" w:cs="Arial"/>
      <w:sz w:val="18"/>
      <w:szCs w:val="18"/>
    </w:rPr>
  </w:style>
  <w:style w:type="character" w:styleId="961" w:customStyle="1">
    <w:name w:val="未处理的提及1"/>
    <w:uiPriority w:val="99"/>
    <w:unhideWhenUsed/>
    <w:qFormat/>
    <w:rPr>
      <w:color w:val="605e5c"/>
      <w:shd w:val="clear" w:color="auto" w:fill="e1dfdd"/>
    </w:rPr>
  </w:style>
  <w:style w:type="character" w:styleId="962" w:customStyle="1">
    <w:name w:val="标题 3 Char"/>
    <w:uiPriority w:val="99"/>
    <w:qFormat/>
    <w:rPr>
      <w:rFonts w:ascii="宋体" w:hAnsi="宋体" w:eastAsia="宋体" w:cs="Times New Roman"/>
      <w:b/>
      <w:bCs/>
      <w:sz w:val="32"/>
      <w:szCs w:val="32"/>
      <w:lang w:val="en-US" w:eastAsia="zh-CN" w:bidi="ar-SA"/>
    </w:rPr>
  </w:style>
  <w:style w:type="character" w:styleId="963" w:customStyle="1">
    <w:name w:val="正文2 Char"/>
    <w:link w:val="964"/>
    <w:uiPriority w:val="0"/>
    <w:qFormat/>
    <w:rPr>
      <w:sz w:val="24"/>
    </w:rPr>
  </w:style>
  <w:style w:type="paragraph" w:styleId="964" w:customStyle="1">
    <w:name w:val="正文2"/>
    <w:basedOn w:val="665"/>
    <w:link w:val="963"/>
    <w:uiPriority w:val="0"/>
    <w:qFormat/>
    <w:pPr>
      <w:ind w:firstLine="510"/>
      <w:spacing w:before="156" w:line="360" w:lineRule="auto"/>
    </w:pPr>
    <w:rPr>
      <w:sz w:val="24"/>
    </w:rPr>
  </w:style>
  <w:style w:type="character" w:styleId="965" w:customStyle="1">
    <w:name w:val="纯文本 Char1"/>
    <w:uiPriority w:val="0"/>
    <w:qFormat/>
    <w:rPr>
      <w:rFonts w:ascii="宋体" w:hAnsi="Courier New" w:eastAsia="宋体"/>
      <w:sz w:val="21"/>
      <w:lang w:val="en-US" w:eastAsia="zh-CN" w:bidi="ar-SA"/>
    </w:rPr>
  </w:style>
  <w:style w:type="character" w:styleId="966" w:customStyle="1">
    <w:name w:val="para_small"/>
    <w:uiPriority w:val="99"/>
    <w:qFormat/>
    <w:rPr>
      <w:rFonts w:cs="Times New Roman"/>
    </w:rPr>
  </w:style>
  <w:style w:type="character" w:styleId="967" w:customStyle="1">
    <w:name w:val="二级目录 Char"/>
    <w:link w:val="968"/>
    <w:uiPriority w:val="99"/>
    <w:qFormat/>
    <w:rPr>
      <w:b/>
      <w:sz w:val="30"/>
      <w:szCs w:val="28"/>
    </w:rPr>
  </w:style>
  <w:style w:type="paragraph" w:styleId="968" w:customStyle="1">
    <w:name w:val="二级目录"/>
    <w:next w:val="665"/>
    <w:link w:val="967"/>
    <w:uiPriority w:val="99"/>
    <w:qFormat/>
    <w:pPr>
      <w:ind w:left="567" w:hanging="567"/>
      <w:tabs>
        <w:tab w:val="left" w:pos="567" w:leader="none"/>
        <w:tab w:val="left" w:pos="720" w:leader="none"/>
      </w:tabs>
      <w:outlineLvl w:val="1"/>
    </w:pPr>
    <w:rPr>
      <w:rFonts w:ascii="Times New Roman" w:hAnsi="Times New Roman" w:eastAsia="宋体" w:cs="Times New Roman"/>
      <w:b/>
      <w:sz w:val="30"/>
      <w:szCs w:val="28"/>
      <w:lang w:val="en-US" w:eastAsia="zh-CN" w:bidi="ar-SA"/>
    </w:rPr>
  </w:style>
  <w:style w:type="paragraph" w:styleId="969" w:customStyle="1">
    <w:name w:val="List Paragraph1"/>
    <w:basedOn w:val="665"/>
    <w:uiPriority w:val="99"/>
    <w:qFormat/>
    <w:pPr>
      <w:ind w:firstLine="420"/>
    </w:pPr>
    <w:rPr>
      <w:szCs w:val="24"/>
    </w:rPr>
  </w:style>
  <w:style w:type="paragraph" w:styleId="970" w:customStyle="1">
    <w:name w:val="丁华标题2"/>
    <w:basedOn w:val="859"/>
    <w:next w:val="971"/>
    <w:uiPriority w:val="99"/>
    <w:qFormat/>
    <w:pPr>
      <w:numPr>
        <w:numId w:val="2"/>
      </w:numPr>
      <w:spacing w:line="415" w:lineRule="auto"/>
      <w:tabs>
        <w:tab w:val="left" w:pos="567" w:leader="none"/>
        <w:tab w:val="left" w:pos="1004" w:leader="none"/>
      </w:tabs>
    </w:pPr>
    <w:rPr>
      <w:rFonts w:ascii="Arial" w:hAnsi="Arial" w:eastAsia="黑体"/>
      <w:b w:val="0"/>
      <w:sz w:val="28"/>
      <w:szCs w:val="20"/>
    </w:rPr>
  </w:style>
  <w:style w:type="paragraph" w:styleId="971" w:customStyle="1">
    <w:name w:val="丁华正文"/>
    <w:basedOn w:val="935"/>
    <w:uiPriority w:val="99"/>
    <w:qFormat/>
    <w:pPr>
      <w:ind w:left="0" w:firstLine="510"/>
      <w:spacing w:line="360" w:lineRule="auto"/>
    </w:pPr>
    <w:rPr>
      <w:color w:val="000000"/>
      <w:sz w:val="24"/>
    </w:rPr>
  </w:style>
  <w:style w:type="paragraph" w:styleId="972" w:customStyle="1">
    <w:name w:val="xl117"/>
    <w:basedOn w:val="665"/>
    <w:uiPriority w:val="0"/>
    <w:qFormat/>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rPr>
  </w:style>
  <w:style w:type="paragraph" w:styleId="973" w:customStyle="1">
    <w:name w:val="列出段落11"/>
    <w:basedOn w:val="665"/>
    <w:uiPriority w:val="0"/>
    <w:qFormat/>
    <w:pPr>
      <w:ind w:firstLine="200"/>
    </w:pPr>
    <w:rPr>
      <w:rFonts w:ascii="Calibri" w:hAnsi="Calibri" w:cs="Arial"/>
      <w:szCs w:val="22"/>
    </w:rPr>
  </w:style>
  <w:style w:type="paragraph" w:styleId="974" w:customStyle="1">
    <w:name w:val="丁华标题1"/>
    <w:basedOn w:val="858"/>
    <w:next w:val="971"/>
    <w:uiPriority w:val="99"/>
    <w:qFormat/>
    <w:pPr>
      <w:numPr>
        <w:ilvl w:val="0"/>
        <w:numId w:val="2"/>
      </w:numPr>
      <w:ind w:firstLine="0"/>
      <w:jc w:val="left"/>
      <w:keepLines/>
      <w:spacing w:before="0" w:line="578" w:lineRule="auto"/>
      <w:tabs>
        <w:tab w:val="clear" w:pos="567" w:leader="none"/>
      </w:tabs>
    </w:pPr>
    <w:rPr>
      <w:rFonts w:ascii="Times New Roman"/>
      <w:b w:val="0"/>
      <w:sz w:val="32"/>
    </w:rPr>
  </w:style>
  <w:style w:type="paragraph" w:styleId="975" w:customStyle="1">
    <w:name w:val="丁华标题3"/>
    <w:basedOn w:val="970"/>
    <w:next w:val="971"/>
    <w:uiPriority w:val="99"/>
    <w:qFormat/>
    <w:pPr>
      <w:numPr>
        <w:numId w:val="0"/>
      </w:numPr>
      <w:ind w:left="1980" w:hanging="420"/>
      <w:spacing w:after="0"/>
      <w:tabs>
        <w:tab w:val="left" w:pos="1470" w:leader="none"/>
        <w:tab w:val="left" w:pos="1980" w:leader="none"/>
      </w:tabs>
      <w:outlineLvl w:val="2"/>
    </w:pPr>
    <w:rPr>
      <w:sz w:val="24"/>
    </w:rPr>
  </w:style>
  <w:style w:type="paragraph" w:styleId="976" w:customStyle="1">
    <w:name w:val="表格1"/>
    <w:basedOn w:val="665"/>
    <w:uiPriority w:val="99"/>
    <w:qFormat/>
    <w:rPr>
      <w:rFonts w:ascii="宋体"/>
      <w:szCs w:val="21"/>
    </w:rPr>
  </w:style>
  <w:style w:type="paragraph" w:styleId="977" w:customStyle="1">
    <w:name w:val="xl109"/>
    <w:basedOn w:val="66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color w:val="000000"/>
      <w:sz w:val="20"/>
    </w:rPr>
  </w:style>
  <w:style w:type="paragraph" w:styleId="978" w:customStyle="1">
    <w:name w:val="[Normal]"/>
    <w:uiPriority w:val="99"/>
    <w:qFormat/>
    <w:rPr>
      <w:rFonts w:ascii="方正仿宋简体" w:hAnsi="方正仿宋简体" w:eastAsia="方正仿宋简体" w:cs="Courier New"/>
      <w:sz w:val="24"/>
      <w:szCs w:val="22"/>
      <w:lang w:val="zh-CN" w:eastAsia="zh-CN" w:bidi="ar-SA"/>
    </w:rPr>
  </w:style>
  <w:style w:type="paragraph" w:styleId="979" w:customStyle="1">
    <w:name w:val="标题6"/>
    <w:basedOn w:val="883"/>
    <w:uiPriority w:val="99"/>
    <w:qFormat/>
    <w:pPr>
      <w:numPr>
        <w:ilvl w:val="0"/>
        <w:numId w:val="3"/>
      </w:numPr>
      <w:keepLines/>
    </w:pPr>
    <w:rPr>
      <w:b w:val="0"/>
      <w:color w:val="000000"/>
      <w:sz w:val="24"/>
    </w:rPr>
  </w:style>
  <w:style w:type="paragraph" w:styleId="980" w:customStyle="1">
    <w:name w:val="列出段落2"/>
    <w:basedOn w:val="665"/>
    <w:uiPriority w:val="34"/>
    <w:qFormat/>
    <w:pPr>
      <w:ind w:firstLine="420"/>
    </w:pPr>
  </w:style>
  <w:style w:type="paragraph" w:styleId="981" w:customStyle="1">
    <w:name w:val="列出段落1"/>
    <w:basedOn w:val="665"/>
    <w:uiPriority w:val="99"/>
    <w:qFormat/>
    <w:pPr>
      <w:contextualSpacing/>
      <w:ind w:left="720"/>
      <w:jc w:val="left"/>
      <w:widowControl/>
    </w:pPr>
    <w:rPr>
      <w:rFonts w:ascii="Arial" w:hAnsi="Arial" w:eastAsia="黑体"/>
      <w:sz w:val="24"/>
      <w:szCs w:val="24"/>
      <w:lang w:eastAsia="en-US"/>
    </w:rPr>
  </w:style>
  <w:style w:type="paragraph" w:styleId="982" w:customStyle="1">
    <w:name w:val="tableau"/>
    <w:basedOn w:val="665"/>
    <w:uiPriority w:val="99"/>
    <w:qFormat/>
    <w:pPr>
      <w:jc w:val="center"/>
      <w:spacing w:before="20" w:after="20"/>
      <w:widowControl/>
    </w:pPr>
    <w:rPr>
      <w:rFonts w:ascii="Arial" w:hAnsi="Arial"/>
      <w:sz w:val="16"/>
      <w:lang w:eastAsia="en-US"/>
    </w:rPr>
  </w:style>
  <w:style w:type="paragraph" w:styleId="983" w:customStyle="1">
    <w:name w:val="普通正文"/>
    <w:basedOn w:val="665"/>
    <w:uiPriority w:val="0"/>
    <w:qFormat/>
    <w:pPr>
      <w:ind w:firstLine="480"/>
      <w:jc w:val="left"/>
      <w:spacing w:before="120" w:after="120" w:line="360" w:lineRule="auto"/>
    </w:pPr>
    <w:rPr>
      <w:rFonts w:ascii="Arial" w:hAnsi="Arial" w:cs="Arial"/>
      <w:sz w:val="24"/>
      <w:szCs w:val="24"/>
    </w:rPr>
  </w:style>
  <w:style w:type="paragraph" w:styleId="984" w:customStyle="1">
    <w:name w:val="msolistparagraph"/>
    <w:basedOn w:val="665"/>
    <w:uiPriority w:val="99"/>
    <w:qFormat/>
    <w:pPr>
      <w:ind w:firstLine="420"/>
    </w:pPr>
    <w:rPr>
      <w:rFonts w:ascii="Calibri" w:hAnsi="Calibri"/>
      <w:szCs w:val="22"/>
    </w:rPr>
  </w:style>
  <w:style w:type="paragraph" w:styleId="985" w:customStyle="1">
    <w:name w:val="xl116"/>
    <w:basedOn w:val="665"/>
    <w:uiPriority w:val="0"/>
    <w:qFormat/>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986" w:customStyle="1">
    <w:name w:val="默认段落字体 Para Char"/>
    <w:basedOn w:val="665"/>
    <w:uiPriority w:val="99"/>
    <w:qFormat/>
    <w:rPr>
      <w:sz w:val="24"/>
      <w:szCs w:val="24"/>
    </w:rPr>
  </w:style>
  <w:style w:type="paragraph" w:styleId="987" w:customStyle="1">
    <w:name w:val="xl111"/>
    <w:basedOn w:val="66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color w:val="000000"/>
      <w:sz w:val="20"/>
    </w:rPr>
  </w:style>
  <w:style w:type="paragraph" w:styleId="988" w:customStyle="1">
    <w:name w:val="论文正文"/>
    <w:basedOn w:val="922"/>
    <w:uiPriority w:val="99"/>
    <w:qFormat/>
    <w:pPr>
      <w:ind w:left="0" w:firstLine="200"/>
      <w:jc w:val="left"/>
      <w:spacing w:line="360" w:lineRule="auto"/>
    </w:pPr>
    <w:rPr>
      <w:sz w:val="28"/>
      <w:szCs w:val="24"/>
    </w:rPr>
  </w:style>
  <w:style w:type="paragraph" w:styleId="989" w:customStyle="1">
    <w:name w:val="xl107"/>
    <w:basedOn w:val="665"/>
    <w:uiPriority w:val="0"/>
    <w:qFormat/>
    <w:pPr>
      <w:jc w:val="left"/>
      <w:spacing w:before="100" w:beforeAutospacing="1" w:after="100" w:afterAutospacing="1"/>
      <w:widowControl/>
    </w:pPr>
    <w:rPr>
      <w:rFonts w:ascii="Arial" w:hAnsi="Arial" w:cs="Arial"/>
      <w:sz w:val="20"/>
    </w:rPr>
  </w:style>
  <w:style w:type="paragraph" w:styleId="990" w:customStyle="1">
    <w:name w:val="Item Step in Table"/>
    <w:uiPriority w:val="99"/>
    <w:qFormat/>
    <w:pPr>
      <w:numPr>
        <w:ilvl w:val="0"/>
        <w:numId w:val="4"/>
      </w:numPr>
      <w:jc w:val="both"/>
      <w:spacing w:before="40" w:after="40"/>
    </w:pPr>
    <w:rPr>
      <w:rFonts w:ascii="Arial" w:hAnsi="Arial" w:eastAsia="宋体" w:cs="Arial"/>
      <w:sz w:val="18"/>
      <w:szCs w:val="18"/>
      <w:lang w:val="en-US" w:eastAsia="zh-CN" w:bidi="ar-SA"/>
    </w:rPr>
  </w:style>
  <w:style w:type="paragraph" w:styleId="991" w:customStyle="1">
    <w:name w:val="列出段落111"/>
    <w:basedOn w:val="665"/>
    <w:uiPriority w:val="99"/>
    <w:qFormat/>
    <w:pPr>
      <w:ind w:firstLine="420"/>
    </w:pPr>
    <w:rPr>
      <w:rFonts w:ascii="Calibri" w:hAnsi="Calibri"/>
      <w:szCs w:val="22"/>
    </w:rPr>
  </w:style>
  <w:style w:type="paragraph" w:styleId="992" w:customStyle="1">
    <w:name w:val="Char Char Char Char Char Char Char Char Char Char Char Char Char"/>
    <w:basedOn w:val="904"/>
    <w:uiPriority w:val="99"/>
    <w:qFormat/>
    <w:rPr>
      <w:rFonts w:ascii="Tahoma" w:hAnsi="Tahoma"/>
      <w:sz w:val="24"/>
      <w:szCs w:val="24"/>
    </w:rPr>
  </w:style>
  <w:style w:type="paragraph" w:styleId="993" w:customStyle="1">
    <w:name w:val="p0"/>
    <w:basedOn w:val="665"/>
    <w:uiPriority w:val="99"/>
    <w:qFormat/>
    <w:pPr>
      <w:widowControl/>
    </w:pPr>
    <w:rPr>
      <w:szCs w:val="21"/>
    </w:rPr>
  </w:style>
  <w:style w:type="paragraph" w:styleId="994" w:customStyle="1">
    <w:name w:val="列出段落3"/>
    <w:basedOn w:val="665"/>
    <w:uiPriority w:val="34"/>
    <w:qFormat/>
    <w:pPr>
      <w:ind w:firstLine="420"/>
    </w:pPr>
  </w:style>
  <w:style w:type="paragraph" w:styleId="995" w:customStyle="1">
    <w:name w:val="TOC 标题2"/>
    <w:basedOn w:val="858"/>
    <w:next w:val="665"/>
    <w:uiPriority w:val="39"/>
    <w:qFormat/>
    <w:pPr>
      <w:jc w:val="left"/>
      <w:keepLines/>
      <w:spacing w:before="480" w:after="0" w:line="276" w:lineRule="auto"/>
      <w:widowControl/>
      <w:tabs>
        <w:tab w:val="clear" w:pos="1440" w:leader="none"/>
        <w:tab w:val="clear" w:pos="5670" w:leader="none"/>
      </w:tabs>
      <w:outlineLvl w:val="9"/>
    </w:pPr>
    <w:rPr>
      <w:rFonts w:ascii="Cambria" w:hAnsi="Cambria" w:eastAsia="宋体"/>
      <w:bCs/>
      <w:color w:val="365f91"/>
      <w:szCs w:val="28"/>
    </w:rPr>
  </w:style>
  <w:style w:type="paragraph" w:styleId="996" w:customStyle="1">
    <w:name w:val="列出段落4"/>
    <w:basedOn w:val="665"/>
    <w:uiPriority w:val="34"/>
    <w:qFormat/>
    <w:pPr>
      <w:ind w:firstLine="420"/>
    </w:pPr>
  </w:style>
  <w:style w:type="paragraph" w:styleId="997" w:customStyle="1">
    <w:name w:val="Char1"/>
    <w:basedOn w:val="665"/>
    <w:uiPriority w:val="99"/>
    <w:qFormat/>
    <w:pPr>
      <w:jc w:val="left"/>
      <w:spacing w:after="160" w:line="240" w:lineRule="exact"/>
      <w:widowControl/>
    </w:pPr>
    <w:rPr>
      <w:rFonts w:ascii="Verdana" w:hAnsi="Verdana" w:eastAsia="仿宋_GB2312"/>
      <w:sz w:val="24"/>
      <w:lang w:eastAsia="en-US"/>
    </w:rPr>
  </w:style>
  <w:style w:type="paragraph" w:styleId="998" w:customStyle="1">
    <w:name w:val="font5"/>
    <w:basedOn w:val="665"/>
    <w:uiPriority w:val="0"/>
    <w:qFormat/>
    <w:pPr>
      <w:jc w:val="left"/>
      <w:spacing w:before="100" w:beforeAutospacing="1" w:after="100" w:afterAutospacing="1"/>
      <w:widowControl/>
    </w:pPr>
    <w:rPr>
      <w:rFonts w:ascii="宋体" w:hAnsi="宋体" w:cs="宋体"/>
      <w:sz w:val="18"/>
      <w:szCs w:val="18"/>
    </w:rPr>
  </w:style>
  <w:style w:type="paragraph" w:styleId="999"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1000" w:customStyle="1">
    <w:name w:val="Body text|1"/>
    <w:basedOn w:val="665"/>
    <w:uiPriority w:val="0"/>
    <w:qFormat/>
    <w:pPr>
      <w:ind w:firstLine="400"/>
      <w:spacing w:line="305" w:lineRule="auto"/>
    </w:pPr>
    <w:rPr>
      <w:rFonts w:ascii="MingLiU" w:hAnsi="MingLiU" w:eastAsia="MingLiU" w:cs="MingLiU"/>
      <w:sz w:val="20"/>
      <w:lang w:val="zh-TW" w:eastAsia="zh-TW" w:bidi="zh-TW"/>
    </w:rPr>
  </w:style>
  <w:style w:type="paragraph" w:styleId="1001" w:customStyle="1">
    <w:name w:val="Char Char2 Char Char"/>
    <w:basedOn w:val="904"/>
    <w:uiPriority w:val="99"/>
    <w:qFormat/>
    <w:pPr>
      <w:spacing w:line="436" w:lineRule="exact"/>
    </w:pPr>
    <w:rPr>
      <w:rFonts w:ascii="Tahoma" w:hAnsi="Tahoma"/>
      <w:sz w:val="24"/>
    </w:rPr>
  </w:style>
  <w:style w:type="paragraph" w:styleId="1002" w:customStyle="1">
    <w:name w:val="表格内文字"/>
    <w:basedOn w:val="665"/>
    <w:uiPriority w:val="0"/>
    <w:qFormat/>
    <w:pPr>
      <w:spacing w:line="300" w:lineRule="atLeast"/>
    </w:pPr>
    <w:rPr>
      <w:sz w:val="18"/>
    </w:rPr>
  </w:style>
  <w:style w:type="paragraph" w:styleId="1003" w:customStyle="1">
    <w:name w:val="正文空两格"/>
    <w:basedOn w:val="665"/>
    <w:uiPriority w:val="0"/>
    <w:qFormat/>
    <w:pPr>
      <w:ind w:firstLine="200"/>
    </w:pPr>
  </w:style>
  <w:style w:type="paragraph" w:styleId="1004" w:customStyle="1">
    <w:name w:val="xl25"/>
    <w:basedOn w:val="665"/>
    <w:uiPriority w:val="99"/>
    <w:qFormat/>
    <w:pPr>
      <w:jc w:val="center"/>
      <w:spacing w:before="100" w:beforeAutospacing="1" w:after="100" w:afterAutospacing="1"/>
      <w:widowControl/>
      <w:pBdr>
        <w:right w:val="single" w:color="000000" w:sz="4" w:space="0"/>
      </w:pBdr>
    </w:pPr>
    <w:rPr>
      <w:szCs w:val="21"/>
    </w:rPr>
  </w:style>
  <w:style w:type="paragraph" w:styleId="1005" w:customStyle="1">
    <w:name w:val="默认段落字体 Para Char Char Char Char Char Char Char"/>
    <w:basedOn w:val="665"/>
    <w:uiPriority w:val="99"/>
    <w:qFormat/>
  </w:style>
  <w:style w:type="paragraph" w:styleId="1006" w:customStyle="1">
    <w:name w:val="段落"/>
    <w:basedOn w:val="665"/>
    <w:uiPriority w:val="99"/>
    <w:qFormat/>
    <w:pPr>
      <w:ind w:firstLine="480"/>
      <w:spacing w:line="460" w:lineRule="exact"/>
    </w:pPr>
    <w:rPr>
      <w:sz w:val="24"/>
    </w:rPr>
  </w:style>
  <w:style w:type="paragraph" w:styleId="1007" w:customStyle="1">
    <w:name w:val="Table Paragraph"/>
    <w:basedOn w:val="665"/>
    <w:uiPriority w:val="1"/>
    <w:qFormat/>
    <w:pPr>
      <w:jc w:val="left"/>
    </w:pPr>
    <w:rPr>
      <w:rFonts w:ascii="宋体" w:hAnsi="宋体" w:cs="宋体"/>
      <w:sz w:val="22"/>
      <w:lang w:val="zh-CN" w:bidi="zh-CN"/>
    </w:rPr>
  </w:style>
  <w:style w:type="paragraph" w:styleId="1008">
    <w:name w:val="List Paragraph"/>
    <w:basedOn w:val="665"/>
    <w:uiPriority w:val="34"/>
    <w:qFormat/>
    <w:pPr>
      <w:ind w:firstLine="420"/>
    </w:pPr>
  </w:style>
  <w:style w:type="paragraph" w:styleId="1009" w:customStyle="1">
    <w:name w:val="二级条标题"/>
    <w:basedOn w:val="665"/>
    <w:next w:val="665"/>
    <w:uiPriority w:val="0"/>
    <w:qFormat/>
    <w:pPr>
      <w:ind w:left="-420"/>
      <w:jc w:val="left"/>
      <w:widowControl/>
      <w:outlineLvl w:val="3"/>
    </w:pPr>
    <w:rPr>
      <w:rFonts w:eastAsia="黑体"/>
    </w:rPr>
  </w:style>
  <w:style w:type="paragraph" w:styleId="1010" w:customStyle="1">
    <w:name w:val="Char"/>
    <w:basedOn w:val="665"/>
    <w:uiPriority w:val="0"/>
    <w:qFormat/>
    <w:rPr>
      <w:rFonts w:ascii="Tahoma" w:hAnsi="Tahoma" w:cs="仿宋_GB2312"/>
      <w:sz w:val="24"/>
      <w:szCs w:val="28"/>
    </w:rPr>
  </w:style>
  <w:style w:type="paragraph" w:styleId="1011" w:customStyle="1">
    <w:name w:val="Bullets L1"/>
    <w:basedOn w:val="665"/>
    <w:uiPriority w:val="99"/>
    <w:qFormat/>
    <w:pPr>
      <w:numPr>
        <w:ilvl w:val="0"/>
        <w:numId w:val="5"/>
      </w:numPr>
      <w:jc w:val="left"/>
      <w:spacing w:before="60" w:after="60"/>
      <w:widowControl/>
    </w:pPr>
    <w:rPr>
      <w:rFonts w:ascii="Arial" w:hAnsi="Arial"/>
      <w:sz w:val="20"/>
    </w:rPr>
  </w:style>
  <w:style w:type="paragraph" w:styleId="1012" w:customStyle="1">
    <w:name w:val="样式"/>
    <w:basedOn w:val="665"/>
    <w:next w:val="869"/>
    <w:uiPriority w:val="99"/>
    <w:qFormat/>
    <w:rPr>
      <w:rFonts w:ascii="楷体_GB2312" w:hAnsi="Arial" w:eastAsia="楷体_GB2312"/>
      <w:sz w:val="28"/>
    </w:rPr>
  </w:style>
  <w:style w:type="paragraph" w:styleId="1013" w:customStyle="1">
    <w:name w:val="retrait3"/>
    <w:basedOn w:val="665"/>
    <w:uiPriority w:val="99"/>
    <w:qFormat/>
    <w:pPr>
      <w:ind w:left="851"/>
      <w:jc w:val="left"/>
      <w:spacing w:before="20" w:after="20"/>
      <w:widowControl/>
    </w:pPr>
    <w:rPr>
      <w:rFonts w:ascii="Arial" w:hAnsi="Arial"/>
      <w:sz w:val="24"/>
    </w:rPr>
  </w:style>
  <w:style w:type="paragraph" w:styleId="1014" w:customStyle="1">
    <w:name w:val="xl115"/>
    <w:basedOn w:val="66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b/>
      <w:bCs/>
      <w:color w:val="000000"/>
      <w:sz w:val="20"/>
    </w:rPr>
  </w:style>
  <w:style w:type="paragraph" w:styleId="1015" w:customStyle="1">
    <w:name w:val="模板正文"/>
    <w:basedOn w:val="665"/>
    <w:uiPriority w:val="0"/>
    <w:qFormat/>
    <w:pPr>
      <w:ind w:firstLine="200"/>
      <w:spacing w:before="120" w:line="360" w:lineRule="auto"/>
    </w:pPr>
    <w:rPr>
      <w:rFonts w:eastAsia="仿宋_GB2312"/>
      <w:sz w:val="24"/>
      <w:szCs w:val="21"/>
    </w:rPr>
  </w:style>
  <w:style w:type="paragraph" w:styleId="1016" w:customStyle="1">
    <w:name w:val="bt1bt1"/>
    <w:basedOn w:val="858"/>
    <w:uiPriority w:val="99"/>
    <w:qFormat/>
    <w:pPr>
      <w:numPr>
        <w:numId w:val="0"/>
      </w:numPr>
      <w:jc w:val="center"/>
      <w:keepLines/>
      <w:spacing w:before="340" w:after="330"/>
      <w:tabs>
        <w:tab w:val="clear" w:pos="1440" w:leader="none"/>
        <w:tab w:val="clear" w:pos="5670" w:leader="none"/>
      </w:tabs>
    </w:pPr>
    <w:rPr>
      <w:b w:val="0"/>
      <w:bCs/>
      <w:sz w:val="36"/>
      <w:szCs w:val="36"/>
    </w:rPr>
  </w:style>
  <w:style w:type="paragraph" w:styleId="1017" w:customStyle="1">
    <w:name w:val="正文文本缩进1"/>
    <w:basedOn w:val="665"/>
    <w:uiPriority w:val="0"/>
    <w:qFormat/>
    <w:pPr>
      <w:ind w:left="420"/>
      <w:spacing w:after="120"/>
    </w:pPr>
  </w:style>
  <w:style w:type="paragraph" w:styleId="1018" w:customStyle="1">
    <w:name w:val="font6"/>
    <w:basedOn w:val="665"/>
    <w:uiPriority w:val="0"/>
    <w:qFormat/>
    <w:pPr>
      <w:jc w:val="left"/>
      <w:spacing w:before="100" w:beforeAutospacing="1" w:after="100" w:afterAutospacing="1"/>
      <w:widowControl/>
    </w:pPr>
    <w:rPr>
      <w:rFonts w:ascii="宋体" w:hAnsi="宋体" w:cs="宋体"/>
      <w:color w:val="000000"/>
      <w:sz w:val="20"/>
    </w:rPr>
  </w:style>
  <w:style w:type="paragraph" w:styleId="1019" w:customStyle="1">
    <w:name w:val="Char Char Char"/>
    <w:basedOn w:val="904"/>
    <w:uiPriority w:val="99"/>
    <w:qFormat/>
    <w:pPr>
      <w:spacing w:line="436" w:lineRule="exact"/>
    </w:pPr>
    <w:rPr>
      <w:szCs w:val="24"/>
    </w:rPr>
  </w:style>
  <w:style w:type="paragraph" w:styleId="1020" w:customStyle="1">
    <w:name w:val="首行缩进"/>
    <w:basedOn w:val="665"/>
    <w:uiPriority w:val="0"/>
    <w:qFormat/>
    <w:pPr>
      <w:ind w:firstLine="480"/>
      <w:jc w:val="left"/>
      <w:spacing w:line="360" w:lineRule="auto"/>
    </w:pPr>
    <w:rPr>
      <w:rFonts w:ascii="宋体" w:hAnsi="宋体"/>
      <w:sz w:val="24"/>
    </w:rPr>
  </w:style>
  <w:style w:type="paragraph" w:styleId="1021" w:customStyle="1">
    <w:name w:val="xl113"/>
    <w:basedOn w:val="665"/>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color w:val="000000"/>
      <w:sz w:val="20"/>
    </w:rPr>
  </w:style>
  <w:style w:type="paragraph" w:styleId="1022" w:customStyle="1">
    <w:name w:val="Char Char Char Char Char Char Char Char Char Char Char1 Char Char Char1"/>
    <w:basedOn w:val="665"/>
    <w:uiPriority w:val="99"/>
    <w:semiHidden/>
    <w:qFormat/>
    <w:pPr>
      <w:ind w:firstLine="200"/>
      <w:jc w:val="left"/>
    </w:pPr>
    <w:rPr>
      <w:rFonts w:ascii="Tahoma" w:hAnsi="Tahoma"/>
      <w:sz w:val="24"/>
      <w:szCs w:val="24"/>
    </w:rPr>
  </w:style>
  <w:style w:type="paragraph" w:styleId="1023" w:customStyle="1">
    <w:name w:val="xl110"/>
    <w:basedOn w:val="66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1024" w:customStyle="1">
    <w:name w:val="xl114"/>
    <w:basedOn w:val="66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rPr>
  </w:style>
  <w:style w:type="paragraph" w:styleId="1025" w:customStyle="1">
    <w:name w:val="xl112"/>
    <w:basedOn w:val="665"/>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color w:val="000000"/>
      <w:sz w:val="20"/>
    </w:rPr>
  </w:style>
  <w:style w:type="paragraph" w:styleId="1026" w:customStyle="1">
    <w:name w:val="Char Char Char Char"/>
    <w:basedOn w:val="904"/>
    <w:uiPriority w:val="99"/>
    <w:qFormat/>
    <w:pPr>
      <w:spacing w:line="360" w:lineRule="auto"/>
    </w:pPr>
    <w:rPr>
      <w:rFonts w:ascii="Tahoma" w:hAnsi="Tahoma"/>
      <w:sz w:val="24"/>
      <w:szCs w:val="24"/>
    </w:rPr>
  </w:style>
  <w:style w:type="paragraph" w:styleId="1027" w:customStyle="1">
    <w:name w:val="font7"/>
    <w:basedOn w:val="665"/>
    <w:uiPriority w:val="0"/>
    <w:qFormat/>
    <w:pPr>
      <w:jc w:val="left"/>
      <w:spacing w:before="100" w:beforeAutospacing="1" w:after="100" w:afterAutospacing="1"/>
      <w:widowControl/>
    </w:pPr>
    <w:rPr>
      <w:rFonts w:ascii="Arial" w:hAnsi="Arial" w:cs="Arial"/>
      <w:color w:val="000000"/>
      <w:sz w:val="20"/>
    </w:rPr>
  </w:style>
  <w:style w:type="paragraph" w:styleId="1028" w:customStyle="1">
    <w:name w:val="无间隔1"/>
    <w:uiPriority w:val="1"/>
    <w:qFormat/>
    <w:pPr>
      <w:jc w:val="both"/>
      <w:widowControl w:val="off"/>
    </w:pPr>
    <w:rPr>
      <w:rFonts w:ascii="Times New Roman" w:hAnsi="Times New Roman" w:eastAsia="宋体" w:cs="Times New Roman"/>
      <w:sz w:val="21"/>
      <w:lang w:val="en-US" w:eastAsia="zh-CN" w:bidi="ar-SA"/>
    </w:rPr>
  </w:style>
  <w:style w:type="paragraph" w:styleId="1029" w:customStyle="1">
    <w:name w:val="_Style 2"/>
    <w:uiPriority w:val="99"/>
    <w:qFormat/>
    <w:pPr>
      <w:ind w:firstLine="623"/>
      <w:jc w:val="both"/>
      <w:spacing w:line="351" w:lineRule="atLeast"/>
      <w:widowControl w:val="off"/>
    </w:pPr>
    <w:rPr>
      <w:rFonts w:ascii="Times New Roman" w:hAnsi="Times New Roman" w:eastAsia="仿宋_GB2312" w:cs="Times New Roman"/>
      <w:color w:val="000000"/>
      <w:sz w:val="31"/>
      <w:lang w:val="en-US" w:eastAsia="zh-CN" w:bidi="ar-SA"/>
    </w:rPr>
  </w:style>
  <w:style w:type="paragraph" w:styleId="1030" w:customStyle="1">
    <w:name w:val="xl108"/>
    <w:basedOn w:val="66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table" w:styleId="1031" w:customStyle="1">
    <w:name w:val="Table Normal"/>
    <w:uiPriority w:val="2"/>
    <w:unhideWhenUsed/>
    <w:qFormat/>
    <w:tblPr>
      <w:tblCellMar>
        <w:left w:w="0" w:type="dxa"/>
        <w:top w:w="0" w:type="dxa"/>
        <w:right w:w="0" w:type="dxa"/>
        <w:bottom w:w="0" w:type="dxa"/>
      </w:tblCellMar>
    </w:tblPr>
  </w:style>
  <w:style w:type="paragraph" w:styleId="1032" w:customStyle="1">
    <w:name w:val="列表段落1"/>
    <w:basedOn w:val="665"/>
    <w:uiPriority w:val="99"/>
    <w:qFormat/>
    <w:pPr>
      <w:ind w:firstLine="420"/>
    </w:pPr>
  </w:style>
  <w:style w:type="paragraph" w:styleId="1033" w:customStyle="1">
    <w:name w:val="Heading #2|1"/>
    <w:basedOn w:val="665"/>
    <w:uiPriority w:val="0"/>
    <w:qFormat/>
    <w:pPr>
      <w:jc w:val="center"/>
      <w:spacing w:after="500" w:line="571" w:lineRule="exact"/>
      <w:outlineLvl w:val="1"/>
    </w:pPr>
    <w:rPr>
      <w:rFonts w:ascii="宋体" w:hAnsi="宋体" w:cs="宋体"/>
      <w:sz w:val="34"/>
      <w:szCs w:val="34"/>
      <w:lang w:val="zh-TW" w:eastAsia="zh-TW" w:bidi="zh-TW"/>
    </w:rPr>
  </w:style>
  <w:style w:type="paragraph" w:styleId="1034" w:customStyle="1">
    <w:name w:val="无间隔11"/>
    <w:uiPriority w:val="0"/>
    <w:qFormat/>
    <w:pPr>
      <w:jc w:val="both"/>
      <w:widowControl w:val="off"/>
    </w:pPr>
    <w:rPr>
      <w:rFonts w:ascii="Calibri" w:hAnsi="Calibri" w:eastAsia="宋体" w:cs="Times New Roman"/>
      <w:sz w:val="21"/>
      <w:szCs w:val="22"/>
      <w:lang w:val="en-US" w:eastAsia="zh-CN" w:bidi="ar-SA"/>
    </w:rPr>
  </w:style>
  <w:style w:type="character" w:styleId="1035" w:customStyle="1">
    <w:name w:val="明显强调1"/>
    <w:uiPriority w:val="21"/>
    <w:qFormat/>
    <w:rPr>
      <w:i/>
      <w:iCs/>
      <w:color w:val="365f91"/>
    </w:rPr>
  </w:style>
  <w:style w:type="character" w:styleId="1036" w:customStyle="1">
    <w:name w:val="明显参考1"/>
    <w:uiPriority w:val="32"/>
    <w:qFormat/>
    <w:rPr>
      <w:b/>
      <w:bCs/>
      <w:smallCaps/>
      <w:color w:val="365f91"/>
      <w:spacing w:val="5"/>
    </w:rPr>
  </w:style>
  <w:style w:type="character" w:styleId="1037" w:customStyle="1">
    <w:name w:val="批注文字 Char1"/>
    <w:link w:val="680"/>
    <w:uiPriority w:val="99"/>
    <w:semiHidden/>
    <w:qFormat/>
    <w:rPr>
      <w:sz w:val="21"/>
    </w:rPr>
  </w:style>
  <w:style w:type="character" w:styleId="1038" w:customStyle="1">
    <w:name w:val="批注主题 Char1"/>
    <w:link w:val="700"/>
    <w:uiPriority w:val="99"/>
    <w:semiHidden/>
    <w:qFormat/>
    <w:rPr>
      <w:b/>
      <w:bCs/>
      <w:sz w:val="21"/>
    </w:rPr>
  </w:style>
  <w:style w:type="character" w:styleId="1039" w:customStyle="1">
    <w:name w:val="批注框文本 Char1"/>
    <w:basedOn w:val="675"/>
    <w:link w:val="687"/>
    <w:uiPriority w:val="99"/>
    <w:semiHidden/>
    <w:qFormat/>
    <w:rPr>
      <w:sz w:val="18"/>
      <w:szCs w:val="18"/>
    </w:rPr>
  </w:style>
  <w:style w:type="character" w:styleId="1040" w:customStyle="1">
    <w:name w:val="font51"/>
    <w:uiPriority w:val="0"/>
    <w:qFormat/>
    <w:rPr>
      <w:rFonts w:ascii="Times New Roman" w:hAnsi="Times New Roman" w:eastAsia="宋体" w:cs="Times New Roman"/>
      <w:sz w:val="21"/>
      <w:lang w:val="en-US" w:eastAsia="zh-CN" w:bidi="ar-SA"/>
    </w:rPr>
  </w:style>
  <w:style w:type="numbering" w:styleId="1860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H</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dc:creator>
  <cp:lastModifiedBy>单蓉蓉</cp:lastModifiedBy>
  <cp:revision>10</cp:revision>
  <dcterms:created xsi:type="dcterms:W3CDTF">2026-09-08T02:58:00Z</dcterms:created>
  <dcterms:modified xsi:type="dcterms:W3CDTF">2026-09-11T07:40:20Z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eyJoZGlkIjoiYzg1ZGUxYTY5MGVjNzViZjY4MmRiY2Q5MDg5OGFhNDYiLCJ1c2VySWQiOiI1ODM3MTE1NTUifQ==</vt:lpwstr>
  </property>
  <property fmtid="{D5CDD505-2E9C-101B-9397-08002B2CF9AE}" pid="3" name="KSOProductBuildVer">
    <vt:lpwstr>2052-12.1.0.24034</vt:lpwstr>
  </property>
  <property fmtid="{D5CDD505-2E9C-101B-9397-08002B2CF9AE}" pid="4" name="ICV">
    <vt:lpwstr>3CEDF5C7E8F445EABDA95B8831E145FC_13</vt:lpwstr>
  </property>
</Properties>
</file>