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line="360" w:lineRule="auto"/>
        <w:tabs>
          <w:tab w:val="left" w:pos="2500" w:leader="none"/>
        </w:tabs>
        <w:rPr>
          <w:sz w:val="24"/>
          <w:szCs w:val="24"/>
          <w:highlight w:val="none"/>
        </w:rPr>
      </w:pPr>
      <w:r>
        <w:rPr>
          <w:sz w:val="24"/>
          <w:szCs w:val="24"/>
          <w:highlight w:val="none"/>
        </w:rPr>
        <w:t xml:space="preserve">    </w:t>
      </w:r>
      <w:r/>
    </w:p>
    <w:p>
      <w:pPr>
        <w:pStyle w:val="724"/>
        <w:jc w:val="center"/>
        <w:spacing w:line="360" w:lineRule="auto"/>
        <w:rPr>
          <w:b/>
          <w:sz w:val="24"/>
          <w:szCs w:val="24"/>
          <w:highlight w:val="none"/>
          <w:lang w:val="en-US" w:bidi="ar-SA"/>
        </w:rPr>
      </w:pPr>
      <w:r>
        <w:rPr>
          <w:b/>
          <w:sz w:val="24"/>
          <w:szCs w:val="24"/>
          <w:highlight w:val="none"/>
          <w:lang w:val="en-US" w:bidi="ar-SA"/>
        </w:rPr>
      </w:r>
      <w:r/>
    </w:p>
    <w:p>
      <w:pPr>
        <w:pStyle w:val="724"/>
        <w:jc w:val="center"/>
        <w:spacing w:line="360" w:lineRule="auto"/>
        <w:rPr>
          <w:b/>
          <w:sz w:val="40"/>
          <w:szCs w:val="40"/>
          <w:highlight w:val="none"/>
          <w:lang w:val="en-US" w:bidi="ar-SA"/>
        </w:rPr>
      </w:pPr>
      <w:r>
        <w:rPr>
          <w:rFonts w:hint="eastAsia"/>
          <w:b/>
          <w:sz w:val="40"/>
          <w:szCs w:val="40"/>
          <w:highlight w:val="none"/>
          <w:lang w:val="en-US" w:bidi="ar-SA"/>
        </w:rPr>
        <w:t xml:space="preserve">江苏省环境监测中心</w:t>
      </w:r>
      <w:r/>
    </w:p>
    <w:p>
      <w:pPr>
        <w:jc w:val="center"/>
        <w:spacing w:line="360" w:lineRule="auto"/>
        <w:rPr>
          <w:b/>
          <w:sz w:val="40"/>
          <w:szCs w:val="40"/>
          <w:highlight w:val="none"/>
          <w:lang w:val="en-US" w:bidi="ar-SA"/>
        </w:rPr>
      </w:pPr>
      <w:r/>
      <w:bookmarkStart w:id="0" w:name="OLE_LINK1"/>
      <w:r/>
      <w:bookmarkStart w:id="1" w:name="OLE_LINK4"/>
      <w:r>
        <w:rPr>
          <w:b/>
          <w:sz w:val="40"/>
          <w:szCs w:val="40"/>
          <w:highlight w:val="none"/>
          <w:lang w:val="en-US" w:bidi="ar-SA"/>
        </w:rPr>
        <w:t xml:space="preserve">2026年江苏省环境监控系统二期工程重污染天气监测预报预警系统运维项目</w:t>
      </w:r>
      <w:bookmarkEnd w:id="0"/>
      <w:r/>
      <w:bookmarkEnd w:id="1"/>
      <w:r/>
      <w:r/>
    </w:p>
    <w:p>
      <w:pPr>
        <w:jc w:val="center"/>
        <w:rPr>
          <w:sz w:val="40"/>
          <w:szCs w:val="40"/>
          <w:highlight w:val="none"/>
          <w:lang w:val="en-US" w:bidi="ar-SA"/>
        </w:rPr>
      </w:pPr>
      <w:r>
        <w:rPr>
          <w:sz w:val="40"/>
          <w:szCs w:val="40"/>
          <w:highlight w:val="none"/>
          <w:lang w:val="en-US" w:bidi="ar-SA"/>
        </w:rPr>
      </w:r>
      <w:r/>
    </w:p>
    <w:p>
      <w:pPr>
        <w:jc w:val="center"/>
        <w:rPr>
          <w:sz w:val="40"/>
          <w:szCs w:val="40"/>
          <w:highlight w:val="none"/>
          <w:lang w:val="en-US" w:bidi="ar-SA"/>
        </w:rPr>
      </w:pPr>
      <w:r>
        <w:rPr>
          <w:sz w:val="40"/>
          <w:szCs w:val="40"/>
          <w:highlight w:val="none"/>
          <w:lang w:val="en-US" w:bidi="ar-SA"/>
        </w:rPr>
      </w:r>
      <w:r/>
    </w:p>
    <w:p>
      <w:pPr>
        <w:pStyle w:val="724"/>
        <w:jc w:val="center"/>
        <w:rPr>
          <w:sz w:val="40"/>
          <w:szCs w:val="40"/>
          <w:highlight w:val="none"/>
          <w:lang w:val="en-US" w:bidi="ar-SA"/>
        </w:rPr>
      </w:pPr>
      <w:r>
        <w:rPr>
          <w:sz w:val="40"/>
          <w:szCs w:val="40"/>
          <w:highlight w:val="none"/>
          <w:lang w:val="en-US" w:bidi="ar-SA"/>
        </w:rPr>
        <mc:AlternateContent>
          <mc:Choice Requires="wpg">
            <w:drawing>
              <wp:inline xmlns:wp="http://schemas.openxmlformats.org/drawingml/2006/wordprocessingDrawing" distT="0" distB="0" distL="0" distR="0">
                <wp:extent cx="1752600" cy="2133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752599"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8.0pt;height:168.0pt;mso-wrap-distance-left:0.0pt;mso-wrap-distance-top:0.0pt;mso-wrap-distance-right:0.0pt;mso-wrap-distance-bottom:0.0pt;" stroked="f">
                <v:path textboxrect="0,0,0,0"/>
                <v:imagedata r:id="rId12" o:title=""/>
              </v:shape>
            </w:pict>
          </mc:Fallback>
        </mc:AlternateContent>
      </w:r>
      <w:r/>
    </w:p>
    <w:p>
      <w:pPr>
        <w:jc w:val="center"/>
        <w:spacing w:line="360" w:lineRule="auto"/>
        <w:rPr>
          <w:b/>
          <w:bCs/>
          <w:sz w:val="40"/>
          <w:szCs w:val="40"/>
          <w:highlight w:val="none"/>
          <w:lang w:val="en-US" w:bidi="ar-SA"/>
        </w:rPr>
      </w:pPr>
      <w:r>
        <w:rPr>
          <w:rFonts w:hint="eastAsia"/>
          <w:b/>
          <w:bCs/>
          <w:sz w:val="40"/>
          <w:szCs w:val="40"/>
          <w:highlight w:val="none"/>
          <w:lang w:val="en-US" w:bidi="ar-SA"/>
        </w:rPr>
        <w:t xml:space="preserve">招 标 文 件</w:t>
      </w:r>
      <w:r/>
    </w:p>
    <w:p>
      <w:pPr>
        <w:jc w:val="center"/>
        <w:spacing w:line="360" w:lineRule="auto"/>
        <w:rPr>
          <w:b/>
          <w:bCs/>
          <w:sz w:val="40"/>
          <w:szCs w:val="40"/>
          <w:highlight w:val="none"/>
          <w:lang w:val="en-US" w:bidi="ar-SA"/>
        </w:rPr>
      </w:pPr>
      <w:r>
        <w:rPr>
          <w:rFonts w:hint="eastAsia"/>
          <w:b/>
          <w:bCs/>
          <w:sz w:val="40"/>
          <w:szCs w:val="40"/>
          <w:highlight w:val="none"/>
          <w:lang w:val="en-US" w:bidi="ar-SA"/>
        </w:rPr>
        <w:t xml:space="preserve">项目编号：</w:t>
      </w:r>
      <w:r>
        <w:rPr>
          <w:b/>
          <w:bCs/>
          <w:sz w:val="40"/>
          <w:szCs w:val="40"/>
          <w:highlight w:val="none"/>
          <w:lang w:val="en-US" w:bidi="ar-SA"/>
        </w:rPr>
        <w:t xml:space="preserve"> </w:t>
      </w:r>
      <w:r>
        <w:rPr>
          <w:rFonts w:hint="eastAsia"/>
          <w:b/>
          <w:bCs/>
          <w:sz w:val="40"/>
          <w:szCs w:val="40"/>
          <w:highlight w:val="none"/>
          <w:lang w:val="en-US" w:eastAsia="zh-CN" w:bidi="ar-SA"/>
        </w:rPr>
        <w:t xml:space="preserve">JSZC-320000-SNZX-G2026-0130</w:t>
      </w:r>
      <w:r/>
    </w:p>
    <w:p>
      <w:pPr>
        <w:jc w:val="center"/>
        <w:spacing w:line="360" w:lineRule="auto"/>
        <w:rPr>
          <w:b/>
          <w:bCs/>
          <w:sz w:val="40"/>
          <w:szCs w:val="40"/>
          <w:highlight w:val="none"/>
          <w:lang w:val="en-US" w:bidi="ar-SA"/>
        </w:rPr>
      </w:pPr>
      <w:r>
        <w:rPr>
          <w:b/>
          <w:bCs/>
          <w:sz w:val="40"/>
          <w:szCs w:val="40"/>
          <w:highlight w:val="none"/>
          <w:lang w:val="en-US" w:bidi="ar-SA"/>
        </w:rPr>
      </w:r>
      <w:r/>
    </w:p>
    <w:p>
      <w:pPr>
        <w:spacing w:line="360" w:lineRule="auto"/>
        <w:rPr>
          <w:b/>
          <w:bCs/>
          <w:sz w:val="40"/>
          <w:szCs w:val="40"/>
          <w:highlight w:val="none"/>
          <w:lang w:val="en-US" w:bidi="ar-SA"/>
        </w:rPr>
      </w:pPr>
      <w:r>
        <w:rPr>
          <w:b/>
          <w:bCs/>
          <w:sz w:val="40"/>
          <w:szCs w:val="40"/>
          <w:highlight w:val="none"/>
          <w:lang w:val="en-US" w:bidi="ar-SA"/>
        </w:rPr>
      </w:r>
      <w:r/>
    </w:p>
    <w:p>
      <w:pPr>
        <w:spacing w:line="360" w:lineRule="auto"/>
        <w:rPr>
          <w:b/>
          <w:bCs/>
          <w:sz w:val="40"/>
          <w:szCs w:val="40"/>
          <w:highlight w:val="none"/>
          <w:lang w:val="en-US" w:bidi="ar-SA"/>
        </w:rPr>
      </w:pPr>
      <w:r>
        <w:rPr>
          <w:b/>
          <w:bCs/>
          <w:sz w:val="40"/>
          <w:szCs w:val="40"/>
          <w:highlight w:val="none"/>
          <w:lang w:val="en-US" w:bidi="ar-SA"/>
        </w:rPr>
      </w:r>
      <w:r/>
    </w:p>
    <w:p>
      <w:pPr>
        <w:ind w:firstLine="1606"/>
        <w:spacing w:line="360" w:lineRule="auto"/>
        <w:rPr>
          <w:b/>
          <w:bCs/>
          <w:sz w:val="40"/>
          <w:szCs w:val="40"/>
          <w:highlight w:val="none"/>
          <w:lang w:val="en-US" w:bidi="ar-SA"/>
        </w:rPr>
      </w:pPr>
      <w:r>
        <w:rPr>
          <w:rFonts w:hint="eastAsia"/>
          <w:b/>
          <w:bCs/>
          <w:sz w:val="40"/>
          <w:szCs w:val="40"/>
          <w:highlight w:val="none"/>
          <w:lang w:val="en-US" w:bidi="ar-SA"/>
        </w:rPr>
        <w:t xml:space="preserve">采购人：</w:t>
      </w:r>
      <w:bookmarkStart w:id="2" w:name="OLE_LINK3"/>
      <w:r/>
      <w:bookmarkStart w:id="3" w:name="OLE_LINK2"/>
      <w:r>
        <w:rPr>
          <w:rFonts w:hint="eastAsia"/>
          <w:b/>
          <w:bCs/>
          <w:sz w:val="40"/>
          <w:szCs w:val="40"/>
          <w:highlight w:val="none"/>
          <w:lang w:val="en-US" w:bidi="ar-SA"/>
        </w:rPr>
        <w:t xml:space="preserve">江苏省环境监测中心</w:t>
      </w:r>
      <w:bookmarkEnd w:id="2"/>
      <w:r/>
      <w:bookmarkEnd w:id="3"/>
      <w:r/>
      <w:r/>
    </w:p>
    <w:p>
      <w:pPr>
        <w:ind w:firstLine="1606"/>
        <w:spacing w:line="360" w:lineRule="auto"/>
        <w:rPr>
          <w:b/>
          <w:bCs/>
          <w:sz w:val="40"/>
          <w:szCs w:val="40"/>
          <w:highlight w:val="none"/>
          <w:lang w:val="en-US" w:bidi="ar-SA"/>
        </w:rPr>
      </w:pPr>
      <w:r>
        <w:rPr>
          <w:rFonts w:hint="eastAsia"/>
          <w:b/>
          <w:bCs/>
          <w:sz w:val="40"/>
          <w:szCs w:val="40"/>
          <w:highlight w:val="none"/>
          <w:lang w:val="en-US" w:bidi="ar-SA"/>
        </w:rPr>
        <w:t xml:space="preserve">采购代理机构：南京苏宁工程咨询有限公司</w:t>
      </w:r>
      <w:r/>
    </w:p>
    <w:p>
      <w:pPr>
        <w:ind w:firstLine="1606"/>
        <w:spacing w:line="360" w:lineRule="auto"/>
        <w:rPr>
          <w:b/>
          <w:bCs/>
          <w:sz w:val="40"/>
          <w:szCs w:val="40"/>
          <w:highlight w:val="none"/>
          <w:lang w:val="en-US" w:bidi="ar-SA"/>
        </w:rPr>
      </w:pPr>
      <w:r>
        <w:rPr>
          <w:rFonts w:hint="eastAsia"/>
          <w:b/>
          <w:bCs/>
          <w:sz w:val="40"/>
          <w:szCs w:val="40"/>
          <w:highlight w:val="none"/>
          <w:lang w:val="en-US" w:bidi="ar-SA"/>
        </w:rPr>
        <w:t xml:space="preserve">日期：二〇二六年</w:t>
      </w:r>
      <w:r>
        <w:rPr>
          <w:rFonts w:hint="eastAsia"/>
          <w:b/>
          <w:bCs/>
          <w:sz w:val="40"/>
          <w:szCs w:val="40"/>
          <w:highlight w:val="none"/>
          <w:lang w:val="en-US" w:bidi="ar-SA"/>
        </w:rPr>
        <w:t xml:space="preserve">九</w:t>
      </w:r>
      <w:r>
        <w:rPr>
          <w:rFonts w:hint="eastAsia"/>
          <w:b/>
          <w:bCs/>
          <w:sz w:val="40"/>
          <w:szCs w:val="40"/>
          <w:highlight w:val="none"/>
          <w:lang w:val="en-US" w:bidi="ar-SA"/>
        </w:rPr>
        <w:t xml:space="preserve">月</w:t>
      </w:r>
      <w:r/>
    </w:p>
    <w:p>
      <w:pPr>
        <w:jc w:val="center"/>
        <w:widowControl/>
        <w:rPr>
          <w:b/>
          <w:bCs/>
          <w:sz w:val="28"/>
          <w:szCs w:val="28"/>
          <w:highlight w:val="none"/>
          <w:lang w:val="en-US"/>
        </w:rPr>
        <w:outlineLvl w:val="0"/>
      </w:pPr>
      <w:r>
        <w:rPr>
          <w:rFonts w:hint="eastAsia"/>
          <w:spacing w:val="-10"/>
          <w:sz w:val="24"/>
          <w:szCs w:val="24"/>
          <w:highlight w:val="none"/>
          <w:lang w:val="en-US"/>
        </w:rPr>
        <w:br w:type="page" w:clear="all"/>
      </w:r>
      <w:r>
        <w:rPr>
          <w:rFonts w:hint="eastAsia"/>
          <w:b/>
          <w:bCs/>
          <w:sz w:val="28"/>
          <w:szCs w:val="28"/>
          <w:highlight w:val="none"/>
        </w:rPr>
        <w:t xml:space="preserve">第一章</w:t>
      </w:r>
      <w:r>
        <w:rPr>
          <w:rFonts w:hint="eastAsia"/>
          <w:b/>
          <w:bCs/>
          <w:sz w:val="28"/>
          <w:szCs w:val="28"/>
          <w:highlight w:val="none"/>
          <w:lang w:val="en-US"/>
        </w:rPr>
        <w:t xml:space="preserve">  招标公告</w:t>
      </w:r>
      <w:r/>
    </w:p>
    <w:tbl>
      <w:tblPr>
        <w:tblStyle w:val="719"/>
        <w:tblW w:w="4850" w:type="pct"/>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67"/>
      </w:tblGrid>
      <w:tr>
        <w:trPr/>
        <w:tc>
          <w:tcPr>
            <w:tcW w:w="5000" w:type="dxa"/>
            <w:textDirection w:val="lrTb"/>
            <w:noWrap w:val="false"/>
          </w:tcPr>
          <w:p>
            <w:pPr>
              <w:jc w:val="both"/>
              <w:spacing w:line="360" w:lineRule="auto"/>
              <w:rPr>
                <w:sz w:val="21"/>
                <w:szCs w:val="21"/>
                <w:highlight w:val="none"/>
              </w:rPr>
            </w:pPr>
            <w:r/>
            <w:bookmarkStart w:id="4" w:name="_Toc28359079"/>
            <w:r/>
            <w:bookmarkStart w:id="5" w:name="_Toc35393621"/>
            <w:r/>
            <w:bookmarkStart w:id="6" w:name="_Toc35393790"/>
            <w:r/>
            <w:bookmarkStart w:id="7" w:name="_Toc28359002"/>
            <w:r/>
            <w:bookmarkStart w:id="8" w:name="_Hlk24379207"/>
            <w:r/>
            <w:bookmarkStart w:id="9" w:name="_Toc28358998"/>
            <w:r/>
            <w:bookmarkStart w:id="10" w:name="_Toc28359075"/>
            <w:r/>
            <w:bookmarkStart w:id="11" w:name="_Toc35393786"/>
            <w:r/>
            <w:bookmarkStart w:id="12" w:name="_Toc35393617"/>
            <w:r>
              <w:rPr>
                <w:rFonts w:hint="eastAsia"/>
                <w:sz w:val="21"/>
                <w:szCs w:val="21"/>
                <w:highlight w:val="none"/>
              </w:rPr>
              <w:t xml:space="preserve">项目概况</w:t>
            </w:r>
            <w:r/>
          </w:p>
          <w:p>
            <w:pPr>
              <w:ind w:firstLine="420"/>
              <w:jc w:val="both"/>
              <w:spacing w:line="360" w:lineRule="auto"/>
              <w:rPr>
                <w:sz w:val="24"/>
                <w:szCs w:val="24"/>
                <w:highlight w:val="none"/>
              </w:rPr>
            </w:pPr>
            <w:r>
              <w:rPr>
                <w:rFonts w:hint="eastAsia"/>
                <w:sz w:val="21"/>
                <w:szCs w:val="21"/>
                <w:highlight w:val="none"/>
                <w:u w:val="single"/>
                <w:lang w:val="en-US"/>
              </w:rPr>
              <w:t xml:space="preserve">江苏省环境监测中心2026年江苏省环境监控系统二期工程重污染天气监测预报预警系统运维项目</w:t>
            </w:r>
            <w:r>
              <w:rPr>
                <w:rFonts w:hint="eastAsia"/>
                <w:sz w:val="21"/>
                <w:szCs w:val="21"/>
                <w:highlight w:val="none"/>
              </w:rPr>
              <w:t xml:space="preserve">招标项目的潜在</w:t>
            </w:r>
            <w:r>
              <w:rPr>
                <w:rFonts w:hint="eastAsia"/>
                <w:sz w:val="21"/>
                <w:szCs w:val="21"/>
                <w:highlight w:val="none"/>
                <w:lang w:val="en-US"/>
              </w:rPr>
              <w:t xml:space="preserve">供应商</w:t>
            </w:r>
            <w:r>
              <w:rPr>
                <w:rFonts w:hint="eastAsia"/>
                <w:sz w:val="21"/>
                <w:szCs w:val="21"/>
                <w:highlight w:val="none"/>
              </w:rPr>
              <w:t xml:space="preserve">应在</w:t>
            </w:r>
            <w:r>
              <w:rPr>
                <w:rFonts w:hint="eastAsia"/>
                <w:sz w:val="21"/>
                <w:szCs w:val="21"/>
                <w:highlight w:val="none"/>
                <w:u w:val="single"/>
              </w:rPr>
              <w:t xml:space="preserve">“江苏政府采购网”</w:t>
            </w:r>
            <w:r>
              <w:rPr>
                <w:rFonts w:hint="eastAsia"/>
                <w:sz w:val="21"/>
                <w:szCs w:val="21"/>
                <w:highlight w:val="none"/>
              </w:rPr>
              <w:t xml:space="preserve">获取招标文件，并于</w:t>
            </w:r>
            <w:r>
              <w:rPr>
                <w:rFonts w:hint="eastAsia"/>
                <w:sz w:val="21"/>
                <w:szCs w:val="21"/>
                <w:highlight w:val="none"/>
                <w:u w:val="single"/>
              </w:rPr>
              <w:t xml:space="preserve">202</w:t>
            </w:r>
            <w:r>
              <w:rPr>
                <w:rFonts w:hint="eastAsia"/>
                <w:sz w:val="21"/>
                <w:szCs w:val="21"/>
                <w:highlight w:val="none"/>
                <w:u w:val="single"/>
                <w:lang w:val="en-US"/>
              </w:rPr>
              <w:t xml:space="preserve">6</w:t>
            </w:r>
            <w:r>
              <w:rPr>
                <w:rFonts w:hint="eastAsia"/>
                <w:sz w:val="21"/>
                <w:szCs w:val="21"/>
                <w:highlight w:val="none"/>
                <w:u w:val="single"/>
              </w:rPr>
              <w:t xml:space="preserve">-0</w:t>
            </w:r>
            <w:r>
              <w:rPr>
                <w:rFonts w:hint="eastAsia"/>
                <w:sz w:val="21"/>
                <w:szCs w:val="21"/>
                <w:highlight w:val="none"/>
                <w:u w:val="single"/>
                <w:lang w:val="en-US"/>
              </w:rPr>
              <w:t xml:space="preserve">9</w:t>
            </w:r>
            <w:r>
              <w:rPr>
                <w:rFonts w:hint="eastAsia"/>
                <w:sz w:val="21"/>
                <w:szCs w:val="21"/>
                <w:highlight w:val="none"/>
                <w:u w:val="single"/>
              </w:rPr>
              <w:t xml:space="preserve">-23</w:t>
            </w:r>
            <w:r>
              <w:rPr>
                <w:sz w:val="21"/>
                <w:szCs w:val="21"/>
                <w:highlight w:val="none"/>
                <w:u w:val="single"/>
              </w:rPr>
              <w:t xml:space="preserve"> 0</w:t>
            </w:r>
            <w:r>
              <w:rPr>
                <w:rFonts w:hint="eastAsia"/>
                <w:sz w:val="21"/>
                <w:szCs w:val="21"/>
                <w:highlight w:val="none"/>
                <w:u w:val="single"/>
                <w:lang w:val="en-US"/>
              </w:rPr>
              <w:t xml:space="preserve">9</w:t>
            </w:r>
            <w:r>
              <w:rPr>
                <w:rFonts w:hint="eastAsia"/>
                <w:sz w:val="21"/>
                <w:szCs w:val="21"/>
                <w:highlight w:val="none"/>
                <w:u w:val="single"/>
              </w:rPr>
              <w:t xml:space="preserve">：30</w:t>
            </w:r>
            <w:r>
              <w:rPr>
                <w:rFonts w:hint="eastAsia"/>
                <w:bCs/>
                <w:sz w:val="21"/>
                <w:szCs w:val="21"/>
                <w:highlight w:val="none"/>
              </w:rPr>
              <w:t xml:space="preserve">（北京时间）前递交投标文件</w:t>
            </w:r>
            <w:r>
              <w:rPr>
                <w:rFonts w:hint="eastAsia"/>
                <w:sz w:val="21"/>
                <w:szCs w:val="21"/>
                <w:highlight w:val="none"/>
              </w:rPr>
              <w:t xml:space="preserve">。</w:t>
            </w:r>
            <w:r/>
          </w:p>
        </w:tc>
      </w:tr>
    </w:tbl>
    <w:p>
      <w:pPr>
        <w:pStyle w:val="724"/>
        <w:ind w:firstLine="420"/>
        <w:spacing w:line="360" w:lineRule="auto"/>
        <w:tabs>
          <w:tab w:val="left" w:pos="960" w:leader="none"/>
        </w:tabs>
        <w:rPr>
          <w:b/>
          <w:highlight w:val="none"/>
        </w:rPr>
      </w:pPr>
      <w:r>
        <w:rPr>
          <w:rFonts w:hint="eastAsia"/>
          <w:b/>
          <w:highlight w:val="none"/>
        </w:rPr>
        <w:t xml:space="preserve">一、项目基本情况</w:t>
      </w:r>
      <w:bookmarkEnd w:id="4"/>
      <w:r/>
      <w:bookmarkEnd w:id="5"/>
      <w:r/>
      <w:bookmarkEnd w:id="6"/>
      <w:r/>
      <w:bookmarkEnd w:id="7"/>
      <w:r/>
      <w:r/>
    </w:p>
    <w:p>
      <w:pPr>
        <w:pStyle w:val="724"/>
        <w:ind w:firstLine="420"/>
        <w:spacing w:line="360" w:lineRule="auto"/>
        <w:rPr>
          <w:rFonts w:hint="eastAsia" w:eastAsia="宋体"/>
          <w:highlight w:val="none"/>
          <w:lang w:eastAsia="zh-CN"/>
        </w:rPr>
      </w:pPr>
      <w:r>
        <w:rPr>
          <w:rFonts w:hint="eastAsia"/>
          <w:highlight w:val="none"/>
        </w:rPr>
        <w:t xml:space="preserve">项目编号：</w:t>
      </w:r>
      <w:r>
        <w:rPr>
          <w:rFonts w:hint="eastAsia"/>
          <w:highlight w:val="none"/>
          <w:lang w:val="en-US" w:eastAsia="zh-CN"/>
        </w:rPr>
        <w:t xml:space="preserve">JSZC-320000-SNZX-G2026-0130</w:t>
      </w:r>
      <w:r/>
    </w:p>
    <w:p>
      <w:pPr>
        <w:pStyle w:val="724"/>
        <w:ind w:firstLine="420"/>
        <w:spacing w:line="360" w:lineRule="auto"/>
        <w:rPr>
          <w:highlight w:val="none"/>
        </w:rPr>
      </w:pPr>
      <w:r>
        <w:rPr>
          <w:rFonts w:hint="eastAsia"/>
          <w:highlight w:val="none"/>
        </w:rPr>
        <w:t xml:space="preserve">项目名称：</w:t>
      </w:r>
      <w:bookmarkEnd w:id="8"/>
      <w:r>
        <w:rPr>
          <w:highlight w:val="none"/>
        </w:rPr>
        <w:t xml:space="preserve">2026年江苏省环境监控系统二期工程重污染天气监测预报预警系统运维项目</w:t>
      </w:r>
      <w:r/>
    </w:p>
    <w:p>
      <w:pPr>
        <w:pStyle w:val="724"/>
        <w:ind w:firstLine="420"/>
        <w:spacing w:line="360" w:lineRule="auto"/>
        <w:rPr>
          <w:highlight w:val="none"/>
        </w:rPr>
      </w:pPr>
      <w:r>
        <w:rPr>
          <w:rFonts w:hint="eastAsia"/>
          <w:highlight w:val="none"/>
        </w:rPr>
        <w:t xml:space="preserve">预算金额：</w:t>
      </w:r>
      <w:r>
        <w:rPr>
          <w:rFonts w:hint="eastAsia"/>
          <w:highlight w:val="none"/>
          <w:lang w:val="en-US"/>
        </w:rPr>
        <w:t xml:space="preserve">160万元</w:t>
      </w:r>
      <w:r>
        <w:rPr>
          <w:rFonts w:hint="eastAsia"/>
          <w:highlight w:val="none"/>
        </w:rPr>
        <w:t xml:space="preserve">（采购</w:t>
      </w:r>
      <w:bookmarkStart w:id="44" w:name="_GoBack"/>
      <w:r/>
      <w:bookmarkEnd w:id="44"/>
      <w:r>
        <w:rPr>
          <w:rFonts w:hint="eastAsia"/>
          <w:highlight w:val="none"/>
        </w:rPr>
        <w:t xml:space="preserve">包1：</w:t>
      </w:r>
      <w:r>
        <w:rPr>
          <w:rFonts w:hint="eastAsia"/>
          <w:highlight w:val="none"/>
          <w:lang w:val="en-US"/>
        </w:rPr>
        <w:t xml:space="preserve">96万</w:t>
      </w:r>
      <w:r>
        <w:rPr>
          <w:rFonts w:hint="eastAsia"/>
          <w:highlight w:val="none"/>
        </w:rPr>
        <w:t xml:space="preserve">元；采购包2：</w:t>
      </w:r>
      <w:r>
        <w:rPr>
          <w:rFonts w:hint="eastAsia"/>
          <w:highlight w:val="none"/>
          <w:lang w:val="en-US"/>
        </w:rPr>
        <w:t xml:space="preserve">64万</w:t>
      </w:r>
      <w:r>
        <w:rPr>
          <w:rFonts w:hint="eastAsia"/>
          <w:highlight w:val="none"/>
        </w:rPr>
        <w:t xml:space="preserve">元）</w:t>
      </w:r>
      <w:r/>
    </w:p>
    <w:p>
      <w:pPr>
        <w:pStyle w:val="724"/>
        <w:ind w:firstLine="420"/>
        <w:spacing w:line="360" w:lineRule="auto"/>
        <w:rPr>
          <w:highlight w:val="none"/>
          <w:lang w:val="en-US"/>
        </w:rPr>
      </w:pPr>
      <w:r>
        <w:rPr>
          <w:rFonts w:hint="eastAsia"/>
          <w:highlight w:val="none"/>
        </w:rPr>
        <w:t xml:space="preserve">最高限价：</w:t>
      </w:r>
      <w:r>
        <w:rPr>
          <w:rFonts w:hint="eastAsia"/>
          <w:highlight w:val="none"/>
          <w:lang w:val="en-US"/>
        </w:rPr>
        <w:t xml:space="preserve">160万元</w:t>
      </w:r>
      <w:r>
        <w:rPr>
          <w:rFonts w:hint="eastAsia"/>
          <w:highlight w:val="none"/>
        </w:rPr>
        <w:t xml:space="preserve">（采购包1：</w:t>
      </w:r>
      <w:r>
        <w:rPr>
          <w:rFonts w:hint="eastAsia"/>
          <w:highlight w:val="none"/>
          <w:lang w:val="en-US"/>
        </w:rPr>
        <w:t xml:space="preserve">96万</w:t>
      </w:r>
      <w:r>
        <w:rPr>
          <w:rFonts w:hint="eastAsia"/>
          <w:highlight w:val="none"/>
        </w:rPr>
        <w:t xml:space="preserve">元；采购包2：</w:t>
      </w:r>
      <w:r>
        <w:rPr>
          <w:rFonts w:hint="eastAsia"/>
          <w:highlight w:val="none"/>
          <w:lang w:val="en-US"/>
        </w:rPr>
        <w:t xml:space="preserve">64万</w:t>
      </w:r>
      <w:r>
        <w:rPr>
          <w:rFonts w:hint="eastAsia"/>
          <w:highlight w:val="none"/>
        </w:rPr>
        <w:t xml:space="preserve">元），投标报价超过最高限价的为无效投标。</w:t>
      </w:r>
      <w:r/>
    </w:p>
    <w:p>
      <w:pPr>
        <w:pStyle w:val="724"/>
        <w:ind w:firstLine="420"/>
        <w:spacing w:line="360" w:lineRule="auto"/>
        <w:rPr>
          <w:highlight w:val="none"/>
        </w:rPr>
      </w:pPr>
      <w:r>
        <w:rPr>
          <w:rFonts w:hint="eastAsia"/>
          <w:highlight w:val="none"/>
        </w:rPr>
        <w:t xml:space="preserve">采购需求：江苏省环境监测中心在2024年完成了江苏省环境监控系统二期工程重污染天气监测预报预警系统项目建设。重污染天气监测预报预警系统在建设时分为了综合分析及常规预报子系统、精准预警及智慧溯源评估子系统。本运维项目拟分为两个包，其中采购包1开展综合分析及常规预报子系统运维，采购包2开展精准预警及智慧溯源评估子系统运维。具体详见招标文件。</w:t>
      </w:r>
      <w:r/>
    </w:p>
    <w:p>
      <w:pPr>
        <w:pStyle w:val="724"/>
        <w:ind w:firstLine="420"/>
        <w:spacing w:line="360" w:lineRule="auto"/>
        <w:rPr>
          <w:highlight w:val="none"/>
        </w:rPr>
      </w:pPr>
      <w:r>
        <w:rPr>
          <w:rFonts w:hint="eastAsia"/>
          <w:highlight w:val="none"/>
        </w:rPr>
        <w:t xml:space="preserve">合同履行期限：自合同签订之日起一年。</w:t>
      </w:r>
      <w:r/>
    </w:p>
    <w:p>
      <w:pPr>
        <w:pStyle w:val="724"/>
        <w:ind w:firstLine="420"/>
        <w:spacing w:line="360" w:lineRule="auto"/>
        <w:rPr>
          <w:highlight w:val="none"/>
        </w:rPr>
      </w:pPr>
      <w:r>
        <w:rPr>
          <w:rFonts w:hint="eastAsia"/>
          <w:highlight w:val="none"/>
        </w:rPr>
        <w:t xml:space="preserve">本项目（是/否）接受联合体投标：否</w:t>
      </w:r>
      <w:r/>
    </w:p>
    <w:p>
      <w:pPr>
        <w:pStyle w:val="724"/>
        <w:ind w:firstLine="420"/>
        <w:spacing w:line="360" w:lineRule="auto"/>
        <w:tabs>
          <w:tab w:val="left" w:pos="960" w:leader="none"/>
        </w:tabs>
        <w:rPr>
          <w:b/>
          <w:highlight w:val="none"/>
        </w:rPr>
      </w:pPr>
      <w:r/>
      <w:bookmarkStart w:id="13" w:name="_Toc28359080"/>
      <w:r/>
      <w:bookmarkStart w:id="14" w:name="_Toc35393622"/>
      <w:r/>
      <w:bookmarkStart w:id="15" w:name="_Toc28359003"/>
      <w:r/>
      <w:bookmarkStart w:id="16" w:name="_Toc35393791"/>
      <w:r>
        <w:rPr>
          <w:rFonts w:hint="eastAsia"/>
          <w:b/>
          <w:highlight w:val="none"/>
        </w:rPr>
        <w:t xml:space="preserve">二、申请人的资格要求：</w:t>
      </w:r>
      <w:bookmarkEnd w:id="13"/>
      <w:r/>
      <w:bookmarkEnd w:id="14"/>
      <w:r/>
      <w:bookmarkEnd w:id="15"/>
      <w:r/>
      <w:bookmarkEnd w:id="16"/>
      <w:r/>
      <w:r/>
    </w:p>
    <w:p>
      <w:pPr>
        <w:pStyle w:val="724"/>
        <w:ind w:firstLine="420"/>
        <w:spacing w:line="360" w:lineRule="auto"/>
        <w:tabs>
          <w:tab w:val="left" w:pos="960" w:leader="none"/>
        </w:tabs>
        <w:rPr>
          <w:highlight w:val="none"/>
        </w:rPr>
      </w:pPr>
      <w:r/>
      <w:bookmarkStart w:id="17" w:name="_Toc35393792"/>
      <w:r/>
      <w:bookmarkStart w:id="18" w:name="_Toc35393623"/>
      <w:r/>
      <w:bookmarkStart w:id="19" w:name="_Toc28359081"/>
      <w:r/>
      <w:bookmarkStart w:id="20" w:name="_Toc28359004"/>
      <w:r>
        <w:rPr>
          <w:rFonts w:hint="eastAsia"/>
          <w:highlight w:val="none"/>
        </w:rPr>
        <w:t xml:space="preserve">（</w:t>
      </w:r>
      <w:r>
        <w:rPr>
          <w:highlight w:val="none"/>
        </w:rPr>
        <w:t xml:space="preserve">1）</w:t>
      </w:r>
      <w:r>
        <w:rPr>
          <w:rFonts w:hint="eastAsia"/>
          <w:highlight w:val="none"/>
        </w:rPr>
        <w:t xml:space="preserve">具有独立承担民事责任的能力（提供法人或者其他组织的营业执照，自然人的身份证明）</w:t>
      </w:r>
      <w:r>
        <w:rPr>
          <w:highlight w:val="none"/>
        </w:rPr>
        <w:t xml:space="preserve">；</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2）</w:t>
      </w:r>
      <w:r>
        <w:rPr>
          <w:rFonts w:hint="eastAsia"/>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highlight w:val="none"/>
        </w:rPr>
        <w:t xml:space="preserve">2024年度</w:t>
      </w:r>
      <w:r>
        <w:rPr>
          <w:rFonts w:hint="eastAsia"/>
          <w:highlight w:val="none"/>
        </w:rPr>
        <w:t xml:space="preserve">或者2</w:t>
      </w:r>
      <w:r>
        <w:rPr>
          <w:highlight w:val="none"/>
        </w:rPr>
        <w:t xml:space="preserve">025</w:t>
      </w:r>
      <w:r>
        <w:rPr>
          <w:rFonts w:hint="eastAsia"/>
          <w:highlight w:val="none"/>
        </w:rPr>
        <w:t xml:space="preserve">年度</w:t>
      </w:r>
      <w:r>
        <w:rPr>
          <w:highlight w:val="none"/>
        </w:rPr>
        <w:t xml:space="preserve">经审计的财务报告复印件，否则视为未提供）；</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3）具有履行合同所必需的设备和专业技术能力（提供履行合同所必需的设备和专业技术能力的声明及证明材料复印件加盖公章）；</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4）有依法缴纳税收和社会保障资金的良好记录（提供参加本次采购活动前一年内至少一个月依法缴纳</w:t>
      </w:r>
      <w:r>
        <w:rPr>
          <w:rFonts w:hint="eastAsia"/>
          <w:highlight w:val="none"/>
          <w:lang w:val="en-US"/>
        </w:rPr>
        <w:t xml:space="preserve">增值税或企业所得税或印花税的凭据，及</w:t>
      </w:r>
      <w:r>
        <w:rPr>
          <w:highlight w:val="none"/>
        </w:rPr>
        <w:t xml:space="preserve">社会保障资金的相关材料复印件加盖公章）；</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5）参加本项目前三年内，在经营活动中没有重大违法记录（</w:t>
      </w:r>
      <w:r>
        <w:rPr>
          <w:rFonts w:hint="eastAsia"/>
          <w:highlight w:val="none"/>
        </w:rPr>
        <w:t xml:space="preserve">提供参加本次采购活动前三年内在经营活动中没有重大违法记录的声明</w:t>
      </w:r>
      <w:r>
        <w:rPr>
          <w:highlight w:val="none"/>
        </w:rPr>
        <w:t xml:space="preserve">）； </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6）法律、行政法规规定的其他条件。</w:t>
      </w:r>
      <w:r/>
    </w:p>
    <w:p>
      <w:pPr>
        <w:pStyle w:val="724"/>
        <w:ind w:firstLine="420"/>
        <w:spacing w:line="360" w:lineRule="auto"/>
        <w:tabs>
          <w:tab w:val="left" w:pos="960" w:leader="none"/>
        </w:tabs>
        <w:rPr>
          <w:highlight w:val="none"/>
        </w:rPr>
      </w:pPr>
      <w:r>
        <w:rPr>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1）本项目整体专门面向中小企业采购货物。</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2）本项目整体专门面向小微企业采购货物。</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3）本项目通过以下第（）种方式预留部分采购份额采购中小企业货物：</w:t>
      </w:r>
      <w:r/>
    </w:p>
    <w:p>
      <w:pPr>
        <w:pStyle w:val="724"/>
        <w:ind w:firstLine="420"/>
        <w:spacing w:line="360" w:lineRule="auto"/>
        <w:tabs>
          <w:tab w:val="left" w:pos="960" w:leader="none"/>
        </w:tabs>
        <w:rPr>
          <w:highlight w:val="none"/>
        </w:rPr>
      </w:pPr>
      <w:r>
        <w:rPr>
          <w:rFonts w:hint="eastAsia"/>
          <w:highlight w:val="none"/>
        </w:rPr>
        <w:t xml:space="preserve">①本项目要求供应商以联合体形式参加，中小企业合同金额应当达到的比例为</w:t>
      </w:r>
      <w:r>
        <w:rPr>
          <w:highlight w:val="none"/>
        </w:rPr>
        <w:t xml:space="preserve"> / %。</w:t>
      </w:r>
      <w:r/>
    </w:p>
    <w:p>
      <w:pPr>
        <w:pStyle w:val="724"/>
        <w:ind w:firstLine="420"/>
        <w:spacing w:line="360" w:lineRule="auto"/>
        <w:tabs>
          <w:tab w:val="left" w:pos="960" w:leader="none"/>
        </w:tabs>
        <w:rPr>
          <w:highlight w:val="none"/>
        </w:rPr>
      </w:pPr>
      <w:r>
        <w:rPr>
          <w:rFonts w:hint="eastAsia"/>
          <w:highlight w:val="none"/>
        </w:rPr>
        <w:t xml:space="preserve">②本项目要求供应商进行合同分包，中小企业合同金额应当达到的比例为</w:t>
      </w:r>
      <w:r>
        <w:rPr>
          <w:highlight w:val="none"/>
        </w:rPr>
        <w:t xml:space="preserve"> / %。</w:t>
      </w:r>
      <w:r/>
    </w:p>
    <w:p>
      <w:pPr>
        <w:pStyle w:val="724"/>
        <w:ind w:firstLine="420"/>
        <w:spacing w:line="360" w:lineRule="auto"/>
        <w:tabs>
          <w:tab w:val="left" w:pos="960" w:leader="none"/>
        </w:tabs>
        <w:rPr>
          <w:highlight w:val="none"/>
        </w:rPr>
      </w:pPr>
      <w:r>
        <w:rPr>
          <w:rFonts w:hint="eastAsia"/>
          <w:highlight w:val="none"/>
        </w:rPr>
        <w:t xml:space="preserve">（</w:t>
      </w:r>
      <w:r>
        <w:rPr>
          <w:highlight w:val="none"/>
        </w:rPr>
        <w:t xml:space="preserve">4）本项目为非预留份额的采购项目或采购包，执行价格扣除优惠政策，具体详见第三章。</w:t>
      </w:r>
      <w:r/>
    </w:p>
    <w:p>
      <w:pPr>
        <w:pStyle w:val="724"/>
        <w:ind w:firstLine="420"/>
        <w:spacing w:line="360" w:lineRule="auto"/>
        <w:tabs>
          <w:tab w:val="left" w:pos="960" w:leader="none"/>
        </w:tabs>
        <w:rPr>
          <w:highlight w:val="none"/>
        </w:rPr>
      </w:pPr>
      <w:r>
        <w:rPr>
          <w:highlight w:val="none"/>
        </w:rPr>
        <w:t xml:space="preserve">3、本项目的特定资格要求：</w:t>
      </w:r>
      <w:r>
        <w:rPr>
          <w:rFonts w:hint="eastAsia"/>
          <w:highlight w:val="none"/>
          <w:lang w:val="en-US"/>
        </w:rPr>
        <w:t xml:space="preserve">无</w:t>
      </w:r>
      <w:r/>
    </w:p>
    <w:p>
      <w:pPr>
        <w:pStyle w:val="724"/>
        <w:ind w:firstLine="420"/>
        <w:spacing w:line="360" w:lineRule="auto"/>
        <w:tabs>
          <w:tab w:val="left" w:pos="960" w:leader="none"/>
        </w:tabs>
        <w:rPr>
          <w:b/>
          <w:highlight w:val="none"/>
        </w:rPr>
      </w:pPr>
      <w:r>
        <w:rPr>
          <w:rFonts w:hint="eastAsia"/>
          <w:b/>
          <w:highlight w:val="none"/>
        </w:rPr>
        <w:t xml:space="preserve">三、获取招标文件</w:t>
      </w:r>
      <w:bookmarkEnd w:id="17"/>
      <w:r/>
      <w:bookmarkEnd w:id="18"/>
      <w:r/>
      <w:bookmarkEnd w:id="19"/>
      <w:r/>
      <w:bookmarkEnd w:id="20"/>
      <w:r/>
      <w:r/>
    </w:p>
    <w:p>
      <w:pPr>
        <w:pStyle w:val="724"/>
        <w:ind w:firstLine="420"/>
        <w:spacing w:line="360" w:lineRule="auto"/>
        <w:rPr>
          <w:highlight w:val="none"/>
          <w:lang w:val="en-US"/>
        </w:rPr>
      </w:pPr>
      <w:r>
        <w:rPr>
          <w:rFonts w:hint="eastAsia"/>
          <w:highlight w:val="none"/>
        </w:rPr>
        <w:t xml:space="preserve">时间：自招标文件公告发布之日起5个工作日</w:t>
      </w:r>
      <w:r/>
    </w:p>
    <w:p>
      <w:pPr>
        <w:pStyle w:val="724"/>
        <w:ind w:firstLine="420"/>
        <w:spacing w:line="360" w:lineRule="auto"/>
        <w:tabs>
          <w:tab w:val="left" w:pos="960" w:leader="none"/>
        </w:tabs>
        <w:rPr>
          <w:highlight w:val="none"/>
        </w:rPr>
      </w:pPr>
      <w:r/>
      <w:bookmarkStart w:id="21" w:name="_Toc28359082"/>
      <w:r/>
      <w:bookmarkStart w:id="22" w:name="_Toc28359005"/>
      <w:r/>
      <w:bookmarkStart w:id="23" w:name="_Toc35393624"/>
      <w:r/>
      <w:bookmarkStart w:id="24" w:name="_Toc35393793"/>
      <w:r>
        <w:rPr>
          <w:rFonts w:hint="eastAsia"/>
          <w:highlight w:val="none"/>
        </w:rPr>
        <w:t xml:space="preserve">地点：江苏政府采购网 </w:t>
      </w:r>
      <w:r/>
    </w:p>
    <w:p>
      <w:pPr>
        <w:pStyle w:val="724"/>
        <w:ind w:firstLine="420"/>
        <w:spacing w:line="360" w:lineRule="auto"/>
        <w:tabs>
          <w:tab w:val="left" w:pos="960" w:leader="none"/>
        </w:tabs>
        <w:rPr>
          <w:highlight w:val="none"/>
        </w:rPr>
      </w:pPr>
      <w:r>
        <w:rPr>
          <w:rFonts w:hint="eastAsia"/>
          <w:highlight w:val="none"/>
        </w:rPr>
        <w:t xml:space="preserve">方式：在“江苏政府采购网”自行免费下载采购文件</w:t>
      </w:r>
      <w:r/>
    </w:p>
    <w:p>
      <w:pPr>
        <w:pStyle w:val="724"/>
        <w:ind w:firstLine="420"/>
        <w:spacing w:line="360" w:lineRule="auto"/>
        <w:tabs>
          <w:tab w:val="left" w:pos="960" w:leader="none"/>
        </w:tabs>
        <w:rPr>
          <w:highlight w:val="none"/>
        </w:rPr>
      </w:pPr>
      <w:r>
        <w:rPr>
          <w:rFonts w:hint="eastAsia"/>
          <w:highlight w:val="none"/>
        </w:rPr>
        <w:t xml:space="preserve">售价：0.00元 </w:t>
      </w:r>
      <w:r/>
    </w:p>
    <w:p>
      <w:pPr>
        <w:pStyle w:val="724"/>
        <w:ind w:firstLine="420"/>
        <w:spacing w:line="360" w:lineRule="auto"/>
        <w:tabs>
          <w:tab w:val="left" w:pos="960" w:leader="none"/>
        </w:tabs>
        <w:rPr>
          <w:b/>
          <w:highlight w:val="none"/>
        </w:rPr>
      </w:pPr>
      <w:r>
        <w:rPr>
          <w:rFonts w:hint="eastAsia"/>
          <w:b/>
          <w:highlight w:val="none"/>
        </w:rPr>
        <w:t xml:space="preserve">四、提交投标文件</w:t>
      </w:r>
      <w:bookmarkEnd w:id="21"/>
      <w:r/>
      <w:bookmarkEnd w:id="22"/>
      <w:r>
        <w:rPr>
          <w:rFonts w:hint="eastAsia"/>
          <w:b/>
          <w:highlight w:val="none"/>
        </w:rPr>
        <w:t xml:space="preserve">截止时间、开标时间和地点</w:t>
      </w:r>
      <w:bookmarkEnd w:id="23"/>
      <w:r/>
      <w:bookmarkEnd w:id="24"/>
      <w:r/>
      <w:r/>
    </w:p>
    <w:p>
      <w:pPr>
        <w:pStyle w:val="724"/>
        <w:ind w:firstLine="420"/>
        <w:spacing w:line="360" w:lineRule="auto"/>
        <w:rPr>
          <w:highlight w:val="none"/>
        </w:rPr>
      </w:pPr>
      <w:r>
        <w:rPr>
          <w:rFonts w:hint="eastAsia"/>
          <w:highlight w:val="none"/>
        </w:rPr>
        <w:t xml:space="preserve">时间：</w:t>
      </w:r>
      <w:r>
        <w:rPr>
          <w:rFonts w:hint="eastAsia"/>
          <w:b/>
          <w:bCs/>
          <w:highlight w:val="none"/>
        </w:rPr>
        <w:t xml:space="preserve">202</w:t>
      </w:r>
      <w:r>
        <w:rPr>
          <w:rFonts w:hint="eastAsia"/>
          <w:b/>
          <w:bCs/>
          <w:highlight w:val="none"/>
          <w:lang w:val="en-US"/>
        </w:rPr>
        <w:t xml:space="preserve">6</w:t>
      </w:r>
      <w:r>
        <w:rPr>
          <w:rFonts w:hint="eastAsia"/>
          <w:b/>
          <w:bCs/>
          <w:highlight w:val="none"/>
        </w:rPr>
        <w:t xml:space="preserve">-09</w:t>
      </w:r>
      <w:r>
        <w:rPr>
          <w:rFonts w:hint="eastAsia"/>
          <w:b/>
          <w:bCs/>
          <w:highlight w:val="none"/>
        </w:rPr>
        <w:t xml:space="preserve">-23</w:t>
      </w:r>
      <w:r>
        <w:rPr>
          <w:rFonts w:hint="eastAsia"/>
          <w:b/>
          <w:bCs/>
          <w:highlight w:val="none"/>
          <w:lang w:val="en-US"/>
        </w:rPr>
        <w:t xml:space="preserve"> 09</w:t>
      </w:r>
      <w:r>
        <w:rPr>
          <w:rFonts w:hint="eastAsia"/>
          <w:b/>
          <w:bCs/>
          <w:highlight w:val="none"/>
        </w:rPr>
        <w:t xml:space="preserve">：</w:t>
      </w:r>
      <w:r>
        <w:rPr>
          <w:rFonts w:hint="eastAsia"/>
          <w:b/>
          <w:bCs/>
          <w:highlight w:val="none"/>
          <w:lang w:val="en-US"/>
        </w:rPr>
        <w:t xml:space="preserve">30</w:t>
      </w:r>
      <w:r>
        <w:rPr>
          <w:rFonts w:hint="eastAsia"/>
          <w:highlight w:val="none"/>
        </w:rPr>
        <w:t xml:space="preserve">（北京时间）</w:t>
      </w:r>
      <w:r/>
    </w:p>
    <w:p>
      <w:pPr>
        <w:pStyle w:val="724"/>
        <w:ind w:firstLine="420"/>
        <w:spacing w:line="360" w:lineRule="auto"/>
        <w:rPr>
          <w:highlight w:val="none"/>
        </w:rPr>
      </w:pPr>
      <w:r>
        <w:rPr>
          <w:rFonts w:hint="eastAsia"/>
          <w:highlight w:val="none"/>
        </w:rPr>
        <w:t xml:space="preserve">地点：</w:t>
      </w:r>
      <w:r>
        <w:rPr>
          <w:rFonts w:hint="eastAsia"/>
          <w:highlight w:val="none"/>
          <w:lang w:val="en-US"/>
        </w:rPr>
        <w:t xml:space="preserve">江苏省政府采购交易系统（以下简称“苏采云系统”）网上开标大厅</w:t>
      </w:r>
      <w:r/>
    </w:p>
    <w:p>
      <w:pPr>
        <w:pStyle w:val="724"/>
        <w:ind w:firstLine="420"/>
        <w:spacing w:line="360" w:lineRule="auto"/>
        <w:tabs>
          <w:tab w:val="left" w:pos="960" w:leader="none"/>
        </w:tabs>
        <w:rPr>
          <w:b/>
          <w:highlight w:val="none"/>
        </w:rPr>
      </w:pPr>
      <w:r/>
      <w:bookmarkStart w:id="25" w:name="_Toc35393794"/>
      <w:r/>
      <w:bookmarkStart w:id="26" w:name="_Toc28359084"/>
      <w:r/>
      <w:bookmarkStart w:id="27" w:name="_Toc35393625"/>
      <w:r/>
      <w:bookmarkStart w:id="28" w:name="_Toc28359007"/>
      <w:r>
        <w:rPr>
          <w:rFonts w:hint="eastAsia"/>
          <w:b/>
          <w:highlight w:val="none"/>
        </w:rPr>
        <w:t xml:space="preserve">五、公告期限</w:t>
      </w:r>
      <w:bookmarkEnd w:id="25"/>
      <w:r/>
      <w:bookmarkEnd w:id="26"/>
      <w:r/>
      <w:bookmarkEnd w:id="27"/>
      <w:r/>
      <w:bookmarkEnd w:id="28"/>
      <w:r/>
      <w:r/>
    </w:p>
    <w:p>
      <w:pPr>
        <w:pStyle w:val="724"/>
        <w:ind w:firstLine="420"/>
        <w:spacing w:line="360" w:lineRule="auto"/>
        <w:rPr>
          <w:highlight w:val="none"/>
        </w:rPr>
      </w:pPr>
      <w:r>
        <w:rPr>
          <w:rFonts w:hint="eastAsia"/>
          <w:highlight w:val="none"/>
        </w:rPr>
        <w:t xml:space="preserve">自本公告发布之日起5个工作日。</w:t>
      </w:r>
      <w:r/>
    </w:p>
    <w:p>
      <w:pPr>
        <w:pStyle w:val="724"/>
        <w:ind w:firstLine="420"/>
        <w:spacing w:line="360" w:lineRule="auto"/>
        <w:tabs>
          <w:tab w:val="left" w:pos="960" w:leader="none"/>
        </w:tabs>
        <w:rPr>
          <w:b/>
          <w:highlight w:val="none"/>
        </w:rPr>
      </w:pPr>
      <w:r/>
      <w:bookmarkStart w:id="29" w:name="_Toc35393795"/>
      <w:r/>
      <w:bookmarkStart w:id="30" w:name="_Toc35393626"/>
      <w:r>
        <w:rPr>
          <w:rFonts w:hint="eastAsia"/>
          <w:b/>
          <w:highlight w:val="none"/>
        </w:rPr>
        <w:t xml:space="preserve">六、其他补充事宜</w:t>
      </w:r>
      <w:bookmarkEnd w:id="29"/>
      <w:r/>
      <w:bookmarkEnd w:id="30"/>
      <w:r/>
      <w:r/>
    </w:p>
    <w:p>
      <w:pPr>
        <w:pStyle w:val="724"/>
        <w:ind w:firstLine="420"/>
        <w:spacing w:line="360" w:lineRule="auto"/>
        <w:tabs>
          <w:tab w:val="left" w:pos="1200" w:leader="none"/>
        </w:tabs>
        <w:rPr>
          <w:highlight w:val="none"/>
        </w:rPr>
      </w:pPr>
      <w:r>
        <w:rPr>
          <w:rFonts w:hint="eastAsia"/>
          <w:highlight w:val="none"/>
        </w:rPr>
        <w:t xml:space="preserve">（一）本项目评标顺序依次为采购包1、采购包2，各供应商可以参与一个或多个包的投标，但最多只能中标一个包，已经中标的供应商可以参加后续包的评审，但不再被推荐为中标候选人。</w:t>
      </w:r>
      <w:r/>
    </w:p>
    <w:p>
      <w:pPr>
        <w:pStyle w:val="724"/>
        <w:ind w:firstLine="420"/>
        <w:spacing w:line="360" w:lineRule="auto"/>
        <w:tabs>
          <w:tab w:val="left" w:pos="1200" w:leader="none"/>
        </w:tabs>
        <w:rPr>
          <w:highlight w:val="none"/>
        </w:rPr>
      </w:pPr>
      <w:r>
        <w:rPr>
          <w:rFonts w:hint="eastAsia"/>
          <w:highlight w:val="none"/>
        </w:rPr>
        <w:t xml:space="preserve">（二）本项目是否接受进口产品：</w:t>
      </w:r>
      <w:r>
        <w:rPr>
          <w:rFonts w:hint="eastAsia"/>
          <w:highlight w:val="none"/>
          <w:lang w:val="en-US"/>
        </w:rPr>
        <w:t xml:space="preserve">不</w:t>
      </w:r>
      <w:r>
        <w:rPr>
          <w:rFonts w:hint="eastAsia"/>
          <w:highlight w:val="none"/>
        </w:rPr>
        <w:t xml:space="preserve">接受。（本文件所称进口产品是指通过中国海关报验放进入中国境内且产自境外的产品）</w:t>
      </w:r>
      <w:r/>
    </w:p>
    <w:p>
      <w:pPr>
        <w:pStyle w:val="724"/>
        <w:ind w:firstLine="420"/>
        <w:spacing w:line="360" w:lineRule="auto"/>
        <w:tabs>
          <w:tab w:val="left" w:pos="1200" w:leader="none"/>
        </w:tabs>
        <w:rPr>
          <w:highlight w:val="none"/>
        </w:rPr>
      </w:pPr>
      <w:r>
        <w:rPr>
          <w:rFonts w:hint="eastAsia"/>
          <w:highlight w:val="none"/>
        </w:rPr>
        <w:t xml:space="preserve">（</w:t>
      </w:r>
      <w:r>
        <w:rPr>
          <w:rFonts w:hint="eastAsia"/>
          <w:highlight w:val="none"/>
          <w:lang w:val="en-US"/>
        </w:rPr>
        <w:t xml:space="preserve">三</w:t>
      </w:r>
      <w:r>
        <w:rPr>
          <w:rFonts w:hint="eastAsia"/>
          <w:highlight w:val="none"/>
        </w:rPr>
        <w:t xml:space="preserve">）本项目不允许转包、分包。</w:t>
      </w:r>
      <w:r/>
    </w:p>
    <w:p>
      <w:pPr>
        <w:pStyle w:val="724"/>
        <w:ind w:firstLine="420"/>
        <w:spacing w:line="360" w:lineRule="auto"/>
        <w:tabs>
          <w:tab w:val="left" w:pos="1200" w:leader="none"/>
        </w:tabs>
        <w:rPr>
          <w:highlight w:val="none"/>
        </w:rPr>
      </w:pPr>
      <w:r>
        <w:rPr>
          <w:rFonts w:hint="eastAsia"/>
          <w:highlight w:val="none"/>
        </w:rPr>
        <w:t xml:space="preserve">（</w:t>
      </w:r>
      <w:r>
        <w:rPr>
          <w:rFonts w:hint="eastAsia"/>
          <w:highlight w:val="none"/>
          <w:lang w:val="en-US"/>
        </w:rPr>
        <w:t xml:space="preserve">四</w:t>
      </w:r>
      <w:r>
        <w:rPr>
          <w:rFonts w:hint="eastAsia"/>
          <w:highlight w:val="none"/>
        </w:rPr>
        <w:t xml:space="preserve">）集中考察或答疑：采购人不组织，</w:t>
      </w:r>
      <w:r>
        <w:rPr>
          <w:rFonts w:hint="eastAsia"/>
          <w:highlight w:val="none"/>
          <w:lang w:val="en-US"/>
        </w:rPr>
        <w:t xml:space="preserve">供应商</w:t>
      </w:r>
      <w:r>
        <w:rPr>
          <w:rFonts w:hint="eastAsia"/>
          <w:highlight w:val="none"/>
        </w:rPr>
        <w:t xml:space="preserve">可自行联系采购人。未踏勘现场或踏勘工作不详细的</w:t>
      </w:r>
      <w:r>
        <w:rPr>
          <w:rFonts w:hint="eastAsia"/>
          <w:highlight w:val="none"/>
          <w:lang w:val="en-US"/>
        </w:rPr>
        <w:t xml:space="preserve">供应商</w:t>
      </w:r>
      <w:r>
        <w:rPr>
          <w:rFonts w:hint="eastAsia"/>
          <w:highlight w:val="none"/>
        </w:rPr>
        <w:t xml:space="preserve">中标后，不得以不完全了解现场情况为理由而向采购人提出任何索赔或其他要求，对此采购人不承担任何责任并将不作任何答复。</w:t>
      </w:r>
      <w:r/>
    </w:p>
    <w:p>
      <w:pPr>
        <w:pStyle w:val="724"/>
        <w:ind w:firstLine="420"/>
        <w:spacing w:line="360" w:lineRule="auto"/>
        <w:tabs>
          <w:tab w:val="left" w:pos="780" w:leader="none"/>
        </w:tabs>
        <w:rPr>
          <w:highlight w:val="none"/>
        </w:rPr>
      </w:pPr>
      <w:r>
        <w:rPr>
          <w:rFonts w:hint="eastAsia"/>
          <w:highlight w:val="none"/>
        </w:rPr>
        <w:t xml:space="preserve">（</w:t>
      </w:r>
      <w:r>
        <w:rPr>
          <w:rFonts w:hint="eastAsia"/>
          <w:highlight w:val="none"/>
          <w:lang w:val="en-US"/>
        </w:rPr>
        <w:t xml:space="preserve">五</w:t>
      </w:r>
      <w:r>
        <w:rPr>
          <w:rFonts w:hint="eastAsia"/>
          <w:highlight w:val="none"/>
        </w:rPr>
        <w:t xml:space="preserve">）发布媒介：本公告在江苏政府采购网（http：//www.ccgp-jiangsu.gov.cn/）公示发布，敬请各</w:t>
      </w:r>
      <w:r>
        <w:rPr>
          <w:rFonts w:hint="eastAsia"/>
          <w:highlight w:val="none"/>
          <w:lang w:val="en-US"/>
        </w:rPr>
        <w:t xml:space="preserve">供应商</w:t>
      </w:r>
      <w:r>
        <w:rPr>
          <w:rFonts w:hint="eastAsia"/>
          <w:highlight w:val="none"/>
        </w:rPr>
        <w:t xml:space="preserve">关注；若有关本次采购存在变动或修改，敬请各</w:t>
      </w:r>
      <w:r>
        <w:rPr>
          <w:rFonts w:hint="eastAsia"/>
          <w:highlight w:val="none"/>
          <w:lang w:val="en-US"/>
        </w:rPr>
        <w:t xml:space="preserve">供应商</w:t>
      </w:r>
      <w:r>
        <w:rPr>
          <w:rFonts w:hint="eastAsia"/>
          <w:highlight w:val="none"/>
        </w:rPr>
        <w:t xml:space="preserve">及时关注关于本项目的信息更正公告。</w:t>
      </w:r>
      <w:r/>
    </w:p>
    <w:p>
      <w:pPr>
        <w:pStyle w:val="724"/>
        <w:ind w:firstLine="420"/>
        <w:spacing w:line="360" w:lineRule="auto"/>
        <w:tabs>
          <w:tab w:val="left" w:pos="1200" w:leader="none"/>
        </w:tabs>
        <w:rPr>
          <w:highlight w:val="none"/>
        </w:rPr>
      </w:pPr>
      <w:r>
        <w:rPr>
          <w:rFonts w:hint="eastAsia"/>
          <w:highlight w:val="none"/>
        </w:rPr>
        <w:t xml:space="preserve">（</w:t>
      </w:r>
      <w:r>
        <w:rPr>
          <w:rFonts w:hint="eastAsia"/>
          <w:highlight w:val="none"/>
          <w:lang w:val="en-US"/>
        </w:rPr>
        <w:t xml:space="preserve">六</w:t>
      </w:r>
      <w:r>
        <w:rPr>
          <w:rFonts w:hint="eastAsia"/>
          <w:highlight w:val="none"/>
        </w:rPr>
        <w:t xml:space="preserve">）需要落实的政府采购政策：本项目若符合将落实政府采购促进中小企业发展；政府采购支持监狱企业发展；政府采购促进残疾人就业；政府采购鼓励采购节能环保产品等政策。</w:t>
      </w:r>
      <w:r/>
    </w:p>
    <w:p>
      <w:pPr>
        <w:pStyle w:val="724"/>
        <w:ind w:firstLine="420"/>
        <w:spacing w:line="360" w:lineRule="auto"/>
        <w:tabs>
          <w:tab w:val="left" w:pos="960" w:leader="none"/>
        </w:tabs>
        <w:rPr>
          <w:highlight w:val="none"/>
          <w:lang w:val="en-US"/>
        </w:rPr>
      </w:pPr>
      <w:r/>
      <w:bookmarkStart w:id="31" w:name="_Toc35393627"/>
      <w:r/>
      <w:bookmarkStart w:id="32" w:name="_Toc28359085"/>
      <w:r/>
      <w:bookmarkStart w:id="33" w:name="_Toc28359008"/>
      <w:r/>
      <w:bookmarkStart w:id="34" w:name="_Toc35393796"/>
      <w:r>
        <w:rPr>
          <w:rFonts w:hint="eastAsia"/>
          <w:highlight w:val="none"/>
          <w:lang w:val="en-US"/>
        </w:rPr>
        <w:t xml:space="preserve">（七）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24"/>
        <w:ind w:firstLine="420"/>
        <w:spacing w:line="360" w:lineRule="auto"/>
        <w:tabs>
          <w:tab w:val="left" w:pos="960" w:leader="none"/>
        </w:tabs>
        <w:rPr>
          <w:highlight w:val="none"/>
          <w:lang w:val="en-US"/>
        </w:rPr>
      </w:pPr>
      <w:r>
        <w:rPr>
          <w:rFonts w:hint="eastAsia"/>
          <w:highlight w:val="none"/>
          <w:lang w:val="en-US"/>
        </w:rPr>
        <w:t xml:space="preserve">操作手册下载地址：http://www.ccgp-jiangsu.gov.cn/jiangsu/zlxz/ee/ee3a4bc5a3454aa2b0d9312230633ce9.html</w:t>
      </w:r>
      <w:r/>
    </w:p>
    <w:p>
      <w:pPr>
        <w:pStyle w:val="724"/>
        <w:ind w:firstLine="420"/>
        <w:spacing w:line="360" w:lineRule="auto"/>
        <w:tabs>
          <w:tab w:val="left" w:pos="960" w:leader="none"/>
        </w:tabs>
        <w:rPr>
          <w:highlight w:val="none"/>
          <w:lang w:val="en-US"/>
        </w:rPr>
      </w:pPr>
      <w:r>
        <w:rPr>
          <w:rFonts w:hint="eastAsia"/>
          <w:highlight w:val="none"/>
          <w:lang w:val="en-US"/>
        </w:rPr>
        <w:t xml:space="preserve">首次登录“苏采云”系统的新用户，登录网址后，点击“用户注册”--“新CA办理指南”--获取CA后绑定、登录系统--采购项目参与--下载采购文件（文件后缀名为“.kedt”）。</w:t>
      </w:r>
      <w:r/>
    </w:p>
    <w:p>
      <w:pPr>
        <w:pStyle w:val="724"/>
        <w:ind w:firstLine="420"/>
        <w:spacing w:line="360" w:lineRule="auto"/>
        <w:tabs>
          <w:tab w:val="left" w:pos="960" w:leader="none"/>
        </w:tabs>
        <w:rPr>
          <w:highlight w:val="none"/>
          <w:lang w:val="en-US"/>
        </w:rPr>
      </w:pPr>
      <w:r>
        <w:rPr>
          <w:rFonts w:hint="eastAsia"/>
          <w:highlight w:val="none"/>
          <w:lang w:val="en-US"/>
        </w:rPr>
        <w:t xml:space="preserve">“苏采云”南京地区客服热线025-83633744、025-83633743。</w:t>
      </w:r>
      <w:r/>
    </w:p>
    <w:p>
      <w:pPr>
        <w:pStyle w:val="724"/>
        <w:ind w:firstLine="420"/>
        <w:spacing w:line="360" w:lineRule="auto"/>
        <w:tabs>
          <w:tab w:val="left" w:pos="960" w:leader="none"/>
        </w:tabs>
        <w:rPr>
          <w:highlight w:val="none"/>
          <w:lang w:val="en-US"/>
        </w:rPr>
      </w:pPr>
      <w:r>
        <w:rPr>
          <w:rFonts w:hint="eastAsia"/>
          <w:highlight w:val="none"/>
          <w:lang w:val="en-US"/>
        </w:rPr>
        <w:t xml:space="preserve">（八）</w:t>
      </w:r>
      <w:r>
        <w:rPr>
          <w:highlight w:val="none"/>
          <w:lang w:val="en-US"/>
        </w:rPr>
        <w:t xml:space="preserve">拒绝下述供应商参加本次采购活动：</w:t>
      </w:r>
      <w:r/>
    </w:p>
    <w:p>
      <w:pPr>
        <w:pStyle w:val="724"/>
        <w:ind w:firstLine="420"/>
        <w:spacing w:line="360" w:lineRule="auto"/>
        <w:tabs>
          <w:tab w:val="left" w:pos="960" w:leader="none"/>
        </w:tabs>
        <w:rPr>
          <w:highlight w:val="none"/>
          <w:lang w:val="en-US"/>
        </w:rPr>
      </w:pPr>
      <w:r>
        <w:rPr>
          <w:rFonts w:hint="eastAsia"/>
          <w:highlight w:val="none"/>
          <w:lang w:val="en-US"/>
        </w:rPr>
        <w:t xml:space="preserve">（</w:t>
      </w:r>
      <w:r>
        <w:rPr>
          <w:highlight w:val="none"/>
          <w:lang w:val="en-US"/>
        </w:rPr>
        <w:t xml:space="preserve">1）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pStyle w:val="724"/>
        <w:ind w:firstLine="420"/>
        <w:spacing w:line="360" w:lineRule="auto"/>
        <w:tabs>
          <w:tab w:val="left" w:pos="960" w:leader="none"/>
        </w:tabs>
        <w:rPr>
          <w:highlight w:val="none"/>
          <w:lang w:val="en-US"/>
        </w:rPr>
      </w:pPr>
      <w:r>
        <w:rPr>
          <w:rFonts w:hint="eastAsia"/>
          <w:highlight w:val="none"/>
          <w:lang w:val="en-US"/>
        </w:rPr>
        <w:t xml:space="preserve">（</w:t>
      </w:r>
      <w:r>
        <w:rPr>
          <w:highlight w:val="none"/>
          <w:lang w:val="en-US"/>
        </w:rPr>
        <w:t xml:space="preserve">2）供应商单位负责人为同一人或者存在直接控股、管理关系的不同供应商，不得参加同一合同项下的政府采购活动；</w:t>
      </w:r>
      <w:r/>
    </w:p>
    <w:p>
      <w:pPr>
        <w:pStyle w:val="724"/>
        <w:ind w:firstLine="420"/>
        <w:spacing w:line="360" w:lineRule="auto"/>
        <w:tabs>
          <w:tab w:val="left" w:pos="960" w:leader="none"/>
        </w:tabs>
        <w:rPr>
          <w:highlight w:val="none"/>
          <w:lang w:val="en-US"/>
        </w:rPr>
      </w:pPr>
      <w:r>
        <w:rPr>
          <w:rFonts w:hint="eastAsia"/>
          <w:highlight w:val="none"/>
          <w:lang w:val="en-US"/>
        </w:rPr>
        <w:t xml:space="preserve">（</w:t>
      </w:r>
      <w:r>
        <w:rPr>
          <w:highlight w:val="none"/>
          <w:lang w:val="en-US"/>
        </w:rPr>
        <w:t xml:space="preserve">3）为本项目提供整体设计、规范编制或者项目管理、监理、检测等服务的供应商，不得再参加本项目的采购活动</w:t>
      </w:r>
      <w:r>
        <w:rPr>
          <w:rFonts w:hint="eastAsia"/>
          <w:highlight w:val="none"/>
          <w:lang w:val="en-US"/>
        </w:rPr>
        <w:t xml:space="preserve">。</w:t>
      </w:r>
      <w:r/>
    </w:p>
    <w:p>
      <w:pPr>
        <w:pStyle w:val="724"/>
        <w:ind w:firstLine="420"/>
        <w:spacing w:line="360" w:lineRule="auto"/>
        <w:tabs>
          <w:tab w:val="left" w:pos="960" w:leader="none"/>
        </w:tabs>
        <w:rPr>
          <w:highlight w:val="none"/>
          <w:lang w:val="en-US"/>
        </w:rPr>
      </w:pPr>
      <w:r>
        <w:rPr>
          <w:rFonts w:hint="eastAsia"/>
          <w:highlight w:val="none"/>
          <w:lang w:val="en-US"/>
        </w:rPr>
        <w:t xml:space="preserve">（九）</w:t>
      </w:r>
      <w:r>
        <w:rPr>
          <w:highlight w:val="none"/>
          <w:lang w:val="en-US"/>
        </w:rPr>
        <w:t xml:space="preserve">本项目标的所属行业：</w:t>
      </w:r>
      <w:r>
        <w:rPr>
          <w:rFonts w:hint="eastAsia"/>
          <w:highlight w:val="none"/>
          <w:lang w:val="en-US"/>
        </w:rPr>
        <w:t xml:space="preserve">信息技术服务业</w:t>
      </w:r>
      <w:r>
        <w:rPr>
          <w:highlight w:val="none"/>
          <w:lang w:val="en-US"/>
        </w:rPr>
        <w:t xml:space="preserve">。</w:t>
      </w:r>
      <w:r/>
    </w:p>
    <w:p>
      <w:pPr>
        <w:pStyle w:val="724"/>
        <w:ind w:firstLine="420"/>
        <w:spacing w:line="360" w:lineRule="auto"/>
        <w:tabs>
          <w:tab w:val="left" w:pos="960" w:leader="none"/>
        </w:tabs>
        <w:rPr>
          <w:highlight w:val="none"/>
        </w:rPr>
      </w:pPr>
      <w:r>
        <w:rPr>
          <w:rFonts w:hint="eastAsia"/>
          <w:highlight w:val="none"/>
        </w:rPr>
        <w:t xml:space="preserve">七、对本次招标提出询问，请按以下方式联系。</w:t>
      </w:r>
      <w:bookmarkEnd w:id="31"/>
      <w:r/>
      <w:bookmarkEnd w:id="32"/>
      <w:r/>
      <w:bookmarkEnd w:id="33"/>
      <w:r/>
      <w:bookmarkEnd w:id="34"/>
      <w:r/>
      <w:r/>
    </w:p>
    <w:p>
      <w:pPr>
        <w:pStyle w:val="724"/>
        <w:ind w:firstLine="420"/>
        <w:spacing w:line="360" w:lineRule="auto"/>
        <w:tabs>
          <w:tab w:val="left" w:pos="780" w:leader="none"/>
        </w:tabs>
        <w:rPr>
          <w:highlight w:val="none"/>
        </w:rPr>
      </w:pPr>
      <w:r>
        <w:rPr>
          <w:rFonts w:hint="eastAsia"/>
          <w:highlight w:val="none"/>
        </w:rPr>
        <w:t xml:space="preserve">1.采购人信息</w:t>
      </w:r>
      <w:bookmarkEnd w:id="9"/>
      <w:r/>
      <w:bookmarkEnd w:id="10"/>
      <w:r/>
      <w:bookmarkEnd w:id="11"/>
      <w:r/>
      <w:bookmarkEnd w:id="12"/>
      <w:r/>
      <w:r/>
    </w:p>
    <w:p>
      <w:pPr>
        <w:pStyle w:val="724"/>
        <w:ind w:firstLine="420"/>
        <w:spacing w:line="360" w:lineRule="auto"/>
        <w:tabs>
          <w:tab w:val="left" w:pos="780" w:leader="none"/>
        </w:tabs>
        <w:rPr>
          <w:highlight w:val="none"/>
        </w:rPr>
      </w:pPr>
      <w:r/>
      <w:bookmarkStart w:id="35" w:name="_Toc28359076"/>
      <w:r/>
      <w:bookmarkStart w:id="36" w:name="_Toc28358999"/>
      <w:r/>
      <w:bookmarkStart w:id="37" w:name="_Toc35393787"/>
      <w:r/>
      <w:bookmarkStart w:id="38" w:name="_Toc35393618"/>
      <w:r>
        <w:rPr>
          <w:rFonts w:hint="eastAsia"/>
          <w:highlight w:val="none"/>
        </w:rPr>
        <w:t xml:space="preserve">名</w:t>
      </w:r>
      <w:r>
        <w:rPr>
          <w:highlight w:val="none"/>
        </w:rPr>
        <w:t xml:space="preserve"> 称：</w:t>
      </w:r>
      <w:r>
        <w:rPr>
          <w:rFonts w:hint="eastAsia"/>
          <w:highlight w:val="none"/>
        </w:rPr>
        <w:t xml:space="preserve">江苏省环境监测中心</w:t>
      </w:r>
      <w:r/>
    </w:p>
    <w:p>
      <w:pPr>
        <w:pStyle w:val="724"/>
        <w:ind w:firstLine="420"/>
        <w:spacing w:line="360" w:lineRule="auto"/>
        <w:tabs>
          <w:tab w:val="left" w:pos="780" w:leader="none"/>
        </w:tabs>
        <w:rPr>
          <w:highlight w:val="none"/>
        </w:rPr>
      </w:pPr>
      <w:r>
        <w:rPr>
          <w:rFonts w:hint="eastAsia"/>
          <w:highlight w:val="none"/>
        </w:rPr>
        <w:t xml:space="preserve">地</w:t>
      </w:r>
      <w:r>
        <w:rPr>
          <w:highlight w:val="none"/>
        </w:rPr>
        <w:t xml:space="preserve">  址：江苏省南京市建邺区中和路100号</w:t>
      </w:r>
      <w:bookmarkEnd w:id="35"/>
      <w:r/>
      <w:bookmarkEnd w:id="36"/>
      <w:r/>
      <w:bookmarkEnd w:id="37"/>
      <w:r/>
      <w:bookmarkEnd w:id="38"/>
      <w:r/>
      <w:r/>
    </w:p>
    <w:p>
      <w:pPr>
        <w:ind w:firstLine="420"/>
        <w:spacing w:line="360" w:lineRule="auto"/>
        <w:rPr>
          <w:sz w:val="21"/>
          <w:szCs w:val="21"/>
          <w:highlight w:val="none"/>
        </w:rPr>
      </w:pPr>
      <w:r>
        <w:rPr>
          <w:rFonts w:hint="eastAsia"/>
          <w:sz w:val="21"/>
          <w:szCs w:val="21"/>
          <w:highlight w:val="none"/>
        </w:rPr>
        <w:t xml:space="preserve">地址：南京市建邺区中和路</w:t>
      </w:r>
      <w:r>
        <w:rPr>
          <w:sz w:val="21"/>
          <w:szCs w:val="21"/>
          <w:highlight w:val="none"/>
        </w:rPr>
        <w:t xml:space="preserve">100号</w:t>
      </w:r>
      <w:r/>
    </w:p>
    <w:p>
      <w:pPr>
        <w:ind w:firstLine="420"/>
        <w:spacing w:line="360" w:lineRule="auto"/>
        <w:rPr>
          <w:sz w:val="21"/>
          <w:szCs w:val="21"/>
          <w:highlight w:val="none"/>
        </w:rPr>
      </w:pPr>
      <w:r>
        <w:rPr>
          <w:rFonts w:hint="eastAsia"/>
          <w:sz w:val="21"/>
          <w:szCs w:val="21"/>
          <w:highlight w:val="none"/>
        </w:rPr>
        <w:t xml:space="preserve">联系方式：田女士</w:t>
      </w:r>
      <w:r>
        <w:rPr>
          <w:sz w:val="21"/>
          <w:szCs w:val="21"/>
          <w:highlight w:val="none"/>
        </w:rPr>
        <w:t xml:space="preserve"> 025-69586567</w:t>
      </w:r>
      <w:r/>
    </w:p>
    <w:p>
      <w:pPr>
        <w:ind w:firstLine="420"/>
        <w:spacing w:line="360" w:lineRule="auto"/>
        <w:rPr>
          <w:sz w:val="21"/>
          <w:szCs w:val="21"/>
          <w:highlight w:val="none"/>
        </w:rPr>
      </w:pPr>
      <w:r>
        <w:rPr>
          <w:rFonts w:hint="eastAsia"/>
          <w:sz w:val="21"/>
          <w:szCs w:val="21"/>
          <w:highlight w:val="none"/>
        </w:rPr>
        <w:t xml:space="preserve">名称：南京苏宁工程咨询有限公司</w:t>
      </w:r>
      <w:r/>
    </w:p>
    <w:p>
      <w:pPr>
        <w:ind w:firstLine="420"/>
        <w:spacing w:line="360" w:lineRule="auto"/>
        <w:rPr>
          <w:sz w:val="21"/>
          <w:szCs w:val="21"/>
          <w:highlight w:val="none"/>
        </w:rPr>
      </w:pPr>
      <w:r>
        <w:rPr>
          <w:rFonts w:hint="eastAsia"/>
          <w:sz w:val="21"/>
          <w:szCs w:val="21"/>
          <w:highlight w:val="none"/>
        </w:rPr>
        <w:t xml:space="preserve">地址：南京市鼓楼区中山路</w:t>
      </w:r>
      <w:r>
        <w:rPr>
          <w:sz w:val="21"/>
          <w:szCs w:val="21"/>
          <w:highlight w:val="none"/>
        </w:rPr>
        <w:t xml:space="preserve">99号12楼</w:t>
      </w:r>
      <w:r/>
    </w:p>
    <w:p>
      <w:pPr>
        <w:ind w:firstLine="420"/>
        <w:spacing w:line="360" w:lineRule="auto"/>
        <w:rPr>
          <w:sz w:val="21"/>
          <w:szCs w:val="21"/>
          <w:highlight w:val="none"/>
        </w:rPr>
      </w:pPr>
      <w:r>
        <w:rPr>
          <w:rFonts w:hint="eastAsia"/>
          <w:sz w:val="21"/>
          <w:szCs w:val="21"/>
          <w:highlight w:val="none"/>
        </w:rPr>
        <w:t xml:space="preserve">联系方式：</w:t>
      </w:r>
      <w:r>
        <w:rPr>
          <w:rFonts w:hint="eastAsia"/>
          <w:sz w:val="21"/>
          <w:szCs w:val="21"/>
          <w:highlight w:val="none"/>
          <w:lang w:val="en-US"/>
        </w:rPr>
        <w:t xml:space="preserve">江跃</w:t>
      </w:r>
      <w:r>
        <w:rPr>
          <w:sz w:val="21"/>
          <w:szCs w:val="21"/>
          <w:highlight w:val="none"/>
        </w:rPr>
        <w:t xml:space="preserve">025-84200819</w:t>
      </w:r>
      <w:r/>
    </w:p>
    <w:p>
      <w:pPr>
        <w:ind w:firstLine="420"/>
        <w:spacing w:line="360" w:lineRule="auto"/>
        <w:rPr>
          <w:sz w:val="21"/>
          <w:szCs w:val="21"/>
          <w:highlight w:val="none"/>
        </w:rPr>
      </w:pPr>
      <w:r>
        <w:rPr>
          <w:sz w:val="21"/>
          <w:szCs w:val="21"/>
          <w:highlight w:val="none"/>
        </w:rPr>
        <w:t xml:space="preserve">3.项目联系方式</w:t>
      </w:r>
      <w:r/>
    </w:p>
    <w:p>
      <w:pPr>
        <w:ind w:firstLine="420"/>
        <w:spacing w:line="360" w:lineRule="auto"/>
        <w:rPr>
          <w:sz w:val="21"/>
          <w:szCs w:val="21"/>
          <w:highlight w:val="none"/>
        </w:rPr>
      </w:pPr>
      <w:r>
        <w:rPr>
          <w:rFonts w:hint="eastAsia"/>
          <w:sz w:val="21"/>
          <w:szCs w:val="21"/>
          <w:highlight w:val="none"/>
        </w:rPr>
        <w:t xml:space="preserve">项目联系人：</w:t>
      </w:r>
      <w:r>
        <w:rPr>
          <w:rFonts w:hint="eastAsia"/>
          <w:sz w:val="21"/>
          <w:szCs w:val="21"/>
          <w:highlight w:val="none"/>
          <w:lang w:val="en-US"/>
        </w:rPr>
        <w:t xml:space="preserve">江跃</w:t>
      </w:r>
      <w:r/>
    </w:p>
    <w:p>
      <w:pPr>
        <w:ind w:firstLine="420"/>
        <w:spacing w:line="360" w:lineRule="auto"/>
        <w:rPr>
          <w:sz w:val="21"/>
          <w:szCs w:val="21"/>
          <w:highlight w:val="none"/>
        </w:rPr>
      </w:pPr>
      <w:r>
        <w:rPr>
          <w:rFonts w:hint="eastAsia"/>
          <w:sz w:val="21"/>
          <w:szCs w:val="21"/>
          <w:highlight w:val="none"/>
        </w:rPr>
        <w:t xml:space="preserve">电话：</w:t>
      </w:r>
      <w:r>
        <w:rPr>
          <w:sz w:val="21"/>
          <w:szCs w:val="21"/>
          <w:highlight w:val="none"/>
        </w:rPr>
        <w:t xml:space="preserve">025-84200819</w:t>
      </w:r>
      <w:r/>
    </w:p>
    <w:p>
      <w:pPr>
        <w:jc w:val="center"/>
        <w:rPr>
          <w:sz w:val="28"/>
          <w:szCs w:val="28"/>
          <w:highlight w:val="none"/>
        </w:rPr>
        <w:outlineLvl w:val="0"/>
      </w:pPr>
      <w:r>
        <w:rPr>
          <w:rFonts w:hint="eastAsia"/>
          <w:sz w:val="24"/>
          <w:szCs w:val="24"/>
          <w:highlight w:val="none"/>
        </w:rPr>
        <w:br w:type="page" w:clear="all"/>
      </w:r>
      <w:r>
        <w:rPr>
          <w:rFonts w:hint="eastAsia"/>
          <w:b/>
          <w:bCs/>
          <w:sz w:val="28"/>
          <w:szCs w:val="28"/>
          <w:highlight w:val="none"/>
        </w:rPr>
        <w:t xml:space="preserve">第二章</w:t>
      </w:r>
      <w:r>
        <w:rPr>
          <w:rFonts w:hint="eastAsia"/>
          <w:b/>
          <w:bCs/>
          <w:sz w:val="28"/>
          <w:szCs w:val="28"/>
          <w:highlight w:val="none"/>
          <w:lang w:val="en-US"/>
        </w:rPr>
        <w:t xml:space="preserve">  供应商</w:t>
      </w:r>
      <w:r>
        <w:rPr>
          <w:rFonts w:hint="eastAsia"/>
          <w:b/>
          <w:bCs/>
          <w:sz w:val="28"/>
          <w:szCs w:val="28"/>
          <w:highlight w:val="none"/>
        </w:rPr>
        <w:t xml:space="preserve">须知</w:t>
      </w:r>
      <w:r/>
    </w:p>
    <w:p>
      <w:pPr>
        <w:pStyle w:val="724"/>
        <w:ind w:firstLine="422"/>
        <w:spacing w:line="360" w:lineRule="auto"/>
        <w:tabs>
          <w:tab w:val="left" w:pos="963" w:leader="none"/>
        </w:tabs>
        <w:rPr>
          <w:b/>
          <w:highlight w:val="none"/>
        </w:rPr>
      </w:pPr>
      <w:r>
        <w:rPr>
          <w:rFonts w:hint="eastAsia"/>
          <w:b/>
          <w:highlight w:val="none"/>
        </w:rPr>
        <w:t xml:space="preserve">一、总则</w:t>
      </w:r>
      <w:r/>
    </w:p>
    <w:p>
      <w:pPr>
        <w:pStyle w:val="724"/>
        <w:ind w:firstLine="422"/>
        <w:spacing w:line="360" w:lineRule="auto"/>
        <w:tabs>
          <w:tab w:val="left" w:pos="842" w:leader="none"/>
        </w:tabs>
        <w:rPr>
          <w:b/>
          <w:highlight w:val="none"/>
        </w:rPr>
      </w:pPr>
      <w:r>
        <w:rPr>
          <w:rFonts w:hint="eastAsia"/>
          <w:b/>
          <w:highlight w:val="none"/>
        </w:rPr>
        <w:t xml:space="preserve">1、适用法律</w:t>
      </w:r>
      <w:r/>
    </w:p>
    <w:p>
      <w:pPr>
        <w:pStyle w:val="724"/>
        <w:ind w:firstLine="420"/>
        <w:spacing w:line="360" w:lineRule="auto"/>
        <w:rPr>
          <w:highlight w:val="none"/>
        </w:rPr>
      </w:pPr>
      <w:r>
        <w:rPr>
          <w:rFonts w:hint="eastAsia"/>
          <w:highlight w:val="none"/>
        </w:rPr>
        <w:t xml:space="preserve">1.1《中华人民共和国政府采购法》、《中华人民共和国政府采购法实施条例》、《政府采购货物和服务招标投标管理办法》等有关法律、规章和规定等。</w:t>
      </w:r>
      <w:r/>
    </w:p>
    <w:p>
      <w:pPr>
        <w:pStyle w:val="724"/>
        <w:ind w:firstLine="422"/>
        <w:spacing w:line="360" w:lineRule="auto"/>
        <w:tabs>
          <w:tab w:val="left" w:pos="842" w:leader="none"/>
        </w:tabs>
        <w:rPr>
          <w:b/>
          <w:highlight w:val="none"/>
        </w:rPr>
      </w:pPr>
      <w:r>
        <w:rPr>
          <w:rFonts w:hint="eastAsia"/>
          <w:b/>
          <w:highlight w:val="none"/>
        </w:rPr>
        <w:t xml:space="preserve">2、定义</w:t>
      </w:r>
      <w:r/>
    </w:p>
    <w:p>
      <w:pPr>
        <w:pStyle w:val="724"/>
        <w:ind w:firstLine="420"/>
        <w:spacing w:line="360" w:lineRule="auto"/>
        <w:tabs>
          <w:tab w:val="left" w:pos="900" w:leader="none"/>
        </w:tabs>
        <w:rPr>
          <w:highlight w:val="none"/>
        </w:rPr>
      </w:pPr>
      <w:r>
        <w:rPr>
          <w:rFonts w:hint="eastAsia"/>
          <w:highlight w:val="none"/>
        </w:rPr>
        <w:t xml:space="preserve">2.1“采购人”指依法进行政府采购的国家机关、事业单位、团体组织。</w:t>
      </w:r>
      <w:r/>
    </w:p>
    <w:p>
      <w:pPr>
        <w:pStyle w:val="724"/>
        <w:ind w:firstLine="420"/>
        <w:spacing w:line="360" w:lineRule="auto"/>
        <w:tabs>
          <w:tab w:val="left" w:pos="900" w:leader="none"/>
        </w:tabs>
        <w:rPr>
          <w:highlight w:val="none"/>
        </w:rPr>
      </w:pPr>
      <w:r>
        <w:rPr>
          <w:rFonts w:hint="eastAsia"/>
          <w:highlight w:val="none"/>
        </w:rPr>
        <w:t xml:space="preserve">2.2“使用单位”是指使用货物、服务的单位。</w:t>
      </w:r>
      <w:r/>
    </w:p>
    <w:p>
      <w:pPr>
        <w:pStyle w:val="724"/>
        <w:ind w:firstLine="420"/>
        <w:spacing w:line="360" w:lineRule="auto"/>
        <w:tabs>
          <w:tab w:val="left" w:pos="900" w:leader="none"/>
        </w:tabs>
        <w:rPr>
          <w:highlight w:val="none"/>
        </w:rPr>
      </w:pPr>
      <w:r>
        <w:rPr>
          <w:rFonts w:hint="eastAsia"/>
          <w:highlight w:val="none"/>
        </w:rPr>
        <w:t xml:space="preserve">2.3“采购代理”是指集中采购机构和集中采购机构以外的采购代理机构。</w:t>
      </w:r>
      <w:r/>
    </w:p>
    <w:p>
      <w:pPr>
        <w:pStyle w:val="724"/>
        <w:ind w:firstLine="420"/>
        <w:spacing w:line="360" w:lineRule="auto"/>
        <w:tabs>
          <w:tab w:val="left" w:pos="900" w:leader="none"/>
        </w:tabs>
        <w:rPr>
          <w:highlight w:val="none"/>
        </w:rPr>
      </w:pPr>
      <w:r>
        <w:rPr>
          <w:rFonts w:hint="eastAsia"/>
          <w:highlight w:val="none"/>
        </w:rPr>
        <w:t xml:space="preserve">2.4“投标人”“供应商”是指向采购人提供货物、工程或者服务的法人、其他组织或者自然人。</w:t>
      </w:r>
      <w:r/>
    </w:p>
    <w:p>
      <w:pPr>
        <w:pStyle w:val="724"/>
        <w:ind w:firstLine="420"/>
        <w:spacing w:line="360" w:lineRule="auto"/>
        <w:tabs>
          <w:tab w:val="left" w:pos="900" w:leader="none"/>
        </w:tabs>
        <w:rPr>
          <w:highlight w:val="none"/>
        </w:rPr>
      </w:pPr>
      <w:r>
        <w:rPr>
          <w:rFonts w:hint="eastAsia"/>
          <w:highlight w:val="none"/>
        </w:rPr>
        <w:t xml:space="preserve">2.5“产品”指本招标文件中所述产品及相关服务。</w:t>
      </w:r>
      <w:r/>
    </w:p>
    <w:p>
      <w:pPr>
        <w:pStyle w:val="724"/>
        <w:ind w:firstLine="422"/>
        <w:spacing w:line="360" w:lineRule="auto"/>
        <w:tabs>
          <w:tab w:val="left" w:pos="842" w:leader="none"/>
        </w:tabs>
        <w:rPr>
          <w:b/>
          <w:highlight w:val="none"/>
        </w:rPr>
      </w:pPr>
      <w:r>
        <w:rPr>
          <w:rFonts w:hint="eastAsia"/>
          <w:b/>
          <w:highlight w:val="none"/>
        </w:rPr>
        <w:t xml:space="preserve">3、政策功能</w:t>
      </w:r>
      <w:r/>
    </w:p>
    <w:p>
      <w:pPr>
        <w:pStyle w:val="724"/>
        <w:ind w:firstLine="420"/>
        <w:spacing w:line="360" w:lineRule="auto"/>
        <w:tabs>
          <w:tab w:val="left" w:pos="903" w:leader="none"/>
        </w:tabs>
        <w:rPr>
          <w:highlight w:val="none"/>
        </w:rPr>
      </w:pPr>
      <w:r>
        <w:rPr>
          <w:rFonts w:hint="eastAsia"/>
          <w:highlight w:val="none"/>
        </w:rPr>
        <w:t xml:space="preserve">3.1</w:t>
      </w:r>
      <w:r>
        <w:rPr>
          <w:rFonts w:hint="eastAsia"/>
          <w:b/>
          <w:highlight w:val="none"/>
        </w:rPr>
        <w:t xml:space="preserve">中小企业、监狱企业及残疾人福利性单位政策</w:t>
      </w:r>
      <w:r/>
    </w:p>
    <w:p>
      <w:pPr>
        <w:pStyle w:val="724"/>
        <w:ind w:firstLine="420"/>
        <w:spacing w:line="360" w:lineRule="auto"/>
        <w:tabs>
          <w:tab w:val="left" w:pos="1080" w:leader="none"/>
        </w:tabs>
        <w:rPr>
          <w:highlight w:val="none"/>
        </w:rPr>
      </w:pPr>
      <w:r>
        <w:rPr>
          <w:rFonts w:hint="eastAsia"/>
          <w:highlight w:val="none"/>
        </w:rPr>
        <w:t xml:space="preserve">3.1.1政府采购促进中小企业发展，在政府采购活动中，</w:t>
      </w:r>
      <w:r>
        <w:rPr>
          <w:rFonts w:hint="eastAsia"/>
          <w:highlight w:val="none"/>
          <w:lang w:val="en-US"/>
        </w:rPr>
        <w:t xml:space="preserve">供应商</w:t>
      </w:r>
      <w:r>
        <w:rPr>
          <w:rFonts w:hint="eastAsia"/>
          <w:highlight w:val="none"/>
        </w:rPr>
        <w:t xml:space="preserve">提供的货物、工程或者服务符合下列情形的，享受中小企业扶持政策：</w:t>
      </w:r>
      <w:r/>
    </w:p>
    <w:p>
      <w:pPr>
        <w:pStyle w:val="724"/>
        <w:ind w:firstLine="420"/>
        <w:spacing w:line="360" w:lineRule="auto"/>
        <w:tabs>
          <w:tab w:val="left" w:pos="1080" w:leader="none"/>
        </w:tabs>
        <w:rPr>
          <w:highlight w:val="none"/>
        </w:rPr>
      </w:pPr>
      <w:r>
        <w:rPr>
          <w:rFonts w:hint="eastAsia"/>
          <w:highlight w:val="none"/>
        </w:rPr>
        <w:t xml:space="preserve">（1）在货物采购项目中，货物由中小企业制造，即货物由中小企业生产且使用该中小企业商号或者注册商标；</w:t>
      </w:r>
      <w:r/>
    </w:p>
    <w:p>
      <w:pPr>
        <w:pStyle w:val="724"/>
        <w:ind w:firstLine="420"/>
        <w:spacing w:line="360" w:lineRule="auto"/>
        <w:tabs>
          <w:tab w:val="left" w:pos="1080" w:leader="none"/>
        </w:tabs>
        <w:rPr>
          <w:highlight w:val="none"/>
        </w:rPr>
      </w:pPr>
      <w:r>
        <w:rPr>
          <w:rFonts w:hint="eastAsia"/>
          <w:highlight w:val="none"/>
        </w:rPr>
        <w:t xml:space="preserve">（2）在工程采购项目中，工程由中小企业承建，即工程施工单位为中小企业；</w:t>
      </w:r>
      <w:r/>
    </w:p>
    <w:p>
      <w:pPr>
        <w:pStyle w:val="724"/>
        <w:ind w:firstLine="420"/>
        <w:spacing w:line="360" w:lineRule="auto"/>
        <w:tabs>
          <w:tab w:val="left" w:pos="1080" w:leader="none"/>
        </w:tabs>
        <w:rPr>
          <w:highlight w:val="none"/>
        </w:rPr>
      </w:pPr>
      <w:r>
        <w:rPr>
          <w:rFonts w:hint="eastAsia"/>
          <w:highlight w:val="none"/>
        </w:rPr>
        <w:t xml:space="preserve">（3）在服务采购项目中，服务由中小企业承接，即提供服务的人员为中小企业依照《中华人民共和国劳动合同法》订立劳动合同的从业人员。</w:t>
      </w:r>
      <w:r/>
    </w:p>
    <w:p>
      <w:pPr>
        <w:pStyle w:val="724"/>
        <w:ind w:firstLine="420"/>
        <w:spacing w:line="360" w:lineRule="auto"/>
        <w:tabs>
          <w:tab w:val="left" w:pos="1080" w:leader="none"/>
        </w:tabs>
        <w:rPr>
          <w:highlight w:val="none"/>
        </w:rPr>
      </w:pPr>
      <w:r>
        <w:rPr>
          <w:rFonts w:hint="eastAsia"/>
          <w:highlight w:val="none"/>
        </w:rPr>
        <w:t xml:space="preserve">3.1.2在货物采购项目中，</w:t>
      </w:r>
      <w:r>
        <w:rPr>
          <w:rFonts w:hint="eastAsia"/>
          <w:highlight w:val="none"/>
          <w:lang w:val="en-US"/>
        </w:rPr>
        <w:t xml:space="preserve">供应商</w:t>
      </w:r>
      <w:r>
        <w:rPr>
          <w:rFonts w:hint="eastAsia"/>
          <w:highlight w:val="none"/>
        </w:rPr>
        <w:t xml:space="preserve">提供的货物既有中小企业制造货物，也有大型企业制造货物的，不享受中小企业扶持政策。</w:t>
      </w:r>
      <w:r/>
    </w:p>
    <w:p>
      <w:pPr>
        <w:pStyle w:val="724"/>
        <w:ind w:firstLine="420"/>
        <w:spacing w:line="360" w:lineRule="auto"/>
        <w:tabs>
          <w:tab w:val="left" w:pos="1080" w:leader="none"/>
        </w:tabs>
        <w:rPr>
          <w:highlight w:val="none"/>
        </w:rPr>
      </w:pPr>
      <w:r>
        <w:rPr>
          <w:rFonts w:hint="eastAsia"/>
          <w:highlight w:val="none"/>
        </w:rPr>
        <w:t xml:space="preserve">3.1.3以联合体形式参加政府采购活动，联合体各方均为中小企业的，联合体视同中小企业。其中，联合体各方均为小微企业的，联合体视同小微企业。</w:t>
      </w:r>
      <w:r/>
    </w:p>
    <w:p>
      <w:pPr>
        <w:pStyle w:val="724"/>
        <w:ind w:firstLine="420"/>
        <w:spacing w:line="360" w:lineRule="auto"/>
        <w:tabs>
          <w:tab w:val="left" w:pos="1080" w:leader="none"/>
        </w:tabs>
        <w:rPr>
          <w:highlight w:val="none"/>
        </w:rPr>
      </w:pPr>
      <w:r>
        <w:rPr>
          <w:rFonts w:hint="eastAsia"/>
          <w:highlight w:val="none"/>
        </w:rPr>
        <w:t xml:space="preserve">3.1.4中小企业供应商参加政府采购活动，应当出具《中小企业声明函》（格式见后附件），否则不得享受相关中小企业扶持政策。</w:t>
      </w:r>
      <w:r/>
    </w:p>
    <w:p>
      <w:pPr>
        <w:pStyle w:val="724"/>
        <w:ind w:firstLine="420"/>
        <w:spacing w:line="360" w:lineRule="auto"/>
        <w:tabs>
          <w:tab w:val="left" w:pos="1080" w:leader="none"/>
        </w:tabs>
        <w:rPr>
          <w:highlight w:val="none"/>
        </w:rPr>
      </w:pPr>
      <w:r>
        <w:rPr>
          <w:rFonts w:hint="eastAsia"/>
          <w:highlight w:val="none"/>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24"/>
        <w:ind w:firstLine="420"/>
        <w:spacing w:line="360" w:lineRule="auto"/>
        <w:tabs>
          <w:tab w:val="left" w:pos="1080" w:leader="none"/>
        </w:tabs>
        <w:rPr>
          <w:highlight w:val="none"/>
        </w:rPr>
      </w:pPr>
      <w:r>
        <w:rPr>
          <w:rFonts w:hint="eastAsia"/>
          <w:highlight w:val="none"/>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pStyle w:val="724"/>
        <w:ind w:firstLine="420"/>
        <w:spacing w:line="360" w:lineRule="auto"/>
        <w:tabs>
          <w:tab w:val="left" w:pos="1080" w:leader="none"/>
        </w:tabs>
        <w:rPr>
          <w:highlight w:val="none"/>
        </w:rPr>
      </w:pPr>
      <w:r>
        <w:rPr>
          <w:rFonts w:hint="eastAsia"/>
          <w:highlight w:val="none"/>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pStyle w:val="724"/>
        <w:ind w:firstLine="422"/>
        <w:spacing w:line="360" w:lineRule="auto"/>
        <w:tabs>
          <w:tab w:val="left" w:pos="963" w:leader="none"/>
        </w:tabs>
        <w:rPr>
          <w:b/>
          <w:highlight w:val="none"/>
        </w:rPr>
      </w:pPr>
      <w:r>
        <w:rPr>
          <w:rFonts w:hint="eastAsia"/>
          <w:b/>
          <w:highlight w:val="none"/>
        </w:rPr>
        <w:t xml:space="preserve">二、招标文件</w:t>
      </w:r>
      <w:r/>
    </w:p>
    <w:p>
      <w:pPr>
        <w:pStyle w:val="724"/>
        <w:ind w:firstLine="422"/>
        <w:spacing w:line="360" w:lineRule="auto"/>
        <w:tabs>
          <w:tab w:val="left" w:pos="842" w:leader="none"/>
        </w:tabs>
        <w:rPr>
          <w:b/>
          <w:highlight w:val="none"/>
        </w:rPr>
      </w:pPr>
      <w:r>
        <w:rPr>
          <w:b/>
          <w:highlight w:val="none"/>
        </w:rPr>
        <w:t xml:space="preserve">4、</w:t>
      </w:r>
      <w:r>
        <w:rPr>
          <w:rFonts w:hint="eastAsia"/>
          <w:b/>
          <w:highlight w:val="none"/>
        </w:rPr>
        <w:t xml:space="preserve">招标文件组成</w:t>
      </w:r>
      <w:r/>
    </w:p>
    <w:p>
      <w:pPr>
        <w:pStyle w:val="724"/>
        <w:ind w:firstLine="420"/>
        <w:spacing w:line="360" w:lineRule="auto"/>
        <w:tabs>
          <w:tab w:val="left" w:pos="900" w:leader="none"/>
        </w:tabs>
        <w:rPr>
          <w:highlight w:val="none"/>
        </w:rPr>
      </w:pPr>
      <w:r>
        <w:rPr>
          <w:rFonts w:hint="eastAsia"/>
          <w:highlight w:val="none"/>
        </w:rPr>
        <w:t xml:space="preserve">4.1招标文件组成：</w:t>
      </w:r>
      <w:r/>
    </w:p>
    <w:p>
      <w:pPr>
        <w:pStyle w:val="724"/>
        <w:ind w:firstLine="420"/>
        <w:spacing w:line="360" w:lineRule="auto"/>
        <w:tabs>
          <w:tab w:val="left" w:pos="900" w:leader="none"/>
        </w:tabs>
        <w:rPr>
          <w:highlight w:val="none"/>
        </w:rPr>
      </w:pPr>
      <w:r>
        <w:rPr>
          <w:rFonts w:hint="eastAsia"/>
          <w:highlight w:val="none"/>
        </w:rPr>
        <w:t xml:space="preserve">第一章  招标公告</w:t>
      </w:r>
      <w:r/>
    </w:p>
    <w:p>
      <w:pPr>
        <w:pStyle w:val="724"/>
        <w:ind w:firstLine="420"/>
        <w:spacing w:line="360" w:lineRule="auto"/>
        <w:tabs>
          <w:tab w:val="left" w:pos="900" w:leader="none"/>
        </w:tabs>
        <w:rPr>
          <w:highlight w:val="none"/>
        </w:rPr>
      </w:pPr>
      <w:r>
        <w:rPr>
          <w:rFonts w:hint="eastAsia"/>
          <w:highlight w:val="none"/>
        </w:rPr>
        <w:t xml:space="preserve">第二章  供应商须知</w:t>
      </w:r>
      <w:r/>
    </w:p>
    <w:p>
      <w:pPr>
        <w:pStyle w:val="724"/>
        <w:ind w:firstLine="420"/>
        <w:spacing w:line="360" w:lineRule="auto"/>
        <w:tabs>
          <w:tab w:val="left" w:pos="900" w:leader="none"/>
        </w:tabs>
        <w:rPr>
          <w:highlight w:val="none"/>
        </w:rPr>
      </w:pPr>
      <w:r>
        <w:rPr>
          <w:rFonts w:hint="eastAsia"/>
          <w:highlight w:val="none"/>
        </w:rPr>
        <w:t xml:space="preserve">第三章  评标标准</w:t>
      </w:r>
      <w:r/>
    </w:p>
    <w:p>
      <w:pPr>
        <w:pStyle w:val="724"/>
        <w:ind w:firstLine="420"/>
        <w:spacing w:line="360" w:lineRule="auto"/>
        <w:tabs>
          <w:tab w:val="left" w:pos="900" w:leader="none"/>
        </w:tabs>
        <w:rPr>
          <w:highlight w:val="none"/>
        </w:rPr>
      </w:pPr>
      <w:r>
        <w:rPr>
          <w:rFonts w:hint="eastAsia"/>
          <w:highlight w:val="none"/>
        </w:rPr>
        <w:t xml:space="preserve">第四章  项目需求</w:t>
      </w:r>
      <w:r/>
    </w:p>
    <w:p>
      <w:pPr>
        <w:pStyle w:val="724"/>
        <w:ind w:firstLine="420"/>
        <w:spacing w:line="360" w:lineRule="auto"/>
        <w:tabs>
          <w:tab w:val="left" w:pos="900" w:leader="none"/>
        </w:tabs>
        <w:rPr>
          <w:highlight w:val="none"/>
        </w:rPr>
      </w:pPr>
      <w:r>
        <w:rPr>
          <w:rFonts w:hint="eastAsia"/>
          <w:highlight w:val="none"/>
        </w:rPr>
        <w:t xml:space="preserve">第五章  合同主要条款及格式</w:t>
      </w:r>
      <w:r/>
    </w:p>
    <w:p>
      <w:pPr>
        <w:pStyle w:val="724"/>
        <w:ind w:firstLine="420"/>
        <w:spacing w:line="360" w:lineRule="auto"/>
        <w:tabs>
          <w:tab w:val="left" w:pos="900" w:leader="none"/>
        </w:tabs>
        <w:rPr>
          <w:highlight w:val="none"/>
        </w:rPr>
      </w:pPr>
      <w:r>
        <w:rPr>
          <w:rFonts w:hint="eastAsia"/>
          <w:highlight w:val="none"/>
        </w:rPr>
        <w:t xml:space="preserve">第六章  投标文件格式及附件及附件</w:t>
      </w:r>
      <w:r/>
    </w:p>
    <w:p>
      <w:pPr>
        <w:pStyle w:val="724"/>
        <w:ind w:firstLine="420"/>
        <w:spacing w:line="360" w:lineRule="auto"/>
        <w:tabs>
          <w:tab w:val="left" w:pos="900" w:leader="none"/>
        </w:tabs>
        <w:rPr>
          <w:highlight w:val="none"/>
        </w:rPr>
      </w:pPr>
      <w:r>
        <w:rPr>
          <w:rFonts w:hint="eastAsia"/>
          <w:highlight w:val="none"/>
        </w:rPr>
        <w:t xml:space="preserve">4.2招标的最小单位是包。招标服务数量及技术要求中未分包的，</w:t>
      </w:r>
      <w:r>
        <w:rPr>
          <w:rFonts w:hint="eastAsia"/>
          <w:highlight w:val="none"/>
          <w:lang w:val="en-US"/>
        </w:rPr>
        <w:t xml:space="preserve">供应商</w:t>
      </w:r>
      <w:r>
        <w:rPr>
          <w:rFonts w:hint="eastAsia"/>
          <w:highlight w:val="none"/>
        </w:rPr>
        <w:t xml:space="preserve">对要求提供的服务不得部分投标；招标服务数量及技术要求中已经分包的，应当以包为单位投标。</w:t>
      </w:r>
      <w:r/>
    </w:p>
    <w:p>
      <w:pPr>
        <w:pStyle w:val="724"/>
        <w:ind w:firstLine="420"/>
        <w:spacing w:line="360" w:lineRule="auto"/>
        <w:tabs>
          <w:tab w:val="left" w:pos="900" w:leader="none"/>
        </w:tabs>
        <w:rPr>
          <w:highlight w:val="none"/>
        </w:rPr>
      </w:pPr>
      <w:r>
        <w:rPr>
          <w:rFonts w:hint="eastAsia"/>
          <w:highlight w:val="none"/>
        </w:rPr>
        <w:t xml:space="preserve">4.3招标文件如果要求</w:t>
      </w:r>
      <w:r>
        <w:rPr>
          <w:rFonts w:hint="eastAsia"/>
          <w:highlight w:val="none"/>
          <w:lang w:val="en-US"/>
        </w:rPr>
        <w:t xml:space="preserve">供应商</w:t>
      </w:r>
      <w:r>
        <w:rPr>
          <w:rFonts w:hint="eastAsia"/>
          <w:highlight w:val="none"/>
        </w:rPr>
        <w:t xml:space="preserve">提交备选投标方案的，</w:t>
      </w:r>
      <w:r>
        <w:rPr>
          <w:rFonts w:hint="eastAsia"/>
          <w:highlight w:val="none"/>
          <w:lang w:val="en-US"/>
        </w:rPr>
        <w:t xml:space="preserve">供应商</w:t>
      </w:r>
      <w:r>
        <w:rPr>
          <w:rFonts w:hint="eastAsia"/>
          <w:highlight w:val="none"/>
        </w:rPr>
        <w:t xml:space="preserve">可以提交备选方案；否则，备选方案将被拒绝。</w:t>
      </w:r>
      <w:r/>
    </w:p>
    <w:p>
      <w:pPr>
        <w:pStyle w:val="724"/>
        <w:ind w:firstLine="422"/>
        <w:spacing w:line="360" w:lineRule="auto"/>
        <w:tabs>
          <w:tab w:val="left" w:pos="842" w:leader="none"/>
        </w:tabs>
        <w:rPr>
          <w:b/>
          <w:highlight w:val="none"/>
        </w:rPr>
      </w:pPr>
      <w:r>
        <w:rPr>
          <w:b/>
          <w:highlight w:val="none"/>
        </w:rPr>
        <w:t xml:space="preserve">5、</w:t>
      </w:r>
      <w:r>
        <w:rPr>
          <w:rFonts w:hint="eastAsia"/>
          <w:b/>
          <w:highlight w:val="none"/>
        </w:rPr>
        <w:t xml:space="preserve">招标文件的澄清、修改</w:t>
      </w:r>
      <w:r/>
    </w:p>
    <w:p>
      <w:pPr>
        <w:pStyle w:val="724"/>
        <w:ind w:firstLine="420"/>
        <w:spacing w:line="360" w:lineRule="auto"/>
        <w:tabs>
          <w:tab w:val="left" w:pos="900" w:leader="none"/>
        </w:tabs>
        <w:rPr>
          <w:highlight w:val="none"/>
        </w:rPr>
      </w:pPr>
      <w:r>
        <w:rPr>
          <w:rFonts w:hint="eastAsia"/>
          <w:highlight w:val="none"/>
        </w:rPr>
        <w:t xml:space="preserve">5.1招标代理对已发出的招标文件进行必要澄清或者修改的，将在招标文件要求提交投标文件截止时间前，在原招标公告媒体发布更正公告，该澄清或者修改的内容为招标文件的组成部分。</w:t>
      </w:r>
      <w:r/>
    </w:p>
    <w:p>
      <w:pPr>
        <w:pStyle w:val="724"/>
        <w:ind w:firstLine="420"/>
        <w:spacing w:line="360" w:lineRule="auto"/>
        <w:tabs>
          <w:tab w:val="left" w:pos="900" w:leader="none"/>
        </w:tabs>
        <w:rPr>
          <w:highlight w:val="none"/>
        </w:rPr>
      </w:pPr>
      <w:r>
        <w:rPr>
          <w:rFonts w:hint="eastAsia"/>
          <w:highlight w:val="none"/>
        </w:rPr>
        <w:t xml:space="preserve">5.2招标代理在招标文件要求提交投标文件截止时间前，有权决定延长投标截止时间和开标时间，并在原采购信息发布媒体上发布变更公告。</w:t>
      </w:r>
      <w:r/>
    </w:p>
    <w:p>
      <w:pPr>
        <w:pStyle w:val="724"/>
        <w:ind w:firstLine="420"/>
        <w:spacing w:line="360" w:lineRule="auto"/>
        <w:tabs>
          <w:tab w:val="left" w:pos="900" w:leader="none"/>
        </w:tabs>
        <w:rPr>
          <w:highlight w:val="none"/>
        </w:rPr>
      </w:pPr>
      <w:r>
        <w:rPr>
          <w:rFonts w:hint="eastAsia"/>
          <w:highlight w:val="none"/>
        </w:rPr>
        <w:t xml:space="preserve">5.3</w:t>
      </w:r>
      <w:r>
        <w:rPr>
          <w:rFonts w:hint="eastAsia"/>
          <w:highlight w:val="none"/>
          <w:lang w:val="en-US"/>
        </w:rPr>
        <w:t xml:space="preserve">供应商</w:t>
      </w:r>
      <w:r>
        <w:rPr>
          <w:rFonts w:hint="eastAsia"/>
          <w:highlight w:val="none"/>
        </w:rPr>
        <w:t xml:space="preserve">应在投标截止时间前关注原采购信息发布媒体上有关本招标项目有无变更公告。</w:t>
      </w:r>
      <w:r/>
    </w:p>
    <w:p>
      <w:pPr>
        <w:pStyle w:val="724"/>
        <w:ind w:firstLine="422"/>
        <w:spacing w:line="360" w:lineRule="auto"/>
        <w:tabs>
          <w:tab w:val="left" w:pos="963" w:leader="none"/>
        </w:tabs>
        <w:rPr>
          <w:b/>
          <w:highlight w:val="none"/>
        </w:rPr>
      </w:pPr>
      <w:r>
        <w:rPr>
          <w:rFonts w:hint="eastAsia"/>
          <w:b/>
          <w:highlight w:val="none"/>
        </w:rPr>
        <w:t xml:space="preserve">三、投标</w:t>
      </w:r>
      <w:r/>
    </w:p>
    <w:p>
      <w:pPr>
        <w:pStyle w:val="724"/>
        <w:ind w:firstLine="422"/>
        <w:spacing w:line="360" w:lineRule="auto"/>
        <w:tabs>
          <w:tab w:val="left" w:pos="842" w:leader="none"/>
        </w:tabs>
        <w:rPr>
          <w:b/>
          <w:highlight w:val="none"/>
        </w:rPr>
      </w:pPr>
      <w:r>
        <w:rPr>
          <w:rFonts w:hint="eastAsia"/>
          <w:b/>
          <w:highlight w:val="none"/>
        </w:rPr>
        <w:t xml:space="preserve">6、投标文件的语言、计量单位、货币和编制</w:t>
      </w:r>
      <w:r/>
    </w:p>
    <w:p>
      <w:pPr>
        <w:pStyle w:val="724"/>
        <w:ind w:firstLine="420"/>
        <w:spacing w:line="360" w:lineRule="auto"/>
        <w:tabs>
          <w:tab w:val="left" w:pos="900" w:leader="none"/>
        </w:tabs>
        <w:rPr>
          <w:highlight w:val="none"/>
        </w:rPr>
      </w:pPr>
      <w:r>
        <w:rPr>
          <w:rFonts w:hint="eastAsia"/>
          <w:highlight w:val="none"/>
        </w:rPr>
        <w:t xml:space="preserve">6.1</w:t>
      </w:r>
      <w:r>
        <w:rPr>
          <w:rFonts w:hint="eastAsia"/>
          <w:highlight w:val="none"/>
          <w:lang w:val="en-US"/>
        </w:rPr>
        <w:t xml:space="preserve">供应商</w:t>
      </w:r>
      <w:r>
        <w:rPr>
          <w:rFonts w:hint="eastAsia"/>
          <w:highlight w:val="none"/>
        </w:rPr>
        <w:t xml:space="preserve">提交的投标文件、技术文件和资料，包括图纸中的说明，以及</w:t>
      </w:r>
      <w:r>
        <w:rPr>
          <w:rFonts w:hint="eastAsia"/>
          <w:highlight w:val="none"/>
          <w:lang w:val="en-US"/>
        </w:rPr>
        <w:t xml:space="preserve">供应商</w:t>
      </w:r>
      <w:r>
        <w:rPr>
          <w:rFonts w:hint="eastAsia"/>
          <w:highlight w:val="none"/>
        </w:rPr>
        <w:t xml:space="preserve">与招标代理就有关投标的所有来往函电均应使用中文。投标文件中若有英文或其他语言文字的资料，应提供相应的中文翻译资料。对不同文本投标文件的解释发生异议的，以中文文本为准。</w:t>
      </w:r>
      <w:r/>
    </w:p>
    <w:p>
      <w:pPr>
        <w:pStyle w:val="724"/>
        <w:ind w:firstLine="420"/>
        <w:spacing w:line="360" w:lineRule="auto"/>
        <w:tabs>
          <w:tab w:val="left" w:pos="900" w:leader="none"/>
        </w:tabs>
        <w:rPr>
          <w:highlight w:val="none"/>
        </w:rPr>
      </w:pPr>
      <w:r>
        <w:rPr>
          <w:rFonts w:hint="eastAsia"/>
          <w:highlight w:val="none"/>
        </w:rPr>
        <w:t xml:space="preserve">6.2</w:t>
      </w:r>
      <w:r>
        <w:rPr>
          <w:rFonts w:hint="eastAsia"/>
          <w:highlight w:val="none"/>
          <w:lang w:val="en-US"/>
        </w:rPr>
        <w:t xml:space="preserve">供应商</w:t>
      </w:r>
      <w:r>
        <w:rPr>
          <w:rFonts w:hint="eastAsia"/>
          <w:highlight w:val="none"/>
        </w:rPr>
        <w:t xml:space="preserve">所使用的计量单位应为国家法定计量单位。</w:t>
      </w:r>
      <w:r/>
    </w:p>
    <w:p>
      <w:pPr>
        <w:pStyle w:val="724"/>
        <w:ind w:firstLine="420"/>
        <w:spacing w:line="360" w:lineRule="auto"/>
        <w:tabs>
          <w:tab w:val="left" w:pos="900" w:leader="none"/>
        </w:tabs>
        <w:rPr>
          <w:highlight w:val="none"/>
        </w:rPr>
      </w:pPr>
      <w:r>
        <w:rPr>
          <w:rFonts w:hint="eastAsia"/>
          <w:highlight w:val="none"/>
        </w:rPr>
        <w:t xml:space="preserve">6.3</w:t>
      </w:r>
      <w:r>
        <w:rPr>
          <w:rFonts w:hint="eastAsia"/>
          <w:highlight w:val="none"/>
          <w:lang w:val="en-US"/>
        </w:rPr>
        <w:t xml:space="preserve">供应商</w:t>
      </w:r>
      <w:r>
        <w:rPr>
          <w:rFonts w:hint="eastAsia"/>
          <w:highlight w:val="none"/>
        </w:rPr>
        <w:t xml:space="preserve">应用人民币报价。</w:t>
      </w:r>
      <w:r/>
    </w:p>
    <w:p>
      <w:pPr>
        <w:pStyle w:val="724"/>
        <w:ind w:firstLine="420"/>
        <w:spacing w:line="360" w:lineRule="auto"/>
        <w:tabs>
          <w:tab w:val="left" w:pos="900" w:leader="none"/>
        </w:tabs>
        <w:rPr>
          <w:highlight w:val="none"/>
        </w:rPr>
      </w:pPr>
      <w:r>
        <w:rPr>
          <w:rFonts w:hint="eastAsia"/>
          <w:highlight w:val="none"/>
        </w:rPr>
        <w:t xml:space="preserve">6.4投标文件应字迹清楚、内容齐全。</w:t>
      </w:r>
      <w:r/>
    </w:p>
    <w:p>
      <w:pPr>
        <w:pStyle w:val="724"/>
        <w:ind w:firstLine="420"/>
        <w:spacing w:line="360" w:lineRule="auto"/>
        <w:tabs>
          <w:tab w:val="left" w:pos="900" w:leader="none"/>
        </w:tabs>
        <w:rPr>
          <w:highlight w:val="none"/>
        </w:rPr>
      </w:pPr>
      <w:r>
        <w:rPr>
          <w:rFonts w:hint="eastAsia"/>
          <w:highlight w:val="none"/>
        </w:rPr>
        <w:t xml:space="preserve">6.5投标文件应按照招标文件规定的顺序并编制目录，由于编排混乱导致投标文件被误读或查找不到，责任由</w:t>
      </w:r>
      <w:r>
        <w:rPr>
          <w:rFonts w:hint="eastAsia"/>
          <w:highlight w:val="none"/>
          <w:lang w:val="en-US"/>
        </w:rPr>
        <w:t xml:space="preserve">供应商</w:t>
      </w:r>
      <w:r>
        <w:rPr>
          <w:rFonts w:hint="eastAsia"/>
          <w:highlight w:val="none"/>
        </w:rPr>
        <w:t xml:space="preserve">承担。</w:t>
      </w:r>
      <w:r/>
    </w:p>
    <w:p>
      <w:pPr>
        <w:pStyle w:val="724"/>
        <w:ind w:firstLine="422"/>
        <w:spacing w:line="360" w:lineRule="auto"/>
        <w:tabs>
          <w:tab w:val="left" w:pos="842" w:leader="none"/>
        </w:tabs>
        <w:rPr>
          <w:highlight w:val="none"/>
        </w:rPr>
      </w:pPr>
      <w:r>
        <w:rPr>
          <w:rFonts w:hint="eastAsia"/>
          <w:b/>
          <w:highlight w:val="none"/>
        </w:rPr>
        <w:t xml:space="preserve">7、联合体及分包：</w:t>
      </w:r>
      <w:r>
        <w:rPr>
          <w:rFonts w:hint="eastAsia"/>
          <w:highlight w:val="none"/>
        </w:rPr>
        <w:t xml:space="preserve">本项目不接受联合体投标；不接受分包、转包。</w:t>
      </w:r>
      <w:r/>
    </w:p>
    <w:p>
      <w:pPr>
        <w:pStyle w:val="724"/>
        <w:ind w:firstLine="422"/>
        <w:spacing w:line="360" w:lineRule="auto"/>
        <w:tabs>
          <w:tab w:val="left" w:pos="842" w:leader="none"/>
        </w:tabs>
        <w:rPr>
          <w:b/>
          <w:highlight w:val="none"/>
        </w:rPr>
      </w:pPr>
      <w:r>
        <w:rPr>
          <w:rFonts w:hint="eastAsia"/>
          <w:b/>
          <w:highlight w:val="none"/>
        </w:rPr>
        <w:t xml:space="preserve">8、投标费用</w:t>
      </w:r>
      <w:r/>
    </w:p>
    <w:p>
      <w:pPr>
        <w:pStyle w:val="724"/>
        <w:ind w:firstLine="420"/>
        <w:spacing w:line="360" w:lineRule="auto"/>
        <w:tabs>
          <w:tab w:val="left" w:pos="900" w:leader="none"/>
        </w:tabs>
        <w:rPr>
          <w:highlight w:val="none"/>
        </w:rPr>
      </w:pPr>
      <w:r>
        <w:rPr>
          <w:rFonts w:hint="eastAsia"/>
          <w:highlight w:val="none"/>
        </w:rPr>
        <w:t xml:space="preserve">8.1无论采购结果如何，</w:t>
      </w:r>
      <w:r>
        <w:rPr>
          <w:rFonts w:hint="eastAsia"/>
          <w:highlight w:val="none"/>
          <w:lang w:val="en-US"/>
        </w:rPr>
        <w:t xml:space="preserve">供应商</w:t>
      </w:r>
      <w:r>
        <w:rPr>
          <w:rFonts w:hint="eastAsia"/>
          <w:highlight w:val="none"/>
        </w:rPr>
        <w:t xml:space="preserve">应自行承担所有与参加投标有关的费用。</w:t>
      </w:r>
      <w:r/>
    </w:p>
    <w:p>
      <w:pPr>
        <w:pStyle w:val="724"/>
        <w:ind w:firstLine="420"/>
        <w:spacing w:line="360" w:lineRule="auto"/>
        <w:tabs>
          <w:tab w:val="left" w:pos="900" w:leader="none"/>
        </w:tabs>
        <w:rPr>
          <w:highlight w:val="none"/>
        </w:rPr>
      </w:pPr>
      <w:r>
        <w:rPr>
          <w:rFonts w:hint="eastAsia"/>
          <w:highlight w:val="none"/>
        </w:rPr>
        <w:t xml:space="preserve">8.2本项目招标代理务费由中标供应商在领取成交通知书前一次性支付给招标代理机构。其中招标代理费按照国家计委印发的《招标代理服务收费管理暂行办法》（计价格</w:t>
      </w:r>
      <w:r>
        <w:rPr>
          <w:highlight w:val="none"/>
        </w:rPr>
        <w:t xml:space="preserve">[2002]1980号）收费标准计取</w:t>
      </w:r>
      <w:r>
        <w:rPr>
          <w:rFonts w:hint="eastAsia"/>
          <w:highlight w:val="none"/>
        </w:rPr>
        <w:t xml:space="preserve">。</w:t>
      </w:r>
      <w:r/>
    </w:p>
    <w:p>
      <w:pPr>
        <w:pStyle w:val="724"/>
        <w:ind w:firstLine="422"/>
        <w:spacing w:line="360" w:lineRule="auto"/>
        <w:tabs>
          <w:tab w:val="left" w:pos="842" w:leader="none"/>
        </w:tabs>
        <w:rPr>
          <w:b/>
          <w:highlight w:val="none"/>
        </w:rPr>
      </w:pPr>
      <w:r>
        <w:rPr>
          <w:rFonts w:hint="eastAsia"/>
          <w:b/>
          <w:highlight w:val="none"/>
        </w:rPr>
        <w:t xml:space="preserve">9、投标文件组成</w:t>
      </w:r>
      <w:r/>
    </w:p>
    <w:p>
      <w:pPr>
        <w:pStyle w:val="724"/>
        <w:ind w:firstLine="420"/>
        <w:spacing w:line="360" w:lineRule="auto"/>
        <w:tabs>
          <w:tab w:val="left" w:pos="900" w:leader="none"/>
        </w:tabs>
        <w:rPr>
          <w:highlight w:val="none"/>
        </w:rPr>
      </w:pPr>
      <w:r>
        <w:rPr>
          <w:rFonts w:hint="eastAsia"/>
          <w:highlight w:val="none"/>
        </w:rPr>
        <w:t xml:space="preserve">9.1</w:t>
      </w:r>
      <w:r>
        <w:rPr>
          <w:rFonts w:hint="eastAsia"/>
          <w:highlight w:val="none"/>
          <w:lang w:val="en-US"/>
        </w:rPr>
        <w:t xml:space="preserve">供应商</w:t>
      </w:r>
      <w:r>
        <w:rPr>
          <w:rFonts w:hint="eastAsia"/>
          <w:highlight w:val="none"/>
        </w:rPr>
        <w:t xml:space="preserve">应当根据招标文件要求编制投标文件，投标文件应对招标文件提出的要求和条件作出实质性响应，并在《商务条款偏离表》、《技术条款偏离表》和《资格性和符合性检查响应对照表》等处逐条标明满足与否。</w:t>
      </w:r>
      <w:r/>
    </w:p>
    <w:p>
      <w:pPr>
        <w:pStyle w:val="724"/>
        <w:ind w:firstLine="420"/>
        <w:spacing w:line="360" w:lineRule="auto"/>
        <w:tabs>
          <w:tab w:val="left" w:pos="900" w:leader="none"/>
        </w:tabs>
        <w:rPr>
          <w:highlight w:val="none"/>
        </w:rPr>
      </w:pPr>
      <w:r>
        <w:rPr>
          <w:rFonts w:hint="eastAsia"/>
          <w:highlight w:val="none"/>
        </w:rPr>
        <w:t xml:space="preserve">9.2投标文件由商务部分、技术部分、价格部分，以及其他部分组成。</w:t>
      </w:r>
      <w:r/>
    </w:p>
    <w:p>
      <w:pPr>
        <w:pStyle w:val="724"/>
        <w:ind w:firstLine="422"/>
        <w:spacing w:line="360" w:lineRule="auto"/>
        <w:tabs>
          <w:tab w:val="left" w:pos="842" w:leader="none"/>
        </w:tabs>
        <w:rPr>
          <w:b/>
          <w:highlight w:val="none"/>
        </w:rPr>
      </w:pPr>
      <w:r>
        <w:rPr>
          <w:rFonts w:hint="eastAsia"/>
          <w:b/>
          <w:highlight w:val="none"/>
        </w:rPr>
        <w:t xml:space="preserve">10、投标文件的商务部分</w:t>
      </w:r>
      <w:r/>
    </w:p>
    <w:p>
      <w:pPr>
        <w:pStyle w:val="724"/>
        <w:ind w:firstLine="420"/>
        <w:spacing w:line="360" w:lineRule="auto"/>
        <w:rPr>
          <w:highlight w:val="none"/>
        </w:rPr>
      </w:pPr>
      <w:r>
        <w:rPr>
          <w:rFonts w:hint="eastAsia"/>
          <w:highlight w:val="none"/>
        </w:rPr>
        <w:t xml:space="preserve">10.1商务部分是证明</w:t>
      </w:r>
      <w:r>
        <w:rPr>
          <w:rFonts w:hint="eastAsia"/>
          <w:highlight w:val="none"/>
          <w:lang w:val="en-US"/>
        </w:rPr>
        <w:t xml:space="preserve">供应商</w:t>
      </w:r>
      <w:r>
        <w:rPr>
          <w:rFonts w:hint="eastAsia"/>
          <w:highlight w:val="none"/>
        </w:rPr>
        <w:t xml:space="preserve">有资格参加投标和中标后有能力履行合同的文件，这些文件应能满足招标的要求，格式见招标文件第六章《投标文件格式及附件》包括但不限于投标申请及声明、法定代表人授权书、</w:t>
      </w:r>
      <w:r>
        <w:rPr>
          <w:rFonts w:hint="eastAsia"/>
          <w:highlight w:val="none"/>
          <w:lang w:val="en-US"/>
        </w:rPr>
        <w:t xml:space="preserve">商务</w:t>
      </w:r>
      <w:r>
        <w:rPr>
          <w:rFonts w:hint="eastAsia"/>
          <w:highlight w:val="none"/>
        </w:rPr>
        <w:t xml:space="preserve">条款偏离表、</w:t>
      </w:r>
      <w:r>
        <w:rPr>
          <w:rFonts w:hint="eastAsia"/>
          <w:highlight w:val="none"/>
          <w:lang w:val="en-US"/>
        </w:rPr>
        <w:t xml:space="preserve">供应商</w:t>
      </w:r>
      <w:r>
        <w:rPr>
          <w:rFonts w:hint="eastAsia"/>
          <w:highlight w:val="none"/>
        </w:rPr>
        <w:t xml:space="preserve">认为需要提供的其他商务资料等。</w:t>
      </w:r>
      <w:r>
        <w:rPr>
          <w:rFonts w:hint="eastAsia"/>
          <w:b/>
          <w:bCs/>
          <w:highlight w:val="none"/>
        </w:rPr>
        <w:t xml:space="preserve">（加“*”目录不得有缺失，具体详见第六章《</w:t>
      </w:r>
      <w:r>
        <w:rPr>
          <w:rFonts w:hint="eastAsia"/>
          <w:b/>
          <w:bCs/>
          <w:highlight w:val="none"/>
          <w:lang w:val="en-US"/>
        </w:rPr>
        <w:t xml:space="preserve">投标</w:t>
      </w:r>
      <w:r>
        <w:rPr>
          <w:rFonts w:hint="eastAsia"/>
          <w:b/>
          <w:bCs/>
          <w:highlight w:val="none"/>
        </w:rPr>
        <w:t xml:space="preserve">文件格式及附件》）</w:t>
      </w:r>
      <w:r/>
    </w:p>
    <w:p>
      <w:pPr>
        <w:pStyle w:val="724"/>
        <w:ind w:firstLine="422"/>
        <w:spacing w:line="360" w:lineRule="auto"/>
        <w:tabs>
          <w:tab w:val="left" w:pos="842" w:leader="none"/>
        </w:tabs>
        <w:rPr>
          <w:b/>
          <w:highlight w:val="none"/>
        </w:rPr>
      </w:pPr>
      <w:r>
        <w:rPr>
          <w:rFonts w:hint="eastAsia"/>
          <w:b/>
          <w:highlight w:val="none"/>
        </w:rPr>
        <w:t xml:space="preserve">11、投标文件的技术部分</w:t>
      </w:r>
      <w:r/>
    </w:p>
    <w:p>
      <w:pPr>
        <w:pStyle w:val="724"/>
        <w:ind w:firstLine="420"/>
        <w:spacing w:line="360" w:lineRule="auto"/>
        <w:tabs>
          <w:tab w:val="left" w:pos="1020" w:leader="none"/>
        </w:tabs>
        <w:rPr>
          <w:highlight w:val="none"/>
        </w:rPr>
      </w:pPr>
      <w:r>
        <w:rPr>
          <w:rFonts w:hint="eastAsia"/>
          <w:highlight w:val="none"/>
        </w:rPr>
        <w:t xml:space="preserve">11.1技术部分是证明</w:t>
      </w:r>
      <w:r>
        <w:rPr>
          <w:rFonts w:hint="eastAsia"/>
          <w:highlight w:val="none"/>
          <w:lang w:val="en-US"/>
        </w:rPr>
        <w:t xml:space="preserve">供应商</w:t>
      </w:r>
      <w:r>
        <w:rPr>
          <w:rFonts w:hint="eastAsia"/>
          <w:highlight w:val="none"/>
        </w:rPr>
        <w:t xml:space="preserve">提供的产品或服务是合格的、并提供符合招标文件要求的证明文件，以及对所投的货物或服务的详细说明，这些文件可以是文字资料、图纸和数据等。</w:t>
      </w:r>
      <w:r/>
    </w:p>
    <w:p>
      <w:pPr>
        <w:pStyle w:val="724"/>
        <w:ind w:firstLine="420"/>
        <w:spacing w:line="360" w:lineRule="auto"/>
        <w:tabs>
          <w:tab w:val="left" w:pos="1020" w:leader="none"/>
        </w:tabs>
        <w:rPr>
          <w:highlight w:val="none"/>
        </w:rPr>
      </w:pPr>
      <w:r>
        <w:rPr>
          <w:rFonts w:hint="eastAsia"/>
          <w:highlight w:val="none"/>
        </w:rPr>
        <w:t xml:space="preserve">11.2若技术性能无特殊说明，则按国家有关部门最新颁布的标准及规范为准；</w:t>
      </w:r>
      <w:r/>
    </w:p>
    <w:p>
      <w:pPr>
        <w:pStyle w:val="724"/>
        <w:ind w:firstLine="420"/>
        <w:spacing w:line="360" w:lineRule="auto"/>
        <w:tabs>
          <w:tab w:val="left" w:pos="1020" w:leader="none"/>
        </w:tabs>
        <w:rPr>
          <w:highlight w:val="none"/>
        </w:rPr>
      </w:pPr>
      <w:r>
        <w:rPr>
          <w:rFonts w:hint="eastAsia"/>
          <w:highlight w:val="none"/>
        </w:rPr>
        <w:t xml:space="preserve">11.3提供的货物或服务如与招标文件要求有不符之处，应说明其差别之所在，并在《技术条款偏离表》中逐条予以说明。</w:t>
      </w:r>
      <w:r/>
    </w:p>
    <w:p>
      <w:pPr>
        <w:pStyle w:val="724"/>
        <w:ind w:firstLine="420"/>
        <w:spacing w:line="360" w:lineRule="auto"/>
        <w:tabs>
          <w:tab w:val="left" w:pos="1020" w:leader="none"/>
        </w:tabs>
        <w:rPr>
          <w:highlight w:val="none"/>
        </w:rPr>
      </w:pPr>
      <w:r>
        <w:rPr>
          <w:rFonts w:hint="eastAsia"/>
          <w:highlight w:val="none"/>
        </w:rPr>
        <w:t xml:space="preserve">11.4投标文件应按照招标文件要求提供技术资料、文件和有关证明，格式见招标文件第六章《投标文件格式及附件》包括但不限于：技术说明与服务方案、技术条款偏离表、</w:t>
      </w:r>
      <w:r>
        <w:rPr>
          <w:rFonts w:hint="eastAsia"/>
          <w:highlight w:val="none"/>
          <w:lang w:val="en-US"/>
        </w:rPr>
        <w:t xml:space="preserve">供应商</w:t>
      </w:r>
      <w:r>
        <w:rPr>
          <w:rFonts w:hint="eastAsia"/>
          <w:highlight w:val="none"/>
        </w:rPr>
        <w:t xml:space="preserve">认为需要提供的其他技术资料</w:t>
      </w:r>
      <w:r>
        <w:rPr>
          <w:rFonts w:hint="eastAsia"/>
          <w:highlight w:val="none"/>
          <w:lang w:val="en-US"/>
        </w:rPr>
        <w:t xml:space="preserve">等</w:t>
      </w:r>
      <w:r>
        <w:rPr>
          <w:rFonts w:hint="eastAsia"/>
          <w:highlight w:val="none"/>
        </w:rPr>
        <w:t xml:space="preserve">。</w:t>
      </w:r>
      <w:r>
        <w:rPr>
          <w:rFonts w:hint="eastAsia"/>
          <w:b/>
          <w:bCs/>
          <w:highlight w:val="none"/>
        </w:rPr>
        <w:t xml:space="preserve">（加“*”目录不得有缺失，具体详见第六章《</w:t>
      </w:r>
      <w:r>
        <w:rPr>
          <w:rFonts w:hint="eastAsia"/>
          <w:b/>
          <w:bCs/>
          <w:highlight w:val="none"/>
          <w:lang w:val="en-US"/>
        </w:rPr>
        <w:t xml:space="preserve">投标</w:t>
      </w:r>
      <w:r>
        <w:rPr>
          <w:rFonts w:hint="eastAsia"/>
          <w:b/>
          <w:bCs/>
          <w:highlight w:val="none"/>
        </w:rPr>
        <w:t xml:space="preserve">文件格式及附件》）</w:t>
      </w:r>
      <w:r/>
    </w:p>
    <w:p>
      <w:pPr>
        <w:pStyle w:val="724"/>
        <w:ind w:firstLine="422"/>
        <w:spacing w:line="360" w:lineRule="auto"/>
        <w:tabs>
          <w:tab w:val="left" w:pos="842" w:leader="none"/>
        </w:tabs>
        <w:rPr>
          <w:b/>
          <w:highlight w:val="none"/>
        </w:rPr>
      </w:pPr>
      <w:r>
        <w:rPr>
          <w:rFonts w:hint="eastAsia"/>
          <w:b/>
          <w:highlight w:val="none"/>
        </w:rPr>
        <w:t xml:space="preserve">12、投标文件的价格部分</w:t>
      </w:r>
      <w:r/>
    </w:p>
    <w:p>
      <w:pPr>
        <w:pStyle w:val="724"/>
        <w:ind w:firstLine="420"/>
        <w:spacing w:line="360" w:lineRule="auto"/>
        <w:tabs>
          <w:tab w:val="left" w:pos="1020" w:leader="none"/>
        </w:tabs>
        <w:rPr>
          <w:highlight w:val="none"/>
        </w:rPr>
      </w:pPr>
      <w:r>
        <w:rPr>
          <w:rFonts w:hint="eastAsia"/>
          <w:highlight w:val="none"/>
        </w:rPr>
        <w:t xml:space="preserve">12.1价格部分是对投标货物或服务价格构成的说明，每一项产品或服务仅接受一个价格，</w:t>
      </w:r>
      <w:r>
        <w:rPr>
          <w:rFonts w:hint="eastAsia"/>
          <w:b/>
          <w:highlight w:val="none"/>
        </w:rPr>
        <w:t xml:space="preserve">任何有选择的报价将不予接受，将作为无效投标文件处理</w:t>
      </w:r>
      <w:r>
        <w:rPr>
          <w:rFonts w:hint="eastAsia"/>
          <w:highlight w:val="none"/>
        </w:rPr>
        <w:t xml:space="preserve">；格式见招标文件第六章《投标文件格式及附件》包括但不限于：《开标一览表》等。</w:t>
      </w:r>
      <w:r>
        <w:rPr>
          <w:rFonts w:hint="eastAsia"/>
          <w:b/>
          <w:bCs/>
          <w:highlight w:val="none"/>
        </w:rPr>
        <w:t xml:space="preserve">（加“*”目录不得有缺失，具体详见第六章《</w:t>
      </w:r>
      <w:r>
        <w:rPr>
          <w:rFonts w:hint="eastAsia"/>
          <w:b/>
          <w:bCs/>
          <w:highlight w:val="none"/>
          <w:lang w:val="en-US"/>
        </w:rPr>
        <w:t xml:space="preserve">投标</w:t>
      </w:r>
      <w:r>
        <w:rPr>
          <w:rFonts w:hint="eastAsia"/>
          <w:b/>
          <w:bCs/>
          <w:highlight w:val="none"/>
        </w:rPr>
        <w:t xml:space="preserve">文件格式及附件》）</w:t>
      </w:r>
      <w:r/>
    </w:p>
    <w:p>
      <w:pPr>
        <w:pStyle w:val="724"/>
        <w:ind w:firstLine="420"/>
        <w:spacing w:line="360" w:lineRule="auto"/>
        <w:tabs>
          <w:tab w:val="left" w:pos="1020" w:leader="none"/>
        </w:tabs>
        <w:rPr>
          <w:highlight w:val="none"/>
        </w:rPr>
      </w:pPr>
      <w:r>
        <w:rPr>
          <w:rFonts w:hint="eastAsia"/>
          <w:highlight w:val="none"/>
        </w:rPr>
        <w:t xml:space="preserve">12.2报价应包含完成本服务项目发生的所有含税费用、支付给员工的工资和国家强制缴纳的各种社会保障资金，以及供应商认为需要的其他费用等，除招标文件规定外，采购人将不再支付报价以外的任何费用。如发生漏缺、少项，都被视为</w:t>
      </w:r>
      <w:r>
        <w:rPr>
          <w:rFonts w:hint="eastAsia"/>
          <w:highlight w:val="none"/>
          <w:lang w:val="en-US"/>
        </w:rPr>
        <w:t xml:space="preserve">供应商</w:t>
      </w:r>
      <w:r>
        <w:rPr>
          <w:rFonts w:hint="eastAsia"/>
          <w:highlight w:val="none"/>
        </w:rPr>
        <w:t xml:space="preserve">的让利行为。</w:t>
      </w:r>
      <w:r>
        <w:rPr>
          <w:rFonts w:hint="eastAsia"/>
          <w:highlight w:val="none"/>
          <w:lang w:val="en-US"/>
        </w:rPr>
        <w:t xml:space="preserve">供应商</w:t>
      </w:r>
      <w:r>
        <w:rPr>
          <w:rFonts w:hint="eastAsia"/>
          <w:highlight w:val="none"/>
        </w:rPr>
        <w:t xml:space="preserve">估算错误的风险一律由</w:t>
      </w:r>
      <w:r>
        <w:rPr>
          <w:rFonts w:hint="eastAsia"/>
          <w:highlight w:val="none"/>
          <w:lang w:val="en-US"/>
        </w:rPr>
        <w:t xml:space="preserve">供应商</w:t>
      </w:r>
      <w:r>
        <w:rPr>
          <w:rFonts w:hint="eastAsia"/>
          <w:highlight w:val="none"/>
        </w:rPr>
        <w:t xml:space="preserve">自行承担。</w:t>
      </w:r>
      <w:r/>
    </w:p>
    <w:p>
      <w:pPr>
        <w:pStyle w:val="724"/>
        <w:ind w:firstLine="420"/>
        <w:spacing w:line="360" w:lineRule="auto"/>
        <w:tabs>
          <w:tab w:val="left" w:pos="1020" w:leader="none"/>
        </w:tabs>
        <w:rPr>
          <w:highlight w:val="none"/>
        </w:rPr>
      </w:pPr>
      <w:r>
        <w:rPr>
          <w:rFonts w:hint="eastAsia"/>
          <w:highlight w:val="none"/>
        </w:rPr>
        <w:t xml:space="preserve">12.3</w:t>
      </w:r>
      <w:r>
        <w:rPr>
          <w:rFonts w:hint="eastAsia"/>
          <w:highlight w:val="none"/>
          <w:lang w:val="en-US"/>
        </w:rPr>
        <w:t xml:space="preserve">供应商</w:t>
      </w:r>
      <w:r>
        <w:rPr>
          <w:rFonts w:hint="eastAsia"/>
          <w:highlight w:val="none"/>
        </w:rPr>
        <w:t xml:space="preserve">的任何错漏、优惠、竞争性报价不得作为减轻责任、减少服务、增加收费、降低质量的理由。</w:t>
      </w:r>
      <w:r/>
    </w:p>
    <w:p>
      <w:pPr>
        <w:pStyle w:val="724"/>
        <w:ind w:firstLine="422"/>
        <w:spacing w:line="360" w:lineRule="auto"/>
        <w:tabs>
          <w:tab w:val="left" w:pos="842" w:leader="none"/>
        </w:tabs>
        <w:rPr>
          <w:b/>
          <w:highlight w:val="none"/>
        </w:rPr>
      </w:pPr>
      <w:r>
        <w:rPr>
          <w:rFonts w:hint="eastAsia"/>
          <w:b/>
          <w:highlight w:val="none"/>
        </w:rPr>
        <w:t xml:space="preserve">13、投标文件的其他部分</w:t>
      </w:r>
      <w:r/>
    </w:p>
    <w:p>
      <w:pPr>
        <w:pStyle w:val="724"/>
        <w:ind w:firstLine="420"/>
        <w:spacing w:line="360" w:lineRule="auto"/>
        <w:rPr>
          <w:highlight w:val="none"/>
        </w:rPr>
      </w:pPr>
      <w:r>
        <w:rPr>
          <w:rFonts w:hint="eastAsia"/>
          <w:highlight w:val="none"/>
        </w:rPr>
        <w:t xml:space="preserve">13.1其他部分由</w:t>
      </w:r>
      <w:r>
        <w:rPr>
          <w:rFonts w:hint="eastAsia"/>
          <w:highlight w:val="none"/>
          <w:lang w:val="en-US"/>
        </w:rPr>
        <w:t xml:space="preserve">供应商</w:t>
      </w:r>
      <w:r>
        <w:rPr>
          <w:rFonts w:hint="eastAsia"/>
          <w:highlight w:val="none"/>
        </w:rPr>
        <w:t xml:space="preserve">根据编制投标文件需要提供的其他相关文件。</w:t>
      </w:r>
      <w:r/>
    </w:p>
    <w:p>
      <w:pPr>
        <w:pStyle w:val="724"/>
        <w:ind w:firstLine="422"/>
        <w:spacing w:line="360" w:lineRule="auto"/>
        <w:tabs>
          <w:tab w:val="left" w:pos="842" w:leader="none"/>
        </w:tabs>
        <w:rPr>
          <w:b/>
          <w:highlight w:val="none"/>
        </w:rPr>
      </w:pPr>
      <w:r>
        <w:rPr>
          <w:rFonts w:hint="eastAsia"/>
          <w:b/>
          <w:highlight w:val="none"/>
        </w:rPr>
        <w:t xml:space="preserve">14、投标保证金：无</w:t>
      </w:r>
      <w:r/>
    </w:p>
    <w:p>
      <w:pPr>
        <w:pStyle w:val="724"/>
        <w:ind w:firstLine="422"/>
        <w:spacing w:line="360" w:lineRule="auto"/>
        <w:tabs>
          <w:tab w:val="left" w:pos="842" w:leader="none"/>
        </w:tabs>
        <w:rPr>
          <w:b/>
          <w:highlight w:val="none"/>
        </w:rPr>
      </w:pPr>
      <w:r>
        <w:rPr>
          <w:rFonts w:hint="eastAsia"/>
          <w:b/>
          <w:highlight w:val="none"/>
        </w:rPr>
        <w:t xml:space="preserve">15、投标有效期</w:t>
      </w:r>
      <w:r/>
    </w:p>
    <w:p>
      <w:pPr>
        <w:pStyle w:val="724"/>
        <w:ind w:firstLine="420"/>
        <w:spacing w:line="360" w:lineRule="auto"/>
        <w:tabs>
          <w:tab w:val="left" w:pos="1020" w:leader="none"/>
        </w:tabs>
        <w:rPr>
          <w:highlight w:val="none"/>
        </w:rPr>
      </w:pPr>
      <w:r>
        <w:rPr>
          <w:rFonts w:hint="eastAsia"/>
          <w:highlight w:val="none"/>
        </w:rPr>
        <w:t xml:space="preserve">15.1自开标之日起</w:t>
      </w:r>
      <w:r>
        <w:rPr>
          <w:rFonts w:hint="eastAsia"/>
          <w:b/>
          <w:highlight w:val="none"/>
        </w:rPr>
        <w:t xml:space="preserve">90天</w:t>
      </w:r>
      <w:r>
        <w:rPr>
          <w:rFonts w:hint="eastAsia"/>
          <w:highlight w:val="none"/>
        </w:rPr>
        <w:t xml:space="preserve">内投标有效。</w:t>
      </w:r>
      <w:r/>
    </w:p>
    <w:p>
      <w:pPr>
        <w:pStyle w:val="724"/>
        <w:ind w:firstLine="420"/>
        <w:spacing w:line="360" w:lineRule="auto"/>
        <w:tabs>
          <w:tab w:val="left" w:pos="1020" w:leader="none"/>
        </w:tabs>
        <w:rPr>
          <w:highlight w:val="none"/>
        </w:rPr>
      </w:pPr>
      <w:r>
        <w:rPr>
          <w:rFonts w:hint="eastAsia"/>
          <w:highlight w:val="none"/>
        </w:rPr>
        <w:t xml:space="preserve">15.2在特殊情况下，在原投标有效期截止之前，招标代理可要求</w:t>
      </w:r>
      <w:r>
        <w:rPr>
          <w:rFonts w:hint="eastAsia"/>
          <w:highlight w:val="none"/>
          <w:lang w:val="en-US"/>
        </w:rPr>
        <w:t xml:space="preserve">供应商</w:t>
      </w:r>
      <w:r>
        <w:rPr>
          <w:rFonts w:hint="eastAsia"/>
          <w:highlight w:val="none"/>
        </w:rPr>
        <w:t xml:space="preserve">同意延长投标有效期，这种要求与答复均以书面形式提交，</w:t>
      </w:r>
      <w:r>
        <w:rPr>
          <w:rFonts w:hint="eastAsia"/>
          <w:highlight w:val="none"/>
          <w:lang w:val="en-US"/>
        </w:rPr>
        <w:t xml:space="preserve">供应商</w:t>
      </w:r>
      <w:r>
        <w:rPr>
          <w:rFonts w:hint="eastAsia"/>
          <w:highlight w:val="none"/>
        </w:rPr>
        <w:t xml:space="preserve">可拒绝这种要求。接受延长投标有效期的</w:t>
      </w:r>
      <w:r>
        <w:rPr>
          <w:rFonts w:hint="eastAsia"/>
          <w:highlight w:val="none"/>
          <w:lang w:val="en-US"/>
        </w:rPr>
        <w:t xml:space="preserve">供应商</w:t>
      </w:r>
      <w:r>
        <w:rPr>
          <w:rFonts w:hint="eastAsia"/>
          <w:highlight w:val="none"/>
        </w:rPr>
        <w:t xml:space="preserve">将不会要求和允许修正其投标。</w:t>
      </w:r>
      <w:r/>
    </w:p>
    <w:p>
      <w:pPr>
        <w:pStyle w:val="724"/>
        <w:ind w:firstLine="422"/>
        <w:spacing w:line="360" w:lineRule="auto"/>
        <w:tabs>
          <w:tab w:val="left" w:pos="842" w:leader="none"/>
        </w:tabs>
        <w:rPr>
          <w:b/>
          <w:highlight w:val="none"/>
        </w:rPr>
      </w:pPr>
      <w:r>
        <w:rPr>
          <w:rFonts w:hint="eastAsia"/>
          <w:b/>
          <w:highlight w:val="none"/>
        </w:rPr>
        <w:t xml:space="preserve">16、投标文件签署</w:t>
      </w:r>
      <w:r/>
    </w:p>
    <w:p>
      <w:pPr>
        <w:pStyle w:val="724"/>
        <w:ind w:firstLine="420"/>
        <w:spacing w:line="360" w:lineRule="auto"/>
        <w:tabs>
          <w:tab w:val="left" w:pos="1020" w:leader="none"/>
        </w:tabs>
        <w:rPr>
          <w:highlight w:val="none"/>
        </w:rPr>
      </w:pPr>
      <w:r>
        <w:rPr>
          <w:rFonts w:hint="eastAsia"/>
          <w:highlight w:val="none"/>
        </w:rPr>
        <w:t xml:space="preserve">16.1投标文件须经法定代表人或经正式授权并对</w:t>
      </w:r>
      <w:r>
        <w:rPr>
          <w:rFonts w:hint="eastAsia"/>
          <w:highlight w:val="none"/>
          <w:lang w:val="en-US"/>
        </w:rPr>
        <w:t xml:space="preserve">供应商</w:t>
      </w:r>
      <w:r>
        <w:rPr>
          <w:rFonts w:hint="eastAsia"/>
          <w:highlight w:val="none"/>
        </w:rPr>
        <w:t xml:space="preserve">有约束力的委托代理人签字和加盖公章。本招标文件所表述（指定）的公章是指法定名称章，不包括合同专用章、业务专用章等印章。</w:t>
      </w:r>
      <w:r/>
    </w:p>
    <w:p>
      <w:pPr>
        <w:pStyle w:val="724"/>
        <w:ind w:firstLine="420"/>
        <w:spacing w:line="360" w:lineRule="auto"/>
        <w:tabs>
          <w:tab w:val="left" w:pos="1020" w:leader="none"/>
        </w:tabs>
        <w:rPr>
          <w:highlight w:val="none"/>
        </w:rPr>
      </w:pPr>
      <w:r>
        <w:rPr>
          <w:rFonts w:hint="eastAsia"/>
          <w:highlight w:val="none"/>
        </w:rPr>
        <w:t xml:space="preserve">16.</w:t>
      </w:r>
      <w:r>
        <w:rPr>
          <w:rFonts w:hint="eastAsia"/>
          <w:highlight w:val="none"/>
          <w:lang w:val="en-US"/>
        </w:rPr>
        <w:t xml:space="preserve">2</w:t>
      </w:r>
      <w:r>
        <w:rPr>
          <w:rFonts w:hint="eastAsia"/>
          <w:highlight w:val="none"/>
        </w:rPr>
        <w:t xml:space="preserve">除</w:t>
      </w:r>
      <w:r>
        <w:rPr>
          <w:rFonts w:hint="eastAsia"/>
          <w:highlight w:val="none"/>
          <w:lang w:val="en-US"/>
        </w:rPr>
        <w:t xml:space="preserve">供应商</w:t>
      </w:r>
      <w:r>
        <w:rPr>
          <w:rFonts w:hint="eastAsia"/>
          <w:highlight w:val="none"/>
        </w:rPr>
        <w:t xml:space="preserve">对错处做必要修改外，投标文件不得行间插字、涂改或增删。如有修改错漏处，必须由投标文件签署人签字或盖章。</w:t>
      </w:r>
      <w:r/>
    </w:p>
    <w:p>
      <w:pPr>
        <w:pStyle w:val="724"/>
        <w:ind w:firstLine="422"/>
        <w:spacing w:line="360" w:lineRule="auto"/>
        <w:tabs>
          <w:tab w:val="left" w:pos="842" w:leader="none"/>
        </w:tabs>
        <w:rPr>
          <w:b/>
          <w:highlight w:val="none"/>
        </w:rPr>
      </w:pPr>
      <w:r>
        <w:rPr>
          <w:rFonts w:hint="eastAsia"/>
          <w:b/>
          <w:highlight w:val="none"/>
        </w:rPr>
        <w:t xml:space="preserve">17、投标文件的递交</w:t>
      </w:r>
      <w:r/>
    </w:p>
    <w:p>
      <w:pPr>
        <w:pStyle w:val="724"/>
        <w:ind w:firstLine="420"/>
        <w:spacing w:line="360" w:lineRule="auto"/>
        <w:tabs>
          <w:tab w:val="left" w:pos="1020" w:leader="none"/>
        </w:tabs>
        <w:rPr>
          <w:highlight w:val="none"/>
        </w:rPr>
      </w:pPr>
      <w:r>
        <w:rPr>
          <w:rFonts w:hint="eastAsia"/>
          <w:highlight w:val="none"/>
        </w:rPr>
        <w:t xml:space="preserve">17.</w:t>
      </w:r>
      <w:r>
        <w:rPr>
          <w:rFonts w:hint="eastAsia"/>
          <w:highlight w:val="none"/>
          <w:lang w:val="en-US"/>
        </w:rPr>
        <w:t xml:space="preserve">1</w:t>
      </w:r>
      <w:r>
        <w:rPr>
          <w:rFonts w:hint="eastAsia"/>
          <w:highlight w:val="none"/>
        </w:rPr>
        <w:t xml:space="preserve">供应商应当按照《操作手册》规定，在采购公告规定的提交</w:t>
      </w:r>
      <w:r>
        <w:rPr>
          <w:rFonts w:hint="eastAsia"/>
          <w:highlight w:val="none"/>
          <w:lang w:val="en-US"/>
        </w:rPr>
        <w:t xml:space="preserve">投标</w:t>
      </w:r>
      <w:r>
        <w:rPr>
          <w:rFonts w:hint="eastAsia"/>
          <w:highlight w:val="none"/>
        </w:rPr>
        <w:t xml:space="preserve">文件截止时间前制作并上传电子</w:t>
      </w:r>
      <w:r>
        <w:rPr>
          <w:rFonts w:hint="eastAsia"/>
          <w:highlight w:val="none"/>
          <w:lang w:val="en-US"/>
        </w:rPr>
        <w:t xml:space="preserve">投标</w:t>
      </w:r>
      <w:r>
        <w:rPr>
          <w:rFonts w:hint="eastAsia"/>
          <w:highlight w:val="none"/>
        </w:rPr>
        <w:t xml:space="preserve">文件。</w:t>
      </w:r>
      <w:r/>
    </w:p>
    <w:p>
      <w:pPr>
        <w:pStyle w:val="724"/>
        <w:ind w:firstLine="420"/>
        <w:spacing w:line="360" w:lineRule="auto"/>
        <w:tabs>
          <w:tab w:val="left" w:pos="1020" w:leader="none"/>
        </w:tabs>
        <w:rPr>
          <w:highlight w:val="none"/>
        </w:rPr>
      </w:pPr>
      <w:r>
        <w:rPr>
          <w:rFonts w:hint="eastAsia"/>
          <w:highlight w:val="none"/>
        </w:rPr>
        <w:t xml:space="preserve">17.2供应商应充分考虑网络环境、网络带宽等因素可能产生的影响，如因供应商自身原因造成的电子</w:t>
      </w:r>
      <w:r>
        <w:rPr>
          <w:rFonts w:hint="eastAsia"/>
          <w:highlight w:val="none"/>
          <w:lang w:val="en-US"/>
        </w:rPr>
        <w:t xml:space="preserve">投标</w:t>
      </w:r>
      <w:r>
        <w:rPr>
          <w:rFonts w:hint="eastAsia"/>
          <w:highlight w:val="none"/>
        </w:rPr>
        <w:t xml:space="preserve">文件上传不成功的，按无效响应处理。</w:t>
      </w:r>
      <w:r/>
    </w:p>
    <w:p>
      <w:pPr>
        <w:pStyle w:val="724"/>
        <w:ind w:firstLine="422"/>
        <w:spacing w:line="360" w:lineRule="auto"/>
        <w:tabs>
          <w:tab w:val="left" w:pos="842" w:leader="none"/>
        </w:tabs>
        <w:rPr>
          <w:b/>
          <w:highlight w:val="none"/>
        </w:rPr>
      </w:pPr>
      <w:r>
        <w:rPr>
          <w:rFonts w:hint="eastAsia"/>
          <w:b/>
          <w:highlight w:val="none"/>
        </w:rPr>
        <w:t xml:space="preserve">18、有下列情形之一的投标文件将拒收：</w:t>
      </w:r>
      <w:r/>
    </w:p>
    <w:p>
      <w:pPr>
        <w:pStyle w:val="724"/>
        <w:ind w:firstLine="420"/>
        <w:spacing w:line="360" w:lineRule="auto"/>
        <w:rPr>
          <w:highlight w:val="none"/>
        </w:rPr>
      </w:pPr>
      <w:r>
        <w:rPr>
          <w:rFonts w:hint="eastAsia"/>
          <w:highlight w:val="none"/>
          <w:lang w:val="en-US"/>
        </w:rPr>
        <w:t xml:space="preserve">18.1</w:t>
      </w:r>
      <w:r>
        <w:rPr>
          <w:rFonts w:hint="eastAsia"/>
          <w:highlight w:val="none"/>
        </w:rPr>
        <w:t xml:space="preserve">提交</w:t>
      </w:r>
      <w:r>
        <w:rPr>
          <w:rFonts w:hint="eastAsia"/>
          <w:highlight w:val="none"/>
          <w:lang w:val="en-US"/>
        </w:rPr>
        <w:t xml:space="preserve">投标</w:t>
      </w:r>
      <w:r>
        <w:rPr>
          <w:rFonts w:hint="eastAsia"/>
          <w:highlight w:val="none"/>
        </w:rPr>
        <w:t xml:space="preserve">文件截止时间后上传的任何</w:t>
      </w:r>
      <w:r>
        <w:rPr>
          <w:rFonts w:hint="eastAsia"/>
          <w:highlight w:val="none"/>
          <w:lang w:val="en-US"/>
        </w:rPr>
        <w:t xml:space="preserve">投标</w:t>
      </w:r>
      <w:r>
        <w:rPr>
          <w:rFonts w:hint="eastAsia"/>
          <w:highlight w:val="none"/>
        </w:rPr>
        <w:t xml:space="preserve">文件将被拒绝。</w:t>
      </w:r>
      <w:r/>
    </w:p>
    <w:p>
      <w:pPr>
        <w:pStyle w:val="724"/>
        <w:ind w:firstLine="422"/>
        <w:spacing w:line="360" w:lineRule="auto"/>
        <w:tabs>
          <w:tab w:val="left" w:pos="842" w:leader="none"/>
        </w:tabs>
        <w:rPr>
          <w:b/>
          <w:highlight w:val="none"/>
        </w:rPr>
      </w:pPr>
      <w:r>
        <w:rPr>
          <w:rFonts w:hint="eastAsia"/>
          <w:b/>
          <w:highlight w:val="none"/>
        </w:rPr>
        <w:t xml:space="preserve">19、投标文件的修改和撤回</w:t>
      </w:r>
      <w:r/>
    </w:p>
    <w:p>
      <w:pPr>
        <w:pStyle w:val="724"/>
        <w:ind w:firstLine="420"/>
        <w:spacing w:line="360" w:lineRule="auto"/>
        <w:rPr>
          <w:highlight w:val="none"/>
        </w:rPr>
      </w:pPr>
      <w:r>
        <w:rPr>
          <w:rFonts w:hint="eastAsia"/>
          <w:highlight w:val="none"/>
        </w:rPr>
        <w:t xml:space="preserve">19.1供应商可在提交</w:t>
      </w:r>
      <w:r>
        <w:rPr>
          <w:rFonts w:hint="eastAsia"/>
          <w:highlight w:val="none"/>
          <w:lang w:val="en-US"/>
        </w:rPr>
        <w:t xml:space="preserve">投标</w:t>
      </w:r>
      <w:r>
        <w:rPr>
          <w:rFonts w:hint="eastAsia"/>
          <w:highlight w:val="none"/>
        </w:rPr>
        <w:t xml:space="preserve">文件截止时间前，撤回其电子</w:t>
      </w:r>
      <w:r>
        <w:rPr>
          <w:rFonts w:hint="eastAsia"/>
          <w:highlight w:val="none"/>
          <w:lang w:val="en-US"/>
        </w:rPr>
        <w:t xml:space="preserve">投标</w:t>
      </w:r>
      <w:r>
        <w:rPr>
          <w:rFonts w:hint="eastAsia"/>
          <w:highlight w:val="none"/>
        </w:rPr>
        <w:t xml:space="preserve">文件，具体操作方法见《操作手册》。供应商撤回电子</w:t>
      </w:r>
      <w:r>
        <w:rPr>
          <w:rFonts w:hint="eastAsia"/>
          <w:highlight w:val="none"/>
          <w:lang w:val="en-US"/>
        </w:rPr>
        <w:t xml:space="preserve">投标</w:t>
      </w:r>
      <w:r>
        <w:rPr>
          <w:rFonts w:hint="eastAsia"/>
          <w:highlight w:val="none"/>
        </w:rPr>
        <w:t xml:space="preserve">文件，则认为其不再参与本项目</w:t>
      </w:r>
      <w:r>
        <w:rPr>
          <w:rFonts w:hint="eastAsia"/>
          <w:highlight w:val="none"/>
          <w:lang w:val="en-US"/>
        </w:rPr>
        <w:t xml:space="preserve">采购</w:t>
      </w:r>
      <w:r>
        <w:rPr>
          <w:rFonts w:hint="eastAsia"/>
          <w:highlight w:val="none"/>
        </w:rPr>
        <w:t xml:space="preserve">活动。</w:t>
      </w:r>
      <w:r/>
    </w:p>
    <w:p>
      <w:pPr>
        <w:pStyle w:val="724"/>
        <w:ind w:firstLine="420"/>
        <w:spacing w:line="360" w:lineRule="auto"/>
        <w:rPr>
          <w:highlight w:val="none"/>
        </w:rPr>
      </w:pPr>
      <w:r>
        <w:rPr>
          <w:rFonts w:hint="eastAsia"/>
          <w:highlight w:val="none"/>
        </w:rPr>
        <w:t xml:space="preserve">19.2</w:t>
      </w:r>
      <w:r>
        <w:rPr>
          <w:rFonts w:hint="eastAsia"/>
          <w:highlight w:val="none"/>
          <w:lang w:val="en-US"/>
        </w:rPr>
        <w:t xml:space="preserve">投标</w:t>
      </w:r>
      <w:r>
        <w:rPr>
          <w:rFonts w:hint="eastAsia"/>
          <w:highlight w:val="none"/>
        </w:rPr>
        <w:t xml:space="preserve">文件的修改</w:t>
      </w:r>
      <w:r/>
    </w:p>
    <w:p>
      <w:pPr>
        <w:pStyle w:val="724"/>
        <w:ind w:firstLine="420"/>
        <w:spacing w:line="360" w:lineRule="auto"/>
        <w:rPr>
          <w:highlight w:val="none"/>
        </w:rPr>
      </w:pPr>
      <w:r>
        <w:rPr>
          <w:rFonts w:hint="eastAsia"/>
          <w:highlight w:val="none"/>
        </w:rPr>
        <w:t xml:space="preserve">19.2.</w:t>
      </w:r>
      <w:r>
        <w:rPr>
          <w:rFonts w:hint="eastAsia"/>
          <w:highlight w:val="none"/>
          <w:lang w:val="en-US"/>
        </w:rPr>
        <w:t xml:space="preserve">1</w:t>
      </w:r>
      <w:r>
        <w:rPr>
          <w:rFonts w:hint="eastAsia"/>
          <w:highlight w:val="none"/>
        </w:rPr>
        <w:t xml:space="preserve">供应商可在提交</w:t>
      </w:r>
      <w:r>
        <w:rPr>
          <w:rFonts w:hint="eastAsia"/>
          <w:highlight w:val="none"/>
          <w:lang w:val="en-US"/>
        </w:rPr>
        <w:t xml:space="preserve">投标</w:t>
      </w:r>
      <w:r>
        <w:rPr>
          <w:rFonts w:hint="eastAsia"/>
          <w:highlight w:val="none"/>
        </w:rPr>
        <w:t xml:space="preserve">文件截止时间前，对其电子</w:t>
      </w:r>
      <w:r>
        <w:rPr>
          <w:rFonts w:hint="eastAsia"/>
          <w:highlight w:val="none"/>
          <w:lang w:val="en-US"/>
        </w:rPr>
        <w:t xml:space="preserve">投标</w:t>
      </w:r>
      <w:r>
        <w:rPr>
          <w:rFonts w:hint="eastAsia"/>
          <w:highlight w:val="none"/>
        </w:rPr>
        <w:t xml:space="preserve">文件进行修改，具体操作方法见《操作手册》。</w:t>
      </w:r>
      <w:r/>
    </w:p>
    <w:p>
      <w:pPr>
        <w:pStyle w:val="724"/>
        <w:ind w:firstLine="420"/>
        <w:spacing w:line="360" w:lineRule="auto"/>
        <w:rPr>
          <w:highlight w:val="none"/>
        </w:rPr>
      </w:pPr>
      <w:r>
        <w:rPr>
          <w:rFonts w:hint="eastAsia"/>
          <w:highlight w:val="none"/>
        </w:rPr>
        <w:t xml:space="preserve">19.2.2提交</w:t>
      </w:r>
      <w:r>
        <w:rPr>
          <w:rFonts w:hint="eastAsia"/>
          <w:highlight w:val="none"/>
          <w:lang w:val="en-US"/>
        </w:rPr>
        <w:t xml:space="preserve">投标</w:t>
      </w:r>
      <w:r>
        <w:rPr>
          <w:rFonts w:hint="eastAsia"/>
          <w:highlight w:val="none"/>
        </w:rPr>
        <w:t xml:space="preserve">文件截止时间之后，供应商不得对其电子</w:t>
      </w:r>
      <w:r>
        <w:rPr>
          <w:rFonts w:hint="eastAsia"/>
          <w:highlight w:val="none"/>
          <w:lang w:val="en-US"/>
        </w:rPr>
        <w:t xml:space="preserve">投标</w:t>
      </w:r>
      <w:r>
        <w:rPr>
          <w:rFonts w:hint="eastAsia"/>
          <w:highlight w:val="none"/>
        </w:rPr>
        <w:t xml:space="preserve">文件作任何修改。</w:t>
      </w:r>
      <w:r/>
    </w:p>
    <w:p>
      <w:pPr>
        <w:pStyle w:val="724"/>
        <w:ind w:firstLine="420"/>
        <w:spacing w:line="360" w:lineRule="auto"/>
        <w:rPr>
          <w:highlight w:val="none"/>
        </w:rPr>
      </w:pPr>
      <w:r>
        <w:rPr>
          <w:rFonts w:hint="eastAsia"/>
          <w:highlight w:val="none"/>
        </w:rPr>
        <w:t xml:space="preserve">19.3在提交</w:t>
      </w:r>
      <w:r>
        <w:rPr>
          <w:rFonts w:hint="eastAsia"/>
          <w:highlight w:val="none"/>
          <w:lang w:val="en-US"/>
        </w:rPr>
        <w:t xml:space="preserve">投标</w:t>
      </w:r>
      <w:r>
        <w:rPr>
          <w:rFonts w:hint="eastAsia"/>
          <w:highlight w:val="none"/>
        </w:rPr>
        <w:t xml:space="preserve">文件截止时间至</w:t>
      </w:r>
      <w:r>
        <w:rPr>
          <w:rFonts w:hint="eastAsia"/>
          <w:highlight w:val="none"/>
          <w:lang w:val="en-US"/>
        </w:rPr>
        <w:t xml:space="preserve">招标</w:t>
      </w:r>
      <w:r>
        <w:rPr>
          <w:rFonts w:hint="eastAsia"/>
          <w:highlight w:val="none"/>
        </w:rPr>
        <w:t xml:space="preserve">文件中规定的</w:t>
      </w:r>
      <w:r>
        <w:rPr>
          <w:rFonts w:hint="eastAsia"/>
          <w:highlight w:val="none"/>
          <w:lang w:val="en-US"/>
        </w:rPr>
        <w:t xml:space="preserve">投标</w:t>
      </w:r>
      <w:r>
        <w:rPr>
          <w:rFonts w:hint="eastAsia"/>
          <w:highlight w:val="none"/>
        </w:rPr>
        <w:t xml:space="preserve">有效期满之间的这段时间内，供应商不得撤回其</w:t>
      </w:r>
      <w:r>
        <w:rPr>
          <w:rFonts w:hint="eastAsia"/>
          <w:highlight w:val="none"/>
          <w:lang w:val="en-US"/>
        </w:rPr>
        <w:t xml:space="preserve">投标</w:t>
      </w:r>
      <w:r>
        <w:rPr>
          <w:rFonts w:hint="eastAsia"/>
          <w:highlight w:val="none"/>
        </w:rPr>
        <w:t xml:space="preserve">文件。</w:t>
      </w:r>
      <w:r/>
    </w:p>
    <w:p>
      <w:pPr>
        <w:pStyle w:val="724"/>
        <w:ind w:firstLine="422"/>
        <w:spacing w:line="360" w:lineRule="auto"/>
        <w:tabs>
          <w:tab w:val="left" w:pos="963" w:leader="none"/>
        </w:tabs>
        <w:rPr>
          <w:b/>
          <w:highlight w:val="none"/>
        </w:rPr>
      </w:pPr>
      <w:r>
        <w:rPr>
          <w:rFonts w:hint="eastAsia"/>
          <w:b/>
          <w:highlight w:val="none"/>
        </w:rPr>
        <w:t xml:space="preserve">四、</w:t>
      </w:r>
      <w:r>
        <w:rPr>
          <w:rFonts w:hint="eastAsia"/>
          <w:b/>
          <w:highlight w:val="none"/>
          <w:lang w:val="en-US"/>
        </w:rPr>
        <w:t xml:space="preserve">解密</w:t>
      </w:r>
      <w:r>
        <w:rPr>
          <w:rFonts w:hint="eastAsia"/>
          <w:b/>
          <w:highlight w:val="none"/>
        </w:rPr>
        <w:t xml:space="preserve">、评标与确定中标人</w:t>
      </w:r>
      <w:r/>
    </w:p>
    <w:p>
      <w:pPr>
        <w:pStyle w:val="724"/>
        <w:ind w:firstLine="422"/>
        <w:spacing w:line="360" w:lineRule="auto"/>
        <w:tabs>
          <w:tab w:val="left" w:pos="962" w:leader="none"/>
        </w:tabs>
        <w:rPr>
          <w:b/>
          <w:highlight w:val="none"/>
        </w:rPr>
      </w:pPr>
      <w:r>
        <w:rPr>
          <w:rFonts w:hint="eastAsia"/>
          <w:b/>
          <w:highlight w:val="none"/>
        </w:rPr>
        <w:t xml:space="preserve">20、</w:t>
      </w:r>
      <w:r>
        <w:rPr>
          <w:rFonts w:hint="eastAsia"/>
          <w:b/>
          <w:highlight w:val="none"/>
          <w:lang w:val="en-US"/>
        </w:rPr>
        <w:t xml:space="preserve">解密</w:t>
      </w:r>
      <w:r/>
    </w:p>
    <w:p>
      <w:pPr>
        <w:pStyle w:val="724"/>
        <w:ind w:firstLine="420"/>
        <w:spacing w:line="360" w:lineRule="auto"/>
        <w:tabs>
          <w:tab w:val="left" w:pos="1020" w:leader="none"/>
        </w:tabs>
        <w:rPr>
          <w:b/>
          <w:bCs/>
          <w:highlight w:val="none"/>
        </w:rPr>
      </w:pPr>
      <w:r>
        <w:rPr>
          <w:rFonts w:hint="eastAsia"/>
          <w:highlight w:val="none"/>
        </w:rPr>
        <w:t xml:space="preserve">20.1供应商应当按照《操作手册》规定，在苏采云系统规定的时间内对</w:t>
      </w:r>
      <w:r>
        <w:rPr>
          <w:rFonts w:hint="eastAsia"/>
          <w:highlight w:val="none"/>
          <w:lang w:val="en-US"/>
        </w:rPr>
        <w:t xml:space="preserve">投标</w:t>
      </w:r>
      <w:r>
        <w:rPr>
          <w:rFonts w:hint="eastAsia"/>
          <w:highlight w:val="none"/>
        </w:rPr>
        <w:t xml:space="preserve">文件进行解密。本项目采购文件规定的供应商按时在线解密方式：开启</w:t>
      </w:r>
      <w:r>
        <w:rPr>
          <w:rFonts w:hint="eastAsia"/>
          <w:highlight w:val="none"/>
          <w:lang w:val="en-US"/>
        </w:rPr>
        <w:t xml:space="preserve">后，在规定时间内</w:t>
      </w:r>
      <w:r>
        <w:rPr>
          <w:rFonts w:hint="eastAsia"/>
          <w:highlight w:val="none"/>
        </w:rPr>
        <w:t xml:space="preserve">通过“苏采云”系统（使用“CA数字证书”）解密；如因供应商自身原因造成的电子</w:t>
      </w:r>
      <w:r>
        <w:rPr>
          <w:rFonts w:hint="eastAsia"/>
          <w:highlight w:val="none"/>
          <w:lang w:val="en-US"/>
        </w:rPr>
        <w:t xml:space="preserve">投标</w:t>
      </w:r>
      <w:r>
        <w:rPr>
          <w:rFonts w:hint="eastAsia"/>
          <w:highlight w:val="none"/>
        </w:rPr>
        <w:t xml:space="preserve">文件未在规定时间内解密成功的，按照无效响应处理。</w:t>
      </w:r>
      <w:r>
        <w:rPr>
          <w:rFonts w:hint="eastAsia"/>
          <w:b/>
          <w:bCs/>
          <w:highlight w:val="none"/>
        </w:rPr>
        <w:t xml:space="preserve">供应商在开、评标全过程中应保持通讯畅通，并安排专人等候代理机构或</w:t>
      </w:r>
      <w:r>
        <w:rPr>
          <w:rFonts w:hint="eastAsia"/>
          <w:b/>
          <w:bCs/>
          <w:highlight w:val="none"/>
          <w:lang w:val="en-US"/>
        </w:rPr>
        <w:t xml:space="preserve">评标委员会</w:t>
      </w:r>
      <w:r>
        <w:rPr>
          <w:rFonts w:hint="eastAsia"/>
          <w:b/>
          <w:bCs/>
          <w:highlight w:val="none"/>
        </w:rPr>
        <w:t xml:space="preserve">联系。</w:t>
      </w:r>
      <w:r/>
    </w:p>
    <w:p>
      <w:pPr>
        <w:pStyle w:val="724"/>
        <w:ind w:firstLine="420"/>
        <w:spacing w:line="360" w:lineRule="auto"/>
        <w:tabs>
          <w:tab w:val="left" w:pos="1020" w:leader="none"/>
        </w:tabs>
        <w:rPr>
          <w:highlight w:val="none"/>
        </w:rPr>
      </w:pPr>
      <w:r>
        <w:rPr>
          <w:rFonts w:hint="eastAsia"/>
          <w:highlight w:val="none"/>
        </w:rPr>
        <w:t xml:space="preserve">20.3未宣读的投标价格和招标文件允许提供的备选投标方案等实质性内容，评标时不予承认。</w:t>
      </w:r>
      <w:r/>
    </w:p>
    <w:p>
      <w:pPr>
        <w:pStyle w:val="724"/>
        <w:ind w:firstLine="420"/>
        <w:spacing w:line="360" w:lineRule="auto"/>
        <w:tabs>
          <w:tab w:val="left" w:pos="1020" w:leader="none"/>
        </w:tabs>
        <w:rPr>
          <w:highlight w:val="none"/>
        </w:rPr>
      </w:pPr>
      <w:r>
        <w:rPr>
          <w:rFonts w:hint="eastAsia"/>
          <w:highlight w:val="none"/>
        </w:rPr>
        <w:t xml:space="preserve">20.4开标时，《开标一览表》内容与投标文件中相应内容不一致的，以《开标一览表》为准；</w:t>
      </w:r>
      <w:r/>
    </w:p>
    <w:p>
      <w:pPr>
        <w:pStyle w:val="724"/>
        <w:ind w:firstLine="420"/>
        <w:spacing w:line="360" w:lineRule="auto"/>
        <w:tabs>
          <w:tab w:val="left" w:pos="1020" w:leader="none"/>
        </w:tabs>
        <w:rPr>
          <w:highlight w:val="none"/>
        </w:rPr>
      </w:pPr>
      <w:r>
        <w:rPr>
          <w:rFonts w:hint="eastAsia"/>
          <w:highlight w:val="none"/>
        </w:rPr>
        <w:t xml:space="preserve">20.5投标文件、《开标一览表》中报价的大写金额与小写金额不一致的，以大写金额为准；</w:t>
      </w:r>
      <w:r/>
    </w:p>
    <w:p>
      <w:pPr>
        <w:pStyle w:val="724"/>
        <w:ind w:firstLine="420"/>
        <w:spacing w:line="360" w:lineRule="auto"/>
        <w:tabs>
          <w:tab w:val="left" w:pos="1020" w:leader="none"/>
        </w:tabs>
        <w:rPr>
          <w:highlight w:val="none"/>
        </w:rPr>
      </w:pPr>
      <w:r>
        <w:rPr>
          <w:rFonts w:hint="eastAsia"/>
          <w:highlight w:val="none"/>
        </w:rPr>
        <w:t xml:space="preserve">20.6单价金额小数点或者百分比有明显错位的，以《开标一览表》的总价为准，并修改单价（</w:t>
      </w:r>
      <w:r>
        <w:rPr>
          <w:rFonts w:hint="eastAsia"/>
          <w:highlight w:val="none"/>
          <w:lang w:val="en-US"/>
        </w:rPr>
        <w:t xml:space="preserve">如有</w:t>
      </w:r>
      <w:r>
        <w:rPr>
          <w:rFonts w:hint="eastAsia"/>
          <w:highlight w:val="none"/>
        </w:rPr>
        <w:t xml:space="preserve">）；</w:t>
      </w:r>
      <w:r/>
    </w:p>
    <w:p>
      <w:pPr>
        <w:pStyle w:val="724"/>
        <w:ind w:firstLine="420"/>
        <w:spacing w:line="360" w:lineRule="auto"/>
        <w:tabs>
          <w:tab w:val="left" w:pos="1020" w:leader="none"/>
        </w:tabs>
        <w:rPr>
          <w:highlight w:val="none"/>
        </w:rPr>
      </w:pPr>
      <w:r>
        <w:rPr>
          <w:rFonts w:hint="eastAsia"/>
          <w:highlight w:val="none"/>
        </w:rPr>
        <w:t xml:space="preserve">20.7总价金额与按单价汇总金额不一致的，以单价金额计算结果为准（</w:t>
      </w:r>
      <w:r>
        <w:rPr>
          <w:rFonts w:hint="eastAsia"/>
          <w:highlight w:val="none"/>
          <w:lang w:val="en-US"/>
        </w:rPr>
        <w:t xml:space="preserve">如有</w:t>
      </w:r>
      <w:r>
        <w:rPr>
          <w:rFonts w:hint="eastAsia"/>
          <w:highlight w:val="none"/>
        </w:rPr>
        <w:t xml:space="preserve">）；</w:t>
      </w:r>
      <w:r/>
    </w:p>
    <w:p>
      <w:pPr>
        <w:pStyle w:val="724"/>
        <w:ind w:firstLine="420"/>
        <w:spacing w:line="360" w:lineRule="auto"/>
        <w:tabs>
          <w:tab w:val="left" w:pos="1020" w:leader="none"/>
        </w:tabs>
        <w:rPr>
          <w:highlight w:val="none"/>
        </w:rPr>
      </w:pPr>
      <w:r>
        <w:rPr>
          <w:rFonts w:hint="eastAsia"/>
          <w:highlight w:val="none"/>
        </w:rPr>
        <w:t xml:space="preserve">20.8同时出现 20.4-20.7 中两种以上不一致的，按照 20.4-20.7 的顺序修正。修正后的报价由法定代表人（或其授权的代表签字）</w:t>
      </w:r>
      <w:r>
        <w:rPr>
          <w:rFonts w:hint="eastAsia"/>
          <w:highlight w:val="none"/>
          <w:lang w:val="en-US"/>
        </w:rPr>
        <w:t xml:space="preserve">或加盖公章</w:t>
      </w:r>
      <w:r>
        <w:rPr>
          <w:rFonts w:hint="eastAsia"/>
          <w:highlight w:val="none"/>
        </w:rPr>
        <w:t xml:space="preserve">确认后产生约束力，</w:t>
      </w:r>
      <w:r>
        <w:rPr>
          <w:rFonts w:hint="eastAsia"/>
          <w:highlight w:val="none"/>
          <w:lang w:val="en-US"/>
        </w:rPr>
        <w:t xml:space="preserve">供应商</w:t>
      </w:r>
      <w:r>
        <w:rPr>
          <w:rFonts w:hint="eastAsia"/>
          <w:highlight w:val="none"/>
        </w:rPr>
        <w:t xml:space="preserve">不确认的，投标无效。</w:t>
      </w:r>
      <w:r/>
    </w:p>
    <w:p>
      <w:pPr>
        <w:pStyle w:val="724"/>
        <w:ind w:firstLine="420"/>
        <w:spacing w:line="360" w:lineRule="auto"/>
        <w:tabs>
          <w:tab w:val="left" w:pos="1020" w:leader="none"/>
        </w:tabs>
        <w:rPr>
          <w:highlight w:val="none"/>
        </w:rPr>
      </w:pPr>
      <w:r>
        <w:rPr>
          <w:rFonts w:hint="eastAsia"/>
          <w:highlight w:val="none"/>
        </w:rPr>
        <w:t xml:space="preserve">20.9对不同文字文本投标文件的解释发生异议的，以中文文本为准。</w:t>
      </w:r>
      <w:r/>
    </w:p>
    <w:p>
      <w:pPr>
        <w:pStyle w:val="724"/>
        <w:ind w:firstLine="420"/>
        <w:spacing w:line="360" w:lineRule="auto"/>
        <w:tabs>
          <w:tab w:val="left" w:pos="1020" w:leader="none"/>
        </w:tabs>
        <w:rPr>
          <w:highlight w:val="none"/>
        </w:rPr>
      </w:pPr>
      <w:r>
        <w:rPr>
          <w:rFonts w:hint="eastAsia"/>
          <w:highlight w:val="none"/>
        </w:rPr>
        <w:t xml:space="preserve">20.10如出现投标截止时间结束后参加投标的</w:t>
      </w:r>
      <w:r>
        <w:rPr>
          <w:rFonts w:hint="eastAsia"/>
          <w:highlight w:val="none"/>
          <w:lang w:val="en-US"/>
        </w:rPr>
        <w:t xml:space="preserve">供应商</w:t>
      </w:r>
      <w:r>
        <w:rPr>
          <w:rFonts w:hint="eastAsia"/>
          <w:highlight w:val="none"/>
        </w:rPr>
        <w:t xml:space="preserve">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pStyle w:val="724"/>
        <w:ind w:firstLine="422"/>
        <w:spacing w:line="360" w:lineRule="auto"/>
        <w:tabs>
          <w:tab w:val="left" w:pos="962" w:leader="none"/>
        </w:tabs>
        <w:rPr>
          <w:b/>
          <w:highlight w:val="none"/>
        </w:rPr>
      </w:pPr>
      <w:r>
        <w:rPr>
          <w:rFonts w:hint="eastAsia"/>
          <w:b/>
          <w:highlight w:val="none"/>
        </w:rPr>
        <w:t xml:space="preserve">21、评标</w:t>
      </w:r>
      <w:r/>
    </w:p>
    <w:p>
      <w:pPr>
        <w:pStyle w:val="724"/>
        <w:ind w:firstLine="422"/>
        <w:spacing w:line="360" w:lineRule="auto"/>
        <w:tabs>
          <w:tab w:val="left" w:pos="1023" w:leader="none"/>
        </w:tabs>
        <w:rPr>
          <w:b/>
          <w:highlight w:val="none"/>
        </w:rPr>
      </w:pPr>
      <w:r>
        <w:rPr>
          <w:rFonts w:hint="eastAsia"/>
          <w:b/>
          <w:highlight w:val="none"/>
        </w:rPr>
        <w:t xml:space="preserve">21.1评标组织</w:t>
      </w:r>
      <w:r/>
    </w:p>
    <w:p>
      <w:pPr>
        <w:pStyle w:val="724"/>
        <w:ind w:firstLine="420"/>
        <w:spacing w:line="360" w:lineRule="auto"/>
        <w:tabs>
          <w:tab w:val="left" w:pos="1200" w:leader="none"/>
        </w:tabs>
        <w:rPr>
          <w:highlight w:val="none"/>
        </w:rPr>
      </w:pPr>
      <w:r>
        <w:rPr>
          <w:rFonts w:hint="eastAsia"/>
          <w:highlight w:val="none"/>
        </w:rPr>
        <w:t xml:space="preserve">21.1.1评标工作由招标代理负责组织，具体评标事务由依法组建的评标委员会负责，并独立履行下列职责：</w:t>
      </w:r>
      <w:r/>
    </w:p>
    <w:p>
      <w:pPr>
        <w:pStyle w:val="724"/>
        <w:ind w:firstLine="420"/>
        <w:spacing w:line="360" w:lineRule="auto"/>
        <w:tabs>
          <w:tab w:val="left" w:pos="1080" w:leader="none"/>
        </w:tabs>
        <w:rPr>
          <w:highlight w:val="none"/>
        </w:rPr>
      </w:pPr>
      <w:r>
        <w:rPr>
          <w:rFonts w:hint="eastAsia"/>
          <w:highlight w:val="none"/>
        </w:rPr>
        <w:t xml:space="preserve">（1）审查、评价投标文件是否符合招标文件的商务、技术等实质性要求；</w:t>
      </w:r>
      <w:r/>
    </w:p>
    <w:p>
      <w:pPr>
        <w:pStyle w:val="724"/>
        <w:ind w:firstLine="420"/>
        <w:spacing w:line="360" w:lineRule="auto"/>
        <w:tabs>
          <w:tab w:val="left" w:pos="1080" w:leader="none"/>
        </w:tabs>
        <w:rPr>
          <w:highlight w:val="none"/>
        </w:rPr>
      </w:pPr>
      <w:r>
        <w:rPr>
          <w:rFonts w:hint="eastAsia"/>
          <w:highlight w:val="none"/>
        </w:rPr>
        <w:t xml:space="preserve">（2）要求</w:t>
      </w:r>
      <w:r>
        <w:rPr>
          <w:rFonts w:hint="eastAsia"/>
          <w:highlight w:val="none"/>
          <w:lang w:val="en-US"/>
        </w:rPr>
        <w:t xml:space="preserve">供应商</w:t>
      </w:r>
      <w:r>
        <w:rPr>
          <w:rFonts w:hint="eastAsia"/>
          <w:highlight w:val="none"/>
        </w:rPr>
        <w:t xml:space="preserve">对投标文件有关事项作出澄清或者说明；</w:t>
      </w:r>
      <w:r/>
    </w:p>
    <w:p>
      <w:pPr>
        <w:pStyle w:val="724"/>
        <w:ind w:firstLine="420"/>
        <w:spacing w:line="360" w:lineRule="auto"/>
        <w:tabs>
          <w:tab w:val="left" w:pos="1080" w:leader="none"/>
        </w:tabs>
        <w:rPr>
          <w:highlight w:val="none"/>
        </w:rPr>
      </w:pPr>
      <w:r>
        <w:rPr>
          <w:rFonts w:hint="eastAsia"/>
          <w:highlight w:val="none"/>
        </w:rPr>
        <w:t xml:space="preserve">（3）对投标文件进行比较和评价；</w:t>
      </w:r>
      <w:r/>
    </w:p>
    <w:p>
      <w:pPr>
        <w:pStyle w:val="724"/>
        <w:ind w:firstLine="420"/>
        <w:spacing w:line="360" w:lineRule="auto"/>
        <w:tabs>
          <w:tab w:val="left" w:pos="1080" w:leader="none"/>
        </w:tabs>
        <w:rPr>
          <w:highlight w:val="none"/>
        </w:rPr>
      </w:pPr>
      <w:r>
        <w:rPr>
          <w:rFonts w:hint="eastAsia"/>
          <w:highlight w:val="none"/>
        </w:rPr>
        <w:t xml:space="preserve">（4）确定中标候选人名单，以及根据采购人委托直接确定中标人；</w:t>
      </w:r>
      <w:r/>
    </w:p>
    <w:p>
      <w:pPr>
        <w:pStyle w:val="724"/>
        <w:ind w:firstLine="420"/>
        <w:spacing w:line="360" w:lineRule="auto"/>
        <w:tabs>
          <w:tab w:val="left" w:pos="1080" w:leader="none"/>
        </w:tabs>
        <w:rPr>
          <w:highlight w:val="none"/>
        </w:rPr>
      </w:pPr>
      <w:r>
        <w:rPr>
          <w:rFonts w:hint="eastAsia"/>
          <w:highlight w:val="none"/>
        </w:rPr>
        <w:t xml:space="preserve">（5）向采购人、采购代理机构或者有关部门报告评标中发现的违法行为。</w:t>
      </w:r>
      <w:r/>
    </w:p>
    <w:p>
      <w:pPr>
        <w:pStyle w:val="724"/>
        <w:ind w:firstLine="420"/>
        <w:spacing w:line="360" w:lineRule="auto"/>
        <w:tabs>
          <w:tab w:val="left" w:pos="1080" w:leader="none"/>
        </w:tabs>
        <w:rPr>
          <w:highlight w:val="none"/>
        </w:rPr>
      </w:pPr>
      <w:r>
        <w:rPr>
          <w:rFonts w:hint="eastAsia"/>
          <w:highlight w:val="none"/>
        </w:rPr>
        <w:t xml:space="preserve">21.1.2评标委员会由采购人代表和有关技术、经济等方面的专家组成，独立开展评审工作。</w:t>
      </w:r>
      <w:r/>
    </w:p>
    <w:p>
      <w:pPr>
        <w:pStyle w:val="724"/>
        <w:ind w:firstLine="422"/>
        <w:spacing w:line="360" w:lineRule="auto"/>
        <w:tabs>
          <w:tab w:val="left" w:pos="1023" w:leader="none"/>
        </w:tabs>
        <w:rPr>
          <w:b/>
          <w:highlight w:val="none"/>
        </w:rPr>
      </w:pPr>
      <w:r>
        <w:rPr>
          <w:rFonts w:hint="eastAsia"/>
          <w:b/>
          <w:highlight w:val="none"/>
        </w:rPr>
        <w:t xml:space="preserve">21.2评标程序</w:t>
      </w:r>
      <w:r/>
    </w:p>
    <w:p>
      <w:pPr>
        <w:pStyle w:val="724"/>
        <w:ind w:firstLine="422"/>
        <w:spacing w:line="360" w:lineRule="auto"/>
        <w:tabs>
          <w:tab w:val="left" w:pos="1203" w:leader="none"/>
        </w:tabs>
        <w:rPr>
          <w:b/>
          <w:highlight w:val="none"/>
        </w:rPr>
      </w:pPr>
      <w:r>
        <w:rPr>
          <w:rFonts w:hint="eastAsia"/>
          <w:b/>
          <w:highlight w:val="none"/>
        </w:rPr>
        <w:t xml:space="preserve">21.2.1投标文件的资格审查。</w:t>
      </w:r>
      <w:r/>
    </w:p>
    <w:p>
      <w:pPr>
        <w:pStyle w:val="724"/>
        <w:ind w:firstLine="420"/>
        <w:spacing w:line="360" w:lineRule="auto"/>
        <w:tabs>
          <w:tab w:val="left" w:pos="1380" w:leader="none"/>
        </w:tabs>
        <w:rPr>
          <w:highlight w:val="none"/>
        </w:rPr>
      </w:pPr>
      <w:r>
        <w:rPr>
          <w:rFonts w:hint="eastAsia"/>
          <w:highlight w:val="none"/>
        </w:rPr>
        <w:t xml:space="preserve">21.2.1.1采购人代表将依法对</w:t>
      </w:r>
      <w:r>
        <w:rPr>
          <w:rFonts w:hint="eastAsia"/>
          <w:highlight w:val="none"/>
          <w:lang w:val="en-US"/>
        </w:rPr>
        <w:t xml:space="preserve">供应商</w:t>
      </w:r>
      <w:r>
        <w:rPr>
          <w:rFonts w:hint="eastAsia"/>
          <w:highlight w:val="none"/>
        </w:rPr>
        <w:t xml:space="preserve">的资格进行审查。</w:t>
      </w:r>
      <w:r/>
    </w:p>
    <w:p>
      <w:pPr>
        <w:pStyle w:val="724"/>
        <w:ind w:firstLine="420"/>
        <w:spacing w:line="360" w:lineRule="auto"/>
        <w:tabs>
          <w:tab w:val="left" w:pos="1380" w:leader="none"/>
        </w:tabs>
        <w:rPr>
          <w:highlight w:val="none"/>
        </w:rPr>
      </w:pPr>
      <w:r>
        <w:rPr>
          <w:rFonts w:hint="eastAsia"/>
          <w:highlight w:val="none"/>
        </w:rPr>
        <w:t xml:space="preserve">21.2.1.2资格审查：依据法律法规和招标文件的规定，对投标文件中的资格证明文件进行审查，以确定</w:t>
      </w:r>
      <w:r>
        <w:rPr>
          <w:rFonts w:hint="eastAsia"/>
          <w:highlight w:val="none"/>
          <w:lang w:val="en-US"/>
        </w:rPr>
        <w:t xml:space="preserve">供应商</w:t>
      </w:r>
      <w:r>
        <w:rPr>
          <w:rFonts w:hint="eastAsia"/>
          <w:highlight w:val="none"/>
        </w:rPr>
        <w:t xml:space="preserve">是否具备投标资格。</w:t>
      </w:r>
      <w:r/>
    </w:p>
    <w:p>
      <w:pPr>
        <w:pStyle w:val="724"/>
        <w:ind w:firstLine="420"/>
        <w:spacing w:line="360" w:lineRule="auto"/>
        <w:tabs>
          <w:tab w:val="left" w:pos="1380" w:leader="none"/>
        </w:tabs>
        <w:rPr>
          <w:highlight w:val="none"/>
        </w:rPr>
      </w:pPr>
      <w:r>
        <w:rPr>
          <w:rFonts w:hint="eastAsia"/>
          <w:highlight w:val="none"/>
        </w:rPr>
        <w:t xml:space="preserve">21.2.1.3在进行资格性审查的同时，将在“信用中国”网站（</w:t>
      </w:r>
      <w:r>
        <w:rPr>
          <w:highlight w:val="none"/>
        </w:rPr>
        <w:fldChar w:fldCharType="begin"/>
      </w:r>
      <w:r>
        <w:rPr>
          <w:highlight w:val="none"/>
        </w:rPr>
        <w:instrText xml:space="preserve"> HYPERLINK "http://www.creditchina.gov.cn/" \h </w:instrText>
      </w:r>
      <w:r>
        <w:rPr>
          <w:highlight w:val="none"/>
        </w:rPr>
        <w:fldChar w:fldCharType="separate"/>
      </w:r>
      <w:r>
        <w:rPr>
          <w:rFonts w:hint="eastAsia"/>
          <w:highlight w:val="none"/>
        </w:rPr>
        <w:t xml:space="preserve">www.creditchina.gov.cn</w:t>
      </w:r>
      <w:r>
        <w:rPr>
          <w:rFonts w:hint="eastAsia"/>
          <w:highlight w:val="none"/>
        </w:rPr>
        <w:fldChar w:fldCharType="end"/>
      </w:r>
      <w:r>
        <w:rPr>
          <w:rFonts w:hint="eastAsia"/>
          <w:highlight w:val="none"/>
        </w:rPr>
        <w:t xml:space="preserve">）、“中国政府采购网”（www.ccgp.gov.cn）对</w:t>
      </w:r>
      <w:r>
        <w:rPr>
          <w:rFonts w:hint="eastAsia"/>
          <w:highlight w:val="none"/>
          <w:lang w:val="en-US"/>
        </w:rPr>
        <w:t xml:space="preserve">供应商</w:t>
      </w:r>
      <w:r>
        <w:rPr>
          <w:rFonts w:hint="eastAsia"/>
          <w:highlight w:val="none"/>
        </w:rPr>
        <w:t xml:space="preserve">是否被列入失信被执行人、重大税收违法失信主体、政府采购严重违法失信行为记录名单的情况进行查询，以确定</w:t>
      </w:r>
      <w:r>
        <w:rPr>
          <w:rFonts w:hint="eastAsia"/>
          <w:highlight w:val="none"/>
          <w:lang w:val="en-US"/>
        </w:rPr>
        <w:t xml:space="preserve">供应商</w:t>
      </w:r>
      <w:r>
        <w:rPr>
          <w:rFonts w:hint="eastAsia"/>
          <w:highlight w:val="none"/>
        </w:rPr>
        <w:t xml:space="preserve">是否具备投标资格。查询结果将以网页打印的形式留存并归档。</w:t>
      </w:r>
      <w:r/>
    </w:p>
    <w:p>
      <w:pPr>
        <w:pStyle w:val="724"/>
        <w:ind w:firstLine="420"/>
        <w:spacing w:line="360" w:lineRule="auto"/>
        <w:tabs>
          <w:tab w:val="left" w:pos="1380" w:leader="none"/>
        </w:tabs>
        <w:rPr>
          <w:highlight w:val="none"/>
        </w:rPr>
      </w:pPr>
      <w:r>
        <w:rPr>
          <w:rFonts w:hint="eastAsia"/>
          <w:highlight w:val="none"/>
        </w:rPr>
        <w:t xml:space="preserve">21.2.1.4投标文件有下列情况之一的，在资格审查时按照无效投标处理：</w:t>
      </w:r>
      <w:r/>
    </w:p>
    <w:p>
      <w:pPr>
        <w:pStyle w:val="724"/>
        <w:ind w:firstLine="420"/>
        <w:spacing w:line="360" w:lineRule="auto"/>
        <w:tabs>
          <w:tab w:val="left" w:pos="1080" w:leader="none"/>
        </w:tabs>
        <w:rPr>
          <w:highlight w:val="none"/>
        </w:rPr>
      </w:pPr>
      <w:r>
        <w:rPr>
          <w:rFonts w:hint="eastAsia"/>
          <w:highlight w:val="none"/>
        </w:rPr>
        <w:t xml:space="preserve">（1）不具备招标文件中规定的资格条件的；</w:t>
      </w:r>
      <w:r/>
    </w:p>
    <w:p>
      <w:pPr>
        <w:pStyle w:val="724"/>
        <w:ind w:firstLine="420"/>
        <w:spacing w:line="360" w:lineRule="auto"/>
        <w:tabs>
          <w:tab w:val="left" w:pos="1080" w:leader="none"/>
        </w:tabs>
        <w:rPr>
          <w:highlight w:val="none"/>
        </w:rPr>
      </w:pPr>
      <w:r>
        <w:rPr>
          <w:rFonts w:hint="eastAsia"/>
          <w:highlight w:val="none"/>
        </w:rPr>
        <w:t xml:space="preserve">（2）供应商被“信用中国”网站（www.creditchina.gov.cn）、“中国政府采购网”（www.ccgp.gov.cn）列入失信被执行人、重大税收违法失信主体、政府采购严重违法失信行为记录名单的。</w:t>
      </w:r>
      <w:r/>
    </w:p>
    <w:p>
      <w:pPr>
        <w:pStyle w:val="724"/>
        <w:ind w:firstLine="422"/>
        <w:spacing w:line="360" w:lineRule="auto"/>
        <w:tabs>
          <w:tab w:val="left" w:pos="1203" w:leader="none"/>
        </w:tabs>
        <w:rPr>
          <w:b/>
          <w:highlight w:val="none"/>
        </w:rPr>
      </w:pPr>
      <w:r>
        <w:rPr>
          <w:rFonts w:hint="eastAsia"/>
          <w:b/>
          <w:highlight w:val="none"/>
        </w:rPr>
        <w:t xml:space="preserve">21.2.2投标文件的符合性审查。</w:t>
      </w:r>
      <w:r/>
    </w:p>
    <w:p>
      <w:pPr>
        <w:pStyle w:val="724"/>
        <w:ind w:firstLine="420"/>
        <w:spacing w:line="360" w:lineRule="auto"/>
        <w:tabs>
          <w:tab w:val="left" w:pos="1380" w:leader="none"/>
        </w:tabs>
        <w:rPr>
          <w:highlight w:val="none"/>
        </w:rPr>
      </w:pPr>
      <w:r>
        <w:rPr>
          <w:rFonts w:hint="eastAsia"/>
          <w:highlight w:val="none"/>
        </w:rPr>
        <w:t xml:space="preserve">21.2.2.1评标委员会将依据法律法规和招标文件的规定，对投标文件的有效性、完整性和对招标文件的响应程度进行审查，以确定是否对招标文件的实质性要求作出响应。</w:t>
      </w:r>
      <w:r/>
    </w:p>
    <w:p>
      <w:pPr>
        <w:pStyle w:val="724"/>
        <w:ind w:firstLine="420"/>
        <w:spacing w:line="360" w:lineRule="auto"/>
        <w:tabs>
          <w:tab w:val="left" w:pos="1380" w:leader="none"/>
        </w:tabs>
        <w:rPr>
          <w:highlight w:val="none"/>
        </w:rPr>
      </w:pPr>
      <w:r>
        <w:rPr>
          <w:rFonts w:hint="eastAsia"/>
          <w:highlight w:val="none"/>
        </w:rPr>
        <w:t xml:space="preserve">21.2.2.2实质性要求是指本招标文件中用带星号（“★”或“*”）的商务和技术要求。</w:t>
      </w:r>
      <w:r/>
    </w:p>
    <w:p>
      <w:pPr>
        <w:pStyle w:val="724"/>
        <w:ind w:firstLine="420"/>
        <w:spacing w:line="360" w:lineRule="auto"/>
        <w:tabs>
          <w:tab w:val="left" w:pos="1380" w:leader="none"/>
        </w:tabs>
        <w:rPr>
          <w:highlight w:val="none"/>
        </w:rPr>
      </w:pPr>
      <w:r>
        <w:rPr>
          <w:rFonts w:hint="eastAsia"/>
          <w:highlight w:val="none"/>
        </w:rPr>
        <w:t xml:space="preserve">21.2.2.3如果投标文件实质上没有响应招标文件的要求，评标委员会将予以拒绝，</w:t>
      </w:r>
      <w:r>
        <w:rPr>
          <w:rFonts w:hint="eastAsia"/>
          <w:highlight w:val="none"/>
          <w:lang w:val="en-US"/>
        </w:rPr>
        <w:t xml:space="preserve">供应商</w:t>
      </w:r>
      <w:r>
        <w:rPr>
          <w:rFonts w:hint="eastAsia"/>
          <w:highlight w:val="none"/>
        </w:rPr>
        <w:t xml:space="preserve">不得通过修改或撤销不符合要求的偏离或保留而使其投标成为实质性响应的投标。</w:t>
      </w:r>
      <w:r/>
    </w:p>
    <w:p>
      <w:pPr>
        <w:pStyle w:val="724"/>
        <w:ind w:firstLine="420"/>
        <w:spacing w:line="360" w:lineRule="auto"/>
        <w:tabs>
          <w:tab w:val="left" w:pos="1380" w:leader="none"/>
        </w:tabs>
        <w:rPr>
          <w:highlight w:val="none"/>
        </w:rPr>
      </w:pPr>
      <w:r>
        <w:rPr>
          <w:rFonts w:hint="eastAsia"/>
          <w:highlight w:val="none"/>
        </w:rPr>
        <w:t xml:space="preserve">21.2.2.4投标文件有下列情况之一的，在符合性审查时按照</w:t>
      </w:r>
      <w:r>
        <w:rPr>
          <w:rFonts w:hint="eastAsia"/>
          <w:b/>
          <w:highlight w:val="none"/>
        </w:rPr>
        <w:t xml:space="preserve">无效投标处理</w:t>
      </w:r>
      <w:r>
        <w:rPr>
          <w:rFonts w:hint="eastAsia"/>
          <w:highlight w:val="none"/>
        </w:rPr>
        <w:t xml:space="preserve">：</w:t>
      </w:r>
      <w:r/>
    </w:p>
    <w:p>
      <w:pPr>
        <w:pStyle w:val="724"/>
        <w:ind w:firstLine="420"/>
        <w:spacing w:line="360" w:lineRule="auto"/>
        <w:tabs>
          <w:tab w:val="left" w:pos="1080" w:leader="none"/>
        </w:tabs>
        <w:rPr>
          <w:highlight w:val="none"/>
        </w:rPr>
      </w:pPr>
      <w:r>
        <w:rPr>
          <w:rFonts w:hint="eastAsia"/>
          <w:highlight w:val="none"/>
        </w:rPr>
        <w:t xml:space="preserve">（1）未按照招标文件规定要求签署、盖章的；</w:t>
      </w:r>
      <w:r/>
    </w:p>
    <w:p>
      <w:pPr>
        <w:pStyle w:val="724"/>
        <w:ind w:firstLine="420"/>
        <w:spacing w:line="360" w:lineRule="auto"/>
        <w:tabs>
          <w:tab w:val="left" w:pos="1080" w:leader="none"/>
        </w:tabs>
        <w:rPr>
          <w:highlight w:val="none"/>
        </w:rPr>
      </w:pPr>
      <w:r>
        <w:rPr>
          <w:rFonts w:hint="eastAsia"/>
          <w:highlight w:val="none"/>
        </w:rPr>
        <w:t xml:space="preserve">（2）报价超过招标文件中规定的预算金额或者最高限价的；</w:t>
      </w:r>
      <w:r/>
    </w:p>
    <w:p>
      <w:pPr>
        <w:pStyle w:val="724"/>
        <w:ind w:firstLine="420"/>
        <w:spacing w:line="360" w:lineRule="auto"/>
        <w:tabs>
          <w:tab w:val="left" w:pos="1080" w:leader="none"/>
        </w:tabs>
        <w:rPr>
          <w:highlight w:val="none"/>
        </w:rPr>
      </w:pPr>
      <w:r>
        <w:rPr>
          <w:rFonts w:hint="eastAsia"/>
          <w:highlight w:val="none"/>
        </w:rPr>
        <w:t xml:space="preserve">（3）不同</w:t>
      </w:r>
      <w:r>
        <w:rPr>
          <w:rFonts w:hint="eastAsia"/>
          <w:highlight w:val="none"/>
          <w:lang w:val="en-US"/>
        </w:rPr>
        <w:t xml:space="preserve">供应商</w:t>
      </w:r>
      <w:r>
        <w:rPr>
          <w:rFonts w:hint="eastAsia"/>
          <w:highlight w:val="none"/>
        </w:rPr>
        <w:t xml:space="preserve">的投标文件由同一单位或者个人编制；</w:t>
      </w:r>
      <w:r/>
    </w:p>
    <w:p>
      <w:pPr>
        <w:pStyle w:val="724"/>
        <w:ind w:firstLine="420"/>
        <w:spacing w:line="360" w:lineRule="auto"/>
        <w:tabs>
          <w:tab w:val="left" w:pos="1080" w:leader="none"/>
        </w:tabs>
        <w:rPr>
          <w:highlight w:val="none"/>
        </w:rPr>
      </w:pPr>
      <w:r>
        <w:rPr>
          <w:rFonts w:hint="eastAsia"/>
          <w:highlight w:val="none"/>
        </w:rPr>
        <w:t xml:space="preserve">（4）不同</w:t>
      </w:r>
      <w:r>
        <w:rPr>
          <w:rFonts w:hint="eastAsia"/>
          <w:highlight w:val="none"/>
          <w:lang w:val="en-US"/>
        </w:rPr>
        <w:t xml:space="preserve">供应商</w:t>
      </w:r>
      <w:r>
        <w:rPr>
          <w:rFonts w:hint="eastAsia"/>
          <w:highlight w:val="none"/>
        </w:rPr>
        <w:t xml:space="preserve">委托同一单位或者个人办理投标事宜；</w:t>
      </w:r>
      <w:r/>
    </w:p>
    <w:p>
      <w:pPr>
        <w:pStyle w:val="724"/>
        <w:ind w:firstLine="420"/>
        <w:spacing w:line="360" w:lineRule="auto"/>
        <w:tabs>
          <w:tab w:val="left" w:pos="1080" w:leader="none"/>
        </w:tabs>
        <w:rPr>
          <w:highlight w:val="none"/>
        </w:rPr>
      </w:pPr>
      <w:r>
        <w:rPr>
          <w:rFonts w:hint="eastAsia"/>
          <w:highlight w:val="none"/>
        </w:rPr>
        <w:t xml:space="preserve">（5）不同</w:t>
      </w:r>
      <w:r>
        <w:rPr>
          <w:rFonts w:hint="eastAsia"/>
          <w:highlight w:val="none"/>
          <w:lang w:val="en-US"/>
        </w:rPr>
        <w:t xml:space="preserve">供应商</w:t>
      </w:r>
      <w:r>
        <w:rPr>
          <w:rFonts w:hint="eastAsia"/>
          <w:highlight w:val="none"/>
        </w:rPr>
        <w:t xml:space="preserve">的投标文件载明的项目管理成员或者联系人员为同一人；</w:t>
      </w:r>
      <w:r/>
    </w:p>
    <w:p>
      <w:pPr>
        <w:pStyle w:val="724"/>
        <w:ind w:firstLine="420"/>
        <w:spacing w:line="360" w:lineRule="auto"/>
        <w:tabs>
          <w:tab w:val="left" w:pos="1080" w:leader="none"/>
        </w:tabs>
        <w:rPr>
          <w:highlight w:val="none"/>
        </w:rPr>
      </w:pPr>
      <w:r>
        <w:rPr>
          <w:rFonts w:hint="eastAsia"/>
          <w:highlight w:val="none"/>
        </w:rPr>
        <w:t xml:space="preserve">（6）不同</w:t>
      </w:r>
      <w:r>
        <w:rPr>
          <w:rFonts w:hint="eastAsia"/>
          <w:highlight w:val="none"/>
          <w:lang w:val="en-US"/>
        </w:rPr>
        <w:t xml:space="preserve">供应商</w:t>
      </w:r>
      <w:r>
        <w:rPr>
          <w:rFonts w:hint="eastAsia"/>
          <w:highlight w:val="none"/>
        </w:rPr>
        <w:t xml:space="preserve">的投标文件异常一致或者投标报价呈规律性差异；</w:t>
      </w:r>
      <w:r/>
    </w:p>
    <w:p>
      <w:pPr>
        <w:pStyle w:val="724"/>
        <w:ind w:firstLine="420"/>
        <w:spacing w:line="360" w:lineRule="auto"/>
        <w:tabs>
          <w:tab w:val="left" w:pos="1080" w:leader="none"/>
        </w:tabs>
        <w:rPr>
          <w:highlight w:val="none"/>
        </w:rPr>
      </w:pPr>
      <w:r>
        <w:rPr>
          <w:rFonts w:hint="eastAsia"/>
          <w:highlight w:val="none"/>
        </w:rPr>
        <w:t xml:space="preserve">（7）不同</w:t>
      </w:r>
      <w:r>
        <w:rPr>
          <w:rFonts w:hint="eastAsia"/>
          <w:highlight w:val="none"/>
          <w:lang w:val="en-US"/>
        </w:rPr>
        <w:t xml:space="preserve">供应商</w:t>
      </w:r>
      <w:r>
        <w:rPr>
          <w:rFonts w:hint="eastAsia"/>
          <w:highlight w:val="none"/>
        </w:rPr>
        <w:t xml:space="preserve">的投标文件相互混装；</w:t>
      </w:r>
      <w:r/>
    </w:p>
    <w:p>
      <w:pPr>
        <w:pStyle w:val="724"/>
        <w:ind w:firstLine="420"/>
        <w:spacing w:line="360" w:lineRule="auto"/>
        <w:tabs>
          <w:tab w:val="left" w:pos="1080" w:leader="none"/>
        </w:tabs>
        <w:rPr>
          <w:highlight w:val="none"/>
        </w:rPr>
      </w:pPr>
      <w:r>
        <w:rPr>
          <w:rFonts w:hint="eastAsia"/>
          <w:highlight w:val="none"/>
        </w:rPr>
        <w:t xml:space="preserve">（8）不同</w:t>
      </w:r>
      <w:r>
        <w:rPr>
          <w:rFonts w:hint="eastAsia"/>
          <w:highlight w:val="none"/>
          <w:lang w:val="en-US"/>
        </w:rPr>
        <w:t xml:space="preserve">供应商</w:t>
      </w:r>
      <w:r>
        <w:rPr>
          <w:rFonts w:hint="eastAsia"/>
          <w:highlight w:val="none"/>
        </w:rPr>
        <w:t xml:space="preserve">的负责人为同一人或者存在控股、管理关系的；</w:t>
      </w:r>
      <w:r/>
    </w:p>
    <w:p>
      <w:pPr>
        <w:pStyle w:val="724"/>
        <w:ind w:firstLine="420"/>
        <w:spacing w:line="360" w:lineRule="auto"/>
        <w:tabs>
          <w:tab w:val="left" w:pos="1080" w:leader="none"/>
        </w:tabs>
        <w:rPr>
          <w:highlight w:val="none"/>
        </w:rPr>
      </w:pPr>
      <w:r>
        <w:rPr>
          <w:rFonts w:hint="eastAsia"/>
          <w:highlight w:val="none"/>
        </w:rPr>
        <w:t xml:space="preserve">（9）实质性要求未响应招标文件要求的；</w:t>
      </w:r>
      <w:r/>
    </w:p>
    <w:p>
      <w:pPr>
        <w:pStyle w:val="724"/>
        <w:ind w:firstLine="420"/>
        <w:spacing w:line="360" w:lineRule="auto"/>
        <w:tabs>
          <w:tab w:val="left" w:pos="1080" w:leader="none"/>
        </w:tabs>
        <w:rPr>
          <w:highlight w:val="none"/>
        </w:rPr>
      </w:pPr>
      <w:r>
        <w:rPr>
          <w:rFonts w:hint="eastAsia"/>
          <w:highlight w:val="none"/>
        </w:rPr>
        <w:t xml:space="preserve">（10）投标文件含有采购人不能接受的附加条件的；</w:t>
      </w:r>
      <w:r/>
    </w:p>
    <w:p>
      <w:pPr>
        <w:pStyle w:val="724"/>
        <w:ind w:firstLine="420"/>
        <w:spacing w:line="360" w:lineRule="auto"/>
        <w:tabs>
          <w:tab w:val="left" w:pos="1080" w:leader="none"/>
        </w:tabs>
        <w:rPr>
          <w:highlight w:val="none"/>
        </w:rPr>
      </w:pPr>
      <w:r>
        <w:rPr>
          <w:rFonts w:hint="eastAsia"/>
          <w:highlight w:val="none"/>
        </w:rPr>
        <w:t xml:space="preserve">（11）评标委员会认为</w:t>
      </w:r>
      <w:r>
        <w:rPr>
          <w:rFonts w:hint="eastAsia"/>
          <w:highlight w:val="none"/>
          <w:lang w:val="en-US"/>
        </w:rPr>
        <w:t xml:space="preserve">供应商</w:t>
      </w:r>
      <w:r>
        <w:rPr>
          <w:rFonts w:hint="eastAsia"/>
          <w:highlight w:val="none"/>
        </w:rPr>
        <w:t xml:space="preserve">的报价明显</w:t>
      </w:r>
      <w:r>
        <w:rPr>
          <w:rFonts w:hint="eastAsia"/>
          <w:highlight w:val="none"/>
          <w:lang w:val="en-US"/>
        </w:rPr>
        <w:t xml:space="preserve">高</w:t>
      </w:r>
      <w:r>
        <w:rPr>
          <w:rFonts w:hint="eastAsia"/>
          <w:highlight w:val="none"/>
        </w:rPr>
        <w:t xml:space="preserve">于其他通过符合性审查</w:t>
      </w:r>
      <w:r>
        <w:rPr>
          <w:rFonts w:hint="eastAsia"/>
          <w:highlight w:val="none"/>
          <w:lang w:val="en-US"/>
        </w:rPr>
        <w:t xml:space="preserve">供应商</w:t>
      </w:r>
      <w:r>
        <w:rPr>
          <w:rFonts w:hint="eastAsia"/>
          <w:highlight w:val="none"/>
        </w:rPr>
        <w:t xml:space="preserve">的报价，有可能影响产品质量或者不能诚信履约的，未在评标现场合理的时间内提供书面说明或相关证明材料，不能证明其报价合理的；</w:t>
      </w:r>
      <w:r/>
    </w:p>
    <w:p>
      <w:pPr>
        <w:pStyle w:val="724"/>
        <w:ind w:firstLine="420"/>
        <w:spacing w:line="360" w:lineRule="auto"/>
        <w:tabs>
          <w:tab w:val="left" w:pos="1080" w:leader="none"/>
        </w:tabs>
        <w:rPr>
          <w:highlight w:val="none"/>
        </w:rPr>
      </w:pPr>
      <w:r>
        <w:rPr>
          <w:rFonts w:hint="eastAsia"/>
          <w:highlight w:val="none"/>
        </w:rPr>
        <w:t xml:space="preserve">（12）不符合法律、法规或招标文件规定的其他无效情形；</w:t>
      </w:r>
      <w:r/>
    </w:p>
    <w:p>
      <w:pPr>
        <w:pStyle w:val="724"/>
        <w:ind w:firstLine="420"/>
        <w:spacing w:line="360" w:lineRule="auto"/>
        <w:tabs>
          <w:tab w:val="left" w:pos="1080" w:leader="none"/>
        </w:tabs>
        <w:rPr>
          <w:highlight w:val="none"/>
        </w:rPr>
      </w:pPr>
      <w:r>
        <w:rPr>
          <w:rFonts w:hint="eastAsia"/>
          <w:highlight w:val="none"/>
        </w:rPr>
        <w:t xml:space="preserve">（</w:t>
      </w:r>
      <w:r>
        <w:rPr>
          <w:rFonts w:hint="eastAsia"/>
          <w:highlight w:val="none"/>
          <w:lang w:val="en-US"/>
        </w:rPr>
        <w:t xml:space="preserve">13</w:t>
      </w:r>
      <w:r>
        <w:rPr>
          <w:rFonts w:hint="eastAsia"/>
          <w:highlight w:val="none"/>
        </w:rPr>
        <w:t xml:space="preserve">）供应商在苏采云系统规定的时间内未成功解密电子响应文件。</w:t>
      </w:r>
      <w:r/>
    </w:p>
    <w:p>
      <w:pPr>
        <w:pStyle w:val="724"/>
        <w:ind w:firstLine="422"/>
        <w:spacing w:line="360" w:lineRule="auto"/>
        <w:tabs>
          <w:tab w:val="left" w:pos="1080" w:leader="none"/>
        </w:tabs>
        <w:rPr>
          <w:b/>
          <w:bCs/>
          <w:highlight w:val="none"/>
        </w:rPr>
      </w:pPr>
      <w:r>
        <w:rPr>
          <w:rFonts w:hint="eastAsia"/>
          <w:b/>
          <w:bCs/>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pStyle w:val="724"/>
        <w:ind w:firstLine="420"/>
        <w:spacing w:line="360" w:lineRule="auto"/>
        <w:tabs>
          <w:tab w:val="left" w:pos="1322" w:leader="none"/>
        </w:tabs>
        <w:rPr>
          <w:highlight w:val="none"/>
        </w:rPr>
      </w:pPr>
      <w:r>
        <w:rPr>
          <w:rFonts w:hint="eastAsia"/>
          <w:highlight w:val="none"/>
        </w:rPr>
        <w:t xml:space="preserve">21.2.2.</w:t>
      </w:r>
      <w:r>
        <w:rPr>
          <w:highlight w:val="none"/>
          <w:lang w:val="en-US"/>
        </w:rPr>
        <w:t xml:space="preserve">5</w:t>
      </w:r>
      <w:r>
        <w:rPr>
          <w:rFonts w:hint="eastAsia"/>
          <w:highlight w:val="none"/>
        </w:rPr>
        <w:t xml:space="preserve">在评标期间，出现符合专业条件的供应商或者对招标文件作出实质性响应的供应商不足三家情形的，比照</w:t>
      </w:r>
      <w:r>
        <w:rPr>
          <w:highlight w:val="none"/>
        </w:rPr>
        <w:t xml:space="preserve"> 20.10 款执行。</w:t>
      </w:r>
      <w:r/>
    </w:p>
    <w:p>
      <w:pPr>
        <w:pStyle w:val="724"/>
        <w:ind w:firstLine="420"/>
        <w:spacing w:line="360" w:lineRule="auto"/>
        <w:tabs>
          <w:tab w:val="left" w:pos="1322" w:leader="none"/>
        </w:tabs>
        <w:rPr>
          <w:highlight w:val="none"/>
        </w:rPr>
      </w:pPr>
      <w:r>
        <w:rPr>
          <w:rFonts w:hint="eastAsia"/>
          <w:highlight w:val="none"/>
        </w:rPr>
        <w:t xml:space="preserve">21.2.2.</w:t>
      </w:r>
      <w:r>
        <w:rPr>
          <w:highlight w:val="none"/>
          <w:lang w:val="en-US"/>
        </w:rPr>
        <w:t xml:space="preserve">6</w:t>
      </w:r>
      <w:r>
        <w:rPr>
          <w:rFonts w:hint="eastAsia"/>
          <w:highlight w:val="none"/>
        </w:rPr>
        <w:t xml:space="preserve">有下列情形之一的予以</w:t>
      </w:r>
      <w:r>
        <w:rPr>
          <w:rFonts w:hint="eastAsia"/>
          <w:b/>
          <w:highlight w:val="none"/>
        </w:rPr>
        <w:t xml:space="preserve">废标</w:t>
      </w:r>
      <w:r>
        <w:rPr>
          <w:rFonts w:hint="eastAsia"/>
          <w:highlight w:val="none"/>
        </w:rPr>
        <w:t xml:space="preserve">，同时将废标理由通知所有</w:t>
      </w:r>
      <w:r>
        <w:rPr>
          <w:rFonts w:hint="eastAsia"/>
          <w:highlight w:val="none"/>
          <w:lang w:val="en-US"/>
        </w:rPr>
        <w:t xml:space="preserve">供应商</w:t>
      </w:r>
      <w:r>
        <w:rPr>
          <w:rFonts w:hint="eastAsia"/>
          <w:highlight w:val="none"/>
        </w:rPr>
        <w:t xml:space="preserve">：</w:t>
      </w:r>
      <w:r/>
    </w:p>
    <w:p>
      <w:pPr>
        <w:pStyle w:val="724"/>
        <w:ind w:firstLine="420"/>
        <w:spacing w:line="360" w:lineRule="auto"/>
        <w:tabs>
          <w:tab w:val="left" w:pos="1080" w:leader="none"/>
        </w:tabs>
        <w:rPr>
          <w:highlight w:val="none"/>
        </w:rPr>
      </w:pPr>
      <w:r>
        <w:rPr>
          <w:rFonts w:hint="eastAsia"/>
          <w:highlight w:val="none"/>
        </w:rPr>
        <w:t xml:space="preserve">（1）除满足21.2.2.</w:t>
      </w:r>
      <w:r>
        <w:rPr>
          <w:highlight w:val="none"/>
          <w:lang w:val="en-US"/>
        </w:rPr>
        <w:t xml:space="preserve">5</w:t>
      </w:r>
      <w:r>
        <w:rPr>
          <w:rFonts w:hint="eastAsia"/>
          <w:highlight w:val="none"/>
        </w:rPr>
        <w:t xml:space="preserve">规定的情形外，符合专业条件的</w:t>
      </w:r>
      <w:r>
        <w:rPr>
          <w:rFonts w:hint="eastAsia"/>
          <w:highlight w:val="none"/>
          <w:lang w:val="en-US"/>
        </w:rPr>
        <w:t xml:space="preserve">供应商</w:t>
      </w:r>
      <w:r>
        <w:rPr>
          <w:rFonts w:hint="eastAsia"/>
          <w:highlight w:val="none"/>
        </w:rPr>
        <w:t xml:space="preserve">或者对招标文件作实质性响应的</w:t>
      </w:r>
      <w:r>
        <w:rPr>
          <w:rFonts w:hint="eastAsia"/>
          <w:highlight w:val="none"/>
          <w:lang w:val="en-US"/>
        </w:rPr>
        <w:t xml:space="preserve">供应商</w:t>
      </w:r>
      <w:r>
        <w:rPr>
          <w:rFonts w:hint="eastAsia"/>
          <w:highlight w:val="none"/>
        </w:rPr>
        <w:t xml:space="preserve">不足三家的；</w:t>
      </w:r>
      <w:r/>
    </w:p>
    <w:p>
      <w:pPr>
        <w:pStyle w:val="724"/>
        <w:ind w:firstLine="420"/>
        <w:spacing w:line="360" w:lineRule="auto"/>
        <w:tabs>
          <w:tab w:val="left" w:pos="1080" w:leader="none"/>
        </w:tabs>
        <w:rPr>
          <w:highlight w:val="none"/>
        </w:rPr>
      </w:pPr>
      <w:r>
        <w:rPr>
          <w:rFonts w:hint="eastAsia"/>
          <w:highlight w:val="none"/>
        </w:rPr>
        <w:t xml:space="preserve">（2）出现影响采购公正的违法、违规行为的；</w:t>
      </w:r>
      <w:r/>
    </w:p>
    <w:p>
      <w:pPr>
        <w:pStyle w:val="724"/>
        <w:ind w:firstLine="420"/>
        <w:spacing w:line="360" w:lineRule="auto"/>
        <w:tabs>
          <w:tab w:val="left" w:pos="1080" w:leader="none"/>
        </w:tabs>
        <w:rPr>
          <w:highlight w:val="none"/>
        </w:rPr>
      </w:pPr>
      <w:r>
        <w:rPr>
          <w:rFonts w:hint="eastAsia"/>
          <w:highlight w:val="none"/>
        </w:rPr>
        <w:t xml:space="preserve">（3）</w:t>
      </w:r>
      <w:r>
        <w:rPr>
          <w:rFonts w:hint="eastAsia"/>
          <w:highlight w:val="none"/>
          <w:lang w:val="en-US"/>
        </w:rPr>
        <w:t xml:space="preserve">供应商</w:t>
      </w:r>
      <w:r>
        <w:rPr>
          <w:rFonts w:hint="eastAsia"/>
          <w:highlight w:val="none"/>
        </w:rPr>
        <w:t xml:space="preserve">的报价均高于采购预算或最高限价的，采购人不能支付的；</w:t>
      </w:r>
      <w:r/>
    </w:p>
    <w:p>
      <w:pPr>
        <w:pStyle w:val="724"/>
        <w:ind w:firstLine="420"/>
        <w:spacing w:line="360" w:lineRule="auto"/>
        <w:tabs>
          <w:tab w:val="left" w:pos="1080" w:leader="none"/>
        </w:tabs>
        <w:rPr>
          <w:highlight w:val="none"/>
        </w:rPr>
      </w:pPr>
      <w:r>
        <w:rPr>
          <w:rFonts w:hint="eastAsia"/>
          <w:highlight w:val="none"/>
        </w:rPr>
        <w:t xml:space="preserve">（4）因重大变故，采购任务取消的；</w:t>
      </w:r>
      <w:r/>
    </w:p>
    <w:p>
      <w:pPr>
        <w:pStyle w:val="724"/>
        <w:ind w:firstLine="420"/>
        <w:spacing w:line="360" w:lineRule="auto"/>
        <w:tabs>
          <w:tab w:val="left" w:pos="1080" w:leader="none"/>
        </w:tabs>
        <w:rPr>
          <w:highlight w:val="none"/>
        </w:rPr>
      </w:pPr>
      <w:r>
        <w:rPr>
          <w:rFonts w:hint="eastAsia"/>
          <w:highlight w:val="none"/>
        </w:rPr>
        <w:t xml:space="preserve">（5）招标文件存在歧义、重大缺陷，或者招标文件内容违反国家有关强制性规定的。</w:t>
      </w:r>
      <w:r/>
    </w:p>
    <w:p>
      <w:pPr>
        <w:pStyle w:val="724"/>
        <w:ind w:firstLine="420"/>
        <w:spacing w:line="360" w:lineRule="auto"/>
        <w:tabs>
          <w:tab w:val="left" w:pos="1080" w:leader="none"/>
        </w:tabs>
        <w:rPr>
          <w:highlight w:val="none"/>
        </w:rPr>
      </w:pPr>
      <w:r>
        <w:rPr>
          <w:rFonts w:hint="eastAsia"/>
          <w:highlight w:val="none"/>
        </w:rPr>
        <w:t xml:space="preserve">（6）预留份额的采购项目或采购包，通过发布公告方式邀请供应商后，符合资格条件的中小企业数量不足3家的</w:t>
      </w:r>
      <w:r/>
    </w:p>
    <w:p>
      <w:pPr>
        <w:pStyle w:val="724"/>
        <w:ind w:firstLine="422"/>
        <w:spacing w:line="360" w:lineRule="auto"/>
        <w:tabs>
          <w:tab w:val="left" w:pos="1203" w:leader="none"/>
        </w:tabs>
        <w:rPr>
          <w:b/>
          <w:highlight w:val="none"/>
        </w:rPr>
      </w:pPr>
      <w:r>
        <w:rPr>
          <w:rFonts w:hint="eastAsia"/>
          <w:b/>
          <w:highlight w:val="none"/>
        </w:rPr>
        <w:t xml:space="preserve">21.2.3投标文件的进一步评审。</w:t>
      </w:r>
      <w:r/>
    </w:p>
    <w:p>
      <w:pPr>
        <w:pStyle w:val="724"/>
        <w:ind w:firstLine="420"/>
        <w:spacing w:line="360" w:lineRule="auto"/>
        <w:tabs>
          <w:tab w:val="left" w:pos="1380" w:leader="none"/>
        </w:tabs>
        <w:rPr>
          <w:highlight w:val="none"/>
        </w:rPr>
      </w:pPr>
      <w:r>
        <w:rPr>
          <w:rFonts w:hint="eastAsia"/>
          <w:highlight w:val="none"/>
        </w:rPr>
        <w:t xml:space="preserve">21.2.3.1评标委员会将对确定为实质性响应的投标文件进行进一步评审，看其是否有计算上或累加上的算术错误，修正错误的原则如下：</w:t>
      </w:r>
      <w:r/>
    </w:p>
    <w:p>
      <w:pPr>
        <w:pStyle w:val="724"/>
        <w:ind w:firstLine="420"/>
        <w:spacing w:line="360" w:lineRule="auto"/>
        <w:tabs>
          <w:tab w:val="left" w:pos="1080" w:leader="none"/>
        </w:tabs>
        <w:rPr>
          <w:highlight w:val="none"/>
        </w:rPr>
      </w:pPr>
      <w:r>
        <w:rPr>
          <w:rFonts w:hint="eastAsia"/>
          <w:highlight w:val="none"/>
        </w:rPr>
        <w:t xml:space="preserve">（1）如果用数字表示的金额和用文字表示的金额不一致时，应以文字表示的金额为准进行修正；</w:t>
      </w:r>
      <w:r/>
    </w:p>
    <w:p>
      <w:pPr>
        <w:pStyle w:val="724"/>
        <w:ind w:firstLine="420"/>
        <w:spacing w:line="360" w:lineRule="auto"/>
        <w:tabs>
          <w:tab w:val="left" w:pos="1080" w:leader="none"/>
        </w:tabs>
        <w:rPr>
          <w:highlight w:val="none"/>
        </w:rPr>
      </w:pPr>
      <w:r>
        <w:rPr>
          <w:rFonts w:hint="eastAsia"/>
          <w:highlight w:val="none"/>
        </w:rPr>
        <w:t xml:space="preserve">（2）当单价与数量的乘积和总价不一致时，以单价为准进行修正。只有在评标委员会认为单价有明显的小数点错误时，才能以标出的总价为准，并修改单价。</w:t>
      </w:r>
      <w:r/>
    </w:p>
    <w:p>
      <w:pPr>
        <w:pStyle w:val="724"/>
        <w:ind w:firstLine="420"/>
        <w:spacing w:line="360" w:lineRule="auto"/>
        <w:tabs>
          <w:tab w:val="left" w:pos="1380" w:leader="none"/>
        </w:tabs>
        <w:rPr>
          <w:highlight w:val="none"/>
        </w:rPr>
      </w:pPr>
      <w:r>
        <w:rPr>
          <w:rFonts w:hint="eastAsia"/>
          <w:highlight w:val="none"/>
        </w:rPr>
        <w:t xml:space="preserve">21.2.3.2评标委员会将按上述修正错误的方法调整投标文件中的投标价，调整后的价格应对</w:t>
      </w:r>
      <w:r>
        <w:rPr>
          <w:rFonts w:hint="eastAsia"/>
          <w:highlight w:val="none"/>
          <w:lang w:val="en-US"/>
        </w:rPr>
        <w:t xml:space="preserve">供应商</w:t>
      </w:r>
      <w:r>
        <w:rPr>
          <w:rFonts w:hint="eastAsia"/>
          <w:highlight w:val="none"/>
        </w:rPr>
        <w:t xml:space="preserve">具有约束力。如果</w:t>
      </w:r>
      <w:r>
        <w:rPr>
          <w:rFonts w:hint="eastAsia"/>
          <w:highlight w:val="none"/>
          <w:lang w:val="en-US"/>
        </w:rPr>
        <w:t xml:space="preserve">供应商</w:t>
      </w:r>
      <w:r>
        <w:rPr>
          <w:rFonts w:hint="eastAsia"/>
          <w:highlight w:val="none"/>
        </w:rPr>
        <w:t xml:space="preserve">不接受修正后的价格，则其投标将被拒绝。</w:t>
      </w:r>
      <w:r/>
    </w:p>
    <w:p>
      <w:pPr>
        <w:pStyle w:val="724"/>
        <w:ind w:firstLine="420"/>
        <w:spacing w:line="360" w:lineRule="auto"/>
        <w:tabs>
          <w:tab w:val="left" w:pos="1380" w:leader="none"/>
        </w:tabs>
        <w:rPr>
          <w:highlight w:val="none"/>
        </w:rPr>
      </w:pPr>
      <w:r>
        <w:rPr>
          <w:rFonts w:hint="eastAsia"/>
          <w:highlight w:val="none"/>
        </w:rPr>
        <w:t xml:space="preserve">21.2.3.3评标委员会将允许修正投标文件中不构成重大偏离的、微小的、非正规的、不一致的或不规则的地方，但这些修改不能影响任何</w:t>
      </w:r>
      <w:r>
        <w:rPr>
          <w:rFonts w:hint="eastAsia"/>
          <w:highlight w:val="none"/>
          <w:lang w:val="en-US"/>
        </w:rPr>
        <w:t xml:space="preserve">供应商</w:t>
      </w:r>
      <w:r>
        <w:rPr>
          <w:rFonts w:hint="eastAsia"/>
          <w:highlight w:val="none"/>
        </w:rPr>
        <w:t xml:space="preserve">相应的名次排列。</w:t>
      </w:r>
      <w:r/>
    </w:p>
    <w:p>
      <w:pPr>
        <w:pStyle w:val="724"/>
        <w:ind w:firstLine="420"/>
        <w:spacing w:line="360" w:lineRule="auto"/>
        <w:tabs>
          <w:tab w:val="left" w:pos="1380" w:leader="none"/>
        </w:tabs>
        <w:rPr>
          <w:highlight w:val="none"/>
        </w:rPr>
      </w:pPr>
      <w:r>
        <w:rPr>
          <w:rFonts w:hint="eastAsia"/>
          <w:highlight w:val="none"/>
        </w:rPr>
        <w:t xml:space="preserve">21.2.3.4澄清有关问题。对投标文件中含义不明确、同类问题表述不一致或者明显文字错误的内容，评标委员会可以要求</w:t>
      </w:r>
      <w:r>
        <w:rPr>
          <w:rFonts w:hint="eastAsia"/>
          <w:highlight w:val="none"/>
          <w:lang w:val="en-US"/>
        </w:rPr>
        <w:t xml:space="preserve">供应商</w:t>
      </w:r>
      <w:r>
        <w:rPr>
          <w:rFonts w:hint="eastAsia"/>
          <w:highlight w:val="none"/>
        </w:rPr>
        <w:t xml:space="preserve">作出必要的澄清、说明或者补正。供应商的澄清、说明或者补正不得超出响应文件的范围或者改变响应文件的实质性内容。</w:t>
      </w:r>
      <w:r/>
    </w:p>
    <w:p>
      <w:pPr>
        <w:pStyle w:val="724"/>
        <w:ind w:firstLine="420"/>
        <w:spacing w:line="360" w:lineRule="auto"/>
        <w:tabs>
          <w:tab w:val="left" w:pos="1380" w:leader="none"/>
        </w:tabs>
        <w:rPr>
          <w:highlight w:val="none"/>
        </w:rPr>
      </w:pPr>
      <w:r>
        <w:rPr>
          <w:rFonts w:hint="eastAsia"/>
          <w:highlight w:val="none"/>
        </w:rPr>
        <w:t xml:space="preserve">需要供应商进行澄清、说明和补正的，评标委员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724"/>
        <w:ind w:firstLine="420"/>
        <w:spacing w:line="360" w:lineRule="auto"/>
        <w:tabs>
          <w:tab w:val="left" w:pos="1380" w:leader="none"/>
        </w:tabs>
        <w:rPr>
          <w:highlight w:val="none"/>
        </w:rPr>
      </w:pPr>
      <w:r>
        <w:rPr>
          <w:rFonts w:hint="eastAsia"/>
          <w:highlight w:val="none"/>
        </w:rPr>
        <w:t xml:space="preserve">接到评标委员会澄清、说明和补正要求的供应商如未按规定或未在规定时间内做出澄清、说明和补正，其风险由供应商自行承担。评标委员会并非对每个供应商都做澄清要求。</w:t>
      </w:r>
      <w:r/>
    </w:p>
    <w:p>
      <w:pPr>
        <w:pStyle w:val="724"/>
        <w:ind w:firstLine="420"/>
        <w:spacing w:line="360" w:lineRule="auto"/>
        <w:tabs>
          <w:tab w:val="left" w:pos="1380" w:leader="none"/>
        </w:tabs>
        <w:rPr>
          <w:highlight w:val="none"/>
        </w:rPr>
      </w:pPr>
      <w:r>
        <w:rPr>
          <w:rFonts w:hint="eastAsia"/>
          <w:highlight w:val="none"/>
        </w:rPr>
        <w:t xml:space="preserve">21.2.3.5比较与评价。按照招标文件中规定的评标方法和标准，对资格性检查和符合性检查合格的投标文件进行商务和技术评估，综合比较与评价。</w:t>
      </w:r>
      <w:r/>
    </w:p>
    <w:p>
      <w:pPr>
        <w:pStyle w:val="724"/>
        <w:ind w:firstLine="422"/>
        <w:spacing w:line="360" w:lineRule="auto"/>
        <w:tabs>
          <w:tab w:val="left" w:pos="1023" w:leader="none"/>
        </w:tabs>
        <w:rPr>
          <w:b/>
          <w:highlight w:val="none"/>
        </w:rPr>
      </w:pPr>
      <w:r>
        <w:rPr>
          <w:b/>
          <w:highlight w:val="none"/>
        </w:rPr>
        <w:t xml:space="preserve">21.2.4评审过程中出现下列情形之一的，评审委员会应当启动异常低价投标（响应）审查程序：</w:t>
      </w:r>
      <w:r/>
    </w:p>
    <w:p>
      <w:pPr>
        <w:pStyle w:val="724"/>
        <w:ind w:firstLine="422"/>
        <w:spacing w:line="360" w:lineRule="auto"/>
        <w:tabs>
          <w:tab w:val="left" w:pos="1023" w:leader="none"/>
        </w:tabs>
        <w:rPr>
          <w:highlight w:val="none"/>
        </w:rPr>
      </w:pPr>
      <w:r>
        <w:rPr>
          <w:rFonts w:hint="eastAsia"/>
          <w:highlight w:val="none"/>
        </w:rPr>
        <w:t xml:space="preserve">（</w:t>
      </w:r>
      <w:r>
        <w:rPr>
          <w:highlight w:val="none"/>
        </w:rPr>
        <w:t xml:space="preserve">1）投标（响应）报价低于全部通过符合性审查供应商投标（响应）报价平均值50%的，即投标（响应）报价&lt;全部通过符合性审查供应商投标（响应）报价平均值×50%；</w:t>
      </w:r>
      <w:r/>
    </w:p>
    <w:p>
      <w:pPr>
        <w:pStyle w:val="724"/>
        <w:ind w:firstLine="422"/>
        <w:spacing w:line="360" w:lineRule="auto"/>
        <w:tabs>
          <w:tab w:val="left" w:pos="1023" w:leader="none"/>
        </w:tabs>
        <w:rPr>
          <w:highlight w:val="none"/>
        </w:rPr>
      </w:pPr>
      <w:r>
        <w:rPr>
          <w:rFonts w:hint="eastAsia"/>
          <w:highlight w:val="none"/>
        </w:rPr>
        <w:t xml:space="preserve">（</w:t>
      </w:r>
      <w:r>
        <w:rPr>
          <w:highlight w:val="none"/>
        </w:rPr>
        <w:t xml:space="preserve">2）投标（响应）报价低于通过符合性审查的次低报价供应商投标（响应）报价50%的，即投标（响应）报价&lt;通过符合性审查的次低报价供应商投标（响应）报价×50%；</w:t>
      </w:r>
      <w:r/>
    </w:p>
    <w:p>
      <w:pPr>
        <w:pStyle w:val="724"/>
        <w:ind w:firstLine="422"/>
        <w:spacing w:line="360" w:lineRule="auto"/>
        <w:tabs>
          <w:tab w:val="left" w:pos="1023" w:leader="none"/>
        </w:tabs>
        <w:rPr>
          <w:highlight w:val="none"/>
        </w:rPr>
      </w:pPr>
      <w:r>
        <w:rPr>
          <w:rFonts w:hint="eastAsia"/>
          <w:highlight w:val="none"/>
        </w:rPr>
        <w:t xml:space="preserve">（</w:t>
      </w:r>
      <w:r>
        <w:rPr>
          <w:highlight w:val="none"/>
        </w:rPr>
        <w:t xml:space="preserve">3）投标（响应）报价低于采购项目最高限价45%的，即投标（响应）报价&lt;采购项目最高限价×45%；</w:t>
      </w:r>
      <w:r/>
    </w:p>
    <w:p>
      <w:pPr>
        <w:pStyle w:val="724"/>
        <w:ind w:firstLine="422"/>
        <w:spacing w:line="360" w:lineRule="auto"/>
        <w:tabs>
          <w:tab w:val="left" w:pos="1023" w:leader="none"/>
        </w:tabs>
        <w:rPr>
          <w:highlight w:val="none"/>
        </w:rPr>
      </w:pPr>
      <w:r>
        <w:rPr>
          <w:rFonts w:hint="eastAsia"/>
          <w:highlight w:val="none"/>
        </w:rPr>
        <w:t xml:space="preserve">（</w:t>
      </w:r>
      <w:r>
        <w:rPr>
          <w:highlight w:val="none"/>
        </w:rPr>
        <w:t xml:space="preserve">4）评审委员会认定的供应商报价过低、有可能影响产品质量或者不能诚信履约的其他情形。</w:t>
      </w:r>
      <w:r/>
    </w:p>
    <w:p>
      <w:pPr>
        <w:pStyle w:val="724"/>
        <w:ind w:firstLine="422"/>
        <w:spacing w:line="360" w:lineRule="auto"/>
        <w:tabs>
          <w:tab w:val="left" w:pos="1023" w:leader="none"/>
        </w:tabs>
        <w:rPr>
          <w:highlight w:val="none"/>
        </w:rPr>
      </w:pPr>
      <w:r>
        <w:rPr>
          <w:rFonts w:hint="eastAsia"/>
          <w:highlight w:val="none"/>
        </w:rPr>
        <w:t xml:space="preserve">评审委员会启动异常低价投标（响应）审查后，属于前述第</w:t>
      </w:r>
      <w:r>
        <w:rPr>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w:t>
      </w:r>
      <w:r>
        <w:rPr>
          <w:rFonts w:hint="eastAsia"/>
          <w:highlight w:val="none"/>
        </w:rPr>
        <w:t xml:space="preserve">员会应当将其作为无效投标（响应）处理。审查相关情况应当在评审报告中进行记录。</w:t>
      </w:r>
      <w:r/>
    </w:p>
    <w:p>
      <w:pPr>
        <w:pStyle w:val="724"/>
        <w:ind w:firstLine="422"/>
        <w:spacing w:line="360" w:lineRule="auto"/>
        <w:tabs>
          <w:tab w:val="left" w:pos="1023" w:leader="none"/>
        </w:tabs>
        <w:rPr>
          <w:b/>
          <w:highlight w:val="none"/>
        </w:rPr>
      </w:pPr>
      <w:r>
        <w:rPr>
          <w:rFonts w:hint="eastAsia"/>
          <w:b/>
          <w:highlight w:val="none"/>
        </w:rPr>
        <w:t xml:space="preserve">21.3评标方法和标准</w:t>
      </w:r>
      <w:r/>
    </w:p>
    <w:p>
      <w:pPr>
        <w:pStyle w:val="724"/>
        <w:ind w:firstLine="420"/>
        <w:spacing w:line="360" w:lineRule="auto"/>
        <w:tabs>
          <w:tab w:val="left" w:pos="1203" w:leader="none"/>
        </w:tabs>
        <w:rPr>
          <w:highlight w:val="none"/>
        </w:rPr>
      </w:pPr>
      <w:r>
        <w:rPr>
          <w:rFonts w:hint="eastAsia"/>
          <w:highlight w:val="none"/>
        </w:rPr>
        <w:t xml:space="preserve">21.3.1</w:t>
      </w:r>
      <w:r>
        <w:rPr>
          <w:rFonts w:hint="eastAsia"/>
          <w:b/>
          <w:highlight w:val="none"/>
        </w:rPr>
        <w:t xml:space="preserve">采用综合评分法。</w:t>
      </w:r>
      <w:r>
        <w:rPr>
          <w:rFonts w:hint="eastAsia"/>
          <w:highlight w:val="none"/>
        </w:rPr>
        <w:t xml:space="preserve">即在投标文件满足招标文件全部实质性要求前提下，且按照评审因素的量化指标评审得分最高的</w:t>
      </w:r>
      <w:r>
        <w:rPr>
          <w:rFonts w:hint="eastAsia"/>
          <w:highlight w:val="none"/>
          <w:lang w:val="en-US"/>
        </w:rPr>
        <w:t xml:space="preserve">供应商</w:t>
      </w:r>
      <w:r>
        <w:rPr>
          <w:rFonts w:hint="eastAsia"/>
          <w:highlight w:val="none"/>
        </w:rPr>
        <w:t xml:space="preserve">为中标人的评标方法。</w:t>
      </w:r>
      <w:r/>
    </w:p>
    <w:p>
      <w:pPr>
        <w:pStyle w:val="724"/>
        <w:ind w:firstLine="420"/>
        <w:spacing w:line="360" w:lineRule="auto"/>
        <w:tabs>
          <w:tab w:val="left" w:pos="1203" w:leader="none"/>
        </w:tabs>
        <w:rPr>
          <w:highlight w:val="none"/>
        </w:rPr>
      </w:pPr>
      <w:r>
        <w:rPr>
          <w:rFonts w:hint="eastAsia"/>
          <w:highlight w:val="none"/>
        </w:rPr>
        <w:t xml:space="preserve">21.3.2评分标准详见文件第三章。</w:t>
      </w:r>
      <w:r/>
    </w:p>
    <w:p>
      <w:pPr>
        <w:pStyle w:val="724"/>
        <w:ind w:firstLine="422"/>
        <w:spacing w:line="360" w:lineRule="auto"/>
        <w:tabs>
          <w:tab w:val="left" w:pos="962" w:leader="none"/>
        </w:tabs>
        <w:rPr>
          <w:b/>
          <w:highlight w:val="none"/>
        </w:rPr>
      </w:pPr>
      <w:r>
        <w:rPr>
          <w:rFonts w:hint="eastAsia"/>
          <w:b/>
          <w:highlight w:val="none"/>
        </w:rPr>
        <w:t xml:space="preserve">22、确定中标人</w:t>
      </w:r>
      <w:r/>
    </w:p>
    <w:p>
      <w:pPr>
        <w:ind w:firstLine="420"/>
        <w:spacing w:line="360" w:lineRule="auto"/>
        <w:rPr>
          <w:sz w:val="21"/>
          <w:szCs w:val="21"/>
          <w:highlight w:val="none"/>
        </w:rPr>
      </w:pPr>
      <w:r>
        <w:rPr>
          <w:rFonts w:hint="eastAsia"/>
          <w:sz w:val="21"/>
          <w:szCs w:val="21"/>
          <w:highlight w:val="none"/>
        </w:rPr>
        <w:t xml:space="preserve">22.1在综合比较与评价后按照得分由高到低顺序对供应商进行排列。评标委员会将综合排名第一的供应商确定为中标供应商。得分相同的，按投标报价由低到高顺序排列。得分且投标报价相同的，按照技术指标优劣顺序排列。</w:t>
      </w:r>
      <w:r/>
    </w:p>
    <w:p>
      <w:pPr>
        <w:ind w:firstLine="420"/>
        <w:spacing w:line="360" w:lineRule="auto"/>
        <w:rPr>
          <w:highlight w:val="none"/>
        </w:rPr>
      </w:pPr>
      <w:r>
        <w:rPr>
          <w:rFonts w:hint="eastAsia"/>
          <w:sz w:val="21"/>
          <w:szCs w:val="21"/>
          <w:highlight w:val="none"/>
        </w:rPr>
        <w:t xml:space="preserve">22.2中标人确定之日起2个工作日内，将在指定的发布媒体上公告，</w:t>
      </w:r>
      <w:r>
        <w:rPr>
          <w:rFonts w:hint="eastAsia"/>
          <w:sz w:val="21"/>
          <w:szCs w:val="21"/>
          <w:highlight w:val="none"/>
          <w:lang w:val="en-US"/>
        </w:rPr>
        <w:t xml:space="preserve">中标</w:t>
      </w:r>
      <w:r>
        <w:rPr>
          <w:rFonts w:hint="eastAsia"/>
          <w:sz w:val="21"/>
          <w:szCs w:val="21"/>
          <w:highlight w:val="none"/>
        </w:rPr>
        <w:t xml:space="preserve">人可在</w:t>
      </w:r>
      <w:r>
        <w:rPr>
          <w:rFonts w:hint="eastAsia"/>
          <w:sz w:val="21"/>
          <w:szCs w:val="21"/>
          <w:highlight w:val="none"/>
          <w:lang w:val="en-US"/>
        </w:rPr>
        <w:t xml:space="preserve">中标</w:t>
      </w:r>
      <w:r>
        <w:rPr>
          <w:rFonts w:hint="eastAsia"/>
          <w:sz w:val="21"/>
          <w:szCs w:val="21"/>
          <w:highlight w:val="none"/>
        </w:rPr>
        <w:t xml:space="preserve">结果公告届满之日起三十日内，登录苏采云系统下载中标通知书。</w:t>
      </w:r>
      <w:r/>
    </w:p>
    <w:p>
      <w:pPr>
        <w:pStyle w:val="724"/>
        <w:ind w:firstLine="420"/>
        <w:spacing w:line="360" w:lineRule="auto"/>
        <w:tabs>
          <w:tab w:val="left" w:pos="1020" w:leader="none"/>
        </w:tabs>
        <w:rPr>
          <w:highlight w:val="none"/>
        </w:rPr>
      </w:pPr>
      <w:r>
        <w:rPr>
          <w:rFonts w:hint="eastAsia"/>
          <w:highlight w:val="none"/>
        </w:rPr>
        <w:t xml:space="preserve">22.3中标通知书对采购人和中标人具有同等法律效力。</w:t>
      </w:r>
      <w:r/>
    </w:p>
    <w:p>
      <w:pPr>
        <w:pStyle w:val="724"/>
        <w:ind w:firstLine="420"/>
        <w:spacing w:line="360" w:lineRule="auto"/>
        <w:tabs>
          <w:tab w:val="left" w:pos="1020" w:leader="none"/>
        </w:tabs>
        <w:rPr>
          <w:highlight w:val="none"/>
        </w:rPr>
      </w:pPr>
      <w:r>
        <w:rPr>
          <w:rFonts w:hint="eastAsia"/>
          <w:highlight w:val="none"/>
        </w:rPr>
        <w:t xml:space="preserve">22.4中标通知书发出后，中标人无正当理由不与采购人签订合同的，应当依法承担法律责任。</w:t>
      </w:r>
      <w:r/>
    </w:p>
    <w:p>
      <w:pPr>
        <w:pStyle w:val="724"/>
        <w:ind w:firstLine="420"/>
        <w:spacing w:line="360" w:lineRule="auto"/>
        <w:tabs>
          <w:tab w:val="left" w:pos="1020" w:leader="none"/>
        </w:tabs>
        <w:rPr>
          <w:highlight w:val="none"/>
        </w:rPr>
      </w:pPr>
      <w:r>
        <w:rPr>
          <w:rFonts w:hint="eastAsia"/>
          <w:highlight w:val="none"/>
        </w:rPr>
        <w:t xml:space="preserve">22.5招标代理和评标委员会对未中标的</w:t>
      </w:r>
      <w:r>
        <w:rPr>
          <w:rFonts w:hint="eastAsia"/>
          <w:highlight w:val="none"/>
          <w:lang w:val="en-US"/>
        </w:rPr>
        <w:t xml:space="preserve">供应商</w:t>
      </w:r>
      <w:r>
        <w:rPr>
          <w:rFonts w:hint="eastAsia"/>
          <w:highlight w:val="none"/>
        </w:rPr>
        <w:t xml:space="preserve">不作未中标原因的解释。</w:t>
      </w:r>
      <w:r/>
    </w:p>
    <w:p>
      <w:pPr>
        <w:pStyle w:val="724"/>
        <w:ind w:firstLine="422"/>
        <w:spacing w:line="360" w:lineRule="auto"/>
        <w:tabs>
          <w:tab w:val="left" w:pos="962" w:leader="none"/>
        </w:tabs>
        <w:rPr>
          <w:b/>
          <w:highlight w:val="none"/>
        </w:rPr>
      </w:pPr>
      <w:r>
        <w:rPr>
          <w:rFonts w:hint="eastAsia"/>
          <w:b/>
          <w:highlight w:val="none"/>
        </w:rPr>
        <w:t xml:space="preserve">23、编写评标报告</w:t>
      </w:r>
      <w:r/>
    </w:p>
    <w:p>
      <w:pPr>
        <w:pStyle w:val="724"/>
        <w:ind w:firstLine="420"/>
        <w:spacing w:line="360" w:lineRule="auto"/>
        <w:rPr>
          <w:highlight w:val="none"/>
        </w:rPr>
      </w:pPr>
      <w:r>
        <w:rPr>
          <w:rFonts w:hint="eastAsia"/>
          <w:highlight w:val="none"/>
        </w:rPr>
        <w:t xml:space="preserve">23.1评标委员会根据全体评标成员签字的原始评标记录和评标结果编写评标报告。</w:t>
      </w:r>
      <w:r/>
    </w:p>
    <w:p>
      <w:pPr>
        <w:pStyle w:val="724"/>
        <w:ind w:firstLine="422"/>
        <w:spacing w:line="360" w:lineRule="auto"/>
        <w:tabs>
          <w:tab w:val="left" w:pos="962" w:leader="none"/>
        </w:tabs>
        <w:rPr>
          <w:b/>
          <w:highlight w:val="none"/>
        </w:rPr>
      </w:pPr>
      <w:r>
        <w:rPr>
          <w:rFonts w:hint="eastAsia"/>
          <w:b/>
          <w:highlight w:val="none"/>
        </w:rPr>
        <w:t xml:space="preserve">24、评标过程的保密性</w:t>
      </w:r>
      <w:r/>
    </w:p>
    <w:p>
      <w:pPr>
        <w:pStyle w:val="724"/>
        <w:ind w:firstLine="420"/>
        <w:spacing w:line="360" w:lineRule="auto"/>
        <w:tabs>
          <w:tab w:val="left" w:pos="1020" w:leader="none"/>
        </w:tabs>
        <w:rPr>
          <w:highlight w:val="none"/>
        </w:rPr>
      </w:pPr>
      <w:r>
        <w:rPr>
          <w:rFonts w:hint="eastAsia"/>
          <w:highlight w:val="none"/>
        </w:rPr>
        <w:t xml:space="preserve">24.1招标代理将采取必要措施，保证评标在严格保密的情况下进行。</w:t>
      </w:r>
      <w:r/>
    </w:p>
    <w:p>
      <w:pPr>
        <w:pStyle w:val="724"/>
        <w:ind w:firstLine="420"/>
        <w:spacing w:line="360" w:lineRule="auto"/>
        <w:tabs>
          <w:tab w:val="left" w:pos="1020" w:leader="none"/>
        </w:tabs>
        <w:rPr>
          <w:highlight w:val="none"/>
        </w:rPr>
      </w:pPr>
      <w:r>
        <w:rPr>
          <w:rFonts w:hint="eastAsia"/>
          <w:highlight w:val="none"/>
        </w:rPr>
        <w:t xml:space="preserve">24.2任何单位和个人不得非法干预、影响评标办法的确定，以及评标过程和结果。</w:t>
      </w:r>
      <w:r/>
    </w:p>
    <w:p>
      <w:pPr>
        <w:pStyle w:val="724"/>
        <w:ind w:firstLine="420"/>
        <w:spacing w:line="360" w:lineRule="auto"/>
        <w:tabs>
          <w:tab w:val="left" w:pos="1020" w:leader="none"/>
        </w:tabs>
        <w:rPr>
          <w:highlight w:val="none"/>
        </w:rPr>
      </w:pPr>
      <w:r>
        <w:rPr>
          <w:rFonts w:hint="eastAsia"/>
          <w:highlight w:val="none"/>
        </w:rPr>
        <w:t xml:space="preserve">24.3凡是与审查、澄清、评价和比较投标的有关资料等，均不向</w:t>
      </w:r>
      <w:r>
        <w:rPr>
          <w:rFonts w:hint="eastAsia"/>
          <w:highlight w:val="none"/>
          <w:lang w:val="en-US"/>
        </w:rPr>
        <w:t xml:space="preserve">供应商</w:t>
      </w:r>
      <w:r>
        <w:rPr>
          <w:rFonts w:hint="eastAsia"/>
          <w:highlight w:val="none"/>
        </w:rPr>
        <w:t xml:space="preserve">及与评标无关的其他人员透露。</w:t>
      </w:r>
      <w:r/>
    </w:p>
    <w:p>
      <w:pPr>
        <w:pStyle w:val="724"/>
        <w:ind w:firstLine="422"/>
        <w:spacing w:line="360" w:lineRule="auto"/>
        <w:tabs>
          <w:tab w:val="left" w:pos="963" w:leader="none"/>
        </w:tabs>
        <w:rPr>
          <w:b/>
          <w:highlight w:val="none"/>
        </w:rPr>
      </w:pPr>
      <w:r>
        <w:rPr>
          <w:rFonts w:hint="eastAsia"/>
          <w:b/>
          <w:highlight w:val="none"/>
        </w:rPr>
        <w:t xml:space="preserve">五、签订合同</w:t>
      </w:r>
      <w:r/>
    </w:p>
    <w:p>
      <w:pPr>
        <w:pStyle w:val="724"/>
        <w:ind w:firstLine="422"/>
        <w:spacing w:line="360" w:lineRule="auto"/>
        <w:rPr>
          <w:b/>
          <w:highlight w:val="none"/>
        </w:rPr>
      </w:pPr>
      <w:r>
        <w:rPr>
          <w:rFonts w:hint="eastAsia"/>
          <w:b/>
          <w:highlight w:val="none"/>
        </w:rPr>
        <w:t xml:space="preserve">25、签订合同</w:t>
      </w:r>
      <w:r/>
    </w:p>
    <w:p>
      <w:pPr>
        <w:pStyle w:val="724"/>
        <w:ind w:firstLine="420"/>
        <w:spacing w:line="360" w:lineRule="auto"/>
        <w:tabs>
          <w:tab w:val="left" w:pos="1020" w:leader="none"/>
        </w:tabs>
        <w:rPr>
          <w:highlight w:val="none"/>
        </w:rPr>
      </w:pPr>
      <w:r>
        <w:rPr>
          <w:rFonts w:hint="eastAsia"/>
          <w:highlight w:val="none"/>
        </w:rPr>
        <w:t xml:space="preserve">25.1采购人应当自中标通知书发出之日起 30 日内，按照招标文件和中标人投标文件的规定与中标人签订书面合同。所签订的合同不得对招标文件确定事项和中标人投标文件作实质性修改。</w:t>
      </w:r>
      <w:r/>
    </w:p>
    <w:p>
      <w:pPr>
        <w:pStyle w:val="724"/>
        <w:ind w:firstLine="420"/>
        <w:spacing w:line="360" w:lineRule="auto"/>
        <w:tabs>
          <w:tab w:val="left" w:pos="1020" w:leader="none"/>
        </w:tabs>
        <w:rPr>
          <w:highlight w:val="none"/>
        </w:rPr>
      </w:pPr>
      <w:r>
        <w:rPr>
          <w:rFonts w:hint="eastAsia"/>
          <w:highlight w:val="none"/>
        </w:rPr>
        <w:t xml:space="preserve">25.2采购人不得向中标人提出任何不合理的要求作为签订合同的条件，不得与中标人私下订立背离合同实质性内容的协议。</w:t>
      </w:r>
      <w:r/>
    </w:p>
    <w:p>
      <w:pPr>
        <w:pStyle w:val="724"/>
        <w:ind w:firstLine="420"/>
        <w:spacing w:line="360" w:lineRule="auto"/>
        <w:tabs>
          <w:tab w:val="left" w:pos="1020" w:leader="none"/>
        </w:tabs>
        <w:rPr>
          <w:highlight w:val="none"/>
        </w:rPr>
      </w:pPr>
      <w:r>
        <w:rPr>
          <w:rFonts w:hint="eastAsia"/>
          <w:highlight w:val="none"/>
        </w:rPr>
        <w:t xml:space="preserve">25.3中标人拒绝与采购人签订合同，或因不可抗力或者自身原因不能履行政府采购合同的，采购人可以按照评审报告推荐的中标候选人名单排序，确定下一候选人为中标人，也可以重新开展政府采购活动。</w:t>
      </w:r>
      <w:r/>
    </w:p>
    <w:p>
      <w:pPr>
        <w:pStyle w:val="724"/>
        <w:ind w:firstLine="420"/>
        <w:spacing w:line="360" w:lineRule="auto"/>
        <w:tabs>
          <w:tab w:val="left" w:pos="1020" w:leader="none"/>
        </w:tabs>
        <w:rPr>
          <w:highlight w:val="none"/>
        </w:rPr>
      </w:pPr>
      <w:r>
        <w:rPr>
          <w:rFonts w:hint="eastAsia"/>
          <w:highlight w:val="none"/>
        </w:rPr>
        <w:t xml:space="preserve">25.4采购合同履行中，采购人需追加与合同标的相同货物的，在不改变合同其他条款的前提下，可以与</w:t>
      </w:r>
      <w:r>
        <w:rPr>
          <w:rFonts w:hint="eastAsia"/>
          <w:highlight w:val="none"/>
          <w:lang w:val="en-US"/>
        </w:rPr>
        <w:t xml:space="preserve">供应商</w:t>
      </w:r>
      <w:r>
        <w:rPr>
          <w:rFonts w:hint="eastAsia"/>
          <w:highlight w:val="none"/>
        </w:rPr>
        <w:t xml:space="preserve">协商签订补充合同，但所有补充合同的采购金额不得超过原合同采购金额的百分之十。</w:t>
      </w:r>
      <w:r/>
    </w:p>
    <w:p>
      <w:pPr>
        <w:pStyle w:val="724"/>
        <w:ind w:firstLine="422"/>
        <w:spacing w:line="360" w:lineRule="auto"/>
        <w:tabs>
          <w:tab w:val="left" w:pos="963" w:leader="none"/>
        </w:tabs>
        <w:rPr>
          <w:b/>
          <w:highlight w:val="none"/>
        </w:rPr>
      </w:pPr>
      <w:r>
        <w:rPr>
          <w:rFonts w:hint="eastAsia"/>
          <w:b/>
          <w:highlight w:val="none"/>
        </w:rPr>
        <w:t xml:space="preserve">六、询问、质疑、投诉和诚实信用</w:t>
      </w:r>
      <w:r/>
    </w:p>
    <w:p>
      <w:pPr>
        <w:pStyle w:val="724"/>
        <w:ind w:firstLine="422"/>
        <w:spacing w:line="360" w:lineRule="auto"/>
        <w:tabs>
          <w:tab w:val="left" w:pos="962" w:leader="none"/>
        </w:tabs>
        <w:rPr>
          <w:b/>
          <w:highlight w:val="none"/>
        </w:rPr>
      </w:pPr>
      <w:r>
        <w:rPr>
          <w:rFonts w:hint="eastAsia"/>
          <w:b/>
          <w:highlight w:val="none"/>
        </w:rPr>
        <w:t xml:space="preserve">26、询问</w:t>
      </w:r>
      <w:r/>
    </w:p>
    <w:p>
      <w:pPr>
        <w:pStyle w:val="724"/>
        <w:ind w:firstLine="420"/>
        <w:spacing w:line="360" w:lineRule="auto"/>
        <w:rPr>
          <w:b/>
          <w:highlight w:val="none"/>
        </w:rPr>
      </w:pPr>
      <w:r>
        <w:rPr>
          <w:rFonts w:hint="eastAsia"/>
          <w:highlight w:val="none"/>
        </w:rPr>
        <w:t xml:space="preserve">26.1</w:t>
      </w:r>
      <w:r>
        <w:rPr>
          <w:rFonts w:hint="eastAsia"/>
          <w:highlight w:val="none"/>
          <w:lang w:val="en-US"/>
        </w:rPr>
        <w:t xml:space="preserve">供应商</w:t>
      </w:r>
      <w:r>
        <w:rPr>
          <w:rFonts w:hint="eastAsia"/>
          <w:highlight w:val="none"/>
        </w:rPr>
        <w:t xml:space="preserve">对招标活动事项有疑问的，可以向招标代理或采购人提出询问，招标代理或采购人将在两个工作日内作出答复，但答复的内容不涉及商业秘密</w:t>
      </w:r>
      <w:r>
        <w:rPr>
          <w:rFonts w:hint="eastAsia"/>
          <w:b/>
          <w:highlight w:val="none"/>
        </w:rPr>
        <w:t xml:space="preserve">。</w:t>
      </w:r>
      <w:r/>
    </w:p>
    <w:p>
      <w:pPr>
        <w:pStyle w:val="724"/>
        <w:ind w:firstLine="422"/>
        <w:spacing w:line="360" w:lineRule="auto"/>
        <w:tabs>
          <w:tab w:val="left" w:pos="962" w:leader="none"/>
        </w:tabs>
        <w:rPr>
          <w:b/>
          <w:highlight w:val="none"/>
        </w:rPr>
      </w:pPr>
      <w:r>
        <w:rPr>
          <w:rFonts w:hint="eastAsia"/>
          <w:b/>
          <w:highlight w:val="none"/>
        </w:rPr>
        <w:t xml:space="preserve">27、质疑</w:t>
      </w:r>
      <w:r/>
    </w:p>
    <w:p>
      <w:pPr>
        <w:pStyle w:val="724"/>
        <w:ind w:firstLine="420"/>
        <w:spacing w:line="360" w:lineRule="auto"/>
        <w:tabs>
          <w:tab w:val="left" w:pos="1020" w:leader="none"/>
        </w:tabs>
        <w:rPr>
          <w:highlight w:val="none"/>
        </w:rPr>
      </w:pPr>
      <w:r>
        <w:rPr>
          <w:rFonts w:hint="eastAsia"/>
          <w:highlight w:val="none"/>
        </w:rPr>
        <w:t xml:space="preserve">27.1</w:t>
      </w:r>
      <w:r>
        <w:rPr>
          <w:rFonts w:hint="eastAsia"/>
          <w:highlight w:val="none"/>
          <w:lang w:val="en-US"/>
        </w:rPr>
        <w:t xml:space="preserve">供应商</w:t>
      </w:r>
      <w:r>
        <w:rPr>
          <w:rFonts w:hint="eastAsia"/>
          <w:highlight w:val="none"/>
        </w:rPr>
        <w:t xml:space="preserve">认为采购文件、采购过程和中标结果使自己的合法权益受到损害的，可以在知道或者应当知道其权益受到损害之日起七个工作日内，将质疑文件原件以书面形式送达招标代理。</w:t>
      </w:r>
      <w:r/>
    </w:p>
    <w:p>
      <w:pPr>
        <w:pStyle w:val="724"/>
        <w:ind w:firstLine="420"/>
        <w:spacing w:line="360" w:lineRule="auto"/>
        <w:tabs>
          <w:tab w:val="left" w:pos="1020" w:leader="none"/>
        </w:tabs>
        <w:rPr>
          <w:highlight w:val="none"/>
        </w:rPr>
      </w:pPr>
      <w:r>
        <w:rPr>
          <w:rFonts w:hint="eastAsia"/>
          <w:highlight w:val="none"/>
        </w:rPr>
        <w:t xml:space="preserve">27.2</w:t>
      </w:r>
      <w:r>
        <w:rPr>
          <w:rFonts w:hint="eastAsia"/>
          <w:highlight w:val="none"/>
          <w:lang w:val="en-US"/>
        </w:rPr>
        <w:t xml:space="preserve">供应商</w:t>
      </w:r>
      <w:r>
        <w:rPr>
          <w:rFonts w:hint="eastAsia"/>
          <w:highlight w:val="none"/>
        </w:rPr>
        <w:t xml:space="preserve">质疑行为应符合财政部94号令相关规定，未参加投标活动的</w:t>
      </w:r>
      <w:r>
        <w:rPr>
          <w:rFonts w:hint="eastAsia"/>
          <w:highlight w:val="none"/>
          <w:lang w:val="en-US"/>
        </w:rPr>
        <w:t xml:space="preserve">供应商</w:t>
      </w:r>
      <w:r>
        <w:rPr>
          <w:rFonts w:hint="eastAsia"/>
          <w:highlight w:val="none"/>
        </w:rPr>
        <w:t xml:space="preserve">或在投标活动中自身权益未受到损害的</w:t>
      </w:r>
      <w:r>
        <w:rPr>
          <w:rFonts w:hint="eastAsia"/>
          <w:highlight w:val="none"/>
          <w:lang w:val="en-US"/>
        </w:rPr>
        <w:t xml:space="preserve">供应商</w:t>
      </w:r>
      <w:r>
        <w:rPr>
          <w:rFonts w:hint="eastAsia"/>
          <w:highlight w:val="none"/>
        </w:rPr>
        <w:t xml:space="preserve">所提出的质疑不予受理。</w:t>
      </w:r>
      <w:r/>
    </w:p>
    <w:p>
      <w:pPr>
        <w:pStyle w:val="724"/>
        <w:ind w:firstLine="420"/>
        <w:spacing w:line="360" w:lineRule="auto"/>
        <w:tabs>
          <w:tab w:val="left" w:pos="1020" w:leader="none"/>
        </w:tabs>
        <w:rPr>
          <w:highlight w:val="none"/>
        </w:rPr>
      </w:pPr>
      <w:r>
        <w:rPr>
          <w:rFonts w:hint="eastAsia"/>
          <w:highlight w:val="none"/>
        </w:rPr>
        <w:t xml:space="preserve">27.3上述应知其权益受到损害之日是指：</w:t>
      </w:r>
      <w:r/>
    </w:p>
    <w:p>
      <w:pPr>
        <w:pStyle w:val="724"/>
        <w:ind w:firstLine="420"/>
        <w:spacing w:line="360" w:lineRule="auto"/>
        <w:tabs>
          <w:tab w:val="left" w:pos="1080" w:leader="none"/>
        </w:tabs>
        <w:rPr>
          <w:highlight w:val="none"/>
        </w:rPr>
      </w:pPr>
      <w:r>
        <w:rPr>
          <w:rFonts w:hint="eastAsia"/>
          <w:highlight w:val="none"/>
        </w:rPr>
        <w:t xml:space="preserve">（1）对招标文件提出质疑的，</w:t>
      </w:r>
      <w:r>
        <w:rPr>
          <w:rFonts w:hint="eastAsia"/>
          <w:highlight w:val="none"/>
          <w:lang w:val="en-US"/>
        </w:rPr>
        <w:t xml:space="preserve">自</w:t>
      </w:r>
      <w:r>
        <w:rPr>
          <w:rFonts w:hint="eastAsia"/>
          <w:highlight w:val="none"/>
        </w:rPr>
        <w:t xml:space="preserve">收到</w:t>
      </w:r>
      <w:r>
        <w:rPr>
          <w:rFonts w:hint="eastAsia"/>
          <w:highlight w:val="none"/>
          <w:lang w:val="en-US"/>
        </w:rPr>
        <w:t xml:space="preserve">招标</w:t>
      </w:r>
      <w:r>
        <w:rPr>
          <w:rFonts w:hint="eastAsia"/>
          <w:highlight w:val="none"/>
        </w:rPr>
        <w:t xml:space="preserve">文件之日或者招标文件公告期限届满之日起计算；</w:t>
      </w:r>
      <w:r/>
    </w:p>
    <w:p>
      <w:pPr>
        <w:pStyle w:val="724"/>
        <w:ind w:firstLine="420"/>
        <w:spacing w:line="360" w:lineRule="auto"/>
        <w:tabs>
          <w:tab w:val="left" w:pos="1080" w:leader="none"/>
        </w:tabs>
        <w:rPr>
          <w:highlight w:val="none"/>
        </w:rPr>
      </w:pPr>
      <w:r>
        <w:rPr>
          <w:rFonts w:hint="eastAsia"/>
          <w:highlight w:val="none"/>
        </w:rPr>
        <w:t xml:space="preserve">（2）对采购过程提出质疑的，自采购程序环节结束之日起计算；</w:t>
      </w:r>
      <w:r/>
    </w:p>
    <w:p>
      <w:pPr>
        <w:pStyle w:val="724"/>
        <w:ind w:firstLine="420"/>
        <w:spacing w:line="360" w:lineRule="auto"/>
        <w:tabs>
          <w:tab w:val="left" w:pos="1080" w:leader="none"/>
        </w:tabs>
        <w:rPr>
          <w:highlight w:val="none"/>
        </w:rPr>
      </w:pPr>
      <w:r>
        <w:rPr>
          <w:rFonts w:hint="eastAsia"/>
          <w:highlight w:val="none"/>
        </w:rPr>
        <w:t xml:space="preserve">（3）对中标结果提出质疑的，自中标结果公告期限届满之日起计算。</w:t>
      </w:r>
      <w:r/>
    </w:p>
    <w:p>
      <w:pPr>
        <w:pStyle w:val="724"/>
        <w:ind w:firstLine="420"/>
        <w:spacing w:line="360" w:lineRule="auto"/>
        <w:tabs>
          <w:tab w:val="left" w:pos="1020" w:leader="none"/>
        </w:tabs>
        <w:rPr>
          <w:highlight w:val="none"/>
        </w:rPr>
      </w:pPr>
      <w:r>
        <w:rPr>
          <w:rFonts w:hint="eastAsia"/>
          <w:highlight w:val="none"/>
        </w:rPr>
        <w:t xml:space="preserve">27.4质疑</w:t>
      </w:r>
      <w:r>
        <w:rPr>
          <w:rFonts w:hint="eastAsia"/>
          <w:highlight w:val="none"/>
          <w:lang w:val="en-US"/>
        </w:rPr>
        <w:t xml:space="preserve">供应商</w:t>
      </w:r>
      <w:r>
        <w:rPr>
          <w:rFonts w:hint="eastAsia"/>
          <w:highlight w:val="none"/>
        </w:rPr>
        <w:t xml:space="preserve">在法定质疑期内应当一次性提出针对同一招标环节的质疑事项。</w:t>
      </w:r>
      <w:r>
        <w:rPr>
          <w:rFonts w:hint="eastAsia"/>
          <w:highlight w:val="none"/>
          <w:lang w:val="en-US"/>
        </w:rPr>
        <w:t xml:space="preserve">供应商</w:t>
      </w:r>
      <w:r>
        <w:rPr>
          <w:rFonts w:hint="eastAsia"/>
          <w:highlight w:val="none"/>
        </w:rPr>
        <w:t xml:space="preserve">如在法定期限内对同一采购程序环节提出多次质疑的，采购人或采购代理机构将只对</w:t>
      </w:r>
      <w:r>
        <w:rPr>
          <w:rFonts w:hint="eastAsia"/>
          <w:highlight w:val="none"/>
          <w:lang w:val="en-US"/>
        </w:rPr>
        <w:t xml:space="preserve">供应商</w:t>
      </w:r>
      <w:r>
        <w:rPr>
          <w:rFonts w:hint="eastAsia"/>
          <w:highlight w:val="none"/>
        </w:rPr>
        <w:t xml:space="preserve">第一次质疑作出答复。</w:t>
      </w:r>
      <w:r/>
    </w:p>
    <w:p>
      <w:pPr>
        <w:pStyle w:val="724"/>
        <w:ind w:firstLine="420"/>
        <w:spacing w:line="360" w:lineRule="auto"/>
        <w:tabs>
          <w:tab w:val="left" w:pos="1020" w:leader="none"/>
        </w:tabs>
        <w:rPr>
          <w:highlight w:val="none"/>
        </w:rPr>
      </w:pPr>
      <w:r>
        <w:rPr>
          <w:rFonts w:hint="eastAsia"/>
          <w:highlight w:val="none"/>
        </w:rPr>
        <w:t xml:space="preserve">27.5代理机构在收到</w:t>
      </w:r>
      <w:r>
        <w:rPr>
          <w:rFonts w:hint="eastAsia"/>
          <w:highlight w:val="none"/>
          <w:lang w:val="en-US"/>
        </w:rPr>
        <w:t xml:space="preserve">供应商</w:t>
      </w:r>
      <w:r>
        <w:rPr>
          <w:rFonts w:hint="eastAsia"/>
          <w:highlight w:val="none"/>
        </w:rPr>
        <w:t xml:space="preserve">的质疑后将及时组织调查核实，在七个工作日内作出答复，答复的内容不涉及商业秘密。</w:t>
      </w:r>
      <w:r/>
    </w:p>
    <w:p>
      <w:pPr>
        <w:pStyle w:val="724"/>
        <w:ind w:firstLine="420"/>
        <w:spacing w:line="360" w:lineRule="auto"/>
        <w:tabs>
          <w:tab w:val="left" w:pos="1020" w:leader="none"/>
        </w:tabs>
        <w:rPr>
          <w:highlight w:val="none"/>
        </w:rPr>
      </w:pPr>
      <w:r>
        <w:rPr>
          <w:rFonts w:hint="eastAsia"/>
          <w:highlight w:val="none"/>
        </w:rPr>
        <w:t xml:space="preserve">27.6代理机构遵循“谁过错谁负担”的原则，有过错的一方承担调查论证费用。</w:t>
      </w:r>
      <w:r/>
    </w:p>
    <w:p>
      <w:pPr>
        <w:pStyle w:val="724"/>
        <w:ind w:firstLine="422"/>
        <w:spacing w:line="360" w:lineRule="auto"/>
        <w:tabs>
          <w:tab w:val="left" w:pos="962" w:leader="none"/>
        </w:tabs>
        <w:rPr>
          <w:b/>
          <w:highlight w:val="none"/>
        </w:rPr>
      </w:pPr>
      <w:r>
        <w:rPr>
          <w:rFonts w:hint="eastAsia"/>
          <w:b/>
          <w:highlight w:val="none"/>
        </w:rPr>
        <w:t xml:space="preserve">28、投诉</w:t>
      </w:r>
      <w:r/>
    </w:p>
    <w:p>
      <w:pPr>
        <w:pStyle w:val="724"/>
        <w:ind w:firstLine="420"/>
        <w:spacing w:line="360" w:lineRule="auto"/>
        <w:rPr>
          <w:highlight w:val="none"/>
        </w:rPr>
      </w:pPr>
      <w:r>
        <w:rPr>
          <w:rFonts w:hint="eastAsia"/>
          <w:highlight w:val="none"/>
        </w:rPr>
        <w:t xml:space="preserve">28.1质疑</w:t>
      </w:r>
      <w:r>
        <w:rPr>
          <w:rFonts w:hint="eastAsia"/>
          <w:highlight w:val="none"/>
          <w:lang w:val="en-US"/>
        </w:rPr>
        <w:t xml:space="preserve">供应商</w:t>
      </w:r>
      <w:r>
        <w:rPr>
          <w:rFonts w:hint="eastAsia"/>
          <w:highlight w:val="none"/>
        </w:rPr>
        <w:t xml:space="preserve">对招标代理的答复不满意，或招标代理未在规定的时间内作出答复的，可以在答复期满后</w:t>
      </w:r>
      <w:r>
        <w:rPr>
          <w:rFonts w:hint="eastAsia"/>
          <w:b/>
          <w:highlight w:val="none"/>
        </w:rPr>
        <w:t xml:space="preserve">十五个工作日内</w:t>
      </w:r>
      <w:r>
        <w:rPr>
          <w:rFonts w:hint="eastAsia"/>
          <w:highlight w:val="none"/>
        </w:rPr>
        <w:t xml:space="preserve">向采购项目采购部门投诉。</w:t>
      </w:r>
      <w:r/>
    </w:p>
    <w:p>
      <w:pPr>
        <w:pStyle w:val="724"/>
        <w:ind w:firstLine="422"/>
        <w:spacing w:line="360" w:lineRule="auto"/>
        <w:tabs>
          <w:tab w:val="left" w:pos="962" w:leader="none"/>
        </w:tabs>
        <w:rPr>
          <w:b/>
          <w:highlight w:val="none"/>
        </w:rPr>
      </w:pPr>
      <w:r>
        <w:rPr>
          <w:rFonts w:hint="eastAsia"/>
          <w:b/>
          <w:highlight w:val="none"/>
        </w:rPr>
        <w:t xml:space="preserve">29、诚实信用</w:t>
      </w:r>
      <w:r/>
    </w:p>
    <w:p>
      <w:pPr>
        <w:pStyle w:val="724"/>
        <w:ind w:firstLine="420"/>
        <w:spacing w:line="360" w:lineRule="auto"/>
        <w:tabs>
          <w:tab w:val="left" w:pos="1020" w:leader="none"/>
        </w:tabs>
        <w:rPr>
          <w:highlight w:val="none"/>
        </w:rPr>
      </w:pPr>
      <w:r>
        <w:rPr>
          <w:rFonts w:hint="eastAsia"/>
          <w:highlight w:val="none"/>
        </w:rPr>
        <w:t xml:space="preserve">29.1</w:t>
      </w:r>
      <w:r>
        <w:rPr>
          <w:rFonts w:hint="eastAsia"/>
          <w:highlight w:val="none"/>
          <w:lang w:val="en-US"/>
        </w:rPr>
        <w:t xml:space="preserve">供应商</w:t>
      </w:r>
      <w:r>
        <w:rPr>
          <w:rFonts w:hint="eastAsia"/>
          <w:highlight w:val="none"/>
        </w:rPr>
        <w:t xml:space="preserve">之间不得相互串通投标报价，不得妨碍其他</w:t>
      </w:r>
      <w:r>
        <w:rPr>
          <w:rFonts w:hint="eastAsia"/>
          <w:highlight w:val="none"/>
          <w:lang w:val="en-US"/>
        </w:rPr>
        <w:t xml:space="preserve">供应商</w:t>
      </w:r>
      <w:r>
        <w:rPr>
          <w:rFonts w:hint="eastAsia"/>
          <w:highlight w:val="none"/>
        </w:rPr>
        <w:t xml:space="preserve">的公平竞争，不得损害采购人和其他</w:t>
      </w:r>
      <w:r>
        <w:rPr>
          <w:rFonts w:hint="eastAsia"/>
          <w:highlight w:val="none"/>
          <w:lang w:val="en-US"/>
        </w:rPr>
        <w:t xml:space="preserve">供应商</w:t>
      </w:r>
      <w:r>
        <w:rPr>
          <w:rFonts w:hint="eastAsia"/>
          <w:highlight w:val="none"/>
        </w:rPr>
        <w:t xml:space="preserve">的合法权益。</w:t>
      </w:r>
      <w:r/>
    </w:p>
    <w:p>
      <w:pPr>
        <w:pStyle w:val="724"/>
        <w:ind w:firstLine="420"/>
        <w:spacing w:line="360" w:lineRule="auto"/>
        <w:tabs>
          <w:tab w:val="left" w:pos="1020" w:leader="none"/>
        </w:tabs>
        <w:rPr>
          <w:highlight w:val="none"/>
        </w:rPr>
      </w:pPr>
      <w:r>
        <w:rPr>
          <w:rFonts w:hint="eastAsia"/>
          <w:highlight w:val="none"/>
        </w:rPr>
        <w:t xml:space="preserve">29.2</w:t>
      </w:r>
      <w:r>
        <w:rPr>
          <w:rFonts w:hint="eastAsia"/>
          <w:highlight w:val="none"/>
          <w:lang w:val="en-US"/>
        </w:rPr>
        <w:t xml:space="preserve">供应商</w:t>
      </w:r>
      <w:r>
        <w:rPr>
          <w:rFonts w:hint="eastAsia"/>
          <w:highlight w:val="none"/>
        </w:rPr>
        <w:t xml:space="preserve">不得以向招标代理工作人员、评标委员会成员行贿或者采取其他不正当手段谋取中标。经查实</w:t>
      </w:r>
      <w:r>
        <w:rPr>
          <w:rFonts w:hint="eastAsia"/>
          <w:highlight w:val="none"/>
          <w:lang w:val="en-US"/>
        </w:rPr>
        <w:t xml:space="preserve">供应商</w:t>
      </w:r>
      <w:r>
        <w:rPr>
          <w:rFonts w:hint="eastAsia"/>
          <w:highlight w:val="none"/>
        </w:rPr>
        <w:t xml:space="preserve">有此行为的，政府采购管理部门将</w:t>
      </w:r>
      <w:r>
        <w:rPr>
          <w:rFonts w:hint="eastAsia"/>
          <w:highlight w:val="none"/>
          <w:lang w:val="en-US"/>
        </w:rPr>
        <w:t xml:space="preserve">供应商</w:t>
      </w:r>
      <w:r>
        <w:rPr>
          <w:rFonts w:hint="eastAsia"/>
          <w:highlight w:val="none"/>
        </w:rPr>
        <w:t xml:space="preserve">列入不良行为记录名单，按照《中华人民共和国政府采购法》有关规定处理。</w:t>
      </w:r>
      <w:r/>
    </w:p>
    <w:p>
      <w:pPr>
        <w:pStyle w:val="724"/>
        <w:ind w:firstLine="420"/>
        <w:spacing w:line="360" w:lineRule="auto"/>
        <w:tabs>
          <w:tab w:val="left" w:pos="1020" w:leader="none"/>
        </w:tabs>
        <w:rPr>
          <w:highlight w:val="none"/>
        </w:rPr>
      </w:pPr>
      <w:r>
        <w:rPr>
          <w:rFonts w:hint="eastAsia"/>
          <w:highlight w:val="none"/>
        </w:rPr>
        <w:t xml:space="preserve">29.3</w:t>
      </w:r>
      <w:r>
        <w:rPr>
          <w:rFonts w:hint="eastAsia"/>
          <w:highlight w:val="none"/>
          <w:lang w:val="en-US"/>
        </w:rPr>
        <w:t xml:space="preserve">供应商</w:t>
      </w:r>
      <w:r>
        <w:rPr>
          <w:rFonts w:hint="eastAsia"/>
          <w:highlight w:val="none"/>
        </w:rPr>
        <w:t xml:space="preserve">提出书面质疑必须有理、有据，不得虚假质疑和恶意质疑，并对质疑内容的真实性承担责任。一经查实，招标代理有权依据政府采购的有关规定，报请政府采购监管部门对该</w:t>
      </w:r>
      <w:r>
        <w:rPr>
          <w:rFonts w:hint="eastAsia"/>
          <w:highlight w:val="none"/>
          <w:lang w:val="en-US"/>
        </w:rPr>
        <w:t xml:space="preserve">供应商</w:t>
      </w:r>
      <w:r>
        <w:rPr>
          <w:rFonts w:hint="eastAsia"/>
          <w:highlight w:val="none"/>
        </w:rPr>
        <w:t xml:space="preserve">进行相应的行政处罚并在网站上予以公示。如果</w:t>
      </w:r>
      <w:r>
        <w:rPr>
          <w:rFonts w:hint="eastAsia"/>
          <w:highlight w:val="none"/>
          <w:lang w:val="en-US"/>
        </w:rPr>
        <w:t xml:space="preserve">供应商</w:t>
      </w:r>
      <w:r>
        <w:rPr>
          <w:rFonts w:hint="eastAsia"/>
          <w:highlight w:val="none"/>
        </w:rPr>
        <w:t xml:space="preserve">或者其他利害关系人通过捏造事实、伪造证明材料等方式提出质疑，干扰政府采购活动正常进行的，属于严重不良行为，招标代理将提请相关部门将其列入不良行为记录名单，并依法予以处罚。</w:t>
      </w:r>
      <w:r/>
    </w:p>
    <w:p>
      <w:pPr>
        <w:pStyle w:val="724"/>
        <w:ind w:firstLine="420"/>
        <w:spacing w:line="360" w:lineRule="auto"/>
        <w:tabs>
          <w:tab w:val="left" w:pos="1020" w:leader="none"/>
        </w:tabs>
        <w:rPr>
          <w:highlight w:val="none"/>
        </w:rPr>
      </w:pPr>
      <w:r>
        <w:rPr>
          <w:rFonts w:hint="eastAsia"/>
          <w:highlight w:val="none"/>
        </w:rPr>
        <w:t xml:space="preserve">29.4</w:t>
      </w:r>
      <w:r>
        <w:rPr>
          <w:rFonts w:hint="eastAsia"/>
          <w:highlight w:val="none"/>
          <w:lang w:val="en-US"/>
        </w:rPr>
        <w:t xml:space="preserve">供应商</w:t>
      </w:r>
      <w:r>
        <w:rPr>
          <w:rFonts w:hint="eastAsia"/>
          <w:highlight w:val="none"/>
        </w:rPr>
        <w:t xml:space="preserve">不得虚假承诺，否则，按照提供虚假材料谋取中标成交处理。</w:t>
      </w:r>
      <w:r/>
    </w:p>
    <w:p>
      <w:pPr>
        <w:pStyle w:val="724"/>
        <w:ind w:firstLine="420"/>
        <w:spacing w:line="360" w:lineRule="auto"/>
        <w:tabs>
          <w:tab w:val="left" w:pos="1020" w:leader="none"/>
        </w:tabs>
        <w:rPr>
          <w:sz w:val="24"/>
          <w:szCs w:val="24"/>
          <w:highlight w:val="none"/>
        </w:rPr>
      </w:pPr>
      <w:r>
        <w:rPr>
          <w:rFonts w:hint="eastAsia"/>
          <w:highlight w:val="none"/>
          <w:lang w:val="en-US"/>
        </w:rPr>
        <w:t xml:space="preserve">29.5供应商</w:t>
      </w:r>
      <w:r>
        <w:rPr>
          <w:rFonts w:hint="eastAsia"/>
          <w:highlight w:val="none"/>
        </w:rPr>
        <w:t xml:space="preserve">应自觉遵守开标、评标纪律，扰乱开标评标现场秩序的，属于失信行为，失信行为将被记入</w:t>
      </w:r>
      <w:r>
        <w:rPr>
          <w:rFonts w:hint="eastAsia"/>
          <w:highlight w:val="none"/>
          <w:lang w:val="en-US"/>
        </w:rPr>
        <w:t xml:space="preserve">供应商</w:t>
      </w:r>
      <w:r>
        <w:rPr>
          <w:rFonts w:hint="eastAsia"/>
          <w:highlight w:val="none"/>
        </w:rPr>
        <w:t xml:space="preserve">诚信档案。</w:t>
      </w:r>
      <w:r/>
    </w:p>
    <w:p>
      <w:pPr>
        <w:jc w:val="center"/>
        <w:rPr>
          <w:sz w:val="28"/>
          <w:szCs w:val="28"/>
          <w:highlight w:val="none"/>
        </w:rPr>
        <w:outlineLvl w:val="0"/>
      </w:pPr>
      <w:r>
        <w:rPr>
          <w:rFonts w:hint="eastAsia"/>
          <w:b/>
          <w:sz w:val="24"/>
          <w:szCs w:val="24"/>
          <w:highlight w:val="none"/>
        </w:rPr>
        <w:br w:type="page" w:clear="all"/>
      </w:r>
      <w:r>
        <w:rPr>
          <w:rFonts w:hint="eastAsia"/>
          <w:b/>
          <w:bCs/>
          <w:sz w:val="28"/>
          <w:szCs w:val="28"/>
          <w:highlight w:val="none"/>
        </w:rPr>
        <w:t xml:space="preserve">第三章</w:t>
      </w:r>
      <w:r>
        <w:rPr>
          <w:rFonts w:hint="eastAsia"/>
          <w:b/>
          <w:bCs/>
          <w:sz w:val="28"/>
          <w:szCs w:val="28"/>
          <w:highlight w:val="none"/>
          <w:lang w:val="en-US"/>
        </w:rPr>
        <w:t xml:space="preserve">  </w:t>
      </w:r>
      <w:r>
        <w:rPr>
          <w:rFonts w:hint="eastAsia"/>
          <w:b/>
          <w:bCs/>
          <w:sz w:val="28"/>
          <w:szCs w:val="28"/>
          <w:highlight w:val="none"/>
        </w:rPr>
        <w:t xml:space="preserve">评标标准</w:t>
      </w:r>
      <w:r/>
    </w:p>
    <w:p>
      <w:pPr>
        <w:contextualSpacing/>
        <w:ind w:firstLine="440"/>
        <w:spacing w:line="360" w:lineRule="auto"/>
        <w:rPr>
          <w:b/>
          <w:highlight w:val="none"/>
        </w:rPr>
      </w:pPr>
      <w:r>
        <w:rPr>
          <w:rFonts w:hint="eastAsia"/>
          <w:highlight w:val="none"/>
        </w:rPr>
        <w:t xml:space="preserve">采用综合评分法，评标结果按评审后得分由高到低顺序排列。得分相同的，按投标报价由低到高顺序排列。得分且投标报价相同的并列。得分且投标报价相同的，按照技术指标优劣顺序排列。投标文件满足招标文件全部实质性要求，且按照评审因素的量化指标评审得分最高的投标人为中标候选人。</w:t>
      </w:r>
      <w:r/>
    </w:p>
    <w:p>
      <w:pPr>
        <w:rPr>
          <w:rFonts w:ascii="Times New Roman" w:hAnsi="Times New Roman" w:cs="Times New Roman"/>
          <w:b/>
          <w:bCs/>
          <w:szCs w:val="21"/>
          <w:highlight w:val="none"/>
        </w:rPr>
      </w:pPr>
      <w:r>
        <w:rPr>
          <w:rFonts w:ascii="Times New Roman" w:hAnsi="Times New Roman" w:cs="Times New Roman"/>
          <w:b/>
          <w:bCs/>
          <w:szCs w:val="21"/>
          <w:highlight w:val="none"/>
        </w:rPr>
        <w:t xml:space="preserve">包1：江苏省环境监控系统二期工程重污染天气监测预报预警系统运维项目—综合分析及常规预报子系统运维</w:t>
      </w:r>
      <w:r/>
    </w:p>
    <w:tbl>
      <w:tblPr>
        <w:tblStyle w:val="7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681"/>
        <w:gridCol w:w="6724"/>
      </w:tblGrid>
      <w:tr>
        <w:trPr>
          <w:jc w:val="center"/>
          <w:trHeight w:val="658"/>
          <w:tblHeader/>
        </w:trPr>
        <w:tc>
          <w:tcPr>
            <w:tcW w:w="783" w:type="pct"/>
            <w:vAlign w:val="center"/>
            <w:textDirection w:val="lrTb"/>
            <w:noWrap w:val="false"/>
          </w:tcPr>
          <w:p>
            <w:pPr>
              <w:jc w:val="center"/>
              <w:spacing w:line="360" w:lineRule="auto"/>
              <w:rPr>
                <w:b/>
                <w:szCs w:val="21"/>
                <w:highlight w:val="none"/>
              </w:rPr>
            </w:pPr>
            <w:r>
              <w:rPr>
                <w:rFonts w:ascii="Times New Roman" w:hAnsi="Times New Roman" w:cs="Times New Roman"/>
                <w:b/>
                <w:szCs w:val="21"/>
                <w:highlight w:val="none"/>
              </w:rPr>
              <w:t xml:space="preserve">评分因素</w:t>
            </w:r>
            <w:r/>
          </w:p>
        </w:tc>
        <w:tc>
          <w:tcPr>
            <w:gridSpan w:val="2"/>
            <w:tcW w:w="4216" w:type="pct"/>
            <w:vAlign w:val="center"/>
            <w:textDirection w:val="lrTb"/>
            <w:noWrap w:val="false"/>
          </w:tcPr>
          <w:p>
            <w:pPr>
              <w:jc w:val="center"/>
              <w:spacing w:line="360" w:lineRule="auto"/>
              <w:rPr>
                <w:b/>
                <w:szCs w:val="21"/>
                <w:highlight w:val="none"/>
              </w:rPr>
            </w:pPr>
            <w:r>
              <w:rPr>
                <w:rFonts w:ascii="Times New Roman" w:hAnsi="Times New Roman" w:cs="Times New Roman"/>
                <w:b/>
                <w:szCs w:val="21"/>
                <w:highlight w:val="none"/>
              </w:rPr>
              <w:t xml:space="preserve">评分标准</w:t>
            </w:r>
            <w:r/>
          </w:p>
        </w:tc>
      </w:tr>
      <w:tr>
        <w:trPr>
          <w:jc w:val="center"/>
          <w:trHeight w:val="585"/>
        </w:trPr>
        <w:tc>
          <w:tcPr>
            <w:tcW w:w="783" w:type="pct"/>
            <w:vAlign w:val="center"/>
            <w:textDirection w:val="lrTb"/>
            <w:noWrap w:val="false"/>
          </w:tcPr>
          <w:p>
            <w:pPr>
              <w:ind w:firstLine="107"/>
              <w:jc w:val="center"/>
              <w:spacing w:line="360" w:lineRule="auto"/>
              <w:rPr>
                <w:szCs w:val="21"/>
                <w:highlight w:val="none"/>
              </w:rPr>
            </w:pPr>
            <w:r>
              <w:rPr>
                <w:rFonts w:ascii="Times New Roman" w:hAnsi="Times New Roman" w:cs="Times New Roman"/>
                <w:bCs/>
                <w:szCs w:val="21"/>
                <w:highlight w:val="none"/>
              </w:rPr>
              <w:t xml:space="preserve">价格</w:t>
            </w:r>
            <w:r/>
          </w:p>
          <w:p>
            <w:pPr>
              <w:jc w:val="center"/>
              <w:spacing w:line="360" w:lineRule="auto"/>
              <w:rPr>
                <w:szCs w:val="21"/>
                <w:highlight w:val="none"/>
              </w:rPr>
            </w:pPr>
            <w:r>
              <w:rPr>
                <w:rFonts w:ascii="Times New Roman" w:hAnsi="Times New Roman" w:cs="Times New Roman"/>
                <w:szCs w:val="21"/>
                <w:highlight w:val="none"/>
              </w:rPr>
              <w:t xml:space="preserve">（15分）</w:t>
            </w:r>
            <w:r/>
          </w:p>
        </w:tc>
        <w:tc>
          <w:tcPr>
            <w:gridSpan w:val="2"/>
            <w:tcW w:w="4216" w:type="pct"/>
            <w:vAlign w:val="center"/>
            <w:textDirection w:val="lrTb"/>
            <w:noWrap w:val="false"/>
          </w:tcPr>
          <w:p>
            <w:pPr>
              <w:spacing w:line="360" w:lineRule="auto"/>
              <w:tabs>
                <w:tab w:val="left" w:pos="8222" w:leader="none"/>
              </w:tabs>
              <w:rPr>
                <w:szCs w:val="21"/>
                <w:highlight w:val="none"/>
              </w:rPr>
            </w:pPr>
            <w:r>
              <w:rPr>
                <w:rFonts w:ascii="Times New Roman" w:hAnsi="Times New Roman" w:cs="Times New Roman"/>
                <w:szCs w:val="21"/>
                <w:highlight w:val="none"/>
              </w:rPr>
              <w:t xml:space="preserve">采用低价优先法计算，即满足招标文件要求报价最低的投标人的评标价为评标基准价，其价格分为满分。其他投标人的价格分统一按照下列公式计算：投标报价得分=（评标基准价/投标报价）×15（小数点保留2位）。</w:t>
            </w:r>
            <w:r/>
          </w:p>
        </w:tc>
      </w:tr>
      <w:tr>
        <w:trPr>
          <w:jc w:val="center"/>
          <w:trHeight w:val="151"/>
        </w:trPr>
        <w:tc>
          <w:tcPr>
            <w:tcW w:w="783" w:type="pct"/>
            <w:vAlign w:val="center"/>
            <w:vMerge w:val="restart"/>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技术</w:t>
            </w:r>
            <w:r/>
          </w:p>
          <w:p>
            <w:pPr>
              <w:jc w:val="center"/>
              <w:spacing w:line="360" w:lineRule="auto"/>
              <w:rPr>
                <w:szCs w:val="21"/>
                <w:highlight w:val="none"/>
              </w:rPr>
            </w:pPr>
            <w:r>
              <w:rPr>
                <w:rFonts w:ascii="Times New Roman" w:hAnsi="Times New Roman" w:cs="Times New Roman"/>
                <w:szCs w:val="21"/>
                <w:highlight w:val="none"/>
              </w:rPr>
              <w:t xml:space="preserve">（50分）</w:t>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运维方案</w:t>
            </w:r>
            <w:r/>
          </w:p>
          <w:p>
            <w:pPr>
              <w:jc w:val="center"/>
              <w:spacing w:line="360" w:lineRule="auto"/>
              <w:rPr>
                <w:szCs w:val="21"/>
                <w:highlight w:val="none"/>
              </w:rPr>
            </w:pPr>
            <w:r>
              <w:rPr>
                <w:rFonts w:ascii="Times New Roman" w:hAnsi="Times New Roman" w:cs="Times New Roman"/>
                <w:szCs w:val="21"/>
                <w:highlight w:val="none"/>
              </w:rPr>
              <w:t xml:space="preserve">（21分）</w:t>
            </w:r>
            <w:r/>
          </w:p>
          <w:p>
            <w:pPr>
              <w:spacing w:line="360" w:lineRule="auto"/>
              <w:rPr>
                <w:szCs w:val="21"/>
                <w:highlight w:val="none"/>
              </w:rPr>
            </w:pPr>
            <w:r>
              <w:rPr>
                <w:szCs w:val="21"/>
                <w:highlight w:val="none"/>
              </w:rPr>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为保障系统日常运维工作的有效开展，细化日常工作任务，针对本项目需求，提供有针对性的运维方案，根据以下几个方面</w:t>
            </w:r>
            <w:r>
              <w:rPr>
                <w:rFonts w:ascii="Times New Roman" w:hAnsi="Times New Roman" w:cs="Times New Roman"/>
                <w:szCs w:val="21"/>
                <w:highlight w:val="none"/>
              </w:rPr>
              <w:t xml:space="preserve">进行综合评审</w:t>
            </w:r>
            <w:r>
              <w:rPr>
                <w:rFonts w:ascii="Times New Roman" w:hAnsi="Times New Roman" w:cs="Times New Roman"/>
                <w:szCs w:val="21"/>
                <w:highlight w:val="none"/>
              </w:rPr>
              <w:t xml:space="preserve">：</w:t>
            </w:r>
            <w:r/>
          </w:p>
          <w:p>
            <w:pPr>
              <w:numPr>
                <w:ilvl w:val="0"/>
                <w:numId w:val="1"/>
              </w:numPr>
              <w:spacing w:line="360" w:lineRule="auto"/>
              <w:rPr>
                <w:szCs w:val="21"/>
                <w:highlight w:val="none"/>
              </w:rPr>
            </w:pPr>
            <w:r>
              <w:rPr>
                <w:rFonts w:ascii="Times New Roman" w:hAnsi="Times New Roman" w:cs="Times New Roman"/>
                <w:szCs w:val="21"/>
                <w:highlight w:val="none"/>
              </w:rPr>
              <w:t xml:space="preserve">运维服务需求的分析：</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投标人提供的运维服务需求的分析与本项目的具体特点和实际需要适应度高，有针对性、可行性强，</w:t>
            </w:r>
            <w:r>
              <w:rPr>
                <w:rFonts w:hint="eastAsia" w:ascii="Times New Roman" w:hAnsi="Times New Roman" w:cs="Times New Roman"/>
                <w:szCs w:val="21"/>
                <w:highlight w:val="none"/>
              </w:rPr>
              <w:t xml:space="preserve">完全满足项目需求，</w:t>
            </w:r>
            <w:r>
              <w:rPr>
                <w:rFonts w:ascii="Times New Roman" w:hAnsi="Times New Roman" w:cs="Times New Roman"/>
                <w:szCs w:val="21"/>
                <w:highlight w:val="none"/>
              </w:rPr>
              <w:t xml:space="preserve">有利于项目实施的，得7分；</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差或未提供的不得分；</w:t>
            </w:r>
            <w:r/>
          </w:p>
          <w:p>
            <w:pPr>
              <w:numPr>
                <w:ilvl w:val="0"/>
                <w:numId w:val="1"/>
              </w:numPr>
              <w:spacing w:line="360" w:lineRule="auto"/>
              <w:rPr>
                <w:szCs w:val="21"/>
                <w:highlight w:val="none"/>
              </w:rPr>
            </w:pPr>
            <w:r>
              <w:rPr>
                <w:rFonts w:ascii="Times New Roman" w:hAnsi="Times New Roman" w:cs="Times New Roman"/>
                <w:szCs w:val="21"/>
                <w:highlight w:val="none"/>
              </w:rPr>
              <w:t xml:space="preserve">系统巡检与维护方案：</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投标人提供的系统巡检与维护方案与本项目的具体特点和实际需要适应度高，有针对性、可行性强，有利于项目实施的，得7分；</w:t>
            </w:r>
            <w:r/>
          </w:p>
          <w:p>
            <w:pPr>
              <w:spacing w:line="360" w:lineRule="auto"/>
              <w:tabs>
                <w:tab w:val="left" w:pos="453" w:leader="none"/>
              </w:tabs>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tabs>
                <w:tab w:val="left" w:pos="453" w:leader="none"/>
              </w:tabs>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差或未提供的不得分；</w:t>
            </w:r>
            <w:r/>
          </w:p>
          <w:p>
            <w:pPr>
              <w:numPr>
                <w:ilvl w:val="0"/>
                <w:numId w:val="1"/>
              </w:numPr>
              <w:spacing w:line="360" w:lineRule="auto"/>
              <w:rPr>
                <w:szCs w:val="21"/>
                <w:highlight w:val="none"/>
              </w:rPr>
            </w:pPr>
            <w:r>
              <w:rPr>
                <w:rFonts w:ascii="Times New Roman" w:hAnsi="Times New Roman" w:cs="Times New Roman"/>
                <w:szCs w:val="21"/>
                <w:highlight w:val="none"/>
              </w:rPr>
              <w:t xml:space="preserve">组织管理方案：</w:t>
            </w:r>
            <w:r/>
          </w:p>
          <w:p>
            <w:pPr>
              <w:spacing w:line="360" w:lineRule="auto"/>
              <w:tabs>
                <w:tab w:val="left" w:pos="453" w:leader="none"/>
              </w:tabs>
              <w:rPr>
                <w:rFonts w:ascii="Times New Roman" w:hAnsi="Times New Roman" w:cs="Times New Roman"/>
                <w:szCs w:val="21"/>
                <w:highlight w:val="none"/>
              </w:rPr>
            </w:pPr>
            <w:r>
              <w:rPr>
                <w:rFonts w:ascii="Times New Roman" w:hAnsi="Times New Roman" w:cs="Times New Roman"/>
                <w:szCs w:val="21"/>
                <w:highlight w:val="none"/>
              </w:rPr>
              <w:t xml:space="preserve">投标人提供的组织管理方案与本项目的具体特点和实际需要适应度高，有针对性、可行性强，有利于项目实施的，得7分；</w:t>
            </w:r>
            <w:r/>
          </w:p>
          <w:p>
            <w:pPr>
              <w:spacing w:line="360" w:lineRule="auto"/>
              <w:tabs>
                <w:tab w:val="left" w:pos="453" w:leader="none"/>
              </w:tabs>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tabs>
                <w:tab w:val="left" w:pos="453" w:leader="none"/>
              </w:tabs>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tabs>
                <w:tab w:val="left" w:pos="453" w:leader="none"/>
              </w:tabs>
              <w:rPr>
                <w:szCs w:val="21"/>
                <w:highlight w:val="none"/>
              </w:rPr>
            </w:pPr>
            <w:r>
              <w:rPr>
                <w:rFonts w:ascii="Times New Roman" w:hAnsi="Times New Roman" w:cs="Times New Roman"/>
                <w:szCs w:val="21"/>
                <w:highlight w:val="none"/>
              </w:rPr>
              <w:t xml:space="preserve">差或未提供的不得分。</w:t>
            </w:r>
            <w:r/>
          </w:p>
        </w:tc>
      </w:tr>
      <w:tr>
        <w:trPr>
          <w:jc w:val="center"/>
          <w:trHeight w:val="2507"/>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高性能计算环境搭建方案</w:t>
            </w:r>
            <w:r/>
          </w:p>
          <w:p>
            <w:pPr>
              <w:jc w:val="center"/>
              <w:spacing w:line="360" w:lineRule="auto"/>
              <w:rPr>
                <w:szCs w:val="21"/>
                <w:highlight w:val="none"/>
              </w:rPr>
            </w:pPr>
            <w:r>
              <w:rPr>
                <w:rFonts w:ascii="Times New Roman" w:hAnsi="Times New Roman" w:cs="Times New Roman"/>
                <w:szCs w:val="21"/>
                <w:highlight w:val="none"/>
              </w:rPr>
              <w:t xml:space="preserve">（8分）</w:t>
            </w:r>
            <w:r/>
          </w:p>
          <w:p>
            <w:pPr>
              <w:jc w:val="center"/>
              <w:spacing w:line="360" w:lineRule="auto"/>
              <w:rPr>
                <w:szCs w:val="21"/>
                <w:highlight w:val="none"/>
              </w:rPr>
            </w:pPr>
            <w:r>
              <w:rPr>
                <w:szCs w:val="21"/>
                <w:highlight w:val="none"/>
              </w:rPr>
            </w:r>
            <w:r/>
          </w:p>
        </w:tc>
        <w:tc>
          <w:tcPr>
            <w:tcW w:w="3372" w:type="pct"/>
            <w:vAlign w:val="center"/>
            <w:textDirection w:val="lrTb"/>
            <w:noWrap w:val="false"/>
          </w:tcPr>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投标人提供的高性能计算环境搭建方案与本项目的具体特点和实际需要适应度高，有针对性、可行性强，有利于项目实施的，得8分；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与本项目的具体特点和实际需要相适应程度较高，有针对性、可行性，符合项目实施要求的，得5分；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与本项目的具体特点以及项目实际需要适应程度不够，总体有待进一步提升和完善的，得2分；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86"/>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bCs/>
                <w:szCs w:val="21"/>
                <w:highlight w:val="none"/>
              </w:rPr>
            </w:pPr>
            <w:r>
              <w:rPr>
                <w:rFonts w:ascii="Times New Roman" w:hAnsi="Times New Roman" w:cs="Times New Roman"/>
                <w:bCs/>
                <w:szCs w:val="21"/>
                <w:highlight w:val="none"/>
              </w:rPr>
              <w:t xml:space="preserve">系统模式调优方案</w:t>
            </w:r>
            <w:r/>
          </w:p>
          <w:p>
            <w:pPr>
              <w:jc w:val="center"/>
              <w:spacing w:line="360" w:lineRule="auto"/>
              <w:rPr>
                <w:szCs w:val="21"/>
                <w:highlight w:val="none"/>
              </w:rPr>
            </w:pPr>
            <w:r>
              <w:rPr>
                <w:rFonts w:ascii="Times New Roman" w:hAnsi="Times New Roman" w:cs="Times New Roman"/>
                <w:bCs/>
                <w:szCs w:val="21"/>
                <w:highlight w:val="none"/>
              </w:rPr>
              <w:t xml:space="preserve">（7分）</w:t>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针对业务工作的需求，预报模式需要通过不断调优来提升系统预报的准确率，根据招标文件要求及投标人提供的模型调优方案进行综合评审，模型调优方案包括但不限于：排放源、气象模式、数值模式版本、物理化学参数化等优化内容。</w:t>
            </w:r>
            <w:r/>
          </w:p>
          <w:p>
            <w:pPr>
              <w:spacing w:line="360" w:lineRule="auto"/>
              <w:rPr>
                <w:szCs w:val="21"/>
                <w:highlight w:val="none"/>
              </w:rPr>
            </w:pPr>
            <w:r>
              <w:rPr>
                <w:rFonts w:ascii="Times New Roman" w:hAnsi="Times New Roman" w:cs="Times New Roman"/>
                <w:szCs w:val="21"/>
                <w:highlight w:val="none"/>
              </w:rPr>
              <w:t xml:space="preserve">方案内容完全满足用户的系统模型调优要求，内容全面，专业性、针对性强的，得7分；</w:t>
            </w:r>
            <w:r/>
          </w:p>
          <w:p>
            <w:pPr>
              <w:spacing w:line="360" w:lineRule="auto"/>
              <w:rPr>
                <w:szCs w:val="21"/>
                <w:highlight w:val="none"/>
              </w:rPr>
            </w:pPr>
            <w:r>
              <w:rPr>
                <w:rFonts w:ascii="Times New Roman" w:hAnsi="Times New Roman" w:cs="Times New Roman"/>
                <w:szCs w:val="21"/>
                <w:highlight w:val="none"/>
              </w:rPr>
              <w:t xml:space="preserve">方案内容基本满足用户的系统模型调优要求，具有专业性、针对性的，得4分；</w:t>
            </w:r>
            <w:r/>
          </w:p>
          <w:p>
            <w:pPr>
              <w:spacing w:line="360" w:lineRule="auto"/>
              <w:rPr>
                <w:szCs w:val="21"/>
                <w:highlight w:val="none"/>
              </w:rPr>
            </w:pPr>
            <w:r>
              <w:rPr>
                <w:rFonts w:ascii="Times New Roman" w:hAnsi="Times New Roman" w:cs="Times New Roman"/>
                <w:szCs w:val="21"/>
                <w:highlight w:val="none"/>
              </w:rPr>
              <w:t xml:space="preserve">方案内容未完全满足用户的系统模型调优要求，专业性、针对性有待改善的，得1分；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应急保障服务方案</w:t>
            </w:r>
            <w:r/>
          </w:p>
          <w:p>
            <w:pPr>
              <w:jc w:val="center"/>
              <w:spacing w:line="360" w:lineRule="auto"/>
              <w:rPr>
                <w:szCs w:val="21"/>
                <w:highlight w:val="none"/>
              </w:rPr>
            </w:pPr>
            <w:r>
              <w:rPr>
                <w:rFonts w:ascii="Times New Roman" w:hAnsi="Times New Roman" w:cs="Times New Roman"/>
                <w:szCs w:val="21"/>
                <w:highlight w:val="none"/>
              </w:rPr>
              <w:t xml:space="preserve">（7分）</w:t>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针对可能出现突发事件以及重大活动保障（重污染应急响应、污染攻坚行动等）的需求，根据招标文件要求及投标人提供的应急保障服务方案进行综合评审：</w:t>
            </w:r>
            <w:r/>
          </w:p>
          <w:p>
            <w:pPr>
              <w:spacing w:line="360" w:lineRule="auto"/>
              <w:rPr>
                <w:szCs w:val="21"/>
                <w:highlight w:val="none"/>
              </w:rPr>
            </w:pPr>
            <w:r>
              <w:rPr>
                <w:rFonts w:ascii="Times New Roman" w:hAnsi="Times New Roman" w:cs="Times New Roman"/>
                <w:szCs w:val="21"/>
                <w:highlight w:val="none"/>
              </w:rPr>
              <w:t xml:space="preserve">应急保障服务方案能充分考虑项目应急需求特点及风险点，内容详细完整，实用性、可行性、针对性强的，得7分；</w:t>
            </w:r>
            <w:r/>
          </w:p>
          <w:p>
            <w:pPr>
              <w:spacing w:line="360" w:lineRule="auto"/>
              <w:rPr>
                <w:szCs w:val="21"/>
                <w:highlight w:val="none"/>
              </w:rPr>
            </w:pPr>
            <w:r>
              <w:rPr>
                <w:rFonts w:ascii="Times New Roman" w:hAnsi="Times New Roman" w:cs="Times New Roman"/>
                <w:szCs w:val="21"/>
                <w:highlight w:val="none"/>
              </w:rPr>
              <w:t xml:space="preserve">应急保障服务方案对项目应急需求特点及风险点理解基本准确，内容完整，具有实用性、可行性、针对性的，得4分；</w:t>
            </w:r>
            <w:r/>
          </w:p>
          <w:p>
            <w:pPr>
              <w:spacing w:line="360" w:lineRule="auto"/>
              <w:rPr>
                <w:szCs w:val="21"/>
                <w:highlight w:val="none"/>
              </w:rPr>
            </w:pPr>
            <w:r>
              <w:rPr>
                <w:rFonts w:ascii="Times New Roman" w:hAnsi="Times New Roman" w:cs="Times New Roman"/>
                <w:szCs w:val="21"/>
                <w:highlight w:val="none"/>
              </w:rPr>
              <w:t xml:space="preserve">应急保障服务方案对项目应急需求特点及风险点的考虑有待提升，实用性、可行性、针对性有待改善的，得1分；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系统安全管理</w:t>
            </w:r>
            <w:r/>
          </w:p>
          <w:p>
            <w:pPr>
              <w:jc w:val="center"/>
              <w:spacing w:line="360" w:lineRule="auto"/>
              <w:rPr>
                <w:szCs w:val="21"/>
                <w:highlight w:val="none"/>
              </w:rPr>
            </w:pPr>
            <w:r>
              <w:rPr>
                <w:rFonts w:ascii="Times New Roman" w:hAnsi="Times New Roman" w:cs="Times New Roman"/>
                <w:szCs w:val="21"/>
                <w:highlight w:val="none"/>
              </w:rPr>
              <w:t xml:space="preserve">方案</w:t>
            </w:r>
            <w:r/>
          </w:p>
          <w:p>
            <w:pPr>
              <w:jc w:val="center"/>
              <w:spacing w:line="360" w:lineRule="auto"/>
              <w:rPr>
                <w:szCs w:val="21"/>
                <w:highlight w:val="none"/>
              </w:rPr>
            </w:pPr>
            <w:r>
              <w:rPr>
                <w:rFonts w:ascii="Times New Roman" w:hAnsi="Times New Roman" w:cs="Times New Roman"/>
                <w:szCs w:val="21"/>
                <w:highlight w:val="none"/>
              </w:rPr>
              <w:t xml:space="preserve">（7分）</w:t>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为确保系统的安全性，预防和减少安全事件的发生，以及提高整体的安全管理水平，根据招标文件要求及投标人提供的系统安全管理方案进行综合评审，系统安全管理方案包括但不限于：系统数据安全维护服务、系统安全管理等内容。</w:t>
            </w:r>
            <w:r/>
          </w:p>
          <w:p>
            <w:pPr>
              <w:spacing w:line="360" w:lineRule="auto"/>
              <w:rPr>
                <w:szCs w:val="21"/>
                <w:highlight w:val="none"/>
              </w:rPr>
            </w:pPr>
            <w:r>
              <w:rPr>
                <w:rFonts w:ascii="Times New Roman" w:hAnsi="Times New Roman" w:cs="Times New Roman"/>
                <w:szCs w:val="21"/>
                <w:highlight w:val="none"/>
              </w:rPr>
              <w:t xml:space="preserve">方案内容充分考虑了系统安全风险，内容丰富、完整，可行性、实用性、针对性强的，得7分；</w:t>
            </w:r>
            <w:r/>
          </w:p>
          <w:p>
            <w:pPr>
              <w:spacing w:line="360" w:lineRule="auto"/>
              <w:rPr>
                <w:szCs w:val="21"/>
                <w:highlight w:val="none"/>
              </w:rPr>
            </w:pPr>
            <w:r>
              <w:rPr>
                <w:rFonts w:ascii="Times New Roman" w:hAnsi="Times New Roman" w:cs="Times New Roman"/>
                <w:szCs w:val="21"/>
                <w:highlight w:val="none"/>
              </w:rPr>
              <w:t xml:space="preserve">方案对系统安全风险理解基本正确，内容基本完整，具有可行性、实用性和针对性强的，得4分；</w:t>
            </w:r>
            <w:r/>
          </w:p>
          <w:p>
            <w:pPr>
              <w:spacing w:line="360" w:lineRule="auto"/>
              <w:rPr>
                <w:szCs w:val="21"/>
                <w:highlight w:val="none"/>
              </w:rPr>
            </w:pPr>
            <w:r>
              <w:rPr>
                <w:rFonts w:ascii="Times New Roman" w:hAnsi="Times New Roman" w:cs="Times New Roman"/>
                <w:szCs w:val="21"/>
                <w:highlight w:val="none"/>
              </w:rPr>
              <w:t xml:space="preserve">方案对系统安全风险理解有待提升，内容不完整，可行性、实用性、针对性有待改善的，得1分；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1077"/>
        </w:trPr>
        <w:tc>
          <w:tcPr>
            <w:tcW w:w="783" w:type="pct"/>
            <w:vAlign w:val="center"/>
            <w:vMerge w:val="restart"/>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商务</w:t>
            </w:r>
            <w:r/>
          </w:p>
          <w:p>
            <w:pPr>
              <w:jc w:val="center"/>
              <w:spacing w:line="360" w:lineRule="auto"/>
              <w:rPr>
                <w:szCs w:val="21"/>
                <w:highlight w:val="none"/>
              </w:rPr>
            </w:pPr>
            <w:r>
              <w:rPr>
                <w:rFonts w:ascii="Times New Roman" w:hAnsi="Times New Roman" w:cs="Times New Roman"/>
                <w:szCs w:val="21"/>
                <w:highlight w:val="none"/>
              </w:rPr>
              <w:t xml:space="preserve">（35分）</w:t>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业绩</w:t>
            </w:r>
            <w:r/>
          </w:p>
          <w:p>
            <w:pPr>
              <w:jc w:val="center"/>
              <w:spacing w:line="360" w:lineRule="auto"/>
              <w:rPr>
                <w:szCs w:val="21"/>
                <w:highlight w:val="none"/>
              </w:rPr>
            </w:pPr>
            <w:r>
              <w:rPr>
                <w:rFonts w:ascii="Times New Roman" w:hAnsi="Times New Roman" w:cs="Times New Roman"/>
                <w:szCs w:val="21"/>
                <w:highlight w:val="none"/>
              </w:rPr>
              <w:t xml:space="preserve">（18分）</w:t>
            </w:r>
            <w:r/>
          </w:p>
        </w:tc>
        <w:tc>
          <w:tcPr>
            <w:tcW w:w="3372" w:type="pct"/>
            <w:vAlign w:val="center"/>
            <w:textDirection w:val="lrTb"/>
            <w:noWrap w:val="false"/>
          </w:tcPr>
          <w:p>
            <w:pPr>
              <w:numPr>
                <w:ilvl w:val="0"/>
                <w:numId w:val="2"/>
              </w:numPr>
              <w:spacing w:line="360" w:lineRule="auto"/>
              <w:rPr>
                <w:szCs w:val="21"/>
                <w:highlight w:val="none"/>
              </w:rPr>
            </w:pPr>
            <w:r>
              <w:rPr>
                <w:rFonts w:ascii="Times New Roman" w:hAnsi="Times New Roman" w:cs="Times New Roman"/>
                <w:szCs w:val="21"/>
                <w:highlight w:val="none"/>
              </w:rPr>
              <w:t xml:space="preserve">投标人自2021年1月1日以来具有空气质量数值模拟或预报系统建设或运维相关项目业绩的，每有1个业绩得2分，本小项最高得12分；</w:t>
            </w:r>
            <w:r/>
          </w:p>
          <w:p>
            <w:pPr>
              <w:numPr>
                <w:ilvl w:val="0"/>
                <w:numId w:val="2"/>
              </w:numPr>
              <w:spacing w:line="360" w:lineRule="auto"/>
              <w:rPr>
                <w:szCs w:val="21"/>
                <w:highlight w:val="none"/>
              </w:rPr>
            </w:pPr>
            <w:r>
              <w:rPr>
                <w:rFonts w:ascii="Times New Roman" w:hAnsi="Times New Roman" w:cs="Times New Roman"/>
                <w:szCs w:val="21"/>
                <w:highlight w:val="none"/>
              </w:rPr>
              <w:t xml:space="preserve">投标人自2021年1月1日以来具有相关技术服务或咨询项目业绩的，每有1个业绩得2分，本小项最高得6分。</w:t>
            </w:r>
            <w:r/>
          </w:p>
          <w:p>
            <w:pPr>
              <w:spacing w:line="360" w:lineRule="auto"/>
              <w:rPr>
                <w:szCs w:val="21"/>
                <w:highlight w:val="none"/>
              </w:rPr>
            </w:pPr>
            <w:r>
              <w:rPr>
                <w:rFonts w:ascii="Times New Roman" w:hAnsi="Times New Roman" w:cs="Times New Roman"/>
                <w:szCs w:val="21"/>
                <w:highlight w:val="none"/>
              </w:rPr>
              <w:t xml:space="preserve">注：</w:t>
            </w:r>
            <w:r/>
          </w:p>
          <w:p>
            <w:pPr>
              <w:spacing w:line="360" w:lineRule="auto"/>
              <w:rPr>
                <w:szCs w:val="21"/>
                <w:highlight w:val="none"/>
              </w:rPr>
            </w:pPr>
            <w:r>
              <w:rPr>
                <w:rFonts w:ascii="Times New Roman" w:hAnsi="Times New Roman" w:cs="Times New Roman"/>
                <w:szCs w:val="21"/>
                <w:highlight w:val="none"/>
              </w:rPr>
              <w:t xml:space="preserve">（1）投标人为上述所提供业绩中的承担单位或参与单位。</w:t>
            </w:r>
            <w:r/>
          </w:p>
          <w:p>
            <w:pPr>
              <w:numPr>
                <w:ilvl w:val="0"/>
                <w:numId w:val="3"/>
              </w:numPr>
              <w:spacing w:line="360" w:lineRule="auto"/>
              <w:rPr>
                <w:szCs w:val="21"/>
                <w:highlight w:val="none"/>
              </w:rPr>
            </w:pPr>
            <w:r>
              <w:rPr>
                <w:rFonts w:ascii="Times New Roman" w:hAnsi="Times New Roman" w:cs="Times New Roman"/>
                <w:szCs w:val="21"/>
                <w:highlight w:val="none"/>
              </w:rPr>
              <w:t xml:space="preserve">投标人提供业绩中标通知书或合同复印件，并加盖投标人公章。</w:t>
            </w:r>
            <w:r/>
          </w:p>
          <w:p>
            <w:pPr>
              <w:numPr>
                <w:ilvl w:val="0"/>
                <w:numId w:val="3"/>
              </w:numPr>
              <w:spacing w:line="360" w:lineRule="auto"/>
              <w:rPr>
                <w:szCs w:val="21"/>
                <w:highlight w:val="none"/>
              </w:rPr>
            </w:pPr>
            <w:r>
              <w:rPr>
                <w:rFonts w:ascii="Times New Roman" w:hAnsi="Times New Roman" w:cs="Times New Roman"/>
                <w:szCs w:val="21"/>
                <w:highlight w:val="none"/>
              </w:rPr>
              <w:t xml:space="preserve">“相关技术服务或咨询项目”是指：预报准确率评估或污染数据分析等项目（不限于大气领域）。</w:t>
            </w:r>
            <w:r/>
          </w:p>
        </w:tc>
      </w:tr>
      <w:tr>
        <w:trPr>
          <w:jc w:val="center"/>
          <w:trHeight w:val="1077"/>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认证证书</w:t>
            </w:r>
            <w:r/>
          </w:p>
          <w:p>
            <w:pPr>
              <w:jc w:val="center"/>
              <w:spacing w:line="360" w:lineRule="auto"/>
              <w:rPr>
                <w:szCs w:val="21"/>
                <w:highlight w:val="none"/>
              </w:rPr>
            </w:pPr>
            <w:r>
              <w:rPr>
                <w:rFonts w:ascii="Times New Roman" w:hAnsi="Times New Roman" w:cs="Times New Roman"/>
                <w:szCs w:val="21"/>
                <w:highlight w:val="none"/>
              </w:rPr>
              <w:t xml:space="preserve">（4分）</w:t>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1.投标人具有有效的信息安全管理体系认证证书的得2分；</w:t>
            </w:r>
            <w:r/>
          </w:p>
          <w:p>
            <w:pPr>
              <w:spacing w:line="360" w:lineRule="auto"/>
              <w:rPr>
                <w:szCs w:val="21"/>
                <w:highlight w:val="none"/>
              </w:rPr>
            </w:pPr>
            <w:r>
              <w:rPr>
                <w:rFonts w:ascii="Times New Roman" w:hAnsi="Times New Roman" w:cs="Times New Roman"/>
                <w:szCs w:val="21"/>
                <w:highlight w:val="none"/>
              </w:rPr>
              <w:t xml:space="preserve">2.投标人具有有效的信息技术服务管理体系认证证书的得2分。</w:t>
            </w:r>
            <w:r/>
          </w:p>
          <w:p>
            <w:pPr>
              <w:spacing w:line="360" w:lineRule="auto"/>
              <w:rPr>
                <w:szCs w:val="21"/>
                <w:highlight w:val="none"/>
              </w:rPr>
            </w:pPr>
            <w:r>
              <w:rPr>
                <w:rFonts w:ascii="Times New Roman" w:hAnsi="Times New Roman" w:cs="Times New Roman"/>
                <w:szCs w:val="21"/>
                <w:highlight w:val="none"/>
              </w:rPr>
              <w:t xml:space="preserve">注：须提供在有效期内的相关体系证书复印件。</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3"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项目组人员技术水平</w:t>
            </w:r>
            <w:r/>
          </w:p>
          <w:p>
            <w:pPr>
              <w:jc w:val="center"/>
              <w:spacing w:line="360" w:lineRule="auto"/>
              <w:rPr>
                <w:szCs w:val="21"/>
                <w:highlight w:val="none"/>
              </w:rPr>
            </w:pPr>
            <w:r>
              <w:rPr>
                <w:rFonts w:ascii="Times New Roman" w:hAnsi="Times New Roman" w:cs="Times New Roman"/>
                <w:szCs w:val="21"/>
                <w:highlight w:val="none"/>
              </w:rPr>
              <w:t xml:space="preserve">（13分）</w:t>
            </w:r>
            <w:r/>
          </w:p>
        </w:tc>
        <w:tc>
          <w:tcPr>
            <w:tcW w:w="3372"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1.项目负责人（1人）具有三年及以上承担过类似的项目管理工作经验（提供项目合同或实施方案或验收报告等材料）</w:t>
            </w:r>
            <w:r>
              <w:rPr>
                <w:rFonts w:hint="eastAsia" w:ascii="Times New Roman" w:hAnsi="Times New Roman" w:cs="Times New Roman"/>
                <w:szCs w:val="21"/>
                <w:highlight w:val="none"/>
              </w:rPr>
              <w:t xml:space="preserve">或者</w:t>
            </w:r>
            <w:r>
              <w:rPr>
                <w:rFonts w:ascii="Times New Roman" w:hAnsi="Times New Roman" w:cs="Times New Roman"/>
                <w:szCs w:val="21"/>
                <w:highlight w:val="none"/>
              </w:rPr>
              <w:t xml:space="preserve">具有计算机或环境或地理或大气类副高及以上职称证书</w:t>
            </w:r>
            <w:r>
              <w:rPr>
                <w:rFonts w:hint="eastAsia" w:ascii="Times New Roman" w:hAnsi="Times New Roman" w:cs="Times New Roman"/>
                <w:szCs w:val="21"/>
                <w:highlight w:val="none"/>
              </w:rPr>
              <w:t xml:space="preserve">得</w:t>
            </w:r>
            <w:r>
              <w:rPr>
                <w:rFonts w:ascii="Times New Roman" w:hAnsi="Times New Roman" w:cs="Times New Roman"/>
                <w:szCs w:val="21"/>
                <w:highlight w:val="none"/>
              </w:rPr>
              <w:t xml:space="preserve">3</w:t>
            </w:r>
            <w:r>
              <w:rPr>
                <w:rFonts w:hint="eastAsia" w:ascii="Times New Roman" w:hAnsi="Times New Roman" w:cs="Times New Roman"/>
                <w:szCs w:val="21"/>
                <w:highlight w:val="none"/>
              </w:rPr>
              <w:t xml:space="preserve">分；否则不得分。</w:t>
            </w:r>
            <w:r/>
          </w:p>
          <w:p>
            <w:pPr>
              <w:spacing w:line="360" w:lineRule="auto"/>
              <w:rPr>
                <w:szCs w:val="21"/>
                <w:highlight w:val="none"/>
              </w:rPr>
            </w:pPr>
            <w:r>
              <w:rPr>
                <w:rFonts w:ascii="Times New Roman" w:hAnsi="Times New Roman" w:cs="Times New Roman"/>
                <w:szCs w:val="21"/>
                <w:highlight w:val="none"/>
              </w:rPr>
              <w:t xml:space="preserve">2.主要项目成员（不包含负责人）中</w:t>
            </w:r>
            <w:r>
              <w:rPr>
                <w:rFonts w:hint="eastAsia" w:ascii="Times New Roman" w:hAnsi="Times New Roman" w:cs="Times New Roman"/>
                <w:szCs w:val="21"/>
                <w:highlight w:val="none"/>
              </w:rPr>
              <w:t xml:space="preserve">至少分别有1名计算机类和1名</w:t>
            </w:r>
            <w:r>
              <w:rPr>
                <w:rFonts w:ascii="Times New Roman" w:hAnsi="Times New Roman" w:cs="Times New Roman"/>
                <w:szCs w:val="21"/>
                <w:highlight w:val="none"/>
              </w:rPr>
              <w:t xml:space="preserve">环境或地理或大气类</w:t>
            </w:r>
            <w:r>
              <w:rPr>
                <w:rFonts w:hint="eastAsia" w:ascii="Times New Roman" w:hAnsi="Times New Roman" w:cs="Times New Roman"/>
                <w:szCs w:val="21"/>
                <w:highlight w:val="none"/>
              </w:rPr>
              <w:t xml:space="preserve">成员（必须拥有相关</w:t>
            </w:r>
            <w:r>
              <w:rPr>
                <w:rFonts w:ascii="Times New Roman" w:hAnsi="Times New Roman" w:cs="Times New Roman"/>
                <w:szCs w:val="21"/>
                <w:highlight w:val="none"/>
              </w:rPr>
              <w:t xml:space="preserve">中级</w:t>
            </w:r>
            <w:r>
              <w:rPr>
                <w:rFonts w:hint="eastAsia" w:ascii="Times New Roman" w:hAnsi="Times New Roman" w:cs="Times New Roman"/>
                <w:szCs w:val="21"/>
                <w:highlight w:val="none"/>
              </w:rPr>
              <w:t xml:space="preserve">及以上职称证书或者硕士及以上学位证书）</w:t>
            </w:r>
            <w:r>
              <w:rPr>
                <w:rFonts w:ascii="Times New Roman" w:hAnsi="Times New Roman" w:cs="Times New Roman"/>
                <w:szCs w:val="21"/>
                <w:highlight w:val="none"/>
              </w:rPr>
              <w:t xml:space="preserve">，</w:t>
            </w:r>
            <w:r>
              <w:rPr>
                <w:rFonts w:hint="eastAsia" w:ascii="Times New Roman" w:hAnsi="Times New Roman" w:cs="Times New Roman"/>
                <w:szCs w:val="21"/>
                <w:highlight w:val="none"/>
              </w:rPr>
              <w:t xml:space="preserve">否则本小项直接0分；</w:t>
            </w:r>
            <w:r>
              <w:rPr>
                <w:rFonts w:ascii="Times New Roman" w:hAnsi="Times New Roman" w:cs="Times New Roman"/>
                <w:szCs w:val="21"/>
                <w:highlight w:val="none"/>
              </w:rPr>
              <w:t xml:space="preserve">每具有1名计算机或环境或地理或大气类副高及以上职称证书或者相关专业博士学位证书的得2分；每具有1名计算机或环境或地理或大气类中级职称证书或者相关专业硕士学位证书的得1分</w:t>
            </w:r>
            <w:r>
              <w:rPr>
                <w:rFonts w:hint="eastAsia" w:ascii="Times New Roman" w:hAnsi="Times New Roman" w:cs="Times New Roman"/>
                <w:szCs w:val="21"/>
                <w:highlight w:val="none"/>
              </w:rPr>
              <w:t xml:space="preserve">；</w:t>
            </w:r>
            <w:r>
              <w:rPr>
                <w:rFonts w:ascii="Times New Roman" w:hAnsi="Times New Roman" w:cs="Times New Roman"/>
                <w:szCs w:val="21"/>
                <w:highlight w:val="none"/>
              </w:rPr>
              <w:t xml:space="preserve">本小项最高得10分。</w:t>
            </w:r>
            <w:r/>
          </w:p>
          <w:p>
            <w:pPr>
              <w:spacing w:line="360" w:lineRule="auto"/>
              <w:rPr>
                <w:szCs w:val="21"/>
                <w:highlight w:val="none"/>
              </w:rPr>
            </w:pPr>
            <w:r>
              <w:rPr>
                <w:rFonts w:ascii="Times New Roman" w:hAnsi="Times New Roman" w:cs="Times New Roman"/>
                <w:szCs w:val="21"/>
                <w:highlight w:val="none"/>
              </w:rPr>
              <w:t xml:space="preserve">注：须提供上述项目组</w:t>
            </w:r>
            <w:r>
              <w:rPr>
                <w:rFonts w:ascii="Times New Roman" w:hAnsi="Times New Roman" w:cs="Times New Roman"/>
                <w:color w:val="000000" w:themeColor="text1"/>
                <w:szCs w:val="21"/>
                <w:highlight w:val="none"/>
                <w14:textFill>
                  <w14:solidFill>
                    <w14:schemeClr w14:val="tx1"/>
                  </w14:solidFill>
                </w14:textFill>
              </w:rPr>
              <w:t xml:space="preserve">人员相关证书复印件和投标人近半年</w:t>
            </w:r>
            <w:r>
              <w:rPr>
                <w:rFonts w:hint="eastAsia" w:ascii="Times New Roman" w:hAnsi="Times New Roman" w:cs="Times New Roman"/>
                <w:color w:val="000000" w:themeColor="text1"/>
                <w:szCs w:val="21"/>
                <w:highlight w:val="none"/>
                <w:lang w:val="en-US"/>
                <w14:textFill>
                  <w14:solidFill>
                    <w14:schemeClr w14:val="tx1"/>
                  </w14:solidFill>
                </w14:textFill>
              </w:rPr>
              <w:t xml:space="preserve">内任意一个月</w:t>
            </w:r>
            <w:r>
              <w:rPr>
                <w:rFonts w:ascii="Times New Roman" w:hAnsi="Times New Roman" w:cs="Times New Roman"/>
                <w:color w:val="000000" w:themeColor="text1"/>
                <w:szCs w:val="21"/>
                <w:highlight w:val="none"/>
                <w14:textFill>
                  <w14:solidFill>
                    <w14:schemeClr w14:val="tx1"/>
                  </w14:solidFill>
                </w14:textFill>
              </w:rPr>
              <w:t xml:space="preserve">为其缴纳社保的</w:t>
            </w:r>
            <w:r>
              <w:rPr>
                <w:rFonts w:ascii="Times New Roman" w:hAnsi="Times New Roman" w:cs="Times New Roman"/>
                <w:szCs w:val="21"/>
                <w:highlight w:val="none"/>
              </w:rPr>
              <w:t xml:space="preserve">证明材料复印件，未提供或未按要求提供的不得分。</w:t>
            </w:r>
            <w:r/>
          </w:p>
        </w:tc>
      </w:tr>
    </w:tbl>
    <w:p>
      <w:pPr>
        <w:rPr>
          <w:rFonts w:ascii="Times New Roman" w:hAnsi="Times New Roman" w:cs="Times New Roman"/>
          <w:b/>
          <w:bCs/>
          <w:szCs w:val="21"/>
          <w:highlight w:val="none"/>
        </w:rPr>
      </w:pPr>
      <w:r>
        <w:rPr>
          <w:rFonts w:ascii="Times New Roman" w:hAnsi="Times New Roman" w:cs="Times New Roman"/>
          <w:b/>
          <w:bCs/>
          <w:szCs w:val="21"/>
          <w:highlight w:val="none"/>
        </w:rPr>
      </w:r>
      <w:r/>
    </w:p>
    <w:p>
      <w:pPr>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t xml:space="preserve">包2：江苏省环境监控系统二期工程重污染天气监测预报预警系统运维项目—精准预警及智慧溯源评估子系统运维</w:t>
      </w:r>
      <w:r/>
    </w:p>
    <w:tbl>
      <w:tblPr>
        <w:tblStyle w:val="7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678"/>
        <w:gridCol w:w="6727"/>
      </w:tblGrid>
      <w:tr>
        <w:trPr>
          <w:jc w:val="center"/>
          <w:trHeight w:val="658"/>
          <w:tblHeader/>
        </w:trPr>
        <w:tc>
          <w:tcPr>
            <w:tcW w:w="783" w:type="pct"/>
            <w:vAlign w:val="center"/>
            <w:textDirection w:val="lrTb"/>
            <w:noWrap w:val="false"/>
          </w:tcPr>
          <w:p>
            <w:pPr>
              <w:jc w:val="center"/>
              <w:spacing w:line="360" w:lineRule="auto"/>
              <w:rPr>
                <w:b/>
                <w:szCs w:val="21"/>
                <w:highlight w:val="none"/>
              </w:rPr>
            </w:pPr>
            <w:r>
              <w:rPr>
                <w:rFonts w:ascii="Times New Roman" w:hAnsi="Times New Roman" w:cs="Times New Roman"/>
                <w:b/>
                <w:szCs w:val="21"/>
                <w:highlight w:val="none"/>
              </w:rPr>
              <w:t xml:space="preserve">评分因素</w:t>
            </w:r>
            <w:r/>
          </w:p>
        </w:tc>
        <w:tc>
          <w:tcPr>
            <w:gridSpan w:val="2"/>
            <w:tcW w:w="4217" w:type="pct"/>
            <w:vAlign w:val="center"/>
            <w:textDirection w:val="lrTb"/>
            <w:noWrap w:val="false"/>
          </w:tcPr>
          <w:p>
            <w:pPr>
              <w:jc w:val="center"/>
              <w:spacing w:line="360" w:lineRule="auto"/>
              <w:rPr>
                <w:b/>
                <w:szCs w:val="21"/>
                <w:highlight w:val="none"/>
              </w:rPr>
            </w:pPr>
            <w:r>
              <w:rPr>
                <w:rFonts w:ascii="Times New Roman" w:hAnsi="Times New Roman" w:cs="Times New Roman"/>
                <w:b/>
                <w:szCs w:val="21"/>
                <w:highlight w:val="none"/>
              </w:rPr>
              <w:t xml:space="preserve">评分标准</w:t>
            </w:r>
            <w:r/>
          </w:p>
        </w:tc>
      </w:tr>
      <w:tr>
        <w:trPr>
          <w:jc w:val="center"/>
          <w:trHeight w:val="585"/>
        </w:trPr>
        <w:tc>
          <w:tcPr>
            <w:tcW w:w="783" w:type="pct"/>
            <w:vAlign w:val="center"/>
            <w:textDirection w:val="lrTb"/>
            <w:noWrap w:val="false"/>
          </w:tcPr>
          <w:p>
            <w:pPr>
              <w:ind w:firstLine="107"/>
              <w:jc w:val="center"/>
              <w:spacing w:line="360" w:lineRule="auto"/>
              <w:rPr>
                <w:szCs w:val="21"/>
                <w:highlight w:val="none"/>
              </w:rPr>
            </w:pPr>
            <w:r>
              <w:rPr>
                <w:rFonts w:ascii="Times New Roman" w:hAnsi="Times New Roman" w:cs="Times New Roman"/>
                <w:bCs/>
                <w:szCs w:val="21"/>
                <w:highlight w:val="none"/>
              </w:rPr>
              <w:t xml:space="preserve">价格</w:t>
            </w:r>
            <w:r/>
          </w:p>
          <w:p>
            <w:pPr>
              <w:jc w:val="center"/>
              <w:spacing w:line="360" w:lineRule="auto"/>
              <w:rPr>
                <w:szCs w:val="21"/>
                <w:highlight w:val="none"/>
              </w:rPr>
            </w:pPr>
            <w:r>
              <w:rPr>
                <w:rFonts w:ascii="Times New Roman" w:hAnsi="Times New Roman" w:cs="Times New Roman"/>
                <w:szCs w:val="21"/>
                <w:highlight w:val="none"/>
              </w:rPr>
              <w:t xml:space="preserve">（15分）</w:t>
            </w:r>
            <w:r/>
          </w:p>
        </w:tc>
        <w:tc>
          <w:tcPr>
            <w:gridSpan w:val="2"/>
            <w:tcW w:w="4217" w:type="pct"/>
            <w:vAlign w:val="center"/>
            <w:textDirection w:val="lrTb"/>
            <w:noWrap w:val="false"/>
          </w:tcPr>
          <w:p>
            <w:pPr>
              <w:spacing w:line="360" w:lineRule="auto"/>
              <w:tabs>
                <w:tab w:val="left" w:pos="8222" w:leader="none"/>
              </w:tabs>
              <w:rPr>
                <w:szCs w:val="21"/>
                <w:highlight w:val="none"/>
              </w:rPr>
            </w:pPr>
            <w:r>
              <w:rPr>
                <w:rFonts w:ascii="Times New Roman" w:hAnsi="Times New Roman" w:cs="Times New Roman"/>
                <w:szCs w:val="21"/>
                <w:highlight w:val="none"/>
              </w:rPr>
              <w:t xml:space="preserve">采用低价优先法计算，即满足招标文件要求报价最低的投标人的评标价为评标基准价，其价格分为满分。其他投标人的价格分统一按照下列公式计算：投标报价得分=（评标基准价/投标报价）×15（小数点保留2位）。</w:t>
            </w:r>
            <w:r/>
          </w:p>
        </w:tc>
      </w:tr>
      <w:tr>
        <w:trPr>
          <w:jc w:val="center"/>
          <w:trHeight w:val="86"/>
        </w:trPr>
        <w:tc>
          <w:tcPr>
            <w:tcW w:w="783" w:type="pct"/>
            <w:vAlign w:val="center"/>
            <w:vMerge w:val="restart"/>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技术</w:t>
            </w:r>
            <w:r/>
          </w:p>
          <w:p>
            <w:pPr>
              <w:jc w:val="center"/>
              <w:spacing w:line="360" w:lineRule="auto"/>
              <w:rPr>
                <w:szCs w:val="21"/>
                <w:highlight w:val="none"/>
              </w:rPr>
            </w:pPr>
            <w:r>
              <w:rPr>
                <w:rFonts w:ascii="Times New Roman" w:hAnsi="Times New Roman" w:cs="Times New Roman"/>
                <w:szCs w:val="21"/>
                <w:highlight w:val="none"/>
              </w:rPr>
              <w:t xml:space="preserve">（50分）</w:t>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运维方案</w:t>
            </w:r>
            <w:r/>
          </w:p>
          <w:p>
            <w:pPr>
              <w:jc w:val="center"/>
              <w:spacing w:line="360" w:lineRule="auto"/>
              <w:rPr>
                <w:szCs w:val="21"/>
                <w:highlight w:val="none"/>
              </w:rPr>
            </w:pPr>
            <w:r>
              <w:rPr>
                <w:rFonts w:ascii="Times New Roman" w:hAnsi="Times New Roman" w:cs="Times New Roman"/>
                <w:szCs w:val="21"/>
                <w:highlight w:val="none"/>
              </w:rPr>
              <w:t xml:space="preserve">（21分）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为保障系统日常运维工作的有效开展，细化日常工作任务，针对本项目需求，提供有针对性的运维方案，根据以下几个方面</w:t>
            </w:r>
            <w:r>
              <w:rPr>
                <w:rFonts w:ascii="Times New Roman" w:hAnsi="Times New Roman" w:cs="Times New Roman"/>
                <w:szCs w:val="21"/>
                <w:highlight w:val="none"/>
              </w:rPr>
              <w:t xml:space="preserve">进行综合评审</w:t>
            </w:r>
            <w:r>
              <w:rPr>
                <w:rFonts w:ascii="Times New Roman" w:hAnsi="Times New Roman" w:cs="Times New Roman"/>
                <w:szCs w:val="21"/>
                <w:highlight w:val="none"/>
              </w:rPr>
              <w:t xml:space="preserve">：</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1.运维服务需求的分析：</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投标人提供的运维服务需求的分析与本项目的具体特点和实际需要适应度高，有针对性、可行性强，</w:t>
            </w:r>
            <w:r>
              <w:rPr>
                <w:rFonts w:hint="eastAsia" w:ascii="Times New Roman" w:hAnsi="Times New Roman" w:cs="Times New Roman"/>
                <w:szCs w:val="21"/>
                <w:highlight w:val="none"/>
              </w:rPr>
              <w:t xml:space="preserve">完全满足项目需求</w:t>
            </w:r>
            <w:r>
              <w:rPr>
                <w:rFonts w:ascii="Times New Roman" w:hAnsi="Times New Roman" w:cs="Times New Roman"/>
                <w:szCs w:val="21"/>
                <w:highlight w:val="none"/>
              </w:rPr>
              <w:t xml:space="preserve">，有利于项目实施的，得7分；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2.系统巡检与维护方案：</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投标人提供的系统巡检与维护方案与本项目的具体特点和实际需要适应度高，有针对性、可行性强，有利于项目实施的，得7分；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3.组织管理方案：</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投标人提供的组织管理方案与本项目的具体特点和实际需要适应度高，有针对性、可行性强，有利于项目实施的，得7分；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与本项目的具体特点和实际需要相适应程度较高，有针对性、可行性，符合项目实施要求的，得4分；</w:t>
            </w:r>
            <w:r/>
          </w:p>
          <w:p>
            <w:pPr>
              <w:spacing w:line="360" w:lineRule="auto"/>
              <w:rPr>
                <w:rFonts w:ascii="Times New Roman" w:hAnsi="Times New Roman" w:cs="Times New Roman"/>
                <w:szCs w:val="21"/>
                <w:highlight w:val="none"/>
              </w:rPr>
            </w:pPr>
            <w:r>
              <w:rPr>
                <w:rFonts w:ascii="Times New Roman" w:hAnsi="Times New Roman" w:cs="Times New Roman"/>
                <w:szCs w:val="21"/>
                <w:highlight w:val="none"/>
              </w:rPr>
              <w:t xml:space="preserve">与本项目的具体特点以及项目实际需要适应程度不够，总体有待进一步提升和完善的，得1分；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1987"/>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vMerge w:val="restart"/>
            <w:textDirection w:val="lrTb"/>
            <w:noWrap w:val="false"/>
          </w:tcPr>
          <w:p>
            <w:pPr>
              <w:jc w:val="center"/>
              <w:spacing w:line="360" w:lineRule="auto"/>
              <w:rPr>
                <w:bCs/>
                <w:szCs w:val="21"/>
                <w:highlight w:val="none"/>
              </w:rPr>
            </w:pPr>
            <w:r>
              <w:rPr>
                <w:rFonts w:ascii="Times New Roman" w:hAnsi="Times New Roman" w:cs="Times New Roman"/>
                <w:bCs/>
                <w:szCs w:val="21"/>
                <w:highlight w:val="none"/>
              </w:rPr>
              <w:t xml:space="preserve">系统模式调优方案</w:t>
            </w:r>
            <w:r/>
          </w:p>
          <w:p>
            <w:pPr>
              <w:jc w:val="center"/>
              <w:spacing w:line="360" w:lineRule="auto"/>
              <w:rPr>
                <w:szCs w:val="21"/>
                <w:highlight w:val="none"/>
              </w:rPr>
            </w:pPr>
            <w:r>
              <w:rPr>
                <w:rFonts w:ascii="Times New Roman" w:hAnsi="Times New Roman" w:cs="Times New Roman"/>
                <w:bCs/>
                <w:szCs w:val="21"/>
                <w:highlight w:val="none"/>
              </w:rPr>
              <w:t xml:space="preserve">（15分）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针对业务工作的需求，预报模式需要通过不断调优来提升系统预报的准确率，根据招标文件要求及投标人提供的模型调优方案进行综合评审，模型调优方案包括但不限于：排放源、气象模式、数值模式版本、物理化学参数化等优化内容。</w:t>
            </w:r>
            <w:r/>
          </w:p>
          <w:p>
            <w:pPr>
              <w:spacing w:line="360" w:lineRule="auto"/>
              <w:rPr>
                <w:szCs w:val="21"/>
                <w:highlight w:val="none"/>
              </w:rPr>
            </w:pPr>
            <w:r>
              <w:rPr>
                <w:rFonts w:ascii="Times New Roman" w:hAnsi="Times New Roman" w:cs="Times New Roman"/>
                <w:szCs w:val="21"/>
                <w:highlight w:val="none"/>
              </w:rPr>
              <w:t xml:space="preserve">方案内容完全满足用户的系统模型调优要求，内容全面，专业性、针对性强的，得7分；</w:t>
            </w:r>
            <w:r/>
          </w:p>
          <w:p>
            <w:pPr>
              <w:spacing w:line="360" w:lineRule="auto"/>
              <w:rPr>
                <w:szCs w:val="21"/>
                <w:highlight w:val="none"/>
              </w:rPr>
            </w:pPr>
            <w:r>
              <w:rPr>
                <w:rFonts w:ascii="Times New Roman" w:hAnsi="Times New Roman" w:cs="Times New Roman"/>
                <w:szCs w:val="21"/>
                <w:highlight w:val="none"/>
              </w:rPr>
              <w:t xml:space="preserve">方案内容基本满足用户的系统模型调优要求，具有专业性、针对性的，得4分；</w:t>
            </w:r>
            <w:r/>
          </w:p>
          <w:p>
            <w:pPr>
              <w:spacing w:line="360" w:lineRule="auto"/>
              <w:rPr>
                <w:szCs w:val="21"/>
                <w:highlight w:val="none"/>
              </w:rPr>
            </w:pPr>
            <w:r>
              <w:rPr>
                <w:rFonts w:ascii="Times New Roman" w:hAnsi="Times New Roman" w:cs="Times New Roman"/>
                <w:szCs w:val="21"/>
                <w:highlight w:val="none"/>
              </w:rPr>
              <w:t xml:space="preserve">方案内容未完全满足用户的系统模型调优要求，专业性、针对性有待改善的，得1分；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4967"/>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vMerge w:val="continue"/>
            <w:textDirection w:val="lrTb"/>
            <w:noWrap w:val="false"/>
          </w:tcPr>
          <w:p>
            <w:pPr>
              <w:jc w:val="center"/>
              <w:spacing w:line="360" w:lineRule="auto"/>
              <w:rPr>
                <w:bCs/>
                <w:szCs w:val="21"/>
                <w:highlight w:val="none"/>
              </w:rPr>
            </w:pPr>
            <w:r>
              <w:rPr>
                <w:bCs/>
                <w:szCs w:val="21"/>
                <w:highlight w:val="none"/>
              </w:rPr>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2.除预报模型外，精准预警及智慧溯源评估子系统还包含溯源模型、管控评估模型、清单反演模型等3种模型，根据招标文件要求及投标人提供的相关3种模型的调优方案进行综合评审，方案包括但不限于：排放源更新、数值模式版本、物理化学参数化、统计算法等优化内容。</w:t>
            </w:r>
            <w:r/>
          </w:p>
          <w:p>
            <w:pPr>
              <w:spacing w:line="360" w:lineRule="auto"/>
              <w:rPr>
                <w:szCs w:val="21"/>
                <w:highlight w:val="none"/>
              </w:rPr>
            </w:pPr>
            <w:r>
              <w:rPr>
                <w:rFonts w:ascii="Times New Roman" w:hAnsi="Times New Roman" w:cs="Times New Roman"/>
                <w:szCs w:val="21"/>
                <w:highlight w:val="none"/>
              </w:rPr>
              <w:t xml:space="preserve">方案内容完全满足用户的系统模型调优要求，内容全面，专业性、针对性强的，得8分；</w:t>
            </w:r>
            <w:r/>
          </w:p>
          <w:p>
            <w:pPr>
              <w:spacing w:line="360" w:lineRule="auto"/>
              <w:rPr>
                <w:szCs w:val="21"/>
                <w:highlight w:val="none"/>
              </w:rPr>
            </w:pPr>
            <w:r>
              <w:rPr>
                <w:rFonts w:ascii="Times New Roman" w:hAnsi="Times New Roman" w:cs="Times New Roman"/>
                <w:szCs w:val="21"/>
                <w:highlight w:val="none"/>
              </w:rPr>
              <w:t xml:space="preserve">方案内容基本满足用户的系统模型调优要求，具有专业性、针对性的，得5分；</w:t>
            </w:r>
            <w:r/>
          </w:p>
          <w:p>
            <w:pPr>
              <w:spacing w:line="360" w:lineRule="auto"/>
              <w:rPr>
                <w:szCs w:val="21"/>
                <w:highlight w:val="none"/>
              </w:rPr>
            </w:pPr>
            <w:r>
              <w:rPr>
                <w:rFonts w:ascii="Times New Roman" w:hAnsi="Times New Roman" w:cs="Times New Roman"/>
                <w:szCs w:val="21"/>
                <w:highlight w:val="none"/>
              </w:rPr>
              <w:t xml:space="preserve">方案内容未完全满足用户的系统模型调优要求，专业性、针对性有待改善的，得2分；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应急保障服务方案</w:t>
            </w:r>
            <w:r/>
          </w:p>
          <w:p>
            <w:pPr>
              <w:jc w:val="center"/>
              <w:spacing w:line="360" w:lineRule="auto"/>
              <w:rPr>
                <w:szCs w:val="21"/>
                <w:highlight w:val="none"/>
              </w:rPr>
            </w:pPr>
            <w:r>
              <w:rPr>
                <w:rFonts w:ascii="Times New Roman" w:hAnsi="Times New Roman" w:cs="Times New Roman"/>
                <w:szCs w:val="21"/>
                <w:highlight w:val="none"/>
              </w:rPr>
              <w:t xml:space="preserve">（7分）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针对可能出现突发事件以及重大活动保障（重污染应急响应、污染攻坚行动等）的需求，根据招标文件要求及投标人提供的应急保障服务方案进行综合评审：</w:t>
            </w:r>
            <w:r/>
          </w:p>
          <w:p>
            <w:pPr>
              <w:spacing w:line="360" w:lineRule="auto"/>
              <w:rPr>
                <w:szCs w:val="21"/>
                <w:highlight w:val="none"/>
              </w:rPr>
            </w:pPr>
            <w:r>
              <w:rPr>
                <w:rFonts w:ascii="Times New Roman" w:hAnsi="Times New Roman" w:cs="Times New Roman"/>
                <w:szCs w:val="21"/>
                <w:highlight w:val="none"/>
              </w:rPr>
              <w:t xml:space="preserve">应急保障服务方案能充分考虑项目应急需求特点及风险点，内容详细完整，实用性、可行性、针对性强的，得7分；</w:t>
            </w:r>
            <w:r/>
          </w:p>
          <w:p>
            <w:pPr>
              <w:spacing w:line="360" w:lineRule="auto"/>
              <w:rPr>
                <w:szCs w:val="21"/>
                <w:highlight w:val="none"/>
              </w:rPr>
            </w:pPr>
            <w:r>
              <w:rPr>
                <w:rFonts w:ascii="Times New Roman" w:hAnsi="Times New Roman" w:cs="Times New Roman"/>
                <w:szCs w:val="21"/>
                <w:highlight w:val="none"/>
              </w:rPr>
              <w:t xml:space="preserve">应急保障服务方案对项目应急需求特点及风险点理解基本准确，内容完整，具有实用性、可行性、针对性的，得4分；</w:t>
            </w:r>
            <w:r/>
          </w:p>
          <w:p>
            <w:pPr>
              <w:spacing w:line="360" w:lineRule="auto"/>
              <w:rPr>
                <w:szCs w:val="21"/>
                <w:highlight w:val="none"/>
              </w:rPr>
            </w:pPr>
            <w:r>
              <w:rPr>
                <w:rFonts w:ascii="Times New Roman" w:hAnsi="Times New Roman" w:cs="Times New Roman"/>
                <w:szCs w:val="21"/>
                <w:highlight w:val="none"/>
              </w:rPr>
              <w:t xml:space="preserve">应急保障服务方案对项目应急需求特点及风险点的考虑有待提升，实用性、可行性、针对性有待改善的，得1分；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系统安全管理</w:t>
            </w:r>
            <w:r/>
          </w:p>
          <w:p>
            <w:pPr>
              <w:jc w:val="center"/>
              <w:spacing w:line="360" w:lineRule="auto"/>
              <w:rPr>
                <w:szCs w:val="21"/>
                <w:highlight w:val="none"/>
              </w:rPr>
            </w:pPr>
            <w:r>
              <w:rPr>
                <w:rFonts w:ascii="Times New Roman" w:hAnsi="Times New Roman" w:cs="Times New Roman"/>
                <w:szCs w:val="21"/>
                <w:highlight w:val="none"/>
              </w:rPr>
              <w:t xml:space="preserve">方案</w:t>
            </w:r>
            <w:r/>
          </w:p>
          <w:p>
            <w:pPr>
              <w:jc w:val="center"/>
              <w:spacing w:line="360" w:lineRule="auto"/>
              <w:rPr>
                <w:szCs w:val="21"/>
                <w:highlight w:val="none"/>
              </w:rPr>
            </w:pPr>
            <w:r>
              <w:rPr>
                <w:rFonts w:ascii="Times New Roman" w:hAnsi="Times New Roman" w:cs="Times New Roman"/>
                <w:szCs w:val="21"/>
                <w:highlight w:val="none"/>
              </w:rPr>
              <w:t xml:space="preserve">（7分）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为确保系统的安全性，预防和减少安全事件的发生，以及提高整体的安全管理水平，根据招标文件要求及投标人提供的系统安全管理方案进行综合评审，系统安全管理方案包括但不限于：系统数据安全维护服务、系统安全管理等内容。</w:t>
            </w:r>
            <w:r/>
          </w:p>
          <w:p>
            <w:pPr>
              <w:spacing w:line="360" w:lineRule="auto"/>
              <w:rPr>
                <w:szCs w:val="21"/>
                <w:highlight w:val="none"/>
              </w:rPr>
            </w:pPr>
            <w:r>
              <w:rPr>
                <w:rFonts w:ascii="Times New Roman" w:hAnsi="Times New Roman" w:cs="Times New Roman"/>
                <w:szCs w:val="21"/>
                <w:highlight w:val="none"/>
              </w:rPr>
              <w:t xml:space="preserve">方案内容充分考虑了系统安全风险，内容丰富、完整，可行性、实用性、针对性强的，得7分；</w:t>
            </w:r>
            <w:r/>
          </w:p>
          <w:p>
            <w:pPr>
              <w:spacing w:line="360" w:lineRule="auto"/>
              <w:rPr>
                <w:szCs w:val="21"/>
                <w:highlight w:val="none"/>
              </w:rPr>
            </w:pPr>
            <w:r>
              <w:rPr>
                <w:rFonts w:ascii="Times New Roman" w:hAnsi="Times New Roman" w:cs="Times New Roman"/>
                <w:szCs w:val="21"/>
                <w:highlight w:val="none"/>
              </w:rPr>
              <w:t xml:space="preserve">方案对系统安全风险理解基本正确，内容基本完整，具有可行性、实用性和针对性强的，得4分；</w:t>
            </w:r>
            <w:r/>
          </w:p>
          <w:p>
            <w:pPr>
              <w:spacing w:line="360" w:lineRule="auto"/>
              <w:rPr>
                <w:szCs w:val="21"/>
                <w:highlight w:val="none"/>
              </w:rPr>
            </w:pPr>
            <w:r>
              <w:rPr>
                <w:rFonts w:ascii="Times New Roman" w:hAnsi="Times New Roman" w:cs="Times New Roman"/>
                <w:szCs w:val="21"/>
                <w:highlight w:val="none"/>
              </w:rPr>
              <w:t xml:space="preserve">方案对系统安全风险理解有待提升，内容不完整，可行性、实用性、针对性有待改善的，得1分；</w:t>
            </w:r>
            <w:r/>
          </w:p>
          <w:p>
            <w:pPr>
              <w:spacing w:line="360" w:lineRule="auto"/>
              <w:rPr>
                <w:szCs w:val="21"/>
                <w:highlight w:val="none"/>
              </w:rPr>
            </w:pPr>
            <w:r>
              <w:rPr>
                <w:rFonts w:ascii="Times New Roman" w:hAnsi="Times New Roman" w:cs="Times New Roman"/>
                <w:szCs w:val="21"/>
                <w:highlight w:val="none"/>
              </w:rPr>
              <w:t xml:space="preserve">差或未提供的不得分。</w:t>
            </w:r>
            <w:r/>
          </w:p>
        </w:tc>
      </w:tr>
      <w:tr>
        <w:trPr>
          <w:jc w:val="center"/>
          <w:trHeight w:val="1077"/>
        </w:trPr>
        <w:tc>
          <w:tcPr>
            <w:tcW w:w="783" w:type="pct"/>
            <w:vAlign w:val="center"/>
            <w:vMerge w:val="restart"/>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商务</w:t>
            </w:r>
            <w:r/>
          </w:p>
          <w:p>
            <w:pPr>
              <w:jc w:val="center"/>
              <w:spacing w:line="360" w:lineRule="auto"/>
              <w:rPr>
                <w:szCs w:val="21"/>
                <w:highlight w:val="none"/>
              </w:rPr>
            </w:pPr>
            <w:r>
              <w:rPr>
                <w:rFonts w:ascii="Times New Roman" w:hAnsi="Times New Roman" w:cs="Times New Roman"/>
                <w:szCs w:val="21"/>
                <w:highlight w:val="none"/>
              </w:rPr>
              <w:t xml:space="preserve">（35分）</w:t>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业绩</w:t>
            </w:r>
            <w:r/>
          </w:p>
          <w:p>
            <w:pPr>
              <w:jc w:val="center"/>
              <w:spacing w:line="360" w:lineRule="auto"/>
              <w:rPr>
                <w:szCs w:val="21"/>
                <w:highlight w:val="none"/>
              </w:rPr>
            </w:pPr>
            <w:r>
              <w:rPr>
                <w:rFonts w:ascii="Times New Roman" w:hAnsi="Times New Roman" w:cs="Times New Roman"/>
                <w:szCs w:val="21"/>
                <w:highlight w:val="none"/>
              </w:rPr>
              <w:t xml:space="preserve">（</w:t>
            </w:r>
            <w:r>
              <w:rPr>
                <w:rFonts w:hint="eastAsia" w:ascii="Times New Roman" w:hAnsi="Times New Roman" w:cs="Times New Roman"/>
                <w:szCs w:val="21"/>
                <w:highlight w:val="none"/>
              </w:rPr>
              <w:t xml:space="preserve">1</w:t>
            </w:r>
            <w:r>
              <w:rPr>
                <w:rFonts w:ascii="Times New Roman" w:hAnsi="Times New Roman" w:cs="Times New Roman"/>
                <w:szCs w:val="21"/>
                <w:highlight w:val="none"/>
              </w:rPr>
              <w:t xml:space="preserve">8分）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1.投标人自2021年1月1日以来具有空气质量数值模拟或预报系统建设或污染溯源系统建设或污染排放相关系统建设或相关运维项目业绩的，每有1个业绩得2分，本小项最高得12分；</w:t>
            </w:r>
            <w:r/>
          </w:p>
          <w:p>
            <w:pPr>
              <w:spacing w:line="360" w:lineRule="auto"/>
              <w:rPr>
                <w:szCs w:val="21"/>
                <w:highlight w:val="none"/>
              </w:rPr>
            </w:pPr>
            <w:r>
              <w:rPr>
                <w:rFonts w:ascii="Times New Roman" w:hAnsi="Times New Roman" w:cs="Times New Roman"/>
                <w:szCs w:val="21"/>
                <w:highlight w:val="none"/>
              </w:rPr>
              <w:t xml:space="preserve">2.投标人2021年1月1日以来具有相关技术服务或咨询项目业绩的，每有1个业绩得2分，本小项最高得6分。</w:t>
            </w:r>
            <w:r/>
          </w:p>
          <w:p>
            <w:pPr>
              <w:spacing w:line="360" w:lineRule="auto"/>
              <w:rPr>
                <w:szCs w:val="21"/>
                <w:highlight w:val="none"/>
              </w:rPr>
            </w:pPr>
            <w:r>
              <w:rPr>
                <w:rFonts w:ascii="Times New Roman" w:hAnsi="Times New Roman" w:cs="Times New Roman"/>
                <w:szCs w:val="21"/>
                <w:highlight w:val="none"/>
              </w:rPr>
              <w:t xml:space="preserve">注：</w:t>
            </w:r>
            <w:r/>
          </w:p>
          <w:p>
            <w:pPr>
              <w:numPr>
                <w:ilvl w:val="0"/>
                <w:numId w:val="4"/>
              </w:numPr>
              <w:spacing w:line="360" w:lineRule="auto"/>
              <w:rPr>
                <w:szCs w:val="21"/>
                <w:highlight w:val="none"/>
              </w:rPr>
            </w:pPr>
            <w:r>
              <w:rPr>
                <w:rFonts w:ascii="Times New Roman" w:hAnsi="Times New Roman" w:cs="Times New Roman"/>
                <w:szCs w:val="21"/>
                <w:highlight w:val="none"/>
              </w:rPr>
              <w:t xml:space="preserve">投标人为上述所提供业绩中的承担单位或参与单位。</w:t>
            </w:r>
            <w:r/>
          </w:p>
          <w:p>
            <w:pPr>
              <w:spacing w:line="360" w:lineRule="auto"/>
              <w:rPr>
                <w:szCs w:val="21"/>
                <w:highlight w:val="none"/>
              </w:rPr>
            </w:pPr>
            <w:r>
              <w:rPr>
                <w:rFonts w:ascii="Times New Roman" w:hAnsi="Times New Roman" w:cs="Times New Roman"/>
                <w:szCs w:val="21"/>
                <w:highlight w:val="none"/>
              </w:rPr>
              <w:t xml:space="preserve">（2）投标人提供业绩中标通知书或合同复印件，并加盖投标人公章。</w:t>
            </w:r>
            <w:r/>
          </w:p>
          <w:p>
            <w:pPr>
              <w:spacing w:line="360" w:lineRule="auto"/>
              <w:rPr>
                <w:szCs w:val="21"/>
                <w:highlight w:val="none"/>
              </w:rPr>
            </w:pPr>
            <w:r>
              <w:rPr>
                <w:rFonts w:ascii="Times New Roman" w:hAnsi="Times New Roman" w:cs="Times New Roman"/>
                <w:szCs w:val="21"/>
                <w:highlight w:val="none"/>
              </w:rPr>
              <w:t xml:space="preserve">（3）“相关技术服务或咨询项目”是指：污染分析或减排控制或污染溯源等有关项目（不限于大气领域）。</w:t>
            </w:r>
            <w:r/>
          </w:p>
        </w:tc>
      </w:tr>
      <w:tr>
        <w:trPr>
          <w:jc w:val="center"/>
          <w:trHeight w:val="1077"/>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认证证书</w:t>
            </w:r>
            <w:r/>
          </w:p>
          <w:p>
            <w:pPr>
              <w:jc w:val="center"/>
              <w:spacing w:line="360" w:lineRule="auto"/>
              <w:rPr>
                <w:szCs w:val="21"/>
                <w:highlight w:val="none"/>
              </w:rPr>
            </w:pPr>
            <w:r>
              <w:rPr>
                <w:rFonts w:ascii="Times New Roman" w:hAnsi="Times New Roman" w:cs="Times New Roman"/>
                <w:szCs w:val="21"/>
                <w:highlight w:val="none"/>
              </w:rPr>
              <w:t xml:space="preserve">（4分）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1.投标人具有有效的信息安全管理体系认证证书的得2分；</w:t>
            </w:r>
            <w:r/>
          </w:p>
          <w:p>
            <w:pPr>
              <w:spacing w:line="360" w:lineRule="auto"/>
              <w:rPr>
                <w:szCs w:val="21"/>
                <w:highlight w:val="none"/>
              </w:rPr>
            </w:pPr>
            <w:r>
              <w:rPr>
                <w:rFonts w:ascii="Times New Roman" w:hAnsi="Times New Roman" w:cs="Times New Roman"/>
                <w:szCs w:val="21"/>
                <w:highlight w:val="none"/>
              </w:rPr>
              <w:t xml:space="preserve">2.投标人具有有效的信息技术服务管理体系认证证书的得2分。</w:t>
            </w:r>
            <w:r/>
          </w:p>
          <w:p>
            <w:pPr>
              <w:spacing w:line="360" w:lineRule="auto"/>
              <w:rPr>
                <w:szCs w:val="21"/>
                <w:highlight w:val="none"/>
              </w:rPr>
            </w:pPr>
            <w:r>
              <w:rPr>
                <w:rFonts w:ascii="Times New Roman" w:hAnsi="Times New Roman" w:cs="Times New Roman"/>
                <w:szCs w:val="21"/>
                <w:highlight w:val="none"/>
              </w:rPr>
              <w:t xml:space="preserve">注：须提供在有效期内的相关体系证书复印件。</w:t>
            </w:r>
            <w:r/>
          </w:p>
        </w:tc>
      </w:tr>
      <w:tr>
        <w:trPr>
          <w:jc w:val="center"/>
          <w:trHeight w:val="70"/>
        </w:trPr>
        <w:tc>
          <w:tcPr>
            <w:tcW w:w="783" w:type="pct"/>
            <w:vAlign w:val="center"/>
            <w:vMerge w:val="continue"/>
            <w:textDirection w:val="lrTb"/>
            <w:noWrap w:val="false"/>
          </w:tcPr>
          <w:p>
            <w:pPr>
              <w:jc w:val="center"/>
              <w:spacing w:line="360" w:lineRule="auto"/>
              <w:rPr>
                <w:szCs w:val="21"/>
                <w:highlight w:val="none"/>
              </w:rPr>
            </w:pPr>
            <w:r>
              <w:rPr>
                <w:szCs w:val="21"/>
                <w:highlight w:val="none"/>
              </w:rPr>
            </w:r>
            <w:r/>
          </w:p>
        </w:tc>
        <w:tc>
          <w:tcPr>
            <w:tcW w:w="842" w:type="pct"/>
            <w:vAlign w:val="center"/>
            <w:textDirection w:val="lrTb"/>
            <w:noWrap w:val="false"/>
          </w:tcPr>
          <w:p>
            <w:pPr>
              <w:jc w:val="center"/>
              <w:spacing w:line="360" w:lineRule="auto"/>
              <w:rPr>
                <w:szCs w:val="21"/>
                <w:highlight w:val="none"/>
              </w:rPr>
            </w:pPr>
            <w:r>
              <w:rPr>
                <w:rFonts w:ascii="Times New Roman" w:hAnsi="Times New Roman" w:cs="Times New Roman"/>
                <w:szCs w:val="21"/>
                <w:highlight w:val="none"/>
              </w:rPr>
              <w:t xml:space="preserve">项目组人员技术水平</w:t>
            </w:r>
            <w:r/>
          </w:p>
          <w:p>
            <w:pPr>
              <w:jc w:val="center"/>
              <w:spacing w:line="360" w:lineRule="auto"/>
              <w:rPr>
                <w:szCs w:val="21"/>
                <w:highlight w:val="none"/>
              </w:rPr>
            </w:pPr>
            <w:r>
              <w:rPr>
                <w:rFonts w:ascii="Times New Roman" w:hAnsi="Times New Roman" w:cs="Times New Roman"/>
                <w:szCs w:val="21"/>
                <w:highlight w:val="none"/>
              </w:rPr>
              <w:t xml:space="preserve">（13分）</w:t>
            </w:r>
            <w:r/>
          </w:p>
        </w:tc>
        <w:tc>
          <w:tcPr>
            <w:tcW w:w="3375" w:type="pct"/>
            <w:vAlign w:val="center"/>
            <w:textDirection w:val="lrTb"/>
            <w:noWrap w:val="false"/>
          </w:tcPr>
          <w:p>
            <w:pPr>
              <w:spacing w:line="360" w:lineRule="auto"/>
              <w:rPr>
                <w:szCs w:val="21"/>
                <w:highlight w:val="none"/>
              </w:rPr>
            </w:pPr>
            <w:r>
              <w:rPr>
                <w:rFonts w:ascii="Times New Roman" w:hAnsi="Times New Roman" w:cs="Times New Roman"/>
                <w:szCs w:val="21"/>
                <w:highlight w:val="none"/>
              </w:rPr>
              <w:t xml:space="preserve">1.项目负责人（1人）具有三年及以上承担过类似的项目管理工作经验（提供项目合同或实施方案或验收报告等材料）</w:t>
            </w:r>
            <w:r>
              <w:rPr>
                <w:rFonts w:hint="eastAsia" w:ascii="Times New Roman" w:hAnsi="Times New Roman" w:cs="Times New Roman"/>
                <w:szCs w:val="21"/>
                <w:highlight w:val="none"/>
              </w:rPr>
              <w:t xml:space="preserve">或者</w:t>
            </w:r>
            <w:r>
              <w:rPr>
                <w:rFonts w:ascii="Times New Roman" w:hAnsi="Times New Roman" w:cs="Times New Roman"/>
                <w:szCs w:val="21"/>
                <w:highlight w:val="none"/>
              </w:rPr>
              <w:t xml:space="preserve">具有计算机或环境或地理或大气类副高及以上职称证书</w:t>
            </w:r>
            <w:r>
              <w:rPr>
                <w:rFonts w:hint="eastAsia" w:ascii="Times New Roman" w:hAnsi="Times New Roman" w:cs="Times New Roman"/>
                <w:szCs w:val="21"/>
                <w:highlight w:val="none"/>
              </w:rPr>
              <w:t xml:space="preserve">得</w:t>
            </w:r>
            <w:r>
              <w:rPr>
                <w:rFonts w:ascii="Times New Roman" w:hAnsi="Times New Roman" w:cs="Times New Roman"/>
                <w:szCs w:val="21"/>
                <w:highlight w:val="none"/>
              </w:rPr>
              <w:t xml:space="preserve">3</w:t>
            </w:r>
            <w:r>
              <w:rPr>
                <w:rFonts w:hint="eastAsia" w:ascii="Times New Roman" w:hAnsi="Times New Roman" w:cs="Times New Roman"/>
                <w:szCs w:val="21"/>
                <w:highlight w:val="none"/>
              </w:rPr>
              <w:t xml:space="preserve">分；否则不得分。</w:t>
            </w:r>
            <w:r/>
          </w:p>
          <w:p>
            <w:pPr>
              <w:spacing w:line="360" w:lineRule="auto"/>
              <w:rPr>
                <w:color w:val="000000" w:themeColor="text1"/>
                <w:szCs w:val="21"/>
                <w:highlight w:val="none"/>
                <w14:textFill>
                  <w14:solidFill>
                    <w14:schemeClr w14:val="tx1"/>
                  </w14:solidFill>
                </w14:textFill>
              </w:rPr>
            </w:pPr>
            <w:r>
              <w:rPr>
                <w:rFonts w:ascii="Times New Roman" w:hAnsi="Times New Roman" w:cs="Times New Roman"/>
                <w:szCs w:val="21"/>
                <w:highlight w:val="none"/>
              </w:rPr>
              <w:t xml:space="preserve">2.主要项目成员（不包含负责人）中</w:t>
            </w:r>
            <w:r>
              <w:rPr>
                <w:rFonts w:hint="eastAsia" w:ascii="Times New Roman" w:hAnsi="Times New Roman" w:cs="Times New Roman"/>
                <w:szCs w:val="21"/>
                <w:highlight w:val="none"/>
              </w:rPr>
              <w:t xml:space="preserve">至少分别有1名计算机类和1名</w:t>
            </w:r>
            <w:r>
              <w:rPr>
                <w:rFonts w:ascii="Times New Roman" w:hAnsi="Times New Roman" w:cs="Times New Roman"/>
                <w:szCs w:val="21"/>
                <w:highlight w:val="none"/>
              </w:rPr>
              <w:t xml:space="preserve">环境或地理或大气类</w:t>
            </w:r>
            <w:r>
              <w:rPr>
                <w:rFonts w:hint="eastAsia" w:ascii="Times New Roman" w:hAnsi="Times New Roman" w:cs="Times New Roman"/>
                <w:szCs w:val="21"/>
                <w:highlight w:val="none"/>
              </w:rPr>
              <w:t xml:space="preserve">成员（必须拥有相关</w:t>
            </w:r>
            <w:r>
              <w:rPr>
                <w:rFonts w:ascii="Times New Roman" w:hAnsi="Times New Roman" w:cs="Times New Roman"/>
                <w:szCs w:val="21"/>
                <w:highlight w:val="none"/>
              </w:rPr>
              <w:t xml:space="preserve">中级</w:t>
            </w:r>
            <w:r>
              <w:rPr>
                <w:rFonts w:hint="eastAsia" w:ascii="Times New Roman" w:hAnsi="Times New Roman" w:cs="Times New Roman"/>
                <w:szCs w:val="21"/>
                <w:highlight w:val="none"/>
              </w:rPr>
              <w:t xml:space="preserve">及以上职称证书或者硕士及以上学位证书）</w:t>
            </w:r>
            <w:r>
              <w:rPr>
                <w:rFonts w:ascii="Times New Roman" w:hAnsi="Times New Roman" w:cs="Times New Roman"/>
                <w:szCs w:val="21"/>
                <w:highlight w:val="none"/>
              </w:rPr>
              <w:t xml:space="preserve">，</w:t>
            </w:r>
            <w:r>
              <w:rPr>
                <w:rFonts w:hint="eastAsia" w:ascii="Times New Roman" w:hAnsi="Times New Roman" w:cs="Times New Roman"/>
                <w:szCs w:val="21"/>
                <w:highlight w:val="none"/>
              </w:rPr>
              <w:t xml:space="preserve">否则本小项直接0分；</w:t>
            </w:r>
            <w:r>
              <w:rPr>
                <w:rFonts w:ascii="Times New Roman" w:hAnsi="Times New Roman" w:cs="Times New Roman"/>
                <w:szCs w:val="21"/>
                <w:highlight w:val="none"/>
              </w:rPr>
              <w:t xml:space="preserve">每具有1名计算机或环境或地理或大气类副高及以上职称证书或者相关专业博士学位证书的得2分；每具有</w:t>
            </w:r>
            <w:r>
              <w:rPr>
                <w:rFonts w:ascii="Times New Roman" w:hAnsi="Times New Roman" w:cs="Times New Roman"/>
                <w:color w:val="000000" w:themeColor="text1"/>
                <w:szCs w:val="21"/>
                <w:highlight w:val="none"/>
                <w14:textFill>
                  <w14:solidFill>
                    <w14:schemeClr w14:val="tx1"/>
                  </w14:solidFill>
                </w14:textFill>
              </w:rPr>
              <w:t xml:space="preserve">1名计算机或环境或地理或大气类中级职称证书或者相关专业硕士学位证书的得1分，本小项最高得10分。</w:t>
            </w:r>
            <w:r/>
          </w:p>
          <w:p>
            <w:pPr>
              <w:spacing w:line="360" w:lineRule="auto"/>
              <w:rPr>
                <w:szCs w:val="21"/>
                <w:highlight w:val="none"/>
              </w:rPr>
            </w:pPr>
            <w:r>
              <w:rPr>
                <w:rFonts w:ascii="Times New Roman" w:hAnsi="Times New Roman" w:cs="Times New Roman"/>
                <w:color w:val="000000" w:themeColor="text1"/>
                <w:szCs w:val="21"/>
                <w:highlight w:val="none"/>
                <w14:textFill>
                  <w14:solidFill>
                    <w14:schemeClr w14:val="tx1"/>
                  </w14:solidFill>
                </w14:textFill>
              </w:rPr>
              <w:t xml:space="preserve">注：须提供上述项目组人员相关证书复印件和投标人近半年</w:t>
            </w:r>
            <w:r>
              <w:rPr>
                <w:rFonts w:hint="eastAsia" w:ascii="Times New Roman" w:hAnsi="Times New Roman" w:cs="Times New Roman"/>
                <w:color w:val="000000" w:themeColor="text1"/>
                <w:szCs w:val="21"/>
                <w:highlight w:val="none"/>
                <w:lang w:val="en-US"/>
                <w14:textFill>
                  <w14:solidFill>
                    <w14:schemeClr w14:val="tx1"/>
                  </w14:solidFill>
                </w14:textFill>
              </w:rPr>
              <w:t xml:space="preserve">内任意一个月</w:t>
            </w:r>
            <w:r>
              <w:rPr>
                <w:rFonts w:ascii="Times New Roman" w:hAnsi="Times New Roman" w:cs="Times New Roman"/>
                <w:color w:val="000000" w:themeColor="text1"/>
                <w:szCs w:val="21"/>
                <w:highlight w:val="none"/>
                <w14:textFill>
                  <w14:solidFill>
                    <w14:schemeClr w14:val="tx1"/>
                  </w14:solidFill>
                </w14:textFill>
              </w:rPr>
              <w:t xml:space="preserve">为其缴纳社保的证明材料复印件，未提供或未按要求提供的不得分。</w:t>
            </w:r>
            <w:r/>
          </w:p>
        </w:tc>
      </w:tr>
    </w:tbl>
    <w:p>
      <w:pPr>
        <w:spacing w:line="360" w:lineRule="auto"/>
        <w:rPr>
          <w:rFonts w:ascii="Times New Roman" w:hAnsi="Times New Roman" w:cs="Times New Roman"/>
          <w:b/>
          <w:bCs/>
          <w:szCs w:val="21"/>
          <w:highlight w:val="none"/>
        </w:rPr>
      </w:pPr>
      <w:r>
        <w:rPr>
          <w:rFonts w:ascii="Times New Roman" w:hAnsi="Times New Roman" w:cs="Times New Roman"/>
          <w:b/>
          <w:bCs/>
          <w:szCs w:val="21"/>
          <w:highlight w:val="none"/>
        </w:rPr>
      </w:r>
      <w:r/>
    </w:p>
    <w:p>
      <w:pPr>
        <w:rPr>
          <w:b/>
          <w:sz w:val="21"/>
          <w:szCs w:val="21"/>
          <w:highlight w:val="none"/>
        </w:rPr>
      </w:pPr>
      <w:r>
        <w:rPr>
          <w:rFonts w:hint="eastAsia"/>
          <w:b/>
          <w:sz w:val="21"/>
          <w:szCs w:val="21"/>
          <w:highlight w:val="none"/>
        </w:rPr>
        <w:t xml:space="preserve">说明：</w:t>
      </w:r>
      <w:r/>
    </w:p>
    <w:p>
      <w:pPr>
        <w:ind w:firstLine="420"/>
        <w:spacing w:line="360" w:lineRule="auto"/>
        <w:rPr>
          <w:bCs/>
          <w:sz w:val="21"/>
          <w:szCs w:val="21"/>
          <w:highlight w:val="none"/>
        </w:rPr>
      </w:pPr>
      <w:r>
        <w:rPr>
          <w:rFonts w:hint="eastAsia"/>
          <w:bCs/>
          <w:sz w:val="21"/>
          <w:szCs w:val="21"/>
          <w:highlight w:val="none"/>
        </w:rPr>
        <w:t xml:space="preserve">1.所有认证、证明和业绩均以有效清晰的证明文件为依据。</w:t>
      </w:r>
      <w:r/>
    </w:p>
    <w:p>
      <w:pPr>
        <w:ind w:firstLine="420"/>
        <w:spacing w:line="360" w:lineRule="auto"/>
        <w:rPr>
          <w:bCs/>
          <w:sz w:val="21"/>
          <w:szCs w:val="21"/>
          <w:highlight w:val="none"/>
        </w:rPr>
      </w:pPr>
      <w:r>
        <w:rPr>
          <w:rFonts w:hint="eastAsia"/>
          <w:bCs/>
          <w:sz w:val="21"/>
          <w:szCs w:val="21"/>
          <w:highlight w:val="none"/>
        </w:rPr>
        <w:t xml:space="preserve">2.小微企业价格扣除</w:t>
      </w:r>
      <w:r/>
    </w:p>
    <w:p>
      <w:pPr>
        <w:ind w:firstLine="420"/>
        <w:spacing w:line="360" w:lineRule="auto"/>
        <w:rPr>
          <w:bCs/>
          <w:sz w:val="21"/>
          <w:szCs w:val="21"/>
          <w:highlight w:val="none"/>
        </w:rPr>
      </w:pPr>
      <w:r>
        <w:rPr>
          <w:rFonts w:hint="eastAsia"/>
          <w:bCs/>
          <w:sz w:val="21"/>
          <w:szCs w:val="21"/>
          <w:highlight w:val="none"/>
        </w:rPr>
        <w:t xml:space="preserve">2.1对于未预留份额专门面向中小企业采购的采购项目或预留份额项目中的非预留部分采购包，给予小微企业报价</w:t>
      </w:r>
      <w:r>
        <w:rPr>
          <w:bCs/>
          <w:sz w:val="21"/>
          <w:szCs w:val="21"/>
          <w:highlight w:val="none"/>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20"/>
        <w:spacing w:line="360" w:lineRule="auto"/>
        <w:rPr>
          <w:bCs/>
          <w:sz w:val="21"/>
          <w:szCs w:val="21"/>
          <w:highlight w:val="none"/>
        </w:rPr>
      </w:pPr>
      <w:r>
        <w:rPr>
          <w:rFonts w:hint="eastAsia"/>
          <w:bCs/>
          <w:sz w:val="21"/>
          <w:szCs w:val="21"/>
          <w:highlight w:val="none"/>
        </w:rPr>
        <w:t xml:space="preserve">2.2中小微企业在</w:t>
      </w:r>
      <w:r>
        <w:rPr>
          <w:rFonts w:hint="eastAsia"/>
          <w:sz w:val="21"/>
          <w:szCs w:val="21"/>
          <w:highlight w:val="none"/>
          <w:lang w:val="en-US"/>
        </w:rPr>
        <w:t xml:space="preserve">投标</w:t>
      </w:r>
      <w:r>
        <w:rPr>
          <w:rFonts w:hint="eastAsia"/>
          <w:sz w:val="21"/>
          <w:szCs w:val="21"/>
          <w:highlight w:val="none"/>
        </w:rPr>
        <w:t xml:space="preserve">文件</w:t>
      </w:r>
      <w:r>
        <w:rPr>
          <w:rFonts w:hint="eastAsia"/>
          <w:bCs/>
          <w:sz w:val="21"/>
          <w:szCs w:val="21"/>
          <w:highlight w:val="none"/>
        </w:rPr>
        <w:t xml:space="preserve">中提供签署的《中小企业声明函》。未按采购文件的规定在</w:t>
      </w:r>
      <w:r>
        <w:rPr>
          <w:rFonts w:hint="eastAsia"/>
          <w:sz w:val="21"/>
          <w:szCs w:val="21"/>
          <w:highlight w:val="none"/>
          <w:lang w:val="en-US"/>
        </w:rPr>
        <w:t xml:space="preserve">投标</w:t>
      </w:r>
      <w:r>
        <w:rPr>
          <w:rFonts w:hint="eastAsia"/>
          <w:sz w:val="21"/>
          <w:szCs w:val="21"/>
          <w:highlight w:val="none"/>
        </w:rPr>
        <w:t xml:space="preserve">文件</w:t>
      </w:r>
      <w:r>
        <w:rPr>
          <w:rFonts w:hint="eastAsia"/>
          <w:bCs/>
          <w:sz w:val="21"/>
          <w:szCs w:val="21"/>
          <w:highlight w:val="none"/>
        </w:rPr>
        <w:t xml:space="preserve">中提供《中小企业声明函》的，不享受促进中小微企业发展的相关政府采购政策。</w:t>
      </w:r>
      <w:r/>
    </w:p>
    <w:p>
      <w:pPr>
        <w:ind w:firstLine="420"/>
        <w:spacing w:line="360" w:lineRule="auto"/>
        <w:rPr>
          <w:bCs/>
          <w:sz w:val="21"/>
          <w:szCs w:val="21"/>
          <w:highlight w:val="none"/>
        </w:rPr>
      </w:pPr>
      <w:r>
        <w:rPr>
          <w:rFonts w:hint="eastAsia"/>
          <w:bCs/>
          <w:sz w:val="21"/>
          <w:szCs w:val="21"/>
          <w:highlight w:val="none"/>
        </w:rPr>
        <w:t xml:space="preserve">注：①填报“中小企业声明函”需严格按“工信部联企业〔2011〕300号通知”中的《中小企业划型标准规定》进行。②若</w:t>
      </w:r>
      <w:r>
        <w:rPr>
          <w:rFonts w:hint="eastAsia"/>
          <w:sz w:val="21"/>
          <w:szCs w:val="21"/>
          <w:highlight w:val="none"/>
          <w:lang w:val="en-US"/>
        </w:rPr>
        <w:t xml:space="preserve">供应商</w:t>
      </w:r>
      <w:r>
        <w:rPr>
          <w:rFonts w:hint="eastAsia"/>
          <w:bCs/>
          <w:sz w:val="21"/>
          <w:szCs w:val="21"/>
          <w:highlight w:val="none"/>
        </w:rPr>
        <w:t xml:space="preserve">提供的“中小企业声明函”（见</w:t>
      </w:r>
      <w:r>
        <w:rPr>
          <w:rFonts w:hint="eastAsia"/>
          <w:bCs/>
          <w:sz w:val="21"/>
          <w:szCs w:val="21"/>
          <w:highlight w:val="none"/>
          <w:lang w:val="en-US"/>
        </w:rPr>
        <w:t xml:space="preserve">投标文件格式及附件</w:t>
      </w:r>
      <w:r>
        <w:rPr>
          <w:rFonts w:hint="eastAsia"/>
          <w:bCs/>
          <w:sz w:val="21"/>
          <w:szCs w:val="21"/>
          <w:highlight w:val="none"/>
        </w:rPr>
        <w:t xml:space="preserve">）为虚假声明则视同提供虚假材料，按“政府采购法”相关规定处理并报请政府监管部门给予行政处罚。</w:t>
      </w:r>
      <w:r/>
    </w:p>
    <w:p>
      <w:pPr>
        <w:ind w:firstLine="420"/>
        <w:spacing w:line="360" w:lineRule="auto"/>
        <w:rPr>
          <w:bCs/>
          <w:sz w:val="21"/>
          <w:szCs w:val="21"/>
          <w:highlight w:val="none"/>
        </w:rPr>
      </w:pPr>
      <w:r>
        <w:rPr>
          <w:rFonts w:hint="eastAsia"/>
          <w:bCs/>
          <w:sz w:val="21"/>
          <w:szCs w:val="21"/>
          <w:highlight w:val="none"/>
        </w:rPr>
        <w:t xml:space="preserve">3.监狱和戒毒企业的价格扣除</w:t>
      </w:r>
      <w:r/>
    </w:p>
    <w:p>
      <w:pPr>
        <w:ind w:firstLine="420"/>
        <w:spacing w:line="360" w:lineRule="auto"/>
        <w:rPr>
          <w:bCs/>
          <w:sz w:val="21"/>
          <w:szCs w:val="21"/>
          <w:highlight w:val="none"/>
        </w:rPr>
      </w:pPr>
      <w:r>
        <w:rPr>
          <w:rFonts w:hint="eastAsia"/>
          <w:bCs/>
          <w:sz w:val="21"/>
          <w:szCs w:val="21"/>
          <w:highlight w:val="none"/>
        </w:rPr>
        <w:t xml:space="preserve">3.1本项目对监狱和戒毒企业，给予10%的价格</w:t>
      </w:r>
      <w:r>
        <w:rPr>
          <w:rFonts w:hint="eastAsia"/>
          <w:bCs/>
          <w:sz w:val="21"/>
          <w:szCs w:val="21"/>
          <w:highlight w:val="none"/>
          <w:lang w:val="en-US"/>
        </w:rPr>
        <w:t xml:space="preserve">优惠</w:t>
      </w:r>
      <w:r>
        <w:rPr>
          <w:rFonts w:hint="eastAsia"/>
          <w:bCs/>
          <w:sz w:val="21"/>
          <w:szCs w:val="21"/>
          <w:highlight w:val="none"/>
        </w:rPr>
        <w:t xml:space="preserve">，用</w:t>
      </w:r>
      <w:r>
        <w:rPr>
          <w:rFonts w:hint="eastAsia"/>
          <w:bCs/>
          <w:sz w:val="21"/>
          <w:szCs w:val="21"/>
          <w:highlight w:val="none"/>
          <w:lang w:val="en-US"/>
        </w:rPr>
        <w:t xml:space="preserve">优惠</w:t>
      </w:r>
      <w:r>
        <w:rPr>
          <w:rFonts w:hint="eastAsia"/>
          <w:bCs/>
          <w:sz w:val="21"/>
          <w:szCs w:val="21"/>
          <w:highlight w:val="none"/>
        </w:rPr>
        <w:t xml:space="preserve">后的价格参与评审。</w:t>
      </w:r>
      <w:r/>
    </w:p>
    <w:p>
      <w:pPr>
        <w:ind w:firstLine="420"/>
        <w:spacing w:line="360" w:lineRule="auto"/>
        <w:rPr>
          <w:bCs/>
          <w:sz w:val="21"/>
          <w:szCs w:val="21"/>
          <w:highlight w:val="none"/>
        </w:rPr>
      </w:pPr>
      <w:r>
        <w:rPr>
          <w:rFonts w:hint="eastAsia"/>
          <w:bCs/>
          <w:sz w:val="21"/>
          <w:szCs w:val="21"/>
          <w:highlight w:val="none"/>
        </w:rPr>
        <w:t xml:space="preserve">3.2监狱企业需提供由省级以上监狱管理局、戒毒管理局（含新疆生产建设兵团）出具的属于监狱企业的证明文件。</w:t>
      </w:r>
      <w:r/>
    </w:p>
    <w:p>
      <w:pPr>
        <w:ind w:firstLine="420"/>
        <w:spacing w:line="360" w:lineRule="auto"/>
        <w:rPr>
          <w:bCs/>
          <w:sz w:val="21"/>
          <w:szCs w:val="21"/>
          <w:highlight w:val="none"/>
        </w:rPr>
      </w:pPr>
      <w:r>
        <w:rPr>
          <w:rFonts w:hint="eastAsia"/>
          <w:bCs/>
          <w:sz w:val="21"/>
          <w:szCs w:val="21"/>
          <w:highlight w:val="none"/>
        </w:rPr>
        <w:t xml:space="preserve">3.3监狱企业标准请参照《关于政府采购支持监狱企业发展有关问题的通知》（财库〔2014〕68号）。</w:t>
      </w:r>
      <w:r/>
    </w:p>
    <w:p>
      <w:pPr>
        <w:ind w:firstLine="420"/>
        <w:spacing w:line="360" w:lineRule="auto"/>
        <w:rPr>
          <w:bCs/>
          <w:sz w:val="21"/>
          <w:szCs w:val="21"/>
          <w:highlight w:val="none"/>
        </w:rPr>
      </w:pPr>
      <w:r>
        <w:rPr>
          <w:rFonts w:hint="eastAsia"/>
          <w:bCs/>
          <w:sz w:val="21"/>
          <w:szCs w:val="21"/>
          <w:highlight w:val="none"/>
        </w:rPr>
        <w:t xml:space="preserve">4.残疾人福利性单位的价格扣除</w:t>
      </w:r>
      <w:r/>
    </w:p>
    <w:p>
      <w:pPr>
        <w:ind w:firstLine="420"/>
        <w:spacing w:line="360" w:lineRule="auto"/>
        <w:rPr>
          <w:bCs/>
          <w:sz w:val="21"/>
          <w:szCs w:val="21"/>
          <w:highlight w:val="none"/>
        </w:rPr>
      </w:pPr>
      <w:r>
        <w:rPr>
          <w:rFonts w:hint="eastAsia"/>
          <w:bCs/>
          <w:sz w:val="21"/>
          <w:szCs w:val="21"/>
          <w:highlight w:val="none"/>
        </w:rPr>
        <w:t xml:space="preserve">4.1本项目对残疾人福利性单位，给予10%的价格</w:t>
      </w:r>
      <w:r>
        <w:rPr>
          <w:rFonts w:hint="eastAsia"/>
          <w:bCs/>
          <w:sz w:val="21"/>
          <w:szCs w:val="21"/>
          <w:highlight w:val="none"/>
          <w:lang w:val="en-US"/>
        </w:rPr>
        <w:t xml:space="preserve">优惠</w:t>
      </w:r>
      <w:r>
        <w:rPr>
          <w:rFonts w:hint="eastAsia"/>
          <w:bCs/>
          <w:sz w:val="21"/>
          <w:szCs w:val="21"/>
          <w:highlight w:val="none"/>
        </w:rPr>
        <w:t xml:space="preserve">，用</w:t>
      </w:r>
      <w:r>
        <w:rPr>
          <w:rFonts w:hint="eastAsia"/>
          <w:bCs/>
          <w:sz w:val="21"/>
          <w:szCs w:val="21"/>
          <w:highlight w:val="none"/>
          <w:lang w:val="en-US"/>
        </w:rPr>
        <w:t xml:space="preserve">优惠</w:t>
      </w:r>
      <w:r>
        <w:rPr>
          <w:rFonts w:hint="eastAsia"/>
          <w:bCs/>
          <w:sz w:val="21"/>
          <w:szCs w:val="21"/>
          <w:highlight w:val="none"/>
        </w:rPr>
        <w:t xml:space="preserve">后的价格参与评审。</w:t>
      </w:r>
      <w:r/>
    </w:p>
    <w:p>
      <w:pPr>
        <w:ind w:firstLine="420"/>
        <w:spacing w:line="360" w:lineRule="auto"/>
        <w:rPr>
          <w:bCs/>
          <w:sz w:val="21"/>
          <w:szCs w:val="21"/>
          <w:highlight w:val="none"/>
        </w:rPr>
      </w:pPr>
      <w:r>
        <w:rPr>
          <w:rFonts w:hint="eastAsia"/>
          <w:bCs/>
          <w:sz w:val="21"/>
          <w:szCs w:val="21"/>
          <w:highlight w:val="none"/>
        </w:rPr>
        <w:t xml:space="preserve">4.2符合规定条件的残疾人福利性单位在参加磋商时，应当提供《残疾人福利性单位声明函》（见附件），并对声明的真实性负责。</w:t>
      </w:r>
      <w:r>
        <w:rPr>
          <w:rFonts w:hint="eastAsia"/>
          <w:sz w:val="21"/>
          <w:szCs w:val="21"/>
          <w:highlight w:val="none"/>
          <w:lang w:val="en-US"/>
        </w:rPr>
        <w:t xml:space="preserve">供应商</w:t>
      </w:r>
      <w:r>
        <w:rPr>
          <w:rFonts w:hint="eastAsia"/>
          <w:bCs/>
          <w:sz w:val="21"/>
          <w:szCs w:val="21"/>
          <w:highlight w:val="none"/>
        </w:rPr>
        <w:t xml:space="preserve">提供的《残疾人福利性单位声明函》与事实不符的，依照《政府采购法》第七十七条第一款的规定追究法律责任。</w:t>
      </w:r>
      <w:r/>
    </w:p>
    <w:p>
      <w:pPr>
        <w:ind w:firstLine="420"/>
        <w:spacing w:line="360" w:lineRule="auto"/>
        <w:rPr>
          <w:bCs/>
          <w:sz w:val="21"/>
          <w:szCs w:val="21"/>
          <w:highlight w:val="none"/>
        </w:rPr>
      </w:pPr>
      <w:r>
        <w:rPr>
          <w:rFonts w:hint="eastAsia"/>
          <w:bCs/>
          <w:sz w:val="21"/>
          <w:szCs w:val="21"/>
          <w:highlight w:val="none"/>
        </w:rPr>
        <w:t xml:space="preserve">4.3残疾人福利性单位标准请参照《关于促进残疾人就业政府采购政策的通知》（财库〔2017〕141号）。</w:t>
      </w:r>
      <w:r/>
    </w:p>
    <w:p>
      <w:pPr>
        <w:ind w:firstLine="420"/>
        <w:spacing w:line="360" w:lineRule="auto"/>
        <w:rPr>
          <w:bCs/>
          <w:sz w:val="21"/>
          <w:szCs w:val="21"/>
          <w:highlight w:val="none"/>
        </w:rPr>
      </w:pPr>
      <w:r>
        <w:rPr>
          <w:rFonts w:hint="eastAsia"/>
          <w:bCs/>
          <w:sz w:val="21"/>
          <w:szCs w:val="21"/>
          <w:highlight w:val="none"/>
        </w:rPr>
        <w:t xml:space="preserve">5.监狱企业、残疾人福利性单位属于小型、微型企业的，不重复享受政策。</w:t>
      </w:r>
      <w:r/>
    </w:p>
    <w:p>
      <w:pPr>
        <w:rPr>
          <w:sz w:val="21"/>
          <w:szCs w:val="21"/>
          <w:highlight w:val="none"/>
          <w:lang w:val="en-US"/>
        </w:rPr>
      </w:pPr>
      <w:r>
        <w:rPr>
          <w:sz w:val="21"/>
          <w:szCs w:val="21"/>
          <w:highlight w:val="none"/>
          <w:lang w:val="en-US"/>
        </w:rPr>
        <w:br w:type="page" w:clear="all"/>
      </w:r>
      <w:r/>
    </w:p>
    <w:p>
      <w:pPr>
        <w:jc w:val="center"/>
        <w:widowControl/>
        <w:rPr>
          <w:b/>
          <w:bCs/>
          <w:sz w:val="28"/>
          <w:szCs w:val="28"/>
          <w:highlight w:val="none"/>
        </w:rPr>
        <w:outlineLvl w:val="0"/>
      </w:pPr>
      <w:r>
        <w:rPr>
          <w:rFonts w:hint="eastAsia"/>
          <w:b/>
          <w:bCs/>
          <w:sz w:val="28"/>
          <w:szCs w:val="28"/>
          <w:highlight w:val="none"/>
        </w:rPr>
        <w:t xml:space="preserve">第四章 </w:t>
      </w:r>
      <w:r>
        <w:rPr>
          <w:rFonts w:hint="eastAsia"/>
          <w:b/>
          <w:bCs/>
          <w:sz w:val="28"/>
          <w:szCs w:val="28"/>
          <w:highlight w:val="none"/>
          <w:lang w:val="en-US"/>
        </w:rPr>
        <w:t xml:space="preserve"> </w:t>
      </w:r>
      <w:r>
        <w:rPr>
          <w:rFonts w:hint="eastAsia"/>
          <w:b/>
          <w:bCs/>
          <w:sz w:val="28"/>
          <w:szCs w:val="28"/>
          <w:highlight w:val="none"/>
        </w:rPr>
        <w:t xml:space="preserve">项目需求</w:t>
      </w:r>
      <w:r/>
    </w:p>
    <w:p>
      <w:pPr>
        <w:ind w:firstLine="422"/>
        <w:spacing w:line="360" w:lineRule="auto"/>
        <w:rPr>
          <w:b/>
          <w:bCs/>
          <w:sz w:val="21"/>
          <w:szCs w:val="21"/>
          <w:highlight w:val="none"/>
        </w:rPr>
      </w:pPr>
      <w:r>
        <w:rPr>
          <w:rFonts w:hint="eastAsia"/>
          <w:b/>
          <w:bCs/>
          <w:sz w:val="21"/>
          <w:szCs w:val="21"/>
          <w:highlight w:val="none"/>
        </w:rPr>
        <w:t xml:space="preserve">一、项目</w:t>
      </w:r>
      <w:r>
        <w:rPr>
          <w:rFonts w:hint="eastAsia"/>
          <w:b/>
          <w:bCs/>
          <w:sz w:val="21"/>
          <w:szCs w:val="21"/>
          <w:highlight w:val="none"/>
          <w:lang w:val="en-US"/>
        </w:rPr>
        <w:t xml:space="preserve">概况</w:t>
      </w:r>
      <w:r/>
    </w:p>
    <w:p>
      <w:pPr>
        <w:ind w:firstLine="422"/>
        <w:spacing w:line="360" w:lineRule="auto"/>
        <w:rPr>
          <w:b/>
          <w:bCs/>
          <w:sz w:val="21"/>
          <w:szCs w:val="21"/>
          <w:highlight w:val="none"/>
          <w:lang w:val="en-US"/>
        </w:rPr>
      </w:pPr>
      <w:r>
        <w:rPr>
          <w:rFonts w:hint="eastAsia"/>
          <w:b/>
          <w:bCs/>
          <w:sz w:val="21"/>
          <w:szCs w:val="21"/>
          <w:highlight w:val="none"/>
        </w:rPr>
        <w:t xml:space="preserve">（</w:t>
      </w:r>
      <w:r>
        <w:rPr>
          <w:rFonts w:hint="eastAsia"/>
          <w:b/>
          <w:bCs/>
          <w:sz w:val="21"/>
          <w:szCs w:val="21"/>
          <w:highlight w:val="none"/>
          <w:lang w:val="en-US"/>
        </w:rPr>
        <w:t xml:space="preserve">一</w:t>
      </w:r>
      <w:r>
        <w:rPr>
          <w:rFonts w:hint="eastAsia"/>
          <w:b/>
          <w:bCs/>
          <w:sz w:val="21"/>
          <w:szCs w:val="21"/>
          <w:highlight w:val="none"/>
        </w:rPr>
        <w:t xml:space="preserve">）</w:t>
      </w:r>
      <w:r>
        <w:rPr>
          <w:rFonts w:hint="eastAsia"/>
          <w:b/>
          <w:bCs/>
          <w:sz w:val="21"/>
          <w:szCs w:val="21"/>
          <w:highlight w:val="none"/>
          <w:lang w:val="en-US"/>
        </w:rPr>
        <w:t xml:space="preserve">项目背景</w:t>
      </w:r>
      <w:r/>
    </w:p>
    <w:p>
      <w:pPr>
        <w:ind w:firstLine="420"/>
        <w:spacing w:line="360" w:lineRule="auto"/>
        <w:rPr>
          <w:sz w:val="21"/>
          <w:szCs w:val="21"/>
          <w:highlight w:val="none"/>
          <w:lang w:val="en-US"/>
        </w:rPr>
      </w:pPr>
      <w:r>
        <w:rPr>
          <w:rFonts w:hint="eastAsia"/>
          <w:sz w:val="21"/>
          <w:szCs w:val="21"/>
          <w:highlight w:val="none"/>
          <w:lang w:val="en-US"/>
        </w:rPr>
        <w:t xml:space="preserve">空气质量预测预报是大气污染防治精准施策、有效应对重污染天气的重要基础，是持续深入推进蓝天保卫战的重要支撑。江苏省环境监测中心在2024年完成了江苏省环境监控系统二期工程重污染天气监测预报预警系统项目建设，维持相关系统正常运行和不断优化完善系统中的功能模块是必要和有重大意义的。</w:t>
      </w:r>
      <w:r/>
    </w:p>
    <w:p>
      <w:pPr>
        <w:ind w:firstLine="420"/>
        <w:spacing w:line="360" w:lineRule="auto"/>
        <w:rPr>
          <w:sz w:val="21"/>
          <w:szCs w:val="21"/>
          <w:highlight w:val="none"/>
          <w:lang w:val="en-US"/>
        </w:rPr>
      </w:pPr>
      <w:r>
        <w:rPr>
          <w:rFonts w:hint="eastAsia"/>
          <w:sz w:val="21"/>
          <w:szCs w:val="21"/>
          <w:highlight w:val="none"/>
          <w:lang w:val="en-US"/>
        </w:rPr>
        <w:t xml:space="preserve">重污染天气监测预报预警系统在建设时分为了综合分析及常规预报子系统、精准预警及智慧溯源评估子系统。本运维项目拟分为两个包，其中包1开展综合分析及常规预报子系统运维，包2开展精准预警及智慧溯源评估子系统运维。</w:t>
      </w:r>
      <w:r/>
    </w:p>
    <w:p>
      <w:pPr>
        <w:ind w:firstLine="420"/>
        <w:spacing w:line="360" w:lineRule="auto"/>
        <w:rPr>
          <w:b/>
          <w:bCs/>
          <w:sz w:val="21"/>
          <w:szCs w:val="21"/>
          <w:highlight w:val="none"/>
          <w:lang w:val="en-US"/>
        </w:rPr>
      </w:pPr>
      <w:r>
        <w:rPr>
          <w:rFonts w:hint="eastAsia"/>
          <w:sz w:val="21"/>
          <w:szCs w:val="21"/>
          <w:highlight w:val="none"/>
          <w:lang w:val="en-US"/>
        </w:rPr>
        <w:t xml:space="preserve">本项目列入数字人民币试点，供应商需接受数字人民币付款。</w:t>
      </w:r>
      <w:r/>
    </w:p>
    <w:p>
      <w:pPr>
        <w:ind w:firstLine="422"/>
        <w:spacing w:line="360" w:lineRule="auto"/>
        <w:rPr>
          <w:b/>
          <w:bCs/>
          <w:sz w:val="21"/>
          <w:szCs w:val="21"/>
          <w:highlight w:val="none"/>
          <w:lang w:val="en-US"/>
        </w:rPr>
      </w:pPr>
      <w:r>
        <w:rPr>
          <w:rFonts w:hint="eastAsia"/>
          <w:b/>
          <w:bCs/>
          <w:sz w:val="21"/>
          <w:szCs w:val="21"/>
          <w:highlight w:val="none"/>
        </w:rPr>
        <w:t xml:space="preserve">（</w:t>
      </w:r>
      <w:r>
        <w:rPr>
          <w:rFonts w:hint="eastAsia"/>
          <w:b/>
          <w:bCs/>
          <w:sz w:val="21"/>
          <w:szCs w:val="21"/>
          <w:highlight w:val="none"/>
          <w:lang w:val="en-US"/>
        </w:rPr>
        <w:t xml:space="preserve">二</w:t>
      </w:r>
      <w:r>
        <w:rPr>
          <w:rFonts w:hint="eastAsia"/>
          <w:b/>
          <w:bCs/>
          <w:sz w:val="21"/>
          <w:szCs w:val="21"/>
          <w:highlight w:val="none"/>
        </w:rPr>
        <w:t xml:space="preserve">）</w:t>
      </w:r>
      <w:r>
        <w:rPr>
          <w:rFonts w:hint="eastAsia"/>
          <w:b/>
          <w:bCs/>
          <w:sz w:val="21"/>
          <w:szCs w:val="21"/>
          <w:highlight w:val="none"/>
          <w:lang w:val="en-US"/>
        </w:rPr>
        <w:t xml:space="preserve">采购清单</w:t>
      </w:r>
      <w:r/>
    </w:p>
    <w:tbl>
      <w:tblPr>
        <w:tblStyle w:val="719"/>
        <w:tblW w:w="9429"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4652"/>
        <w:gridCol w:w="939"/>
        <w:gridCol w:w="1329"/>
        <w:gridCol w:w="1855"/>
      </w:tblGrid>
      <w:tr>
        <w:trPr>
          <w:trHeight w:val="255"/>
        </w:trPr>
        <w:tc>
          <w:tcPr>
            <w:tcW w:w="654" w:type="dxa"/>
            <w:vAlign w:val="center"/>
            <w:textDirection w:val="lrTb"/>
            <w:noWrap w:val="false"/>
          </w:tcPr>
          <w:p>
            <w:pPr>
              <w:jc w:val="center"/>
              <w:spacing w:line="360" w:lineRule="auto"/>
              <w:rPr>
                <w:rFonts w:cs="Times New Roman"/>
                <w:color w:val="000000"/>
                <w:sz w:val="21"/>
                <w:szCs w:val="21"/>
                <w:highlight w:val="none"/>
              </w:rPr>
            </w:pPr>
            <w:r>
              <w:rPr>
                <w:rFonts w:hint="eastAsia" w:cs="Times New Roman"/>
                <w:color w:val="000000"/>
                <w:sz w:val="21"/>
                <w:szCs w:val="21"/>
                <w:highlight w:val="none"/>
                <w:lang w:val="en-US"/>
              </w:rPr>
              <w:t xml:space="preserve">采购</w:t>
            </w:r>
            <w:r>
              <w:rPr>
                <w:rFonts w:hint="eastAsia" w:cs="Times New Roman"/>
                <w:color w:val="000000"/>
                <w:sz w:val="21"/>
                <w:szCs w:val="21"/>
                <w:highlight w:val="none"/>
              </w:rPr>
              <w:t xml:space="preserve">包号</w:t>
            </w:r>
            <w:r/>
          </w:p>
        </w:tc>
        <w:tc>
          <w:tcPr>
            <w:tcW w:w="4652" w:type="dxa"/>
            <w:vAlign w:val="center"/>
            <w:textDirection w:val="lrTb"/>
            <w:noWrap w:val="false"/>
          </w:tcPr>
          <w:p>
            <w:pPr>
              <w:jc w:val="center"/>
              <w:spacing w:line="360" w:lineRule="auto"/>
              <w:rPr>
                <w:rFonts w:cs="Times New Roman"/>
                <w:color w:val="000000"/>
                <w:sz w:val="21"/>
                <w:szCs w:val="21"/>
                <w:highlight w:val="none"/>
              </w:rPr>
            </w:pPr>
            <w:r>
              <w:rPr>
                <w:rFonts w:hint="eastAsia" w:cs="Times New Roman"/>
                <w:color w:val="000000"/>
                <w:sz w:val="21"/>
                <w:szCs w:val="21"/>
                <w:highlight w:val="none"/>
                <w:lang w:val="en-US"/>
              </w:rPr>
              <w:t xml:space="preserve">包号</w:t>
            </w:r>
            <w:r>
              <w:rPr>
                <w:rFonts w:hint="eastAsia" w:cs="Times New Roman"/>
                <w:color w:val="000000"/>
                <w:sz w:val="21"/>
                <w:szCs w:val="21"/>
                <w:highlight w:val="none"/>
              </w:rPr>
              <w:t xml:space="preserve">名称</w:t>
            </w:r>
            <w:r/>
          </w:p>
        </w:tc>
        <w:tc>
          <w:tcPr>
            <w:tcW w:w="939" w:type="dxa"/>
            <w:vAlign w:val="center"/>
            <w:textDirection w:val="lrTb"/>
            <w:noWrap w:val="false"/>
          </w:tcPr>
          <w:p>
            <w:pPr>
              <w:jc w:val="center"/>
              <w:spacing w:line="360" w:lineRule="auto"/>
              <w:rPr>
                <w:rFonts w:cs="Times New Roman"/>
                <w:color w:val="000000"/>
                <w:sz w:val="21"/>
                <w:szCs w:val="21"/>
                <w:highlight w:val="none"/>
              </w:rPr>
            </w:pPr>
            <w:r>
              <w:rPr>
                <w:rFonts w:hint="eastAsia" w:cs="Times New Roman"/>
                <w:color w:val="000000"/>
                <w:sz w:val="21"/>
                <w:szCs w:val="21"/>
                <w:highlight w:val="none"/>
                <w:lang w:val="en-US"/>
              </w:rPr>
              <w:t xml:space="preserve">服务期</w:t>
            </w:r>
            <w:r/>
          </w:p>
        </w:tc>
        <w:tc>
          <w:tcPr>
            <w:tcW w:w="1329" w:type="dxa"/>
            <w:vAlign w:val="center"/>
            <w:textDirection w:val="lrTb"/>
            <w:noWrap w:val="false"/>
          </w:tcPr>
          <w:p>
            <w:pPr>
              <w:jc w:val="center"/>
              <w:spacing w:line="360" w:lineRule="auto"/>
              <w:rPr>
                <w:rFonts w:cs="Times New Roman"/>
                <w:color w:val="000000"/>
                <w:sz w:val="21"/>
                <w:szCs w:val="21"/>
                <w:highlight w:val="none"/>
              </w:rPr>
            </w:pPr>
            <w:r>
              <w:rPr>
                <w:rFonts w:hint="eastAsia" w:cs="Times New Roman"/>
                <w:color w:val="000000"/>
                <w:sz w:val="21"/>
                <w:szCs w:val="21"/>
                <w:highlight w:val="none"/>
              </w:rPr>
              <w:t xml:space="preserve">采购预算</w:t>
            </w:r>
            <w:r/>
          </w:p>
          <w:p>
            <w:pPr>
              <w:jc w:val="center"/>
              <w:spacing w:line="360" w:lineRule="auto"/>
              <w:rPr>
                <w:rFonts w:cs="Times New Roman"/>
                <w:color w:val="000000"/>
                <w:sz w:val="21"/>
                <w:szCs w:val="21"/>
                <w:highlight w:val="none"/>
              </w:rPr>
            </w:pPr>
            <w:r>
              <w:rPr>
                <w:rFonts w:hint="eastAsia" w:cs="Times New Roman"/>
                <w:color w:val="000000"/>
                <w:sz w:val="21"/>
                <w:szCs w:val="21"/>
                <w:highlight w:val="none"/>
              </w:rPr>
              <w:t xml:space="preserve">（人民币）</w:t>
            </w:r>
            <w:r/>
          </w:p>
        </w:tc>
        <w:tc>
          <w:tcPr>
            <w:tcW w:w="1855" w:type="dxa"/>
            <w:vAlign w:val="center"/>
            <w:textDirection w:val="lrTb"/>
            <w:noWrap w:val="false"/>
          </w:tcPr>
          <w:p>
            <w:pPr>
              <w:jc w:val="center"/>
              <w:spacing w:line="360" w:lineRule="auto"/>
              <w:rPr>
                <w:rFonts w:cs="Times New Roman"/>
                <w:color w:val="000000"/>
                <w:sz w:val="21"/>
                <w:szCs w:val="21"/>
                <w:highlight w:val="none"/>
              </w:rPr>
            </w:pPr>
            <w:r>
              <w:rPr>
                <w:rFonts w:hint="eastAsia" w:cs="Times New Roman"/>
                <w:color w:val="000000"/>
                <w:sz w:val="21"/>
                <w:szCs w:val="21"/>
                <w:highlight w:val="none"/>
                <w:lang w:val="en-US"/>
              </w:rPr>
              <w:t xml:space="preserve">最高限价</w:t>
            </w:r>
            <w:r/>
          </w:p>
          <w:p>
            <w:pPr>
              <w:jc w:val="center"/>
              <w:spacing w:line="360" w:lineRule="auto"/>
              <w:rPr>
                <w:rFonts w:cs="Times New Roman"/>
                <w:color w:val="000000"/>
                <w:sz w:val="21"/>
                <w:szCs w:val="21"/>
                <w:highlight w:val="none"/>
              </w:rPr>
            </w:pPr>
            <w:r>
              <w:rPr>
                <w:rFonts w:hint="eastAsia" w:cs="Times New Roman"/>
                <w:color w:val="000000"/>
                <w:sz w:val="21"/>
                <w:szCs w:val="21"/>
                <w:highlight w:val="none"/>
              </w:rPr>
              <w:t xml:space="preserve">（人民币）</w:t>
            </w:r>
            <w:r/>
          </w:p>
        </w:tc>
      </w:tr>
      <w:tr>
        <w:trPr>
          <w:trHeight w:val="567"/>
        </w:trPr>
        <w:tc>
          <w:tcPr>
            <w:tcW w:w="654" w:type="dxa"/>
            <w:vAlign w:val="center"/>
            <w:textDirection w:val="lrTb"/>
            <w:noWrap w:val="false"/>
          </w:tcPr>
          <w:p>
            <w:pPr>
              <w:jc w:val="center"/>
              <w:rPr>
                <w:rFonts w:cs="Times New Roman"/>
                <w:color w:val="000000"/>
                <w:sz w:val="21"/>
                <w:szCs w:val="21"/>
                <w:highlight w:val="none"/>
              </w:rPr>
            </w:pPr>
            <w:r>
              <w:rPr>
                <w:rFonts w:hint="eastAsia" w:cs="Times New Roman"/>
                <w:color w:val="000000"/>
                <w:sz w:val="21"/>
                <w:szCs w:val="21"/>
                <w:highlight w:val="none"/>
              </w:rPr>
              <w:t xml:space="preserve">01</w:t>
            </w:r>
            <w:r/>
          </w:p>
        </w:tc>
        <w:tc>
          <w:tcPr>
            <w:tcW w:w="4652" w:type="dxa"/>
            <w:vAlign w:val="center"/>
            <w:textDirection w:val="lrTb"/>
            <w:noWrap w:val="false"/>
          </w:tcPr>
          <w:p>
            <w:pPr>
              <w:jc w:val="center"/>
              <w:rPr>
                <w:rFonts w:cs="Times New Roman"/>
                <w:color w:val="000000"/>
                <w:sz w:val="21"/>
                <w:szCs w:val="21"/>
                <w:highlight w:val="none"/>
              </w:rPr>
            </w:pPr>
            <w:r>
              <w:rPr>
                <w:spacing w:val="-10"/>
                <w:sz w:val="21"/>
                <w:szCs w:val="21"/>
                <w:highlight w:val="none"/>
              </w:rPr>
              <w:t xml:space="preserve">江苏省环境监控系统二期工程重污染天气监测预报预警系统运维项目</w:t>
            </w:r>
            <w:r>
              <w:rPr>
                <w:rFonts w:hint="eastAsia"/>
                <w:spacing w:val="-10"/>
                <w:sz w:val="21"/>
                <w:szCs w:val="21"/>
                <w:highlight w:val="none"/>
              </w:rPr>
              <w:t xml:space="preserve">—综合分析及常规预报子系统运维</w:t>
            </w:r>
            <w:r/>
          </w:p>
        </w:tc>
        <w:tc>
          <w:tcPr>
            <w:tcW w:w="939" w:type="dxa"/>
            <w:vAlign w:val="center"/>
            <w:textDirection w:val="lrTb"/>
            <w:noWrap w:val="false"/>
          </w:tcPr>
          <w:p>
            <w:pPr>
              <w:jc w:val="center"/>
              <w:rPr>
                <w:rFonts w:cs="Times New Roman"/>
                <w:color w:val="000000"/>
                <w:sz w:val="21"/>
                <w:szCs w:val="21"/>
                <w:highlight w:val="none"/>
              </w:rPr>
            </w:pPr>
            <w:r>
              <w:rPr>
                <w:rFonts w:cs="Times New Roman"/>
                <w:color w:val="000000"/>
                <w:sz w:val="21"/>
                <w:szCs w:val="21"/>
                <w:highlight w:val="none"/>
              </w:rPr>
              <w:t xml:space="preserve">1</w:t>
            </w:r>
            <w:r>
              <w:rPr>
                <w:rFonts w:hint="eastAsia" w:cs="Times New Roman"/>
                <w:color w:val="000000"/>
                <w:sz w:val="21"/>
                <w:szCs w:val="21"/>
                <w:highlight w:val="none"/>
              </w:rPr>
              <w:t xml:space="preserve">年</w:t>
            </w:r>
            <w:r/>
          </w:p>
        </w:tc>
        <w:tc>
          <w:tcPr>
            <w:tcW w:w="1329" w:type="dxa"/>
            <w:vAlign w:val="center"/>
            <w:textDirection w:val="lrTb"/>
            <w:noWrap w:val="false"/>
          </w:tcPr>
          <w:p>
            <w:pPr>
              <w:jc w:val="center"/>
              <w:spacing w:line="360" w:lineRule="auto"/>
              <w:rPr>
                <w:rFonts w:cs="Times New Roman"/>
                <w:color w:val="000000"/>
                <w:sz w:val="21"/>
                <w:szCs w:val="21"/>
                <w:highlight w:val="none"/>
              </w:rPr>
            </w:pPr>
            <w:r>
              <w:rPr>
                <w:rFonts w:cs="Times New Roman"/>
                <w:color w:val="000000"/>
                <w:sz w:val="21"/>
                <w:szCs w:val="21"/>
                <w:highlight w:val="none"/>
              </w:rPr>
              <w:t xml:space="preserve">96</w:t>
            </w:r>
            <w:r>
              <w:rPr>
                <w:rFonts w:hint="eastAsia" w:cs="Times New Roman"/>
                <w:color w:val="000000"/>
                <w:sz w:val="21"/>
                <w:szCs w:val="21"/>
                <w:highlight w:val="none"/>
              </w:rPr>
              <w:t xml:space="preserve">万</w:t>
            </w:r>
            <w:r/>
          </w:p>
        </w:tc>
        <w:tc>
          <w:tcPr>
            <w:shd w:val="clear" w:color="auto" w:fill="auto"/>
            <w:tcW w:w="1855" w:type="dxa"/>
            <w:vAlign w:val="center"/>
            <w:textDirection w:val="lrTb"/>
            <w:noWrap w:val="false"/>
          </w:tcPr>
          <w:p>
            <w:pPr>
              <w:jc w:val="center"/>
              <w:spacing w:line="360" w:lineRule="auto"/>
              <w:rPr>
                <w:rFonts w:cs="Times New Roman"/>
                <w:color w:val="000000"/>
                <w:sz w:val="21"/>
                <w:szCs w:val="21"/>
                <w:highlight w:val="none"/>
              </w:rPr>
            </w:pPr>
            <w:r>
              <w:rPr>
                <w:rFonts w:cs="Times New Roman"/>
                <w:color w:val="000000"/>
                <w:sz w:val="21"/>
                <w:szCs w:val="21"/>
                <w:highlight w:val="none"/>
              </w:rPr>
              <w:t xml:space="preserve">96</w:t>
            </w:r>
            <w:r>
              <w:rPr>
                <w:rFonts w:hint="eastAsia" w:cs="Times New Roman"/>
                <w:color w:val="000000"/>
                <w:sz w:val="21"/>
                <w:szCs w:val="21"/>
                <w:highlight w:val="none"/>
              </w:rPr>
              <w:t xml:space="preserve">万</w:t>
            </w:r>
            <w:r/>
          </w:p>
        </w:tc>
      </w:tr>
      <w:tr>
        <w:trPr>
          <w:trHeight w:val="567"/>
        </w:trPr>
        <w:tc>
          <w:tcPr>
            <w:tcW w:w="654" w:type="dxa"/>
            <w:vAlign w:val="center"/>
            <w:textDirection w:val="lrTb"/>
            <w:noWrap w:val="false"/>
          </w:tcPr>
          <w:p>
            <w:pPr>
              <w:jc w:val="center"/>
              <w:rPr>
                <w:rFonts w:cs="Times New Roman"/>
                <w:color w:val="000000"/>
                <w:sz w:val="21"/>
                <w:szCs w:val="21"/>
                <w:highlight w:val="none"/>
              </w:rPr>
            </w:pPr>
            <w:r>
              <w:rPr>
                <w:rFonts w:hint="eastAsia" w:cs="Times New Roman"/>
                <w:color w:val="000000"/>
                <w:sz w:val="21"/>
                <w:szCs w:val="21"/>
                <w:highlight w:val="none"/>
              </w:rPr>
              <w:t xml:space="preserve">0</w:t>
            </w:r>
            <w:r>
              <w:rPr>
                <w:rFonts w:cs="Times New Roman"/>
                <w:color w:val="000000"/>
                <w:sz w:val="21"/>
                <w:szCs w:val="21"/>
                <w:highlight w:val="none"/>
              </w:rPr>
              <w:t xml:space="preserve">2</w:t>
            </w:r>
            <w:r/>
          </w:p>
        </w:tc>
        <w:tc>
          <w:tcPr>
            <w:tcW w:w="4652" w:type="dxa"/>
            <w:vAlign w:val="center"/>
            <w:textDirection w:val="lrTb"/>
            <w:noWrap w:val="false"/>
          </w:tcPr>
          <w:p>
            <w:pPr>
              <w:jc w:val="center"/>
              <w:rPr>
                <w:rFonts w:cs="Times New Roman"/>
                <w:color w:val="000000"/>
                <w:sz w:val="21"/>
                <w:szCs w:val="21"/>
                <w:highlight w:val="none"/>
              </w:rPr>
            </w:pPr>
            <w:r>
              <w:rPr>
                <w:spacing w:val="-10"/>
                <w:sz w:val="21"/>
                <w:szCs w:val="21"/>
                <w:highlight w:val="none"/>
              </w:rPr>
              <w:t xml:space="preserve">江苏省环境监控系统二期工程重污染天气监测预报预警系统运维项目</w:t>
            </w:r>
            <w:r>
              <w:rPr>
                <w:rFonts w:hint="eastAsia"/>
                <w:spacing w:val="-10"/>
                <w:sz w:val="21"/>
                <w:szCs w:val="21"/>
                <w:highlight w:val="none"/>
              </w:rPr>
              <w:t xml:space="preserve">—精准预警及智慧溯源评估子系统运维</w:t>
            </w:r>
            <w:r/>
          </w:p>
        </w:tc>
        <w:tc>
          <w:tcPr>
            <w:tcW w:w="939" w:type="dxa"/>
            <w:vAlign w:val="center"/>
            <w:textDirection w:val="lrTb"/>
            <w:noWrap w:val="false"/>
          </w:tcPr>
          <w:p>
            <w:pPr>
              <w:jc w:val="center"/>
              <w:rPr>
                <w:rFonts w:cs="Times New Roman"/>
                <w:color w:val="000000"/>
                <w:sz w:val="21"/>
                <w:szCs w:val="21"/>
                <w:highlight w:val="none"/>
              </w:rPr>
            </w:pPr>
            <w:r>
              <w:rPr>
                <w:rFonts w:cs="Times New Roman"/>
                <w:color w:val="000000"/>
                <w:sz w:val="21"/>
                <w:szCs w:val="21"/>
                <w:highlight w:val="none"/>
              </w:rPr>
              <w:t xml:space="preserve">1</w:t>
            </w:r>
            <w:r>
              <w:rPr>
                <w:rFonts w:hint="eastAsia" w:cs="Times New Roman"/>
                <w:color w:val="000000"/>
                <w:sz w:val="21"/>
                <w:szCs w:val="21"/>
                <w:highlight w:val="none"/>
              </w:rPr>
              <w:t xml:space="preserve">年</w:t>
            </w:r>
            <w:r/>
          </w:p>
        </w:tc>
        <w:tc>
          <w:tcPr>
            <w:tcW w:w="1329" w:type="dxa"/>
            <w:vAlign w:val="center"/>
            <w:textDirection w:val="lrTb"/>
            <w:noWrap w:val="false"/>
          </w:tcPr>
          <w:p>
            <w:pPr>
              <w:jc w:val="center"/>
              <w:spacing w:line="360" w:lineRule="auto"/>
              <w:rPr>
                <w:rFonts w:cs="Times New Roman"/>
                <w:color w:val="000000"/>
                <w:sz w:val="21"/>
                <w:szCs w:val="21"/>
                <w:highlight w:val="none"/>
              </w:rPr>
            </w:pPr>
            <w:r>
              <w:rPr>
                <w:rFonts w:cs="Times New Roman"/>
                <w:color w:val="000000"/>
                <w:sz w:val="21"/>
                <w:szCs w:val="21"/>
                <w:highlight w:val="none"/>
              </w:rPr>
              <w:t xml:space="preserve">64</w:t>
            </w:r>
            <w:r>
              <w:rPr>
                <w:rFonts w:hint="eastAsia" w:cs="Times New Roman"/>
                <w:color w:val="000000"/>
                <w:sz w:val="21"/>
                <w:szCs w:val="21"/>
                <w:highlight w:val="none"/>
              </w:rPr>
              <w:t xml:space="preserve">万</w:t>
            </w:r>
            <w:r/>
          </w:p>
        </w:tc>
        <w:tc>
          <w:tcPr>
            <w:shd w:val="clear" w:color="auto" w:fill="auto"/>
            <w:tcW w:w="1855" w:type="dxa"/>
            <w:vAlign w:val="center"/>
            <w:textDirection w:val="lrTb"/>
            <w:noWrap w:val="false"/>
          </w:tcPr>
          <w:p>
            <w:pPr>
              <w:jc w:val="center"/>
              <w:spacing w:line="360" w:lineRule="auto"/>
              <w:rPr>
                <w:rFonts w:cs="Times New Roman"/>
                <w:color w:val="000000"/>
                <w:sz w:val="21"/>
                <w:szCs w:val="21"/>
                <w:highlight w:val="none"/>
              </w:rPr>
            </w:pPr>
            <w:r>
              <w:rPr>
                <w:rFonts w:cs="Times New Roman"/>
                <w:color w:val="000000"/>
                <w:sz w:val="21"/>
                <w:szCs w:val="21"/>
                <w:highlight w:val="none"/>
              </w:rPr>
              <w:t xml:space="preserve">64</w:t>
            </w:r>
            <w:r>
              <w:rPr>
                <w:rFonts w:hint="eastAsia" w:cs="Times New Roman"/>
                <w:color w:val="000000"/>
                <w:sz w:val="21"/>
                <w:szCs w:val="21"/>
                <w:highlight w:val="none"/>
              </w:rPr>
              <w:t xml:space="preserve">万</w:t>
            </w:r>
            <w:r/>
          </w:p>
        </w:tc>
      </w:tr>
    </w:tbl>
    <w:p>
      <w:pPr>
        <w:ind w:firstLine="422"/>
        <w:spacing w:line="360" w:lineRule="auto"/>
        <w:rPr>
          <w:b/>
          <w:bCs/>
          <w:sz w:val="21"/>
          <w:szCs w:val="21"/>
          <w:highlight w:val="none"/>
          <w:lang w:val="en-US"/>
        </w:rPr>
      </w:pPr>
      <w:r>
        <w:rPr>
          <w:b/>
          <w:bCs/>
          <w:sz w:val="21"/>
          <w:szCs w:val="21"/>
          <w:highlight w:val="none"/>
          <w:lang w:val="en-US"/>
        </w:rPr>
      </w:r>
      <w:r/>
    </w:p>
    <w:p>
      <w:pPr>
        <w:ind w:firstLine="422"/>
        <w:spacing w:line="360" w:lineRule="auto"/>
        <w:rPr>
          <w:sz w:val="21"/>
          <w:szCs w:val="21"/>
          <w:highlight w:val="none"/>
          <w:lang w:val="en-US"/>
        </w:rPr>
      </w:pPr>
      <w:r>
        <w:rPr>
          <w:rFonts w:hint="eastAsia"/>
          <w:b/>
          <w:bCs/>
          <w:sz w:val="21"/>
          <w:szCs w:val="21"/>
          <w:highlight w:val="none"/>
          <w:lang w:val="en-US"/>
        </w:rPr>
        <w:t xml:space="preserve">二、</w:t>
      </w:r>
      <w:r>
        <w:rPr>
          <w:b/>
          <w:bCs/>
          <w:sz w:val="21"/>
          <w:szCs w:val="21"/>
          <w:highlight w:val="none"/>
          <w:lang w:val="en-US"/>
        </w:rPr>
        <w:t xml:space="preserve">采购内容和要求</w:t>
      </w:r>
      <w:r/>
    </w:p>
    <w:p>
      <w:pPr>
        <w:ind w:firstLine="422"/>
        <w:jc w:val="both"/>
        <w:spacing w:line="360" w:lineRule="auto"/>
        <w:rPr>
          <w:b/>
          <w:bCs/>
          <w:sz w:val="28"/>
          <w:szCs w:val="28"/>
          <w:highlight w:val="none"/>
        </w:rPr>
        <w:outlineLvl w:val="0"/>
      </w:pPr>
      <w:r>
        <w:rPr>
          <w:rFonts w:hint="eastAsia"/>
          <w:b/>
          <w:bCs/>
          <w:sz w:val="21"/>
          <w:szCs w:val="21"/>
          <w:highlight w:val="none"/>
          <w:lang w:val="en-US"/>
        </w:rPr>
        <w:t xml:space="preserve">（一）现有系统概述</w:t>
      </w:r>
      <w:r/>
    </w:p>
    <w:p>
      <w:pPr>
        <w:ind w:firstLine="420"/>
        <w:spacing w:line="360" w:lineRule="auto"/>
        <w:rPr>
          <w:sz w:val="21"/>
          <w:szCs w:val="21"/>
          <w:highlight w:val="none"/>
          <w:lang w:val="en-US"/>
        </w:rPr>
      </w:pPr>
      <w:r>
        <w:rPr>
          <w:rFonts w:hint="eastAsia"/>
          <w:sz w:val="21"/>
          <w:szCs w:val="21"/>
          <w:highlight w:val="none"/>
          <w:lang w:val="en-US"/>
        </w:rPr>
        <w:t xml:space="preserve">重污染天气监测预报预警系统在建设时分为了综合分析及常规预报子系统、精准预警及智慧溯源评估子系统。</w:t>
      </w:r>
      <w:r/>
    </w:p>
    <w:p>
      <w:pPr>
        <w:ind w:firstLine="420"/>
        <w:spacing w:line="360" w:lineRule="auto"/>
        <w:rPr>
          <w:sz w:val="21"/>
          <w:szCs w:val="21"/>
          <w:highlight w:val="none"/>
          <w:lang w:val="en-US"/>
        </w:rPr>
      </w:pPr>
      <w:r>
        <w:rPr>
          <w:rFonts w:hint="eastAsia"/>
          <w:sz w:val="21"/>
          <w:szCs w:val="21"/>
          <w:highlight w:val="none"/>
          <w:lang w:val="en-US"/>
        </w:rPr>
        <w:t xml:space="preserve">综合分析及常规预报子系统负责集成多元数据（网格化、超站、乡镇站、卫星等）和子系统，包含了数据库扩容升级、实况监测数据分析升级优化、环境质量预报结果展示提升、常规预报模式基础升级、预报数据评估模块、业务预报分析作业模</w:t>
      </w:r>
      <w:r>
        <w:rPr>
          <w:rFonts w:hint="eastAsia"/>
          <w:sz w:val="21"/>
          <w:szCs w:val="21"/>
          <w:highlight w:val="none"/>
          <w:lang w:val="en-US"/>
        </w:rPr>
        <w:t xml:space="preserve">块、平台管理模块升级优化、高性能计算环境、污染案例库等模块。空气质量模式包含WRF-Chem、CMAQ、NAQPMS和CAMx，模拟网格采用三层嵌套，最内层网格包含江苏全部及部分周边省份区域，最内层分辨率3公里；中间层网格包含京津冀以及长三角主要区域，分辨率9公里；最外层网格包含中国以及北方主要起沙区域，分辨率27公里，模型实现每日NCEP全球GFS气象预测数据（北京时间20时）的自动下载，在GFS气象预测数据下载完成之后，模型实现每日自动运行，未来10天内的空气质量预报产品在第二天08时（北京时）前生成。</w:t>
      </w:r>
      <w:r/>
    </w:p>
    <w:p>
      <w:pPr>
        <w:ind w:firstLine="420"/>
        <w:spacing w:line="360" w:lineRule="auto"/>
        <w:rPr>
          <w:sz w:val="21"/>
          <w:szCs w:val="21"/>
          <w:highlight w:val="none"/>
          <w:lang w:val="en-US"/>
        </w:rPr>
      </w:pPr>
      <w:r>
        <w:rPr>
          <w:rFonts w:hint="eastAsia"/>
          <w:sz w:val="21"/>
          <w:szCs w:val="21"/>
          <w:highlight w:val="none"/>
          <w:lang w:val="en-US"/>
        </w:rPr>
        <w:t xml:space="preserve">精准预警及智慧溯源评估子系统包括基于ECWMF的空气质量预报、短临预报模式、中长期空气质量预报模式、污染溯源、管控成效评估、大气</w:t>
      </w:r>
      <w:r>
        <w:rPr>
          <w:rFonts w:hint="eastAsia"/>
          <w:sz w:val="21"/>
          <w:szCs w:val="21"/>
          <w:highlight w:val="none"/>
          <w:lang w:val="en-US"/>
        </w:rPr>
        <w:t xml:space="preserve">污染排放清单反演及动态更新、清单管理及可视化等模块。模式包含EC-CMAQ（利用ECWMF驱动的CMAQ）、CMAQ-ISAM等，模拟网格采用三层嵌套，最内层网格包含江苏全部及部分周边省份区域，最内层分辨率3公里；中间层网格包含京津冀以及长三角主要区域，分辨率9公里；最外层网格包含中国以及北方主要起沙区域，分辨率27公里，所有空气质量模型均使用20时（北京时）起报的气象预报数据进行计算，未来3天内的空气质量预报产品在第二天08时（北京时）前生成，未来10天内的空气质量预报产品在第二天10时（北京时）前生成。</w:t>
      </w:r>
      <w:r/>
    </w:p>
    <w:p>
      <w:pPr>
        <w:ind w:firstLine="422"/>
        <w:jc w:val="both"/>
        <w:spacing w:line="360" w:lineRule="auto"/>
        <w:rPr>
          <w:highlight w:val="none"/>
        </w:rPr>
        <w:outlineLvl w:val="0"/>
      </w:pPr>
      <w:r>
        <w:rPr>
          <w:rFonts w:hint="eastAsia"/>
          <w:b/>
          <w:bCs/>
          <w:sz w:val="21"/>
          <w:szCs w:val="21"/>
          <w:highlight w:val="none"/>
          <w:lang w:val="en-US"/>
        </w:rPr>
        <w:t xml:space="preserve">（二）总体要求</w:t>
      </w:r>
      <w:r/>
    </w:p>
    <w:p>
      <w:pPr>
        <w:ind w:firstLine="420"/>
        <w:spacing w:line="360" w:lineRule="auto"/>
        <w:rPr>
          <w:sz w:val="21"/>
          <w:szCs w:val="21"/>
          <w:highlight w:val="none"/>
          <w:lang w:val="en-US"/>
        </w:rPr>
      </w:pPr>
      <w:r>
        <w:rPr>
          <w:rFonts w:hint="eastAsia"/>
          <w:sz w:val="21"/>
          <w:szCs w:val="21"/>
          <w:highlight w:val="none"/>
          <w:lang w:val="en-US"/>
        </w:rPr>
        <w:t xml:space="preserve">1、该系统是全省大气环境质量监测和预报预警的业务系统，融合了网格化、超站、乡镇站、卫星等多元监测数据，整合了短临、常规、中长期等多种预报模型，服务全省空气质量预报预警工作，同时包含污染溯源和管控成效评估功能。系统的部分功能模块部署在江苏省政务云和手机APP上，运维工作要确保系统各个模块稳定运行。</w:t>
      </w:r>
      <w:r/>
    </w:p>
    <w:p>
      <w:pPr>
        <w:ind w:firstLine="420"/>
        <w:spacing w:line="360" w:lineRule="auto"/>
        <w:rPr>
          <w:sz w:val="21"/>
          <w:szCs w:val="21"/>
          <w:highlight w:val="none"/>
          <w:lang w:val="en-US"/>
        </w:rPr>
      </w:pPr>
      <w:r>
        <w:rPr>
          <w:rFonts w:hint="eastAsia"/>
          <w:sz w:val="21"/>
          <w:szCs w:val="21"/>
          <w:highlight w:val="none"/>
          <w:lang w:val="en-US"/>
        </w:rPr>
        <w:t xml:space="preserve">2、供应商需为该项目提供专业的运维团队，中标后应派有经验的人员1名负责平台正常运行的保障工作</w:t>
      </w:r>
      <w:r>
        <w:rPr>
          <w:rFonts w:hint="eastAsia"/>
          <w:b/>
          <w:bCs/>
          <w:sz w:val="21"/>
          <w:szCs w:val="21"/>
          <w:highlight w:val="none"/>
          <w:lang w:val="en-US"/>
        </w:rPr>
        <w:t xml:space="preserve">（该人员需长期在南京市工作，并能确保在1小时内到达现场）</w:t>
      </w:r>
      <w:r>
        <w:rPr>
          <w:rFonts w:hint="eastAsia"/>
          <w:sz w:val="21"/>
          <w:szCs w:val="21"/>
          <w:highlight w:val="none"/>
          <w:lang w:val="en-US"/>
        </w:rPr>
        <w:t xml:space="preserve">。</w:t>
      </w:r>
      <w:r/>
    </w:p>
    <w:p>
      <w:pPr>
        <w:ind w:firstLine="420"/>
        <w:spacing w:line="360" w:lineRule="auto"/>
        <w:rPr>
          <w:sz w:val="21"/>
          <w:szCs w:val="21"/>
          <w:highlight w:val="none"/>
          <w:lang w:val="en-US"/>
        </w:rPr>
      </w:pPr>
      <w:r>
        <w:rPr>
          <w:rFonts w:hint="eastAsia"/>
          <w:sz w:val="21"/>
          <w:szCs w:val="21"/>
          <w:highlight w:val="none"/>
          <w:lang w:val="en-US"/>
        </w:rPr>
        <w:t xml:space="preserve">3、遵循国家相关安全规范及信息安全等级保护管理办法，在满足等保安全要求的基础上，配合完善覆盖政务云平台、省中心节点的安全防护体系。在保证数据安全性的基础上，对“数据产生－数据传输－数据管理－数据应用”全过程进行有效地管控，满足信息安全等级保护三级标准。</w:t>
      </w:r>
      <w:r/>
    </w:p>
    <w:p>
      <w:pPr>
        <w:ind w:firstLine="422"/>
        <w:jc w:val="both"/>
        <w:spacing w:line="360" w:lineRule="auto"/>
        <w:rPr>
          <w:b/>
          <w:bCs/>
          <w:sz w:val="21"/>
          <w:szCs w:val="21"/>
          <w:highlight w:val="none"/>
          <w:lang w:val="en-US"/>
        </w:rPr>
        <w:outlineLvl w:val="0"/>
      </w:pPr>
      <w:r>
        <w:rPr>
          <w:rFonts w:hint="eastAsia"/>
          <w:b/>
          <w:bCs/>
          <w:sz w:val="21"/>
          <w:szCs w:val="21"/>
          <w:highlight w:val="none"/>
          <w:lang w:val="en-US"/>
        </w:rPr>
        <w:t xml:space="preserve">（三）服务内容</w:t>
      </w:r>
      <w:r/>
    </w:p>
    <w:p>
      <w:pPr>
        <w:ind w:firstLine="420"/>
        <w:spacing w:line="360" w:lineRule="auto"/>
        <w:rPr>
          <w:b/>
          <w:bCs/>
          <w:sz w:val="21"/>
          <w:szCs w:val="21"/>
          <w:highlight w:val="none"/>
          <w:lang w:val="en-US"/>
        </w:rPr>
      </w:pPr>
      <w:r>
        <w:rPr>
          <w:rFonts w:hint="eastAsia"/>
          <w:b/>
          <w:bCs/>
          <w:sz w:val="21"/>
          <w:szCs w:val="21"/>
          <w:highlight w:val="none"/>
          <w:lang w:val="en-US"/>
        </w:rPr>
        <w:t xml:space="preserve">包1：</w:t>
      </w:r>
      <w:r>
        <w:rPr>
          <w:b/>
          <w:bCs/>
          <w:sz w:val="21"/>
          <w:szCs w:val="21"/>
          <w:highlight w:val="none"/>
          <w:lang w:val="en-US"/>
        </w:rPr>
        <w:t xml:space="preserve">江苏省环境监控系统二期工程重污染天气监测预报预警系统运维项目</w:t>
      </w:r>
      <w:r>
        <w:rPr>
          <w:rFonts w:hint="eastAsia"/>
          <w:b/>
          <w:bCs/>
          <w:sz w:val="21"/>
          <w:szCs w:val="21"/>
          <w:highlight w:val="none"/>
          <w:lang w:val="en-US"/>
        </w:rPr>
        <w:t xml:space="preserve">—综合分析及常规预报子系统运维</w:t>
      </w:r>
      <w:r/>
    </w:p>
    <w:p>
      <w:pPr>
        <w:ind w:firstLine="420"/>
        <w:spacing w:line="360" w:lineRule="auto"/>
        <w:rPr>
          <w:sz w:val="21"/>
          <w:szCs w:val="21"/>
          <w:highlight w:val="none"/>
          <w:lang w:val="en-US"/>
        </w:rPr>
      </w:pPr>
      <w:r>
        <w:rPr>
          <w:rFonts w:hint="eastAsia"/>
          <w:b/>
          <w:bCs/>
          <w:sz w:val="21"/>
          <w:szCs w:val="21"/>
          <w:highlight w:val="none"/>
          <w:lang w:val="en-US"/>
        </w:rPr>
        <w:t xml:space="preserve">包1负责提供、维护高性能计算环境（包括计算服务器、网络设备等），确保各个硬件正常运行；负责集成多元数据和子系统，确保整个系统正常运行。</w:t>
      </w:r>
      <w:r/>
    </w:p>
    <w:p>
      <w:pPr>
        <w:ind w:firstLine="420"/>
        <w:spacing w:line="360" w:lineRule="auto"/>
        <w:rPr>
          <w:sz w:val="21"/>
          <w:szCs w:val="21"/>
          <w:highlight w:val="none"/>
          <w:lang w:val="en-US"/>
        </w:rPr>
      </w:pPr>
      <w:r>
        <w:rPr>
          <w:rFonts w:hint="eastAsia"/>
          <w:sz w:val="21"/>
          <w:szCs w:val="21"/>
          <w:highlight w:val="none"/>
          <w:lang w:val="en-US"/>
        </w:rPr>
        <w:t xml:space="preserve">（1）日常巡检</w:t>
      </w:r>
      <w:r/>
    </w:p>
    <w:p>
      <w:pPr>
        <w:ind w:firstLine="420"/>
        <w:spacing w:line="360" w:lineRule="auto"/>
        <w:rPr>
          <w:sz w:val="21"/>
          <w:szCs w:val="21"/>
          <w:highlight w:val="none"/>
          <w:lang w:val="en-US"/>
        </w:rPr>
      </w:pPr>
      <w:r>
        <w:rPr>
          <w:rFonts w:hint="eastAsia"/>
          <w:sz w:val="21"/>
          <w:szCs w:val="21"/>
          <w:highlight w:val="none"/>
          <w:lang w:val="en-US"/>
        </w:rPr>
        <w:t xml:space="preserve">每日监控承载江苏省重污染天气监测预报预警系统运行的软件运行状态，提供系统软件层面日常监控与故障排查处理服务，包括模式运行计算监控、数据汇聚处理监控，当出现软件运行异常情况应及时反馈，能够快速定位问题原因并跟踪解决问题。</w:t>
      </w:r>
      <w:r/>
    </w:p>
    <w:p>
      <w:pPr>
        <w:ind w:firstLine="420"/>
        <w:spacing w:line="360" w:lineRule="auto"/>
        <w:rPr>
          <w:sz w:val="21"/>
          <w:szCs w:val="21"/>
          <w:highlight w:val="none"/>
          <w:lang w:val="en-US"/>
        </w:rPr>
      </w:pPr>
      <w:r>
        <w:rPr>
          <w:rFonts w:hint="eastAsia"/>
          <w:sz w:val="21"/>
          <w:szCs w:val="21"/>
          <w:highlight w:val="none"/>
          <w:lang w:val="en-US"/>
        </w:rPr>
        <w:t xml:space="preserve">监控内容包括但不限于WRF气象数值预报模式、NAQPMS、CMAQ、CAMx、WRF-Chem空气质量数值预报模式、统计预报、集合预报、AI智能预报、手机APP等。</w:t>
      </w:r>
      <w:r/>
    </w:p>
    <w:p>
      <w:pPr>
        <w:ind w:firstLine="420"/>
        <w:spacing w:line="360" w:lineRule="auto"/>
        <w:rPr>
          <w:sz w:val="21"/>
          <w:szCs w:val="21"/>
          <w:highlight w:val="none"/>
          <w:lang w:val="en-US"/>
        </w:rPr>
      </w:pPr>
      <w:r>
        <w:rPr>
          <w:rFonts w:hint="eastAsia"/>
          <w:sz w:val="21"/>
          <w:szCs w:val="21"/>
          <w:highlight w:val="none"/>
          <w:lang w:val="en-US"/>
        </w:rPr>
        <w:t xml:space="preserve">（2）业务系统运行检查</w:t>
      </w:r>
      <w:r/>
    </w:p>
    <w:p>
      <w:pPr>
        <w:ind w:firstLine="420"/>
        <w:spacing w:line="360" w:lineRule="auto"/>
        <w:rPr>
          <w:sz w:val="21"/>
          <w:szCs w:val="21"/>
          <w:highlight w:val="none"/>
          <w:lang w:val="en-US"/>
        </w:rPr>
      </w:pPr>
      <w:r>
        <w:rPr>
          <w:rFonts w:hint="eastAsia"/>
          <w:sz w:val="21"/>
          <w:szCs w:val="21"/>
          <w:highlight w:val="none"/>
          <w:lang w:val="en-US"/>
        </w:rPr>
        <w:t xml:space="preserve">每日对江苏省重污染天气监测预报预警系统各模块检查来确保业务系统正常可用，检查内容主要包括系统登录，系统各模块切换，系统主要功能数据展示等是否正常，接入到系统的数据以及其他平台，确保系统以及手机APP正常可用，为日常环境空气质量预报业务工作开展提供基础。</w:t>
      </w:r>
      <w:r/>
    </w:p>
    <w:p>
      <w:pPr>
        <w:ind w:firstLine="420"/>
        <w:spacing w:line="360" w:lineRule="auto"/>
        <w:rPr>
          <w:sz w:val="21"/>
          <w:szCs w:val="21"/>
          <w:highlight w:val="none"/>
          <w:lang w:val="en-US"/>
        </w:rPr>
      </w:pPr>
      <w:r>
        <w:rPr>
          <w:rFonts w:hint="eastAsia"/>
          <w:sz w:val="21"/>
          <w:szCs w:val="21"/>
          <w:highlight w:val="none"/>
          <w:lang w:val="en-US"/>
        </w:rPr>
        <w:t xml:space="preserve">（3）用户管理服务</w:t>
      </w:r>
      <w:r/>
    </w:p>
    <w:p>
      <w:pPr>
        <w:ind w:firstLine="420"/>
        <w:spacing w:line="360" w:lineRule="auto"/>
        <w:rPr>
          <w:sz w:val="21"/>
          <w:szCs w:val="21"/>
          <w:highlight w:val="none"/>
          <w:lang w:val="en-US"/>
        </w:rPr>
      </w:pPr>
      <w:r>
        <w:rPr>
          <w:rFonts w:hint="eastAsia"/>
          <w:sz w:val="21"/>
          <w:szCs w:val="21"/>
          <w:highlight w:val="none"/>
          <w:lang w:val="en-US"/>
        </w:rPr>
        <w:t xml:space="preserve">提供包括系统账号申请、用户管理、角色管理、权限管理服务，可根据业务工作要求设置不同角色，支持为不同角色赋予不同的权限，并将用户与角色进行绑定。</w:t>
      </w:r>
      <w:r/>
    </w:p>
    <w:p>
      <w:pPr>
        <w:ind w:firstLine="420"/>
        <w:spacing w:line="360" w:lineRule="auto"/>
        <w:rPr>
          <w:sz w:val="21"/>
          <w:szCs w:val="21"/>
          <w:highlight w:val="none"/>
          <w:lang w:val="en-US"/>
        </w:rPr>
      </w:pPr>
      <w:r>
        <w:rPr>
          <w:rFonts w:hint="eastAsia"/>
          <w:sz w:val="21"/>
          <w:szCs w:val="21"/>
          <w:highlight w:val="none"/>
          <w:lang w:val="en-US"/>
        </w:rPr>
        <w:t xml:space="preserve">（4）系统启动与关闭服务</w:t>
      </w:r>
      <w:r/>
    </w:p>
    <w:p>
      <w:pPr>
        <w:ind w:firstLine="420"/>
        <w:spacing w:line="360" w:lineRule="auto"/>
        <w:rPr>
          <w:sz w:val="21"/>
          <w:szCs w:val="21"/>
          <w:highlight w:val="none"/>
          <w:lang w:val="en-US"/>
        </w:rPr>
      </w:pPr>
      <w:r>
        <w:rPr>
          <w:rFonts w:hint="eastAsia"/>
          <w:sz w:val="21"/>
          <w:szCs w:val="21"/>
          <w:highlight w:val="none"/>
          <w:lang w:val="en-US"/>
        </w:rPr>
        <w:t xml:space="preserve">协助关闭系统各组件以及支撑硬件服务器等设备。如遇仪器设备重启、机房断电等情况，运维工程师需协助重新启动系统各组件，保证系统恢复正常运行并在资源允许的情况下进行必要的数据处理。</w:t>
      </w:r>
      <w:r/>
    </w:p>
    <w:p>
      <w:pPr>
        <w:ind w:firstLine="420"/>
        <w:spacing w:line="360" w:lineRule="auto"/>
        <w:rPr>
          <w:sz w:val="21"/>
          <w:szCs w:val="21"/>
          <w:highlight w:val="none"/>
          <w:lang w:val="en-US"/>
        </w:rPr>
      </w:pPr>
      <w:r>
        <w:rPr>
          <w:rFonts w:hint="eastAsia"/>
          <w:sz w:val="21"/>
          <w:szCs w:val="21"/>
          <w:highlight w:val="none"/>
          <w:lang w:val="en-US"/>
        </w:rPr>
        <w:t xml:space="preserve">（5）数据管理服务</w:t>
      </w:r>
      <w:r/>
    </w:p>
    <w:p>
      <w:pPr>
        <w:ind w:firstLine="420"/>
        <w:spacing w:line="360" w:lineRule="auto"/>
        <w:rPr>
          <w:sz w:val="21"/>
          <w:szCs w:val="21"/>
          <w:highlight w:val="none"/>
          <w:lang w:val="en-US"/>
        </w:rPr>
      </w:pPr>
      <w:r>
        <w:rPr>
          <w:rFonts w:hint="eastAsia"/>
          <w:sz w:val="21"/>
          <w:szCs w:val="21"/>
          <w:highlight w:val="none"/>
          <w:lang w:val="en-US"/>
        </w:rPr>
        <w:t xml:space="preserve">根据共享存储系统容量，结合各类数值模型、监测业务运行产生的数据量，制定数据管理策略。一方面既要尽量保存有效历史数据，另一方面也应充分利用共享存储容量。根据业务需求向系统导入、导出业务数据，异常数据检查，同步数据等。此外，还需监控存储（包括政务云）使用占比情况，对可能出现的由于存储容量使用占比太高引起的系统运行异常情况需提前反馈到采购人，并提供预防建议。硬件资源允许的情况下，应对数据库数据进行定期备份，避免由于数据库服务器异常引起的数据损失灾难。</w:t>
      </w:r>
      <w:r/>
    </w:p>
    <w:p>
      <w:pPr>
        <w:ind w:firstLine="420"/>
        <w:spacing w:line="360" w:lineRule="auto"/>
        <w:rPr>
          <w:sz w:val="21"/>
          <w:szCs w:val="21"/>
          <w:highlight w:val="none"/>
          <w:lang w:val="en-US"/>
        </w:rPr>
      </w:pPr>
      <w:r>
        <w:rPr>
          <w:rFonts w:hint="eastAsia"/>
          <w:sz w:val="21"/>
          <w:szCs w:val="21"/>
          <w:highlight w:val="none"/>
          <w:lang w:val="en-US"/>
        </w:rPr>
        <w:t xml:space="preserve">（6）系统安全管理服务</w:t>
      </w:r>
      <w:r/>
    </w:p>
    <w:p>
      <w:pPr>
        <w:ind w:firstLine="420"/>
        <w:spacing w:line="360" w:lineRule="auto"/>
        <w:rPr>
          <w:sz w:val="21"/>
          <w:szCs w:val="21"/>
          <w:highlight w:val="none"/>
          <w:lang w:val="en-US"/>
        </w:rPr>
      </w:pPr>
      <w:r>
        <w:rPr>
          <w:rFonts w:hint="eastAsia"/>
          <w:sz w:val="21"/>
          <w:szCs w:val="21"/>
          <w:highlight w:val="none"/>
          <w:lang w:val="en-US"/>
        </w:rPr>
        <w:t xml:space="preserve">对承载系统运行的各类与互联网络相连的服务器设备操作系统进行安全管理，配合采购人完成预报预警系统安全工作，以及漏洞修复、补丁升级等系统整改工作。如对漏洞问题进行修复，数据传输加密协议漏洞问题、默认端口开放漏洞、系统漏洞补丁升级服务、数据库软件漏洞问题、url 地址信息暴露问题、定期对服务器进行密码更换。采取有效安全加固措施，保障应用系统稳定安全运行。</w:t>
      </w:r>
      <w:r/>
    </w:p>
    <w:p>
      <w:pPr>
        <w:ind w:firstLine="420"/>
        <w:spacing w:line="360" w:lineRule="auto"/>
        <w:rPr>
          <w:sz w:val="21"/>
          <w:szCs w:val="21"/>
          <w:highlight w:val="none"/>
          <w:lang w:val="en-US"/>
        </w:rPr>
      </w:pPr>
      <w:r>
        <w:rPr>
          <w:rFonts w:hint="eastAsia"/>
          <w:sz w:val="21"/>
          <w:szCs w:val="21"/>
          <w:highlight w:val="none"/>
          <w:lang w:val="en-US"/>
        </w:rPr>
        <w:t xml:space="preserve">（7）运维问题处理</w:t>
      </w:r>
      <w:r/>
    </w:p>
    <w:p>
      <w:pPr>
        <w:ind w:firstLine="420"/>
        <w:spacing w:line="360" w:lineRule="auto"/>
        <w:rPr>
          <w:sz w:val="21"/>
          <w:szCs w:val="21"/>
          <w:highlight w:val="none"/>
          <w:lang w:val="en-US"/>
        </w:rPr>
      </w:pPr>
      <w:r>
        <w:rPr>
          <w:rFonts w:hint="eastAsia"/>
          <w:sz w:val="21"/>
          <w:szCs w:val="21"/>
          <w:highlight w:val="none"/>
          <w:lang w:val="en-US"/>
        </w:rPr>
        <w:t xml:space="preserve">将每日巡检发现的问题，用户反馈的问题分类记录，结合紧急程度，业务影响等进行优先级排序，并给出问题解决思路，并跟踪问题处理完成状态，及时检查验证问题处理结果，验证无异常后反馈用户，确保系统运维问题闭环处理。同时，对于硬件、网络等第三方问题及时反馈并配合处理。将重要的故障问题整理形成故障处理单，包括故障现象、处理方法、问题根本原因及预防措施等，以便降低类似故障引起的系统运行不稳定、数据缺失等问题，尽早恢复业务，减少对业务工作的不利影响。</w:t>
      </w:r>
      <w:r/>
    </w:p>
    <w:p>
      <w:pPr>
        <w:ind w:firstLine="420"/>
        <w:spacing w:line="360" w:lineRule="auto"/>
        <w:rPr>
          <w:sz w:val="21"/>
          <w:szCs w:val="21"/>
          <w:highlight w:val="none"/>
          <w:lang w:val="en-US"/>
        </w:rPr>
      </w:pPr>
      <w:r>
        <w:rPr>
          <w:rFonts w:hint="eastAsia"/>
          <w:sz w:val="21"/>
          <w:szCs w:val="21"/>
          <w:highlight w:val="none"/>
          <w:lang w:val="en-US"/>
        </w:rPr>
        <w:t xml:space="preserve">（8）系统运行报告服务</w:t>
      </w:r>
      <w:r/>
    </w:p>
    <w:p>
      <w:pPr>
        <w:ind w:firstLine="420"/>
        <w:spacing w:line="360" w:lineRule="auto"/>
        <w:rPr>
          <w:sz w:val="21"/>
          <w:szCs w:val="21"/>
          <w:highlight w:val="none"/>
          <w:lang w:val="en-US"/>
        </w:rPr>
      </w:pPr>
      <w:r>
        <w:rPr>
          <w:rFonts w:hint="eastAsia"/>
          <w:sz w:val="21"/>
          <w:szCs w:val="21"/>
          <w:highlight w:val="none"/>
          <w:lang w:val="en-US"/>
        </w:rPr>
        <w:t xml:space="preserve">每月编写系统运行报告，总结系统本月运行状况，系统运行报告需包含总体工作任务完成情况概述、日常工作即巡检运维、系统优化记录和其他工作内容总结等内容，并汇总为年终运维报告。</w:t>
      </w:r>
      <w:r/>
    </w:p>
    <w:p>
      <w:pPr>
        <w:ind w:firstLine="420"/>
        <w:spacing w:line="360" w:lineRule="auto"/>
        <w:rPr>
          <w:sz w:val="21"/>
          <w:szCs w:val="21"/>
          <w:highlight w:val="none"/>
          <w:lang w:val="en-US"/>
        </w:rPr>
      </w:pPr>
      <w:r>
        <w:rPr>
          <w:rFonts w:hint="eastAsia"/>
          <w:sz w:val="21"/>
          <w:szCs w:val="21"/>
          <w:highlight w:val="none"/>
          <w:lang w:val="en-US"/>
        </w:rPr>
        <w:t xml:space="preserve">（9）系统优化服务</w:t>
      </w:r>
      <w:r/>
    </w:p>
    <w:p>
      <w:pPr>
        <w:ind w:firstLine="420"/>
        <w:spacing w:line="360" w:lineRule="auto"/>
        <w:rPr>
          <w:sz w:val="21"/>
          <w:szCs w:val="21"/>
          <w:highlight w:val="none"/>
          <w:lang w:val="en-US"/>
        </w:rPr>
      </w:pPr>
      <w:r>
        <w:rPr>
          <w:rFonts w:hint="eastAsia"/>
          <w:sz w:val="21"/>
          <w:szCs w:val="21"/>
          <w:highlight w:val="none"/>
          <w:lang w:val="en-US"/>
        </w:rPr>
        <w:t xml:space="preserve">根据采购人需求，优化各个业务模块和手机APP。优化系统综合分析功能，完善环境空气质量监测数据分析、展示，以辅助空气质量日报等数据分析、污染成因等报告编写工作。例如根据实际工作需要优化常规报表、每日余量测算、年度达标测算等表格功能；当采购人提供污染源相关数据时，完成数据接入、展示和分析等工作，优化空气质量和污染排放量联合分析功能；完善超站数据分析功能等。</w:t>
      </w:r>
      <w:r/>
    </w:p>
    <w:p>
      <w:pPr>
        <w:ind w:firstLine="420"/>
        <w:spacing w:line="360" w:lineRule="auto"/>
        <w:rPr>
          <w:sz w:val="21"/>
          <w:szCs w:val="21"/>
          <w:highlight w:val="none"/>
          <w:lang w:val="en-US"/>
        </w:rPr>
      </w:pPr>
      <w:r>
        <w:rPr>
          <w:rFonts w:hint="eastAsia"/>
          <w:sz w:val="21"/>
          <w:szCs w:val="21"/>
          <w:highlight w:val="none"/>
          <w:lang w:val="en-US"/>
        </w:rPr>
        <w:t xml:space="preserve">若有新的模型或数据需要接入平台时，供应商应该派技术人员协助在规定的时间内完成接入、展示和分析工作，并保证平台上对应的数据分析模块及数据下载功能等对新数据同样适用。若后续国家或我省发布新的预报评估规范，供应商应配合用户更新并完善现有的预报评估模块，按照国家和我省制定相应的规范进行升级。</w:t>
      </w:r>
      <w:r/>
    </w:p>
    <w:p>
      <w:pPr>
        <w:ind w:firstLine="420"/>
        <w:spacing w:line="360" w:lineRule="auto"/>
        <w:rPr>
          <w:sz w:val="21"/>
          <w:szCs w:val="21"/>
          <w:highlight w:val="none"/>
          <w:lang w:val="en-US"/>
        </w:rPr>
      </w:pPr>
      <w:r>
        <w:rPr>
          <w:rFonts w:hint="eastAsia"/>
          <w:sz w:val="21"/>
          <w:szCs w:val="21"/>
          <w:highlight w:val="none"/>
          <w:lang w:val="en-US"/>
        </w:rPr>
        <w:t xml:space="preserve">（10）</w:t>
      </w:r>
      <w:bookmarkStart w:id="39" w:name="_Hlk237598679"/>
      <w:r>
        <w:rPr>
          <w:rFonts w:hint="eastAsia"/>
          <w:sz w:val="21"/>
          <w:szCs w:val="21"/>
          <w:highlight w:val="none"/>
          <w:lang w:val="en-US"/>
        </w:rPr>
        <w:t xml:space="preserve">模式调优服务</w:t>
      </w:r>
      <w:bookmarkEnd w:id="39"/>
      <w:r/>
      <w:r/>
    </w:p>
    <w:p>
      <w:pPr>
        <w:ind w:firstLine="420"/>
        <w:spacing w:line="360" w:lineRule="auto"/>
        <w:rPr>
          <w:sz w:val="21"/>
          <w:szCs w:val="21"/>
          <w:highlight w:val="none"/>
          <w:lang w:val="en-US"/>
        </w:rPr>
      </w:pPr>
      <w:r>
        <w:rPr>
          <w:rFonts w:hint="eastAsia"/>
          <w:sz w:val="21"/>
          <w:szCs w:val="21"/>
          <w:highlight w:val="none"/>
          <w:lang w:val="en-US"/>
        </w:rPr>
        <w:t xml:space="preserve">根据模式预报偏差来源诊断</w:t>
      </w:r>
      <w:r>
        <w:rPr>
          <w:rFonts w:hint="eastAsia"/>
          <w:sz w:val="21"/>
          <w:szCs w:val="21"/>
          <w:highlight w:val="none"/>
          <w:lang w:val="en-US"/>
        </w:rPr>
        <w:t xml:space="preserve">分析结果，制定不同模式调优策略，结合有针对性的改进方法进行模式调优效果评估，将模式预报结果与空气质量实况数据进行对比，并结合模式主要误差来源，分析系统性模拟误差时空特征，根据分析结果对模式调优策略进行优化，经过多次优化调整并与用户沟通达成一致后开展模式调优工作，降低预报偏差，改善提升模式预报整体效果，提供优化前后对比分析报告。调优可针对全省或特定城市，优化后，对有效监测天的预报准确率或者对特定污染过程的预报准确率要有所提升，提升幅度不少于2个百分点。运维期间针对PM2.5和臭氧预报的调优工作至少各开展一次。</w:t>
      </w:r>
      <w:r/>
    </w:p>
    <w:p>
      <w:pPr>
        <w:ind w:firstLine="420"/>
        <w:spacing w:line="360" w:lineRule="auto"/>
        <w:rPr>
          <w:sz w:val="21"/>
          <w:szCs w:val="21"/>
          <w:highlight w:val="none"/>
          <w:lang w:val="en-US"/>
        </w:rPr>
      </w:pPr>
      <w:r>
        <w:rPr>
          <w:rFonts w:hint="eastAsia"/>
          <w:sz w:val="21"/>
          <w:szCs w:val="21"/>
          <w:highlight w:val="none"/>
          <w:lang w:val="en-US"/>
        </w:rPr>
        <w:t xml:space="preserve">（11）保障服务</w:t>
      </w:r>
      <w:r/>
    </w:p>
    <w:p>
      <w:pPr>
        <w:ind w:firstLine="420"/>
        <w:spacing w:line="360" w:lineRule="auto"/>
        <w:rPr>
          <w:sz w:val="21"/>
          <w:szCs w:val="21"/>
          <w:highlight w:val="none"/>
          <w:lang w:val="en-US"/>
        </w:rPr>
      </w:pPr>
      <w:r>
        <w:rPr>
          <w:rFonts w:hint="eastAsia"/>
          <w:sz w:val="21"/>
          <w:szCs w:val="21"/>
          <w:highlight w:val="none"/>
          <w:lang w:val="en-US"/>
        </w:rPr>
        <w:t xml:space="preserve">如遇重大活动或重污染天气等情况，可根据实际需求，供应商安排人员加大监控系统运行状况频次，以保证系统运行问题能够及时处理，为预报预警提供技术支撑。</w:t>
      </w:r>
      <w:r/>
    </w:p>
    <w:p>
      <w:pPr>
        <w:ind w:firstLine="420"/>
        <w:spacing w:line="360" w:lineRule="auto"/>
        <w:rPr>
          <w:sz w:val="21"/>
          <w:szCs w:val="21"/>
          <w:highlight w:val="none"/>
          <w:lang w:val="en-US"/>
        </w:rPr>
      </w:pPr>
      <w:r>
        <w:rPr>
          <w:rFonts w:hint="eastAsia"/>
          <w:sz w:val="21"/>
          <w:szCs w:val="21"/>
          <w:highlight w:val="none"/>
          <w:lang w:val="en-US"/>
        </w:rPr>
        <w:t xml:space="preserve">（12）高性能计算环境</w:t>
      </w:r>
      <w:r/>
    </w:p>
    <w:p>
      <w:pPr>
        <w:ind w:firstLine="420"/>
        <w:spacing w:line="360" w:lineRule="auto"/>
        <w:rPr>
          <w:sz w:val="21"/>
          <w:szCs w:val="21"/>
          <w:highlight w:val="none"/>
          <w:lang w:val="en-US"/>
        </w:rPr>
      </w:pPr>
      <w:r>
        <w:rPr>
          <w:rFonts w:hint="eastAsia"/>
          <w:sz w:val="21"/>
          <w:szCs w:val="21"/>
          <w:highlight w:val="none"/>
          <w:lang w:val="en-US"/>
        </w:rPr>
        <w:t xml:space="preserve">在运维期间提供一套高性能计算环境，性能不低于现有配置，维持重污染天气监测预报预警系统的稳定运行。总算力不得小于每秒60万亿次双精度浮点；单个计算节点峰值算力不低于每秒3万亿次双精度浮点。并行存储容量不少于1PB。</w:t>
      </w:r>
      <w:r/>
    </w:p>
    <w:p>
      <w:pPr>
        <w:ind w:firstLine="420"/>
        <w:spacing w:line="360" w:lineRule="auto"/>
        <w:rPr>
          <w:b/>
          <w:bCs/>
          <w:sz w:val="21"/>
          <w:szCs w:val="21"/>
          <w:highlight w:val="none"/>
          <w:lang w:val="en-US"/>
        </w:rPr>
      </w:pPr>
      <w:r>
        <w:rPr>
          <w:rFonts w:hint="eastAsia"/>
          <w:b/>
          <w:bCs/>
          <w:sz w:val="21"/>
          <w:szCs w:val="21"/>
          <w:highlight w:val="none"/>
          <w:lang w:val="en-US"/>
        </w:rPr>
        <w:t xml:space="preserve">包2：</w:t>
      </w:r>
      <w:r>
        <w:rPr>
          <w:b/>
          <w:bCs/>
          <w:sz w:val="21"/>
          <w:szCs w:val="21"/>
          <w:highlight w:val="none"/>
          <w:lang w:val="en-US"/>
        </w:rPr>
        <w:t xml:space="preserve">江苏省环境监控系统二期工程重污染天气监测预报预警系统运维项目</w:t>
      </w:r>
      <w:r>
        <w:rPr>
          <w:rFonts w:hint="eastAsia"/>
          <w:b/>
          <w:bCs/>
          <w:sz w:val="21"/>
          <w:szCs w:val="21"/>
          <w:highlight w:val="none"/>
          <w:lang w:val="en-US"/>
        </w:rPr>
        <w:t xml:space="preserve">—精准预警及智慧溯源评估子系统运维</w:t>
      </w:r>
      <w:r/>
    </w:p>
    <w:p>
      <w:pPr>
        <w:ind w:firstLine="420"/>
        <w:spacing w:line="360" w:lineRule="auto"/>
        <w:rPr>
          <w:sz w:val="21"/>
          <w:szCs w:val="21"/>
          <w:highlight w:val="none"/>
          <w:lang w:val="en-US"/>
        </w:rPr>
      </w:pPr>
      <w:r>
        <w:rPr>
          <w:rFonts w:hint="eastAsia"/>
          <w:sz w:val="21"/>
          <w:szCs w:val="21"/>
          <w:highlight w:val="none"/>
          <w:lang w:val="en-US"/>
        </w:rPr>
        <w:t xml:space="preserve">（1）日常巡检</w:t>
      </w:r>
      <w:r/>
    </w:p>
    <w:p>
      <w:pPr>
        <w:ind w:firstLine="420"/>
        <w:spacing w:line="360" w:lineRule="auto"/>
        <w:rPr>
          <w:sz w:val="21"/>
          <w:szCs w:val="21"/>
          <w:highlight w:val="none"/>
          <w:lang w:val="en-US"/>
        </w:rPr>
      </w:pPr>
      <w:r>
        <w:rPr>
          <w:rFonts w:hint="eastAsia"/>
          <w:sz w:val="21"/>
          <w:szCs w:val="21"/>
          <w:highlight w:val="none"/>
          <w:lang w:val="en-US"/>
        </w:rPr>
        <w:t xml:space="preserve">每日监控承载精准预警及智慧溯源评估子系统运行的软件运行状态，提供系统软件层面日常监控与故障排查处理服务，包括模式运行计算监控、数据汇聚处理监控，当出现软件运行异常情况应及时反馈，能够快速定位问题原因并跟踪解决问题。</w:t>
      </w:r>
      <w:r/>
    </w:p>
    <w:p>
      <w:pPr>
        <w:ind w:firstLine="420"/>
        <w:spacing w:line="360" w:lineRule="auto"/>
        <w:rPr>
          <w:sz w:val="21"/>
          <w:szCs w:val="21"/>
          <w:highlight w:val="none"/>
          <w:lang w:val="en-US"/>
        </w:rPr>
      </w:pPr>
      <w:r>
        <w:rPr>
          <w:rFonts w:hint="eastAsia"/>
          <w:sz w:val="21"/>
          <w:szCs w:val="21"/>
          <w:highlight w:val="none"/>
          <w:lang w:val="en-US"/>
        </w:rPr>
        <w:t xml:space="preserve">监控内容包括但不限于基于ECMWF的气象数值预报模式、CMAQ空气质量数值预报模式、中长期预报、短临预报、溯源模型、管控评估等。</w:t>
      </w:r>
      <w:r/>
    </w:p>
    <w:p>
      <w:pPr>
        <w:ind w:firstLine="420"/>
        <w:spacing w:line="360" w:lineRule="auto"/>
        <w:rPr>
          <w:sz w:val="21"/>
          <w:szCs w:val="21"/>
          <w:highlight w:val="none"/>
          <w:lang w:val="en-US"/>
        </w:rPr>
      </w:pPr>
      <w:r>
        <w:rPr>
          <w:rFonts w:hint="eastAsia"/>
          <w:sz w:val="21"/>
          <w:szCs w:val="21"/>
          <w:highlight w:val="none"/>
          <w:lang w:val="en-US"/>
        </w:rPr>
        <w:t xml:space="preserve">（2）业务系统运行检查</w:t>
      </w:r>
      <w:r/>
    </w:p>
    <w:p>
      <w:pPr>
        <w:ind w:firstLine="420"/>
        <w:spacing w:line="360" w:lineRule="auto"/>
        <w:rPr>
          <w:sz w:val="21"/>
          <w:szCs w:val="21"/>
          <w:highlight w:val="none"/>
          <w:lang w:val="en-US"/>
        </w:rPr>
      </w:pPr>
      <w:r>
        <w:rPr>
          <w:rFonts w:hint="eastAsia"/>
          <w:sz w:val="21"/>
          <w:szCs w:val="21"/>
          <w:highlight w:val="none"/>
          <w:lang w:val="en-US"/>
        </w:rPr>
        <w:t xml:space="preserve">每日对精准预警及智慧溯源评估子系统各模块检查来确保业务系统正常可用，检查内容主要包括系统各模块切换，系统主要功能数据展示等是否正常，确保系统正常可用，为日常业务工作开展提供基础。</w:t>
      </w:r>
      <w:r/>
    </w:p>
    <w:p>
      <w:pPr>
        <w:ind w:firstLine="420"/>
        <w:spacing w:line="360" w:lineRule="auto"/>
        <w:rPr>
          <w:sz w:val="21"/>
          <w:szCs w:val="21"/>
          <w:highlight w:val="none"/>
          <w:lang w:val="en-US"/>
        </w:rPr>
      </w:pPr>
      <w:r>
        <w:rPr>
          <w:rFonts w:hint="eastAsia"/>
          <w:sz w:val="21"/>
          <w:szCs w:val="21"/>
          <w:highlight w:val="none"/>
          <w:lang w:val="en-US"/>
        </w:rPr>
        <w:t xml:space="preserve">（3）系统启动与关闭服务</w:t>
      </w:r>
      <w:r/>
    </w:p>
    <w:p>
      <w:pPr>
        <w:ind w:firstLine="420"/>
        <w:spacing w:line="360" w:lineRule="auto"/>
        <w:rPr>
          <w:sz w:val="21"/>
          <w:szCs w:val="21"/>
          <w:highlight w:val="none"/>
          <w:lang w:val="en-US"/>
        </w:rPr>
      </w:pPr>
      <w:r>
        <w:rPr>
          <w:rFonts w:hint="eastAsia"/>
          <w:sz w:val="21"/>
          <w:szCs w:val="21"/>
          <w:highlight w:val="none"/>
          <w:lang w:val="en-US"/>
        </w:rPr>
        <w:t xml:space="preserve">协助关闭系统各组件以及支撑硬件服务器等设备。如遇仪器设备重启、机房断电等情况，运维工程师需协助重新启动系统各组件，保证系统恢复正常运行并在资源允许的情况下进行必要的数据处理。</w:t>
      </w:r>
      <w:r/>
    </w:p>
    <w:p>
      <w:pPr>
        <w:ind w:firstLine="420"/>
        <w:spacing w:line="360" w:lineRule="auto"/>
        <w:rPr>
          <w:sz w:val="21"/>
          <w:szCs w:val="21"/>
          <w:highlight w:val="none"/>
          <w:lang w:val="en-US"/>
        </w:rPr>
      </w:pPr>
      <w:r>
        <w:rPr>
          <w:rFonts w:hint="eastAsia"/>
          <w:sz w:val="21"/>
          <w:szCs w:val="21"/>
          <w:highlight w:val="none"/>
          <w:lang w:val="en-US"/>
        </w:rPr>
        <w:t xml:space="preserve">（4）数据管理服务</w:t>
      </w:r>
      <w:r/>
    </w:p>
    <w:p>
      <w:pPr>
        <w:ind w:firstLine="420"/>
        <w:spacing w:line="360" w:lineRule="auto"/>
        <w:rPr>
          <w:sz w:val="21"/>
          <w:szCs w:val="21"/>
          <w:highlight w:val="none"/>
          <w:lang w:val="en-US"/>
        </w:rPr>
      </w:pPr>
      <w:r>
        <w:rPr>
          <w:rFonts w:hint="eastAsia"/>
          <w:sz w:val="21"/>
          <w:szCs w:val="21"/>
          <w:highlight w:val="none"/>
          <w:lang w:val="en-US"/>
        </w:rPr>
        <w:t xml:space="preserve">根据共享存储系统容量，结合各类数值模型、排放清单业务运行产生的数据量，制定数据管理策略。一方面既要尽量保存有效历史数据，另一方面也应充分利用共享存储容量。根据业务需求向系统导入、导出业务数据，异常数据检查，同步数据等。此外，还需监控存储（包括政务云）使用占比情况，对可能出现的由于存储容量使用占比太高引起的系统运行异常情况需提前反馈到采购人，并提供预防建议。硬件资源允许的情况下，应对数据库数据进行定期备份，避免由于数据库服务器异常引起的数据损失灾难。</w:t>
      </w:r>
      <w:r/>
    </w:p>
    <w:p>
      <w:pPr>
        <w:ind w:firstLine="420"/>
        <w:spacing w:line="360" w:lineRule="auto"/>
        <w:rPr>
          <w:sz w:val="21"/>
          <w:szCs w:val="21"/>
          <w:highlight w:val="none"/>
          <w:lang w:val="en-US"/>
        </w:rPr>
      </w:pPr>
      <w:r>
        <w:rPr>
          <w:rFonts w:hint="eastAsia"/>
          <w:sz w:val="21"/>
          <w:szCs w:val="21"/>
          <w:highlight w:val="none"/>
          <w:lang w:val="en-US"/>
        </w:rPr>
        <w:t xml:space="preserve">（5）系统安全管理服务</w:t>
      </w:r>
      <w:r/>
    </w:p>
    <w:p>
      <w:pPr>
        <w:ind w:firstLine="420"/>
        <w:spacing w:line="360" w:lineRule="auto"/>
        <w:rPr>
          <w:sz w:val="21"/>
          <w:szCs w:val="21"/>
          <w:highlight w:val="none"/>
          <w:lang w:val="en-US"/>
        </w:rPr>
      </w:pPr>
      <w:r>
        <w:rPr>
          <w:rFonts w:hint="eastAsia"/>
          <w:sz w:val="21"/>
          <w:szCs w:val="21"/>
          <w:highlight w:val="none"/>
          <w:lang w:val="en-US"/>
        </w:rPr>
        <w:t xml:space="preserve">对承载系统运行的各类与互联网络相连的服务器设备操作系统进行安全管理，配合采购人完成预报预警系统安全工作，以及漏洞修复、补丁升级等系统整改工作。如对漏洞问题进行修复，数据传输加密协议漏洞问题、默认端口开放漏洞、系统漏洞补丁升级服务、数据库软件漏洞问题、url 地址信息暴露问题、定期对服务器进行密码更换。采取有效安全加固措施，保障应用系统稳定安全运行。</w:t>
      </w:r>
      <w:r/>
    </w:p>
    <w:p>
      <w:pPr>
        <w:ind w:firstLine="420"/>
        <w:spacing w:line="360" w:lineRule="auto"/>
        <w:rPr>
          <w:sz w:val="21"/>
          <w:szCs w:val="21"/>
          <w:highlight w:val="none"/>
          <w:lang w:val="en-US"/>
        </w:rPr>
      </w:pPr>
      <w:r>
        <w:rPr>
          <w:rFonts w:hint="eastAsia"/>
          <w:sz w:val="21"/>
          <w:szCs w:val="21"/>
          <w:highlight w:val="none"/>
          <w:lang w:val="en-US"/>
        </w:rPr>
        <w:t xml:space="preserve">（6）运维问题处理</w:t>
      </w:r>
      <w:r/>
    </w:p>
    <w:p>
      <w:pPr>
        <w:ind w:firstLine="420"/>
        <w:spacing w:line="360" w:lineRule="auto"/>
        <w:rPr>
          <w:sz w:val="21"/>
          <w:szCs w:val="21"/>
          <w:highlight w:val="none"/>
          <w:lang w:val="en-US"/>
        </w:rPr>
      </w:pPr>
      <w:r>
        <w:rPr>
          <w:rFonts w:hint="eastAsia"/>
          <w:sz w:val="21"/>
          <w:szCs w:val="21"/>
          <w:highlight w:val="none"/>
          <w:lang w:val="en-US"/>
        </w:rPr>
        <w:t xml:space="preserve">将每日巡检发现的问题，用户反馈的问题分类记录，结合紧急程度，业务影响等进行优先级排序，并给出问题解决思路，并跟踪问题处理完成状态，及时检查验证问题处理结果，验证无异常后反馈用户，确保系统运维问题闭环处理。同时，对于硬件、网络等第三方问题及时反馈并配合处理。将重要的故障问题整理形成故障处理单，包括故障现象、处理方法、问题根本原因及预防措施等，以便降低类似故障引起的系统运行不稳定、数据缺失等问题，尽早恢复业务，减少对业务工作的不利影响。</w:t>
      </w:r>
      <w:r/>
    </w:p>
    <w:p>
      <w:pPr>
        <w:ind w:firstLine="420"/>
        <w:spacing w:line="360" w:lineRule="auto"/>
        <w:rPr>
          <w:sz w:val="21"/>
          <w:szCs w:val="21"/>
          <w:highlight w:val="none"/>
          <w:lang w:val="en-US"/>
        </w:rPr>
      </w:pPr>
      <w:r>
        <w:rPr>
          <w:rFonts w:hint="eastAsia"/>
          <w:sz w:val="21"/>
          <w:szCs w:val="21"/>
          <w:highlight w:val="none"/>
          <w:lang w:val="en-US"/>
        </w:rPr>
        <w:t xml:space="preserve">（7）系统运行报告服务</w:t>
      </w:r>
      <w:r/>
    </w:p>
    <w:p>
      <w:pPr>
        <w:ind w:firstLine="420"/>
        <w:spacing w:line="360" w:lineRule="auto"/>
        <w:rPr>
          <w:sz w:val="21"/>
          <w:szCs w:val="21"/>
          <w:highlight w:val="none"/>
          <w:lang w:val="en-US"/>
        </w:rPr>
      </w:pPr>
      <w:r>
        <w:rPr>
          <w:rFonts w:hint="eastAsia"/>
          <w:sz w:val="21"/>
          <w:szCs w:val="21"/>
          <w:highlight w:val="none"/>
          <w:lang w:val="en-US"/>
        </w:rPr>
        <w:t xml:space="preserve">每月编写系统运行报告，总结系统本月运行状况，系统运行报告需包含总体工作任务完成情况概述、日常工作即巡检运维、系统优化记录和其他工作内容总结等内容，并汇总为年终运维报告。</w:t>
      </w:r>
      <w:r/>
    </w:p>
    <w:p>
      <w:pPr>
        <w:ind w:firstLine="420"/>
        <w:spacing w:line="360" w:lineRule="auto"/>
        <w:rPr>
          <w:sz w:val="21"/>
          <w:szCs w:val="21"/>
          <w:highlight w:val="none"/>
          <w:lang w:val="en-US"/>
        </w:rPr>
      </w:pPr>
      <w:r>
        <w:rPr>
          <w:rFonts w:hint="eastAsia"/>
          <w:sz w:val="21"/>
          <w:szCs w:val="21"/>
          <w:highlight w:val="none"/>
          <w:lang w:val="en-US"/>
        </w:rPr>
        <w:t xml:space="preserve">（8）系统优化服务</w:t>
      </w:r>
      <w:r/>
    </w:p>
    <w:p>
      <w:pPr>
        <w:ind w:firstLine="420"/>
        <w:spacing w:line="360" w:lineRule="auto"/>
        <w:rPr>
          <w:sz w:val="21"/>
          <w:szCs w:val="21"/>
          <w:highlight w:val="none"/>
          <w:lang w:val="en-US"/>
        </w:rPr>
      </w:pPr>
      <w:r>
        <w:rPr>
          <w:rFonts w:hint="eastAsia"/>
          <w:sz w:val="21"/>
          <w:szCs w:val="21"/>
          <w:highlight w:val="none"/>
          <w:lang w:val="en-US"/>
        </w:rPr>
        <w:t xml:space="preserve">根据采购人需求，优化各个业务模块。例如优化基于ECMWF</w:t>
      </w:r>
      <w:r>
        <w:rPr>
          <w:rFonts w:hint="eastAsia"/>
          <w:sz w:val="21"/>
          <w:szCs w:val="21"/>
          <w:highlight w:val="none"/>
          <w:lang w:val="en-US"/>
        </w:rPr>
        <w:t xml:space="preserve">的预报、中长期预报、短临预报、污染溯源、管控评估、排放清单等模块，及时更新、对接污染源数据，配合完成各种空气质量分析报告。例如当采购人提供污染源相关数据时，需要及时完成数据接入、展示和分析等工作，并配合采购人实现排放清单的动态更新；当采购人提供其他清单数据时，需要及时完成数据接入、展示和分析工作，并完善不同清单对比分析功能；当采购人需要利用溯源结果时，需要提供数据接口，配合数据的二次加工；根据采购人要求，优化各类产品展示、导出功能，尤其是中长期、短临预报产品；根据采购人要求优化船舶数据展示方式及应用场景等。</w:t>
      </w:r>
      <w:r/>
    </w:p>
    <w:p>
      <w:pPr>
        <w:ind w:firstLine="420"/>
        <w:spacing w:line="360" w:lineRule="auto"/>
        <w:rPr>
          <w:sz w:val="21"/>
          <w:szCs w:val="21"/>
          <w:highlight w:val="none"/>
          <w:lang w:val="en-US"/>
        </w:rPr>
      </w:pPr>
      <w:r>
        <w:rPr>
          <w:rFonts w:hint="eastAsia"/>
          <w:sz w:val="21"/>
          <w:szCs w:val="21"/>
          <w:highlight w:val="none"/>
          <w:lang w:val="en-US"/>
        </w:rPr>
        <w:t xml:space="preserve">若有新的模型或数据需要接入平台时，供应商应该派技术人员协助在规定的时间内完成接入、展示和分析工作，并保证平台上对应的数据分析模块及数据下载功能等对新数据同样适用。</w:t>
      </w:r>
      <w:r/>
    </w:p>
    <w:p>
      <w:pPr>
        <w:ind w:firstLine="420"/>
        <w:spacing w:line="360" w:lineRule="auto"/>
        <w:rPr>
          <w:sz w:val="21"/>
          <w:szCs w:val="21"/>
          <w:highlight w:val="none"/>
          <w:lang w:val="en-US"/>
        </w:rPr>
      </w:pPr>
      <w:r>
        <w:rPr>
          <w:rFonts w:hint="eastAsia"/>
          <w:sz w:val="21"/>
          <w:szCs w:val="21"/>
          <w:highlight w:val="none"/>
          <w:lang w:val="en-US"/>
        </w:rPr>
        <w:t xml:space="preserve">（9）模式调优服务</w:t>
      </w:r>
      <w:r/>
    </w:p>
    <w:p>
      <w:pPr>
        <w:ind w:firstLine="420"/>
        <w:spacing w:line="360" w:lineRule="auto"/>
        <w:rPr>
          <w:sz w:val="21"/>
          <w:szCs w:val="21"/>
          <w:highlight w:val="none"/>
          <w:lang w:val="en-US"/>
        </w:rPr>
      </w:pPr>
      <w:r>
        <w:rPr>
          <w:rFonts w:hint="eastAsia"/>
          <w:sz w:val="21"/>
          <w:szCs w:val="21"/>
          <w:highlight w:val="none"/>
          <w:lang w:val="en-US"/>
        </w:rPr>
        <w:t xml:space="preserve">根据模式预报偏差来源诊断分析结果，尤其是ECW</w:t>
      </w:r>
      <w:r>
        <w:rPr>
          <w:rFonts w:hint="eastAsia"/>
          <w:sz w:val="21"/>
          <w:szCs w:val="21"/>
          <w:highlight w:val="none"/>
          <w:lang w:val="en-US"/>
        </w:rPr>
        <w:t xml:space="preserve">RF和中长期预报，制定调优策略，结合有针对性的改进方法进行模式调优效果评估，将模式预报结果与空气质量实况数据进行对比，并结合模式主要误差来源，分析系统性模拟误差时空特征，根据分析结果对模式调优策略进行优化，经过多次优化调整并与用户沟通达成一致后开展模式调优工作，降低预报偏差，改善提升模式预报整体效果，提供优化前后对比分析报告。调优可针对全省或特定城市，优化后，对有效监测天的预报准确率或者对特定污染过程的预报准确率要有所提升，提升幅度不少于2个百分点。运维期间针对PM2.5和臭氧预报的调优工作至少各开展一次。</w:t>
      </w:r>
      <w:r/>
    </w:p>
    <w:p>
      <w:pPr>
        <w:ind w:firstLine="420"/>
        <w:spacing w:line="360" w:lineRule="auto"/>
        <w:rPr>
          <w:sz w:val="21"/>
          <w:szCs w:val="21"/>
          <w:highlight w:val="none"/>
          <w:lang w:val="en-US"/>
        </w:rPr>
      </w:pPr>
      <w:r>
        <w:rPr>
          <w:rFonts w:hint="eastAsia"/>
          <w:sz w:val="21"/>
          <w:szCs w:val="21"/>
          <w:highlight w:val="none"/>
          <w:lang w:val="en-US"/>
        </w:rPr>
        <w:t xml:space="preserve">根据采购人日常使用经验，优化溯源模型、管控评估模型、清单反演等3种模型至少各一次，提升模型稳定性和模型结果的科学性，提供优化前后对比分析报告。</w:t>
      </w:r>
      <w:r/>
    </w:p>
    <w:p>
      <w:pPr>
        <w:ind w:firstLine="420"/>
        <w:spacing w:line="360" w:lineRule="auto"/>
        <w:rPr>
          <w:sz w:val="21"/>
          <w:szCs w:val="21"/>
          <w:highlight w:val="none"/>
          <w:lang w:val="en-US"/>
        </w:rPr>
      </w:pPr>
      <w:r>
        <w:rPr>
          <w:rFonts w:hint="eastAsia"/>
          <w:sz w:val="21"/>
          <w:szCs w:val="21"/>
          <w:highlight w:val="none"/>
          <w:lang w:val="en-US"/>
        </w:rPr>
        <w:t xml:space="preserve">（10）保障服务</w:t>
      </w:r>
      <w:r/>
    </w:p>
    <w:p>
      <w:pPr>
        <w:ind w:firstLine="420"/>
        <w:spacing w:line="360" w:lineRule="auto"/>
        <w:rPr>
          <w:sz w:val="21"/>
          <w:szCs w:val="21"/>
          <w:highlight w:val="none"/>
          <w:lang w:val="en-US"/>
        </w:rPr>
      </w:pPr>
      <w:r>
        <w:rPr>
          <w:rFonts w:hint="eastAsia"/>
          <w:sz w:val="21"/>
          <w:szCs w:val="21"/>
          <w:highlight w:val="none"/>
          <w:lang w:val="en-US"/>
        </w:rPr>
        <w:t xml:space="preserve">如遇重大活动或重污染天气等情况，可根据实际需求，供应商安排人员加大监控系统运行状况频次，以保证系统运行问题能够及时处理，为污染分析提供技术支撑。</w:t>
      </w:r>
      <w:r/>
    </w:p>
    <w:p>
      <w:pPr>
        <w:ind w:firstLine="422"/>
        <w:jc w:val="both"/>
        <w:spacing w:line="360" w:lineRule="auto"/>
        <w:rPr>
          <w:b/>
          <w:bCs/>
          <w:sz w:val="28"/>
          <w:szCs w:val="28"/>
          <w:highlight w:val="none"/>
        </w:rPr>
        <w:outlineLvl w:val="0"/>
      </w:pPr>
      <w:r>
        <w:rPr>
          <w:rFonts w:hint="eastAsia"/>
          <w:b/>
          <w:bCs/>
          <w:sz w:val="21"/>
          <w:szCs w:val="21"/>
          <w:highlight w:val="none"/>
          <w:lang w:val="en-US"/>
        </w:rPr>
        <w:t xml:space="preserve">（四）服务</w:t>
      </w:r>
      <w:r>
        <w:rPr>
          <w:b/>
          <w:bCs/>
          <w:sz w:val="21"/>
          <w:szCs w:val="21"/>
          <w:highlight w:val="none"/>
          <w:lang w:val="en-US"/>
        </w:rPr>
        <w:t xml:space="preserve">要求</w:t>
      </w:r>
      <w:r/>
    </w:p>
    <w:p>
      <w:pPr>
        <w:ind w:firstLine="420"/>
        <w:spacing w:line="360" w:lineRule="auto"/>
        <w:rPr>
          <w:sz w:val="21"/>
          <w:szCs w:val="21"/>
          <w:highlight w:val="none"/>
          <w:lang w:val="en-US"/>
        </w:rPr>
      </w:pPr>
      <w:r>
        <w:rPr>
          <w:rFonts w:hint="eastAsia"/>
          <w:sz w:val="21"/>
          <w:szCs w:val="21"/>
          <w:highlight w:val="none"/>
          <w:lang w:val="en-US"/>
        </w:rPr>
        <w:t xml:space="preserve">（1）运维期间提供7×24小时系统故障响应，在接到用户遇到使用及技术问题通知后，须立即做出响应，运维人员在30分钟内进行处理，并在2小时内解决问题。若出现突发应急事件，运维人员无法及时解决的，须在12小时内委派其他技术人员到现场进行应急处置，确保系统正常运行。如有需要，需4小时内到达现场进行处理。</w:t>
      </w:r>
      <w:r/>
    </w:p>
    <w:p>
      <w:pPr>
        <w:ind w:firstLine="420"/>
        <w:spacing w:line="360" w:lineRule="auto"/>
        <w:rPr>
          <w:sz w:val="21"/>
          <w:szCs w:val="21"/>
          <w:highlight w:val="none"/>
          <w:lang w:val="en-US"/>
        </w:rPr>
      </w:pPr>
      <w:r>
        <w:rPr>
          <w:rFonts w:hint="eastAsia"/>
          <w:sz w:val="21"/>
          <w:szCs w:val="21"/>
          <w:highlight w:val="none"/>
          <w:lang w:val="en-US"/>
        </w:rPr>
        <w:t xml:space="preserve">（2）系统必须保证7×24小时的连续运行，不影响采购人的业务工作（非本项目提供硬件资源及网络等故障除外），全年故障时间：&lt;10天，全年连续故障时间：&lt;2天，平均故障修复时间：&lt;4小时。</w:t>
      </w:r>
      <w:r/>
    </w:p>
    <w:p>
      <w:pPr>
        <w:ind w:firstLine="420"/>
        <w:spacing w:line="360" w:lineRule="auto"/>
        <w:rPr>
          <w:sz w:val="21"/>
          <w:szCs w:val="21"/>
          <w:highlight w:val="none"/>
          <w:lang w:val="en-US"/>
        </w:rPr>
      </w:pPr>
      <w:r>
        <w:rPr>
          <w:rFonts w:hint="eastAsia"/>
          <w:sz w:val="21"/>
          <w:szCs w:val="21"/>
          <w:highlight w:val="none"/>
          <w:lang w:val="en-US"/>
        </w:rPr>
        <w:t xml:space="preserve">（3）包1中的高性能计算环境以及包2中的ECMWF、污染排放清单等原始数据由供应商自行获取，供应商确保数据稳定，全年数据缺失时间：&lt;10天，全年数据连续缺失时间：&lt;2天。（非本项目提供硬件资源及网络等故障除外）。</w:t>
      </w:r>
      <w:r/>
    </w:p>
    <w:p>
      <w:pPr>
        <w:ind w:firstLine="420"/>
        <w:spacing w:line="360" w:lineRule="auto"/>
        <w:rPr>
          <w:sz w:val="21"/>
          <w:szCs w:val="21"/>
          <w:highlight w:val="none"/>
          <w:lang w:val="en-US"/>
        </w:rPr>
      </w:pPr>
      <w:r>
        <w:rPr>
          <w:rFonts w:hint="eastAsia"/>
          <w:sz w:val="21"/>
          <w:szCs w:val="21"/>
          <w:highlight w:val="none"/>
          <w:lang w:val="en-US"/>
        </w:rPr>
        <w:t xml:space="preserve">（4）提供运维服务过程中，运维服务团队对获知的数据信息保密，在未征得采购人同意的情况下，不得向第三方泄露在项目中接触到的需要保密的情报、资料及数据；在未征得采购人同意的情况下，不得擅自更改任何系统业务数据，不得拷贝或下载运维系统相关资料及数据到本地计算机或移动介质上。</w:t>
      </w:r>
      <w:r/>
    </w:p>
    <w:p>
      <w:pPr>
        <w:ind w:firstLine="420"/>
        <w:spacing w:line="360" w:lineRule="auto"/>
        <w:rPr>
          <w:b/>
          <w:bCs/>
          <w:sz w:val="28"/>
          <w:szCs w:val="28"/>
          <w:highlight w:val="none"/>
        </w:rPr>
      </w:pPr>
      <w:r>
        <w:rPr>
          <w:rFonts w:hint="eastAsia"/>
          <w:sz w:val="21"/>
          <w:szCs w:val="21"/>
          <w:highlight w:val="none"/>
          <w:lang w:val="en-US"/>
        </w:rPr>
        <w:t xml:space="preserve">（5）供应商未按照采购人要求开展运维工作，导致采购人不能按时完成业务工作的，累计需小于10天，达到10天时扣10000元，超过10天后每增加1天扣1000元；系统连续2天或以上故障，导致采购人不能按时完成业务工作的，每出现一次扣50000元；因供应商原因导致故障修复时间大于4小时，每出现一次扣1000元。</w:t>
      </w:r>
      <w:r/>
    </w:p>
    <w:p>
      <w:pPr>
        <w:ind w:firstLine="422"/>
        <w:jc w:val="both"/>
        <w:spacing w:line="360" w:lineRule="auto"/>
        <w:rPr>
          <w:b/>
          <w:bCs/>
          <w:sz w:val="21"/>
          <w:szCs w:val="21"/>
          <w:highlight w:val="none"/>
          <w:lang w:val="en-US"/>
        </w:rPr>
        <w:outlineLvl w:val="0"/>
      </w:pPr>
      <w:r>
        <w:rPr>
          <w:rFonts w:hint="eastAsia"/>
          <w:b/>
          <w:bCs/>
          <w:sz w:val="21"/>
          <w:szCs w:val="21"/>
          <w:highlight w:val="none"/>
          <w:lang w:val="en-US"/>
        </w:rPr>
        <w:t xml:space="preserve">（五）其他要求</w:t>
      </w:r>
      <w:r/>
    </w:p>
    <w:p>
      <w:pPr>
        <w:ind w:firstLine="420"/>
        <w:spacing w:line="360" w:lineRule="auto"/>
        <w:rPr>
          <w:sz w:val="21"/>
          <w:szCs w:val="21"/>
          <w:highlight w:val="none"/>
          <w:lang w:val="en-US"/>
        </w:rPr>
      </w:pPr>
      <w:r>
        <w:rPr>
          <w:rFonts w:hint="eastAsia"/>
          <w:sz w:val="21"/>
          <w:szCs w:val="21"/>
          <w:highlight w:val="none"/>
          <w:lang w:val="en-US"/>
        </w:rPr>
        <w:t xml:space="preserve">（1）供应商应对项目实施过程及实施过程中获取的所有相关数据、研究成果等材料保密，未经采购人书面允许，不得以任意形式传播或泄露相关信息，不得向任何第三方透露，亦不得用于本合同所涉及的系统之外的任何其他用途。</w:t>
      </w:r>
      <w:r/>
    </w:p>
    <w:p>
      <w:pPr>
        <w:ind w:firstLine="420"/>
        <w:spacing w:line="360" w:lineRule="auto"/>
        <w:rPr>
          <w:b/>
          <w:bCs/>
          <w:sz w:val="21"/>
          <w:szCs w:val="21"/>
          <w:highlight w:val="none"/>
          <w:lang w:val="en-US"/>
        </w:rPr>
      </w:pPr>
      <w:r>
        <w:rPr>
          <w:rFonts w:hint="eastAsia"/>
          <w:sz w:val="21"/>
          <w:szCs w:val="21"/>
          <w:highlight w:val="none"/>
          <w:lang w:val="en-US"/>
        </w:rPr>
        <w:t xml:space="preserve">（2）供应商需密切配合采购人按照采购文件要求开展日常工作。</w:t>
      </w:r>
      <w:r/>
    </w:p>
    <w:p>
      <w:pPr>
        <w:ind w:firstLine="420"/>
        <w:spacing w:line="360" w:lineRule="auto"/>
        <w:rPr>
          <w:sz w:val="21"/>
          <w:szCs w:val="21"/>
          <w:highlight w:val="none"/>
          <w:lang w:val="en-US"/>
        </w:rPr>
      </w:pPr>
      <w:r>
        <w:rPr>
          <w:b/>
          <w:bCs/>
          <w:highlight w:val="none"/>
        </w:rPr>
        <w:br w:type="page" w:clear="all"/>
      </w:r>
      <w:r/>
    </w:p>
    <w:p>
      <w:pPr>
        <w:jc w:val="center"/>
        <w:rPr>
          <w:b/>
          <w:bCs/>
          <w:sz w:val="28"/>
          <w:szCs w:val="28"/>
          <w:highlight w:val="none"/>
        </w:rPr>
        <w:outlineLvl w:val="0"/>
      </w:pPr>
      <w:r>
        <w:rPr>
          <w:rFonts w:hint="eastAsia"/>
          <w:b/>
          <w:bCs/>
          <w:sz w:val="28"/>
          <w:szCs w:val="28"/>
          <w:highlight w:val="none"/>
        </w:rPr>
        <w:t xml:space="preserve">第五章</w:t>
      </w:r>
      <w:r>
        <w:rPr>
          <w:rFonts w:hint="eastAsia"/>
          <w:b/>
          <w:bCs/>
          <w:sz w:val="28"/>
          <w:szCs w:val="28"/>
          <w:highlight w:val="none"/>
          <w:lang w:val="en-US"/>
        </w:rPr>
        <w:t xml:space="preserve">  </w:t>
      </w:r>
      <w:r>
        <w:rPr>
          <w:rFonts w:hint="eastAsia"/>
          <w:b/>
          <w:bCs/>
          <w:sz w:val="28"/>
          <w:szCs w:val="28"/>
          <w:highlight w:val="none"/>
        </w:rPr>
        <w:t xml:space="preserve">合同主要条款及格式</w:t>
      </w:r>
      <w:r/>
    </w:p>
    <w:p>
      <w:pPr>
        <w:jc w:val="center"/>
        <w:rPr>
          <w:b/>
          <w:highlight w:val="none"/>
        </w:rPr>
      </w:pPr>
      <w:r>
        <w:rPr>
          <w:rFonts w:hint="eastAsia"/>
          <w:b/>
          <w:highlight w:val="none"/>
        </w:rPr>
        <w:t xml:space="preserve">江苏省政府采购合同（服务）</w:t>
      </w:r>
      <w:r/>
    </w:p>
    <w:p>
      <w:pPr>
        <w:jc w:val="center"/>
        <w:rPr>
          <w:b/>
          <w:bCs/>
          <w:highlight w:val="none"/>
        </w:rPr>
      </w:pPr>
      <w:r>
        <w:rPr>
          <w:b/>
          <w:bCs/>
          <w:highlight w:val="none"/>
        </w:rPr>
      </w:r>
      <w:r/>
    </w:p>
    <w:p>
      <w:pPr>
        <w:rPr>
          <w:sz w:val="21"/>
          <w:szCs w:val="21"/>
          <w:highlight w:val="none"/>
        </w:rPr>
      </w:pPr>
      <w:r>
        <w:rPr>
          <w:rFonts w:hint="eastAsia"/>
          <w:sz w:val="21"/>
          <w:szCs w:val="21"/>
          <w:highlight w:val="none"/>
        </w:rPr>
        <w:t xml:space="preserve">项目名称：</w:t>
      </w:r>
      <w:r>
        <w:rPr>
          <w:sz w:val="21"/>
          <w:szCs w:val="21"/>
          <w:highlight w:val="none"/>
        </w:rPr>
        <w:t xml:space="preserve">江苏省环境监控系统二期工程重污染天气监测预报预警系统运维项目</w:t>
      </w:r>
      <w:r>
        <w:rPr>
          <w:rFonts w:hint="eastAsia"/>
          <w:sz w:val="21"/>
          <w:szCs w:val="21"/>
          <w:highlight w:val="none"/>
        </w:rPr>
        <w:t xml:space="preserve">—XXX子系统运维</w:t>
      </w:r>
      <w:r/>
    </w:p>
    <w:p>
      <w:pPr>
        <w:rPr>
          <w:sz w:val="21"/>
          <w:szCs w:val="21"/>
          <w:highlight w:val="none"/>
        </w:rPr>
      </w:pPr>
      <w:r>
        <w:rPr>
          <w:rFonts w:hint="eastAsia"/>
          <w:sz w:val="21"/>
          <w:szCs w:val="21"/>
          <w:highlight w:val="none"/>
        </w:rPr>
        <w:t xml:space="preserve">项目编号：</w:t>
      </w:r>
      <w:r/>
    </w:p>
    <w:p>
      <w:pPr>
        <w:rPr>
          <w:sz w:val="21"/>
          <w:szCs w:val="21"/>
          <w:highlight w:val="none"/>
        </w:rPr>
      </w:pPr>
      <w:r>
        <w:rPr>
          <w:rFonts w:hint="eastAsia"/>
          <w:sz w:val="21"/>
          <w:szCs w:val="21"/>
          <w:highlight w:val="none"/>
        </w:rPr>
        <w:t xml:space="preserve">甲方：（买方）江苏省环境监测中心</w:t>
      </w:r>
      <w:r/>
    </w:p>
    <w:p>
      <w:pPr>
        <w:rPr>
          <w:sz w:val="21"/>
          <w:szCs w:val="21"/>
          <w:highlight w:val="none"/>
        </w:rPr>
      </w:pPr>
      <w:r>
        <w:rPr>
          <w:rFonts w:hint="eastAsia"/>
          <w:sz w:val="21"/>
          <w:szCs w:val="21"/>
          <w:highlight w:val="none"/>
        </w:rPr>
        <w:t xml:space="preserve">乙方：（卖方）</w:t>
      </w:r>
      <w:r/>
    </w:p>
    <w:p>
      <w:pPr>
        <w:rPr>
          <w:sz w:val="21"/>
          <w:szCs w:val="21"/>
          <w:highlight w:val="none"/>
        </w:rPr>
      </w:pPr>
      <w:r>
        <w:rPr>
          <w:rFonts w:hint="eastAsia"/>
          <w:sz w:val="21"/>
          <w:szCs w:val="21"/>
          <w:highlight w:val="none"/>
        </w:rPr>
        <w:t xml:space="preserve">分包号：</w:t>
      </w:r>
      <w:r/>
    </w:p>
    <w:p>
      <w:pPr>
        <w:rPr>
          <w:sz w:val="21"/>
          <w:szCs w:val="21"/>
          <w:highlight w:val="none"/>
        </w:rPr>
      </w:pPr>
      <w:r>
        <w:rPr>
          <w:rFonts w:hint="eastAsia"/>
          <w:sz w:val="21"/>
          <w:szCs w:val="21"/>
          <w:highlight w:val="none"/>
        </w:rPr>
        <w:t xml:space="preserve">甲、乙双方根据</w:t>
      </w:r>
      <w:r>
        <w:rPr>
          <w:sz w:val="21"/>
          <w:szCs w:val="21"/>
          <w:highlight w:val="none"/>
        </w:rPr>
        <w:t xml:space="preserve">江苏省环境监控系统二期工程重污染天气监测预报预警系统运维项目</w:t>
      </w:r>
      <w:r>
        <w:rPr>
          <w:rFonts w:hint="eastAsia"/>
          <w:sz w:val="21"/>
          <w:szCs w:val="21"/>
          <w:highlight w:val="none"/>
        </w:rPr>
        <w:t xml:space="preserve">—</w:t>
      </w:r>
      <w:r>
        <w:rPr>
          <w:sz w:val="21"/>
          <w:szCs w:val="21"/>
          <w:highlight w:val="none"/>
        </w:rPr>
        <w:t xml:space="preserve">XXX子系统运维</w:t>
      </w:r>
      <w:r>
        <w:rPr>
          <w:rFonts w:hint="eastAsia"/>
          <w:sz w:val="21"/>
          <w:szCs w:val="21"/>
          <w:highlight w:val="none"/>
        </w:rPr>
        <w:t xml:space="preserve">公开招标的结果，签署本合同。</w:t>
      </w:r>
      <w:r/>
    </w:p>
    <w:p>
      <w:pPr>
        <w:rPr>
          <w:sz w:val="21"/>
          <w:szCs w:val="21"/>
          <w:highlight w:val="none"/>
        </w:rPr>
      </w:pPr>
      <w:r>
        <w:rPr>
          <w:sz w:val="21"/>
          <w:szCs w:val="21"/>
          <w:highlight w:val="none"/>
        </w:rPr>
      </w:r>
      <w:r/>
    </w:p>
    <w:p>
      <w:pPr>
        <w:rPr>
          <w:b/>
          <w:bCs/>
          <w:sz w:val="21"/>
          <w:szCs w:val="21"/>
          <w:highlight w:val="none"/>
        </w:rPr>
      </w:pPr>
      <w:r>
        <w:rPr>
          <w:rFonts w:hint="eastAsia"/>
          <w:b/>
          <w:bCs/>
          <w:sz w:val="21"/>
          <w:szCs w:val="21"/>
          <w:highlight w:val="none"/>
        </w:rPr>
        <w:t xml:space="preserve">一、服务内容</w:t>
      </w:r>
      <w:r/>
    </w:p>
    <w:p>
      <w:pPr>
        <w:ind w:firstLine="420"/>
        <w:rPr>
          <w:sz w:val="21"/>
          <w:szCs w:val="21"/>
          <w:highlight w:val="none"/>
        </w:rPr>
      </w:pPr>
      <w:r>
        <w:rPr>
          <w:rFonts w:hint="eastAsia"/>
          <w:sz w:val="21"/>
          <w:szCs w:val="21"/>
          <w:highlight w:val="none"/>
        </w:rPr>
        <w:t xml:space="preserve">1.1 项目内容：乙方根据招标文件的要求负责</w:t>
      </w:r>
      <w:r>
        <w:rPr>
          <w:sz w:val="21"/>
          <w:szCs w:val="21"/>
          <w:highlight w:val="none"/>
        </w:rPr>
        <w:t xml:space="preserve">江苏省环境监控系统二期工程重污染天气监测预报预警系统运维项目</w:t>
      </w:r>
      <w:r>
        <w:rPr>
          <w:rFonts w:hint="eastAsia"/>
          <w:sz w:val="21"/>
          <w:szCs w:val="21"/>
          <w:highlight w:val="none"/>
        </w:rPr>
        <w:t xml:space="preserve">—</w:t>
      </w:r>
      <w:r>
        <w:rPr>
          <w:sz w:val="21"/>
          <w:szCs w:val="21"/>
          <w:highlight w:val="none"/>
        </w:rPr>
        <w:t xml:space="preserve">XXX子系统运维</w:t>
      </w:r>
      <w:r>
        <w:rPr>
          <w:rFonts w:hint="eastAsia"/>
          <w:sz w:val="21"/>
          <w:szCs w:val="21"/>
          <w:highlight w:val="none"/>
        </w:rPr>
        <w:t xml:space="preserve">，维持相关系统正常运行并优化完善系统。</w:t>
      </w:r>
      <w:r/>
    </w:p>
    <w:p>
      <w:pPr>
        <w:ind w:firstLine="420"/>
        <w:rPr>
          <w:sz w:val="21"/>
          <w:szCs w:val="21"/>
          <w:highlight w:val="none"/>
        </w:rPr>
      </w:pPr>
      <w:r>
        <w:rPr>
          <w:rFonts w:hint="eastAsia"/>
          <w:sz w:val="21"/>
          <w:szCs w:val="21"/>
          <w:highlight w:val="none"/>
        </w:rPr>
        <w:t xml:space="preserve">1.2服务期限：自合同签订之日起一年。</w:t>
      </w:r>
      <w:r/>
    </w:p>
    <w:p>
      <w:pPr>
        <w:rPr>
          <w:b/>
          <w:bCs/>
          <w:sz w:val="21"/>
          <w:szCs w:val="21"/>
          <w:highlight w:val="none"/>
        </w:rPr>
      </w:pPr>
      <w:r>
        <w:rPr>
          <w:rFonts w:hint="eastAsia"/>
          <w:b/>
          <w:bCs/>
          <w:sz w:val="21"/>
          <w:szCs w:val="21"/>
          <w:highlight w:val="none"/>
        </w:rPr>
        <w:t xml:space="preserve">二、合同金额</w:t>
      </w:r>
      <w:r/>
    </w:p>
    <w:p>
      <w:pPr>
        <w:ind w:firstLine="420"/>
        <w:rPr>
          <w:sz w:val="21"/>
          <w:szCs w:val="21"/>
          <w:highlight w:val="none"/>
        </w:rPr>
      </w:pPr>
      <w:r>
        <w:rPr>
          <w:rFonts w:hint="eastAsia"/>
          <w:sz w:val="21"/>
          <w:szCs w:val="21"/>
          <w:highlight w:val="none"/>
        </w:rPr>
        <w:t xml:space="preserve">2.1 合同价金额为（大写）：                                           </w:t>
      </w:r>
      <w:r/>
    </w:p>
    <w:p>
      <w:pPr>
        <w:rPr>
          <w:b/>
          <w:bCs/>
          <w:sz w:val="21"/>
          <w:szCs w:val="21"/>
          <w:highlight w:val="none"/>
        </w:rPr>
      </w:pPr>
      <w:r>
        <w:rPr>
          <w:rFonts w:hint="eastAsia"/>
          <w:b/>
          <w:bCs/>
          <w:sz w:val="21"/>
          <w:szCs w:val="21"/>
          <w:highlight w:val="none"/>
        </w:rPr>
        <w:t xml:space="preserve">三、技术资料</w:t>
      </w:r>
      <w:r/>
    </w:p>
    <w:p>
      <w:pPr>
        <w:ind w:firstLine="420"/>
        <w:rPr>
          <w:sz w:val="21"/>
          <w:szCs w:val="21"/>
          <w:highlight w:val="none"/>
        </w:rPr>
      </w:pPr>
      <w:r>
        <w:rPr>
          <w:rFonts w:hint="eastAsia"/>
          <w:sz w:val="21"/>
          <w:szCs w:val="21"/>
          <w:highlight w:val="none"/>
        </w:rPr>
        <w:t xml:space="preserve">3.1 乙方应按招标文件中的项目需求向甲方提供服务的相关技术资料。</w:t>
      </w:r>
      <w:r/>
    </w:p>
    <w:p>
      <w:pPr>
        <w:ind w:firstLine="420"/>
        <w:rPr>
          <w:sz w:val="21"/>
          <w:szCs w:val="21"/>
          <w:highlight w:val="none"/>
        </w:rPr>
      </w:pPr>
      <w:r>
        <w:rPr>
          <w:rFonts w:hint="eastAsia"/>
          <w:sz w:val="21"/>
          <w:szCs w:val="21"/>
          <w:highlight w:val="none"/>
        </w:rPr>
        <w:t xml:space="preserve">3.2 没有甲方事先书面同意，乙方不得将由甲方提供的有关合同或任何合同条文提供给与履行本合同无关的任何其他人。即使向履行本合同有关的人员提供，也应注意保密并限于履行合同的必需范围。</w:t>
      </w:r>
      <w:r/>
    </w:p>
    <w:p>
      <w:pPr>
        <w:rPr>
          <w:b/>
          <w:bCs/>
          <w:sz w:val="21"/>
          <w:szCs w:val="21"/>
          <w:highlight w:val="none"/>
        </w:rPr>
      </w:pPr>
      <w:r>
        <w:rPr>
          <w:rFonts w:hint="eastAsia"/>
          <w:b/>
          <w:bCs/>
          <w:sz w:val="21"/>
          <w:szCs w:val="21"/>
          <w:highlight w:val="none"/>
        </w:rPr>
        <w:t xml:space="preserve">四、知识产权</w:t>
      </w:r>
      <w:r/>
    </w:p>
    <w:p>
      <w:pPr>
        <w:ind w:firstLine="420"/>
        <w:rPr>
          <w:sz w:val="21"/>
          <w:szCs w:val="21"/>
          <w:highlight w:val="none"/>
        </w:rPr>
      </w:pPr>
      <w:r>
        <w:rPr>
          <w:rFonts w:hint="eastAsia"/>
          <w:sz w:val="21"/>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20"/>
        <w:rPr>
          <w:sz w:val="21"/>
          <w:szCs w:val="21"/>
          <w:highlight w:val="none"/>
        </w:rPr>
      </w:pPr>
      <w:r>
        <w:rPr>
          <w:rFonts w:hint="eastAsia"/>
          <w:sz w:val="21"/>
          <w:szCs w:val="21"/>
          <w:highlight w:val="none"/>
        </w:rPr>
        <w:t xml:space="preserve">4.2乙方完成全部项目内容后，需向甲方提交系统源代码及源代码详细说明，源代码的所有权归甲方。</w:t>
      </w:r>
      <w:r/>
    </w:p>
    <w:p>
      <w:pPr>
        <w:rPr>
          <w:b/>
          <w:bCs/>
          <w:sz w:val="21"/>
          <w:szCs w:val="21"/>
          <w:highlight w:val="none"/>
        </w:rPr>
      </w:pPr>
      <w:r>
        <w:rPr>
          <w:rFonts w:hint="eastAsia"/>
          <w:b/>
          <w:bCs/>
          <w:sz w:val="21"/>
          <w:szCs w:val="21"/>
          <w:highlight w:val="none"/>
        </w:rPr>
        <w:t xml:space="preserve">五、产权担保</w:t>
      </w:r>
      <w:r/>
    </w:p>
    <w:p>
      <w:pPr>
        <w:ind w:firstLine="420"/>
        <w:rPr>
          <w:sz w:val="21"/>
          <w:szCs w:val="21"/>
          <w:highlight w:val="none"/>
        </w:rPr>
      </w:pPr>
      <w:r>
        <w:rPr>
          <w:rFonts w:hint="eastAsia"/>
          <w:sz w:val="21"/>
          <w:szCs w:val="21"/>
          <w:highlight w:val="none"/>
        </w:rPr>
        <w:t xml:space="preserve">5.1 乙方保证所交付的服务（包含与服务相关的货物）的所有权完全属于乙方且无任何抵押、查封等产权瑕疵。</w:t>
      </w:r>
      <w:r/>
    </w:p>
    <w:p>
      <w:pPr>
        <w:rPr>
          <w:b/>
          <w:bCs/>
          <w:sz w:val="21"/>
          <w:szCs w:val="21"/>
          <w:highlight w:val="none"/>
        </w:rPr>
      </w:pPr>
      <w:r>
        <w:rPr>
          <w:rFonts w:hint="eastAsia"/>
          <w:b/>
          <w:bCs/>
          <w:sz w:val="21"/>
          <w:szCs w:val="21"/>
          <w:highlight w:val="none"/>
        </w:rPr>
        <w:t xml:space="preserve">六、履约保证金</w:t>
      </w:r>
      <w:r/>
    </w:p>
    <w:p>
      <w:pPr>
        <w:ind w:firstLine="420"/>
        <w:rPr>
          <w:sz w:val="21"/>
          <w:szCs w:val="21"/>
          <w:highlight w:val="none"/>
        </w:rPr>
      </w:pPr>
      <w:r>
        <w:rPr>
          <w:rFonts w:hint="eastAsia"/>
          <w:sz w:val="21"/>
          <w:szCs w:val="21"/>
          <w:highlight w:val="none"/>
        </w:rPr>
        <w:t xml:space="preserve">6.1 合同签订后，乙方应向甲方缴纳合同总价10%的履约保证金。</w:t>
      </w:r>
      <w:r/>
    </w:p>
    <w:p>
      <w:pPr>
        <w:ind w:firstLine="420"/>
        <w:rPr>
          <w:sz w:val="21"/>
          <w:szCs w:val="21"/>
          <w:highlight w:val="none"/>
        </w:rPr>
      </w:pPr>
      <w:r>
        <w:rPr>
          <w:rFonts w:hint="eastAsia"/>
          <w:sz w:val="21"/>
          <w:szCs w:val="21"/>
          <w:highlight w:val="none"/>
        </w:rPr>
        <w:t xml:space="preserve">6.2合同履行结束后，甲方应及时无息退还交纳的履约保证金。</w:t>
      </w:r>
      <w:r/>
    </w:p>
    <w:p>
      <w:pPr>
        <w:ind w:firstLine="420"/>
        <w:rPr>
          <w:sz w:val="21"/>
          <w:szCs w:val="21"/>
          <w:highlight w:val="none"/>
        </w:rPr>
      </w:pPr>
      <w:r>
        <w:rPr>
          <w:rFonts w:hint="eastAsia"/>
          <w:sz w:val="21"/>
          <w:szCs w:val="21"/>
          <w:highlight w:val="none"/>
        </w:rPr>
        <w:t xml:space="preserve">6.2.1履约保证金退还方式：待项目正式验收后，乙方凭甲方签署的同意退还履约保证金的证明（加盖公章）、履约保证金收条原件到甲方财务处办理保证金退还手续。</w:t>
      </w:r>
      <w:r/>
    </w:p>
    <w:p>
      <w:pPr>
        <w:ind w:firstLine="420"/>
        <w:rPr>
          <w:sz w:val="21"/>
          <w:szCs w:val="21"/>
          <w:highlight w:val="none"/>
        </w:rPr>
      </w:pPr>
      <w:r>
        <w:rPr>
          <w:rFonts w:hint="eastAsia"/>
          <w:sz w:val="21"/>
          <w:szCs w:val="21"/>
          <w:highlight w:val="none"/>
        </w:rPr>
        <w:t xml:space="preserve">6.2.2履约保证金退还时间：项目正式验收后。</w:t>
      </w:r>
      <w:r/>
    </w:p>
    <w:p>
      <w:pPr>
        <w:ind w:firstLine="420"/>
        <w:rPr>
          <w:sz w:val="21"/>
          <w:szCs w:val="21"/>
          <w:highlight w:val="none"/>
        </w:rPr>
      </w:pPr>
      <w:r>
        <w:rPr>
          <w:rFonts w:hint="eastAsia"/>
          <w:sz w:val="21"/>
          <w:szCs w:val="21"/>
          <w:highlight w:val="none"/>
        </w:rPr>
        <w:t xml:space="preserve">6.2.3履约保证金退还条件：乙方按照合同约定完成项目运维、通过验收。</w:t>
      </w:r>
      <w:r/>
    </w:p>
    <w:p>
      <w:pPr>
        <w:ind w:firstLine="420"/>
        <w:rPr>
          <w:sz w:val="21"/>
          <w:szCs w:val="21"/>
          <w:highlight w:val="none"/>
        </w:rPr>
      </w:pPr>
      <w:r>
        <w:rPr>
          <w:rFonts w:hint="eastAsia"/>
          <w:sz w:val="21"/>
          <w:szCs w:val="21"/>
          <w:highlight w:val="none"/>
        </w:rPr>
        <w:t xml:space="preserve">6.2.4履约保证金不予退还的情形：乙方不履行与甲方订立的合同的，履约保证金不予退还，给甲方造成的损失超过履约保证金数额的，还应当对超过部分予以赔偿。项目验收结果不合格的，履约保证金将不予退还。</w:t>
      </w:r>
      <w:r/>
    </w:p>
    <w:p>
      <w:pPr>
        <w:rPr>
          <w:b/>
          <w:bCs/>
          <w:sz w:val="21"/>
          <w:szCs w:val="21"/>
          <w:highlight w:val="none"/>
        </w:rPr>
      </w:pPr>
      <w:r>
        <w:rPr>
          <w:rFonts w:hint="eastAsia"/>
          <w:b/>
          <w:bCs/>
          <w:sz w:val="21"/>
          <w:szCs w:val="21"/>
          <w:highlight w:val="none"/>
        </w:rPr>
        <w:t xml:space="preserve">七、合同转包或分包</w:t>
      </w:r>
      <w:r/>
    </w:p>
    <w:p>
      <w:pPr>
        <w:ind w:firstLine="420"/>
        <w:rPr>
          <w:sz w:val="21"/>
          <w:szCs w:val="21"/>
          <w:highlight w:val="none"/>
        </w:rPr>
      </w:pPr>
      <w:r>
        <w:rPr>
          <w:rFonts w:hint="eastAsia"/>
          <w:sz w:val="21"/>
          <w:szCs w:val="21"/>
          <w:highlight w:val="none"/>
        </w:rPr>
        <w:t xml:space="preserve">7.1未经甲方同意乙方不得将合同标的转包给他人履行。</w:t>
      </w:r>
      <w:r/>
    </w:p>
    <w:p>
      <w:pPr>
        <w:ind w:firstLine="420"/>
        <w:rPr>
          <w:sz w:val="21"/>
          <w:szCs w:val="21"/>
          <w:highlight w:val="none"/>
        </w:rPr>
      </w:pPr>
      <w:r>
        <w:rPr>
          <w:rFonts w:hint="eastAsia"/>
          <w:sz w:val="21"/>
          <w:szCs w:val="21"/>
          <w:highlight w:val="none"/>
        </w:rPr>
        <w:t xml:space="preserve">7.2未经甲方同意乙方不得将合同标的分包给他人履行。</w:t>
      </w:r>
      <w:r/>
    </w:p>
    <w:p>
      <w:pPr>
        <w:ind w:firstLine="420"/>
        <w:rPr>
          <w:sz w:val="21"/>
          <w:szCs w:val="21"/>
          <w:highlight w:val="none"/>
        </w:rPr>
      </w:pPr>
      <w:r>
        <w:rPr>
          <w:rFonts w:hint="eastAsia"/>
          <w:sz w:val="21"/>
          <w:szCs w:val="21"/>
          <w:highlight w:val="none"/>
        </w:rPr>
        <w:t xml:space="preserve">7.3乙方如有转包或未经甲方同意的分包行为，甲方有权解除合同。</w:t>
      </w:r>
      <w:r/>
    </w:p>
    <w:p>
      <w:pPr>
        <w:rPr>
          <w:b/>
          <w:bCs/>
          <w:sz w:val="21"/>
          <w:szCs w:val="21"/>
          <w:highlight w:val="none"/>
        </w:rPr>
      </w:pPr>
      <w:r>
        <w:rPr>
          <w:rFonts w:hint="eastAsia"/>
          <w:b/>
          <w:bCs/>
          <w:sz w:val="21"/>
          <w:szCs w:val="21"/>
          <w:highlight w:val="none"/>
        </w:rPr>
        <w:t xml:space="preserve">八、合同款项支付</w:t>
      </w:r>
      <w:r/>
    </w:p>
    <w:p>
      <w:pPr>
        <w:ind w:firstLine="420"/>
        <w:rPr>
          <w:sz w:val="21"/>
          <w:szCs w:val="21"/>
          <w:highlight w:val="none"/>
        </w:rPr>
      </w:pPr>
      <w:r>
        <w:rPr>
          <w:rFonts w:hint="eastAsia"/>
          <w:sz w:val="21"/>
          <w:szCs w:val="21"/>
          <w:highlight w:val="none"/>
        </w:rPr>
        <w:t xml:space="preserve">本项目列入数字人民币试点，乙方接受数字人民币付款。</w:t>
      </w:r>
      <w:r/>
    </w:p>
    <w:p>
      <w:pPr>
        <w:ind w:firstLine="420"/>
        <w:rPr>
          <w:sz w:val="21"/>
          <w:szCs w:val="21"/>
          <w:highlight w:val="none"/>
        </w:rPr>
      </w:pPr>
      <w:r>
        <w:rPr>
          <w:rFonts w:hint="eastAsia"/>
          <w:sz w:val="21"/>
          <w:szCs w:val="21"/>
          <w:highlight w:val="none"/>
        </w:rPr>
        <w:t xml:space="preserve">甲方按规定支付相应款项：合同签订且收到乙方的履约保证金后十五个工作日内支付合同总额的60%款项，即人民币大写XXX元整（￥XXX）；2026年底甲方将针对本年度的运维工作组织验收，验收合格后在十五个工作日内向乙方支付合同总额的35%款项，即人民币大写XXX元整（￥XXX）；项目结束后，乙方提交项目过程的文档并通过正式验收后，甲方在十五个工作日内向乙方支付剩余款项，即人民币大写XXX元整（￥XXX）。</w:t>
      </w:r>
      <w:r/>
    </w:p>
    <w:p>
      <w:pPr>
        <w:rPr>
          <w:b/>
          <w:bCs/>
          <w:sz w:val="21"/>
          <w:szCs w:val="21"/>
          <w:highlight w:val="none"/>
        </w:rPr>
      </w:pPr>
      <w:r>
        <w:rPr>
          <w:rFonts w:hint="eastAsia"/>
          <w:b/>
          <w:bCs/>
          <w:sz w:val="21"/>
          <w:szCs w:val="21"/>
          <w:highlight w:val="none"/>
        </w:rPr>
        <w:t xml:space="preserve">九、税费</w:t>
      </w:r>
      <w:r/>
    </w:p>
    <w:p>
      <w:pPr>
        <w:ind w:firstLine="420"/>
        <w:rPr>
          <w:sz w:val="21"/>
          <w:szCs w:val="21"/>
          <w:highlight w:val="none"/>
        </w:rPr>
      </w:pPr>
      <w:r>
        <w:rPr>
          <w:rFonts w:hint="eastAsia"/>
          <w:sz w:val="21"/>
          <w:szCs w:val="21"/>
          <w:highlight w:val="none"/>
        </w:rPr>
        <w:t xml:space="preserve">本合同执行中相关的一切税费均由乙方负担。</w:t>
      </w:r>
      <w:r/>
    </w:p>
    <w:p>
      <w:pPr>
        <w:rPr>
          <w:b/>
          <w:bCs/>
          <w:sz w:val="21"/>
          <w:szCs w:val="21"/>
          <w:highlight w:val="none"/>
        </w:rPr>
      </w:pPr>
      <w:r>
        <w:rPr>
          <w:rFonts w:hint="eastAsia"/>
          <w:b/>
          <w:bCs/>
          <w:sz w:val="21"/>
          <w:szCs w:val="21"/>
          <w:highlight w:val="none"/>
        </w:rPr>
        <w:t xml:space="preserve">十、验收</w:t>
      </w:r>
      <w:r/>
    </w:p>
    <w:p>
      <w:pPr>
        <w:ind w:firstLine="420"/>
        <w:rPr>
          <w:sz w:val="21"/>
          <w:szCs w:val="21"/>
          <w:highlight w:val="none"/>
        </w:rPr>
      </w:pPr>
      <w:r>
        <w:rPr>
          <w:rFonts w:hint="eastAsia"/>
          <w:sz w:val="21"/>
          <w:szCs w:val="21"/>
          <w:highlight w:val="none"/>
        </w:rPr>
        <w:t xml:space="preserve">10.1 甲方依法组织履约验收工作。</w:t>
      </w:r>
      <w:r/>
    </w:p>
    <w:p>
      <w:pPr>
        <w:ind w:firstLine="420"/>
        <w:rPr>
          <w:sz w:val="21"/>
          <w:szCs w:val="21"/>
          <w:highlight w:val="none"/>
        </w:rPr>
      </w:pPr>
      <w:r>
        <w:rPr>
          <w:rFonts w:hint="eastAsia"/>
          <w:sz w:val="21"/>
          <w:szCs w:val="21"/>
          <w:highlight w:val="none"/>
        </w:rPr>
        <w:t xml:space="preserve">10.2 甲方在组织履约验收前，将根据项目特点制定验收方案，明确履约验收的详细时间、方式、程序等内容，并可根据项目特点对服务期内的服务实施情况进行分期考核，综合考核情况和服务效果进行验收。乙方应根据验收方案内容做好相应配合工作。</w:t>
      </w:r>
      <w:r/>
    </w:p>
    <w:p>
      <w:pPr>
        <w:ind w:firstLine="420"/>
        <w:rPr>
          <w:sz w:val="21"/>
          <w:szCs w:val="21"/>
          <w:highlight w:val="none"/>
        </w:rPr>
      </w:pPr>
      <w:r>
        <w:rPr>
          <w:rFonts w:hint="eastAsia"/>
          <w:sz w:val="21"/>
          <w:szCs w:val="21"/>
          <w:highlight w:val="none"/>
        </w:rPr>
        <w:t xml:space="preserve">10.3 甲方成立验收小组，按照采购合同的约定对乙方的履约情况进行验收。验收时，甲方按照采购合同的约定对每一项技术、服务、安全标准的履约情况进行确认。验收结果与采购合同约定的资金支付及履约保证金返还条件挂钩。履约验收的各项资料存档备查。</w:t>
      </w:r>
      <w:r/>
    </w:p>
    <w:p>
      <w:pPr>
        <w:ind w:firstLine="420"/>
        <w:rPr>
          <w:sz w:val="21"/>
          <w:szCs w:val="21"/>
          <w:highlight w:val="none"/>
        </w:rPr>
      </w:pPr>
      <w:r>
        <w:rPr>
          <w:rFonts w:hint="eastAsia"/>
          <w:sz w:val="21"/>
          <w:szCs w:val="21"/>
          <w:highlight w:val="none"/>
        </w:rPr>
        <w:t xml:space="preserve">10.4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b/>
          <w:bCs/>
          <w:sz w:val="21"/>
          <w:szCs w:val="21"/>
          <w:highlight w:val="none"/>
        </w:rPr>
      </w:pPr>
      <w:r>
        <w:rPr>
          <w:rFonts w:hint="eastAsia"/>
          <w:b/>
          <w:bCs/>
          <w:sz w:val="21"/>
          <w:szCs w:val="21"/>
          <w:highlight w:val="none"/>
        </w:rPr>
        <w:t xml:space="preserve">十一、违约责任</w:t>
      </w:r>
      <w:r/>
    </w:p>
    <w:p>
      <w:pPr>
        <w:ind w:firstLine="420"/>
        <w:rPr>
          <w:sz w:val="21"/>
          <w:szCs w:val="21"/>
          <w:highlight w:val="none"/>
        </w:rPr>
      </w:pPr>
      <w:r>
        <w:rPr>
          <w:rFonts w:hint="eastAsia"/>
          <w:sz w:val="21"/>
          <w:szCs w:val="21"/>
          <w:highlight w:val="none"/>
        </w:rPr>
        <w:t xml:space="preserve">11.1  甲方不得以无正当理由拒绝接受乙方提供服务的，否则由此所造成的损失须由甲方承担赔偿责任。</w:t>
      </w:r>
      <w:r/>
    </w:p>
    <w:p>
      <w:pPr>
        <w:ind w:firstLine="420"/>
        <w:rPr>
          <w:sz w:val="21"/>
          <w:szCs w:val="21"/>
          <w:highlight w:val="none"/>
        </w:rPr>
      </w:pPr>
      <w:r>
        <w:rPr>
          <w:rFonts w:hint="eastAsia"/>
          <w:sz w:val="21"/>
          <w:szCs w:val="21"/>
          <w:highlight w:val="none"/>
        </w:rPr>
        <w:t xml:space="preserve">11.2 甲方无故逾期验收和办理合同款项支付手续的，甲方应按逾期付款总额每日千分之一的标准向乙方支付违约金。</w:t>
      </w:r>
      <w:r/>
    </w:p>
    <w:p>
      <w:pPr>
        <w:ind w:firstLine="420"/>
        <w:rPr>
          <w:sz w:val="21"/>
          <w:szCs w:val="21"/>
          <w:highlight w:val="none"/>
        </w:rPr>
      </w:pPr>
      <w:r>
        <w:rPr>
          <w:rFonts w:hint="eastAsia"/>
          <w:sz w:val="21"/>
          <w:szCs w:val="21"/>
          <w:highlight w:val="none"/>
        </w:rPr>
        <w:t xml:space="preserve">11.3 乙方逾期提供服务的，乙方应按逾期提供服务合同总额每日千分之一向甲方支付违约金。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 </w:t>
      </w:r>
      <w:r/>
    </w:p>
    <w:p>
      <w:pPr>
        <w:ind w:firstLine="420"/>
        <w:rPr>
          <w:sz w:val="21"/>
          <w:szCs w:val="21"/>
          <w:highlight w:val="none"/>
        </w:rPr>
      </w:pPr>
      <w:r>
        <w:rPr>
          <w:rFonts w:hint="eastAsia"/>
          <w:sz w:val="21"/>
          <w:szCs w:val="21"/>
          <w:highlight w:val="none"/>
        </w:rPr>
        <w:t xml:space="preserve">11.4 乙方所提供的运维服务不符合合同规定及招标文件规定标准的，且乙方拒绝完善或修改的，甲方有权单方面解除合同。</w:t>
      </w:r>
      <w:r/>
    </w:p>
    <w:p>
      <w:pPr>
        <w:ind w:firstLine="420"/>
        <w:rPr>
          <w:sz w:val="21"/>
          <w:szCs w:val="21"/>
          <w:highlight w:val="none"/>
        </w:rPr>
      </w:pPr>
      <w:r>
        <w:rPr>
          <w:rFonts w:hint="eastAsia"/>
          <w:sz w:val="21"/>
          <w:szCs w:val="21"/>
          <w:highlight w:val="none"/>
        </w:rPr>
        <w:t xml:space="preserve">11.5 乙方应确保系统稳定运行，因乙方原因（服务器管理不当、网络安全不足、产品设计缺陷、数据延迟等）导致甲方不能按时完成业务工作的，累计需小于10天，达到10天时扣10000元，超过10天后每增加1天扣1000元；系统连续2天或以上故障，导致甲方不能按时完成业务工作的，每出现一次扣50000元；因乙方原因导致故障修复时间大于4小时，每出现一次扣1000元。</w:t>
      </w:r>
      <w:r/>
    </w:p>
    <w:p>
      <w:pPr>
        <w:rPr>
          <w:b/>
          <w:bCs/>
          <w:sz w:val="21"/>
          <w:szCs w:val="21"/>
          <w:highlight w:val="none"/>
        </w:rPr>
      </w:pPr>
      <w:r>
        <w:rPr>
          <w:rFonts w:hint="eastAsia"/>
          <w:b/>
          <w:bCs/>
          <w:sz w:val="21"/>
          <w:szCs w:val="21"/>
          <w:highlight w:val="none"/>
        </w:rPr>
        <w:t xml:space="preserve">十二、不可抗力事件处理</w:t>
      </w:r>
      <w:r/>
    </w:p>
    <w:p>
      <w:pPr>
        <w:ind w:firstLine="420"/>
        <w:rPr>
          <w:sz w:val="21"/>
          <w:szCs w:val="21"/>
          <w:highlight w:val="none"/>
        </w:rPr>
      </w:pPr>
      <w:r>
        <w:rPr>
          <w:rFonts w:hint="eastAsia"/>
          <w:sz w:val="21"/>
          <w:szCs w:val="21"/>
          <w:highlight w:val="none"/>
        </w:rPr>
        <w:t xml:space="preserve">12.1 在合同有效期内，任何一方因不可抗力事件导致不能履行合同，则合同履行期可延长，其延长期与不可抗力影响期相同。</w:t>
      </w:r>
      <w:r/>
    </w:p>
    <w:p>
      <w:pPr>
        <w:ind w:firstLine="420"/>
        <w:rPr>
          <w:sz w:val="21"/>
          <w:szCs w:val="21"/>
          <w:highlight w:val="none"/>
        </w:rPr>
      </w:pPr>
      <w:r>
        <w:rPr>
          <w:rFonts w:hint="eastAsia"/>
          <w:sz w:val="21"/>
          <w:szCs w:val="21"/>
          <w:highlight w:val="none"/>
        </w:rPr>
        <w:t xml:space="preserve">12.2 不可抗力事件发生后，应立即通知对方，并寄送有关权威机构出具的证明。</w:t>
      </w:r>
      <w:r/>
    </w:p>
    <w:p>
      <w:pPr>
        <w:ind w:firstLine="420"/>
        <w:rPr>
          <w:sz w:val="21"/>
          <w:szCs w:val="21"/>
          <w:highlight w:val="none"/>
        </w:rPr>
      </w:pPr>
      <w:r>
        <w:rPr>
          <w:rFonts w:hint="eastAsia"/>
          <w:sz w:val="21"/>
          <w:szCs w:val="21"/>
          <w:highlight w:val="none"/>
        </w:rPr>
        <w:t xml:space="preserve">12.3 不可抗力事件延续120天以上，双方应通过友好协商，确定是否继续履行合同。</w:t>
      </w:r>
      <w:r/>
    </w:p>
    <w:p>
      <w:pPr>
        <w:ind w:firstLine="420"/>
        <w:rPr>
          <w:sz w:val="21"/>
          <w:szCs w:val="21"/>
          <w:highlight w:val="none"/>
        </w:rPr>
      </w:pPr>
      <w:r>
        <w:rPr>
          <w:rFonts w:hint="eastAsia"/>
          <w:sz w:val="21"/>
          <w:szCs w:val="21"/>
          <w:highlight w:val="none"/>
        </w:rPr>
        <w:t xml:space="preserve">十三、解决争议的方法</w:t>
      </w:r>
      <w:r/>
    </w:p>
    <w:p>
      <w:pPr>
        <w:ind w:firstLine="420"/>
        <w:rPr>
          <w:sz w:val="21"/>
          <w:szCs w:val="21"/>
          <w:highlight w:val="none"/>
        </w:rPr>
      </w:pPr>
      <w:r>
        <w:rPr>
          <w:rFonts w:hint="eastAsia"/>
          <w:sz w:val="21"/>
          <w:szCs w:val="21"/>
          <w:highlight w:val="none"/>
        </w:rPr>
        <w:t xml:space="preserve">13.1双方在签订、履行合同中所发生的一切争议，应通过友好协商解决。如协商不成，可向甲方所在地（南京）人民法院提起诉讼。</w:t>
      </w:r>
      <w:r/>
    </w:p>
    <w:p>
      <w:pPr>
        <w:rPr>
          <w:b/>
          <w:bCs/>
          <w:sz w:val="21"/>
          <w:szCs w:val="21"/>
          <w:highlight w:val="none"/>
        </w:rPr>
      </w:pPr>
      <w:r>
        <w:rPr>
          <w:rFonts w:hint="eastAsia"/>
          <w:b/>
          <w:bCs/>
          <w:sz w:val="21"/>
          <w:szCs w:val="21"/>
          <w:highlight w:val="none"/>
        </w:rPr>
        <w:t xml:space="preserve">十四、合同生效及其它</w:t>
      </w:r>
      <w:r/>
    </w:p>
    <w:p>
      <w:pPr>
        <w:ind w:firstLine="420"/>
        <w:rPr>
          <w:sz w:val="21"/>
          <w:szCs w:val="21"/>
          <w:highlight w:val="none"/>
        </w:rPr>
      </w:pPr>
      <w:r>
        <w:rPr>
          <w:rFonts w:hint="eastAsia"/>
          <w:sz w:val="21"/>
          <w:szCs w:val="21"/>
          <w:highlight w:val="none"/>
        </w:rPr>
        <w:t xml:space="preserve">14.1 本合同经双方法定代表人或授权委托代表人签字并加盖单位公章后生效。</w:t>
      </w:r>
      <w:r/>
    </w:p>
    <w:p>
      <w:pPr>
        <w:ind w:firstLine="420"/>
        <w:rPr>
          <w:sz w:val="21"/>
          <w:szCs w:val="21"/>
          <w:highlight w:val="none"/>
        </w:rPr>
      </w:pPr>
      <w:r>
        <w:rPr>
          <w:rFonts w:hint="eastAsia"/>
          <w:sz w:val="21"/>
          <w:szCs w:val="21"/>
          <w:highlight w:val="none"/>
        </w:rPr>
        <w:t xml:space="preserve">14.2本合同未尽事宜，遵照《中华人民共和国民法典》等有关条文执行。</w:t>
      </w:r>
      <w:r/>
    </w:p>
    <w:p>
      <w:pPr>
        <w:ind w:firstLine="420"/>
        <w:rPr>
          <w:bCs/>
          <w:sz w:val="21"/>
          <w:szCs w:val="21"/>
          <w:highlight w:val="none"/>
        </w:rPr>
      </w:pPr>
      <w:r>
        <w:rPr>
          <w:rFonts w:hint="eastAsia"/>
          <w:sz w:val="21"/>
          <w:szCs w:val="21"/>
          <w:highlight w:val="none"/>
        </w:rPr>
        <w:t xml:space="preserve">14.3 本合同正本一式肆份，具有同等法律效力，甲方、乙方各贰份。</w:t>
      </w:r>
      <w:r/>
    </w:p>
    <w:p>
      <w:pPr>
        <w:rPr>
          <w:sz w:val="21"/>
          <w:szCs w:val="21"/>
          <w:highlight w:val="none"/>
        </w:rPr>
      </w:pPr>
      <w:r>
        <w:rPr>
          <w:sz w:val="21"/>
          <w:szCs w:val="21"/>
          <w:highlight w:val="none"/>
        </w:rPr>
      </w:r>
      <w:r/>
    </w:p>
    <w:tbl>
      <w:tblPr>
        <w:tblStyle w:val="719"/>
        <w:tblW w:w="9285"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39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乙方：（盖章）</w:t>
            </w:r>
            <w:r/>
          </w:p>
        </w:tc>
      </w:tr>
      <w:tr>
        <w:trPr>
          <w:trHeight w:val="39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地址：</w:t>
            </w:r>
            <w:r/>
          </w:p>
        </w:tc>
      </w:tr>
      <w:tr>
        <w:trPr>
          <w:trHeight w:val="39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法定代表人或授权代表：</w:t>
            </w:r>
            <w:r/>
          </w:p>
        </w:tc>
      </w:tr>
      <w:tr>
        <w:trPr>
          <w:trHeight w:val="39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联系电话：</w:t>
            </w:r>
            <w:r/>
          </w:p>
        </w:tc>
      </w:tr>
      <w:tr>
        <w:trPr>
          <w:trHeight w:val="39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签订日期：年月日</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spacing w:line="360" w:lineRule="auto"/>
              <w:shd w:val="clear" w:color="auto" w:fill="ffffff"/>
              <w:rPr>
                <w:sz w:val="21"/>
                <w:szCs w:val="21"/>
                <w:highlight w:val="none"/>
              </w:rPr>
            </w:pPr>
            <w:r>
              <w:rPr>
                <w:rFonts w:ascii="Times New Roman" w:hAnsi="Times New Roman" w:cs="Times New Roman"/>
                <w:sz w:val="21"/>
                <w:szCs w:val="21"/>
                <w:highlight w:val="none"/>
              </w:rPr>
              <w:t xml:space="preserve">签订日期：年月日</w:t>
            </w:r>
            <w:r/>
          </w:p>
        </w:tc>
      </w:tr>
    </w:tbl>
    <w:p>
      <w:pPr>
        <w:rPr>
          <w:highlight w:val="none"/>
          <w:lang w:val="en-US"/>
        </w:rPr>
      </w:pPr>
      <w:r>
        <w:rPr>
          <w:rFonts w:hint="eastAsia"/>
          <w:highlight w:val="none"/>
          <w:lang w:val="en-US"/>
        </w:rPr>
        <w:t xml:space="preserve">.</w:t>
      </w:r>
      <w:r/>
    </w:p>
    <w:p>
      <w:pPr>
        <w:rPr>
          <w:highlight w:val="none"/>
          <w:lang w:val="en-US"/>
        </w:rPr>
      </w:pPr>
      <w:r>
        <w:rPr>
          <w:rFonts w:hint="eastAsia"/>
          <w:highlight w:val="none"/>
          <w:lang w:val="en-US"/>
        </w:rPr>
        <w:br w:type="page" w:clear="all"/>
      </w:r>
      <w:r/>
    </w:p>
    <w:p>
      <w:pPr>
        <w:jc w:val="center"/>
        <w:rPr>
          <w:b/>
          <w:bCs/>
          <w:sz w:val="28"/>
          <w:szCs w:val="28"/>
          <w:highlight w:val="none"/>
        </w:rPr>
        <w:outlineLvl w:val="0"/>
      </w:pPr>
      <w:r>
        <w:rPr>
          <w:rFonts w:hint="eastAsia"/>
          <w:b/>
          <w:bCs/>
          <w:sz w:val="28"/>
          <w:szCs w:val="28"/>
          <w:highlight w:val="none"/>
        </w:rPr>
        <w:t xml:space="preserve">第六章</w:t>
      </w:r>
      <w:r>
        <w:rPr>
          <w:rFonts w:hint="eastAsia"/>
          <w:b/>
          <w:bCs/>
          <w:sz w:val="28"/>
          <w:szCs w:val="28"/>
          <w:highlight w:val="none"/>
          <w:lang w:val="en-US"/>
        </w:rPr>
        <w:t xml:space="preserve">  </w:t>
      </w:r>
      <w:r>
        <w:rPr>
          <w:rFonts w:hint="eastAsia"/>
          <w:b/>
          <w:bCs/>
          <w:sz w:val="28"/>
          <w:szCs w:val="28"/>
          <w:highlight w:val="none"/>
        </w:rPr>
        <w:t xml:space="preserve">投标文件格式及附件</w:t>
      </w:r>
      <w:r/>
    </w:p>
    <w:p>
      <w:pPr>
        <w:spacing w:line="360" w:lineRule="auto"/>
        <w:rPr>
          <w:sz w:val="21"/>
          <w:szCs w:val="21"/>
          <w:highlight w:val="none"/>
        </w:rPr>
      </w:pPr>
      <w:r>
        <w:rPr>
          <w:rFonts w:hint="eastAsia"/>
          <w:sz w:val="21"/>
          <w:szCs w:val="21"/>
          <w:highlight w:val="none"/>
        </w:rPr>
        <w:t xml:space="preserve">注：</w:t>
      </w:r>
      <w:r/>
    </w:p>
    <w:p>
      <w:pPr>
        <w:spacing w:line="360" w:lineRule="auto"/>
        <w:rPr>
          <w:sz w:val="21"/>
          <w:szCs w:val="21"/>
          <w:highlight w:val="none"/>
        </w:rPr>
      </w:pPr>
      <w:r>
        <w:rPr>
          <w:rFonts w:hint="eastAsia"/>
          <w:sz w:val="21"/>
          <w:szCs w:val="21"/>
          <w:highlight w:val="none"/>
        </w:rPr>
        <w:t xml:space="preserve">1.本部分内容仅提供格式参考。</w:t>
      </w:r>
      <w:r/>
    </w:p>
    <w:p>
      <w:pPr>
        <w:spacing w:line="360" w:lineRule="auto"/>
        <w:rPr>
          <w:sz w:val="21"/>
          <w:szCs w:val="21"/>
          <w:highlight w:val="none"/>
        </w:rPr>
      </w:pPr>
      <w:r>
        <w:rPr>
          <w:rFonts w:hint="eastAsia"/>
          <w:sz w:val="21"/>
          <w:szCs w:val="21"/>
          <w:highlight w:val="none"/>
        </w:rPr>
        <w:t xml:space="preserve">2.</w:t>
      </w:r>
      <w:r>
        <w:rPr>
          <w:rFonts w:hint="eastAsia"/>
          <w:sz w:val="21"/>
          <w:szCs w:val="21"/>
          <w:highlight w:val="none"/>
          <w:lang w:val="en-US"/>
        </w:rPr>
        <w:t xml:space="preserve">供应商</w:t>
      </w:r>
      <w:r>
        <w:rPr>
          <w:rFonts w:hint="eastAsia"/>
          <w:sz w:val="21"/>
          <w:szCs w:val="21"/>
          <w:highlight w:val="none"/>
        </w:rPr>
        <w:t xml:space="preserve">应按照以下文件的要求格式、内容制作投标文件，并编制目录及页码，混乱的编排导致投标文件被误读或查找不到，后果由</w:t>
      </w:r>
      <w:r>
        <w:rPr>
          <w:rFonts w:hint="eastAsia"/>
          <w:sz w:val="21"/>
          <w:szCs w:val="21"/>
          <w:highlight w:val="none"/>
          <w:lang w:val="en-US"/>
        </w:rPr>
        <w:t xml:space="preserve">供应商</w:t>
      </w:r>
      <w:r>
        <w:rPr>
          <w:rFonts w:hint="eastAsia"/>
          <w:sz w:val="21"/>
          <w:szCs w:val="21"/>
          <w:highlight w:val="none"/>
        </w:rPr>
        <w:t xml:space="preserve">承担。</w:t>
      </w:r>
      <w:r/>
    </w:p>
    <w:p>
      <w:pPr>
        <w:spacing w:line="360" w:lineRule="auto"/>
        <w:rPr>
          <w:sz w:val="21"/>
          <w:szCs w:val="21"/>
          <w:highlight w:val="none"/>
        </w:rPr>
      </w:pPr>
      <w:r>
        <w:rPr>
          <w:rFonts w:hint="eastAsia"/>
          <w:sz w:val="21"/>
          <w:szCs w:val="21"/>
          <w:highlight w:val="none"/>
        </w:rPr>
        <w:t xml:space="preserve">3.所附表格中要求回答的全部问题和信息都必须正面回答。</w:t>
      </w:r>
      <w:r/>
    </w:p>
    <w:p>
      <w:pPr>
        <w:spacing w:line="360" w:lineRule="auto"/>
        <w:rPr>
          <w:sz w:val="21"/>
          <w:szCs w:val="21"/>
          <w:highlight w:val="none"/>
        </w:rPr>
      </w:pPr>
      <w:r>
        <w:rPr>
          <w:rFonts w:hint="eastAsia"/>
          <w:sz w:val="21"/>
          <w:szCs w:val="21"/>
          <w:highlight w:val="none"/>
        </w:rPr>
        <w:t xml:space="preserve">4.</w:t>
      </w:r>
      <w:r>
        <w:rPr>
          <w:rFonts w:hint="eastAsia"/>
          <w:sz w:val="21"/>
          <w:szCs w:val="21"/>
          <w:highlight w:val="none"/>
          <w:lang w:val="en-US"/>
        </w:rPr>
        <w:t xml:space="preserve">供应商</w:t>
      </w:r>
      <w:r>
        <w:rPr>
          <w:rFonts w:hint="eastAsia"/>
          <w:sz w:val="21"/>
          <w:szCs w:val="21"/>
          <w:highlight w:val="none"/>
        </w:rPr>
        <w:t xml:space="preserve">提交的材料不予退还。</w:t>
      </w:r>
      <w:r/>
    </w:p>
    <w:p>
      <w:pPr>
        <w:spacing w:line="360" w:lineRule="auto"/>
        <w:rPr>
          <w:sz w:val="21"/>
          <w:szCs w:val="21"/>
          <w:highlight w:val="none"/>
        </w:rPr>
      </w:pPr>
      <w:r>
        <w:rPr>
          <w:rFonts w:hint="eastAsia"/>
          <w:sz w:val="21"/>
          <w:szCs w:val="21"/>
          <w:highlight w:val="none"/>
        </w:rPr>
        <w:t xml:space="preserve">5.全部文件应按</w:t>
      </w:r>
      <w:r>
        <w:rPr>
          <w:rFonts w:hint="eastAsia"/>
          <w:sz w:val="21"/>
          <w:szCs w:val="21"/>
          <w:highlight w:val="none"/>
          <w:lang w:val="en-US"/>
        </w:rPr>
        <w:t xml:space="preserve">供应商</w:t>
      </w:r>
      <w:r>
        <w:rPr>
          <w:rFonts w:hint="eastAsia"/>
          <w:sz w:val="21"/>
          <w:szCs w:val="21"/>
          <w:highlight w:val="none"/>
        </w:rPr>
        <w:t xml:space="preserve">须知以及前文中规定的语言和份数提交。</w:t>
      </w:r>
      <w:r/>
    </w:p>
    <w:p>
      <w:pPr>
        <w:rPr>
          <w:b/>
          <w:bCs/>
          <w:sz w:val="24"/>
          <w:szCs w:val="24"/>
          <w:highlight w:val="none"/>
        </w:rPr>
      </w:pPr>
      <w:r>
        <w:rPr>
          <w:rFonts w:hint="eastAsia"/>
          <w:b/>
          <w:bCs/>
          <w:sz w:val="24"/>
          <w:szCs w:val="24"/>
          <w:highlight w:val="none"/>
        </w:rPr>
        <w:br w:type="page" w:clear="all"/>
      </w:r>
      <w:r/>
    </w:p>
    <w:p>
      <w:pPr>
        <w:rPr>
          <w:b/>
          <w:sz w:val="36"/>
          <w:szCs w:val="36"/>
          <w:highlight w:val="none"/>
        </w:rPr>
      </w:pPr>
      <w:r>
        <w:rPr>
          <w:rFonts w:hint="eastAsia"/>
          <w:b/>
          <w:bCs/>
          <w:sz w:val="36"/>
          <w:szCs w:val="36"/>
          <w:highlight w:val="none"/>
        </w:rPr>
        <w:t xml:space="preserve">投标文件封面格式：</w:t>
      </w:r>
      <w:r/>
    </w:p>
    <w:p>
      <w:pPr>
        <w:jc w:val="right"/>
        <w:rPr>
          <w:b/>
          <w:sz w:val="36"/>
          <w:szCs w:val="36"/>
          <w:highlight w:val="none"/>
        </w:rPr>
      </w:pPr>
      <w:r>
        <w:rPr>
          <w:rFonts w:hint="eastAsia"/>
          <w:b/>
          <w:sz w:val="36"/>
          <w:szCs w:val="36"/>
          <w:highlight w:val="none"/>
        </w:rPr>
        <w:t xml:space="preserve">正本/副本</w:t>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jc w:val="center"/>
        <w:rPr>
          <w:b/>
          <w:sz w:val="60"/>
          <w:szCs w:val="60"/>
          <w:highlight w:val="none"/>
        </w:rPr>
      </w:pPr>
      <w:r>
        <w:rPr>
          <w:rFonts w:hint="eastAsia"/>
          <w:b/>
          <w:sz w:val="60"/>
          <w:szCs w:val="60"/>
          <w:highlight w:val="none"/>
        </w:rPr>
        <w:t xml:space="preserve">投  标  文  件</w:t>
      </w:r>
      <w:r/>
    </w:p>
    <w:p>
      <w:pPr>
        <w:jc w:val="center"/>
        <w:rPr>
          <w:b/>
          <w:sz w:val="60"/>
          <w:szCs w:val="60"/>
          <w:highlight w:val="none"/>
        </w:rPr>
      </w:pPr>
      <w:r>
        <w:rPr>
          <w:b/>
          <w:sz w:val="60"/>
          <w:szCs w:val="60"/>
          <w:highlight w:val="none"/>
        </w:rPr>
      </w:r>
      <w:r/>
    </w:p>
    <w:p>
      <w:pPr>
        <w:jc w:val="center"/>
        <w:rPr>
          <w:b/>
          <w:sz w:val="60"/>
          <w:szCs w:val="60"/>
          <w:highlight w:val="none"/>
        </w:rPr>
      </w:pPr>
      <w:r>
        <w:rPr>
          <w:b/>
          <w:sz w:val="60"/>
          <w:szCs w:val="60"/>
          <w:highlight w:val="none"/>
        </w:rPr>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ind w:firstLine="1084"/>
        <w:rPr>
          <w:b/>
          <w:sz w:val="36"/>
          <w:szCs w:val="36"/>
          <w:highlight w:val="none"/>
        </w:rPr>
      </w:pPr>
      <w:r>
        <w:rPr>
          <w:rFonts w:hint="eastAsia"/>
          <w:b/>
          <w:sz w:val="36"/>
          <w:szCs w:val="36"/>
          <w:highlight w:val="none"/>
        </w:rPr>
        <w:t xml:space="preserve">项目编号： </w:t>
      </w:r>
      <w:r/>
    </w:p>
    <w:p>
      <w:pPr>
        <w:ind w:firstLine="1084"/>
        <w:rPr>
          <w:b/>
          <w:sz w:val="36"/>
          <w:szCs w:val="36"/>
          <w:highlight w:val="none"/>
        </w:rPr>
      </w:pPr>
      <w:r>
        <w:rPr>
          <w:rFonts w:hint="eastAsia"/>
          <w:b/>
          <w:sz w:val="36"/>
          <w:szCs w:val="36"/>
          <w:highlight w:val="none"/>
        </w:rPr>
        <w:t xml:space="preserve">项目名称： </w:t>
      </w:r>
      <w:r/>
    </w:p>
    <w:p>
      <w:pPr>
        <w:ind w:firstLine="1084"/>
        <w:rPr>
          <w:b/>
          <w:sz w:val="36"/>
          <w:szCs w:val="36"/>
          <w:highlight w:val="none"/>
        </w:rPr>
      </w:pPr>
      <w:r>
        <w:rPr>
          <w:rFonts w:hint="eastAsia"/>
          <w:b/>
          <w:sz w:val="36"/>
          <w:szCs w:val="36"/>
          <w:highlight w:val="none"/>
        </w:rPr>
        <w:t xml:space="preserve">采购包： </w:t>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b/>
          <w:sz w:val="36"/>
          <w:szCs w:val="36"/>
          <w:highlight w:val="none"/>
        </w:rPr>
      </w:r>
      <w:r/>
    </w:p>
    <w:p>
      <w:pPr>
        <w:ind w:firstLine="1084"/>
        <w:rPr>
          <w:b/>
          <w:sz w:val="36"/>
          <w:szCs w:val="36"/>
          <w:highlight w:val="none"/>
        </w:rPr>
      </w:pPr>
      <w:r>
        <w:rPr>
          <w:rFonts w:hint="eastAsia"/>
          <w:b/>
          <w:sz w:val="36"/>
          <w:szCs w:val="36"/>
          <w:highlight w:val="none"/>
        </w:rPr>
        <w:t xml:space="preserve">供应商名称：</w:t>
      </w:r>
      <w:r/>
    </w:p>
    <w:p>
      <w:pPr>
        <w:ind w:firstLine="1084"/>
        <w:rPr>
          <w:b/>
          <w:sz w:val="36"/>
          <w:szCs w:val="36"/>
          <w:highlight w:val="none"/>
        </w:rPr>
      </w:pPr>
      <w:r>
        <w:rPr>
          <w:rFonts w:hint="eastAsia"/>
          <w:b/>
          <w:sz w:val="36"/>
          <w:szCs w:val="36"/>
          <w:highlight w:val="none"/>
        </w:rPr>
        <w:t xml:space="preserve">日      期：</w:t>
      </w:r>
      <w:r/>
    </w:p>
    <w:p>
      <w:pPr>
        <w:jc w:val="center"/>
        <w:rPr>
          <w:b/>
          <w:sz w:val="24"/>
          <w:szCs w:val="24"/>
          <w:highlight w:val="none"/>
        </w:rPr>
      </w:pPr>
      <w:r>
        <w:rPr>
          <w:rFonts w:hint="eastAsia"/>
          <w:b/>
          <w:bCs/>
          <w:sz w:val="24"/>
          <w:szCs w:val="24"/>
          <w:highlight w:val="none"/>
        </w:rPr>
        <w:br w:type="page" w:clear="all"/>
      </w:r>
      <w:bookmarkStart w:id="40" w:name="_Toc405408732"/>
      <w:r>
        <w:rPr>
          <w:rFonts w:hint="eastAsia"/>
          <w:b/>
          <w:sz w:val="24"/>
          <w:szCs w:val="24"/>
          <w:highlight w:val="none"/>
        </w:rPr>
        <w:t xml:space="preserve">评分索引表</w:t>
      </w:r>
      <w:r/>
    </w:p>
    <w:tbl>
      <w:tblPr>
        <w:tblStyle w:val="719"/>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jc w:val="center"/>
              <w:rPr>
                <w:b/>
                <w:sz w:val="24"/>
                <w:szCs w:val="24"/>
                <w:highlight w:val="none"/>
                <w:lang w:bidi="en-US"/>
              </w:rPr>
            </w:pPr>
            <w:r>
              <w:rPr>
                <w:rFonts w:hint="eastAsia"/>
                <w:b/>
                <w:sz w:val="24"/>
                <w:szCs w:val="24"/>
                <w:highlight w:val="none"/>
                <w:lang w:bidi="en-US"/>
              </w:rPr>
              <w:t xml:space="preserve">评分项目</w:t>
            </w:r>
            <w:r/>
          </w:p>
        </w:tc>
        <w:tc>
          <w:tcPr>
            <w:tcW w:w="3570" w:type="dxa"/>
            <w:vAlign w:val="center"/>
            <w:textDirection w:val="lrTb"/>
            <w:noWrap w:val="false"/>
          </w:tcPr>
          <w:p>
            <w:pPr>
              <w:jc w:val="center"/>
              <w:rPr>
                <w:b/>
                <w:sz w:val="24"/>
                <w:szCs w:val="24"/>
                <w:highlight w:val="none"/>
                <w:lang w:bidi="en-US"/>
              </w:rPr>
            </w:pPr>
            <w:r>
              <w:rPr>
                <w:rFonts w:hint="eastAsia"/>
                <w:b/>
                <w:sz w:val="24"/>
                <w:szCs w:val="24"/>
                <w:highlight w:val="none"/>
                <w:lang w:bidi="en-US"/>
              </w:rPr>
              <w:t xml:space="preserve">在投标文件中的页码位置</w:t>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gridSpan w:val="2"/>
            <w:tcW w:w="924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gridSpan w:val="2"/>
            <w:tcW w:w="924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gridSpan w:val="2"/>
            <w:tcW w:w="924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gridSpan w:val="2"/>
            <w:tcW w:w="924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r>
        <w:trPr>
          <w:jc w:val="center"/>
          <w:trHeight w:val="567"/>
        </w:trPr>
        <w:tc>
          <w:tcPr>
            <w:tcW w:w="5670" w:type="dxa"/>
            <w:textDirection w:val="lrTb"/>
            <w:noWrap w:val="false"/>
          </w:tcPr>
          <w:p>
            <w:pPr>
              <w:rPr>
                <w:b/>
                <w:sz w:val="24"/>
                <w:szCs w:val="24"/>
                <w:highlight w:val="none"/>
                <w:lang w:bidi="en-US"/>
              </w:rPr>
            </w:pPr>
            <w:r>
              <w:rPr>
                <w:b/>
                <w:sz w:val="24"/>
                <w:szCs w:val="24"/>
                <w:highlight w:val="none"/>
                <w:lang w:bidi="en-US"/>
              </w:rPr>
            </w:r>
            <w:r/>
          </w:p>
        </w:tc>
        <w:tc>
          <w:tcPr>
            <w:tcW w:w="3570" w:type="dxa"/>
            <w:textDirection w:val="lrTb"/>
            <w:noWrap w:val="false"/>
          </w:tcPr>
          <w:p>
            <w:pPr>
              <w:rPr>
                <w:b/>
                <w:sz w:val="24"/>
                <w:szCs w:val="24"/>
                <w:highlight w:val="none"/>
                <w:lang w:bidi="en-US"/>
              </w:rPr>
            </w:pPr>
            <w:r>
              <w:rPr>
                <w:b/>
                <w:sz w:val="24"/>
                <w:szCs w:val="24"/>
                <w:highlight w:val="none"/>
                <w:lang w:bidi="en-US"/>
              </w:rPr>
            </w:r>
            <w:r/>
          </w:p>
        </w:tc>
      </w:tr>
    </w:tbl>
    <w:p>
      <w:pPr>
        <w:jc w:val="center"/>
        <w:rPr>
          <w:b/>
          <w:bCs/>
          <w:sz w:val="24"/>
          <w:szCs w:val="24"/>
          <w:highlight w:val="none"/>
        </w:rPr>
      </w:pPr>
      <w:r>
        <w:rPr>
          <w:rFonts w:hint="eastAsia"/>
          <w:b/>
          <w:bCs/>
          <w:sz w:val="24"/>
          <w:szCs w:val="24"/>
          <w:highlight w:val="none"/>
        </w:rPr>
        <w:br w:type="page" w:clear="all"/>
      </w:r>
      <w:bookmarkStart w:id="41" w:name="_Toc489655320"/>
      <w:r>
        <w:rPr>
          <w:rFonts w:hint="eastAsia"/>
          <w:b/>
          <w:bCs/>
          <w:sz w:val="24"/>
          <w:szCs w:val="24"/>
          <w:highlight w:val="none"/>
        </w:rPr>
        <w:t xml:space="preserve">投标文件主要目录</w:t>
      </w:r>
      <w:bookmarkEnd w:id="40"/>
      <w:r/>
      <w:bookmarkEnd w:id="41"/>
      <w:r>
        <w:rPr>
          <w:rFonts w:hint="eastAsia"/>
          <w:b/>
          <w:bCs/>
          <w:sz w:val="24"/>
          <w:szCs w:val="24"/>
          <w:highlight w:val="none"/>
        </w:rPr>
        <w:t xml:space="preserve">及相关证明材料格式、附件</w:t>
      </w:r>
      <w:r/>
    </w:p>
    <w:p>
      <w:pPr>
        <w:rPr>
          <w:sz w:val="24"/>
          <w:szCs w:val="24"/>
          <w:highlight w:val="none"/>
        </w:rPr>
      </w:pPr>
      <w:r>
        <w:rPr>
          <w:sz w:val="24"/>
          <w:szCs w:val="24"/>
          <w:highlight w:val="none"/>
        </w:rPr>
      </w:r>
      <w:r/>
    </w:p>
    <w:p>
      <w:pPr>
        <w:jc w:val="center"/>
        <w:rPr>
          <w:sz w:val="21"/>
          <w:szCs w:val="21"/>
          <w:highlight w:val="none"/>
        </w:rPr>
      </w:pPr>
      <w:r>
        <w:rPr>
          <w:rFonts w:hint="eastAsia"/>
          <w:sz w:val="21"/>
          <w:szCs w:val="21"/>
          <w:highlight w:val="none"/>
        </w:rPr>
        <w:t xml:space="preserve">（注：</w:t>
      </w:r>
      <w:r>
        <w:rPr>
          <w:rFonts w:hint="eastAsia"/>
          <w:sz w:val="21"/>
          <w:szCs w:val="21"/>
          <w:highlight w:val="none"/>
          <w:lang w:val="en-US"/>
        </w:rPr>
        <w:t xml:space="preserve">供应商</w:t>
      </w:r>
      <w:r>
        <w:rPr>
          <w:rFonts w:hint="eastAsia"/>
          <w:sz w:val="21"/>
          <w:szCs w:val="21"/>
          <w:highlight w:val="none"/>
        </w:rPr>
        <w:t xml:space="preserve">根据附件编制投标文件并制作目录（须生成页码））</w:t>
      </w:r>
      <w:r/>
    </w:p>
    <w:p>
      <w:pPr>
        <w:jc w:val="center"/>
        <w:rPr>
          <w:sz w:val="21"/>
          <w:szCs w:val="21"/>
          <w:highlight w:val="none"/>
        </w:rPr>
      </w:pPr>
      <w:r>
        <w:rPr>
          <w:sz w:val="21"/>
          <w:szCs w:val="21"/>
          <w:highlight w:val="none"/>
        </w:rPr>
      </w:r>
      <w:r/>
    </w:p>
    <w:p>
      <w:pPr>
        <w:jc w:val="center"/>
        <w:rPr>
          <w:sz w:val="24"/>
          <w:szCs w:val="24"/>
          <w:highlight w:val="none"/>
          <w:lang w:val="en-US"/>
        </w:rPr>
      </w:pPr>
      <w:r>
        <w:rPr>
          <w:sz w:val="24"/>
          <w:szCs w:val="24"/>
          <w:highlight w:val="none"/>
          <w:lang w:val="en-US"/>
        </w:rPr>
      </w:r>
      <w:r/>
    </w:p>
    <w:p>
      <w:pPr>
        <w:pStyle w:val="724"/>
        <w:spacing w:line="360" w:lineRule="auto"/>
        <w:rPr>
          <w:b/>
          <w:highlight w:val="none"/>
        </w:rPr>
      </w:pPr>
      <w:r>
        <w:rPr>
          <w:rFonts w:hint="eastAsia"/>
          <w:b/>
          <w:sz w:val="24"/>
          <w:szCs w:val="24"/>
          <w:highlight w:val="none"/>
        </w:rPr>
        <w:br w:type="page" w:clear="all"/>
      </w:r>
      <w:r>
        <w:rPr>
          <w:rFonts w:hint="eastAsia"/>
          <w:highlight w:val="none"/>
        </w:rPr>
        <w:t xml:space="preserve">*目录一、投标申请及声明格式</w:t>
      </w:r>
      <w:r/>
    </w:p>
    <w:p>
      <w:pPr>
        <w:ind w:firstLine="420"/>
        <w:jc w:val="center"/>
        <w:spacing w:line="360" w:lineRule="auto"/>
        <w:rPr>
          <w:sz w:val="21"/>
          <w:szCs w:val="21"/>
          <w:highlight w:val="none"/>
        </w:rPr>
      </w:pPr>
      <w:r>
        <w:rPr>
          <w:rFonts w:hint="eastAsia"/>
          <w:sz w:val="21"/>
          <w:szCs w:val="21"/>
          <w:highlight w:val="none"/>
        </w:rPr>
        <w:t xml:space="preserve">投标申请及声明</w:t>
      </w:r>
      <w:r/>
    </w:p>
    <w:p>
      <w:pPr>
        <w:ind w:firstLine="420"/>
        <w:spacing w:line="360" w:lineRule="auto"/>
        <w:rPr>
          <w:sz w:val="21"/>
          <w:szCs w:val="21"/>
          <w:highlight w:val="none"/>
        </w:rPr>
      </w:pPr>
      <w:r>
        <w:rPr>
          <w:rFonts w:hint="eastAsia"/>
          <w:sz w:val="21"/>
          <w:szCs w:val="21"/>
          <w:highlight w:val="none"/>
        </w:rPr>
        <w:t xml:space="preserve">致：江苏省环境监测中心</w:t>
      </w:r>
      <w:r/>
    </w:p>
    <w:p>
      <w:pPr>
        <w:ind w:firstLine="420"/>
        <w:spacing w:line="360" w:lineRule="auto"/>
        <w:rPr>
          <w:sz w:val="21"/>
          <w:szCs w:val="21"/>
          <w:highlight w:val="none"/>
        </w:rPr>
      </w:pPr>
      <w:r>
        <w:rPr>
          <w:rFonts w:hint="eastAsia"/>
          <w:sz w:val="21"/>
          <w:szCs w:val="21"/>
          <w:highlight w:val="none"/>
        </w:rPr>
        <w:t xml:space="preserve">根据贵方</w:t>
      </w:r>
      <w:r>
        <w:rPr>
          <w:rFonts w:hint="eastAsia"/>
          <w:sz w:val="21"/>
          <w:szCs w:val="21"/>
          <w:highlight w:val="none"/>
          <w:u w:val="single"/>
        </w:rPr>
        <w:t xml:space="preserve">     </w:t>
      </w:r>
      <w:r>
        <w:rPr>
          <w:rFonts w:hint="eastAsia"/>
          <w:sz w:val="21"/>
          <w:szCs w:val="21"/>
          <w:highlight w:val="none"/>
        </w:rPr>
        <w:t xml:space="preserve">（项目名称）</w:t>
      </w:r>
      <w:r>
        <w:rPr>
          <w:rFonts w:hint="eastAsia"/>
          <w:sz w:val="21"/>
          <w:szCs w:val="21"/>
          <w:highlight w:val="none"/>
          <w:u w:val="single"/>
        </w:rPr>
        <w:t xml:space="preserve">     </w:t>
      </w:r>
      <w:r>
        <w:rPr>
          <w:rFonts w:hint="eastAsia"/>
          <w:sz w:val="21"/>
          <w:szCs w:val="21"/>
          <w:highlight w:val="none"/>
        </w:rPr>
        <w:t xml:space="preserve">（项目编号）</w:t>
      </w:r>
      <w:r>
        <w:rPr>
          <w:rFonts w:hint="eastAsia"/>
          <w:sz w:val="21"/>
          <w:szCs w:val="21"/>
          <w:highlight w:val="none"/>
          <w:u w:val="single"/>
        </w:rPr>
        <w:t xml:space="preserve">     </w:t>
      </w:r>
      <w:r>
        <w:rPr>
          <w:rFonts w:hint="eastAsia"/>
          <w:sz w:val="21"/>
          <w:szCs w:val="21"/>
          <w:highlight w:val="none"/>
        </w:rPr>
        <w:t xml:space="preserve">（采购包</w:t>
      </w:r>
      <w:r>
        <w:rPr>
          <w:rFonts w:hint="eastAsia"/>
          <w:sz w:val="21"/>
          <w:szCs w:val="21"/>
          <w:highlight w:val="none"/>
          <w:u w:val="single"/>
        </w:rPr>
        <w:t xml:space="preserve"> </w:t>
      </w:r>
      <w:r>
        <w:rPr>
          <w:sz w:val="21"/>
          <w:szCs w:val="21"/>
          <w:highlight w:val="none"/>
          <w:u w:val="single"/>
        </w:rPr>
        <w:t xml:space="preserve"> </w:t>
      </w:r>
      <w:r>
        <w:rPr>
          <w:rFonts w:hint="eastAsia"/>
          <w:sz w:val="21"/>
          <w:szCs w:val="21"/>
          <w:highlight w:val="none"/>
        </w:rPr>
        <w:t xml:space="preserve">）投标邀请，正式授权下述签字人</w:t>
      </w:r>
      <w:r>
        <w:rPr>
          <w:rFonts w:hint="eastAsia"/>
          <w:sz w:val="21"/>
          <w:szCs w:val="21"/>
          <w:highlight w:val="none"/>
          <w:u w:val="single"/>
        </w:rPr>
        <w:t xml:space="preserve">     </w:t>
      </w:r>
      <w:r>
        <w:rPr>
          <w:rFonts w:hint="eastAsia"/>
          <w:sz w:val="21"/>
          <w:szCs w:val="21"/>
          <w:highlight w:val="none"/>
        </w:rPr>
        <w:t xml:space="preserve">（姓名和职务）代表</w:t>
      </w:r>
      <w:r>
        <w:rPr>
          <w:rFonts w:hint="eastAsia"/>
          <w:sz w:val="21"/>
          <w:szCs w:val="21"/>
          <w:highlight w:val="none"/>
          <w:lang w:val="en-US"/>
        </w:rPr>
        <w:t xml:space="preserve">供应商</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名称），提交投标文件。</w:t>
      </w:r>
      <w:r/>
    </w:p>
    <w:p>
      <w:pPr>
        <w:ind w:firstLine="420"/>
        <w:spacing w:line="360" w:lineRule="auto"/>
        <w:rPr>
          <w:sz w:val="21"/>
          <w:szCs w:val="21"/>
          <w:highlight w:val="none"/>
        </w:rPr>
      </w:pPr>
      <w:r>
        <w:rPr>
          <w:rFonts w:hint="eastAsia"/>
          <w:sz w:val="21"/>
          <w:szCs w:val="21"/>
          <w:highlight w:val="none"/>
        </w:rPr>
        <w:t xml:space="preserve">据此函，签字人兹宣布声明和承诺如下：</w:t>
      </w:r>
      <w:r/>
    </w:p>
    <w:p>
      <w:pPr>
        <w:ind w:firstLine="420"/>
        <w:spacing w:line="360" w:lineRule="auto"/>
        <w:rPr>
          <w:sz w:val="21"/>
          <w:szCs w:val="21"/>
          <w:highlight w:val="none"/>
        </w:rPr>
      </w:pPr>
      <w:r>
        <w:rPr>
          <w:rFonts w:hint="eastAsia"/>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sz w:val="21"/>
          <w:szCs w:val="21"/>
          <w:highlight w:val="none"/>
          <w:u w:val="single"/>
        </w:rPr>
      </w:pPr>
      <w:r>
        <w:rPr>
          <w:rFonts w:hint="eastAsia"/>
          <w:sz w:val="21"/>
          <w:szCs w:val="21"/>
          <w:highlight w:val="none"/>
        </w:rPr>
        <w:t xml:space="preserve">2.按招标要求，我方投标的报价总价为人民币（小写）</w:t>
      </w:r>
      <w:r>
        <w:rPr>
          <w:rFonts w:hint="eastAsia"/>
          <w:sz w:val="21"/>
          <w:szCs w:val="21"/>
          <w:highlight w:val="none"/>
          <w:u w:val="single"/>
        </w:rPr>
        <w:t xml:space="preserve">      元</w:t>
      </w:r>
      <w:r>
        <w:rPr>
          <w:rFonts w:hint="eastAsia"/>
          <w:sz w:val="21"/>
          <w:szCs w:val="21"/>
          <w:highlight w:val="none"/>
        </w:rPr>
        <w:t xml:space="preserve">，（大写）</w:t>
      </w:r>
      <w:r>
        <w:rPr>
          <w:rFonts w:hint="eastAsia"/>
          <w:sz w:val="21"/>
          <w:szCs w:val="21"/>
          <w:highlight w:val="none"/>
          <w:u w:val="single"/>
        </w:rPr>
        <w:t xml:space="preserve">      元</w:t>
      </w:r>
      <w:r>
        <w:rPr>
          <w:rFonts w:hint="eastAsia"/>
          <w:sz w:val="21"/>
          <w:szCs w:val="21"/>
          <w:highlight w:val="none"/>
        </w:rPr>
        <w:t xml:space="preserve">。</w:t>
      </w:r>
      <w:r/>
    </w:p>
    <w:p>
      <w:pPr>
        <w:ind w:firstLine="420"/>
        <w:spacing w:line="360" w:lineRule="auto"/>
        <w:rPr>
          <w:sz w:val="21"/>
          <w:szCs w:val="21"/>
          <w:highlight w:val="none"/>
        </w:rPr>
      </w:pPr>
      <w:r>
        <w:rPr>
          <w:rFonts w:hint="eastAsia"/>
          <w:sz w:val="21"/>
          <w:szCs w:val="21"/>
          <w:highlight w:val="none"/>
        </w:rPr>
        <w:t xml:space="preserve">3.我方参加本次采购活动前三年内，在经营活动中没有重大违法记录。</w:t>
      </w:r>
      <w:r/>
    </w:p>
    <w:p>
      <w:pPr>
        <w:ind w:firstLine="420"/>
        <w:spacing w:line="360" w:lineRule="auto"/>
        <w:rPr>
          <w:sz w:val="21"/>
          <w:szCs w:val="21"/>
          <w:highlight w:val="none"/>
        </w:rPr>
      </w:pPr>
      <w:r>
        <w:rPr>
          <w:rFonts w:hint="eastAsia"/>
          <w:sz w:val="21"/>
          <w:szCs w:val="21"/>
          <w:highlight w:val="none"/>
        </w:rPr>
        <w:t xml:space="preserve">4.我方参加本次采购活动前，没有被信用中国网站、中国政府采购网站列入失信被执行人名单、重大税收违法失信主体、政府采购严重违法失信行为记录名单。</w:t>
      </w:r>
      <w:r/>
    </w:p>
    <w:p>
      <w:pPr>
        <w:ind w:firstLine="420"/>
        <w:spacing w:line="360" w:lineRule="auto"/>
        <w:rPr>
          <w:sz w:val="21"/>
          <w:szCs w:val="21"/>
          <w:highlight w:val="none"/>
        </w:rPr>
      </w:pPr>
      <w:r>
        <w:rPr>
          <w:rFonts w:hint="eastAsia"/>
          <w:sz w:val="21"/>
          <w:szCs w:val="21"/>
          <w:highlight w:val="none"/>
        </w:rPr>
        <w:t xml:space="preserve">5.我方在全国范围内未受过财政部门禁止参加政府采购活动的处罚，或禁止参加政府采购活动的处罚期限已满。</w:t>
      </w:r>
      <w:r/>
    </w:p>
    <w:p>
      <w:pPr>
        <w:ind w:firstLine="420"/>
        <w:spacing w:line="360" w:lineRule="auto"/>
        <w:rPr>
          <w:sz w:val="21"/>
          <w:szCs w:val="21"/>
          <w:highlight w:val="none"/>
        </w:rPr>
      </w:pPr>
      <w:r>
        <w:rPr>
          <w:rFonts w:hint="eastAsia"/>
          <w:sz w:val="21"/>
          <w:szCs w:val="21"/>
          <w:highlight w:val="none"/>
        </w:rPr>
        <w:t xml:space="preserve">6.我方没有为本采购项目提供整体设计、规范编制，以及项目管理、监理、检测等服务。</w:t>
      </w:r>
      <w:r/>
    </w:p>
    <w:p>
      <w:pPr>
        <w:ind w:firstLine="420"/>
        <w:spacing w:line="360" w:lineRule="auto"/>
        <w:rPr>
          <w:sz w:val="21"/>
          <w:szCs w:val="21"/>
          <w:highlight w:val="none"/>
        </w:rPr>
      </w:pPr>
      <w:r>
        <w:rPr>
          <w:rFonts w:hint="eastAsia"/>
          <w:sz w:val="21"/>
          <w:szCs w:val="21"/>
          <w:highlight w:val="none"/>
          <w:lang w:val="en-US"/>
        </w:rPr>
        <w:t xml:space="preserve">7</w:t>
      </w:r>
      <w:r>
        <w:rPr>
          <w:rFonts w:hint="eastAsia"/>
          <w:sz w:val="21"/>
          <w:szCs w:val="21"/>
          <w:highlight w:val="none"/>
        </w:rPr>
        <w:t xml:space="preserve">.我方与参与本次采购活动的其他供应商的负责人不是同一人，也不存在直接控股、管理关系。</w:t>
      </w:r>
      <w:r/>
    </w:p>
    <w:p>
      <w:pPr>
        <w:ind w:firstLine="420"/>
        <w:spacing w:line="360" w:lineRule="auto"/>
        <w:rPr>
          <w:sz w:val="21"/>
          <w:szCs w:val="21"/>
          <w:highlight w:val="none"/>
        </w:rPr>
      </w:pPr>
      <w:r>
        <w:rPr>
          <w:rFonts w:hint="eastAsia"/>
          <w:sz w:val="21"/>
          <w:szCs w:val="21"/>
          <w:highlight w:val="none"/>
          <w:lang w:val="en-US"/>
        </w:rPr>
        <w:t xml:space="preserve">8</w:t>
      </w:r>
      <w:r>
        <w:rPr>
          <w:rFonts w:hint="eastAsia"/>
          <w:sz w:val="21"/>
          <w:szCs w:val="21"/>
          <w:highlight w:val="none"/>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sz w:val="21"/>
          <w:szCs w:val="21"/>
          <w:highlight w:val="none"/>
        </w:rPr>
      </w:pPr>
      <w:r>
        <w:rPr>
          <w:rFonts w:hint="eastAsia"/>
          <w:sz w:val="21"/>
          <w:szCs w:val="21"/>
          <w:highlight w:val="none"/>
          <w:lang w:val="en-US"/>
        </w:rPr>
        <w:t xml:space="preserve">9</w:t>
      </w:r>
      <w:r>
        <w:rPr>
          <w:rFonts w:hint="eastAsia"/>
          <w:sz w:val="21"/>
          <w:szCs w:val="21"/>
          <w:highlight w:val="none"/>
        </w:rPr>
        <w:t xml:space="preserve">.我方同意从规定的开标日期起遵循本投标文件，并在规定的投标有效期期满之前均具有约束力。</w:t>
      </w:r>
      <w:r/>
    </w:p>
    <w:p>
      <w:pPr>
        <w:ind w:firstLine="420"/>
        <w:spacing w:line="360" w:lineRule="auto"/>
        <w:rPr>
          <w:sz w:val="21"/>
          <w:szCs w:val="21"/>
          <w:highlight w:val="none"/>
        </w:rPr>
      </w:pPr>
      <w:r>
        <w:rPr>
          <w:rFonts w:hint="eastAsia"/>
          <w:sz w:val="21"/>
          <w:szCs w:val="21"/>
          <w:highlight w:val="none"/>
          <w:lang w:val="en-US"/>
        </w:rPr>
        <w:t xml:space="preserve">10</w:t>
      </w:r>
      <w:r>
        <w:rPr>
          <w:rFonts w:hint="eastAsia"/>
          <w:sz w:val="21"/>
          <w:szCs w:val="21"/>
          <w:highlight w:val="none"/>
        </w:rPr>
        <w:t xml:space="preserve">.一旦我方中标，将根据招标文件的规定严格履行合同，并保证按承诺的时间完成</w:t>
      </w:r>
      <w:r>
        <w:rPr>
          <w:rFonts w:hint="eastAsia"/>
          <w:sz w:val="21"/>
          <w:szCs w:val="21"/>
          <w:highlight w:val="none"/>
          <w:lang w:val="en-US"/>
        </w:rPr>
        <w:t xml:space="preserve">货物的供货、安装、</w:t>
      </w:r>
      <w:r>
        <w:rPr>
          <w:rFonts w:hint="eastAsia"/>
          <w:sz w:val="21"/>
          <w:szCs w:val="21"/>
          <w:highlight w:val="none"/>
        </w:rPr>
        <w:t xml:space="preserve">调试等服务，交付采购人验收、使用。</w:t>
      </w:r>
      <w:r/>
    </w:p>
    <w:p>
      <w:pPr>
        <w:ind w:firstLine="420"/>
        <w:spacing w:line="360" w:lineRule="auto"/>
        <w:rPr>
          <w:sz w:val="21"/>
          <w:szCs w:val="21"/>
          <w:highlight w:val="none"/>
        </w:rPr>
      </w:pPr>
      <w:r>
        <w:rPr>
          <w:rFonts w:hint="eastAsia"/>
          <w:sz w:val="21"/>
          <w:szCs w:val="21"/>
          <w:highlight w:val="none"/>
          <w:lang w:val="en-US"/>
        </w:rPr>
        <w:t xml:space="preserve">11</w:t>
      </w:r>
      <w:r>
        <w:rPr>
          <w:rFonts w:hint="eastAsia"/>
          <w:sz w:val="21"/>
          <w:szCs w:val="21"/>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sz w:val="21"/>
          <w:szCs w:val="21"/>
          <w:highlight w:val="none"/>
        </w:rPr>
      </w:pPr>
      <w:r>
        <w:rPr>
          <w:rFonts w:hint="eastAsia"/>
          <w:sz w:val="21"/>
          <w:szCs w:val="21"/>
          <w:highlight w:val="none"/>
          <w:lang w:val="en-US"/>
        </w:rPr>
        <w:t xml:space="preserve">12</w:t>
      </w:r>
      <w:r>
        <w:rPr>
          <w:rFonts w:hint="eastAsia"/>
          <w:sz w:val="21"/>
          <w:szCs w:val="21"/>
          <w:highlight w:val="none"/>
        </w:rPr>
        <w:t xml:space="preserve">.与本投标有关的正式联系方式为：</w:t>
      </w:r>
      <w:r/>
    </w:p>
    <w:p>
      <w:pPr>
        <w:ind w:firstLine="420"/>
        <w:spacing w:line="360" w:lineRule="auto"/>
        <w:rPr>
          <w:sz w:val="21"/>
          <w:szCs w:val="21"/>
          <w:highlight w:val="none"/>
          <w:u w:val="single"/>
        </w:rPr>
      </w:pPr>
      <w:r>
        <w:rPr>
          <w:rFonts w:hint="eastAsia"/>
          <w:sz w:val="21"/>
          <w:szCs w:val="21"/>
          <w:highlight w:val="none"/>
        </w:rPr>
        <w:t xml:space="preserve">地址：</w:t>
      </w:r>
      <w:r/>
    </w:p>
    <w:p>
      <w:pPr>
        <w:ind w:firstLine="420"/>
        <w:spacing w:line="360" w:lineRule="auto"/>
        <w:rPr>
          <w:sz w:val="21"/>
          <w:szCs w:val="21"/>
          <w:highlight w:val="none"/>
          <w:u w:val="single"/>
        </w:rPr>
      </w:pPr>
      <w:r>
        <w:rPr>
          <w:rFonts w:hint="eastAsia"/>
          <w:sz w:val="21"/>
          <w:szCs w:val="21"/>
          <w:highlight w:val="none"/>
        </w:rPr>
        <w:t xml:space="preserve">电话：</w:t>
      </w:r>
      <w:r/>
    </w:p>
    <w:p>
      <w:pPr>
        <w:ind w:firstLine="420"/>
        <w:spacing w:line="360" w:lineRule="auto"/>
        <w:rPr>
          <w:sz w:val="21"/>
          <w:szCs w:val="21"/>
          <w:highlight w:val="none"/>
          <w:u w:val="single"/>
        </w:rPr>
      </w:pPr>
      <w:r>
        <w:rPr>
          <w:rFonts w:hint="eastAsia"/>
          <w:sz w:val="21"/>
          <w:szCs w:val="21"/>
          <w:highlight w:val="none"/>
        </w:rPr>
        <w:t xml:space="preserve">传真：</w:t>
      </w:r>
      <w:r/>
    </w:p>
    <w:p>
      <w:pPr>
        <w:ind w:firstLine="420"/>
        <w:spacing w:line="360" w:lineRule="auto"/>
        <w:rPr>
          <w:sz w:val="21"/>
          <w:szCs w:val="21"/>
          <w:highlight w:val="none"/>
        </w:rPr>
      </w:pPr>
      <w:r>
        <w:rPr>
          <w:rFonts w:hint="eastAsia"/>
          <w:sz w:val="21"/>
          <w:szCs w:val="21"/>
          <w:highlight w:val="none"/>
        </w:rPr>
        <w:t xml:space="preserve">开户银行：</w:t>
      </w:r>
      <w:r/>
    </w:p>
    <w:p>
      <w:pPr>
        <w:ind w:firstLine="420"/>
        <w:spacing w:line="360" w:lineRule="auto"/>
        <w:rPr>
          <w:sz w:val="21"/>
          <w:szCs w:val="21"/>
          <w:highlight w:val="none"/>
        </w:rPr>
      </w:pPr>
      <w:r>
        <w:rPr>
          <w:rFonts w:hint="eastAsia"/>
          <w:sz w:val="21"/>
          <w:szCs w:val="21"/>
          <w:highlight w:val="none"/>
        </w:rPr>
        <w:t xml:space="preserve">银行账号：</w:t>
      </w:r>
      <w:r/>
    </w:p>
    <w:p>
      <w:pPr>
        <w:ind w:firstLine="420"/>
        <w:spacing w:line="360" w:lineRule="auto"/>
        <w:rPr>
          <w:sz w:val="21"/>
          <w:szCs w:val="21"/>
          <w:highlight w:val="none"/>
          <w:u w:val="single"/>
        </w:rPr>
      </w:pPr>
      <w:r>
        <w:rPr>
          <w:rFonts w:hint="eastAsia"/>
          <w:sz w:val="21"/>
          <w:szCs w:val="21"/>
          <w:highlight w:val="none"/>
          <w:lang w:val="en-US"/>
        </w:rPr>
        <w:t xml:space="preserve">供应商</w:t>
      </w:r>
      <w:r>
        <w:rPr>
          <w:rFonts w:hint="eastAsia"/>
          <w:sz w:val="21"/>
          <w:szCs w:val="21"/>
          <w:highlight w:val="none"/>
        </w:rPr>
        <w:t xml:space="preserve">授权代表姓名（签字）：</w:t>
      </w:r>
      <w:r/>
    </w:p>
    <w:p>
      <w:pPr>
        <w:ind w:firstLine="420"/>
        <w:spacing w:line="360" w:lineRule="auto"/>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名称（盖章）：</w:t>
      </w:r>
      <w:r/>
    </w:p>
    <w:p>
      <w:pPr>
        <w:ind w:firstLine="420"/>
        <w:spacing w:line="360" w:lineRule="auto"/>
        <w:rPr>
          <w:sz w:val="21"/>
          <w:szCs w:val="21"/>
          <w:highlight w:val="none"/>
        </w:rPr>
      </w:pPr>
      <w:r>
        <w:rPr>
          <w:rFonts w:hint="eastAsia"/>
          <w:sz w:val="21"/>
          <w:szCs w:val="21"/>
          <w:highlight w:val="none"/>
        </w:rPr>
        <w:t xml:space="preserve">日期：      年    月    日</w:t>
      </w:r>
      <w:r/>
    </w:p>
    <w:p>
      <w:pPr>
        <w:pStyle w:val="965"/>
        <w:jc w:val="both"/>
        <w:widowControl/>
        <w:rPr>
          <w:rFonts w:ascii="宋体" w:hAnsi="宋体" w:eastAsia="宋体" w:cs="宋体"/>
          <w:sz w:val="21"/>
          <w:szCs w:val="21"/>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1"/>
          <w:szCs w:val="21"/>
          <w:highlight w:val="none"/>
        </w:rPr>
        <w:t xml:space="preserve">*目录二、法定代表人授权书格式</w:t>
      </w:r>
      <w:r/>
    </w:p>
    <w:p>
      <w:pPr>
        <w:ind w:firstLine="720"/>
        <w:jc w:val="center"/>
        <w:spacing w:line="360" w:lineRule="auto"/>
        <w:widowControl/>
        <w:rPr>
          <w:sz w:val="21"/>
          <w:szCs w:val="21"/>
          <w:highlight w:val="none"/>
        </w:rPr>
      </w:pPr>
      <w:r>
        <w:rPr>
          <w:rFonts w:hint="eastAsia"/>
          <w:sz w:val="21"/>
          <w:szCs w:val="21"/>
          <w:highlight w:val="none"/>
        </w:rPr>
        <w:t xml:space="preserve">法定代表人授权委托书</w:t>
      </w:r>
      <w:r/>
    </w:p>
    <w:p>
      <w:pPr>
        <w:spacing w:line="360" w:lineRule="auto"/>
        <w:widowControl/>
        <w:rPr>
          <w:sz w:val="21"/>
          <w:szCs w:val="21"/>
          <w:highlight w:val="none"/>
        </w:rPr>
      </w:pPr>
      <w:r>
        <w:rPr>
          <w:rFonts w:hint="eastAsia"/>
          <w:sz w:val="21"/>
          <w:szCs w:val="21"/>
          <w:highlight w:val="none"/>
        </w:rPr>
        <w:t xml:space="preserve">江苏省环境监测中心：</w:t>
      </w:r>
      <w:r/>
    </w:p>
    <w:p>
      <w:pPr>
        <w:ind w:firstLine="420"/>
        <w:spacing w:after="120" w:line="360" w:lineRule="auto"/>
        <w:widowControl/>
        <w:rPr>
          <w:sz w:val="21"/>
          <w:szCs w:val="21"/>
          <w:highlight w:val="none"/>
        </w:rPr>
      </w:pPr>
      <w:r>
        <w:rPr>
          <w:rFonts w:hint="eastAsia"/>
          <w:sz w:val="21"/>
          <w:szCs w:val="21"/>
          <w:highlight w:val="none"/>
        </w:rPr>
        <w:t xml:space="preserve">本授权书声明：注册于</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住址）的</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名称）法定代表人</w:t>
      </w:r>
      <w:r>
        <w:rPr>
          <w:rFonts w:hint="eastAsia"/>
          <w:sz w:val="21"/>
          <w:szCs w:val="21"/>
          <w:highlight w:val="none"/>
          <w:u w:val="single"/>
        </w:rPr>
        <w:t xml:space="preserve">     </w:t>
      </w:r>
      <w:r>
        <w:rPr>
          <w:rFonts w:hint="eastAsia"/>
          <w:sz w:val="21"/>
          <w:szCs w:val="21"/>
          <w:highlight w:val="none"/>
        </w:rPr>
        <w:t xml:space="preserve">（法定代表人姓名、职务）代表本公司授权在下面签字的</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代表姓名、职务）为本公司的合法代理人，就贵方组织的</w:t>
      </w:r>
      <w:r>
        <w:rPr>
          <w:rFonts w:hint="eastAsia"/>
          <w:sz w:val="21"/>
          <w:szCs w:val="21"/>
          <w:highlight w:val="none"/>
          <w:u w:val="single"/>
        </w:rPr>
        <w:t xml:space="preserve">     </w:t>
      </w:r>
      <w:r>
        <w:rPr>
          <w:rFonts w:hint="eastAsia"/>
          <w:sz w:val="21"/>
          <w:szCs w:val="21"/>
          <w:highlight w:val="none"/>
        </w:rPr>
        <w:t xml:space="preserve">（项目名称），</w:t>
      </w:r>
      <w:r>
        <w:rPr>
          <w:rFonts w:hint="eastAsia"/>
          <w:sz w:val="21"/>
          <w:szCs w:val="21"/>
          <w:highlight w:val="none"/>
          <w:u w:val="single"/>
        </w:rPr>
        <w:t xml:space="preserve">     </w:t>
      </w:r>
      <w:r>
        <w:rPr>
          <w:rFonts w:hint="eastAsia"/>
          <w:sz w:val="21"/>
          <w:szCs w:val="21"/>
          <w:highlight w:val="none"/>
        </w:rPr>
        <w:t xml:space="preserve">（项目编号）</w:t>
      </w:r>
      <w:r>
        <w:rPr>
          <w:rFonts w:hint="eastAsia"/>
          <w:sz w:val="21"/>
          <w:szCs w:val="21"/>
          <w:highlight w:val="none"/>
          <w:u w:val="single"/>
        </w:rPr>
        <w:t xml:space="preserve">     </w:t>
      </w:r>
      <w:r>
        <w:rPr>
          <w:rFonts w:hint="eastAsia"/>
          <w:sz w:val="21"/>
          <w:szCs w:val="21"/>
          <w:highlight w:val="none"/>
        </w:rPr>
        <w:t xml:space="preserve">（采购包号）投标，以本公司名义处理一切与之有关的事务。</w:t>
      </w:r>
      <w:r/>
    </w:p>
    <w:p>
      <w:pPr>
        <w:ind w:firstLine="420"/>
        <w:spacing w:after="120" w:line="360" w:lineRule="auto"/>
        <w:widowControl/>
        <w:rPr>
          <w:sz w:val="21"/>
          <w:szCs w:val="21"/>
          <w:highlight w:val="none"/>
        </w:rPr>
      </w:pPr>
      <w:r>
        <w:rPr>
          <w:rFonts w:hint="eastAsia"/>
          <w:sz w:val="21"/>
          <w:szCs w:val="21"/>
          <w:highlight w:val="none"/>
        </w:rPr>
        <w:t xml:space="preserve">代理人无转委托权，特此委托。</w:t>
      </w:r>
      <w:r/>
    </w:p>
    <w:p>
      <w:pPr>
        <w:ind w:firstLine="420"/>
        <w:spacing w:after="120" w:line="360" w:lineRule="auto"/>
        <w:widowControl/>
        <w:rPr>
          <w:sz w:val="21"/>
          <w:szCs w:val="21"/>
          <w:highlight w:val="none"/>
        </w:rPr>
      </w:pPr>
      <w:r>
        <w:rPr>
          <w:rFonts w:hint="eastAsia"/>
          <w:sz w:val="21"/>
          <w:szCs w:val="21"/>
          <w:highlight w:val="none"/>
        </w:rPr>
        <w:t xml:space="preserve">委托期限：自本授权委托书签署之日起至投标有效期届满之日止。</w:t>
      </w:r>
      <w:r/>
    </w:p>
    <w:p>
      <w:pPr>
        <w:ind w:firstLine="420"/>
        <w:spacing w:after="120" w:line="360" w:lineRule="auto"/>
        <w:widowControl/>
        <w:rPr>
          <w:sz w:val="21"/>
          <w:szCs w:val="21"/>
          <w:highlight w:val="none"/>
        </w:rPr>
      </w:pPr>
      <w:r>
        <w:rPr>
          <w:rFonts w:hint="eastAsia"/>
          <w:sz w:val="21"/>
          <w:szCs w:val="21"/>
          <w:highlight w:val="none"/>
        </w:rPr>
        <w:t xml:space="preserve">法定代表人（签字</w:t>
      </w:r>
      <w:r>
        <w:rPr>
          <w:rFonts w:hint="eastAsia"/>
          <w:sz w:val="21"/>
          <w:szCs w:val="21"/>
          <w:highlight w:val="none"/>
          <w:lang w:val="en-US"/>
        </w:rPr>
        <w:t xml:space="preserve">或盖章</w:t>
      </w:r>
      <w:r>
        <w:rPr>
          <w:rFonts w:hint="eastAsia"/>
          <w:sz w:val="21"/>
          <w:szCs w:val="21"/>
          <w:highlight w:val="none"/>
        </w:rPr>
        <w:t xml:space="preserve">）：</w:t>
      </w:r>
      <w:r/>
    </w:p>
    <w:p>
      <w:pPr>
        <w:ind w:firstLine="420"/>
        <w:spacing w:after="120" w:line="360" w:lineRule="auto"/>
        <w:widowControl/>
        <w:rPr>
          <w:sz w:val="21"/>
          <w:szCs w:val="21"/>
          <w:highlight w:val="none"/>
        </w:rPr>
      </w:pPr>
      <w:r>
        <w:rPr>
          <w:rFonts w:hint="eastAsia"/>
          <w:sz w:val="21"/>
          <w:szCs w:val="21"/>
          <w:highlight w:val="none"/>
        </w:rPr>
        <w:t xml:space="preserve">授权</w:t>
      </w:r>
      <w:r>
        <w:rPr>
          <w:rFonts w:hint="eastAsia"/>
          <w:sz w:val="21"/>
          <w:szCs w:val="21"/>
          <w:highlight w:val="none"/>
          <w:lang w:val="en-US"/>
        </w:rPr>
        <w:t xml:space="preserve">代表</w:t>
      </w:r>
      <w:r>
        <w:rPr>
          <w:rFonts w:hint="eastAsia"/>
          <w:sz w:val="21"/>
          <w:szCs w:val="21"/>
          <w:highlight w:val="none"/>
        </w:rPr>
        <w:t xml:space="preserve">（签字）：</w:t>
      </w:r>
      <w:r/>
    </w:p>
    <w:p>
      <w:pPr>
        <w:ind w:firstLine="420"/>
        <w:spacing w:after="120" w:line="360" w:lineRule="auto"/>
        <w:widowControl/>
        <w:tabs>
          <w:tab w:val="left" w:pos="1440" w:leader="none"/>
        </w:tabs>
        <w:rPr>
          <w:sz w:val="21"/>
          <w:szCs w:val="21"/>
          <w:highlight w:val="none"/>
        </w:rPr>
      </w:pPr>
      <w:r>
        <w:rPr>
          <w:rFonts w:hint="eastAsia"/>
          <w:sz w:val="21"/>
          <w:szCs w:val="21"/>
          <w:highlight w:val="none"/>
          <w:lang w:val="en-US"/>
        </w:rPr>
        <w:t xml:space="preserve">供应商名称</w:t>
      </w:r>
      <w:r>
        <w:rPr>
          <w:rFonts w:hint="eastAsia"/>
          <w:sz w:val="21"/>
          <w:szCs w:val="21"/>
          <w:highlight w:val="none"/>
        </w:rPr>
        <w:t xml:space="preserve">：（盖章）</w:t>
      </w:r>
      <w:r/>
    </w:p>
    <w:p>
      <w:pPr>
        <w:ind w:firstLine="420"/>
        <w:spacing w:after="120" w:line="360" w:lineRule="auto"/>
        <w:widowControl/>
        <w:tabs>
          <w:tab w:val="left" w:pos="1440" w:leader="none"/>
        </w:tabs>
        <w:rPr>
          <w:sz w:val="21"/>
          <w:szCs w:val="21"/>
          <w:highlight w:val="none"/>
        </w:rPr>
      </w:pPr>
      <w:r>
        <w:rPr>
          <w:rFonts w:hint="eastAsia"/>
          <w:sz w:val="21"/>
          <w:szCs w:val="21"/>
          <w:highlight w:val="none"/>
        </w:rPr>
        <w:t xml:space="preserve">日期：      年    月    日</w:t>
      </w:r>
      <w:r/>
    </w:p>
    <w:p>
      <w:pPr>
        <w:ind w:firstLine="420"/>
        <w:spacing w:after="120" w:line="360" w:lineRule="auto"/>
        <w:widowControl/>
        <w:tabs>
          <w:tab w:val="left" w:pos="1440" w:leader="none"/>
        </w:tabs>
        <w:rPr>
          <w:sz w:val="21"/>
          <w:szCs w:val="21"/>
          <w:highlight w:val="none"/>
        </w:rPr>
      </w:pPr>
      <w:r>
        <w:rPr>
          <w:sz w:val="21"/>
          <w:szCs w:val="21"/>
          <w:highlight w:val="none"/>
        </w:rPr>
      </w:r>
      <w:r/>
    </w:p>
    <w:p>
      <w:pPr>
        <w:ind w:firstLine="420"/>
        <w:spacing w:after="120" w:line="360" w:lineRule="auto"/>
        <w:widowControl/>
        <w:tabs>
          <w:tab w:val="left" w:pos="1440" w:leader="none"/>
        </w:tabs>
        <w:rPr>
          <w:sz w:val="21"/>
          <w:szCs w:val="21"/>
          <w:highlight w:val="none"/>
        </w:rPr>
      </w:pPr>
      <w:r>
        <w:rPr>
          <w:sz w:val="21"/>
          <w:szCs w:val="21"/>
          <w:highlight w:val="none"/>
        </w:rPr>
      </w:r>
      <w:r/>
    </w:p>
    <w:p>
      <w:pPr>
        <w:ind w:firstLine="420"/>
        <w:spacing w:after="120" w:line="360" w:lineRule="auto"/>
        <w:widowControl/>
        <w:tabs>
          <w:tab w:val="left" w:pos="1440" w:leader="none"/>
        </w:tabs>
        <w:rPr>
          <w:sz w:val="21"/>
          <w:szCs w:val="21"/>
          <w:highlight w:val="none"/>
        </w:rPr>
      </w:pPr>
      <w:r>
        <w:rPr>
          <w:sz w:val="21"/>
          <w:szCs w:val="21"/>
          <w:highlight w:val="none"/>
        </w:rPr>
      </w:r>
      <w:r/>
    </w:p>
    <w:p>
      <w:pPr>
        <w:ind w:firstLine="420"/>
        <w:spacing w:after="120" w:line="360" w:lineRule="auto"/>
        <w:widowControl/>
        <w:tabs>
          <w:tab w:val="left" w:pos="1440" w:leader="none"/>
        </w:tabs>
        <w:rPr>
          <w:sz w:val="21"/>
          <w:szCs w:val="21"/>
          <w:highlight w:val="none"/>
        </w:rPr>
      </w:pPr>
      <w:r>
        <w:rPr>
          <w:sz w:val="21"/>
          <w:szCs w:val="21"/>
          <w:highlight w:val="none"/>
        </w:rPr>
      </w:r>
      <w:r/>
    </w:p>
    <w:p>
      <w:pPr>
        <w:pStyle w:val="799"/>
        <w:ind w:left="0"/>
        <w:spacing w:line="360" w:lineRule="auto"/>
        <w:tabs>
          <w:tab w:val="left" w:pos="1164" w:leader="none"/>
        </w:tabs>
        <w:rPr>
          <w:b/>
          <w:color w:val="000000"/>
          <w:sz w:val="21"/>
          <w:szCs w:val="21"/>
          <w:highlight w:val="none"/>
        </w:rPr>
      </w:pPr>
      <w:r>
        <w:rPr>
          <w:rFonts w:hint="eastAsia"/>
          <w:b/>
          <w:color w:val="000000"/>
          <w:sz w:val="21"/>
          <w:szCs w:val="21"/>
          <w:highlight w:val="none"/>
        </w:rPr>
        <w:t xml:space="preserve">注：供应商</w:t>
      </w:r>
      <w:r>
        <w:rPr>
          <w:b/>
          <w:color w:val="000000"/>
          <w:sz w:val="21"/>
          <w:szCs w:val="21"/>
          <w:highlight w:val="none"/>
        </w:rPr>
        <w:t xml:space="preserve">授权代表</w:t>
      </w:r>
      <w:r>
        <w:rPr>
          <w:rFonts w:hint="eastAsia"/>
          <w:b/>
          <w:color w:val="000000"/>
          <w:sz w:val="21"/>
          <w:szCs w:val="21"/>
          <w:highlight w:val="none"/>
        </w:rPr>
        <w:t xml:space="preserve">须</w:t>
      </w:r>
      <w:r>
        <w:rPr>
          <w:b/>
          <w:color w:val="000000"/>
          <w:sz w:val="21"/>
          <w:szCs w:val="21"/>
          <w:highlight w:val="none"/>
        </w:rPr>
        <w:t xml:space="preserve">提供</w:t>
      </w:r>
      <w:r>
        <w:rPr>
          <w:rFonts w:hint="eastAsia"/>
          <w:b/>
          <w:color w:val="000000"/>
          <w:sz w:val="21"/>
          <w:szCs w:val="21"/>
          <w:highlight w:val="none"/>
        </w:rPr>
        <w:t xml:space="preserve">供应商</w:t>
      </w:r>
      <w:r>
        <w:rPr>
          <w:b/>
          <w:color w:val="000000"/>
          <w:sz w:val="21"/>
          <w:szCs w:val="21"/>
          <w:highlight w:val="none"/>
        </w:rPr>
        <w:t xml:space="preserve">为其缴纳的</w:t>
      </w:r>
      <w:r>
        <w:rPr>
          <w:rFonts w:hint="eastAsia"/>
          <w:b/>
          <w:color w:val="000000"/>
          <w:sz w:val="21"/>
          <w:szCs w:val="21"/>
          <w:highlight w:val="none"/>
        </w:rPr>
        <w:t xml:space="preserve">近半年内</w:t>
      </w:r>
      <w:r>
        <w:rPr>
          <w:b/>
          <w:color w:val="000000"/>
          <w:sz w:val="21"/>
          <w:szCs w:val="21"/>
          <w:highlight w:val="none"/>
        </w:rPr>
        <w:t xml:space="preserve">任意一个月社保证明或与其签署的劳动合同复印件等可以证明存在劳动关系的材料</w:t>
      </w:r>
      <w:r>
        <w:rPr>
          <w:rFonts w:hint="eastAsia"/>
          <w:b/>
          <w:color w:val="000000"/>
          <w:sz w:val="21"/>
          <w:szCs w:val="21"/>
          <w:highlight w:val="none"/>
        </w:rPr>
        <w:t xml:space="preserve">。</w:t>
      </w:r>
      <w:r/>
    </w:p>
    <w:p>
      <w:pPr>
        <w:ind w:firstLine="420"/>
        <w:spacing w:after="120" w:line="360" w:lineRule="auto"/>
        <w:widowControl/>
        <w:tabs>
          <w:tab w:val="left" w:pos="1440" w:leader="none"/>
        </w:tabs>
        <w:rPr>
          <w:sz w:val="21"/>
          <w:szCs w:val="21"/>
          <w:highlight w:val="none"/>
        </w:rPr>
      </w:pPr>
      <w:r>
        <w:rPr>
          <w:sz w:val="21"/>
          <w:szCs w:val="21"/>
          <w:highlight w:val="none"/>
        </w:rPr>
      </w:r>
      <w:r/>
    </w:p>
    <w:p>
      <w:pPr>
        <w:pStyle w:val="966"/>
        <w:rPr>
          <w:rFonts w:ascii="宋体" w:hAnsi="宋体" w:cs="宋体"/>
          <w:sz w:val="21"/>
          <w:szCs w:val="21"/>
          <w:highlight w:val="none"/>
        </w:rPr>
        <w:outlineLvl w:val="9"/>
      </w:pPr>
      <w:r>
        <w:rPr>
          <w:rFonts w:hint="eastAsia" w:ascii="宋体" w:hAnsi="宋体" w:cs="宋体"/>
          <w:szCs w:val="24"/>
          <w:highlight w:val="none"/>
        </w:rPr>
        <w:br w:type="page" w:clear="all"/>
      </w:r>
      <w:r>
        <w:rPr>
          <w:rFonts w:hint="eastAsia" w:ascii="宋体" w:hAnsi="宋体" w:cs="宋体"/>
          <w:sz w:val="21"/>
          <w:szCs w:val="21"/>
          <w:highlight w:val="none"/>
        </w:rPr>
        <w:t xml:space="preserve">附：法定代表人有效期内的身份证复印件（正反面）</w:t>
      </w:r>
      <w:r/>
    </w:p>
    <w:tbl>
      <w:tblPr>
        <w:tblStyle w:val="719"/>
        <w:tblpPr w:horzAnchor="page" w:tblpX="1334" w:vertAnchor="text" w:tblpY="162"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2"/>
        <w:gridCol w:w="278"/>
        <w:gridCol w:w="6"/>
        <w:gridCol w:w="4671"/>
        <w:gridCol w:w="12"/>
      </w:tblGrid>
      <w:tr>
        <w:trPr>
          <w:gridAfter w:val="1"/>
          <w:trHeight w:val="2968"/>
        </w:trPr>
        <w:tc>
          <w:tcPr>
            <w:tcW w:w="4678" w:type="dxa"/>
            <w:vAlign w:val="center"/>
            <w:textDirection w:val="lrTb"/>
            <w:noWrap w:val="false"/>
          </w:tcPr>
          <w:p>
            <w:pPr>
              <w:pStyle w:val="724"/>
              <w:jc w:val="center"/>
              <w:spacing w:line="300" w:lineRule="exact"/>
              <w:rPr>
                <w:i/>
                <w:highlight w:val="none"/>
              </w:rPr>
            </w:pPr>
            <w:r>
              <w:rPr>
                <w:rFonts w:hint="eastAsia"/>
                <w:i/>
                <w:highlight w:val="none"/>
              </w:rPr>
              <w:t xml:space="preserve">身份证正面</w:t>
            </w:r>
            <w:r/>
          </w:p>
        </w:tc>
        <w:tc>
          <w:tcPr>
            <w:gridSpan w:val="2"/>
            <w:tcW w:w="284" w:type="dxa"/>
            <w:textDirection w:val="lrTb"/>
            <w:noWrap w:val="false"/>
          </w:tcPr>
          <w:p>
            <w:pPr>
              <w:spacing w:line="300" w:lineRule="exact"/>
              <w:widowControl/>
              <w:rPr>
                <w:sz w:val="21"/>
                <w:szCs w:val="21"/>
                <w:highlight w:val="none"/>
              </w:rPr>
            </w:pPr>
            <w:r>
              <w:rPr>
                <w:sz w:val="21"/>
                <w:szCs w:val="21"/>
                <w:highlight w:val="none"/>
              </w:rPr>
            </w:r>
            <w:r/>
          </w:p>
        </w:tc>
        <w:tc>
          <w:tcPr>
            <w:tcW w:w="4677" w:type="dxa"/>
            <w:vAlign w:val="center"/>
            <w:textDirection w:val="lrTb"/>
            <w:noWrap w:val="false"/>
          </w:tcPr>
          <w:p>
            <w:pPr>
              <w:jc w:val="center"/>
              <w:spacing w:line="300" w:lineRule="exact"/>
              <w:widowControl/>
              <w:rPr>
                <w:sz w:val="21"/>
                <w:szCs w:val="21"/>
                <w:highlight w:val="none"/>
              </w:rPr>
            </w:pPr>
            <w:r>
              <w:rPr>
                <w:rFonts w:hint="eastAsia"/>
                <w:i/>
                <w:sz w:val="21"/>
                <w:szCs w:val="21"/>
                <w:highlight w:val="none"/>
              </w:rPr>
              <w:t xml:space="preserve">身份证反面</w:t>
            </w:r>
            <w:r/>
          </w:p>
        </w:tc>
      </w:tr>
      <w:tr>
        <w:trPr>
          <w:trHeight w:val="2749"/>
        </w:trPr>
        <w:tc>
          <w:tcPr>
            <w:tcW w:w="4678" w:type="dxa"/>
            <w:vAlign w:val="center"/>
            <w:textDirection w:val="lrTb"/>
            <w:noWrap w:val="false"/>
          </w:tcPr>
          <w:p>
            <w:pPr>
              <w:pStyle w:val="724"/>
              <w:jc w:val="center"/>
              <w:spacing w:line="300" w:lineRule="exact"/>
              <w:rPr>
                <w:i/>
                <w:highlight w:val="none"/>
              </w:rPr>
            </w:pPr>
            <w:r>
              <w:rPr>
                <w:rFonts w:hint="eastAsia"/>
                <w:i/>
                <w:highlight w:val="none"/>
              </w:rPr>
              <w:t xml:space="preserve">身份证正面</w:t>
            </w:r>
            <w:r/>
          </w:p>
        </w:tc>
        <w:tc>
          <w:tcPr>
            <w:tcW w:w="278" w:type="dxa"/>
            <w:textDirection w:val="lrTb"/>
            <w:noWrap w:val="false"/>
          </w:tcPr>
          <w:p>
            <w:pPr>
              <w:spacing w:line="300" w:lineRule="exact"/>
              <w:widowControl/>
              <w:rPr>
                <w:sz w:val="21"/>
                <w:szCs w:val="21"/>
                <w:highlight w:val="none"/>
              </w:rPr>
            </w:pPr>
            <w:r>
              <w:rPr>
                <w:sz w:val="21"/>
                <w:szCs w:val="21"/>
                <w:highlight w:val="none"/>
              </w:rPr>
            </w:r>
            <w:r/>
          </w:p>
        </w:tc>
        <w:tc>
          <w:tcPr>
            <w:gridSpan w:val="3"/>
            <w:tcW w:w="4695" w:type="dxa"/>
            <w:vAlign w:val="center"/>
            <w:textDirection w:val="lrTb"/>
            <w:noWrap w:val="false"/>
          </w:tcPr>
          <w:p>
            <w:pPr>
              <w:jc w:val="center"/>
              <w:spacing w:line="300" w:lineRule="exact"/>
              <w:widowControl/>
              <w:rPr>
                <w:sz w:val="21"/>
                <w:szCs w:val="21"/>
                <w:highlight w:val="none"/>
              </w:rPr>
            </w:pPr>
            <w:r>
              <w:rPr>
                <w:rFonts w:hint="eastAsia"/>
                <w:i/>
                <w:sz w:val="21"/>
                <w:szCs w:val="21"/>
                <w:highlight w:val="none"/>
              </w:rPr>
              <w:t xml:space="preserve">身份证反面</w:t>
            </w:r>
            <w:r/>
          </w:p>
        </w:tc>
      </w:tr>
    </w:tbl>
    <w:p>
      <w:pPr>
        <w:pStyle w:val="724"/>
        <w:rPr>
          <w:highlight w:val="none"/>
        </w:rPr>
      </w:pPr>
      <w:r>
        <w:rPr>
          <w:rFonts w:hint="eastAsia"/>
          <w:highlight w:val="none"/>
        </w:rPr>
        <w:t xml:space="preserve">授权代表有效期内的身份证复印件（正反面）</w:t>
      </w:r>
      <w:r/>
    </w:p>
    <w:p>
      <w:pPr>
        <w:pStyle w:val="724"/>
        <w:widowControl/>
        <w:rPr>
          <w:highlight w:val="none"/>
        </w:rPr>
      </w:pPr>
      <w:r>
        <w:rPr>
          <w:highlight w:val="none"/>
        </w:rPr>
      </w:r>
      <w:r/>
    </w:p>
    <w:p>
      <w:pPr>
        <w:pStyle w:val="724"/>
        <w:widowControl/>
        <w:rPr>
          <w:highlight w:val="none"/>
        </w:rPr>
      </w:pPr>
      <w:r>
        <w:rPr>
          <w:highlight w:val="none"/>
        </w:rPr>
      </w:r>
      <w:r/>
    </w:p>
    <w:p>
      <w:pPr>
        <w:pStyle w:val="724"/>
        <w:widowControl/>
        <w:rPr>
          <w:highlight w:val="none"/>
        </w:rPr>
      </w:pPr>
      <w:r>
        <w:rPr>
          <w:highlight w:val="none"/>
        </w:rPr>
      </w:r>
      <w:r/>
    </w:p>
    <w:p>
      <w:pPr>
        <w:ind w:firstLine="420"/>
        <w:spacing w:line="360" w:lineRule="auto"/>
        <w:widowControl/>
        <w:tabs>
          <w:tab w:val="left" w:pos="1440" w:leader="none"/>
        </w:tabs>
        <w:rPr>
          <w:sz w:val="24"/>
          <w:szCs w:val="24"/>
          <w:highlight w:val="none"/>
          <w:lang w:val="en-US"/>
        </w:rPr>
      </w:pPr>
      <w:r>
        <w:rPr>
          <w:sz w:val="24"/>
          <w:szCs w:val="24"/>
          <w:highlight w:val="none"/>
          <w:lang w:val="en-US"/>
        </w:rPr>
      </w:r>
      <w:r/>
    </w:p>
    <w:p>
      <w:pPr>
        <w:pStyle w:val="967"/>
        <w:ind w:firstLine="0"/>
        <w:rPr>
          <w:rFonts w:ascii="宋体" w:hAnsi="宋体" w:cs="宋体"/>
          <w:b w:val="0"/>
          <w:bCs/>
          <w:sz w:val="21"/>
          <w:szCs w:val="21"/>
          <w:highlight w:val="none"/>
        </w:rPr>
        <w:outlineLvl w:val="9"/>
      </w:pPr>
      <w:r>
        <w:rPr>
          <w:rFonts w:hint="eastAsia" w:ascii="宋体" w:hAnsi="宋体" w:cs="宋体"/>
          <w:b w:val="0"/>
          <w:szCs w:val="24"/>
          <w:highlight w:val="none"/>
        </w:rPr>
        <w:br w:type="page" w:clear="all"/>
      </w:r>
      <w:r>
        <w:rPr>
          <w:rFonts w:hint="eastAsia" w:ascii="宋体" w:hAnsi="宋体" w:cs="宋体"/>
          <w:b w:val="0"/>
          <w:bCs/>
          <w:sz w:val="21"/>
          <w:szCs w:val="21"/>
          <w:highlight w:val="none"/>
        </w:rPr>
        <w:t xml:space="preserve">*目录三、开标一览表格式</w:t>
      </w:r>
      <w:r/>
    </w:p>
    <w:p>
      <w:pPr>
        <w:pStyle w:val="971"/>
        <w:jc w:val="center"/>
        <w:keepLines w:val="0"/>
        <w:keepNext w:val="0"/>
        <w:widowControl/>
        <w:rPr>
          <w:highlight w:val="none"/>
        </w:rPr>
      </w:pPr>
      <w:r>
        <w:rPr>
          <w:rStyle w:val="972"/>
          <w:rFonts w:hint="eastAsia" w:cs="宋体"/>
          <w:b/>
          <w:bCs w:val="0"/>
          <w:sz w:val="36"/>
          <w:szCs w:val="36"/>
          <w:highlight w:val="none"/>
        </w:rPr>
        <w:t xml:space="preserve">开标一览表（总价）</w:t>
      </w:r>
      <w:r/>
    </w:p>
    <w:p>
      <w:pPr>
        <w:pStyle w:val="974"/>
        <w:rPr>
          <w:sz w:val="21"/>
          <w:szCs w:val="20"/>
          <w:highlight w:val="none"/>
        </w:rPr>
      </w:pPr>
      <w:r>
        <w:rPr>
          <w:rFonts w:hint="eastAsia"/>
          <w:sz w:val="21"/>
          <w:szCs w:val="20"/>
          <w:highlight w:val="none"/>
        </w:rPr>
        <w:t xml:space="preserve">投标人全称（CA公章）：供应商名称 </w:t>
      </w:r>
      <w:r/>
    </w:p>
    <w:p>
      <w:pPr>
        <w:pStyle w:val="974"/>
        <w:rPr>
          <w:sz w:val="21"/>
          <w:szCs w:val="20"/>
          <w:highlight w:val="none"/>
        </w:rPr>
      </w:pPr>
      <w:r>
        <w:rPr>
          <w:rFonts w:hint="eastAsia"/>
          <w:sz w:val="21"/>
          <w:szCs w:val="20"/>
          <w:highlight w:val="none"/>
        </w:rPr>
        <w:t xml:space="preserve">项目名称：</w:t>
      </w:r>
      <w:r/>
    </w:p>
    <w:p>
      <w:pPr>
        <w:pStyle w:val="974"/>
        <w:rPr>
          <w:sz w:val="21"/>
          <w:szCs w:val="20"/>
          <w:highlight w:val="none"/>
        </w:rPr>
      </w:pPr>
      <w:r>
        <w:rPr>
          <w:rFonts w:hint="eastAsia"/>
          <w:sz w:val="21"/>
          <w:szCs w:val="20"/>
          <w:highlight w:val="none"/>
        </w:rPr>
        <w:t xml:space="preserve">项目编号：</w:t>
      </w:r>
      <w:r/>
    </w:p>
    <w:p>
      <w:pPr>
        <w:pStyle w:val="974"/>
        <w:rPr>
          <w:highlight w:val="none"/>
        </w:rPr>
      </w:pPr>
      <w:r>
        <w:rPr>
          <w:rFonts w:hint="eastAsia"/>
          <w:sz w:val="21"/>
          <w:szCs w:val="20"/>
          <w:highlight w:val="none"/>
        </w:rPr>
        <w:t xml:space="preserve">采购包：</w:t>
      </w:r>
      <w:r/>
    </w:p>
    <w:tbl>
      <w:tblPr>
        <w:tblStyle w:val="719"/>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36"/>
        <w:gridCol w:w="6477"/>
      </w:tblGrid>
      <w:tr>
        <w:trPr>
          <w:tblCellSpacing w:w="15" w:type="dxa"/>
          <w:trHeight w:val="810"/>
        </w:trPr>
        <w:tc>
          <w:tcPr>
            <w:tcW w:w="898" w:type="dxa"/>
            <w:vAlign w:val="center"/>
            <w:textDirection w:val="lrTb"/>
            <w:noWrap w:val="false"/>
          </w:tcPr>
          <w:p>
            <w:pPr>
              <w:pStyle w:val="974"/>
              <w:jc w:val="center"/>
              <w:rPr>
                <w:sz w:val="21"/>
                <w:szCs w:val="21"/>
                <w:highlight w:val="none"/>
              </w:rPr>
            </w:pPr>
            <w:r>
              <w:rPr>
                <w:rFonts w:hint="eastAsia"/>
                <w:sz w:val="21"/>
                <w:szCs w:val="21"/>
                <w:highlight w:val="none"/>
              </w:rPr>
              <w:t xml:space="preserve">投标项目名称</w:t>
            </w:r>
            <w:r/>
          </w:p>
        </w:tc>
        <w:tc>
          <w:tcPr>
            <w:tcW w:w="2416" w:type="dxa"/>
            <w:vAlign w:val="center"/>
            <w:textDirection w:val="lrTb"/>
            <w:noWrap w:val="false"/>
          </w:tcPr>
          <w:p>
            <w:pPr>
              <w:pStyle w:val="974"/>
              <w:jc w:val="center"/>
              <w:rPr>
                <w:sz w:val="21"/>
                <w:szCs w:val="21"/>
                <w:highlight w:val="none"/>
              </w:rPr>
            </w:pPr>
            <w:r>
              <w:rPr>
                <w:rFonts w:hint="eastAsia"/>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sz w:val="21"/>
                <w:szCs w:val="21"/>
                <w:highlight w:val="none"/>
              </w:rPr>
            </w:pPr>
            <w:r>
              <w:rPr>
                <w:rFonts w:hint="eastAsia"/>
                <w:sz w:val="21"/>
                <w:szCs w:val="21"/>
                <w:highlight w:val="none"/>
                <w:lang w:bidi="ar"/>
              </w:rPr>
              <w:t xml:space="preserve"> 投标项目名称 </w:t>
            </w:r>
            <w:r/>
          </w:p>
        </w:tc>
        <w:tc>
          <w:tcPr>
            <w:tcW w:w="2416" w:type="dxa"/>
            <w:vAlign w:val="center"/>
            <w:textDirection w:val="lrTb"/>
            <w:noWrap w:val="false"/>
          </w:tcPr>
          <w:p>
            <w:pPr>
              <w:pStyle w:val="974"/>
              <w:rPr>
                <w:sz w:val="21"/>
                <w:szCs w:val="21"/>
                <w:highlight w:val="none"/>
              </w:rPr>
            </w:pPr>
            <w:r>
              <w:rPr>
                <w:rFonts w:hint="eastAsia"/>
                <w:sz w:val="21"/>
                <w:szCs w:val="21"/>
                <w:highlight w:val="none"/>
              </w:rPr>
              <w:t xml:space="preserve"> </w:t>
            </w:r>
            <w:r>
              <w:rPr>
                <w:sz w:val="21"/>
                <w:szCs w:val="21"/>
                <w:highlight w:val="none"/>
                <w:lang w:val="en-US" w:bidi="ar-SA"/>
              </w:rPr>
              <mc:AlternateContent>
                <mc:Choice Requires="wpg">
                  <w:drawing>
                    <wp:inline xmlns:wp="http://schemas.openxmlformats.org/drawingml/2006/wordprocessingDrawing" distT="0" distB="0" distL="0" distR="0">
                      <wp:extent cx="762000" cy="228600"/>
                      <wp:effectExtent l="0" t="0" r="0" b="0"/>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3" o:title=""/>
                    </v:shape>
                  </w:pict>
                </mc:Fallback>
              </mc:AlternateContent>
            </w:r>
            <w:r>
              <w:rPr>
                <w:rFonts w:hint="eastAsia"/>
                <w:sz w:val="21"/>
                <w:szCs w:val="21"/>
                <w:highlight w:val="none"/>
              </w:rPr>
              <w:t xml:space="preserve"> 元</w:t>
            </w:r>
            <w:r/>
          </w:p>
        </w:tc>
      </w:tr>
    </w:tbl>
    <w:p>
      <w:pPr>
        <w:ind w:firstLine="420"/>
        <w:spacing w:line="360" w:lineRule="auto"/>
        <w:widowControl/>
        <w:rPr>
          <w:highlight w:val="none"/>
        </w:rPr>
      </w:pPr>
      <w:r>
        <w:rPr>
          <w:rFonts w:hint="eastAsia"/>
          <w:highlight w:val="none"/>
        </w:rPr>
        <w:t xml:space="preserve">          </w:t>
      </w:r>
      <w:r>
        <w:rPr>
          <w:highlight w:val="none"/>
          <w:lang w:val="en-US" w:bidi="ar-SA"/>
        </w:rPr>
        <mc:AlternateContent>
          <mc:Choice Requires="wpg">
            <w:drawing>
              <wp:inline xmlns:wp="http://schemas.openxmlformats.org/drawingml/2006/wordprocessingDrawing" distT="0" distB="0" distL="0" distR="0">
                <wp:extent cx="7620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3" o:title=""/>
              </v:shape>
            </w:pict>
          </mc:Fallback>
        </mc:AlternateContent>
      </w:r>
      <w:r>
        <w:rPr>
          <w:rFonts w:hint="eastAsia"/>
          <w:highlight w:val="none"/>
        </w:rPr>
        <w:t xml:space="preserve"> 年</w:t>
      </w:r>
      <w:r>
        <w:rPr>
          <w:highlight w:val="none"/>
          <w:lang w:val="en-US" w:bidi="ar-SA"/>
        </w:rPr>
        <mc:AlternateContent>
          <mc:Choice Requires="wpg">
            <w:drawing>
              <wp:inline xmlns:wp="http://schemas.openxmlformats.org/drawingml/2006/wordprocessingDrawing" distT="0" distB="0" distL="0" distR="0">
                <wp:extent cx="7620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3" o:title=""/>
              </v:shape>
            </w:pict>
          </mc:Fallback>
        </mc:AlternateContent>
      </w:r>
      <w:r>
        <w:rPr>
          <w:rFonts w:hint="eastAsia"/>
          <w:highlight w:val="none"/>
        </w:rPr>
        <w:t xml:space="preserve"> 月</w:t>
      </w:r>
      <w:r>
        <w:rPr>
          <w:highlight w:val="none"/>
          <w:lang w:val="en-US" w:bidi="ar-SA"/>
        </w:rPr>
        <mc:AlternateContent>
          <mc:Choice Requires="wpg">
            <w:drawing>
              <wp:inline xmlns:wp="http://schemas.openxmlformats.org/drawingml/2006/wordprocessingDrawing" distT="0" distB="0" distL="0" distR="0">
                <wp:extent cx="7620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3"/>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3" o:title=""/>
              </v:shape>
            </w:pict>
          </mc:Fallback>
        </mc:AlternateContent>
      </w:r>
      <w:r>
        <w:rPr>
          <w:rFonts w:hint="eastAsia"/>
          <w:highlight w:val="none"/>
        </w:rPr>
        <w:t xml:space="preserve"> 日</w:t>
      </w:r>
      <w:r/>
    </w:p>
    <w:p>
      <w:pPr>
        <w:spacing w:line="360" w:lineRule="auto"/>
        <w:widowControl/>
        <w:rPr>
          <w:szCs w:val="21"/>
          <w:highlight w:val="none"/>
        </w:rPr>
      </w:pPr>
      <w:r>
        <w:rPr>
          <w:rFonts w:hint="eastAsia"/>
          <w:highlight w:val="none"/>
        </w:rPr>
        <w:br w:type="page" w:clear="all"/>
      </w:r>
      <w:r>
        <w:rPr>
          <w:rFonts w:hint="eastAsia"/>
          <w:bCs/>
          <w:sz w:val="21"/>
          <w:szCs w:val="21"/>
          <w:highlight w:val="none"/>
        </w:rPr>
        <w:t xml:space="preserve">*</w:t>
      </w:r>
      <w:r>
        <w:rPr>
          <w:rFonts w:hint="eastAsia"/>
          <w:szCs w:val="21"/>
          <w:highlight w:val="none"/>
        </w:rPr>
        <w:t xml:space="preserve">目录四、分项报价表</w:t>
      </w:r>
      <w:r/>
    </w:p>
    <w:p>
      <w:pPr>
        <w:spacing w:line="360" w:lineRule="auto"/>
        <w:rPr>
          <w:szCs w:val="21"/>
          <w:highlight w:val="none"/>
        </w:rPr>
      </w:pPr>
      <w:r>
        <w:rPr>
          <w:szCs w:val="21"/>
          <w:highlight w:val="none"/>
        </w:rPr>
      </w:r>
      <w:r/>
    </w:p>
    <w:p>
      <w:pPr>
        <w:jc w:val="center"/>
        <w:spacing w:line="360" w:lineRule="auto"/>
        <w:rPr>
          <w:b/>
          <w:bCs/>
          <w:szCs w:val="21"/>
          <w:highlight w:val="none"/>
        </w:rPr>
      </w:pPr>
      <w:r>
        <w:rPr>
          <w:rFonts w:hint="eastAsia"/>
          <w:b/>
          <w:bCs/>
          <w:szCs w:val="21"/>
          <w:highlight w:val="none"/>
        </w:rPr>
        <w:t xml:space="preserve">分项报价表</w:t>
      </w:r>
      <w:r/>
    </w:p>
    <w:tbl>
      <w:tblPr>
        <w:tblStyle w:val="71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2921"/>
        <w:gridCol w:w="865"/>
        <w:gridCol w:w="313"/>
        <w:gridCol w:w="887"/>
        <w:gridCol w:w="1665"/>
      </w:tblGrid>
      <w:tr>
        <w:trPr>
          <w:jc w:val="center"/>
        </w:trPr>
        <w:tc>
          <w:tcPr>
            <w:gridSpan w:val="5"/>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spacing w:line="360" w:lineRule="auto"/>
              <w:rPr>
                <w:szCs w:val="21"/>
                <w:highlight w:val="none"/>
              </w:rPr>
            </w:pPr>
            <w:r>
              <w:rPr>
                <w:rFonts w:hint="eastAsia"/>
                <w:szCs w:val="21"/>
                <w:highlight w:val="none"/>
              </w:rPr>
              <w:t xml:space="preserve">项目名称：</w:t>
            </w:r>
            <w:r/>
          </w:p>
        </w:tc>
        <w:tc>
          <w:tcPr>
            <w:gridSpan w:val="2"/>
            <w:tcBorders>
              <w:top w:val="none" w:color="000000" w:sz="4" w:space="0"/>
              <w:left w:val="none" w:color="000000" w:sz="4" w:space="0"/>
              <w:bottom w:val="single" w:color="auto" w:sz="4" w:space="0"/>
              <w:right w:val="none" w:color="000000" w:sz="4" w:space="0"/>
            </w:tcBorders>
            <w:tcW w:w="2552" w:type="dxa"/>
            <w:vAlign w:val="center"/>
            <w:textDirection w:val="lrTb"/>
            <w:noWrap w:val="false"/>
          </w:tcPr>
          <w:p>
            <w:pPr>
              <w:spacing w:line="360" w:lineRule="auto"/>
              <w:rPr>
                <w:szCs w:val="21"/>
                <w:highlight w:val="none"/>
              </w:rPr>
            </w:pPr>
            <w:r>
              <w:rPr>
                <w:rFonts w:hint="eastAsia"/>
                <w:szCs w:val="21"/>
                <w:highlight w:val="none"/>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spacing w:line="360" w:lineRule="auto"/>
              <w:rPr>
                <w:szCs w:val="21"/>
                <w:highlight w:val="none"/>
              </w:rPr>
            </w:pPr>
            <w:r>
              <w:rPr>
                <w:rFonts w:hint="eastAsia"/>
                <w:szCs w:val="21"/>
                <w:highlight w:val="none"/>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spacing w:line="360" w:lineRule="auto"/>
              <w:rPr>
                <w:szCs w:val="21"/>
                <w:highlight w:val="none"/>
              </w:rPr>
            </w:pPr>
            <w:r>
              <w:rPr>
                <w:rFonts w:hint="eastAsia"/>
                <w:szCs w:val="21"/>
                <w:highlight w:val="none"/>
              </w:rPr>
              <w:t xml:space="preserve">名称</w:t>
            </w:r>
            <w:r/>
          </w:p>
        </w:tc>
        <w:tc>
          <w:tcPr>
            <w:tcBorders>
              <w:top w:val="single" w:color="auto" w:sz="4" w:space="0"/>
              <w:left w:val="single" w:color="auto" w:sz="4" w:space="0"/>
              <w:right w:val="single" w:color="auto" w:sz="4" w:space="0"/>
            </w:tcBorders>
            <w:tcW w:w="2921" w:type="dxa"/>
            <w:vAlign w:val="center"/>
            <w:textDirection w:val="lrTb"/>
            <w:noWrap w:val="false"/>
          </w:tcPr>
          <w:p>
            <w:pPr>
              <w:spacing w:line="360" w:lineRule="auto"/>
              <w:rPr>
                <w:szCs w:val="21"/>
                <w:highlight w:val="none"/>
              </w:rPr>
            </w:pPr>
            <w:r>
              <w:rPr>
                <w:rFonts w:hint="eastAsia"/>
                <w:szCs w:val="21"/>
                <w:highlight w:val="none"/>
              </w:rPr>
              <w:t xml:space="preserve">服务分项</w:t>
            </w:r>
            <w:r/>
          </w:p>
        </w:tc>
        <w:tc>
          <w:tcPr>
            <w:tcBorders>
              <w:top w:val="single" w:color="auto" w:sz="4" w:space="0"/>
              <w:left w:val="single" w:color="auto" w:sz="4" w:space="0"/>
              <w:right w:val="single" w:color="auto" w:sz="4" w:space="0"/>
            </w:tcBorders>
            <w:tcW w:w="865" w:type="dxa"/>
            <w:vAlign w:val="center"/>
            <w:textDirection w:val="lrTb"/>
            <w:noWrap w:val="false"/>
          </w:tcPr>
          <w:p>
            <w:pPr>
              <w:spacing w:line="360" w:lineRule="auto"/>
              <w:rPr>
                <w:szCs w:val="21"/>
                <w:highlight w:val="none"/>
              </w:rPr>
            </w:pPr>
            <w:r>
              <w:rPr>
                <w:rFonts w:hint="eastAsia"/>
                <w:szCs w:val="21"/>
                <w:highlight w:val="none"/>
              </w:rPr>
              <w:t xml:space="preserve">单价（元）</w:t>
            </w:r>
            <w:r/>
          </w:p>
        </w:tc>
        <w:tc>
          <w:tcPr>
            <w:gridSpan w:val="2"/>
            <w:tcBorders>
              <w:top w:val="single" w:color="auto" w:sz="4" w:space="0"/>
              <w:left w:val="single" w:color="auto" w:sz="4" w:space="0"/>
              <w:right w:val="single" w:color="auto" w:sz="4" w:space="0"/>
            </w:tcBorders>
            <w:tcW w:w="1200" w:type="dxa"/>
            <w:vAlign w:val="center"/>
            <w:textDirection w:val="lrTb"/>
            <w:noWrap w:val="false"/>
          </w:tcPr>
          <w:p>
            <w:pPr>
              <w:spacing w:line="360" w:lineRule="auto"/>
              <w:rPr>
                <w:szCs w:val="21"/>
                <w:highlight w:val="none"/>
              </w:rPr>
            </w:pPr>
            <w:r>
              <w:rPr>
                <w:rFonts w:hint="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spacing w:line="360" w:lineRule="auto"/>
              <w:rPr>
                <w:szCs w:val="21"/>
                <w:highlight w:val="none"/>
              </w:rPr>
            </w:pPr>
            <w:r>
              <w:rPr>
                <w:rFonts w:hint="eastAsia"/>
                <w:szCs w:val="21"/>
                <w:highlight w:val="none"/>
              </w:rPr>
              <w:t xml:space="preserve">否属于小、微型企业的报价</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1996"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2921" w:type="dxa"/>
            <w:textDirection w:val="lrTb"/>
            <w:noWrap w:val="false"/>
          </w:tcPr>
          <w:p>
            <w:pPr>
              <w:spacing w:line="360" w:lineRule="auto"/>
              <w:rPr>
                <w:szCs w:val="21"/>
                <w:highlight w:val="none"/>
              </w:rPr>
            </w:pPr>
            <w:r>
              <w:rPr>
                <w:szCs w:val="21"/>
                <w:highlight w:val="none"/>
              </w:rPr>
            </w:r>
            <w:r/>
          </w:p>
        </w:tc>
        <w:tc>
          <w:tcPr>
            <w:tcBorders>
              <w:left w:val="single" w:color="auto" w:sz="4" w:space="0"/>
              <w:right w:val="single" w:color="auto" w:sz="4" w:space="0"/>
            </w:tcBorders>
            <w:tcW w:w="865" w:type="dxa"/>
            <w:textDirection w:val="lrTb"/>
            <w:noWrap w:val="false"/>
          </w:tcPr>
          <w:p>
            <w:pPr>
              <w:spacing w:line="360" w:lineRule="auto"/>
              <w:rPr>
                <w:szCs w:val="21"/>
                <w:highlight w:val="none"/>
              </w:rPr>
            </w:pPr>
            <w:r>
              <w:rPr>
                <w:szCs w:val="21"/>
                <w:highlight w:val="none"/>
              </w:rPr>
            </w:r>
            <w:r/>
          </w:p>
        </w:tc>
        <w:tc>
          <w:tcPr>
            <w:gridSpan w:val="2"/>
            <w:tcBorders>
              <w:left w:val="single" w:color="auto" w:sz="4" w:space="0"/>
              <w:right w:val="single" w:color="auto" w:sz="4" w:space="0"/>
            </w:tcBorders>
            <w:tcW w:w="1200" w:type="dxa"/>
            <w:textDirection w:val="lrTb"/>
            <w:noWrap w:val="false"/>
          </w:tcPr>
          <w:p>
            <w:pPr>
              <w:spacing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spacing w:line="360" w:lineRule="auto"/>
              <w:rPr>
                <w:szCs w:val="21"/>
                <w:highlight w:val="none"/>
              </w:rPr>
            </w:pPr>
            <w:r>
              <w:rPr>
                <w:szCs w:val="21"/>
                <w:highlight w:val="none"/>
              </w:rPr>
            </w:r>
            <w:r/>
          </w:p>
        </w:tc>
      </w:tr>
    </w:tbl>
    <w:p>
      <w:pPr>
        <w:spacing w:line="360" w:lineRule="auto"/>
        <w:widowControl/>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名称：</w:t>
      </w:r>
      <w:r>
        <w:rPr>
          <w:rFonts w:hint="eastAsia"/>
          <w:sz w:val="21"/>
          <w:szCs w:val="21"/>
          <w:highlight w:val="none"/>
          <w:u w:val="single"/>
        </w:rPr>
        <w:t xml:space="preserve">                                                  </w:t>
      </w:r>
      <w:r>
        <w:rPr>
          <w:rFonts w:hint="eastAsia"/>
          <w:sz w:val="21"/>
          <w:szCs w:val="21"/>
          <w:highlight w:val="none"/>
        </w:rPr>
        <w:t xml:space="preserve">（盖章）</w:t>
      </w:r>
      <w:r/>
    </w:p>
    <w:p>
      <w:pPr>
        <w:ind w:firstLine="220"/>
        <w:spacing w:line="360" w:lineRule="auto"/>
        <w:rPr>
          <w:szCs w:val="21"/>
          <w:highlight w:val="none"/>
        </w:rPr>
      </w:pPr>
      <w:r>
        <w:rPr>
          <w:rFonts w:hint="eastAsia"/>
          <w:szCs w:val="21"/>
          <w:highlight w:val="none"/>
        </w:rPr>
        <w:t xml:space="preserve">说明：1、如果行数不够，请自行增加。本表仅供参考。</w:t>
      </w:r>
      <w:r/>
    </w:p>
    <w:p>
      <w:pPr>
        <w:spacing w:line="360" w:lineRule="auto"/>
        <w:rPr>
          <w:szCs w:val="21"/>
          <w:highlight w:val="none"/>
        </w:rPr>
      </w:pPr>
      <w:r>
        <w:rPr>
          <w:rFonts w:hint="eastAsia"/>
          <w:szCs w:val="21"/>
          <w:highlight w:val="none"/>
        </w:rPr>
        <w:t xml:space="preserve">  2、在“是否属于小、微型企业的报价”栏内，填写“是”或“否”，评审时，如果小微型企业报价无法划分计算的，将不予认可。</w:t>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highlight w:val="none"/>
        </w:rPr>
      </w:pPr>
      <w:r>
        <w:rPr>
          <w:highlight w:val="none"/>
        </w:rPr>
      </w:r>
      <w:r/>
    </w:p>
    <w:p>
      <w:pPr>
        <w:pStyle w:val="745"/>
        <w:jc w:val="left"/>
        <w:spacing w:line="360" w:lineRule="auto"/>
        <w:widowControl/>
        <w:rPr>
          <w:rFonts w:ascii="宋体" w:hAnsi="宋体" w:cs="宋体"/>
          <w:b w:val="0"/>
          <w:bCs/>
          <w:sz w:val="21"/>
          <w:szCs w:val="21"/>
          <w:highlight w:val="none"/>
        </w:rPr>
      </w:pPr>
      <w:r>
        <w:rPr>
          <w:rFonts w:hint="eastAsia" w:ascii="宋体" w:hAnsi="宋体" w:cs="宋体"/>
          <w:b w:val="0"/>
          <w:bCs/>
          <w:sz w:val="21"/>
          <w:szCs w:val="21"/>
          <w:highlight w:val="none"/>
        </w:rPr>
        <w:t xml:space="preserve">*目录五、技术条款偏离表格式</w:t>
      </w:r>
      <w:r/>
    </w:p>
    <w:p>
      <w:pPr>
        <w:ind w:left="420"/>
        <w:jc w:val="center"/>
        <w:spacing w:line="360" w:lineRule="auto"/>
        <w:widowControl/>
        <w:rPr>
          <w:sz w:val="21"/>
          <w:szCs w:val="21"/>
          <w:highlight w:val="none"/>
        </w:rPr>
      </w:pPr>
      <w:r>
        <w:rPr>
          <w:rFonts w:hint="eastAsia"/>
          <w:sz w:val="21"/>
          <w:szCs w:val="21"/>
          <w:highlight w:val="none"/>
        </w:rPr>
        <w:t xml:space="preserve">技术条款偏离表</w:t>
      </w:r>
      <w:r/>
    </w:p>
    <w:tbl>
      <w:tblPr>
        <w:tblStyle w:val="719"/>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2432"/>
        <w:gridCol w:w="975"/>
        <w:gridCol w:w="943"/>
      </w:tblGrid>
      <w:tr>
        <w:trPr>
          <w:jc w:val="cente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spacing w:line="360" w:lineRule="auto"/>
              <w:widowControl/>
              <w:rPr>
                <w:sz w:val="21"/>
                <w:szCs w:val="21"/>
                <w:highlight w:val="none"/>
              </w:rPr>
            </w:pPr>
            <w:r>
              <w:rPr>
                <w:rFonts w:hint="eastAsia"/>
                <w:sz w:val="21"/>
                <w:szCs w:val="21"/>
                <w:highlight w:val="none"/>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spacing w:line="360" w:lineRule="auto"/>
              <w:widowControl/>
              <w:rPr>
                <w:sz w:val="21"/>
                <w:szCs w:val="21"/>
                <w:highlight w:val="none"/>
              </w:rPr>
            </w:pPr>
            <w:r>
              <w:rPr>
                <w:rFonts w:hint="eastAsia"/>
                <w:sz w:val="21"/>
                <w:szCs w:val="21"/>
                <w:highlight w:val="none"/>
              </w:rPr>
              <w:t xml:space="preserve">项目编号：</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招标要求规格</w:t>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偏离</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highlight w:val="none"/>
                <w:lang w:val="en-US"/>
              </w:rPr>
            </w:pPr>
            <w:r>
              <w:rPr>
                <w:rFonts w:hint="eastAsia"/>
                <w:sz w:val="21"/>
                <w:szCs w:val="21"/>
                <w:highlight w:val="none"/>
                <w:lang w:val="en-US"/>
              </w:rPr>
              <w:t xml:space="preserve">页码</w:t>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r>
        <w:trPr>
          <w:jc w:val="cente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bl>
    <w:p>
      <w:pPr>
        <w:spacing w:line="360" w:lineRule="auto"/>
        <w:widowControl/>
        <w:rPr>
          <w:sz w:val="21"/>
          <w:szCs w:val="21"/>
          <w:highlight w:val="none"/>
        </w:rPr>
      </w:pPr>
      <w:r>
        <w:rPr>
          <w:sz w:val="21"/>
          <w:szCs w:val="21"/>
          <w:highlight w:val="none"/>
        </w:rPr>
      </w:r>
      <w:r/>
    </w:p>
    <w:p>
      <w:pPr>
        <w:spacing w:line="360" w:lineRule="auto"/>
        <w:widowControl/>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名称：</w:t>
      </w:r>
      <w:r>
        <w:rPr>
          <w:rFonts w:hint="eastAsia"/>
          <w:sz w:val="21"/>
          <w:szCs w:val="21"/>
          <w:highlight w:val="none"/>
          <w:u w:val="single"/>
        </w:rPr>
        <w:t xml:space="preserve">                                                  </w:t>
      </w:r>
      <w:r>
        <w:rPr>
          <w:rFonts w:hint="eastAsia"/>
          <w:sz w:val="21"/>
          <w:szCs w:val="21"/>
          <w:highlight w:val="none"/>
        </w:rPr>
        <w:t xml:space="preserve">（盖章）</w:t>
      </w:r>
      <w:r/>
    </w:p>
    <w:p>
      <w:pPr>
        <w:spacing w:line="360" w:lineRule="auto"/>
        <w:widowControl/>
        <w:rPr>
          <w:sz w:val="21"/>
          <w:szCs w:val="21"/>
          <w:highlight w:val="none"/>
        </w:rPr>
      </w:pPr>
      <w:r>
        <w:rPr>
          <w:rFonts w:hint="eastAsia"/>
          <w:sz w:val="21"/>
          <w:szCs w:val="21"/>
          <w:highlight w:val="none"/>
        </w:rPr>
        <w:t xml:space="preserve">说明：</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1、如果行数不够，请自行增加；</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2、偏离包括无偏离、正偏离、负偏离，无偏离指供应商的响应符合招标文件要求，正偏离指供应商的响应高于招标文件要求，负偏离指供应商的响应低于招标文件要求。</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3、投标响应作为投标文件重要的组成部分，不应通过简单拷贝或简单标注“符合”“满足”。</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4、如招标文件要求提供相应证明材料的，应在偏离表中注明证明材料所在投标文件的页码位置，否则评标委员会有权做负偏离处理</w:t>
      </w:r>
      <w:r/>
    </w:p>
    <w:p>
      <w:pPr>
        <w:pStyle w:val="748"/>
        <w:ind w:left="0" w:firstLine="0"/>
        <w:rPr>
          <w:rFonts w:ascii="宋体" w:hAnsi="宋体"/>
          <w:sz w:val="21"/>
          <w:szCs w:val="21"/>
          <w:highlight w:val="none"/>
        </w:rPr>
      </w:pPr>
      <w:r>
        <w:rPr>
          <w:rFonts w:hint="eastAsia" w:ascii="宋体" w:hAnsi="宋体"/>
          <w:sz w:val="21"/>
          <w:szCs w:val="21"/>
          <w:highlight w:val="none"/>
          <w:lang w:val="en-US"/>
        </w:rPr>
        <w:br w:type="page" w:clear="all"/>
      </w:r>
      <w:r>
        <w:rPr>
          <w:rFonts w:hint="eastAsia" w:ascii="宋体" w:hAnsi="宋体"/>
          <w:sz w:val="21"/>
          <w:szCs w:val="21"/>
          <w:highlight w:val="none"/>
        </w:rPr>
        <w:t xml:space="preserve">*目录</w:t>
      </w:r>
      <w:r>
        <w:rPr>
          <w:rFonts w:hint="eastAsia" w:ascii="宋体" w:hAnsi="宋体"/>
          <w:sz w:val="21"/>
          <w:szCs w:val="21"/>
          <w:highlight w:val="none"/>
          <w:lang w:val="en-US"/>
        </w:rPr>
        <w:t xml:space="preserve">六</w:t>
      </w:r>
      <w:r>
        <w:rPr>
          <w:rFonts w:hint="eastAsia" w:ascii="宋体" w:hAnsi="宋体"/>
          <w:sz w:val="21"/>
          <w:szCs w:val="21"/>
          <w:highlight w:val="none"/>
        </w:rPr>
        <w:t xml:space="preserve">、商务条款偏离表格式</w:t>
      </w:r>
      <w:r/>
    </w:p>
    <w:p>
      <w:pPr>
        <w:ind w:left="420"/>
        <w:jc w:val="center"/>
        <w:spacing w:line="360" w:lineRule="auto"/>
        <w:widowControl/>
        <w:rPr>
          <w:sz w:val="21"/>
          <w:szCs w:val="21"/>
          <w:highlight w:val="none"/>
        </w:rPr>
      </w:pPr>
      <w:r>
        <w:rPr>
          <w:rFonts w:hint="eastAsia"/>
          <w:sz w:val="21"/>
          <w:szCs w:val="21"/>
          <w:highlight w:val="none"/>
        </w:rPr>
        <w:t xml:space="preserve">商务条款偏离表</w:t>
      </w:r>
      <w:r/>
    </w:p>
    <w:tbl>
      <w:tblPr>
        <w:tblStyle w:val="719"/>
        <w:tblW w:w="95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331"/>
        <w:gridCol w:w="1065"/>
        <w:gridCol w:w="849"/>
      </w:tblGrid>
      <w:tr>
        <w:trPr>
          <w:jc w:val="center"/>
          <w:trHeight w:val="284"/>
          <w:tblHeader/>
        </w:trPr>
        <w:tc>
          <w:tcPr>
            <w:gridSpan w:val="3"/>
            <w:tcW w:w="5311" w:type="dxa"/>
            <w:vAlign w:val="center"/>
            <w:textDirection w:val="lrTb"/>
            <w:noWrap w:val="false"/>
          </w:tcPr>
          <w:p>
            <w:pPr>
              <w:spacing w:line="360" w:lineRule="auto"/>
              <w:widowControl/>
              <w:rPr>
                <w:sz w:val="21"/>
                <w:szCs w:val="21"/>
                <w:highlight w:val="none"/>
              </w:rPr>
            </w:pPr>
            <w:r>
              <w:rPr>
                <w:rFonts w:hint="eastAsia"/>
                <w:sz w:val="21"/>
                <w:szCs w:val="21"/>
                <w:highlight w:val="none"/>
              </w:rPr>
              <w:t xml:space="preserve">项目名称：</w:t>
            </w:r>
            <w:r/>
          </w:p>
        </w:tc>
        <w:tc>
          <w:tcPr>
            <w:gridSpan w:val="3"/>
            <w:tcW w:w="4245" w:type="dxa"/>
            <w:vAlign w:val="center"/>
            <w:textDirection w:val="lrTb"/>
            <w:noWrap w:val="false"/>
          </w:tcPr>
          <w:p>
            <w:pPr>
              <w:spacing w:line="360" w:lineRule="auto"/>
              <w:widowControl/>
              <w:rPr>
                <w:sz w:val="21"/>
                <w:szCs w:val="21"/>
                <w:highlight w:val="none"/>
              </w:rPr>
            </w:pPr>
            <w:r>
              <w:rPr>
                <w:rFonts w:hint="eastAsia"/>
                <w:sz w:val="21"/>
                <w:szCs w:val="21"/>
                <w:highlight w:val="none"/>
              </w:rPr>
              <w:t xml:space="preserve">项目编号：</w:t>
            </w:r>
            <w:r/>
          </w:p>
        </w:tc>
      </w:tr>
      <w:tr>
        <w:trPr>
          <w:jc w:val="center"/>
          <w:trHeight w:val="284"/>
        </w:trPr>
        <w:tc>
          <w:tcPr>
            <w:tcW w:w="991"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序号</w:t>
            </w:r>
            <w:r/>
          </w:p>
        </w:tc>
        <w:tc>
          <w:tcPr>
            <w:tcW w:w="1620"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招标文件条目号</w:t>
            </w:r>
            <w:r/>
          </w:p>
        </w:tc>
        <w:tc>
          <w:tcPr>
            <w:tcW w:w="2700"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招标文件要求的商务条款</w:t>
            </w:r>
            <w:r/>
          </w:p>
        </w:tc>
        <w:tc>
          <w:tcPr>
            <w:tcW w:w="2331"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投标响应</w:t>
            </w:r>
            <w:r/>
          </w:p>
        </w:tc>
        <w:tc>
          <w:tcPr>
            <w:tcW w:w="1065"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rPr>
              <w:t xml:space="preserve">偏离</w:t>
            </w:r>
            <w:r/>
          </w:p>
        </w:tc>
        <w:tc>
          <w:tcPr>
            <w:tcW w:w="849" w:type="dxa"/>
            <w:vAlign w:val="center"/>
            <w:textDirection w:val="lrTb"/>
            <w:noWrap w:val="false"/>
          </w:tcPr>
          <w:p>
            <w:pPr>
              <w:jc w:val="center"/>
              <w:spacing w:line="360" w:lineRule="auto"/>
              <w:widowControl/>
              <w:rPr>
                <w:sz w:val="21"/>
                <w:szCs w:val="21"/>
                <w:highlight w:val="none"/>
              </w:rPr>
            </w:pPr>
            <w:r>
              <w:rPr>
                <w:rFonts w:hint="eastAsia"/>
                <w:sz w:val="21"/>
                <w:szCs w:val="21"/>
                <w:highlight w:val="none"/>
                <w:lang w:val="en-US"/>
              </w:rPr>
              <w:t xml:space="preserve">页码</w:t>
            </w:r>
            <w:r/>
          </w:p>
        </w:tc>
      </w:tr>
      <w:tr>
        <w:trPr>
          <w:jc w:val="center"/>
          <w:trHeight w:val="284"/>
        </w:trPr>
        <w:tc>
          <w:tcPr>
            <w:tcW w:w="99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33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06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849"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33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06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849"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r>
        <w:trPr>
          <w:jc w:val="center"/>
          <w:trHeight w:val="284"/>
        </w:trPr>
        <w:tc>
          <w:tcPr>
            <w:tcW w:w="99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62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700"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2331"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1065" w:type="dxa"/>
            <w:vAlign w:val="center"/>
            <w:textDirection w:val="lrTb"/>
            <w:noWrap w:val="false"/>
          </w:tcPr>
          <w:p>
            <w:pPr>
              <w:jc w:val="center"/>
              <w:spacing w:line="360" w:lineRule="auto"/>
              <w:widowControl/>
              <w:rPr>
                <w:sz w:val="21"/>
                <w:szCs w:val="21"/>
                <w:highlight w:val="none"/>
              </w:rPr>
            </w:pPr>
            <w:r>
              <w:rPr>
                <w:sz w:val="21"/>
                <w:szCs w:val="21"/>
                <w:highlight w:val="none"/>
              </w:rPr>
            </w:r>
            <w:r/>
          </w:p>
        </w:tc>
        <w:tc>
          <w:tcPr>
            <w:tcW w:w="849" w:type="dxa"/>
            <w:vAlign w:val="center"/>
            <w:textDirection w:val="lrTb"/>
            <w:noWrap w:val="false"/>
          </w:tcPr>
          <w:p>
            <w:pPr>
              <w:jc w:val="center"/>
              <w:spacing w:line="360" w:lineRule="auto"/>
              <w:widowControl/>
              <w:rPr>
                <w:sz w:val="21"/>
                <w:szCs w:val="21"/>
                <w:highlight w:val="none"/>
              </w:rPr>
            </w:pPr>
            <w:r>
              <w:rPr>
                <w:sz w:val="21"/>
                <w:szCs w:val="21"/>
                <w:highlight w:val="none"/>
              </w:rPr>
            </w:r>
            <w:r/>
          </w:p>
        </w:tc>
      </w:tr>
    </w:tbl>
    <w:p>
      <w:pPr>
        <w:spacing w:line="360" w:lineRule="auto"/>
        <w:widowControl/>
        <w:rPr>
          <w:sz w:val="21"/>
          <w:szCs w:val="21"/>
          <w:highlight w:val="none"/>
        </w:rPr>
      </w:pPr>
      <w:r>
        <w:rPr>
          <w:sz w:val="21"/>
          <w:szCs w:val="21"/>
          <w:highlight w:val="none"/>
        </w:rPr>
      </w:r>
      <w:r/>
    </w:p>
    <w:p>
      <w:pPr>
        <w:spacing w:line="360" w:lineRule="auto"/>
        <w:widowControl/>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名称：</w:t>
      </w:r>
      <w:r>
        <w:rPr>
          <w:rFonts w:hint="eastAsia"/>
          <w:sz w:val="21"/>
          <w:szCs w:val="21"/>
          <w:highlight w:val="none"/>
          <w:u w:val="single"/>
        </w:rPr>
        <w:t xml:space="preserve">                                                  </w:t>
      </w:r>
      <w:r>
        <w:rPr>
          <w:rFonts w:hint="eastAsia"/>
          <w:sz w:val="21"/>
          <w:szCs w:val="21"/>
          <w:highlight w:val="none"/>
        </w:rPr>
        <w:t xml:space="preserve">（盖章）</w:t>
      </w:r>
      <w:r/>
    </w:p>
    <w:p>
      <w:pPr>
        <w:spacing w:line="360" w:lineRule="auto"/>
        <w:rPr>
          <w:sz w:val="21"/>
          <w:szCs w:val="21"/>
          <w:highlight w:val="none"/>
        </w:rPr>
      </w:pPr>
      <w:r>
        <w:rPr>
          <w:rFonts w:hint="eastAsia"/>
          <w:sz w:val="21"/>
          <w:szCs w:val="21"/>
          <w:highlight w:val="none"/>
        </w:rPr>
        <w:t xml:space="preserve">说明：</w:t>
      </w:r>
      <w:r/>
    </w:p>
    <w:p>
      <w:pPr>
        <w:pStyle w:val="748"/>
        <w:ind w:left="0"/>
        <w:rPr>
          <w:rFonts w:ascii="宋体" w:hAnsi="宋体"/>
          <w:sz w:val="21"/>
          <w:szCs w:val="21"/>
          <w:highlight w:val="none"/>
        </w:rPr>
      </w:pPr>
      <w:r>
        <w:rPr>
          <w:rFonts w:hint="eastAsia" w:ascii="宋体" w:hAnsi="宋体"/>
          <w:sz w:val="21"/>
          <w:szCs w:val="21"/>
          <w:highlight w:val="none"/>
          <w:lang w:val="en-US"/>
        </w:rPr>
        <w:t xml:space="preserve">1、</w:t>
      </w:r>
      <w:r>
        <w:rPr>
          <w:rFonts w:hint="eastAsia" w:ascii="宋体" w:hAnsi="宋体"/>
          <w:sz w:val="21"/>
          <w:szCs w:val="21"/>
          <w:highlight w:val="none"/>
        </w:rPr>
        <w:t xml:space="preserve">如果行数不够，请自行增加。</w:t>
      </w:r>
      <w:r/>
    </w:p>
    <w:p>
      <w:pPr>
        <w:pStyle w:val="748"/>
        <w:ind w:left="0"/>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lang w:val="en-US"/>
        </w:rPr>
        <w:t xml:space="preserve">偏离包括无偏离、正偏离、负偏离，无偏离指供应商的响应符合招标文件要求，正偏离指供应商的响应高于招标文件要求，负偏离指供应商的响应低于招标文件要求。</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3、</w:t>
      </w:r>
      <w:r>
        <w:rPr>
          <w:rFonts w:hint="eastAsia" w:ascii="宋体" w:hAnsi="宋体"/>
          <w:sz w:val="21"/>
          <w:szCs w:val="21"/>
          <w:highlight w:val="none"/>
        </w:rPr>
        <w:t xml:space="preserve">投标响应作为投标文件重要的组成部分，不应通过简单拷贝或简单标注“符合”“满足”。</w:t>
      </w:r>
      <w:r/>
    </w:p>
    <w:p>
      <w:pPr>
        <w:pStyle w:val="748"/>
        <w:ind w:left="0"/>
        <w:rPr>
          <w:rFonts w:ascii="宋体" w:hAnsi="宋体"/>
          <w:sz w:val="21"/>
          <w:szCs w:val="21"/>
          <w:highlight w:val="none"/>
          <w:lang w:val="en-US"/>
        </w:rPr>
      </w:pPr>
      <w:r>
        <w:rPr>
          <w:rFonts w:hint="eastAsia" w:ascii="宋体" w:hAnsi="宋体"/>
          <w:sz w:val="21"/>
          <w:szCs w:val="21"/>
          <w:highlight w:val="none"/>
          <w:lang w:val="en-US"/>
        </w:rPr>
        <w:t xml:space="preserve">4、如招标文件要求提供相应证明材料的，应在偏离表中注明证明材料所在投标文件的页码位置，否则评标委员会有权做负偏离处理</w:t>
      </w:r>
      <w:r/>
    </w:p>
    <w:p>
      <w:pPr>
        <w:rPr>
          <w:b/>
          <w:sz w:val="21"/>
          <w:szCs w:val="21"/>
          <w:highlight w:val="none"/>
        </w:rPr>
      </w:pPr>
      <w:r>
        <w:rPr>
          <w:rFonts w:hint="eastAsia"/>
          <w:b/>
          <w:sz w:val="21"/>
          <w:szCs w:val="21"/>
          <w:highlight w:val="none"/>
        </w:rPr>
        <w:br w:type="page" w:clear="all"/>
      </w:r>
      <w:r/>
    </w:p>
    <w:p>
      <w:pPr>
        <w:pStyle w:val="965"/>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目录七、技术说明与服务方案</w:t>
      </w:r>
      <w:r/>
    </w:p>
    <w:p>
      <w:pPr>
        <w:rPr>
          <w:sz w:val="21"/>
          <w:szCs w:val="21"/>
          <w:highlight w:val="none"/>
        </w:rPr>
      </w:pPr>
      <w:r>
        <w:rPr>
          <w:sz w:val="21"/>
          <w:szCs w:val="21"/>
          <w:highlight w:val="none"/>
        </w:rPr>
      </w:r>
      <w:r/>
    </w:p>
    <w:p>
      <w:pPr>
        <w:rPr>
          <w:sz w:val="21"/>
          <w:szCs w:val="21"/>
          <w:highlight w:val="none"/>
        </w:rPr>
      </w:pPr>
      <w:r>
        <w:rPr>
          <w:rFonts w:hint="eastAsia"/>
          <w:sz w:val="21"/>
          <w:szCs w:val="21"/>
          <w:highlight w:val="none"/>
        </w:rPr>
        <w:t xml:space="preserve">技术方案及服务承诺应根据</w:t>
      </w:r>
      <w:r>
        <w:rPr>
          <w:rFonts w:hint="eastAsia"/>
          <w:sz w:val="21"/>
          <w:szCs w:val="21"/>
          <w:highlight w:val="none"/>
          <w:lang w:val="en-US"/>
        </w:rPr>
        <w:t xml:space="preserve">采购</w:t>
      </w:r>
      <w:r>
        <w:rPr>
          <w:rFonts w:hint="eastAsia"/>
          <w:sz w:val="21"/>
          <w:szCs w:val="21"/>
          <w:highlight w:val="none"/>
        </w:rPr>
        <w:t xml:space="preserve">人对项目的要求、评标标准的要求及项目本身的特点编写。</w:t>
      </w:r>
      <w:r/>
    </w:p>
    <w:p>
      <w:pPr>
        <w:jc w:val="center"/>
        <w:spacing w:line="360" w:lineRule="auto"/>
        <w:rPr>
          <w:sz w:val="21"/>
          <w:szCs w:val="21"/>
          <w:highlight w:val="none"/>
        </w:rPr>
      </w:pPr>
      <w:r>
        <w:rPr>
          <w:sz w:val="21"/>
          <w:szCs w:val="21"/>
          <w:highlight w:val="none"/>
        </w:rPr>
      </w:r>
      <w:r/>
    </w:p>
    <w:p>
      <w:pPr>
        <w:spacing w:line="360" w:lineRule="auto"/>
        <w:rPr>
          <w:b/>
          <w:sz w:val="21"/>
          <w:szCs w:val="21"/>
          <w:highlight w:val="none"/>
        </w:rPr>
      </w:pPr>
      <w:r>
        <w:rPr>
          <w:rFonts w:hint="eastAsia"/>
          <w:b/>
          <w:sz w:val="21"/>
          <w:szCs w:val="21"/>
          <w:highlight w:val="none"/>
        </w:rPr>
        <w:br w:type="page" w:clear="all"/>
      </w:r>
      <w:r/>
    </w:p>
    <w:p>
      <w:pPr>
        <w:pStyle w:val="965"/>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目录八、投标需要的其他证明文件及材料</w:t>
      </w:r>
      <w:r/>
    </w:p>
    <w:p>
      <w:pPr>
        <w:pStyle w:val="748"/>
        <w:ind w:left="0"/>
        <w:rPr>
          <w:rFonts w:ascii="宋体" w:hAnsi="宋体"/>
          <w:sz w:val="21"/>
          <w:szCs w:val="21"/>
          <w:highlight w:val="none"/>
        </w:rPr>
      </w:pPr>
      <w:r>
        <w:rPr>
          <w:rFonts w:hint="eastAsia" w:ascii="宋体" w:hAnsi="宋体"/>
          <w:sz w:val="21"/>
          <w:szCs w:val="21"/>
          <w:highlight w:val="none"/>
        </w:rPr>
        <w:t xml:space="preserve"> </w:t>
      </w:r>
      <w:r/>
    </w:p>
    <w:p>
      <w:pPr>
        <w:jc w:val="center"/>
        <w:spacing w:line="360" w:lineRule="auto"/>
        <w:rPr>
          <w:sz w:val="21"/>
          <w:szCs w:val="21"/>
          <w:highlight w:val="none"/>
        </w:rPr>
      </w:pPr>
      <w:r>
        <w:rPr>
          <w:sz w:val="21"/>
          <w:szCs w:val="21"/>
          <w:highlight w:val="none"/>
        </w:rPr>
      </w:r>
      <w:r/>
    </w:p>
    <w:p>
      <w:pPr>
        <w:pStyle w:val="965"/>
        <w:jc w:val="left"/>
        <w:spacing w:line="360" w:lineRule="auto"/>
        <w:widowControl/>
        <w:rPr>
          <w:rFonts w:ascii="宋体" w:hAnsi="宋体" w:eastAsia="宋体" w:cs="宋体"/>
          <w:sz w:val="21"/>
          <w:szCs w:val="21"/>
          <w:highlight w:val="none"/>
        </w:rPr>
      </w:pPr>
      <w:r>
        <w:rPr>
          <w:rFonts w:hint="eastAsia" w:ascii="宋体" w:hAnsi="宋体" w:eastAsia="宋体" w:cs="宋体"/>
          <w:b/>
          <w:sz w:val="24"/>
          <w:szCs w:val="24"/>
          <w:highlight w:val="none"/>
        </w:rPr>
        <w:br w:type="page" w:clear="all"/>
      </w:r>
      <w:r>
        <w:rPr>
          <w:rFonts w:hint="eastAsia" w:ascii="宋体" w:hAnsi="宋体" w:eastAsia="宋体" w:cs="宋体"/>
          <w:sz w:val="21"/>
          <w:szCs w:val="21"/>
          <w:highlight w:val="none"/>
        </w:rPr>
        <w:t xml:space="preserve">目录九、资格性和符合性审查响应对照表</w:t>
      </w:r>
      <w:r/>
    </w:p>
    <w:p>
      <w:pPr>
        <w:jc w:val="center"/>
        <w:spacing w:before="50" w:after="50" w:line="360" w:lineRule="auto"/>
        <w:rPr>
          <w:sz w:val="21"/>
          <w:szCs w:val="21"/>
          <w:highlight w:val="none"/>
        </w:rPr>
      </w:pPr>
      <w:r>
        <w:rPr>
          <w:rFonts w:hint="eastAsia"/>
          <w:sz w:val="21"/>
          <w:szCs w:val="21"/>
          <w:highlight w:val="none"/>
        </w:rPr>
        <w:t xml:space="preserve">资格性和符合性审查响应对照表</w:t>
      </w:r>
      <w:r/>
    </w:p>
    <w:p>
      <w:pPr>
        <w:spacing w:before="50" w:after="50" w:line="360" w:lineRule="auto"/>
        <w:rPr>
          <w:sz w:val="21"/>
          <w:szCs w:val="21"/>
          <w:highlight w:val="none"/>
          <w:u w:val="single"/>
        </w:rPr>
      </w:pPr>
      <w:r>
        <w:rPr>
          <w:rFonts w:hint="eastAsia"/>
          <w:sz w:val="21"/>
          <w:szCs w:val="21"/>
          <w:highlight w:val="none"/>
        </w:rPr>
        <w:t xml:space="preserve">项目名称：                                                 项目编号：</w:t>
      </w:r>
      <w:r/>
    </w:p>
    <w:tbl>
      <w:tblPr>
        <w:tblStyle w:val="719"/>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355"/>
        <w:gridCol w:w="1772"/>
        <w:gridCol w:w="1785"/>
      </w:tblGrid>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序号</w:t>
            </w:r>
            <w:r/>
          </w:p>
        </w:tc>
        <w:tc>
          <w:tcPr>
            <w:tcW w:w="5355" w:type="dxa"/>
            <w:vAlign w:val="center"/>
            <w:textDirection w:val="lrTb"/>
            <w:noWrap w:val="false"/>
          </w:tcPr>
          <w:p>
            <w:pPr>
              <w:jc w:val="center"/>
              <w:spacing w:line="360" w:lineRule="auto"/>
              <w:rPr>
                <w:b/>
                <w:sz w:val="21"/>
                <w:szCs w:val="21"/>
                <w:highlight w:val="none"/>
              </w:rPr>
            </w:pPr>
            <w:r>
              <w:rPr>
                <w:rFonts w:hint="eastAsia"/>
                <w:b/>
                <w:sz w:val="21"/>
                <w:szCs w:val="21"/>
                <w:highlight w:val="none"/>
              </w:rPr>
              <w:t xml:space="preserve">资格性审查响应内容</w:t>
            </w:r>
            <w:r/>
          </w:p>
        </w:tc>
        <w:tc>
          <w:tcPr>
            <w:tcW w:w="1772"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是否响应</w:t>
            </w:r>
            <w:r/>
          </w:p>
          <w:p>
            <w:pPr>
              <w:jc w:val="center"/>
              <w:spacing w:line="360" w:lineRule="auto"/>
              <w:rPr>
                <w:sz w:val="21"/>
                <w:szCs w:val="21"/>
                <w:highlight w:val="none"/>
              </w:rPr>
            </w:pPr>
            <w:r>
              <w:rPr>
                <w:rFonts w:hint="eastAsia"/>
                <w:sz w:val="21"/>
                <w:szCs w:val="21"/>
                <w:highlight w:val="none"/>
              </w:rPr>
              <w:t xml:space="preserve">（填是或者否）</w:t>
            </w:r>
            <w:r/>
          </w:p>
        </w:tc>
        <w:tc>
          <w:tcPr>
            <w:tcW w:w="1785"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投标文件中的</w:t>
            </w:r>
            <w:r/>
          </w:p>
          <w:p>
            <w:pPr>
              <w:jc w:val="center"/>
              <w:spacing w:line="360" w:lineRule="auto"/>
              <w:rPr>
                <w:sz w:val="21"/>
                <w:szCs w:val="21"/>
                <w:highlight w:val="none"/>
              </w:rPr>
            </w:pPr>
            <w:r>
              <w:rPr>
                <w:rFonts w:hint="eastAsia"/>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1</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2</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3</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序号</w:t>
            </w:r>
            <w:r/>
          </w:p>
        </w:tc>
        <w:tc>
          <w:tcPr>
            <w:tcW w:w="5355" w:type="dxa"/>
            <w:vAlign w:val="center"/>
            <w:textDirection w:val="lrTb"/>
            <w:noWrap w:val="false"/>
          </w:tcPr>
          <w:p>
            <w:pPr>
              <w:jc w:val="center"/>
              <w:spacing w:line="360" w:lineRule="auto"/>
              <w:rPr>
                <w:b/>
                <w:sz w:val="21"/>
                <w:szCs w:val="21"/>
                <w:highlight w:val="none"/>
              </w:rPr>
            </w:pPr>
            <w:r>
              <w:rPr>
                <w:rFonts w:hint="eastAsia"/>
                <w:b/>
                <w:sz w:val="21"/>
                <w:szCs w:val="21"/>
                <w:highlight w:val="none"/>
              </w:rPr>
              <w:t xml:space="preserve">符合性审查响应内容</w:t>
            </w:r>
            <w:r/>
          </w:p>
        </w:tc>
        <w:tc>
          <w:tcPr>
            <w:tcW w:w="1772"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是否响应</w:t>
            </w:r>
            <w:r/>
          </w:p>
          <w:p>
            <w:pPr>
              <w:jc w:val="center"/>
              <w:spacing w:line="360" w:lineRule="auto"/>
              <w:rPr>
                <w:sz w:val="21"/>
                <w:szCs w:val="21"/>
                <w:highlight w:val="none"/>
              </w:rPr>
            </w:pPr>
            <w:r>
              <w:rPr>
                <w:rFonts w:hint="eastAsia"/>
                <w:sz w:val="21"/>
                <w:szCs w:val="21"/>
                <w:highlight w:val="none"/>
              </w:rPr>
              <w:t xml:space="preserve">（填是或者否）</w:t>
            </w:r>
            <w:r/>
          </w:p>
        </w:tc>
        <w:tc>
          <w:tcPr>
            <w:tcW w:w="1785"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投标文件中的</w:t>
            </w:r>
            <w:r/>
          </w:p>
          <w:p>
            <w:pPr>
              <w:jc w:val="center"/>
              <w:spacing w:line="360" w:lineRule="auto"/>
              <w:rPr>
                <w:sz w:val="21"/>
                <w:szCs w:val="21"/>
                <w:highlight w:val="none"/>
              </w:rPr>
            </w:pPr>
            <w:r>
              <w:rPr>
                <w:rFonts w:hint="eastAsia"/>
                <w:sz w:val="21"/>
                <w:szCs w:val="21"/>
                <w:highlight w:val="none"/>
              </w:rPr>
              <w:t xml:space="preserve">页码位置</w:t>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sz w:val="21"/>
                <w:szCs w:val="21"/>
                <w:highlight w:val="none"/>
              </w:rPr>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r>
        <w:trPr>
          <w:jc w:val="center"/>
          <w:trHeight w:val="737"/>
        </w:trPr>
        <w:tc>
          <w:tcPr>
            <w:tcW w:w="767" w:type="dxa"/>
            <w:vAlign w:val="center"/>
            <w:textDirection w:val="lrTb"/>
            <w:noWrap w:val="false"/>
          </w:tcPr>
          <w:p>
            <w:pPr>
              <w:jc w:val="center"/>
              <w:spacing w:line="360" w:lineRule="auto"/>
              <w:rPr>
                <w:sz w:val="21"/>
                <w:szCs w:val="21"/>
                <w:highlight w:val="none"/>
              </w:rPr>
            </w:pPr>
            <w:r>
              <w:rPr>
                <w:rFonts w:hint="eastAsia"/>
                <w:sz w:val="21"/>
                <w:szCs w:val="21"/>
                <w:highlight w:val="none"/>
              </w:rPr>
              <w:t xml:space="preserve">.</w:t>
            </w:r>
            <w:r/>
          </w:p>
        </w:tc>
        <w:tc>
          <w:tcPr>
            <w:tcW w:w="5355" w:type="dxa"/>
            <w:vAlign w:val="center"/>
            <w:textDirection w:val="lrTb"/>
            <w:noWrap w:val="false"/>
          </w:tcPr>
          <w:p>
            <w:pPr>
              <w:spacing w:line="360" w:lineRule="auto"/>
              <w:rPr>
                <w:sz w:val="21"/>
                <w:szCs w:val="21"/>
                <w:highlight w:val="none"/>
              </w:rPr>
            </w:pPr>
            <w:r>
              <w:rPr>
                <w:rFonts w:hint="eastAsia"/>
                <w:sz w:val="21"/>
                <w:szCs w:val="21"/>
                <w:highlight w:val="none"/>
              </w:rPr>
              <w:t xml:space="preserve">招标文件中的其他实质性要求</w:t>
            </w:r>
            <w:r/>
          </w:p>
        </w:tc>
        <w:tc>
          <w:tcPr>
            <w:tcW w:w="1772" w:type="dxa"/>
            <w:vAlign w:val="center"/>
            <w:textDirection w:val="lrTb"/>
            <w:noWrap w:val="false"/>
          </w:tcPr>
          <w:p>
            <w:pPr>
              <w:spacing w:line="360" w:lineRule="auto"/>
              <w:rPr>
                <w:sz w:val="21"/>
                <w:szCs w:val="21"/>
                <w:highlight w:val="none"/>
              </w:rPr>
            </w:pPr>
            <w:r>
              <w:rPr>
                <w:sz w:val="21"/>
                <w:szCs w:val="21"/>
                <w:highlight w:val="none"/>
              </w:rPr>
            </w:r>
            <w:r/>
          </w:p>
        </w:tc>
        <w:tc>
          <w:tcPr>
            <w:tcW w:w="1785" w:type="dxa"/>
            <w:vAlign w:val="center"/>
            <w:textDirection w:val="lrTb"/>
            <w:noWrap w:val="false"/>
          </w:tcPr>
          <w:p>
            <w:pPr>
              <w:spacing w:line="360" w:lineRule="auto"/>
              <w:rPr>
                <w:sz w:val="21"/>
                <w:szCs w:val="21"/>
                <w:highlight w:val="none"/>
              </w:rPr>
            </w:pPr>
            <w:r>
              <w:rPr>
                <w:sz w:val="21"/>
                <w:szCs w:val="21"/>
                <w:highlight w:val="none"/>
              </w:rPr>
            </w:r>
            <w:r/>
          </w:p>
        </w:tc>
      </w:tr>
    </w:tbl>
    <w:p>
      <w:pPr>
        <w:spacing w:line="360" w:lineRule="auto"/>
        <w:widowControl/>
        <w:rPr>
          <w:sz w:val="21"/>
          <w:szCs w:val="21"/>
          <w:highlight w:val="none"/>
        </w:rPr>
      </w:pPr>
      <w:r>
        <w:rPr>
          <w:sz w:val="21"/>
          <w:szCs w:val="21"/>
          <w:highlight w:val="none"/>
        </w:rPr>
      </w:r>
      <w:r/>
    </w:p>
    <w:p>
      <w:pPr>
        <w:spacing w:line="360" w:lineRule="auto"/>
        <w:widowControl/>
        <w:rPr>
          <w:sz w:val="21"/>
          <w:szCs w:val="21"/>
          <w:highlight w:val="none"/>
        </w:rPr>
      </w:pPr>
      <w:r>
        <w:rPr>
          <w:rFonts w:hint="eastAsia"/>
          <w:sz w:val="21"/>
          <w:szCs w:val="21"/>
          <w:highlight w:val="none"/>
          <w:lang w:val="en-US"/>
        </w:rPr>
        <w:t xml:space="preserve">供应商</w:t>
      </w:r>
      <w:r>
        <w:rPr>
          <w:rFonts w:hint="eastAsia"/>
          <w:sz w:val="21"/>
          <w:szCs w:val="21"/>
          <w:highlight w:val="none"/>
        </w:rPr>
        <w:t xml:space="preserve">名称：</w:t>
      </w:r>
      <w:r>
        <w:rPr>
          <w:rFonts w:hint="eastAsia"/>
          <w:sz w:val="21"/>
          <w:szCs w:val="21"/>
          <w:highlight w:val="none"/>
          <w:u w:val="single"/>
        </w:rPr>
        <w:t xml:space="preserve">                                                  </w:t>
      </w:r>
      <w:r>
        <w:rPr>
          <w:rFonts w:hint="eastAsia"/>
          <w:sz w:val="21"/>
          <w:szCs w:val="21"/>
          <w:highlight w:val="none"/>
        </w:rPr>
        <w:t xml:space="preserve">（盖章）</w:t>
      </w:r>
      <w:r/>
    </w:p>
    <w:p>
      <w:pPr>
        <w:spacing w:line="360" w:lineRule="auto"/>
        <w:widowControl/>
        <w:rPr>
          <w:sz w:val="21"/>
          <w:szCs w:val="21"/>
          <w:highlight w:val="none"/>
        </w:rPr>
      </w:pPr>
      <w:r>
        <w:rPr>
          <w:rFonts w:hint="eastAsia"/>
          <w:sz w:val="21"/>
          <w:szCs w:val="21"/>
          <w:highlight w:val="none"/>
        </w:rPr>
        <w:t xml:space="preserve">说明：如果行数不够，请自行增加。</w:t>
      </w:r>
      <w:r/>
    </w:p>
    <w:p>
      <w:pPr>
        <w:pStyle w:val="965"/>
        <w:ind w:firstLine="482"/>
        <w:jc w:val="left"/>
        <w:spacing w:before="0" w:after="0" w:line="360" w:lineRule="auto"/>
        <w:widowControl/>
        <w:rPr>
          <w:rFonts w:ascii="宋体" w:hAnsi="宋体" w:eastAsia="宋体" w:cs="宋体"/>
          <w:sz w:val="21"/>
          <w:szCs w:val="21"/>
          <w:highlight w:val="none"/>
        </w:rPr>
      </w:pPr>
      <w:r/>
      <w:bookmarkStart w:id="42" w:name="_bookmark0"/>
      <w:r/>
      <w:bookmarkEnd w:id="42"/>
      <w:r>
        <w:rPr>
          <w:rFonts w:hint="eastAsia" w:ascii="宋体" w:hAnsi="宋体" w:eastAsia="宋体" w:cs="宋体"/>
          <w:b/>
          <w:sz w:val="24"/>
          <w:szCs w:val="24"/>
          <w:highlight w:val="none"/>
        </w:rPr>
        <w:br w:type="page" w:clear="all"/>
      </w:r>
      <w:r>
        <w:rPr>
          <w:rFonts w:hint="eastAsia" w:ascii="宋体" w:hAnsi="宋体" w:eastAsia="宋体" w:cs="宋体"/>
          <w:sz w:val="24"/>
          <w:szCs w:val="24"/>
          <w:highlight w:val="none"/>
        </w:rPr>
        <w:t xml:space="preserve">*</w:t>
      </w:r>
      <w:r>
        <w:rPr>
          <w:rFonts w:hint="eastAsia" w:ascii="宋体" w:hAnsi="宋体" w:eastAsia="宋体" w:cs="宋体"/>
          <w:sz w:val="21"/>
          <w:szCs w:val="21"/>
          <w:highlight w:val="none"/>
        </w:rPr>
        <w:t xml:space="preserve">目录十、资格证明文件</w:t>
      </w:r>
      <w:r/>
    </w:p>
    <w:p>
      <w:pPr>
        <w:ind w:firstLine="422"/>
        <w:jc w:val="center"/>
        <w:spacing w:line="360" w:lineRule="auto"/>
        <w:rPr>
          <w:b/>
          <w:sz w:val="21"/>
          <w:szCs w:val="21"/>
          <w:highlight w:val="none"/>
        </w:rPr>
      </w:pPr>
      <w:r/>
      <w:bookmarkStart w:id="43" w:name="_Toc489655335"/>
      <w:r>
        <w:rPr>
          <w:rFonts w:hint="eastAsia"/>
          <w:b/>
          <w:sz w:val="21"/>
          <w:szCs w:val="21"/>
          <w:highlight w:val="none"/>
        </w:rPr>
        <w:t xml:space="preserve">资格证明文件</w:t>
      </w:r>
      <w:bookmarkEnd w:id="43"/>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r>
      <w:r/>
    </w:p>
    <w:p>
      <w:pPr>
        <w:ind w:firstLine="422"/>
        <w:spacing w:line="360" w:lineRule="auto"/>
        <w:rPr>
          <w:b/>
          <w:i/>
          <w:iCs/>
          <w:sz w:val="21"/>
          <w:szCs w:val="21"/>
          <w:highlight w:val="none"/>
          <w:u w:val="single"/>
        </w:rPr>
      </w:pPr>
      <w:r>
        <w:rPr>
          <w:b/>
          <w:i/>
          <w:iCs/>
          <w:sz w:val="21"/>
          <w:szCs w:val="21"/>
          <w:highlight w:val="none"/>
          <w:u w:val="single"/>
        </w:rPr>
      </w:r>
      <w:r/>
    </w:p>
    <w:p>
      <w:pPr>
        <w:ind w:firstLine="480"/>
        <w:spacing w:line="360" w:lineRule="auto"/>
        <w:rPr>
          <w:sz w:val="24"/>
          <w:szCs w:val="24"/>
          <w:highlight w:val="none"/>
        </w:rPr>
      </w:pPr>
      <w:r>
        <w:rPr>
          <w:sz w:val="24"/>
          <w:szCs w:val="24"/>
          <w:highlight w:val="none"/>
        </w:rPr>
      </w:r>
      <w:r/>
    </w:p>
    <w:p>
      <w:pPr>
        <w:spacing w:line="360" w:lineRule="auto"/>
        <w:rPr>
          <w:b/>
          <w:sz w:val="21"/>
          <w:szCs w:val="21"/>
          <w:highlight w:val="none"/>
        </w:rPr>
      </w:pPr>
      <w:r>
        <w:rPr>
          <w:rFonts w:hint="eastAsia"/>
          <w:b/>
          <w:sz w:val="24"/>
          <w:szCs w:val="24"/>
          <w:highlight w:val="none"/>
        </w:rPr>
        <w:br w:type="page" w:clear="all"/>
      </w:r>
      <w:r>
        <w:rPr>
          <w:rFonts w:hint="eastAsia"/>
          <w:b/>
          <w:sz w:val="21"/>
          <w:szCs w:val="21"/>
          <w:highlight w:val="none"/>
        </w:rPr>
        <w:t xml:space="preserve">附件一、中小企业声明函格式（不符合的可不填写）</w:t>
      </w:r>
      <w:r/>
    </w:p>
    <w:p>
      <w:pPr>
        <w:ind w:firstLine="420"/>
        <w:jc w:val="center"/>
        <w:spacing w:line="360" w:lineRule="auto"/>
        <w:rPr>
          <w:sz w:val="21"/>
          <w:szCs w:val="21"/>
          <w:highlight w:val="none"/>
        </w:rPr>
      </w:pPr>
      <w:r>
        <w:rPr>
          <w:rFonts w:hint="eastAsia"/>
          <w:sz w:val="21"/>
          <w:szCs w:val="21"/>
          <w:highlight w:val="none"/>
        </w:rPr>
        <w:t xml:space="preserve">中小企业声明函</w:t>
      </w:r>
      <w:r/>
    </w:p>
    <w:p>
      <w:pPr>
        <w:ind w:firstLine="420"/>
        <w:spacing w:line="360" w:lineRule="auto"/>
        <w:rPr>
          <w:sz w:val="21"/>
          <w:szCs w:val="21"/>
          <w:highlight w:val="none"/>
        </w:rPr>
      </w:pPr>
      <w:r>
        <w:rPr>
          <w:rFonts w:hint="eastAsia"/>
          <w:sz w:val="21"/>
          <w:szCs w:val="21"/>
          <w:highlight w:val="none"/>
        </w:rPr>
        <w:t xml:space="preserve">中小企业声明函（工程、服务）本公司（联合体）郑重声明，根据《政府采购促进中小企业发展管理办法》（财库﹝2020﹞46 号）的规定，本公司（联合体）参加</w:t>
      </w:r>
      <w:r>
        <w:rPr>
          <w:rFonts w:hint="eastAsia"/>
          <w:sz w:val="21"/>
          <w:szCs w:val="21"/>
          <w:highlight w:val="none"/>
          <w:u w:val="single"/>
        </w:rPr>
        <w:t xml:space="preserve">（单位名称）</w:t>
      </w:r>
      <w:r>
        <w:rPr>
          <w:rFonts w:hint="eastAsia"/>
          <w:sz w:val="21"/>
          <w:szCs w:val="21"/>
          <w:highlight w:val="none"/>
        </w:rPr>
        <w:t xml:space="preserve">的</w:t>
      </w:r>
      <w:r>
        <w:rPr>
          <w:rFonts w:hint="eastAsia"/>
          <w:sz w:val="21"/>
          <w:szCs w:val="21"/>
          <w:highlight w:val="none"/>
          <w:u w:val="single"/>
        </w:rPr>
        <w:t xml:space="preserve">（项目名称）</w:t>
      </w:r>
      <w:r>
        <w:rPr>
          <w:rFonts w:hint="eastAsia"/>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sz w:val="21"/>
          <w:szCs w:val="21"/>
          <w:highlight w:val="none"/>
        </w:rPr>
      </w:pPr>
      <w:r>
        <w:rPr>
          <w:rFonts w:hint="eastAsia"/>
          <w:sz w:val="21"/>
          <w:szCs w:val="21"/>
          <w:highlight w:val="none"/>
        </w:rPr>
        <w:t xml:space="preserve">1.</w:t>
      </w:r>
      <w:r>
        <w:rPr>
          <w:rFonts w:hint="eastAsia"/>
          <w:sz w:val="21"/>
          <w:szCs w:val="21"/>
          <w:highlight w:val="none"/>
          <w:u w:val="single"/>
        </w:rPr>
        <w:t xml:space="preserve">（标的名称）</w:t>
      </w:r>
      <w:r>
        <w:rPr>
          <w:rFonts w:hint="eastAsia"/>
          <w:sz w:val="21"/>
          <w:szCs w:val="21"/>
          <w:highlight w:val="none"/>
        </w:rPr>
        <w:t xml:space="preserve">，属于</w:t>
      </w:r>
      <w:r>
        <w:rPr>
          <w:rFonts w:hint="eastAsia"/>
          <w:sz w:val="21"/>
          <w:szCs w:val="21"/>
          <w:highlight w:val="none"/>
          <w:u w:val="single"/>
          <w:lang w:val="en-US"/>
        </w:rPr>
        <w:t xml:space="preserve">  信息技术服务业</w:t>
      </w:r>
      <w:r>
        <w:rPr>
          <w:rFonts w:hint="eastAsia"/>
          <w:sz w:val="21"/>
          <w:szCs w:val="21"/>
          <w:highlight w:val="none"/>
        </w:rPr>
        <w:t xml:space="preserve">；承建（承接）企业为</w:t>
      </w:r>
      <w:r>
        <w:rPr>
          <w:rFonts w:hint="eastAsia"/>
          <w:sz w:val="21"/>
          <w:szCs w:val="21"/>
          <w:highlight w:val="none"/>
          <w:u w:val="single"/>
        </w:rPr>
        <w:t xml:space="preserve">（企业名称）</w:t>
      </w:r>
      <w:r>
        <w:rPr>
          <w:rFonts w:hint="eastAsia"/>
          <w:sz w:val="21"/>
          <w:szCs w:val="21"/>
          <w:highlight w:val="none"/>
        </w:rPr>
        <w:t xml:space="preserve">，从业人员</w:t>
      </w:r>
      <w:r>
        <w:rPr>
          <w:rFonts w:hint="eastAsia"/>
          <w:sz w:val="21"/>
          <w:szCs w:val="21"/>
          <w:highlight w:val="none"/>
          <w:u w:val="single"/>
          <w:lang w:val="en-US"/>
        </w:rPr>
        <w:t xml:space="preserve"> </w:t>
      </w:r>
      <w:r>
        <w:rPr>
          <w:rFonts w:hint="eastAsia"/>
          <w:sz w:val="21"/>
          <w:szCs w:val="21"/>
          <w:highlight w:val="none"/>
        </w:rPr>
        <w:t xml:space="preserve">人，营业收入为</w:t>
      </w:r>
      <w:r>
        <w:rPr>
          <w:rFonts w:hint="eastAsia"/>
          <w:sz w:val="21"/>
          <w:szCs w:val="21"/>
          <w:highlight w:val="none"/>
          <w:u w:val="single"/>
          <w:lang w:val="en-US"/>
        </w:rPr>
        <w:t xml:space="preserve"> </w:t>
      </w:r>
      <w:r>
        <w:rPr>
          <w:rFonts w:hint="eastAsia"/>
          <w:sz w:val="21"/>
          <w:szCs w:val="21"/>
          <w:highlight w:val="none"/>
        </w:rPr>
        <w:t xml:space="preserve">万元，资产总额为</w:t>
      </w:r>
      <w:r>
        <w:rPr>
          <w:rFonts w:hint="eastAsia"/>
          <w:sz w:val="21"/>
          <w:szCs w:val="21"/>
          <w:highlight w:val="none"/>
          <w:u w:val="single"/>
          <w:lang w:val="en-US"/>
        </w:rPr>
        <w:t xml:space="preserve"> </w:t>
      </w:r>
      <w:r>
        <w:rPr>
          <w:rFonts w:hint="eastAsia"/>
          <w:sz w:val="21"/>
          <w:szCs w:val="21"/>
          <w:highlight w:val="none"/>
        </w:rPr>
        <w:t xml:space="preserve">万元，属于</w:t>
      </w:r>
      <w:r>
        <w:rPr>
          <w:rFonts w:hint="eastAsia"/>
          <w:sz w:val="21"/>
          <w:szCs w:val="21"/>
          <w:highlight w:val="none"/>
          <w:u w:val="single"/>
        </w:rPr>
        <w:t xml:space="preserve">（中型企业、小型企业、微型企业）</w:t>
      </w:r>
      <w:r>
        <w:rPr>
          <w:rFonts w:hint="eastAsia"/>
          <w:sz w:val="21"/>
          <w:szCs w:val="21"/>
          <w:highlight w:val="none"/>
        </w:rPr>
        <w:t xml:space="preserve">；</w:t>
      </w:r>
      <w:r/>
    </w:p>
    <w:p>
      <w:pPr>
        <w:ind w:firstLine="420"/>
        <w:spacing w:line="360" w:lineRule="auto"/>
        <w:rPr>
          <w:sz w:val="21"/>
          <w:szCs w:val="21"/>
          <w:highlight w:val="none"/>
        </w:rPr>
      </w:pPr>
      <w:r>
        <w:rPr>
          <w:rFonts w:hint="eastAsia"/>
          <w:sz w:val="21"/>
          <w:szCs w:val="21"/>
          <w:highlight w:val="none"/>
        </w:rPr>
        <w:t xml:space="preserve">……</w:t>
      </w:r>
      <w:r/>
    </w:p>
    <w:p>
      <w:pPr>
        <w:ind w:firstLine="420"/>
        <w:spacing w:line="360" w:lineRule="auto"/>
        <w:rPr>
          <w:sz w:val="21"/>
          <w:szCs w:val="21"/>
          <w:highlight w:val="none"/>
        </w:rPr>
      </w:pPr>
      <w:r>
        <w:rPr>
          <w:rFonts w:hint="eastAsia"/>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sz w:val="21"/>
          <w:szCs w:val="21"/>
          <w:highlight w:val="none"/>
        </w:rPr>
      </w:pPr>
      <w:r>
        <w:rPr>
          <w:rFonts w:hint="eastAsia"/>
          <w:sz w:val="21"/>
          <w:szCs w:val="21"/>
          <w:highlight w:val="none"/>
        </w:rPr>
        <w:t xml:space="preserve">本企业对上述声明内容的真实性负责。如有虚假，将依法承担相应责任。</w:t>
      </w:r>
      <w:r/>
    </w:p>
    <w:p>
      <w:pPr>
        <w:ind w:firstLine="420"/>
        <w:jc w:val="right"/>
        <w:spacing w:line="360" w:lineRule="auto"/>
        <w:rPr>
          <w:sz w:val="21"/>
          <w:szCs w:val="21"/>
          <w:highlight w:val="none"/>
        </w:rPr>
      </w:pPr>
      <w:r>
        <w:rPr>
          <w:rFonts w:hint="eastAsia"/>
          <w:sz w:val="21"/>
          <w:szCs w:val="21"/>
          <w:highlight w:val="none"/>
        </w:rPr>
        <w:t xml:space="preserve">企业名称（盖章）：</w:t>
      </w:r>
      <w:r/>
    </w:p>
    <w:p>
      <w:pPr>
        <w:ind w:firstLine="420"/>
        <w:jc w:val="right"/>
        <w:spacing w:line="360" w:lineRule="auto"/>
        <w:rPr>
          <w:sz w:val="21"/>
          <w:szCs w:val="21"/>
          <w:highlight w:val="none"/>
        </w:rPr>
      </w:pPr>
      <w:r>
        <w:rPr>
          <w:rFonts w:hint="eastAsia"/>
          <w:sz w:val="21"/>
          <w:szCs w:val="21"/>
          <w:highlight w:val="none"/>
        </w:rPr>
        <w:t xml:space="preserve">日 期：</w:t>
      </w:r>
      <w:r/>
    </w:p>
    <w:p>
      <w:pPr>
        <w:ind w:firstLine="420"/>
        <w:jc w:val="right"/>
        <w:spacing w:line="360" w:lineRule="auto"/>
        <w:rPr>
          <w:sz w:val="21"/>
          <w:szCs w:val="21"/>
          <w:highlight w:val="none"/>
        </w:rPr>
      </w:pPr>
      <w:r>
        <w:rPr>
          <w:sz w:val="21"/>
          <w:szCs w:val="21"/>
          <w:highlight w:val="none"/>
        </w:rPr>
      </w:r>
      <w:r/>
    </w:p>
    <w:p>
      <w:pPr>
        <w:spacing w:line="360" w:lineRule="auto"/>
        <w:rPr>
          <w:b/>
          <w:bCs/>
          <w:sz w:val="21"/>
          <w:szCs w:val="21"/>
          <w:highlight w:val="none"/>
        </w:rPr>
      </w:pPr>
      <w:r>
        <w:rPr>
          <w:b/>
          <w:bCs/>
          <w:sz w:val="21"/>
          <w:szCs w:val="21"/>
          <w:highlight w:val="none"/>
        </w:rPr>
      </w:r>
      <w:r/>
    </w:p>
    <w:p>
      <w:pPr>
        <w:spacing w:line="360" w:lineRule="auto"/>
        <w:rPr>
          <w:b/>
          <w:bCs/>
          <w:sz w:val="21"/>
          <w:szCs w:val="21"/>
          <w:highlight w:val="none"/>
        </w:rPr>
      </w:pPr>
      <w:r>
        <w:rPr>
          <w:rFonts w:hint="eastAsia"/>
          <w:b/>
          <w:bCs/>
          <w:sz w:val="21"/>
          <w:szCs w:val="21"/>
          <w:highlight w:val="none"/>
        </w:rPr>
        <w:t xml:space="preserve">注1：为方便</w:t>
      </w:r>
      <w:r>
        <w:rPr>
          <w:rFonts w:hint="eastAsia"/>
          <w:b/>
          <w:bCs/>
          <w:sz w:val="21"/>
          <w:szCs w:val="21"/>
          <w:highlight w:val="none"/>
          <w:lang w:val="en-US"/>
        </w:rPr>
        <w:t xml:space="preserve">供应商</w:t>
      </w:r>
      <w:r>
        <w:rPr>
          <w:rFonts w:hint="eastAsia"/>
          <w:b/>
          <w:bCs/>
          <w:sz w:val="21"/>
          <w:szCs w:val="21"/>
          <w:highlight w:val="none"/>
        </w:rPr>
        <w:t xml:space="preserve">识别企业规模类型，工业和信息化部组织开发了中小企业规模类型自测小程序，在国务院客户端和工业和信息化部网站上均有链接，</w:t>
      </w:r>
      <w:r>
        <w:rPr>
          <w:rFonts w:hint="eastAsia"/>
          <w:b/>
          <w:bCs/>
          <w:sz w:val="21"/>
          <w:szCs w:val="21"/>
          <w:highlight w:val="none"/>
          <w:lang w:val="en-US"/>
        </w:rPr>
        <w:t xml:space="preserve">供应商</w:t>
      </w:r>
      <w:r>
        <w:rPr>
          <w:rFonts w:hint="eastAsia"/>
          <w:b/>
          <w:bCs/>
          <w:sz w:val="21"/>
          <w:szCs w:val="21"/>
          <w:highlight w:val="none"/>
        </w:rPr>
        <w:t xml:space="preserve">可填写企业所属的行业和指标数据自动生成企业规模类型测试结果。</w:t>
      </w:r>
      <w:r/>
    </w:p>
    <w:p>
      <w:pPr>
        <w:spacing w:line="360" w:lineRule="auto"/>
        <w:rPr>
          <w:b/>
          <w:bCs/>
          <w:sz w:val="21"/>
          <w:szCs w:val="21"/>
          <w:highlight w:val="none"/>
        </w:rPr>
      </w:pPr>
      <w:r>
        <w:rPr>
          <w:rFonts w:hint="eastAsia"/>
          <w:b/>
          <w:bCs/>
          <w:sz w:val="21"/>
          <w:szCs w:val="21"/>
          <w:highlight w:val="none"/>
        </w:rPr>
        <w:t xml:space="preserve">注2：从业人员、营业收入、资产总额填报上一年度数据，无上一年度数据的新成立企业可不填报。</w:t>
      </w:r>
      <w:r/>
    </w:p>
    <w:p>
      <w:pPr>
        <w:spacing w:line="360" w:lineRule="auto"/>
        <w:rPr>
          <w:b/>
          <w:bCs/>
          <w:sz w:val="21"/>
          <w:szCs w:val="21"/>
          <w:highlight w:val="none"/>
        </w:rPr>
      </w:pPr>
      <w:r>
        <w:rPr>
          <w:rFonts w:hint="eastAsia"/>
          <w:b/>
          <w:bCs/>
          <w:sz w:val="21"/>
          <w:szCs w:val="21"/>
          <w:highlight w:val="none"/>
        </w:rPr>
        <w:t xml:space="preserve">注3：</w:t>
      </w:r>
      <w:r>
        <w:rPr>
          <w:rFonts w:hint="eastAsia"/>
          <w:b/>
          <w:bCs/>
          <w:sz w:val="21"/>
          <w:szCs w:val="21"/>
          <w:highlight w:val="none"/>
          <w:lang w:val="en-US"/>
        </w:rPr>
        <w:t xml:space="preserve">供应商</w:t>
      </w:r>
      <w:r>
        <w:rPr>
          <w:rFonts w:hint="eastAsia"/>
          <w:b/>
          <w:bCs/>
          <w:sz w:val="21"/>
          <w:szCs w:val="21"/>
          <w:highlight w:val="none"/>
        </w:rPr>
        <w:t xml:space="preserve">如不提供此声明函，总报价将不参与优惠。</w:t>
      </w:r>
      <w:r/>
    </w:p>
    <w:p>
      <w:pPr>
        <w:spacing w:line="360" w:lineRule="auto"/>
        <w:rPr>
          <w:b/>
          <w:bCs/>
          <w:sz w:val="21"/>
          <w:szCs w:val="21"/>
          <w:highlight w:val="none"/>
        </w:rPr>
      </w:pPr>
      <w:r>
        <w:rPr>
          <w:rFonts w:hint="eastAsia"/>
          <w:b/>
          <w:bCs/>
          <w:sz w:val="21"/>
          <w:szCs w:val="21"/>
          <w:highlight w:val="none"/>
        </w:rPr>
        <w:t xml:space="preserve">注4：</w:t>
      </w:r>
      <w:r>
        <w:rPr>
          <w:rFonts w:hint="eastAsia"/>
          <w:b/>
          <w:bCs/>
          <w:sz w:val="21"/>
          <w:szCs w:val="21"/>
          <w:highlight w:val="none"/>
          <w:lang w:val="en-US"/>
        </w:rPr>
        <w:t xml:space="preserve">供应商</w:t>
      </w:r>
      <w:r>
        <w:rPr>
          <w:rFonts w:hint="eastAsia"/>
          <w:b/>
          <w:bCs/>
          <w:sz w:val="21"/>
          <w:szCs w:val="21"/>
          <w:highlight w:val="none"/>
        </w:rPr>
        <w:t xml:space="preserve">不得修改中小企业声明函格式。</w:t>
      </w:r>
      <w:r/>
    </w:p>
    <w:p>
      <w:pPr>
        <w:spacing w:line="360" w:lineRule="auto"/>
        <w:rPr>
          <w:b/>
          <w:sz w:val="24"/>
          <w:szCs w:val="24"/>
          <w:highlight w:val="none"/>
        </w:rPr>
      </w:pPr>
      <w:r>
        <w:rPr>
          <w:rFonts w:hint="eastAsia"/>
          <w:b/>
          <w:bCs/>
          <w:sz w:val="21"/>
          <w:szCs w:val="21"/>
          <w:highlight w:val="none"/>
        </w:rPr>
        <w:t xml:space="preserve">注5：</w:t>
      </w:r>
      <w:r>
        <w:rPr>
          <w:rFonts w:hint="eastAsia"/>
          <w:b/>
          <w:bCs/>
          <w:sz w:val="21"/>
          <w:szCs w:val="21"/>
          <w:highlight w:val="none"/>
          <w:lang w:val="en-US"/>
        </w:rPr>
        <w:t xml:space="preserve">供应商</w:t>
      </w:r>
      <w:r>
        <w:rPr>
          <w:rFonts w:hint="eastAsia"/>
          <w:b/>
          <w:bCs/>
          <w:sz w:val="21"/>
          <w:szCs w:val="21"/>
          <w:highlight w:val="none"/>
        </w:rPr>
        <w:t xml:space="preserve">对以上数据的真实性负责，中标人如享受本项目小微企业扶持政策的，其《中小企业声明函》将随本项目的中标结果同时公告，接受社会监督。</w:t>
      </w:r>
      <w:r>
        <w:rPr>
          <w:rFonts w:hint="eastAsia"/>
          <w:b/>
          <w:sz w:val="24"/>
          <w:szCs w:val="24"/>
          <w:highlight w:val="none"/>
        </w:rPr>
        <w:br w:type="page" w:clear="all"/>
      </w:r>
      <w:r/>
    </w:p>
    <w:p>
      <w:pPr>
        <w:spacing w:line="240" w:lineRule="atLeast"/>
        <w:widowControl/>
        <w:rPr>
          <w:b/>
          <w:sz w:val="21"/>
          <w:szCs w:val="21"/>
          <w:highlight w:val="none"/>
        </w:rPr>
      </w:pPr>
      <w:r>
        <w:rPr>
          <w:rFonts w:hint="eastAsia"/>
          <w:b/>
          <w:sz w:val="21"/>
          <w:szCs w:val="21"/>
          <w:highlight w:val="none"/>
        </w:rPr>
        <w:t xml:space="preserve">附件二、无重大违法记录声明格式</w:t>
      </w:r>
      <w:r/>
    </w:p>
    <w:p>
      <w:pPr>
        <w:spacing w:line="240" w:lineRule="atLeast"/>
        <w:widowControl/>
        <w:rPr>
          <w:b/>
          <w:sz w:val="21"/>
          <w:szCs w:val="21"/>
          <w:highlight w:val="none"/>
        </w:rPr>
      </w:pPr>
      <w:r>
        <w:rPr>
          <w:b/>
          <w:sz w:val="21"/>
          <w:szCs w:val="21"/>
          <w:highlight w:val="none"/>
        </w:rPr>
      </w:r>
      <w:r/>
    </w:p>
    <w:p>
      <w:pPr>
        <w:jc w:val="center"/>
        <w:rPr>
          <w:sz w:val="21"/>
          <w:szCs w:val="21"/>
          <w:highlight w:val="none"/>
        </w:rPr>
      </w:pPr>
      <w:r>
        <w:rPr>
          <w:rFonts w:hint="eastAsia"/>
          <w:sz w:val="21"/>
          <w:szCs w:val="21"/>
          <w:highlight w:val="none"/>
        </w:rPr>
        <w:t xml:space="preserve">无重大违法记录声明</w:t>
      </w:r>
      <w:r/>
    </w:p>
    <w:p>
      <w:pPr>
        <w:spacing w:line="360" w:lineRule="auto"/>
        <w:rPr>
          <w:sz w:val="21"/>
          <w:szCs w:val="21"/>
          <w:highlight w:val="none"/>
        </w:rPr>
      </w:pPr>
      <w:r>
        <w:rPr>
          <w:rFonts w:hint="eastAsia"/>
          <w:sz w:val="21"/>
          <w:szCs w:val="21"/>
          <w:highlight w:val="none"/>
        </w:rPr>
        <w:t xml:space="preserve">江苏省环境监测中心：</w:t>
      </w:r>
      <w:r/>
    </w:p>
    <w:p>
      <w:pPr>
        <w:ind w:firstLine="420"/>
        <w:spacing w:line="360" w:lineRule="auto"/>
        <w:rPr>
          <w:sz w:val="21"/>
          <w:szCs w:val="21"/>
          <w:highlight w:val="none"/>
        </w:rPr>
      </w:pPr>
      <w:r>
        <w:rPr>
          <w:rFonts w:hint="eastAsia"/>
          <w:sz w:val="21"/>
          <w:szCs w:val="21"/>
          <w:highlight w:val="none"/>
        </w:rPr>
        <w:t xml:space="preserve">我单位 </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名称）郑重声明：</w:t>
      </w:r>
      <w:r/>
    </w:p>
    <w:p>
      <w:pPr>
        <w:ind w:firstLine="420"/>
        <w:spacing w:line="360" w:lineRule="auto"/>
        <w:rPr>
          <w:sz w:val="21"/>
          <w:szCs w:val="21"/>
          <w:highlight w:val="none"/>
        </w:rPr>
      </w:pPr>
      <w:r>
        <w:rPr>
          <w:rFonts w:hint="eastAsia"/>
          <w:sz w:val="21"/>
          <w:szCs w:val="21"/>
          <w:highlight w:val="none"/>
        </w:rPr>
        <w:t xml:space="preserve">参加政府采购活动前3年内在经营活动中</w:t>
      </w:r>
      <w:r>
        <w:rPr>
          <w:rFonts w:hint="eastAsia"/>
          <w:sz w:val="21"/>
          <w:szCs w:val="21"/>
          <w:highlight w:val="none"/>
          <w:u w:val="single"/>
        </w:rPr>
        <w:t xml:space="preserve">     </w:t>
      </w:r>
      <w:r>
        <w:rPr>
          <w:rFonts w:hint="eastAsia"/>
          <w:sz w:val="21"/>
          <w:szCs w:val="21"/>
          <w:highlight w:val="none"/>
        </w:rPr>
        <w:t xml:space="preserve">（在下划线上如实填写：有或没有）重大违法记录。</w:t>
      </w:r>
      <w:r/>
    </w:p>
    <w:p>
      <w:pPr>
        <w:ind w:firstLine="420"/>
        <w:spacing w:line="360" w:lineRule="auto"/>
        <w:rPr>
          <w:sz w:val="21"/>
          <w:szCs w:val="21"/>
          <w:highlight w:val="none"/>
        </w:rPr>
      </w:pPr>
      <w:r>
        <w:rPr>
          <w:rFonts w:hint="eastAsia"/>
          <w:sz w:val="21"/>
          <w:szCs w:val="21"/>
          <w:highlight w:val="none"/>
        </w:rPr>
        <w:t xml:space="preserve">（说明：政府采购法第二十二条第一款第五项所称重大违法记录，是指</w:t>
      </w:r>
      <w:r>
        <w:rPr>
          <w:rFonts w:hint="eastAsia"/>
          <w:sz w:val="21"/>
          <w:szCs w:val="21"/>
          <w:highlight w:val="none"/>
          <w:lang w:val="en-US"/>
        </w:rPr>
        <w:t xml:space="preserve">供应商</w:t>
      </w:r>
      <w:r>
        <w:rPr>
          <w:rFonts w:hint="eastAsia"/>
          <w:sz w:val="21"/>
          <w:szCs w:val="21"/>
          <w:highlight w:val="none"/>
        </w:rPr>
        <w:t xml:space="preserve">因违法经营受到刑事处罚或者责令停产停业、吊销许可证或者执照、较大数额罚款等行政处罚。）</w:t>
      </w:r>
      <w:r/>
    </w:p>
    <w:p>
      <w:pPr>
        <w:jc w:val="right"/>
        <w:spacing w:line="360" w:lineRule="auto"/>
        <w:rPr>
          <w:sz w:val="21"/>
          <w:szCs w:val="21"/>
          <w:highlight w:val="none"/>
        </w:rPr>
      </w:pPr>
      <w:r>
        <w:rPr>
          <w:sz w:val="21"/>
          <w:szCs w:val="21"/>
          <w:highlight w:val="none"/>
        </w:rPr>
      </w:r>
      <w:r/>
    </w:p>
    <w:p>
      <w:pPr>
        <w:ind w:firstLine="4620"/>
        <w:jc w:val="right"/>
        <w:spacing w:line="360" w:lineRule="auto"/>
        <w:rPr>
          <w:sz w:val="21"/>
          <w:szCs w:val="21"/>
          <w:highlight w:val="none"/>
        </w:rPr>
      </w:pPr>
      <w:r>
        <w:rPr>
          <w:rFonts w:hint="eastAsia"/>
          <w:sz w:val="21"/>
          <w:szCs w:val="21"/>
          <w:highlight w:val="none"/>
        </w:rPr>
        <w:t xml:space="preserve">声明人（公章）：</w:t>
      </w:r>
      <w:r/>
    </w:p>
    <w:p>
      <w:pPr>
        <w:ind w:firstLine="4620"/>
        <w:jc w:val="right"/>
        <w:spacing w:line="360" w:lineRule="auto"/>
        <w:rPr>
          <w:sz w:val="21"/>
          <w:szCs w:val="21"/>
          <w:highlight w:val="none"/>
        </w:rPr>
      </w:pPr>
      <w:r>
        <w:rPr>
          <w:rFonts w:hint="eastAsia"/>
          <w:sz w:val="21"/>
          <w:szCs w:val="21"/>
          <w:highlight w:val="none"/>
        </w:rPr>
        <w:t xml:space="preserve">日　　　　期：          年     月    日</w:t>
      </w:r>
      <w:r/>
    </w:p>
    <w:p>
      <w:pPr>
        <w:rPr>
          <w:b/>
          <w:sz w:val="24"/>
          <w:szCs w:val="24"/>
          <w:highlight w:val="none"/>
        </w:rPr>
      </w:pPr>
      <w:r>
        <w:rPr>
          <w:rFonts w:hint="eastAsia"/>
          <w:b/>
          <w:sz w:val="24"/>
          <w:szCs w:val="24"/>
          <w:highlight w:val="none"/>
        </w:rPr>
        <w:br w:type="page" w:clear="all"/>
      </w:r>
      <w:r/>
    </w:p>
    <w:p>
      <w:pPr>
        <w:spacing w:line="360" w:lineRule="auto"/>
        <w:rPr>
          <w:b/>
          <w:sz w:val="21"/>
          <w:szCs w:val="21"/>
          <w:highlight w:val="none"/>
        </w:rPr>
      </w:pPr>
      <w:r>
        <w:rPr>
          <w:rFonts w:hint="eastAsia"/>
          <w:b/>
          <w:sz w:val="21"/>
          <w:szCs w:val="21"/>
          <w:highlight w:val="none"/>
        </w:rPr>
        <w:t xml:space="preserve">附件三、具备履行合同所必需的设备和专业技术能力的声明格式及证明材料</w:t>
      </w:r>
      <w:r/>
    </w:p>
    <w:p>
      <w:pPr>
        <w:jc w:val="center"/>
        <w:spacing w:line="360" w:lineRule="auto"/>
        <w:rPr>
          <w:sz w:val="21"/>
          <w:szCs w:val="21"/>
          <w:highlight w:val="none"/>
        </w:rPr>
      </w:pPr>
      <w:r>
        <w:rPr>
          <w:rFonts w:hint="eastAsia"/>
          <w:sz w:val="21"/>
          <w:szCs w:val="21"/>
          <w:highlight w:val="none"/>
        </w:rPr>
        <w:t xml:space="preserve">具备履行合同所必需的设备和专业技术能力的声明格式</w:t>
      </w:r>
      <w:r/>
    </w:p>
    <w:p>
      <w:pPr>
        <w:spacing w:line="360" w:lineRule="auto"/>
        <w:rPr>
          <w:sz w:val="21"/>
          <w:szCs w:val="21"/>
          <w:highlight w:val="none"/>
        </w:rPr>
      </w:pPr>
      <w:r>
        <w:rPr>
          <w:rFonts w:hint="eastAsia"/>
          <w:sz w:val="21"/>
          <w:szCs w:val="21"/>
          <w:highlight w:val="none"/>
        </w:rPr>
        <w:t xml:space="preserve">江苏省环境监测中心：</w:t>
      </w:r>
      <w:r/>
    </w:p>
    <w:p>
      <w:pPr>
        <w:ind w:firstLine="492"/>
        <w:spacing w:line="460" w:lineRule="exact"/>
        <w:rPr>
          <w:sz w:val="21"/>
          <w:szCs w:val="21"/>
          <w:highlight w:val="none"/>
        </w:rPr>
      </w:pPr>
      <w:r>
        <w:rPr>
          <w:rFonts w:hint="eastAsia"/>
          <w:sz w:val="21"/>
          <w:szCs w:val="21"/>
          <w:highlight w:val="none"/>
        </w:rPr>
        <w:t xml:space="preserve">我单位</w:t>
      </w:r>
      <w:r>
        <w:rPr>
          <w:rFonts w:hint="eastAsia"/>
          <w:sz w:val="21"/>
          <w:szCs w:val="21"/>
          <w:highlight w:val="none"/>
          <w:u w:val="single"/>
        </w:rPr>
        <w:t xml:space="preserve">     </w:t>
      </w:r>
      <w:r>
        <w:rPr>
          <w:rFonts w:hint="eastAsia"/>
          <w:sz w:val="21"/>
          <w:szCs w:val="21"/>
          <w:highlight w:val="none"/>
        </w:rPr>
        <w:t xml:space="preserve">（</w:t>
      </w:r>
      <w:r>
        <w:rPr>
          <w:rFonts w:hint="eastAsia"/>
          <w:sz w:val="21"/>
          <w:szCs w:val="21"/>
          <w:highlight w:val="none"/>
          <w:lang w:val="en-US"/>
        </w:rPr>
        <w:t xml:space="preserve">供应商</w:t>
      </w:r>
      <w:r>
        <w:rPr>
          <w:rFonts w:hint="eastAsia"/>
          <w:sz w:val="21"/>
          <w:szCs w:val="21"/>
          <w:highlight w:val="none"/>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rPr>
          <w:sz w:val="21"/>
          <w:szCs w:val="21"/>
          <w:highlight w:val="none"/>
        </w:rPr>
      </w:pPr>
      <w:r>
        <w:rPr>
          <w:rFonts w:hint="eastAsia"/>
          <w:sz w:val="21"/>
          <w:szCs w:val="21"/>
          <w:highlight w:val="none"/>
        </w:rPr>
        <w:t xml:space="preserve">主要设备有：</w:t>
      </w:r>
      <w:r>
        <w:rPr>
          <w:rFonts w:hint="eastAsia"/>
          <w:sz w:val="21"/>
          <w:szCs w:val="21"/>
          <w:highlight w:val="none"/>
          <w:u w:val="single"/>
        </w:rPr>
        <w:t xml:space="preserve">                          </w:t>
      </w:r>
      <w:r>
        <w:rPr>
          <w:rFonts w:hint="eastAsia"/>
          <w:sz w:val="21"/>
          <w:szCs w:val="21"/>
          <w:highlight w:val="none"/>
        </w:rPr>
        <w:t xml:space="preserve">。（若有）</w:t>
      </w:r>
      <w:r/>
    </w:p>
    <w:p>
      <w:pPr>
        <w:ind w:firstLine="492"/>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rFonts w:hint="eastAsia"/>
          <w:sz w:val="21"/>
          <w:szCs w:val="21"/>
          <w:highlight w:val="none"/>
        </w:rPr>
        <w:t xml:space="preserve">。（若有）</w:t>
      </w:r>
      <w:r/>
    </w:p>
    <w:p>
      <w:pPr>
        <w:spacing w:line="360" w:lineRule="auto"/>
        <w:rPr>
          <w:sz w:val="21"/>
          <w:szCs w:val="21"/>
          <w:highlight w:val="none"/>
        </w:rPr>
      </w:pPr>
      <w:r>
        <w:rPr>
          <w:sz w:val="21"/>
          <w:szCs w:val="21"/>
          <w:highlight w:val="none"/>
        </w:rPr>
      </w:r>
      <w:r/>
    </w:p>
    <w:p>
      <w:pPr>
        <w:ind w:firstLine="4200"/>
        <w:jc w:val="right"/>
        <w:spacing w:line="360" w:lineRule="auto"/>
        <w:rPr>
          <w:sz w:val="21"/>
          <w:szCs w:val="21"/>
          <w:highlight w:val="none"/>
        </w:rPr>
      </w:pPr>
      <w:r>
        <w:rPr>
          <w:rFonts w:hint="eastAsia"/>
          <w:sz w:val="21"/>
          <w:szCs w:val="21"/>
          <w:highlight w:val="none"/>
        </w:rPr>
        <w:t xml:space="preserve">声明人：（公章）</w:t>
      </w:r>
      <w:r/>
    </w:p>
    <w:p>
      <w:pPr>
        <w:ind w:firstLine="4200"/>
        <w:jc w:val="right"/>
        <w:spacing w:line="360" w:lineRule="auto"/>
        <w:rPr>
          <w:sz w:val="21"/>
          <w:szCs w:val="21"/>
          <w:highlight w:val="none"/>
        </w:rPr>
      </w:pPr>
      <w:r>
        <w:rPr>
          <w:rFonts w:hint="eastAsia"/>
          <w:sz w:val="21"/>
          <w:szCs w:val="21"/>
          <w:highlight w:val="none"/>
        </w:rPr>
        <w:t xml:space="preserve">日期：年月日</w:t>
      </w:r>
      <w:r/>
    </w:p>
    <w:p>
      <w:pPr>
        <w:spacing w:line="460" w:lineRule="exact"/>
        <w:rPr>
          <w:sz w:val="21"/>
          <w:szCs w:val="21"/>
          <w:highlight w:val="none"/>
        </w:rPr>
      </w:pPr>
      <w:r>
        <w:rPr>
          <w:rFonts w:hint="eastAsia"/>
          <w:sz w:val="21"/>
          <w:szCs w:val="21"/>
          <w:highlight w:val="none"/>
        </w:rPr>
        <w:t xml:space="preserve">其他证明材料及文件：（如果</w:t>
      </w:r>
      <w:r>
        <w:rPr>
          <w:rFonts w:hint="eastAsia"/>
          <w:sz w:val="21"/>
          <w:szCs w:val="21"/>
          <w:highlight w:val="none"/>
          <w:lang w:val="en-US"/>
        </w:rPr>
        <w:t xml:space="preserve">供应商</w:t>
      </w:r>
      <w:r>
        <w:rPr>
          <w:rFonts w:hint="eastAsia"/>
          <w:sz w:val="21"/>
          <w:szCs w:val="21"/>
          <w:highlight w:val="none"/>
        </w:rPr>
        <w:t xml:space="preserve">认为需要提供的话）</w:t>
      </w:r>
      <w:r/>
    </w:p>
    <w:p>
      <w:pPr>
        <w:ind w:firstLine="4638"/>
        <w:spacing w:line="360" w:lineRule="auto"/>
        <w:rPr>
          <w:b/>
          <w:sz w:val="21"/>
          <w:szCs w:val="21"/>
          <w:highlight w:val="none"/>
        </w:rPr>
      </w:pPr>
      <w:r>
        <w:rPr>
          <w:b/>
          <w:sz w:val="21"/>
          <w:szCs w:val="21"/>
          <w:highlight w:val="none"/>
        </w:rPr>
      </w:r>
      <w:r/>
    </w:p>
    <w:p>
      <w:pPr>
        <w:pStyle w:val="952"/>
        <w:ind w:left="0"/>
        <w:spacing w:before="20"/>
        <w:rPr>
          <w:sz w:val="21"/>
          <w:szCs w:val="21"/>
          <w:highlight w:val="none"/>
        </w:rPr>
        <w:outlineLvl w:val="9"/>
      </w:pPr>
      <w:r>
        <w:rPr>
          <w:sz w:val="21"/>
          <w:szCs w:val="21"/>
          <w:highlight w:val="none"/>
        </w:rPr>
      </w:r>
      <w:r/>
    </w:p>
    <w:p>
      <w:pPr>
        <w:pStyle w:val="952"/>
        <w:ind w:left="0"/>
        <w:spacing w:line="360" w:lineRule="auto"/>
        <w:rPr>
          <w:sz w:val="21"/>
          <w:szCs w:val="21"/>
          <w:highlight w:val="none"/>
        </w:rPr>
        <w:outlineLvl w:val="9"/>
      </w:pPr>
      <w:r>
        <w:rPr>
          <w:sz w:val="21"/>
          <w:szCs w:val="21"/>
          <w:highlight w:val="none"/>
        </w:rPr>
      </w:r>
      <w:r/>
    </w:p>
    <w:p>
      <w:pPr>
        <w:pStyle w:val="952"/>
        <w:ind w:left="0"/>
        <w:spacing w:line="360" w:lineRule="auto"/>
        <w:rPr>
          <w:sz w:val="21"/>
          <w:szCs w:val="21"/>
          <w:highlight w:val="none"/>
        </w:rPr>
        <w:outlineLvl w:val="9"/>
      </w:pPr>
      <w:r>
        <w:rPr>
          <w:rFonts w:hint="eastAsia"/>
          <w:sz w:val="21"/>
          <w:szCs w:val="21"/>
          <w:highlight w:val="none"/>
        </w:rPr>
        <w:t xml:space="preserve">附件四、残疾人福利性单位声明函格式（不符合的可不填写）</w:t>
      </w:r>
      <w:r/>
    </w:p>
    <w:p>
      <w:pPr>
        <w:pStyle w:val="952"/>
        <w:ind w:left="0"/>
        <w:jc w:val="center"/>
        <w:spacing w:line="360" w:lineRule="auto"/>
        <w:rPr>
          <w:sz w:val="21"/>
          <w:szCs w:val="21"/>
          <w:highlight w:val="none"/>
        </w:rPr>
        <w:outlineLvl w:val="9"/>
      </w:pPr>
      <w:r>
        <w:rPr>
          <w:rFonts w:hint="eastAsia"/>
          <w:b w:val="0"/>
          <w:bCs w:val="0"/>
          <w:sz w:val="21"/>
          <w:szCs w:val="21"/>
          <w:highlight w:val="none"/>
          <w:lang w:val="en-US" w:bidi="ar-SA"/>
        </w:rPr>
        <w:t xml:space="preserve">残疾人福利性单位声明函</w:t>
      </w:r>
      <w:r/>
    </w:p>
    <w:p>
      <w:pPr>
        <w:pStyle w:val="724"/>
        <w:ind w:firstLine="420"/>
        <w:spacing w:line="360" w:lineRule="auto"/>
        <w:tabs>
          <w:tab w:val="left" w:pos="3711" w:leader="none"/>
          <w:tab w:val="left" w:pos="5151" w:leader="none"/>
        </w:tabs>
        <w:rPr>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highlight w:val="none"/>
          <w:u w:val="single"/>
        </w:rPr>
        <w:t xml:space="preserve">  </w:t>
      </w:r>
      <w:r>
        <w:rPr>
          <w:rFonts w:hint="eastAsia"/>
          <w:highlight w:val="none"/>
        </w:rPr>
        <w:t xml:space="preserve">单位的</w:t>
      </w:r>
      <w:r>
        <w:rPr>
          <w:rFonts w:hint="eastAsia"/>
          <w:highlight w:val="none"/>
          <w:u w:val="single"/>
        </w:rPr>
        <w:t xml:space="preserve">  </w:t>
      </w:r>
      <w:r>
        <w:rPr>
          <w:rFonts w:hint="eastAsia"/>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24"/>
        <w:ind w:firstLine="420"/>
        <w:spacing w:line="360" w:lineRule="auto"/>
        <w:tabs>
          <w:tab w:val="left" w:pos="3711" w:leader="none"/>
          <w:tab w:val="left" w:pos="5151" w:leader="none"/>
        </w:tabs>
        <w:rPr>
          <w:highlight w:val="none"/>
        </w:rPr>
      </w:pPr>
      <w:r>
        <w:rPr>
          <w:rFonts w:hint="eastAsia"/>
          <w:highlight w:val="none"/>
        </w:rPr>
        <w:t xml:space="preserve">本单位对上述声明的真实性负责。如有虚假，将依法承担相应责任。</w:t>
      </w:r>
      <w:r/>
    </w:p>
    <w:p>
      <w:pPr>
        <w:pStyle w:val="724"/>
        <w:spacing w:before="6" w:line="360" w:lineRule="auto"/>
        <w:rPr>
          <w:highlight w:val="none"/>
        </w:rPr>
      </w:pPr>
      <w:r>
        <w:rPr>
          <w:highlight w:val="none"/>
        </w:rPr>
      </w:r>
      <w:r/>
    </w:p>
    <w:p>
      <w:pPr>
        <w:pStyle w:val="724"/>
        <w:ind w:firstLine="4200"/>
        <w:jc w:val="right"/>
        <w:spacing w:line="360" w:lineRule="auto"/>
        <w:tabs>
          <w:tab w:val="left" w:pos="7098" w:leader="none"/>
        </w:tabs>
        <w:rPr>
          <w:highlight w:val="none"/>
        </w:rPr>
      </w:pPr>
      <w:r>
        <w:rPr>
          <w:rFonts w:hint="eastAsia"/>
          <w:highlight w:val="none"/>
          <w:lang w:val="en-US"/>
        </w:rPr>
        <w:t xml:space="preserve">供应商</w:t>
      </w:r>
      <w:r>
        <w:rPr>
          <w:rFonts w:hint="eastAsia"/>
          <w:highlight w:val="none"/>
        </w:rPr>
        <w:t xml:space="preserve">名称：（盖章）</w:t>
      </w:r>
      <w:r/>
    </w:p>
    <w:p>
      <w:pPr>
        <w:pStyle w:val="724"/>
        <w:ind w:firstLine="4200"/>
        <w:jc w:val="right"/>
        <w:spacing w:line="360" w:lineRule="auto"/>
        <w:tabs>
          <w:tab w:val="left" w:pos="7098" w:leader="none"/>
        </w:tabs>
        <w:rPr>
          <w:highlight w:val="none"/>
        </w:rPr>
      </w:pPr>
      <w:r>
        <w:rPr>
          <w:rFonts w:hint="eastAsia"/>
          <w:highlight w:val="none"/>
        </w:rPr>
        <w:t xml:space="preserve">日期：</w:t>
      </w:r>
      <w:r/>
    </w:p>
    <w:p>
      <w:pPr>
        <w:pStyle w:val="952"/>
        <w:ind w:left="0"/>
        <w:spacing w:line="360" w:lineRule="auto"/>
        <w:rPr>
          <w:sz w:val="21"/>
          <w:szCs w:val="21"/>
          <w:highlight w:val="none"/>
        </w:rPr>
        <w:outlineLvl w:val="9"/>
      </w:pPr>
      <w:r>
        <w:rPr>
          <w:sz w:val="21"/>
          <w:szCs w:val="21"/>
          <w:highlight w:val="none"/>
        </w:rPr>
      </w:r>
      <w:r/>
    </w:p>
    <w:p>
      <w:pPr>
        <w:pStyle w:val="952"/>
        <w:ind w:left="0"/>
        <w:spacing w:line="360" w:lineRule="auto"/>
        <w:rPr>
          <w:sz w:val="21"/>
          <w:szCs w:val="21"/>
          <w:highlight w:val="none"/>
        </w:rPr>
        <w:outlineLvl w:val="9"/>
      </w:pPr>
      <w:r>
        <w:rPr>
          <w:sz w:val="21"/>
          <w:szCs w:val="21"/>
          <w:highlight w:val="none"/>
        </w:rPr>
      </w:r>
      <w:r/>
    </w:p>
    <w:p>
      <w:pPr>
        <w:pStyle w:val="952"/>
        <w:ind w:left="0"/>
        <w:spacing w:line="360" w:lineRule="auto"/>
        <w:rPr>
          <w:sz w:val="21"/>
          <w:szCs w:val="21"/>
          <w:highlight w:val="none"/>
        </w:rPr>
        <w:outlineLvl w:val="9"/>
      </w:pPr>
      <w:r>
        <w:rPr>
          <w:rFonts w:hint="eastAsia"/>
          <w:sz w:val="21"/>
          <w:szCs w:val="21"/>
          <w:highlight w:val="none"/>
        </w:rPr>
        <w:t xml:space="preserve">附件五、属于监狱企业的证明文件（不符合的可不填写）</w:t>
      </w:r>
      <w:r/>
    </w:p>
    <w:p>
      <w:pPr>
        <w:ind w:firstLine="420"/>
        <w:spacing w:line="360" w:lineRule="auto"/>
        <w:rPr>
          <w:sz w:val="21"/>
          <w:szCs w:val="21"/>
          <w:highlight w:val="none"/>
        </w:rPr>
      </w:pPr>
      <w:r>
        <w:rPr>
          <w:rFonts w:hint="eastAsia"/>
          <w:sz w:val="21"/>
          <w:szCs w:val="21"/>
          <w:highlight w:val="none"/>
        </w:rPr>
        <w:t xml:space="preserve">提供由省级以上监狱管理局、戒毒管理局（含新疆生产建设兵团）出具的属于监狱企业的证明文件。</w:t>
      </w:r>
      <w:r/>
    </w:p>
    <w:p>
      <w:pPr>
        <w:rPr>
          <w:highlight w:val="none"/>
        </w:rPr>
      </w:pPr>
      <w:r>
        <w:rPr>
          <w:highlight w:val="none"/>
        </w:rPr>
      </w:r>
      <w:r/>
    </w:p>
    <w:sectPr>
      <w:headerReference w:type="default" r:id="rId9"/>
      <w:footerReference w:type="default" r:id="rId10"/>
      <w:footnotePr/>
      <w:endnotePr/>
      <w:type w:val="nextPage"/>
      <w:pgSz w:w="11910" w:h="16840" w:orient="portrait"/>
      <w:pgMar w:top="1417" w:right="1080" w:bottom="1417" w:left="1080" w:header="964"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Pr>
        <w:rFonts w:hint="eastAsia"/>
      </w:rPr>
      <w:t xml:space="preserve">第</w:t>
    </w:r>
    <w:r>
      <w:fldChar w:fldCharType="begin"/>
    </w:r>
    <w:r>
      <w:instrText xml:space="preserve"> PAGE  \* Arabic  \* MERGEFORMAT </w:instrText>
    </w:r>
    <w:r>
      <w:fldChar w:fldCharType="separate"/>
    </w:r>
    <w:r>
      <w:t xml:space="preserve">22</w:t>
    </w:r>
    <w:r>
      <w:fldChar w:fldCharType="end"/>
    </w:r>
    <w:r>
      <w:rPr>
        <w:rFonts w:hint="eastAsia"/>
      </w:rPr>
      <w:t xml:space="preserve">页共</w:t>
    </w:r>
    <w:r>
      <w:fldChar w:fldCharType="begin"/>
    </w:r>
    <w:r>
      <w:instrText xml:space="preserve"> NUMPAGES  \* Arabic  \* MERGEFORMAT </w:instrText>
    </w:r>
    <w:r>
      <w:fldChar w:fldCharType="separate"/>
    </w:r>
    <w:r>
      <w:t xml:space="preserve">48</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left"/>
    </w:pPr>
    <w:r>
      <w:rPr>
        <w:lang w:val="en-US" w:bidi="ar-SA"/>
      </w:rPr>
      <mc:AlternateContent>
        <mc:Choice Requires="wpg">
          <w:drawing>
            <wp:inline xmlns:wp="http://schemas.openxmlformats.org/drawingml/2006/wordprocessingDrawing" distT="0" distB="0" distL="0" distR="0">
              <wp:extent cx="1371600" cy="228600"/>
              <wp:effectExtent l="0" t="0" r="0" b="0"/>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
                      <pic:cNvPicPr>
                        <a:picLocks noChangeAspect="1"/>
                      </pic:cNvPicPr>
                      <pic:nvPr/>
                    </pic:nvPicPr>
                    <pic:blipFill>
                      <a:blip r:embed="rId1"/>
                      <a:stretch/>
                    </pic:blipFill>
                    <pic:spPr bwMode="auto">
                      <a:xfrm>
                        <a:off x="0" y="0"/>
                        <a:ext cx="1371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0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45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uiPriority w:val="1"/>
    <w:qFormat/>
    <w:pPr>
      <w:widowControl w:val="off"/>
    </w:pPr>
    <w:rPr>
      <w:rFonts w:ascii="宋体" w:hAnsi="宋体" w:eastAsia="宋体" w:cs="宋体"/>
      <w:sz w:val="22"/>
      <w:szCs w:val="22"/>
      <w:lang w:val="zh-CN" w:eastAsia="zh-CN" w:bidi="zh-CN"/>
    </w:rPr>
  </w:style>
  <w:style w:type="paragraph" w:styleId="709">
    <w:name w:val="Heading 1"/>
    <w:basedOn w:val="708"/>
    <w:next w:val="708"/>
    <w:link w:val="790"/>
    <w:uiPriority w:val="1"/>
    <w:qFormat/>
    <w:pPr>
      <w:ind w:right="87"/>
      <w:jc w:val="center"/>
      <w:spacing w:before="1"/>
      <w:outlineLvl w:val="0"/>
    </w:pPr>
    <w:rPr>
      <w:b/>
      <w:bCs/>
      <w:sz w:val="72"/>
      <w:szCs w:val="72"/>
    </w:rPr>
  </w:style>
  <w:style w:type="paragraph" w:styleId="710">
    <w:name w:val="Heading 2"/>
    <w:basedOn w:val="708"/>
    <w:next w:val="708"/>
    <w:link w:val="791"/>
    <w:uiPriority w:val="1"/>
    <w:qFormat/>
    <w:pPr>
      <w:ind w:left="223"/>
      <w:outlineLvl w:val="1"/>
    </w:pPr>
    <w:rPr>
      <w:rFonts w:ascii="黑体" w:hAnsi="黑体" w:eastAsia="黑体" w:cs="黑体"/>
      <w:b/>
      <w:bCs/>
      <w:sz w:val="36"/>
      <w:szCs w:val="36"/>
    </w:rPr>
  </w:style>
  <w:style w:type="paragraph" w:styleId="711">
    <w:name w:val="Heading 3"/>
    <w:basedOn w:val="708"/>
    <w:next w:val="708"/>
    <w:link w:val="792"/>
    <w:uiPriority w:val="1"/>
    <w:qFormat/>
    <w:pPr>
      <w:ind w:left="223"/>
      <w:spacing w:line="358" w:lineRule="exact"/>
      <w:outlineLvl w:val="2"/>
    </w:pPr>
    <w:rPr>
      <w:b/>
      <w:bCs/>
      <w:sz w:val="28"/>
      <w:szCs w:val="28"/>
    </w:rPr>
  </w:style>
  <w:style w:type="paragraph" w:styleId="712">
    <w:name w:val="Heading 4"/>
    <w:basedOn w:val="708"/>
    <w:next w:val="708"/>
    <w:link w:val="793"/>
    <w:uiPriority w:val="1"/>
    <w:qFormat/>
    <w:pPr>
      <w:ind w:left="223"/>
      <w:outlineLvl w:val="3"/>
    </w:pPr>
    <w:rPr>
      <w:sz w:val="28"/>
      <w:szCs w:val="28"/>
    </w:rPr>
  </w:style>
  <w:style w:type="paragraph" w:styleId="713">
    <w:name w:val="Heading 5"/>
    <w:basedOn w:val="708"/>
    <w:next w:val="708"/>
    <w:link w:val="919"/>
    <w:uiPriority w:val="0"/>
    <w:qFormat/>
    <w:pPr>
      <w:keepLines/>
      <w:keepNext/>
      <w:spacing w:before="280" w:after="290" w:line="376" w:lineRule="auto"/>
      <w:outlineLvl w:val="4"/>
    </w:pPr>
    <w:rPr>
      <w:b/>
      <w:bCs/>
      <w:sz w:val="28"/>
      <w:szCs w:val="28"/>
    </w:rPr>
  </w:style>
  <w:style w:type="paragraph" w:styleId="714">
    <w:name w:val="Heading 6"/>
    <w:basedOn w:val="708"/>
    <w:next w:val="708"/>
    <w:link w:val="795"/>
    <w:uiPriority w:val="9"/>
    <w:unhideWhenUsed/>
    <w:qFormat/>
    <w:pPr>
      <w:keepLines/>
      <w:keepNext/>
      <w:spacing w:before="320" w:after="200"/>
      <w:outlineLvl w:val="5"/>
    </w:pPr>
    <w:rPr>
      <w:rFonts w:ascii="Arial" w:hAnsi="Arial" w:eastAsia="Arial" w:cs="Arial"/>
      <w:b/>
      <w:bCs/>
    </w:rPr>
  </w:style>
  <w:style w:type="paragraph" w:styleId="715">
    <w:name w:val="Heading 7"/>
    <w:basedOn w:val="708"/>
    <w:next w:val="708"/>
    <w:link w:val="796"/>
    <w:uiPriority w:val="9"/>
    <w:unhideWhenUsed/>
    <w:qFormat/>
    <w:pPr>
      <w:keepLines/>
      <w:keepNext/>
      <w:spacing w:before="320" w:after="200"/>
      <w:outlineLvl w:val="6"/>
    </w:pPr>
    <w:rPr>
      <w:rFonts w:ascii="Arial" w:hAnsi="Arial" w:eastAsia="Arial" w:cs="Arial"/>
      <w:b/>
      <w:bCs/>
      <w:i/>
      <w:iCs/>
    </w:rPr>
  </w:style>
  <w:style w:type="paragraph" w:styleId="716">
    <w:name w:val="Heading 8"/>
    <w:basedOn w:val="708"/>
    <w:next w:val="708"/>
    <w:link w:val="797"/>
    <w:uiPriority w:val="9"/>
    <w:unhideWhenUsed/>
    <w:qFormat/>
    <w:pPr>
      <w:keepLines/>
      <w:keepNext/>
      <w:spacing w:before="320" w:after="200"/>
      <w:outlineLvl w:val="7"/>
    </w:pPr>
    <w:rPr>
      <w:rFonts w:ascii="Arial" w:hAnsi="Arial" w:eastAsia="Arial" w:cs="Arial"/>
      <w:i/>
      <w:iCs/>
    </w:rPr>
  </w:style>
  <w:style w:type="paragraph" w:styleId="717">
    <w:name w:val="Heading 9"/>
    <w:basedOn w:val="708"/>
    <w:next w:val="708"/>
    <w:link w:val="79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next w:val="708"/>
    <w:link w:val="920"/>
    <w:uiPriority w:val="99"/>
    <w:qFormat/>
    <w:pPr>
      <w:ind w:firstLine="420"/>
    </w:pPr>
    <w:rPr>
      <w:b/>
      <w:sz w:val="24"/>
      <w:szCs w:val="20"/>
    </w:rPr>
  </w:style>
  <w:style w:type="paragraph" w:styleId="722">
    <w:name w:val="Caption"/>
    <w:basedOn w:val="708"/>
    <w:next w:val="708"/>
    <w:uiPriority w:val="35"/>
    <w:semiHidden/>
    <w:unhideWhenUsed/>
    <w:qFormat/>
    <w:pPr>
      <w:spacing w:line="276" w:lineRule="auto"/>
    </w:pPr>
    <w:rPr>
      <w:b/>
      <w:bCs/>
      <w:color w:val="4f81bd"/>
      <w:sz w:val="18"/>
      <w:szCs w:val="18"/>
    </w:rPr>
  </w:style>
  <w:style w:type="paragraph" w:styleId="723">
    <w:name w:val="annotation text"/>
    <w:basedOn w:val="708"/>
    <w:link w:val="921"/>
    <w:uiPriority w:val="0"/>
    <w:qFormat/>
    <w:rPr>
      <w:sz w:val="20"/>
      <w:szCs w:val="24"/>
    </w:rPr>
  </w:style>
  <w:style w:type="paragraph" w:styleId="724">
    <w:name w:val="Body Text"/>
    <w:basedOn w:val="708"/>
    <w:next w:val="721"/>
    <w:link w:val="922"/>
    <w:uiPriority w:val="1"/>
    <w:qFormat/>
    <w:rPr>
      <w:sz w:val="21"/>
      <w:szCs w:val="21"/>
    </w:rPr>
  </w:style>
  <w:style w:type="paragraph" w:styleId="725">
    <w:name w:val="Body Text Indent"/>
    <w:basedOn w:val="708"/>
    <w:next w:val="726"/>
    <w:link w:val="923"/>
    <w:uiPriority w:val="0"/>
    <w:unhideWhenUsed/>
    <w:qFormat/>
    <w:pPr>
      <w:ind w:left="420"/>
      <w:spacing w:after="120"/>
    </w:pPr>
  </w:style>
  <w:style w:type="paragraph" w:styleId="726">
    <w:name w:val="envelope return"/>
    <w:basedOn w:val="708"/>
    <w:uiPriority w:val="0"/>
    <w:qFormat/>
    <w:rPr>
      <w:rFonts w:ascii="Arial" w:hAnsi="Arial"/>
    </w:rPr>
  </w:style>
  <w:style w:type="paragraph" w:styleId="727">
    <w:name w:val="index 4"/>
    <w:basedOn w:val="708"/>
    <w:next w:val="708"/>
    <w:uiPriority w:val="99"/>
    <w:unhideWhenUsed/>
    <w:qFormat/>
    <w:pPr>
      <w:ind w:left="600"/>
      <w:jc w:val="both"/>
      <w:spacing w:before="100" w:beforeAutospacing="1" w:after="100" w:afterAutospacing="1"/>
    </w:pPr>
    <w:rPr>
      <w:rFonts w:ascii="Times New Roman" w:hAnsi="Times New Roman" w:cs="Times New Roman"/>
      <w:sz w:val="21"/>
      <w:szCs w:val="21"/>
      <w:lang w:val="en-US" w:bidi="ar-SA"/>
    </w:rPr>
  </w:style>
  <w:style w:type="paragraph" w:styleId="728">
    <w:name w:val="toc 5"/>
    <w:basedOn w:val="708"/>
    <w:next w:val="708"/>
    <w:uiPriority w:val="39"/>
    <w:unhideWhenUsed/>
    <w:qFormat/>
    <w:pPr>
      <w:ind w:left="1134"/>
      <w:spacing w:after="57"/>
    </w:pPr>
  </w:style>
  <w:style w:type="paragraph" w:styleId="729">
    <w:name w:val="toc 3"/>
    <w:basedOn w:val="708"/>
    <w:next w:val="708"/>
    <w:uiPriority w:val="39"/>
    <w:unhideWhenUsed/>
    <w:qFormat/>
    <w:pPr>
      <w:ind w:left="567"/>
      <w:spacing w:after="57"/>
    </w:pPr>
  </w:style>
  <w:style w:type="paragraph" w:styleId="730">
    <w:name w:val="Plain Text"/>
    <w:basedOn w:val="708"/>
    <w:link w:val="924"/>
    <w:uiPriority w:val="0"/>
    <w:qFormat/>
    <w:pPr>
      <w:jc w:val="both"/>
    </w:pPr>
    <w:rPr>
      <w:rFonts w:hAnsi="Courier New" w:cs="Courier New"/>
      <w:sz w:val="20"/>
      <w:szCs w:val="21"/>
      <w:lang w:val="en-US" w:bidi="ar-SA"/>
    </w:rPr>
  </w:style>
  <w:style w:type="paragraph" w:styleId="731">
    <w:name w:val="toc 8"/>
    <w:basedOn w:val="708"/>
    <w:next w:val="708"/>
    <w:uiPriority w:val="39"/>
    <w:unhideWhenUsed/>
    <w:qFormat/>
    <w:pPr>
      <w:ind w:left="1984"/>
      <w:spacing w:after="57"/>
    </w:pPr>
  </w:style>
  <w:style w:type="paragraph" w:styleId="732">
    <w:name w:val="endnote text"/>
    <w:basedOn w:val="708"/>
    <w:link w:val="917"/>
    <w:uiPriority w:val="99"/>
    <w:semiHidden/>
    <w:unhideWhenUsed/>
    <w:qFormat/>
    <w:rPr>
      <w:sz w:val="20"/>
    </w:rPr>
  </w:style>
  <w:style w:type="paragraph" w:styleId="733">
    <w:name w:val="Balloon Text"/>
    <w:basedOn w:val="708"/>
    <w:link w:val="925"/>
    <w:uiPriority w:val="0"/>
    <w:qFormat/>
    <w:rPr>
      <w:sz w:val="18"/>
      <w:szCs w:val="18"/>
    </w:rPr>
  </w:style>
  <w:style w:type="paragraph" w:styleId="734">
    <w:name w:val="Footer"/>
    <w:basedOn w:val="708"/>
    <w:link w:val="926"/>
    <w:uiPriority w:val="0"/>
    <w:qFormat/>
    <w:pPr>
      <w:tabs>
        <w:tab w:val="center" w:pos="4153" w:leader="none"/>
        <w:tab w:val="right" w:pos="8306" w:leader="none"/>
      </w:tabs>
    </w:pPr>
    <w:rPr>
      <w:sz w:val="18"/>
      <w:szCs w:val="18"/>
    </w:rPr>
  </w:style>
  <w:style w:type="paragraph" w:styleId="735">
    <w:name w:val="Header"/>
    <w:basedOn w:val="708"/>
    <w:link w:val="927"/>
    <w:uiPriority w:val="0"/>
    <w:qFormat/>
    <w:pPr>
      <w:jc w:val="center"/>
      <w:tabs>
        <w:tab w:val="center" w:pos="4153" w:leader="none"/>
        <w:tab w:val="right" w:pos="8306" w:leader="none"/>
      </w:tabs>
      <w:pBdr>
        <w:bottom w:val="single" w:color="000000" w:sz="6" w:space="1"/>
      </w:pBdr>
    </w:pPr>
    <w:rPr>
      <w:sz w:val="18"/>
      <w:szCs w:val="18"/>
    </w:rPr>
  </w:style>
  <w:style w:type="paragraph" w:styleId="736">
    <w:name w:val="toc 1"/>
    <w:basedOn w:val="708"/>
    <w:next w:val="708"/>
    <w:uiPriority w:val="39"/>
    <w:unhideWhenUsed/>
    <w:qFormat/>
    <w:pPr>
      <w:spacing w:after="57"/>
    </w:pPr>
  </w:style>
  <w:style w:type="paragraph" w:styleId="737">
    <w:name w:val="toc 4"/>
    <w:basedOn w:val="708"/>
    <w:next w:val="708"/>
    <w:uiPriority w:val="39"/>
    <w:unhideWhenUsed/>
    <w:qFormat/>
    <w:pPr>
      <w:ind w:left="850"/>
      <w:spacing w:after="57"/>
    </w:pPr>
  </w:style>
  <w:style w:type="paragraph" w:styleId="738">
    <w:name w:val="Subtitle"/>
    <w:basedOn w:val="708"/>
    <w:next w:val="708"/>
    <w:link w:val="802"/>
    <w:uiPriority w:val="11"/>
    <w:qFormat/>
    <w:pPr>
      <w:spacing w:before="200" w:after="200"/>
    </w:pPr>
    <w:rPr>
      <w:sz w:val="24"/>
      <w:szCs w:val="24"/>
    </w:rPr>
  </w:style>
  <w:style w:type="paragraph" w:styleId="739">
    <w:name w:val="footnote text"/>
    <w:basedOn w:val="708"/>
    <w:link w:val="916"/>
    <w:uiPriority w:val="99"/>
    <w:semiHidden/>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table of figures"/>
    <w:basedOn w:val="708"/>
    <w:next w:val="708"/>
    <w:uiPriority w:val="99"/>
    <w:unhideWhenUsed/>
    <w:qFormat/>
  </w:style>
  <w:style w:type="paragraph" w:styleId="742">
    <w:name w:val="toc 2"/>
    <w:basedOn w:val="708"/>
    <w:next w:val="708"/>
    <w:uiPriority w:val="39"/>
    <w:unhideWhenUsed/>
    <w:qFormat/>
    <w:pPr>
      <w:ind w:left="283"/>
      <w:spacing w:after="57"/>
    </w:pPr>
  </w:style>
  <w:style w:type="paragraph" w:styleId="743">
    <w:name w:val="toc 9"/>
    <w:basedOn w:val="708"/>
    <w:next w:val="708"/>
    <w:uiPriority w:val="39"/>
    <w:unhideWhenUsed/>
    <w:qFormat/>
    <w:pPr>
      <w:ind w:left="2268"/>
      <w:spacing w:after="57"/>
    </w:pPr>
  </w:style>
  <w:style w:type="paragraph" w:styleId="744">
    <w:name w:val="Normal (Web)"/>
    <w:basedOn w:val="708"/>
    <w:uiPriority w:val="99"/>
    <w:qFormat/>
    <w:pPr>
      <w:spacing w:beforeAutospacing="1" w:afterAutospacing="1"/>
    </w:pPr>
    <w:rPr>
      <w:rFonts w:ascii="Calibri" w:hAnsi="Calibri" w:cs="Times New Roman"/>
      <w:sz w:val="24"/>
      <w:szCs w:val="24"/>
      <w:lang w:val="en-US" w:bidi="ar-SA"/>
    </w:rPr>
  </w:style>
  <w:style w:type="paragraph" w:styleId="745">
    <w:name w:val="Title"/>
    <w:basedOn w:val="708"/>
    <w:link w:val="801"/>
    <w:uiPriority w:val="0"/>
    <w:qFormat/>
    <w:pPr>
      <w:jc w:val="center"/>
      <w:spacing w:before="240" w:after="240"/>
    </w:pPr>
    <w:rPr>
      <w:rFonts w:ascii="Times New Roman" w:hAnsi="Times New Roman" w:cs="Times New Roman"/>
      <w:b/>
      <w:sz w:val="32"/>
    </w:rPr>
  </w:style>
  <w:style w:type="paragraph" w:styleId="746">
    <w:name w:val="annotation subject"/>
    <w:basedOn w:val="723"/>
    <w:next w:val="723"/>
    <w:link w:val="928"/>
    <w:uiPriority w:val="0"/>
    <w:qFormat/>
    <w:rPr>
      <w:b/>
      <w:bCs/>
      <w:sz w:val="22"/>
      <w:szCs w:val="22"/>
    </w:rPr>
  </w:style>
  <w:style w:type="paragraph" w:styleId="747">
    <w:name w:val="Body Text First Indent"/>
    <w:basedOn w:val="724"/>
    <w:link w:val="929"/>
    <w:uiPriority w:val="0"/>
    <w:unhideWhenUsed/>
    <w:qFormat/>
    <w:pPr>
      <w:ind w:firstLine="420"/>
      <w:spacing w:after="120"/>
    </w:pPr>
    <w:rPr>
      <w:sz w:val="22"/>
      <w:szCs w:val="22"/>
    </w:rPr>
  </w:style>
  <w:style w:type="paragraph" w:styleId="748">
    <w:name w:val="Body Text First Indent 2"/>
    <w:basedOn w:val="725"/>
    <w:next w:val="708"/>
    <w:uiPriority w:val="0"/>
    <w:qFormat/>
    <w:pPr>
      <w:ind w:firstLine="420"/>
      <w:spacing w:line="360" w:lineRule="auto"/>
    </w:pPr>
    <w:rPr>
      <w:rFonts w:ascii="Calibri" w:hAnsi="Calibri"/>
      <w:sz w:val="24"/>
    </w:rPr>
  </w:style>
  <w:style w:type="table" w:styleId="749">
    <w:name w:val="Table Grid"/>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uiPriority w:val="0"/>
    <w:qFormat/>
    <w:rPr>
      <w:b/>
    </w:rPr>
  </w:style>
  <w:style w:type="character" w:styleId="751">
    <w:name w:val="endnote reference"/>
    <w:uiPriority w:val="99"/>
    <w:semiHidden/>
    <w:unhideWhenUsed/>
    <w:qFormat/>
    <w:rPr>
      <w:vertAlign w:val="superscript"/>
    </w:rPr>
  </w:style>
  <w:style w:type="character" w:styleId="752">
    <w:name w:val="Emphasis"/>
    <w:uiPriority w:val="0"/>
    <w:qFormat/>
    <w:rPr>
      <w:i/>
      <w:iCs/>
    </w:rPr>
  </w:style>
  <w:style w:type="character" w:styleId="753">
    <w:name w:val="Hyperlink"/>
    <w:uiPriority w:val="0"/>
    <w:qFormat/>
    <w:rPr>
      <w:color w:val="333333"/>
      <w:u w:val="none"/>
    </w:rPr>
  </w:style>
  <w:style w:type="character" w:styleId="754">
    <w:name w:val="annotation reference"/>
    <w:uiPriority w:val="0"/>
    <w:qFormat/>
    <w:rPr>
      <w:sz w:val="21"/>
      <w:szCs w:val="21"/>
    </w:rPr>
  </w:style>
  <w:style w:type="character" w:styleId="755">
    <w:name w:val="footnote reference"/>
    <w:uiPriority w:val="99"/>
    <w:unhideWhenUsed/>
    <w:qFormat/>
    <w:rPr>
      <w:vertAlign w:val="superscript"/>
    </w:rPr>
  </w:style>
  <w:style w:type="character" w:styleId="756" w:customStyle="1">
    <w:name w:val="Heading 1 Char"/>
    <w:basedOn w:val="718"/>
    <w:uiPriority w:val="9"/>
    <w:qFormat/>
    <w:rPr>
      <w:rFonts w:ascii="Arial" w:hAnsi="Arial" w:eastAsia="Arial" w:cs="Arial"/>
      <w:sz w:val="40"/>
      <w:szCs w:val="40"/>
    </w:rPr>
  </w:style>
  <w:style w:type="character" w:styleId="757" w:customStyle="1">
    <w:name w:val="Heading 2 Char"/>
    <w:basedOn w:val="718"/>
    <w:uiPriority w:val="9"/>
    <w:qFormat/>
    <w:rPr>
      <w:rFonts w:ascii="Arial" w:hAnsi="Arial" w:eastAsia="Arial" w:cs="Arial"/>
      <w:sz w:val="34"/>
    </w:rPr>
  </w:style>
  <w:style w:type="character" w:styleId="758" w:customStyle="1">
    <w:name w:val="Heading 3 Char"/>
    <w:basedOn w:val="718"/>
    <w:uiPriority w:val="9"/>
    <w:qFormat/>
    <w:rPr>
      <w:rFonts w:ascii="Arial" w:hAnsi="Arial" w:eastAsia="Arial" w:cs="Arial"/>
      <w:sz w:val="30"/>
      <w:szCs w:val="30"/>
    </w:rPr>
  </w:style>
  <w:style w:type="character" w:styleId="759" w:customStyle="1">
    <w:name w:val="Heading 4 Char"/>
    <w:basedOn w:val="718"/>
    <w:uiPriority w:val="9"/>
    <w:qFormat/>
    <w:rPr>
      <w:rFonts w:ascii="Arial" w:hAnsi="Arial" w:eastAsia="Arial" w:cs="Arial"/>
      <w:b/>
      <w:bCs/>
      <w:sz w:val="26"/>
      <w:szCs w:val="26"/>
    </w:rPr>
  </w:style>
  <w:style w:type="character" w:styleId="760" w:customStyle="1">
    <w:name w:val="Heading 6 Char"/>
    <w:basedOn w:val="718"/>
    <w:uiPriority w:val="9"/>
    <w:qFormat/>
    <w:rPr>
      <w:rFonts w:ascii="Arial" w:hAnsi="Arial" w:eastAsia="Arial" w:cs="Arial"/>
      <w:b/>
      <w:bCs/>
      <w:sz w:val="22"/>
      <w:szCs w:val="22"/>
    </w:rPr>
  </w:style>
  <w:style w:type="character" w:styleId="761" w:customStyle="1">
    <w:name w:val="Heading 7 Char"/>
    <w:basedOn w:val="718"/>
    <w:uiPriority w:val="9"/>
    <w:qFormat/>
    <w:rPr>
      <w:rFonts w:ascii="Arial" w:hAnsi="Arial" w:eastAsia="Arial" w:cs="Arial"/>
      <w:b/>
      <w:bCs/>
      <w:i/>
      <w:iCs/>
      <w:sz w:val="22"/>
      <w:szCs w:val="22"/>
    </w:rPr>
  </w:style>
  <w:style w:type="character" w:styleId="762" w:customStyle="1">
    <w:name w:val="Heading 8 Char"/>
    <w:basedOn w:val="718"/>
    <w:uiPriority w:val="9"/>
    <w:qFormat/>
    <w:rPr>
      <w:rFonts w:ascii="Arial" w:hAnsi="Arial" w:eastAsia="Arial" w:cs="Arial"/>
      <w:i/>
      <w:iCs/>
      <w:sz w:val="22"/>
      <w:szCs w:val="22"/>
    </w:rPr>
  </w:style>
  <w:style w:type="character" w:styleId="763" w:customStyle="1">
    <w:name w:val="Heading 9 Char"/>
    <w:basedOn w:val="718"/>
    <w:uiPriority w:val="9"/>
    <w:qFormat/>
    <w:rPr>
      <w:rFonts w:ascii="Arial" w:hAnsi="Arial" w:eastAsia="Arial" w:cs="Arial"/>
      <w:i/>
      <w:iCs/>
      <w:sz w:val="21"/>
      <w:szCs w:val="21"/>
    </w:rPr>
  </w:style>
  <w:style w:type="character" w:styleId="764" w:customStyle="1">
    <w:name w:val="Title Char"/>
    <w:basedOn w:val="718"/>
    <w:uiPriority w:val="10"/>
    <w:qFormat/>
    <w:rPr>
      <w:sz w:val="48"/>
      <w:szCs w:val="48"/>
    </w:rPr>
  </w:style>
  <w:style w:type="character" w:styleId="765" w:customStyle="1">
    <w:name w:val="Subtitle Char"/>
    <w:basedOn w:val="718"/>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table" w:styleId="768" w:customStyle="1">
    <w:name w:val="无格式表格 11"/>
    <w:basedOn w:val="7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标题1"/>
    <w:uiPriority w:val="39"/>
    <w:unhideWhenUsed/>
    <w:qFormat/>
    <w:rPr>
      <w:rFonts w:ascii="Times New Roman" w:hAnsi="Times New Roman" w:eastAsia="宋体" w:cs="Times New Roman"/>
      <w:lang w:val="en-US" w:eastAsia="zh-CN" w:bidi="ar-SA"/>
    </w:rPr>
  </w:style>
  <w:style w:type="character" w:styleId="790" w:customStyle="1">
    <w:name w:val="标题 1 字符"/>
    <w:link w:val="709"/>
    <w:uiPriority w:val="9"/>
    <w:qFormat/>
    <w:rPr>
      <w:rFonts w:ascii="Arial" w:hAnsi="Arial" w:eastAsia="Arial" w:cs="Arial"/>
      <w:sz w:val="40"/>
      <w:szCs w:val="40"/>
    </w:rPr>
  </w:style>
  <w:style w:type="character" w:styleId="791" w:customStyle="1">
    <w:name w:val="标题 2 字符"/>
    <w:link w:val="710"/>
    <w:uiPriority w:val="9"/>
    <w:qFormat/>
    <w:rPr>
      <w:rFonts w:ascii="Arial" w:hAnsi="Arial" w:eastAsia="Arial" w:cs="Arial"/>
      <w:sz w:val="34"/>
    </w:rPr>
  </w:style>
  <w:style w:type="character" w:styleId="792" w:customStyle="1">
    <w:name w:val="标题 3 字符"/>
    <w:link w:val="711"/>
    <w:uiPriority w:val="9"/>
    <w:qFormat/>
    <w:rPr>
      <w:rFonts w:ascii="Arial" w:hAnsi="Arial" w:eastAsia="Arial" w:cs="Arial"/>
      <w:sz w:val="30"/>
      <w:szCs w:val="30"/>
    </w:rPr>
  </w:style>
  <w:style w:type="character" w:styleId="793" w:customStyle="1">
    <w:name w:val="标题 4 字符"/>
    <w:link w:val="712"/>
    <w:uiPriority w:val="9"/>
    <w:qFormat/>
    <w:rPr>
      <w:rFonts w:ascii="Arial" w:hAnsi="Arial" w:eastAsia="Arial" w:cs="Arial"/>
      <w:b/>
      <w:bCs/>
      <w:sz w:val="26"/>
      <w:szCs w:val="26"/>
    </w:rPr>
  </w:style>
  <w:style w:type="character" w:styleId="794" w:customStyle="1">
    <w:name w:val="Heading 5 Char"/>
    <w:uiPriority w:val="9"/>
    <w:qFormat/>
    <w:rPr>
      <w:rFonts w:ascii="Arial" w:hAnsi="Arial" w:eastAsia="Arial" w:cs="Arial"/>
      <w:b/>
      <w:bCs/>
      <w:sz w:val="24"/>
      <w:szCs w:val="24"/>
    </w:rPr>
  </w:style>
  <w:style w:type="character" w:styleId="795" w:customStyle="1">
    <w:name w:val="标题 6 字符"/>
    <w:link w:val="714"/>
    <w:uiPriority w:val="9"/>
    <w:qFormat/>
    <w:rPr>
      <w:rFonts w:ascii="Arial" w:hAnsi="Arial" w:eastAsia="Arial" w:cs="Arial"/>
      <w:b/>
      <w:bCs/>
      <w:sz w:val="22"/>
      <w:szCs w:val="22"/>
    </w:rPr>
  </w:style>
  <w:style w:type="character" w:styleId="796" w:customStyle="1">
    <w:name w:val="标题 7 字符"/>
    <w:link w:val="715"/>
    <w:uiPriority w:val="9"/>
    <w:qFormat/>
    <w:rPr>
      <w:rFonts w:ascii="Arial" w:hAnsi="Arial" w:eastAsia="Arial" w:cs="Arial"/>
      <w:b/>
      <w:bCs/>
      <w:i/>
      <w:iCs/>
      <w:sz w:val="22"/>
      <w:szCs w:val="22"/>
    </w:rPr>
  </w:style>
  <w:style w:type="character" w:styleId="797" w:customStyle="1">
    <w:name w:val="标题 8 字符"/>
    <w:link w:val="716"/>
    <w:uiPriority w:val="9"/>
    <w:qFormat/>
    <w:rPr>
      <w:rFonts w:ascii="Arial" w:hAnsi="Arial" w:eastAsia="Arial" w:cs="Arial"/>
      <w:i/>
      <w:iCs/>
      <w:sz w:val="22"/>
      <w:szCs w:val="22"/>
    </w:rPr>
  </w:style>
  <w:style w:type="character" w:styleId="798" w:customStyle="1">
    <w:name w:val="标题 9 字符"/>
    <w:link w:val="717"/>
    <w:uiPriority w:val="9"/>
    <w:qFormat/>
    <w:rPr>
      <w:rFonts w:ascii="Arial" w:hAnsi="Arial" w:eastAsia="Arial" w:cs="Arial"/>
      <w:i/>
      <w:iCs/>
      <w:sz w:val="21"/>
      <w:szCs w:val="21"/>
    </w:rPr>
  </w:style>
  <w:style w:type="paragraph" w:styleId="799">
    <w:name w:val="List Paragraph"/>
    <w:basedOn w:val="708"/>
    <w:uiPriority w:val="34"/>
    <w:qFormat/>
    <w:pPr>
      <w:contextualSpacing/>
      <w:ind w:left="720"/>
    </w:pPr>
  </w:style>
  <w:style w:type="paragraph" w:styleId="800">
    <w:name w:val="No Spacing"/>
    <w:uiPriority w:val="1"/>
    <w:qFormat/>
    <w:pPr>
      <w:jc w:val="both"/>
      <w:widowControl w:val="off"/>
    </w:pPr>
    <w:rPr>
      <w:rFonts w:ascii="Calibri" w:hAnsi="Calibri" w:eastAsia="宋体" w:cs="Times New Roman"/>
      <w:sz w:val="21"/>
      <w:szCs w:val="22"/>
      <w:lang w:val="en-US" w:eastAsia="zh-CN" w:bidi="ar-SA"/>
    </w:rPr>
  </w:style>
  <w:style w:type="character" w:styleId="801" w:customStyle="1">
    <w:name w:val="标题 字符"/>
    <w:link w:val="745"/>
    <w:uiPriority w:val="10"/>
    <w:qFormat/>
    <w:rPr>
      <w:sz w:val="48"/>
      <w:szCs w:val="48"/>
    </w:rPr>
  </w:style>
  <w:style w:type="character" w:styleId="802" w:customStyle="1">
    <w:name w:val="副标题 字符"/>
    <w:link w:val="738"/>
    <w:uiPriority w:val="11"/>
    <w:qFormat/>
    <w:rPr>
      <w:sz w:val="24"/>
      <w:szCs w:val="24"/>
    </w:rPr>
  </w:style>
  <w:style w:type="paragraph" w:styleId="803">
    <w:name w:val="Quote"/>
    <w:basedOn w:val="708"/>
    <w:next w:val="708"/>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Header Char"/>
    <w:uiPriority w:val="99"/>
    <w:qFormat/>
  </w:style>
  <w:style w:type="character" w:styleId="808" w:customStyle="1">
    <w:name w:val="Footer Char"/>
    <w:uiPriority w:val="99"/>
    <w:qFormat/>
  </w:style>
  <w:style w:type="character" w:styleId="809" w:customStyle="1">
    <w:name w:val="Caption Char"/>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5" w:customStyle="1">
    <w:name w:val="Lined - Accent"/>
    <w:uiPriority w:val="99"/>
    <w:qFormat/>
    <w:rPr>
      <w:color w:val="404040"/>
    </w:rPr>
    <w:tblPr>
      <w:tblCellMar>
        <w:left w:w="0" w:type="dxa"/>
        <w:top w:w="0" w:type="dxa"/>
        <w:right w:w="0" w:type="dxa"/>
        <w:bottom w:w="0" w:type="dxa"/>
      </w:tblCellMar>
    </w:tblPr>
  </w:style>
  <w:style w:type="table" w:styleId="896" w:customStyle="1">
    <w:name w:val="Lined - Accent 1"/>
    <w:uiPriority w:val="99"/>
    <w:qFormat/>
    <w:rPr>
      <w:color w:val="404040"/>
    </w:rPr>
    <w:tblPr>
      <w:tblCellMar>
        <w:left w:w="0" w:type="dxa"/>
        <w:top w:w="0" w:type="dxa"/>
        <w:right w:w="0" w:type="dxa"/>
        <w:bottom w:w="0" w:type="dxa"/>
      </w:tblCellMar>
    </w:tblPr>
  </w:style>
  <w:style w:type="table" w:styleId="897" w:customStyle="1">
    <w:name w:val="Lined - Accent 2"/>
    <w:uiPriority w:val="99"/>
    <w:qFormat/>
    <w:rPr>
      <w:color w:val="404040"/>
    </w:rPr>
    <w:tblPr>
      <w:tblCellMar>
        <w:left w:w="0" w:type="dxa"/>
        <w:top w:w="0" w:type="dxa"/>
        <w:right w:w="0" w:type="dxa"/>
        <w:bottom w:w="0" w:type="dxa"/>
      </w:tblCellMar>
    </w:tblPr>
  </w:style>
  <w:style w:type="table" w:styleId="898" w:customStyle="1">
    <w:name w:val="Lined - Accent 3"/>
    <w:uiPriority w:val="99"/>
    <w:qFormat/>
    <w:rPr>
      <w:color w:val="404040"/>
    </w:rPr>
    <w:tblPr>
      <w:tblCellMar>
        <w:left w:w="0" w:type="dxa"/>
        <w:top w:w="0" w:type="dxa"/>
        <w:right w:w="0" w:type="dxa"/>
        <w:bottom w:w="0" w:type="dxa"/>
      </w:tblCellMar>
    </w:tblPr>
  </w:style>
  <w:style w:type="table" w:styleId="899" w:customStyle="1">
    <w:name w:val="Lined - Accent 4"/>
    <w:uiPriority w:val="99"/>
    <w:qFormat/>
    <w:rPr>
      <w:color w:val="404040"/>
    </w:rPr>
    <w:tblPr>
      <w:tblCellMar>
        <w:left w:w="0" w:type="dxa"/>
        <w:top w:w="0" w:type="dxa"/>
        <w:right w:w="0" w:type="dxa"/>
        <w:bottom w:w="0" w:type="dxa"/>
      </w:tblCellMar>
    </w:tblPr>
  </w:style>
  <w:style w:type="table" w:styleId="900" w:customStyle="1">
    <w:name w:val="Lined - Accent 5"/>
    <w:uiPriority w:val="99"/>
    <w:qFormat/>
    <w:rPr>
      <w:color w:val="404040"/>
    </w:rPr>
    <w:tblPr>
      <w:tblCellMar>
        <w:left w:w="0" w:type="dxa"/>
        <w:top w:w="0" w:type="dxa"/>
        <w:right w:w="0" w:type="dxa"/>
        <w:bottom w:w="0" w:type="dxa"/>
      </w:tblCellMar>
    </w:tblPr>
  </w:style>
  <w:style w:type="table" w:styleId="901" w:customStyle="1">
    <w:name w:val="Lined - Accent 6"/>
    <w:uiPriority w:val="99"/>
    <w:qFormat/>
    <w:rPr>
      <w:color w:val="404040"/>
    </w:rPr>
    <w:tblPr>
      <w:tblCellMar>
        <w:left w:w="0" w:type="dxa"/>
        <w:top w:w="0" w:type="dxa"/>
        <w:right w:w="0" w:type="dxa"/>
        <w:bottom w:w="0" w:type="dxa"/>
      </w:tblCellMar>
    </w:tblPr>
  </w:style>
  <w:style w:type="table" w:styleId="9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6" w:customStyle="1">
    <w:name w:val="脚注文本 字符"/>
    <w:link w:val="739"/>
    <w:uiPriority w:val="99"/>
    <w:qFormat/>
    <w:rPr>
      <w:sz w:val="18"/>
    </w:rPr>
  </w:style>
  <w:style w:type="character" w:styleId="917" w:customStyle="1">
    <w:name w:val="尾注文本 字符"/>
    <w:link w:val="732"/>
    <w:uiPriority w:val="99"/>
    <w:qFormat/>
    <w:rPr>
      <w:sz w:val="20"/>
    </w:rPr>
  </w:style>
  <w:style w:type="paragraph" w:styleId="918" w:customStyle="1">
    <w:name w:val="TOC 标题11"/>
    <w:uiPriority w:val="39"/>
    <w:unhideWhenUsed/>
    <w:qFormat/>
    <w:rPr>
      <w:rFonts w:ascii="Times New Roman" w:hAnsi="Times New Roman" w:eastAsia="宋体" w:cs="Times New Roman"/>
      <w:lang w:val="en-US" w:eastAsia="zh-CN" w:bidi="ar-SA"/>
    </w:rPr>
  </w:style>
  <w:style w:type="character" w:styleId="919" w:customStyle="1">
    <w:name w:val="标题 5 字符"/>
    <w:link w:val="713"/>
    <w:uiPriority w:val="0"/>
    <w:semiHidden/>
    <w:qFormat/>
    <w:rPr>
      <w:rFonts w:ascii="宋体" w:hAnsi="宋体" w:cs="宋体"/>
      <w:b/>
      <w:bCs/>
      <w:sz w:val="28"/>
      <w:szCs w:val="28"/>
      <w:lang w:val="zh-CN" w:bidi="zh-CN"/>
    </w:rPr>
  </w:style>
  <w:style w:type="character" w:styleId="920" w:customStyle="1">
    <w:name w:val="正文缩进 字符"/>
    <w:link w:val="721"/>
    <w:uiPriority w:val="99"/>
    <w:qFormat/>
    <w:rPr>
      <w:rFonts w:ascii="宋体" w:hAnsi="宋体" w:cs="宋体"/>
      <w:b/>
      <w:sz w:val="24"/>
      <w:lang w:val="zh-CN" w:bidi="zh-CN"/>
    </w:rPr>
  </w:style>
  <w:style w:type="character" w:styleId="921" w:customStyle="1">
    <w:name w:val="批注文字 字符1"/>
    <w:link w:val="723"/>
    <w:uiPriority w:val="0"/>
    <w:qFormat/>
    <w:rPr>
      <w:rFonts w:ascii="宋体" w:hAnsi="宋体" w:cs="宋体"/>
      <w:szCs w:val="24"/>
      <w:lang w:val="zh-CN" w:bidi="zh-CN"/>
    </w:rPr>
  </w:style>
  <w:style w:type="character" w:styleId="922" w:customStyle="1">
    <w:name w:val="正文文本 字符"/>
    <w:link w:val="724"/>
    <w:uiPriority w:val="1"/>
    <w:qFormat/>
    <w:rPr>
      <w:rFonts w:ascii="宋体" w:hAnsi="宋体" w:cs="宋体"/>
      <w:sz w:val="21"/>
      <w:szCs w:val="21"/>
      <w:lang w:val="zh-CN" w:bidi="zh-CN"/>
    </w:rPr>
  </w:style>
  <w:style w:type="character" w:styleId="923" w:customStyle="1">
    <w:name w:val="正文文本缩进 字符"/>
    <w:link w:val="725"/>
    <w:uiPriority w:val="0"/>
    <w:semiHidden/>
    <w:qFormat/>
    <w:rPr>
      <w:rFonts w:ascii="宋体" w:hAnsi="宋体" w:cs="宋体"/>
      <w:sz w:val="22"/>
      <w:szCs w:val="22"/>
      <w:lang w:val="zh-CN" w:bidi="zh-CN"/>
    </w:rPr>
  </w:style>
  <w:style w:type="character" w:styleId="924" w:customStyle="1">
    <w:name w:val="纯文本 字符1"/>
    <w:link w:val="730"/>
    <w:uiPriority w:val="0"/>
    <w:qFormat/>
    <w:rPr>
      <w:rFonts w:ascii="宋体" w:hAnsi="Courier New" w:cs="Courier New"/>
      <w:szCs w:val="21"/>
    </w:rPr>
  </w:style>
  <w:style w:type="character" w:styleId="925" w:customStyle="1">
    <w:name w:val="批注框文本 字符"/>
    <w:link w:val="733"/>
    <w:uiPriority w:val="0"/>
    <w:qFormat/>
    <w:rPr>
      <w:rFonts w:ascii="宋体" w:hAnsi="宋体" w:cs="宋体"/>
      <w:sz w:val="18"/>
      <w:szCs w:val="18"/>
      <w:lang w:val="zh-CN" w:bidi="zh-CN"/>
    </w:rPr>
  </w:style>
  <w:style w:type="character" w:styleId="926" w:customStyle="1">
    <w:name w:val="页脚 字符"/>
    <w:link w:val="734"/>
    <w:uiPriority w:val="0"/>
    <w:qFormat/>
    <w:rPr>
      <w:rFonts w:ascii="宋体" w:hAnsi="宋体" w:cs="宋体"/>
      <w:sz w:val="18"/>
      <w:szCs w:val="18"/>
      <w:lang w:val="zh-CN" w:bidi="zh-CN"/>
    </w:rPr>
  </w:style>
  <w:style w:type="character" w:styleId="927" w:customStyle="1">
    <w:name w:val="页眉 字符"/>
    <w:link w:val="735"/>
    <w:uiPriority w:val="0"/>
    <w:qFormat/>
    <w:rPr>
      <w:rFonts w:ascii="宋体" w:hAnsi="宋体" w:cs="宋体"/>
      <w:sz w:val="18"/>
      <w:szCs w:val="18"/>
      <w:lang w:val="zh-CN" w:bidi="zh-CN"/>
    </w:rPr>
  </w:style>
  <w:style w:type="character" w:styleId="928" w:customStyle="1">
    <w:name w:val="批注主题 字符"/>
    <w:link w:val="746"/>
    <w:uiPriority w:val="0"/>
    <w:qFormat/>
    <w:rPr>
      <w:rFonts w:ascii="宋体" w:hAnsi="宋体" w:cs="宋体"/>
      <w:szCs w:val="24"/>
      <w:lang w:val="zh-CN" w:bidi="zh-CN"/>
    </w:rPr>
  </w:style>
  <w:style w:type="character" w:styleId="929" w:customStyle="1">
    <w:name w:val="正文首行缩进 字符"/>
    <w:link w:val="747"/>
    <w:uiPriority w:val="0"/>
    <w:semiHidden/>
    <w:qFormat/>
    <w:rPr>
      <w:rFonts w:ascii="宋体" w:hAnsi="宋体" w:cs="宋体"/>
      <w:sz w:val="22"/>
      <w:szCs w:val="22"/>
      <w:lang w:val="zh-CN" w:bidi="zh-CN"/>
    </w:rPr>
  </w:style>
  <w:style w:type="character" w:styleId="930" w:customStyle="1">
    <w:name w:val="已访问的超链接1"/>
    <w:uiPriority w:val="0"/>
    <w:unhideWhenUsed/>
    <w:qFormat/>
    <w:rPr>
      <w:color w:val="333333"/>
      <w:u w:val="none"/>
    </w:rPr>
  </w:style>
  <w:style w:type="paragraph" w:styleId="931" w:customStyle="1">
    <w:name w:val="正文1"/>
    <w:next w:val="708"/>
    <w:uiPriority w:val="0"/>
    <w:qFormat/>
    <w:pPr>
      <w:jc w:val="both"/>
      <w:widowControl w:val="off"/>
    </w:pPr>
    <w:rPr>
      <w:rFonts w:ascii="Calibri" w:hAnsi="Calibri" w:eastAsia="宋体" w:cs="Times New Roman"/>
      <w:lang w:val="en-US" w:eastAsia="zh-CN" w:bidi="ar-SA"/>
    </w:rPr>
  </w:style>
  <w:style w:type="table" w:styleId="932" w:customStyle="1">
    <w:name w:val="Table Normal"/>
    <w:uiPriority w:val="2"/>
    <w:unhideWhenUsed/>
    <w:qFormat/>
    <w:tblPr>
      <w:tblCellMar>
        <w:left w:w="0" w:type="dxa"/>
        <w:top w:w="0" w:type="dxa"/>
        <w:right w:w="0" w:type="dxa"/>
        <w:bottom w:w="0" w:type="dxa"/>
      </w:tblCellMar>
    </w:tblPr>
  </w:style>
  <w:style w:type="paragraph" w:styleId="933" w:customStyle="1">
    <w:name w:val="列表段落1"/>
    <w:basedOn w:val="708"/>
    <w:uiPriority w:val="99"/>
    <w:qFormat/>
    <w:pPr>
      <w:ind w:left="223" w:firstLine="420"/>
    </w:pPr>
  </w:style>
  <w:style w:type="paragraph" w:styleId="934" w:customStyle="1">
    <w:name w:val="Table Paragraph"/>
    <w:basedOn w:val="708"/>
    <w:uiPriority w:val="1"/>
    <w:qFormat/>
  </w:style>
  <w:style w:type="paragraph" w:styleId="935" w:customStyle="1">
    <w:name w:val="首行缩进"/>
    <w:basedOn w:val="708"/>
    <w:uiPriority w:val="0"/>
    <w:qFormat/>
    <w:pPr>
      <w:ind w:firstLine="480"/>
    </w:pPr>
    <w:rPr>
      <w:rFonts w:eastAsia="Calibri"/>
      <w:sz w:val="20"/>
      <w:szCs w:val="20"/>
    </w:rPr>
  </w:style>
  <w:style w:type="paragraph" w:styleId="93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37" w:customStyle="1">
    <w:name w:val="font21"/>
    <w:uiPriority w:val="0"/>
    <w:qFormat/>
    <w:rPr>
      <w:rFonts w:hint="eastAsia" w:ascii="宋体" w:hAnsi="宋体" w:eastAsia="宋体" w:cs="宋体"/>
      <w:color w:val="000000"/>
      <w:sz w:val="22"/>
      <w:szCs w:val="22"/>
      <w:u w:val="none"/>
    </w:rPr>
  </w:style>
  <w:style w:type="character" w:styleId="938" w:customStyle="1">
    <w:name w:val="纯文本 字符"/>
    <w:uiPriority w:val="0"/>
    <w:semiHidden/>
    <w:qFormat/>
    <w:rPr>
      <w:rFonts w:ascii="宋体" w:hAnsi="Courier New" w:eastAsia="宋体" w:cs="Courier New"/>
      <w:sz w:val="22"/>
      <w:szCs w:val="22"/>
      <w:lang w:val="zh-CN" w:bidi="zh-CN"/>
    </w:rPr>
  </w:style>
  <w:style w:type="paragraph" w:styleId="939" w:customStyle="1">
    <w:name w:val="pa-0"/>
    <w:basedOn w:val="708"/>
    <w:uiPriority w:val="0"/>
    <w:qFormat/>
    <w:pPr>
      <w:spacing w:before="150" w:after="150"/>
      <w:widowControl/>
    </w:pPr>
    <w:rPr>
      <w:sz w:val="24"/>
      <w:szCs w:val="24"/>
      <w:lang w:val="en-US" w:bidi="ar-SA"/>
    </w:rPr>
  </w:style>
  <w:style w:type="character" w:styleId="940" w:customStyle="1">
    <w:name w:val="批注文字 字符"/>
    <w:uiPriority w:val="0"/>
    <w:qFormat/>
    <w:rPr>
      <w:rFonts w:eastAsia="宋体"/>
      <w:lang w:val="en-US" w:eastAsia="zh-CN" w:bidi="ar-SA"/>
    </w:rPr>
  </w:style>
  <w:style w:type="character" w:styleId="941" w:customStyle="1">
    <w:name w:val="fontstyle01"/>
    <w:uiPriority w:val="0"/>
    <w:qFormat/>
    <w:rPr>
      <w:rFonts w:hint="eastAsia" w:ascii="仿宋" w:hAnsi="仿宋" w:eastAsia="仿宋"/>
      <w:color w:val="000000"/>
      <w:sz w:val="28"/>
      <w:szCs w:val="28"/>
    </w:rPr>
  </w:style>
  <w:style w:type="character" w:styleId="942" w:customStyle="1">
    <w:name w:val="NormalCharacter1"/>
    <w:uiPriority w:val="0"/>
    <w:qFormat/>
    <w:rPr>
      <w:rFonts w:ascii="Times New Roman" w:hAnsi="Times New Roman" w:eastAsia="宋体" w:cs="Times New Roman"/>
      <w:sz w:val="21"/>
      <w:szCs w:val="22"/>
      <w:lang w:val="en-US" w:eastAsia="zh-CN" w:bidi="ar-SA"/>
    </w:rPr>
  </w:style>
  <w:style w:type="paragraph" w:styleId="943" w:customStyle="1">
    <w:name w:val="正文1_0"/>
    <w:uiPriority w:val="0"/>
    <w:qFormat/>
    <w:pPr>
      <w:jc w:val="both"/>
      <w:widowControl w:val="off"/>
    </w:pPr>
    <w:rPr>
      <w:rFonts w:ascii="Calibri" w:hAnsi="Calibri" w:eastAsia="宋体" w:cs="Times New Roman"/>
      <w:szCs w:val="24"/>
      <w:lang w:val="en-US" w:eastAsia="zh-CN" w:bidi="ar-SA"/>
    </w:rPr>
  </w:style>
  <w:style w:type="paragraph" w:styleId="944" w:customStyle="1">
    <w:name w:val="标题 61"/>
    <w:basedOn w:val="708"/>
    <w:uiPriority w:val="1"/>
    <w:qFormat/>
    <w:pPr>
      <w:ind w:left="680"/>
      <w:outlineLvl w:val="6"/>
    </w:pPr>
    <w:rPr>
      <w:sz w:val="24"/>
      <w:szCs w:val="24"/>
      <w:lang w:val="en-US" w:bidi="ar-SA"/>
    </w:rPr>
  </w:style>
  <w:style w:type="paragraph" w:styleId="945" w:customStyle="1">
    <w:name w:val="标题 71"/>
    <w:basedOn w:val="708"/>
    <w:uiPriority w:val="1"/>
    <w:qFormat/>
    <w:pPr>
      <w:ind w:left="664" w:right="994"/>
      <w:jc w:val="center"/>
      <w:spacing w:before="93"/>
      <w:outlineLvl w:val="7"/>
    </w:pPr>
    <w:rPr>
      <w:b/>
      <w:bCs/>
      <w:lang w:val="en-US" w:bidi="ar-SA"/>
    </w:rPr>
  </w:style>
  <w:style w:type="paragraph" w:styleId="946" w:customStyle="1">
    <w:name w:val="标题 31"/>
    <w:basedOn w:val="708"/>
    <w:next w:val="947"/>
    <w:uiPriority w:val="1"/>
    <w:qFormat/>
    <w:pPr>
      <w:ind w:left="1"/>
      <w:jc w:val="center"/>
      <w:outlineLvl w:val="3"/>
    </w:pPr>
    <w:rPr>
      <w:b/>
      <w:bCs/>
      <w:sz w:val="28"/>
      <w:szCs w:val="28"/>
      <w:lang w:val="en-US" w:bidi="ar-SA"/>
    </w:rPr>
  </w:style>
  <w:style w:type="paragraph" w:styleId="947" w:customStyle="1">
    <w:name w:val="正文缩进1"/>
    <w:basedOn w:val="708"/>
    <w:uiPriority w:val="0"/>
    <w:qFormat/>
    <w:pPr>
      <w:ind w:firstLine="420"/>
    </w:pPr>
    <w:rPr>
      <w:szCs w:val="20"/>
    </w:rPr>
  </w:style>
  <w:style w:type="character" w:styleId="948" w:customStyle="1">
    <w:name w:val="标题1"/>
    <w:uiPriority w:val="0"/>
    <w:qFormat/>
  </w:style>
  <w:style w:type="paragraph" w:styleId="949" w:customStyle="1">
    <w:name w:val="修订1"/>
    <w:uiPriority w:val="99"/>
    <w:semiHidden/>
    <w:qFormat/>
    <w:rPr>
      <w:rFonts w:ascii="宋体" w:hAnsi="宋体" w:eastAsia="宋体" w:cs="宋体"/>
      <w:sz w:val="22"/>
      <w:szCs w:val="22"/>
      <w:lang w:val="zh-CN" w:eastAsia="zh-CN" w:bidi="zh-CN"/>
    </w:rPr>
  </w:style>
  <w:style w:type="paragraph" w:styleId="950" w:customStyle="1">
    <w:name w:val="修订2"/>
    <w:uiPriority w:val="99"/>
    <w:semiHidden/>
    <w:qFormat/>
    <w:rPr>
      <w:rFonts w:ascii="宋体" w:hAnsi="宋体" w:eastAsia="宋体" w:cs="宋体"/>
      <w:sz w:val="22"/>
      <w:szCs w:val="22"/>
      <w:lang w:val="zh-CN" w:eastAsia="zh-CN" w:bidi="zh-CN"/>
    </w:rPr>
  </w:style>
  <w:style w:type="character" w:styleId="951" w:customStyle="1">
    <w:name w:val="font11"/>
    <w:uiPriority w:val="0"/>
    <w:qFormat/>
    <w:rPr>
      <w:rFonts w:hint="eastAsia" w:ascii="微软雅黑" w:hAnsi="微软雅黑" w:eastAsia="微软雅黑" w:cs="微软雅黑"/>
      <w:b/>
      <w:bCs/>
      <w:color w:val="000000"/>
      <w:sz w:val="18"/>
      <w:szCs w:val="18"/>
      <w:u w:val="none"/>
    </w:rPr>
  </w:style>
  <w:style w:type="paragraph" w:styleId="952" w:customStyle="1">
    <w:name w:val="标题 41"/>
    <w:basedOn w:val="708"/>
    <w:uiPriority w:val="1"/>
    <w:qFormat/>
    <w:pPr>
      <w:ind w:left="618"/>
      <w:outlineLvl w:val="4"/>
    </w:pPr>
    <w:rPr>
      <w:b/>
      <w:bCs/>
      <w:sz w:val="24"/>
    </w:rPr>
  </w:style>
  <w:style w:type="paragraph" w:styleId="953" w:customStyle="1">
    <w:name w:val="正文_13"/>
    <w:basedOn w:val="708"/>
    <w:uiPriority w:val="0"/>
    <w:qFormat/>
    <w:rPr>
      <w:szCs w:val="21"/>
    </w:rPr>
  </w:style>
  <w:style w:type="character" w:styleId="954" w:customStyle="1">
    <w:name w:val="纯文本 Char1"/>
    <w:uiPriority w:val="0"/>
    <w:qFormat/>
    <w:rPr>
      <w:rFonts w:ascii="宋体" w:hAnsi="Courier New"/>
      <w:sz w:val="21"/>
    </w:rPr>
  </w:style>
  <w:style w:type="paragraph" w:styleId="955" w:customStyle="1">
    <w:name w:val="无间隔1"/>
    <w:uiPriority w:val="1"/>
    <w:qFormat/>
    <w:rPr>
      <w:rFonts w:ascii="Times New Roman" w:hAnsi="Times New Roman" w:eastAsia="宋体" w:cs="Times New Roman"/>
      <w:sz w:val="22"/>
      <w:lang w:val="en-US" w:eastAsia="zh-CN" w:bidi="ar-SA"/>
    </w:rPr>
  </w:style>
  <w:style w:type="paragraph" w:styleId="956" w:customStyle="1">
    <w:name w:val="列表段落2"/>
    <w:basedOn w:val="708"/>
    <w:uiPriority w:val="34"/>
    <w:qFormat/>
    <w:pPr>
      <w:ind w:left="223" w:firstLine="420"/>
    </w:pPr>
  </w:style>
  <w:style w:type="paragraph" w:styleId="957" w:customStyle="1">
    <w:name w:val="标准文本"/>
    <w:basedOn w:val="708"/>
    <w:uiPriority w:val="0"/>
    <w:qFormat/>
    <w:pPr>
      <w:ind w:firstLine="480"/>
      <w:spacing w:line="360" w:lineRule="auto"/>
    </w:pPr>
    <w:rPr>
      <w:sz w:val="24"/>
    </w:rPr>
  </w:style>
  <w:style w:type="character" w:styleId="958" w:customStyle="1">
    <w:name w:val="NormalCharacter11"/>
    <w:uiPriority w:val="0"/>
    <w:semiHidden/>
    <w:qFormat/>
  </w:style>
  <w:style w:type="paragraph" w:styleId="959" w:customStyle="1">
    <w:name w:val="样式 样式 首行缩进:  2 字符 + 行距: 1.5 倍行距"/>
    <w:basedOn w:val="708"/>
    <w:uiPriority w:val="0"/>
    <w:qFormat/>
    <w:pPr>
      <w:ind w:firstLine="470"/>
      <w:spacing w:line="360" w:lineRule="auto"/>
    </w:pPr>
    <w:rPr>
      <w:sz w:val="24"/>
      <w:szCs w:val="20"/>
    </w:rPr>
  </w:style>
  <w:style w:type="paragraph" w:styleId="960" w:customStyle="1">
    <w:name w:val="招标"/>
    <w:basedOn w:val="708"/>
    <w:uiPriority w:val="0"/>
    <w:qFormat/>
    <w:pPr>
      <w:ind w:firstLine="420"/>
      <w:spacing w:line="400" w:lineRule="exact"/>
    </w:pPr>
  </w:style>
  <w:style w:type="paragraph" w:styleId="961" w:customStyle="1">
    <w:name w:val="纯文本11"/>
    <w:basedOn w:val="708"/>
    <w:uiPriority w:val="0"/>
    <w:qFormat/>
    <w:rPr>
      <w:rFonts w:hAnsi="Courier New"/>
      <w:szCs w:val="21"/>
    </w:rPr>
  </w:style>
  <w:style w:type="paragraph" w:styleId="962" w:customStyle="1">
    <w:name w:val="页眉1"/>
    <w:basedOn w:val="70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3" w:customStyle="1">
    <w:name w:val="页脚1"/>
    <w:basedOn w:val="708"/>
    <w:uiPriority w:val="99"/>
    <w:unhideWhenUsed/>
    <w:qFormat/>
    <w:pPr>
      <w:tabs>
        <w:tab w:val="center" w:pos="4153" w:leader="none"/>
        <w:tab w:val="right" w:pos="8306" w:leader="none"/>
      </w:tabs>
    </w:pPr>
    <w:rPr>
      <w:sz w:val="18"/>
      <w:szCs w:val="18"/>
    </w:rPr>
  </w:style>
  <w:style w:type="paragraph" w:styleId="964" w:customStyle="1">
    <w:name w:val="修订3"/>
    <w:uiPriority w:val="99"/>
    <w:unhideWhenUsed/>
    <w:qFormat/>
    <w:rPr>
      <w:rFonts w:ascii="宋体" w:hAnsi="宋体" w:eastAsia="宋体" w:cs="宋体"/>
      <w:sz w:val="22"/>
      <w:szCs w:val="22"/>
      <w:lang w:val="zh-CN" w:eastAsia="zh-CN" w:bidi="zh-CN"/>
    </w:rPr>
  </w:style>
  <w:style w:type="paragraph" w:styleId="965" w:customStyle="1">
    <w:name w:val="章前标题"/>
    <w:next w:val="708"/>
    <w:uiPriority w:val="0"/>
    <w:qFormat/>
    <w:pPr>
      <w:jc w:val="center"/>
      <w:spacing w:before="240" w:after="240"/>
      <w:widowControl w:val="off"/>
    </w:pPr>
    <w:rPr>
      <w:rFonts w:ascii="黑体" w:hAnsi="黑体" w:eastAsia="黑体" w:cs="黑体"/>
      <w:sz w:val="32"/>
      <w:szCs w:val="36"/>
      <w:lang w:val="en-US" w:eastAsia="zh-CN" w:bidi="ar-SA"/>
    </w:rPr>
  </w:style>
  <w:style w:type="paragraph" w:styleId="966" w:customStyle="1">
    <w:name w:val="附录标题"/>
    <w:next w:val="708"/>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67" w:customStyle="1">
    <w:name w:val="强调标题"/>
    <w:next w:val="708"/>
    <w:uiPriority w:val="0"/>
    <w:qFormat/>
    <w:pPr>
      <w:ind w:firstLine="420"/>
      <w:spacing w:after="120" w:line="360" w:lineRule="auto"/>
      <w:outlineLvl w:val="0"/>
    </w:pPr>
    <w:rPr>
      <w:rFonts w:ascii="Calibri" w:hAnsi="Calibri" w:eastAsia="宋体" w:cs="Times New Roman"/>
      <w:b/>
      <w:sz w:val="24"/>
      <w:lang w:val="en-US" w:eastAsia="zh-CN" w:bidi="ar-SA"/>
    </w:rPr>
  </w:style>
  <w:style w:type="character" w:styleId="968" w:customStyle="1">
    <w:name w:val="active16"/>
    <w:uiPriority w:val="0"/>
    <w:qFormat/>
    <w:rPr>
      <w:color w:val="ffffff"/>
      <w:shd w:val="clear" w:color="auto" w:fill="0f5bb9"/>
    </w:rPr>
  </w:style>
  <w:style w:type="paragraph" w:styleId="969" w:customStyle="1">
    <w:name w:val="表格"/>
    <w:basedOn w:val="708"/>
    <w:uiPriority w:val="0"/>
    <w:qFormat/>
    <w:pPr>
      <w:spacing w:line="360" w:lineRule="auto"/>
      <w:widowControl/>
    </w:pPr>
    <w:rPr>
      <w:sz w:val="24"/>
      <w:szCs w:val="24"/>
    </w:rPr>
  </w:style>
  <w:style w:type="character" w:styleId="970" w:customStyle="1">
    <w:name w:val="正文文本 字符1"/>
    <w:uiPriority w:val="0"/>
    <w:qFormat/>
    <w:rPr>
      <w:rFonts w:eastAsia="宋体"/>
      <w:sz w:val="21"/>
      <w:szCs w:val="24"/>
      <w:lang w:val="en-US" w:eastAsia="zh-CN" w:bidi="ar-SA"/>
    </w:rPr>
  </w:style>
  <w:style w:type="paragraph" w:styleId="971" w:customStyle="1">
    <w:name w:val="标题 11"/>
    <w:basedOn w:val="708"/>
    <w:next w:val="708"/>
    <w:uiPriority w:val="99"/>
    <w:qFormat/>
    <w:pPr>
      <w:keepLines/>
      <w:keepNext/>
      <w:spacing w:before="340" w:after="330" w:line="576" w:lineRule="auto"/>
      <w:outlineLvl w:val="0"/>
    </w:pPr>
    <w:rPr>
      <w:b/>
      <w:bCs/>
      <w:sz w:val="44"/>
      <w:szCs w:val="44"/>
    </w:rPr>
  </w:style>
  <w:style w:type="character" w:styleId="972" w:customStyle="1">
    <w:name w:val="要点1"/>
    <w:uiPriority w:val="99"/>
    <w:qFormat/>
    <w:rPr>
      <w:rFonts w:cs="Times New Roman"/>
      <w:b/>
    </w:rPr>
  </w:style>
  <w:style w:type="character" w:styleId="973" w:customStyle="1">
    <w:name w:val="默认段落字体1"/>
    <w:uiPriority w:val="1"/>
    <w:unhideWhenUsed/>
    <w:qFormat/>
  </w:style>
  <w:style w:type="paragraph" w:styleId="974" w:customStyle="1">
    <w:name w:val="普通(网站)1"/>
    <w:basedOn w:val="708"/>
    <w:uiPriority w:val="0"/>
    <w:qFormat/>
    <w:pPr>
      <w:spacing w:before="100" w:beforeAutospacing="1" w:after="100" w:afterAutospacing="1"/>
      <w:widowControl/>
    </w:pPr>
    <w:rPr>
      <w:sz w:val="24"/>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8F44C-053F-47C8-B421-13AAE58AD67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江跃</cp:lastModifiedBy>
  <cp:revision>75</cp:revision>
  <dcterms:created xsi:type="dcterms:W3CDTF">2024-12-03T02:51:00Z</dcterms:created>
  <dcterms:modified xsi:type="dcterms:W3CDTF">2026-09-02T08:44:11Z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eyJoZGlkIjoiZDVmZDhiNjU4NTc1MDYzYTljMTA4YTc5NDg5NDBhY2UiLCJ1c2VySWQiOiI2OTY0NTIwNDcifQ==</vt:lpwstr>
  </property>
  <property fmtid="{D5CDD505-2E9C-101B-9397-08002B2CF9AE}" pid="3" name="KSOProductBuildVer">
    <vt:lpwstr>2052-12.1.0.23125</vt:lpwstr>
  </property>
  <property fmtid="{D5CDD505-2E9C-101B-9397-08002B2CF9AE}" pid="4" name="ICV">
    <vt:lpwstr>22B8D943881B45D983C4843AA41B35A9_13</vt:lpwstr>
  </property>
</Properties>
</file>