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spacing w:before="120" w:after="120"/>
        <w:pBdr>
          <w:top w:val="none" w:color="000000" w:sz="0" w:space="0"/>
          <w:left w:val="none" w:color="000000" w:sz="0" w:space="0"/>
          <w:bottom w:val="none" w:color="000000" w:sz="0" w:space="0"/>
          <w:right w:val="none" w:color="000000" w:sz="0" w:space="0"/>
        </w:pBdr>
      </w:pPr>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招　标　文　件</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rPr>
          <w:rFonts w:ascii="Times New Roman" w:hAnsi="Times New Roman" w:eastAsia="Times New Roman" w:cs="Times New Roman"/>
          <w:color w:val="000000"/>
          <w:sz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1606" w:right="0" w:hanging="1606"/>
        <w:jc w:val="both"/>
        <w:spacing w:before="120" w:after="120"/>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项目名称：江苏省扬州市中级人民法院刑事大法庭及配套场所信息化建设项目</w:t>
      </w:r>
      <w:r/>
    </w:p>
    <w:p>
      <w:pPr>
        <w:ind w:right="0"/>
        <w:jc w:val="both"/>
        <w:spacing w:before="120" w:after="120"/>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项目编号：JSZC-321000-JZCG-G2026-0091</w:t>
      </w:r>
      <w:r/>
    </w:p>
    <w:p>
      <w:pPr>
        <w:ind w:left="2800" w:right="0" w:hanging="280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rPr>
          <w:rFonts w:ascii="宋体" w:hAnsi="宋体" w:eastAsia="宋体" w:cs="宋体"/>
          <w:b/>
          <w:color w:val="000000"/>
          <w:sz w:val="28"/>
        </w:rPr>
        <w:t xml:space="preserve"> </w:t>
      </w:r>
      <w:r/>
    </w:p>
    <w:p>
      <w:pPr>
        <w:ind w:left="2295" w:right="0" w:hanging="1560"/>
        <w:jc w:val="both"/>
        <w:spacing w:before="0" w:after="0"/>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pStyle w:val="753"/>
        <w:rPr>
          <w:rFonts w:ascii="宋体" w:hAnsi="宋体" w:eastAsia="宋体" w:cs="宋体"/>
          <w:color w:val="000000"/>
          <w:sz w:val="24"/>
        </w:rPr>
      </w:pPr>
      <w:r>
        <w:rPr>
          <w:rFonts w:ascii="宋体" w:hAnsi="宋体" w:eastAsia="宋体" w:cs="宋体"/>
          <w:color w:val="000000"/>
          <w:sz w:val="24"/>
        </w:rPr>
      </w:r>
      <w:r/>
    </w:p>
    <w:p>
      <w:pPr>
        <w:rPr>
          <w:rFonts w:ascii="宋体" w:hAnsi="宋体" w:eastAsia="宋体" w:cs="宋体"/>
          <w:color w:val="000000"/>
          <w:sz w:val="24"/>
        </w:rPr>
      </w:pPr>
      <w:r>
        <w:rPr>
          <w:rFonts w:ascii="宋体" w:hAnsi="宋体" w:eastAsia="宋体" w:cs="宋体"/>
          <w:color w:val="000000"/>
          <w:sz w:val="24"/>
        </w:rPr>
      </w:r>
      <w:r/>
    </w:p>
    <w:p>
      <w:pPr>
        <w:pStyle w:val="753"/>
        <w:rPr>
          <w:rFonts w:ascii="宋体" w:hAnsi="宋体" w:eastAsia="宋体" w:cs="宋体"/>
          <w:color w:val="000000"/>
          <w:sz w:val="24"/>
        </w:rPr>
      </w:pPr>
      <w:r>
        <w:rPr>
          <w:rFonts w:ascii="宋体" w:hAnsi="宋体" w:eastAsia="宋体" w:cs="宋体"/>
          <w:color w:val="000000"/>
          <w:sz w:val="24"/>
        </w:rPr>
      </w:r>
      <w:r/>
    </w:p>
    <w:p>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扬州市公共资源交易中心</w:t>
      </w:r>
      <w:r/>
    </w:p>
    <w:p>
      <w:pPr>
        <w:ind w:left="0" w:right="0" w:firstLine="0"/>
        <w:jc w:val="center"/>
        <w:spacing w:before="120" w:after="1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Arial" w:hAnsi="Arial" w:cs="Arial"/>
          <w:b/>
          <w:color w:val="000000" w:themeColor="text1"/>
          <w:sz w:val="32"/>
          <w:lang w:val="en-US" w:eastAsia="zh-CN"/>
          <w14:textFill>
            <w14:solidFill>
              <w14:schemeClr w14:val="tx1"/>
            </w14:solidFill>
          </w14:textFill>
        </w:rPr>
        <w:t xml:space="preserve">2026</w:t>
      </w:r>
      <w:r>
        <w:rPr>
          <w:rFonts w:ascii="宋体" w:hAnsi="宋体" w:eastAsia="宋体" w:cs="宋体"/>
          <w:b/>
          <w:color w:val="000000" w:themeColor="text1"/>
          <w:sz w:val="32"/>
          <w14:textFill>
            <w14:solidFill>
              <w14:schemeClr w14:val="tx1"/>
            </w14:solidFill>
          </w14:textFill>
        </w:rPr>
        <w:t xml:space="preserve">年</w:t>
      </w:r>
      <w:r>
        <w:rPr>
          <w:rFonts w:hint="eastAsia" w:ascii="Arial" w:hAnsi="Arial" w:cs="Arial"/>
          <w:b/>
          <w:color w:val="000000" w:themeColor="text1"/>
          <w:sz w:val="32"/>
          <w:lang w:val="en-US" w:eastAsia="zh-CN"/>
          <w14:textFill>
            <w14:solidFill>
              <w14:schemeClr w14:val="tx1"/>
            </w14:solidFill>
          </w14:textFill>
        </w:rPr>
        <w:t xml:space="preserve">08</w:t>
      </w:r>
      <w:r>
        <w:rPr>
          <w:rFonts w:ascii="宋体" w:hAnsi="宋体" w:eastAsia="宋体" w:cs="宋体"/>
          <w:b/>
          <w:color w:val="000000" w:themeColor="text1"/>
          <w:sz w:val="32"/>
          <w14:textFill>
            <w14:solidFill>
              <w14:schemeClr w14:val="tx1"/>
            </w14:solidFill>
          </w14:textFill>
        </w:rPr>
        <w:t xml:space="preserve">月</w:t>
      </w:r>
      <w:r/>
    </w:p>
    <w:p>
      <w:pPr>
        <w:ind w:left="0" w:right="0" w:firstLine="0"/>
        <w:jc w:val="both"/>
        <w:spacing w:before="120" w:after="12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sectPr>
          <w:headerReference w:type="default" r:id="rId9"/>
          <w:footnotePr/>
          <w:endnotePr/>
          <w:type w:val="nextPage"/>
          <w:pgSz w:w="11906" w:h="16838" w:orient="portrait"/>
          <w:pgMar w:top="1418" w:right="1588" w:bottom="1418" w:left="1365" w:header="851" w:footer="907" w:gutter="0"/>
          <w:cols w:num="1" w:sep="0" w:space="1701" w:equalWidth="1"/>
          <w:docGrid w:linePitch="360"/>
          <w:titlePg/>
        </w:sectPr>
      </w:pPr>
      <w:r>
        <w:rPr>
          <w:rFonts w:ascii="宋体" w:hAnsi="宋体" w:eastAsia="宋体" w:cs="宋体"/>
          <w:color w:val="000000"/>
          <w:sz w:val="24"/>
        </w:rPr>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总目录</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 </w:t>
      </w:r>
      <w:r/>
    </w:p>
    <w:p>
      <w:pPr>
        <w:numPr>
          <w:ilvl w:val="0"/>
          <w:numId w:val="5"/>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投标邀请……………………………………2</w:t>
      </w:r>
      <w:r/>
    </w:p>
    <w:p>
      <w:pPr>
        <w:numPr>
          <w:ilvl w:val="0"/>
          <w:numId w:val="5"/>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投标人须知…………………………………5</w:t>
      </w:r>
      <w:r/>
    </w:p>
    <w:p>
      <w:pPr>
        <w:numPr>
          <w:ilvl w:val="0"/>
          <w:numId w:val="5"/>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合同文本……………………………………15</w:t>
      </w:r>
      <w:r/>
    </w:p>
    <w:p>
      <w:pPr>
        <w:numPr>
          <w:ilvl w:val="0"/>
          <w:numId w:val="5"/>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采购需求……………………………………31</w:t>
      </w:r>
      <w:r/>
    </w:p>
    <w:p>
      <w:pPr>
        <w:numPr>
          <w:ilvl w:val="0"/>
          <w:numId w:val="5"/>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评标方法与评标标准………………………60</w:t>
      </w:r>
      <w:r/>
    </w:p>
    <w:p>
      <w:pPr>
        <w:numPr>
          <w:ilvl w:val="0"/>
          <w:numId w:val="5"/>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投标文件格式………………………………64</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pStyle w:val="939"/>
      </w:pPr>
      <w:r>
        <w:rPr>
          <w:rFonts w:ascii="黑体" w:hAnsi="黑体" w:eastAsia="黑体" w:cs="黑体"/>
          <w:color w:val="000000"/>
          <w:sz w:val="44"/>
        </w:rPr>
        <w:t xml:space="preserve">第一章投标邀请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受江苏省扬州市中级人民法院的委托，扬州市公共资源交易中心就江苏省扬州市中级人民法院刑事大法庭及配套场所信息化建设项目(项目编号</w:t>
      </w:r>
      <w:r>
        <w:rPr>
          <w:rFonts w:hint="eastAsia" w:ascii="宋体" w:hAnsi="宋体" w:eastAsia="宋体" w:cs="宋体"/>
          <w:color w:val="000000"/>
          <w:sz w:val="24"/>
          <w:lang w:eastAsia="zh-CN"/>
        </w:rPr>
        <w:t xml:space="preserve">：</w:t>
      </w:r>
      <w:r>
        <w:rPr>
          <w:rFonts w:ascii="宋体" w:hAnsi="宋体" w:eastAsia="宋体" w:cs="宋体"/>
          <w:color w:val="000000"/>
          <w:sz w:val="24"/>
        </w:rPr>
        <w:t xml:space="preserve">JSZC-321000-JZCG-G2026-0091)项目进行公开招标采购，欢迎符合条件的供应商投标。</w:t>
      </w:r>
      <w:r/>
    </w:p>
    <w:p>
      <w:pPr>
        <w:ind w:left="0" w:right="0" w:firstLine="480"/>
        <w:jc w:val="both"/>
        <w:spacing w:before="0" w:after="0" w:line="400" w:lineRule="atLeast"/>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4"/>
        </w:rPr>
        <w:t xml:space="preserve">项目概况</w:t>
      </w:r>
      <w:r/>
    </w:p>
    <w:p>
      <w:pPr>
        <w:ind w:left="0" w:right="0" w:firstLine="480"/>
        <w:jc w:val="both"/>
        <w:spacing w:before="0" w:after="0" w:line="400" w:lineRule="atLeast"/>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4"/>
        </w:rPr>
        <w:t xml:space="preserve">江苏省扬州市中级人民法院刑事大法庭及配套场所信息化建设招标项目的潜在投标人可在</w:t>
      </w:r>
      <w:r>
        <w:rPr>
          <w:rFonts w:ascii="宋体" w:hAnsi="宋体" w:eastAsia="宋体" w:cs="宋体"/>
          <w:color w:val="000000"/>
          <w:sz w:val="24"/>
          <w:u w:val="single"/>
        </w:rPr>
        <w:t xml:space="preserve">“江苏政府采购网、扬州市政府采购网”</w:t>
      </w:r>
      <w:r>
        <w:rPr>
          <w:rFonts w:ascii="宋体" w:hAnsi="宋体" w:eastAsia="宋体" w:cs="宋体"/>
          <w:color w:val="000000"/>
          <w:sz w:val="24"/>
        </w:rPr>
        <w:t xml:space="preserve">自行免费下载招标文件，并于</w:t>
      </w:r>
      <w:r>
        <w:rPr>
          <w:rFonts w:hint="eastAsia" w:ascii="宋体" w:hAnsi="宋体" w:cs="宋体"/>
          <w:color w:val="000000" w:themeColor="text1"/>
          <w:sz w:val="24"/>
          <w:u w:val="single"/>
          <w:lang w:val="en-US" w:eastAsia="zh-CN"/>
          <w14:textFill>
            <w14:solidFill>
              <w14:schemeClr w14:val="tx1"/>
            </w14:solidFill>
          </w14:textFill>
        </w:rPr>
        <w:t xml:space="preserve">2026</w:t>
      </w:r>
      <w:r>
        <w:rPr>
          <w:rFonts w:ascii="宋体" w:hAnsi="宋体" w:eastAsia="宋体" w:cs="宋体"/>
          <w:color w:val="000000" w:themeColor="text1"/>
          <w:sz w:val="24"/>
          <w:u w:val="single"/>
          <w14:textFill>
            <w14:solidFill>
              <w14:schemeClr w14:val="tx1"/>
            </w14:solidFill>
          </w14:textFill>
        </w:rPr>
        <w:t xml:space="preserve">年</w:t>
      </w:r>
      <w:r>
        <w:rPr>
          <w:rFonts w:hint="eastAsia" w:ascii="宋体" w:hAnsi="宋体" w:cs="宋体"/>
          <w:color w:val="000000" w:themeColor="text1"/>
          <w:sz w:val="24"/>
          <w:u w:val="single"/>
          <w:lang w:val="en-US" w:eastAsia="zh-CN"/>
          <w14:textFill>
            <w14:solidFill>
              <w14:schemeClr w14:val="tx1"/>
            </w14:solidFill>
          </w14:textFill>
        </w:rPr>
        <w:t xml:space="preserve">09</w:t>
      </w:r>
      <w:r>
        <w:rPr>
          <w:rFonts w:ascii="宋体" w:hAnsi="宋体" w:eastAsia="宋体" w:cs="宋体"/>
          <w:color w:val="000000" w:themeColor="text1"/>
          <w:sz w:val="24"/>
          <w:u w:val="single"/>
          <w14:textFill>
            <w14:solidFill>
              <w14:schemeClr w14:val="tx1"/>
            </w14:solidFill>
          </w14:textFill>
        </w:rPr>
        <w:t xml:space="preserve">月</w:t>
      </w:r>
      <w:r>
        <w:rPr>
          <w:rFonts w:hint="eastAsia" w:ascii="宋体" w:hAnsi="宋体" w:cs="宋体"/>
          <w:color w:val="000000" w:themeColor="text1"/>
          <w:sz w:val="24"/>
          <w:u w:val="single"/>
          <w:lang w:val="en-US" w:eastAsia="zh-CN"/>
          <w14:textFill>
            <w14:solidFill>
              <w14:schemeClr w14:val="tx1"/>
            </w14:solidFill>
          </w14:textFill>
        </w:rPr>
        <w:t xml:space="preserve">11</w:t>
      </w:r>
      <w:r>
        <w:rPr>
          <w:rFonts w:ascii="宋体" w:hAnsi="宋体" w:eastAsia="宋体" w:cs="宋体"/>
          <w:color w:val="000000" w:themeColor="text1"/>
          <w:sz w:val="24"/>
          <w:u w:val="single"/>
          <w14:textFill>
            <w14:solidFill>
              <w14:schemeClr w14:val="tx1"/>
            </w14:solidFill>
          </w14:textFill>
        </w:rPr>
        <w:t xml:space="preserve">日09点30分</w:t>
      </w:r>
      <w:r>
        <w:rPr>
          <w:rFonts w:ascii="宋体" w:hAnsi="宋体" w:eastAsia="宋体" w:cs="宋体"/>
          <w:color w:val="000000"/>
          <w:sz w:val="24"/>
          <w:u w:val="single"/>
        </w:rPr>
        <w:t xml:space="preserve">（</w:t>
      </w:r>
      <w:r>
        <w:rPr>
          <w:rFonts w:ascii="宋体" w:hAnsi="宋体" w:eastAsia="宋体" w:cs="宋体"/>
          <w:color w:val="000000"/>
          <w:sz w:val="24"/>
        </w:rPr>
        <w:t xml:space="preserve">北京时间）前递交投标文件。</w:t>
      </w:r>
      <w:r/>
    </w:p>
    <w:p>
      <w:pPr>
        <w:ind w:left="0" w:right="0" w:firstLine="496"/>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一、项目基本情况</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1.项目编号：JSZC-321000-JZCG-G2026-0091</w:t>
      </w:r>
      <w:r/>
    </w:p>
    <w:p>
      <w:pPr>
        <w:ind w:left="479" w:right="0" w:firstLine="64"/>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2.项目名称：江苏省扬州市中级人民法院刑事大法庭及配套场所信息化建设项目3.预算金额：</w:t>
      </w:r>
      <w:r/>
    </w:p>
    <w:tbl>
      <w:tblPr>
        <w:tblStyle w:val="752"/>
        <w:tblW w:w="8096"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82"/>
        <w:gridCol w:w="651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82"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14"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预算金额（人民币：万元）</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2"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4" w:type="dxa"/>
            <w:vAlign w:val="top"/>
            <w:textDirection w:val="lrTb"/>
            <w:noWrap w:val="false"/>
          </w:tcPr>
          <w:p>
            <w:pPr>
              <w:ind w:left="0" w:right="0" w:firstLine="0"/>
              <w:jc w:val="center"/>
              <w:spacing w:before="0" w:after="0"/>
              <w:rPr>
                <w:rFonts w:hint="default" w:eastAsia="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170万元</w:t>
            </w:r>
            <w:r/>
          </w:p>
        </w:tc>
      </w:tr>
    </w:tbl>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4.最高限价：</w:t>
      </w:r>
      <w:r/>
    </w:p>
    <w:tbl>
      <w:tblPr>
        <w:tblStyle w:val="752"/>
        <w:tblW w:w="8086"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1"/>
        <w:gridCol w:w="2432"/>
        <w:gridCol w:w="453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32"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是否设定最高限价</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533"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最高限价（人民币：万元）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2"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3" w:type="dxa"/>
            <w:vAlign w:val="top"/>
            <w:textDirection w:val="lrTb"/>
            <w:noWrap w:val="false"/>
          </w:tcPr>
          <w:p>
            <w:pPr>
              <w:ind w:left="0" w:right="0" w:firstLine="0"/>
              <w:jc w:val="center"/>
              <w:spacing w:before="0" w:after="0"/>
              <w:rPr>
                <w:rFonts w:hint="default" w:eastAsia="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170万元</w:t>
            </w:r>
            <w:r/>
          </w:p>
        </w:tc>
      </w:tr>
    </w:tbl>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5.采购需求(简介)：</w:t>
      </w:r>
      <w:r>
        <w:rPr>
          <w:rFonts w:hint="eastAsia" w:asciiTheme="minorEastAsia" w:hAnsiTheme="minorEastAsia" w:eastAsiaTheme="minorEastAsia" w:cstheme="minorEastAsia"/>
          <w:sz w:val="24"/>
          <w:szCs w:val="24"/>
          <w:highlight w:val="none"/>
        </w:rPr>
        <w:t xml:space="preserve">本次信息化项目主要是建设</w:t>
      </w:r>
      <w:r>
        <w:rPr>
          <w:rFonts w:hint="eastAsia" w:asciiTheme="minorEastAsia" w:hAnsiTheme="minorEastAsia" w:eastAsiaTheme="minorEastAsia" w:cstheme="minorEastAsia"/>
          <w:sz w:val="24"/>
          <w:szCs w:val="24"/>
          <w:highlight w:val="none"/>
          <w:lang w:val="en-US" w:eastAsia="zh-CN"/>
        </w:rPr>
        <w:t xml:space="preserve">新审判法庭</w:t>
      </w:r>
      <w:r>
        <w:rPr>
          <w:rFonts w:hint="eastAsia" w:asciiTheme="minorEastAsia" w:hAnsiTheme="minorEastAsia" w:eastAsiaTheme="minorEastAsia" w:cstheme="minorEastAsia"/>
          <w:sz w:val="24"/>
          <w:szCs w:val="24"/>
          <w:highlight w:val="none"/>
        </w:rPr>
        <w:t xml:space="preserve">刑事大法庭及配套场所信息化建设系统，主要内容包括：显示系统、</w:t>
      </w:r>
      <w:r>
        <w:rPr>
          <w:rFonts w:hint="eastAsia" w:asciiTheme="minorEastAsia" w:hAnsiTheme="minorEastAsia" w:eastAsiaTheme="minorEastAsia" w:cstheme="minorEastAsia"/>
          <w:sz w:val="24"/>
          <w:szCs w:val="24"/>
          <w:highlight w:val="none"/>
          <w:lang w:val="en-US" w:eastAsia="zh-CN"/>
        </w:rPr>
        <w:t xml:space="preserve">发言系统、</w:t>
      </w:r>
      <w:r>
        <w:rPr>
          <w:rFonts w:hint="eastAsia" w:asciiTheme="minorEastAsia" w:hAnsiTheme="minorEastAsia" w:eastAsiaTheme="minorEastAsia" w:cstheme="minorEastAsia"/>
          <w:sz w:val="24"/>
          <w:szCs w:val="24"/>
          <w:highlight w:val="none"/>
        </w:rPr>
        <w:t xml:space="preserve">视频会议系统、中央控制</w:t>
      </w:r>
      <w:r>
        <w:rPr>
          <w:rFonts w:hint="eastAsia" w:asciiTheme="minorEastAsia" w:hAnsiTheme="minorEastAsia" w:eastAsiaTheme="minorEastAsia" w:cstheme="minorEastAsia"/>
          <w:sz w:val="24"/>
          <w:szCs w:val="24"/>
          <w:highlight w:val="none"/>
          <w:lang w:val="en-US" w:eastAsia="zh-CN"/>
        </w:rPr>
        <w:t xml:space="preserve">设备</w:t>
      </w:r>
      <w:r>
        <w:rPr>
          <w:rFonts w:hint="eastAsia" w:asciiTheme="minorEastAsia" w:hAnsiTheme="minorEastAsia" w:eastAsiaTheme="minorEastAsia" w:cstheme="minorEastAsia"/>
          <w:sz w:val="24"/>
          <w:szCs w:val="24"/>
          <w:highlight w:val="none"/>
        </w:rPr>
        <w:t xml:space="preserve">、舞台机械</w:t>
      </w:r>
      <w:r>
        <w:rPr>
          <w:rFonts w:hint="eastAsia" w:asciiTheme="minorEastAsia" w:hAnsiTheme="minorEastAsia" w:eastAsiaTheme="minorEastAsia" w:cstheme="minorEastAsia"/>
          <w:sz w:val="24"/>
          <w:szCs w:val="24"/>
          <w:highlight w:val="none"/>
          <w:lang w:val="en-US" w:eastAsia="zh-CN"/>
        </w:rPr>
        <w:t xml:space="preserve">设备</w:t>
      </w:r>
      <w:r>
        <w:rPr>
          <w:rFonts w:hint="eastAsia" w:asciiTheme="minorEastAsia" w:hAnsiTheme="minorEastAsia" w:eastAsiaTheme="minorEastAsia" w:cstheme="minorEastAsia"/>
          <w:sz w:val="24"/>
          <w:szCs w:val="24"/>
          <w:highlight w:val="none"/>
        </w:rPr>
        <w:t xml:space="preserve">、舞台灯光</w:t>
      </w:r>
      <w:r>
        <w:rPr>
          <w:rFonts w:hint="eastAsia" w:asciiTheme="minorEastAsia" w:hAnsiTheme="minorEastAsia" w:eastAsiaTheme="minorEastAsia" w:cstheme="minorEastAsia"/>
          <w:sz w:val="24"/>
          <w:szCs w:val="24"/>
          <w:highlight w:val="none"/>
          <w:lang w:val="en-US" w:eastAsia="zh-CN"/>
        </w:rPr>
        <w:t xml:space="preserve">设备</w:t>
      </w:r>
      <w:r>
        <w:rPr>
          <w:rFonts w:hint="eastAsia" w:asciiTheme="minorEastAsia" w:hAnsiTheme="minorEastAsia" w:eastAsiaTheme="minorEastAsia" w:cstheme="minorEastAsia"/>
          <w:sz w:val="24"/>
          <w:szCs w:val="24"/>
          <w:highlight w:val="none"/>
        </w:rPr>
        <w:t xml:space="preserve">、</w:t>
      </w:r>
      <w:r>
        <w:rPr>
          <w:rFonts w:hint="eastAsia" w:asciiTheme="minorEastAsia" w:hAnsiTheme="minorEastAsia" w:eastAsiaTheme="minorEastAsia" w:cstheme="minorEastAsia"/>
          <w:sz w:val="24"/>
          <w:szCs w:val="24"/>
          <w:highlight w:val="none"/>
          <w:lang w:val="en-US" w:eastAsia="zh-CN"/>
        </w:rPr>
        <w:t xml:space="preserve">智能</w:t>
      </w:r>
      <w:r>
        <w:rPr>
          <w:rFonts w:hint="eastAsia" w:asciiTheme="minorEastAsia" w:hAnsiTheme="minorEastAsia" w:eastAsiaTheme="minorEastAsia" w:cstheme="minorEastAsia"/>
          <w:sz w:val="24"/>
          <w:szCs w:val="24"/>
          <w:highlight w:val="none"/>
        </w:rPr>
        <w:t xml:space="preserve">运维系统、18楼指挥调度</w:t>
      </w:r>
      <w:r>
        <w:rPr>
          <w:rFonts w:hint="eastAsia" w:asciiTheme="minorEastAsia" w:hAnsiTheme="minorEastAsia" w:eastAsiaTheme="minorEastAsia" w:cstheme="minorEastAsia"/>
          <w:sz w:val="24"/>
          <w:szCs w:val="24"/>
          <w:highlight w:val="none"/>
          <w:lang w:val="en-US" w:eastAsia="zh-CN"/>
        </w:rPr>
        <w:t xml:space="preserve">会议</w:t>
      </w:r>
      <w:r>
        <w:rPr>
          <w:rFonts w:hint="eastAsia" w:asciiTheme="minorEastAsia" w:hAnsiTheme="minorEastAsia" w:eastAsiaTheme="minorEastAsia" w:cstheme="minorEastAsia"/>
          <w:sz w:val="24"/>
          <w:szCs w:val="24"/>
          <w:highlight w:val="none"/>
        </w:rPr>
        <w:t xml:space="preserve">系统等。</w:t>
      </w:r>
      <w:r>
        <w:rPr>
          <w:rFonts w:ascii="宋体" w:hAnsi="宋体" w:eastAsia="宋体" w:cs="宋体"/>
          <w:color w:val="000000"/>
          <w:sz w:val="24"/>
          <w:highlight w:val="none"/>
        </w:rPr>
        <w:t xml:space="preserve">（详细内容见本招标文件第四章）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6.合同履行期限：</w:t>
      </w:r>
      <w:r>
        <w:rPr>
          <w:rFonts w:hint="eastAsia" w:ascii="宋体" w:hAnsi="宋体" w:eastAsia="宋体" w:cs="宋体"/>
          <w:sz w:val="24"/>
          <w:szCs w:val="24"/>
          <w:highlight w:val="none"/>
        </w:rPr>
        <w:t xml:space="preserve">自合同签订之日起，</w:t>
      </w:r>
      <w:r>
        <w:rPr>
          <w:rFonts w:hint="eastAsia" w:ascii="宋体" w:hAnsi="宋体" w:eastAsia="宋体" w:cs="宋体"/>
          <w:sz w:val="24"/>
          <w:szCs w:val="24"/>
          <w:highlight w:val="none"/>
          <w:lang w:val="en-US" w:eastAsia="zh-CN"/>
        </w:rPr>
        <w:t xml:space="preserve">15</w:t>
      </w:r>
      <w:r>
        <w:rPr>
          <w:rFonts w:hint="eastAsia" w:ascii="宋体" w:hAnsi="宋体" w:eastAsia="宋体" w:cs="宋体"/>
          <w:sz w:val="24"/>
          <w:szCs w:val="24"/>
          <w:highlight w:val="none"/>
        </w:rPr>
        <w:t xml:space="preserve">天内设备全部到货或部署，</w:t>
      </w:r>
      <w:r>
        <w:rPr>
          <w:rFonts w:hint="eastAsia" w:ascii="宋体" w:hAnsi="宋体" w:eastAsia="宋体" w:cs="宋体"/>
          <w:sz w:val="24"/>
          <w:szCs w:val="24"/>
          <w:highlight w:val="none"/>
          <w:lang w:val="en-US" w:eastAsia="zh-CN"/>
        </w:rPr>
        <w:t xml:space="preserve">25</w:t>
      </w:r>
      <w:r>
        <w:rPr>
          <w:rFonts w:hint="eastAsia" w:ascii="宋体" w:hAnsi="宋体" w:eastAsia="宋体" w:cs="宋体"/>
          <w:sz w:val="24"/>
          <w:szCs w:val="24"/>
          <w:highlight w:val="none"/>
        </w:rPr>
        <w:t xml:space="preserve">天内完工，连续不间断正常运行三个月后组织验收。</w:t>
      </w:r>
      <w:r/>
    </w:p>
    <w:p>
      <w:pPr>
        <w:ind w:left="0" w:right="0" w:firstLine="496"/>
        <w:jc w:val="both"/>
        <w:spacing w:before="156" w:after="156"/>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二、申请人的资格要求</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（一）通用资格要求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1.满足《中华人民共和国政府采购法》第二十二条规定，并提供下列材料：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1.1法人或者其他组织的营业执照等证明文件，自然人的身份证明；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1.2上一年度的财务状况报告（成立不满一年无需提供）；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1.4具备履行合同所必需的设备和专业技术能力的书面声明；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1.5参加政府采购活动前3年内在经营活动中没有重大违法记录的书面声明。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1.6供应商信用承诺函。</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3.落实政府采购政策需满足的资格要求：无</w:t>
      </w:r>
      <w:r/>
    </w:p>
    <w:p>
      <w:pPr>
        <w:ind w:left="0" w:right="0" w:firstLine="480"/>
        <w:jc w:val="both"/>
        <w:spacing w:before="0" w:after="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4.联合体投标</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
    </w:p>
    <w:tbl>
      <w:tblPr>
        <w:tblStyle w:val="752"/>
        <w:tblW w:w="7946"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8"/>
        <w:gridCol w:w="2808"/>
        <w:gridCol w:w="435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8"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08"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是否接受联合体投标</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35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该采购包中联合体成员数量上限</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8"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08"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w:t>
            </w:r>
            <w:r>
              <w:rPr>
                <w:rFonts w:ascii="宋体" w:hAnsi="宋体" w:eastAsia="宋体" w:cs="宋体"/>
                <w:color w:val="000000"/>
                <w:sz w:val="24"/>
              </w:rPr>
              <w:t xml:space="preserve"> </w:t>
            </w:r>
            <w:r/>
          </w:p>
        </w:tc>
      </w:tr>
    </w:tbl>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5.进口产品投标</w:t>
      </w:r>
      <w:r/>
    </w:p>
    <w:tbl>
      <w:tblPr>
        <w:tblStyle w:val="752"/>
        <w:tblW w:w="7914"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6"/>
        <w:gridCol w:w="721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18"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是否接受进口产品投标</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8"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否</w:t>
            </w:r>
            <w:r/>
          </w:p>
        </w:tc>
      </w:tr>
    </w:tbl>
    <w:p>
      <w:pPr>
        <w:ind w:right="0" w:firstLine="2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（二）本项目的特定资格要求</w:t>
      </w:r>
      <w:r/>
    </w:p>
    <w:tbl>
      <w:tblPr>
        <w:tblStyle w:val="752"/>
        <w:tblW w:w="7914"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57"/>
        <w:gridCol w:w="595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5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95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特定资格要求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7" w:type="dxa"/>
            <w:vAlign w:val="top"/>
            <w:textDirection w:val="lrTb"/>
            <w:noWrap w:val="false"/>
          </w:tcPr>
          <w:p>
            <w:pPr>
              <w:ind w:left="0" w:right="0" w:firstLine="0"/>
              <w:jc w:val="center"/>
              <w:spacing w:before="0" w:after="0" w:line="400"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无</w:t>
            </w:r>
            <w:r/>
          </w:p>
        </w:tc>
      </w:tr>
    </w:tbl>
    <w:p>
      <w:pPr>
        <w:ind w:left="0" w:right="0" w:firstLine="496"/>
        <w:jc w:val="both"/>
        <w:spacing w:before="156" w:after="156"/>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三、获取招标文件</w:t>
      </w:r>
      <w:r/>
    </w:p>
    <w:p>
      <w:pPr>
        <w:ind w:left="0" w:right="0" w:firstLine="5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1.时间：自招标文件公告发布之日起5个工作日。</w:t>
      </w:r>
      <w:r/>
    </w:p>
    <w:p>
      <w:pPr>
        <w:ind w:left="0" w:right="0" w:firstLine="5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2.方式：在“江苏政府采购网、扬州市政府采购网”自行免费下载招标文件。</w:t>
      </w:r>
      <w:r/>
    </w:p>
    <w:p>
      <w:pPr>
        <w:ind w:left="0" w:right="0" w:firstLine="496"/>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四、提交投标文件截止时间、开标时间和地点</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宋体" w:hAnsi="宋体" w:eastAsia="宋体" w:cs="宋体"/>
          <w:color w:val="000000" w:themeColor="text1"/>
          <w:sz w:val="24"/>
          <w:u w:val="single"/>
          <w14:textFill>
            <w14:solidFill>
              <w14:schemeClr w14:val="tx1"/>
            </w14:solidFill>
          </w14:textFill>
        </w:rPr>
        <w:t xml:space="preserve"> 2026年</w:t>
      </w:r>
      <w:r>
        <w:rPr>
          <w:rFonts w:hint="eastAsia" w:ascii="宋体" w:hAnsi="宋体" w:cs="宋体"/>
          <w:color w:val="000000" w:themeColor="text1"/>
          <w:sz w:val="24"/>
          <w:u w:val="single"/>
          <w:lang w:val="en-US" w:eastAsia="zh-CN"/>
          <w14:textFill>
            <w14:solidFill>
              <w14:schemeClr w14:val="tx1"/>
            </w14:solidFill>
          </w14:textFill>
        </w:rPr>
        <w:t xml:space="preserve">09</w:t>
      </w:r>
      <w:r>
        <w:rPr>
          <w:rFonts w:ascii="宋体" w:hAnsi="宋体" w:eastAsia="宋体" w:cs="宋体"/>
          <w:color w:val="000000" w:themeColor="text1"/>
          <w:sz w:val="24"/>
          <w:u w:val="single"/>
          <w14:textFill>
            <w14:solidFill>
              <w14:schemeClr w14:val="tx1"/>
            </w14:solidFill>
          </w14:textFill>
        </w:rPr>
        <w:t xml:space="preserve">月</w:t>
      </w:r>
      <w:r>
        <w:rPr>
          <w:rFonts w:hint="eastAsia" w:ascii="宋体" w:hAnsi="宋体" w:cs="宋体"/>
          <w:color w:val="000000" w:themeColor="text1"/>
          <w:sz w:val="24"/>
          <w:u w:val="single"/>
          <w:lang w:val="en-US" w:eastAsia="zh-CN"/>
          <w14:textFill>
            <w14:solidFill>
              <w14:schemeClr w14:val="tx1"/>
            </w14:solidFill>
          </w14:textFill>
        </w:rPr>
        <w:t xml:space="preserve">11</w:t>
      </w:r>
      <w:r>
        <w:rPr>
          <w:rFonts w:ascii="宋体" w:hAnsi="宋体" w:eastAsia="宋体" w:cs="宋体"/>
          <w:color w:val="000000" w:themeColor="text1"/>
          <w:sz w:val="24"/>
          <w:u w:val="single"/>
          <w14:textFill>
            <w14:solidFill>
              <w14:schemeClr w14:val="tx1"/>
            </w14:solidFill>
          </w14:textFill>
        </w:rPr>
        <w:t xml:space="preserve">日09点30分</w:t>
      </w:r>
      <w:r>
        <w:rPr>
          <w:rFonts w:ascii="宋体" w:hAnsi="宋体" w:eastAsia="宋体" w:cs="宋体"/>
          <w:color w:val="000000"/>
          <w:sz w:val="24"/>
        </w:rPr>
        <w:t xml:space="preserve">（北京时间）。</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2.地点：“苏采云”政府采购交易系统。</w:t>
      </w:r>
      <w:r/>
    </w:p>
    <w:p>
      <w:pPr>
        <w:ind w:left="0" w:right="0" w:firstLine="496"/>
        <w:jc w:val="both"/>
        <w:spacing w:before="156" w:after="156"/>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五、公告期限</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自本公告发布之日起5个工作日。</w:t>
      </w:r>
      <w:r/>
    </w:p>
    <w:p>
      <w:pPr>
        <w:ind w:left="0" w:right="0" w:firstLine="496"/>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六、其他补充事宜</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无/*****</w:t>
      </w:r>
      <w:r/>
    </w:p>
    <w:p>
      <w:pPr>
        <w:ind w:left="0" w:right="0" w:firstLine="496"/>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七、本次招标联系方式</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1.采购人信息</w:t>
      </w:r>
      <w:r/>
    </w:p>
    <w:p>
      <w:pPr>
        <w:ind w:left="0" w:right="0" w:firstLine="480"/>
        <w:jc w:val="both"/>
        <w:spacing w:before="0" w:after="0" w:line="400"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名 称：</w:t>
      </w:r>
      <w:r>
        <w:rPr>
          <w:rFonts w:hint="eastAsia" w:ascii="宋体" w:hAnsi="宋体" w:eastAsia="宋体" w:cs="宋体"/>
          <w:color w:val="000000"/>
          <w:sz w:val="24"/>
          <w:u w:val="single"/>
        </w:rPr>
        <w:t xml:space="preserve">江苏省扬州市中级人民法院</w:t>
      </w:r>
      <w:r>
        <w:rPr>
          <w:rFonts w:hint="eastAsia" w:ascii="宋体" w:hAnsi="宋体" w:eastAsia="宋体" w:cs="宋体"/>
          <w:color w:val="000000"/>
          <w:sz w:val="24"/>
        </w:rPr>
        <w:t xml:space="preserve"> </w:t>
      </w:r>
      <w:r/>
    </w:p>
    <w:p>
      <w:pPr>
        <w:ind w:left="0" w:right="0" w:firstLine="480"/>
        <w:jc w:val="both"/>
        <w:spacing w:before="0" w:after="0" w:line="400"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地 址：</w:t>
      </w:r>
      <w:r>
        <w:rPr>
          <w:rFonts w:hint="eastAsia" w:ascii="宋体" w:hAnsi="宋体" w:eastAsia="宋体" w:cs="宋体"/>
          <w:color w:val="000000"/>
          <w:sz w:val="24"/>
          <w:u w:val="single"/>
        </w:rPr>
        <w:t xml:space="preserve">江苏省扬州市扬子江中路730号</w:t>
      </w:r>
      <w:r>
        <w:rPr>
          <w:rFonts w:hint="eastAsia" w:ascii="宋体" w:hAnsi="宋体" w:eastAsia="宋体" w:cs="宋体"/>
          <w:color w:val="000000"/>
          <w:sz w:val="24"/>
        </w:rPr>
        <w:t xml:space="preserve"> </w:t>
      </w:r>
      <w:r/>
    </w:p>
    <w:p>
      <w:pPr>
        <w:ind w:left="0" w:right="0" w:firstLine="480"/>
        <w:jc w:val="both"/>
        <w:spacing w:before="0" w:after="0" w:line="400"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联系人：</w:t>
      </w:r>
      <w:r>
        <w:rPr>
          <w:rFonts w:hint="eastAsia" w:ascii="宋体" w:hAnsi="宋体" w:eastAsia="宋体" w:cs="宋体"/>
          <w:color w:val="000000"/>
          <w:sz w:val="24"/>
          <w:u w:val="single"/>
        </w:rPr>
        <w:t xml:space="preserve">潘玉明</w:t>
      </w:r>
      <w:r>
        <w:rPr>
          <w:rFonts w:hint="eastAsia" w:ascii="宋体" w:hAnsi="宋体" w:eastAsia="宋体" w:cs="宋体"/>
          <w:color w:val="000000"/>
          <w:sz w:val="24"/>
        </w:rPr>
        <w:t xml:space="preserve"> </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联系方式：</w:t>
      </w:r>
      <w:r>
        <w:rPr>
          <w:rFonts w:hint="eastAsia" w:ascii="宋体" w:hAnsi="宋体" w:eastAsia="宋体" w:cs="宋体"/>
          <w:color w:val="000000"/>
          <w:sz w:val="24"/>
          <w:u w:val="single"/>
        </w:rPr>
        <w:t xml:space="preserve">0514-82922302</w:t>
      </w: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2.扬州市公共资源交易中心信息</w:t>
      </w:r>
      <w:r/>
    </w:p>
    <w:p>
      <w:pPr>
        <w:ind w:firstLine="480"/>
        <w:spacing w:line="400" w:lineRule="atLeast"/>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地　址：</w:t>
      </w:r>
      <w:r>
        <w:rPr>
          <w:rFonts w:hint="eastAsia" w:ascii="宋体" w:hAnsi="宋体"/>
          <w:sz w:val="24"/>
          <w:szCs w:val="24"/>
          <w:u w:val="single"/>
        </w:rPr>
        <w:t xml:space="preserve">扬州市文昌东路9号广陵新城市民中心1号楼5楼15</w:t>
      </w:r>
      <w:r>
        <w:rPr>
          <w:rFonts w:hint="eastAsia" w:ascii="宋体" w:hAnsi="宋体"/>
          <w:sz w:val="24"/>
          <w:szCs w:val="24"/>
          <w:u w:val="single"/>
          <w:lang w:val="en-US" w:eastAsia="zh-CN"/>
        </w:rPr>
        <w:t xml:space="preserve">27</w:t>
      </w:r>
      <w:r>
        <w:rPr>
          <w:rFonts w:hint="eastAsia" w:ascii="宋体" w:hAnsi="宋体"/>
          <w:sz w:val="24"/>
          <w:szCs w:val="24"/>
          <w:u w:val="single"/>
        </w:rPr>
        <w:t xml:space="preserve">室</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联系人：</w:t>
      </w:r>
      <w:r>
        <w:rPr>
          <w:rFonts w:hint="eastAsia" w:ascii="宋体" w:hAnsi="宋体" w:cs="宋体"/>
          <w:sz w:val="24"/>
          <w:szCs w:val="24"/>
          <w:u w:val="single"/>
        </w:rPr>
        <w:t xml:space="preserve">华玲</w:t>
      </w:r>
      <w:r/>
    </w:p>
    <w:p>
      <w:pPr>
        <w:ind w:firstLine="480"/>
        <w:jc w:val="left"/>
        <w:spacing w:line="360" w:lineRule="auto"/>
        <w:widowControl/>
      </w:pPr>
      <w:r>
        <w:rPr>
          <w:rFonts w:hint="eastAsia" w:ascii="宋体" w:hAnsi="宋体" w:cs="宋体"/>
          <w:sz w:val="24"/>
          <w:szCs w:val="24"/>
        </w:rPr>
        <w:t xml:space="preserve">联系方式：</w:t>
      </w:r>
      <w:bookmarkStart w:id="0" w:name="_Toc28359087"/>
      <w:r/>
      <w:bookmarkStart w:id="1" w:name="_Toc28359010"/>
      <w:r>
        <w:rPr>
          <w:rFonts w:hint="eastAsia" w:ascii="宋体" w:hAnsi="宋体" w:cs="宋体"/>
          <w:sz w:val="24"/>
          <w:szCs w:val="24"/>
          <w:u w:val="single"/>
        </w:rPr>
        <w:t xml:space="preserve">0514-8208712</w:t>
      </w:r>
      <w:bookmarkEnd w:id="0"/>
      <w:r/>
      <w:bookmarkEnd w:id="1"/>
      <w:r>
        <w:rPr>
          <w:rFonts w:hint="eastAsia" w:ascii="宋体" w:hAnsi="宋体" w:cs="宋体"/>
          <w:sz w:val="24"/>
          <w:szCs w:val="24"/>
          <w:u w:val="single"/>
        </w:rPr>
        <w:t xml:space="preserve">0</w:t>
      </w:r>
      <w:r/>
    </w:p>
    <w:p>
      <w:pPr>
        <w:ind w:left="0" w:right="0" w:firstLine="496"/>
        <w:jc w:val="both"/>
        <w:spacing w:before="156" w:after="156"/>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八、其他</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w:t>
      </w:r>
      <w:r>
        <w:rPr>
          <w:rFonts w:ascii="宋体" w:hAnsi="宋体" w:eastAsia="宋体" w:cs="宋体"/>
          <w:b/>
          <w:color w:val="000000"/>
          <w:sz w:val="24"/>
        </w:rPr>
        <w:t xml:space="preserve">具体办理指南和操作手册见链接：http://zfcg.yangzhou.gov.cn/xzzx/art/2023/art_4d7de1f7865f4a2894fc22bc452f94d8.html，请按《操作手册》要求制作、上传电子投标文件。</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领取CA和办理电子签章（请至扬州市文昌东路9号广陵新城市民中心1号楼5楼办理，具体联系方式：18952716110）。</w:t>
      </w:r>
      <w:r/>
    </w:p>
    <w:p>
      <w:pPr>
        <w:ind w:left="0" w:right="0" w:firstLine="48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2.有关本次招标的事项若存在变动或修改，敬请及时关注扬州市公共资源交易中心在“江苏政府采购网”、“扬州市政府采购网”发布的更正公告。</w:t>
      </w:r>
      <w:r/>
    </w:p>
    <w:p>
      <w:pPr>
        <w:ind w:left="0" w:right="0" w:firstLine="48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3.本次招标不收取投标保证金。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br w:type="page" w:clear="all"/>
      </w:r>
      <w:r/>
    </w:p>
    <w:p>
      <w:pPr>
        <w:pStyle w:val="939"/>
      </w:pPr>
      <w:r>
        <w:rPr>
          <w:rFonts w:ascii="黑体" w:hAnsi="黑体" w:eastAsia="黑体" w:cs="黑体"/>
          <w:b/>
          <w:color w:val="000000"/>
          <w:sz w:val="44"/>
        </w:rPr>
        <w:t xml:space="preserve">第二章投标人须知</w:t>
      </w:r>
      <w:r/>
    </w:p>
    <w:p>
      <w:pPr>
        <w:ind w:left="0" w:right="0" w:firstLine="496"/>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一、总则</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1、招标方式</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1.1本次招标采取公开招标方式，本招标文件仅适用于招标公告中所述项目。</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2、合格的投标人</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2.1满足招标公告中供应商的资格要求的规定。</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 满足本文件实质性要求的规定。</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3、适用法律和标准</w:t>
      </w:r>
      <w:r/>
    </w:p>
    <w:p>
      <w:pPr>
        <w:ind w:left="0" w:right="0" w:firstLine="420"/>
        <w:jc w:val="both"/>
        <w:spacing w:before="0" w:after="0" w:line="400"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3.1本次招标及由此产生的合同受中华人民共和国有关的法律法规制约和保护。</w:t>
      </w:r>
      <w:r/>
    </w:p>
    <w:p>
      <w:pPr>
        <w:ind w:left="0" w:right="0" w:firstLine="42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3.2在本项目政府采购活动过程中，如果所执行的标准有更新的，按照最新标准执行。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4、投标费用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4.1投标人应自行承担所有与参加投标有关的费用，无论投标过程中的做法和结果如何，扬州市公共资源交易中心（以下简称交易中心）在任何情况下均无义务和责任承担这些费用。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4.2本次招标交易中心和采购人不收取标书工本费与中标服务费。</w:t>
      </w:r>
      <w:r/>
    </w:p>
    <w:p>
      <w:pPr>
        <w:ind w:left="0" w:right="0" w:firstLine="45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0"/>
        </w:rPr>
        <w:t xml:space="preserve">5、</w:t>
      </w:r>
      <w:r>
        <w:rPr>
          <w:rFonts w:ascii="黑体" w:hAnsi="黑体" w:eastAsia="黑体" w:cs="黑体"/>
          <w:color w:val="000000"/>
          <w:sz w:val="28"/>
        </w:rPr>
        <w:t xml:space="preserve">招标文件的约束力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5.1投标人一旦参加本项目采购活动，即被认为接受了本招标文件的规定和约束。</w:t>
      </w:r>
      <w:r/>
    </w:p>
    <w:p>
      <w:pPr>
        <w:ind w:left="0" w:right="0" w:firstLine="320"/>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二、招标文件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6、招标文件构成</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 招标文件由以下部分组成：</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（1）投标邀请</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（2）投标人须知</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（3）合同文本</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（4）采购需求</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（5）评标方法与评标标准</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（6）投标文件格式</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请仔细检查招标文件是否齐全，如有缺漏请立即与交易中心联系解决。</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7</w:t>
      </w:r>
      <w:r>
        <w:rPr>
          <w:rFonts w:ascii="黑体" w:hAnsi="黑体" w:eastAsia="黑体" w:cs="黑体"/>
          <w:color w:val="000000"/>
          <w:sz w:val="28"/>
        </w:rPr>
        <w:t xml:space="preserve">、招标文件的修改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7.1在投标截止时间前，交易中心可以对招标文件进行修改。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7.2交易中心有权按照法定的要求推迟投标截止日期和开标日期。</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7.3招标文件的修改将在江苏政府采购网、扬州市政府采购网公布，补充文件将作为招标文件的组成部分，并对投标人具有约束力。</w:t>
      </w:r>
      <w:r/>
    </w:p>
    <w:p>
      <w:pPr>
        <w:ind w:left="0" w:right="0" w:firstLine="480"/>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三、投标文件的编制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8</w:t>
      </w:r>
      <w:r>
        <w:rPr>
          <w:rFonts w:ascii="黑体" w:hAnsi="黑体" w:eastAsia="黑体" w:cs="黑体"/>
          <w:color w:val="000000"/>
          <w:sz w:val="28"/>
        </w:rPr>
        <w:t xml:space="preserve">、投标文件的语言及度量衡单位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8.1投标人提交的投标文件以及投标人与交易中心就有关投标的所有来往通知、函件和文件均应使用</w:t>
      </w:r>
      <w:r>
        <w:rPr>
          <w:rFonts w:ascii="宋体" w:hAnsi="宋体" w:eastAsia="宋体" w:cs="宋体"/>
          <w:b/>
          <w:color w:val="000000"/>
          <w:sz w:val="24"/>
        </w:rPr>
        <w:t xml:space="preserve">简体中文</w:t>
      </w:r>
      <w:r>
        <w:rPr>
          <w:rFonts w:ascii="宋体" w:hAnsi="宋体" w:eastAsia="宋体" w:cs="宋体"/>
          <w:color w:val="000000"/>
          <w:sz w:val="24"/>
        </w:rPr>
        <w:t xml:space="preserve">。</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8.2除技术性能另有规定外，投标文件所使用的度量衡单位，均须采用国家法定计量单位。</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9</w:t>
      </w:r>
      <w:r>
        <w:rPr>
          <w:rFonts w:ascii="黑体" w:hAnsi="黑体" w:eastAsia="黑体" w:cs="黑体"/>
          <w:color w:val="000000"/>
          <w:sz w:val="28"/>
        </w:rPr>
        <w:t xml:space="preserve">、投标文件构成</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9.1投标人编写的投标文件应包括基本目录、资格审查内容、符合性审查内容、价格扣除证明文件等部分。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9.2如标书制作工具中格式和内容与“江苏政府采购网、扬州市政府采购网”发布的招标文件不一致，请以“江苏政府采购网、扬州市政府采购网”发布的招标文件为准。</w:t>
      </w:r>
      <w:r/>
    </w:p>
    <w:p>
      <w:pPr>
        <w:numPr>
          <w:ilvl w:val="0"/>
          <w:numId w:val="6"/>
        </w:numPr>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证明投标人及投标标的符合招标文件规定的文件</w:t>
      </w:r>
      <w:r/>
    </w:p>
    <w:p>
      <w:pPr>
        <w:ind w:left="42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10.1投标人应按照招标文件要求提交证明文件，证明其投标标的符合招标文件规定。</w:t>
      </w:r>
      <w:r/>
    </w:p>
    <w:p>
      <w:pPr>
        <w:ind w:left="42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10.2招标文件对证明文件无明确形式要求的，证明文件可以以文字资料、图纸和数据等形式提交。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11</w:t>
      </w:r>
      <w:r>
        <w:rPr>
          <w:rFonts w:ascii="黑体" w:hAnsi="黑体" w:eastAsia="黑体" w:cs="黑体"/>
          <w:color w:val="000000"/>
          <w:sz w:val="28"/>
        </w:rPr>
        <w:t xml:space="preserve">、投标分项报价表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11.1投标人按照招标文件规定格式填报投标分项报价表。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11.2投标货币。投标文件中的单价和总价无特殊规定的采用人民币报价，以元为单位标注。招标文件中另有规定的按规定执行。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12</w:t>
      </w:r>
      <w:r>
        <w:rPr>
          <w:rFonts w:ascii="黑体" w:hAnsi="黑体" w:eastAsia="黑体" w:cs="黑体"/>
          <w:color w:val="000000"/>
          <w:sz w:val="28"/>
        </w:rPr>
        <w:t xml:space="preserve">、技术要求响应及偏离表、商务要求响应及偏离表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12.1投标人需对招标文件中的技术要求与商务要求逐项作出响应或偏离，并说明原因。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12.2投标人需按照招标文件要求，在投标文件中提供与技术要求和商务要求相关的证明材料。</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13</w:t>
      </w:r>
      <w:r>
        <w:rPr>
          <w:rFonts w:ascii="黑体" w:hAnsi="黑体" w:eastAsia="黑体" w:cs="黑体"/>
          <w:color w:val="000000"/>
          <w:sz w:val="28"/>
        </w:rPr>
        <w:t xml:space="preserve">、服务承诺、培训计划、人员安排及其他</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13.1投标人需根据招标文件要求提供有关售后服务的管理制度，售后服务机构的分布情况，售后服务人员的数量、素质、技术水平及售后服务的反应能力等。</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13.2投标人需根据招标文件要求提供培训计划。</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13.3投标人需根据招标文件要求提供所投标的的主要组成部分、功能设计、实现思路及关键技术等。</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14</w:t>
      </w:r>
      <w:r>
        <w:rPr>
          <w:rFonts w:ascii="黑体" w:hAnsi="黑体" w:eastAsia="黑体" w:cs="黑体"/>
          <w:color w:val="000000"/>
          <w:sz w:val="28"/>
        </w:rPr>
        <w:t xml:space="preserve">、投标函和开标一览表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14.1投标人应按照招标文件中提供的格式完整、正确填写投标函、开标一览表。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14.2对于采用货币报价的项目，开标一览表中的投标总报价应与投标分项报价表中的投标总报价一致，如不一致，不作为无效投标处理，但评标时按开标一览表中价格为准。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15</w:t>
      </w:r>
      <w:r>
        <w:rPr>
          <w:rFonts w:ascii="黑体" w:hAnsi="黑体" w:eastAsia="黑体" w:cs="黑体"/>
          <w:color w:val="000000"/>
          <w:sz w:val="28"/>
        </w:rPr>
        <w:t xml:space="preserve">、投标有效期</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15.1投标有效期为交易中心规定的开标之日后</w:t>
      </w:r>
      <w:r>
        <w:rPr>
          <w:rFonts w:ascii="宋体" w:hAnsi="宋体" w:eastAsia="宋体" w:cs="宋体"/>
          <w:b/>
          <w:color w:val="000000"/>
          <w:sz w:val="24"/>
          <w:u w:val="single"/>
        </w:rPr>
        <w:t xml:space="preserve">六十（60）天</w:t>
      </w:r>
      <w:r>
        <w:rPr>
          <w:rFonts w:ascii="宋体" w:hAnsi="宋体" w:eastAsia="宋体" w:cs="宋体"/>
          <w:color w:val="000000"/>
          <w:sz w:val="24"/>
        </w:rPr>
        <w:t xml:space="preserve">。投标有效期比规定短的将被视为未实质性响应招标文件而予以拒绝。</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16</w:t>
      </w:r>
      <w:r>
        <w:rPr>
          <w:rFonts w:ascii="黑体" w:hAnsi="黑体" w:eastAsia="黑体" w:cs="黑体"/>
          <w:color w:val="000000"/>
          <w:sz w:val="28"/>
        </w:rPr>
        <w:t xml:space="preserve">、投标有效期的延长</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16.1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ind w:left="0" w:right="0" w:firstLine="0"/>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四、投标文件的递交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w:t>
      </w:r>
      <w:r>
        <w:rPr>
          <w:rFonts w:ascii="Arial" w:hAnsi="Arial" w:eastAsia="Arial" w:cs="Arial"/>
          <w:b/>
          <w:color w:val="000000"/>
          <w:sz w:val="28"/>
        </w:rPr>
        <w:t xml:space="preserve">7</w:t>
      </w:r>
      <w:r>
        <w:rPr>
          <w:rFonts w:ascii="黑体" w:hAnsi="黑体" w:eastAsia="黑体" w:cs="黑体"/>
          <w:color w:val="000000"/>
          <w:sz w:val="28"/>
        </w:rPr>
        <w:t xml:space="preserve">、电子投标文件的递交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17.1投标人应当按照《操作手册》规定，在投标截止时间前制作并上传电</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子投标文件。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18、投标截止时间</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18.1投标人上传电子投标文件的时间不得迟于招标公告中规定的投标截止时间。</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投标人应充分考虑到网络环境、网络带宽等风险因素，如因投标人自身原因造成的电子投标文件上传不成功的按照本招标文件第二章第26.1.2条规定做无效投标处理。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18.2交易中心可以按照规定，通过修改招标文件酌情延长投标截止日期，在此情况下，投标人的所有权利和义务以及投标人受制的截止日期均应以延长后新的截止日期为准。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19</w:t>
      </w:r>
      <w:r>
        <w:rPr>
          <w:rFonts w:ascii="黑体" w:hAnsi="黑体" w:eastAsia="黑体" w:cs="黑体"/>
          <w:color w:val="000000"/>
          <w:sz w:val="28"/>
        </w:rPr>
        <w:t xml:space="preserve">、投标文件的拒收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19.1交易中心拒绝接收在其规定的投标截止时间后上传的任何投标文件。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0</w:t>
      </w:r>
      <w:r>
        <w:rPr>
          <w:rFonts w:ascii="黑体" w:hAnsi="黑体" w:eastAsia="黑体" w:cs="黑体"/>
          <w:color w:val="000000"/>
          <w:sz w:val="28"/>
        </w:rPr>
        <w:t xml:space="preserve">、投标文件的撤回和修改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20.1投标文件的撤回</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20.1.1电子投标文件的撤回</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投标人可在投标截止时间前，撤回其电子投标文件，具体操作方法见《操作手册》。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20.1.2投标人撤回电子投标文件，则认为其不再参与本项目投标活动。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20.2投标文件的修改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20.2.1投标人可在投标截止时间前，对其电子投标文件进行修改，具体操作方法见《操作手册》。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20.2.2在投标截止时间之后，投标人不得对其电子投标文件作任何修改。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20.3在投标截止时间至招标文件中规定的投标有效期满之间的这段时间内，投标人不得撤回其投标。</w:t>
      </w:r>
      <w:r/>
    </w:p>
    <w:p>
      <w:pPr>
        <w:ind w:left="0" w:right="0" w:firstLine="480"/>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五、开标与评标</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1</w:t>
      </w:r>
      <w:r>
        <w:rPr>
          <w:rFonts w:ascii="黑体" w:hAnsi="黑体" w:eastAsia="黑体" w:cs="黑体"/>
          <w:color w:val="000000"/>
          <w:sz w:val="28"/>
        </w:rPr>
        <w:t xml:space="preserve">、开标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21.1交易中心将在招标公告中规定的时间和地点组织公开开标。投标人应当按照《操作手册》规定，参加开标活动和在苏采云系统规定的时间内对投标文件进行解密。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21.2开标仪式由交易中心组织。苏采云系统将自动对项目进行开标，并展示各投标人名称和投标价格。</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21.3投标人在开标过程中涉及到的投标文件解密、开标结果确认等工作，应按照《操作手册》规定执行。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21.4投标人如果对开标过程和开标记录有疑义，应当根据《操作手册》规定提出，如苏采云系统中《开标记录表》宣布后5分钟内未提出的，视同认可开标结果。</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   22、评标委员会</w:t>
      </w:r>
      <w:r/>
    </w:p>
    <w:p>
      <w:pPr>
        <w:ind w:left="42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22.1开标后，交易中心将立即组织评标委员会（以下简称评委会）进行评标。22.2评委会由采购人代表和有关技术、经济等方面的专家组成，且人员构成符合政府采购有关规定。</w:t>
      </w:r>
      <w:r/>
    </w:p>
    <w:p>
      <w:pPr>
        <w:ind w:left="42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22.3评委会独立工作，负责评审所有投标文件并确定中标候选人。</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   23、评标过程的保密与公正</w:t>
      </w:r>
      <w:r/>
    </w:p>
    <w:p>
      <w:pPr>
        <w:ind w:left="42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23.1凡是与审查、澄清、评价和比较投标的有关资料以及授标建议等，采购人、评委、交易中心均不得向投标人或与评标无关的其他人员透露。</w:t>
      </w:r>
      <w:r/>
    </w:p>
    <w:p>
      <w:pPr>
        <w:ind w:left="42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23.2在评标过程中，投标人不得以任何行为影响评标过程，否则其投标文件将被作为无效投标文件。</w:t>
      </w:r>
      <w:r/>
    </w:p>
    <w:p>
      <w:pPr>
        <w:ind w:left="42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23.3交易中心和评委会不向未中标的投标人解释未中标原因，也不公布评标过程中的相关细节。</w:t>
      </w:r>
      <w:r/>
    </w:p>
    <w:p>
      <w:pPr>
        <w:ind w:left="42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23.4采用综合评分法的项目，未中标的投标人可于中标结果公告期限届满之日起通过苏采云系统查看自己的评审得分及排序情况。</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   24、投标文件的澄清</w:t>
      </w:r>
      <w:r/>
    </w:p>
    <w:p>
      <w:pPr>
        <w:ind w:left="42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24.1评标期间，评委会对投标文件中含义不明确、同类问题表述不一致或者有明显文字和计算错误的内容，有权要求投标人作出必要的澄清、说明或者补正。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投标人的澄清、说明或者补正不得超出投标文件的范围或者改变投标文件的实质性内容。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评委会并非对每个投标人都做澄清要求。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24.3 接到评委会澄清、说明和补正要求的投标人如未按规定做出澄清、说明和补正，其风险由投标人自行承担。</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5</w:t>
      </w:r>
      <w:r>
        <w:rPr>
          <w:rFonts w:ascii="黑体" w:hAnsi="黑体" w:eastAsia="黑体" w:cs="黑体"/>
          <w:color w:val="000000"/>
          <w:sz w:val="28"/>
        </w:rPr>
        <w:t xml:space="preserve">、对投标文件的初审</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25.1投标文件初审分为资格审查和符合性审查。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25.1.1资格审查：依据法律法规和招标文件的规定，由采购人对投标文件中的资格证明文件进行审查。资格审查的结论，采购人以书面形式向评委会进行反馈。</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采购人在进行资格性审查的同时，将在“信用中国”网站（www.creditchina.gov.cn）和“中国政府采购网"(www.ccgp.gov.cn)查询投标人的信用记录，以确定投标人是否具备投标资格,查询结果留存并归档。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25.1.2符合性审查：依据招标文件的规定，由评委会从投标文件的有效性、完整性和对招标文件的响应程度进行审查，以确定是否对招标文件的实质性要求作出响应。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25.1.3未通过资格审查或符合性审查的投标人，交易中心将在苏采云系统中告知未通过资格审查或符合性审查的原因，评审结束后，交易中心将不再告知未通过资格审查或符合性审查的原因。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会决定投标文件的响应性只根据投标文件本身的内容，而不寻求外部的证据。</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25.3如果投标文件实质上没有响应招标文件的要求，评委会将予以拒绝，投标人不得通过修改或撤销不合要求的偏离或保留而使其投标成为实质性响应的投标。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25.4评委会将对确定为实质性响应的投标进行进一步审核，是否有计算上或累加上的算术错误，修正错误的原则如下：</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（1）投标文件中开标一览表内容与投标文件中相应内容不一致的，以开标一览表为准。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（2）大写金额和小写金额不一致的，以大写金额为准。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（3）单价金额小数点或者百分比有明显错位的，以开标一览表的总价为准，并修改单价。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（4）总价金额与按单价汇总金额不一致的，以单价金额计算结果为准。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同时出现两种以上错误的，按照前款规定的顺序修正。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25.6采用最低评标价法的采购项目，提供相同品牌产品的不同投标人参加同一合同项下投标的，以其中通过资格审查、符合性审查且报价最低的参加评标；报价相同的，由评委会按照招标文件规定的方式（招标文件未规定的通过随机抽取的方式）确定一个参加评标的投标人，其他投标无效。</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委会根据招标文件规定的方式（招标文件未规定的采取随机抽取的方式）确定一个中标候选人，其他同品牌投标人不作为中标候选人。</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非单一产品采购项目，招标文件中将载明其中的核心产品。多家投标人提供的核心产品品牌相同的，按前两款规定处理。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25.7投标人在开、评标全过程中应保持通讯畅通，及时登录苏采云系统查阅、答复相关信息，并安排专人与交易中心及评委会联系。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6</w:t>
      </w:r>
      <w:r>
        <w:rPr>
          <w:rFonts w:ascii="黑体" w:hAnsi="黑体" w:eastAsia="黑体" w:cs="黑体"/>
          <w:color w:val="000000"/>
          <w:sz w:val="28"/>
        </w:rPr>
        <w:t xml:space="preserve">、无效投标条款和废标条款</w:t>
      </w:r>
      <w:r/>
    </w:p>
    <w:p>
      <w:pPr>
        <w:ind w:left="478"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26.1无效投标条款</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26.1.1投标人在苏采云系统规定的时间内未成功解密电子投标文件的。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26.1.2投标人未按照招标文件要求上传电子投标文件的。</w:t>
      </w:r>
      <w:r/>
    </w:p>
    <w:p>
      <w:pPr>
        <w:ind w:left="478"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26.1.3投标人同一采购包提交两个（含两个）以上不同的投标报价的。</w:t>
      </w:r>
      <w:r/>
    </w:p>
    <w:p>
      <w:pPr>
        <w:ind w:left="478"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26.1.4投标人不具备招标文件中规定资格要求的。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26.1.5投标人的报价超过了采购预算或最高限价的。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26.1.6未通过符合性审查的。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26.1.7不符合招标文件中规定的实质性要求的</w:t>
      </w:r>
      <w:r>
        <w:rPr>
          <w:rFonts w:ascii="宋体" w:hAnsi="宋体" w:eastAsia="宋体" w:cs="宋体"/>
          <w:b/>
          <w:color w:val="ff0000"/>
          <w:sz w:val="24"/>
        </w:rPr>
        <w:t xml:space="preserve">（本招标文件中</w:t>
      </w:r>
      <w:r>
        <w:rPr>
          <w:rFonts w:ascii="宋体" w:hAnsi="宋体" w:eastAsia="宋体" w:cs="宋体"/>
          <w:b/>
          <w:i/>
          <w:color w:val="ff0000"/>
          <w:sz w:val="24"/>
          <w:u w:val="single"/>
        </w:rPr>
        <w:t xml:space="preserve">斜体且有下划线部分</w:t>
      </w:r>
      <w:r>
        <w:rPr>
          <w:rFonts w:ascii="宋体" w:hAnsi="宋体" w:eastAsia="宋体" w:cs="宋体"/>
          <w:b/>
          <w:color w:val="ff0000"/>
          <w:sz w:val="24"/>
        </w:rPr>
        <w:t xml:space="preserve">为实质性要求）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26.1.8 投标人被 “信用中国”网站（www.creditchina.gov.cn）列入失信被执行人或重大税收违法案件当事人名单或政府采购严重失信行为记录名单，被“中国政府采购网"(www.ccgp.gov.cn)列入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26.1.9投标文件含有采购人不能接受的附加条件的。</w:t>
      </w:r>
      <w:r/>
    </w:p>
    <w:p>
      <w:pPr>
        <w:ind w:left="0" w:right="0" w:firstLine="48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26.1.10 异常低价投标（响应）</w:t>
      </w:r>
      <w:r/>
    </w:p>
    <w:p>
      <w:pPr>
        <w:ind w:left="0" w:right="0" w:firstLine="480"/>
        <w:jc w:val="both"/>
        <w:spacing w:before="0" w:after="0" w:line="479" w:lineRule="atLeast"/>
        <w:shd w:val="clear" w:color="ffffff" w:fill="ffffff"/>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26.1.10.1</w:t>
      </w:r>
      <w:r>
        <w:rPr>
          <w:rFonts w:ascii="宋体" w:hAnsi="宋体" w:eastAsia="宋体" w:cs="宋体"/>
          <w:color w:val="383838"/>
          <w:sz w:val="24"/>
          <w:highlight w:val="white"/>
        </w:rPr>
        <w:t xml:space="preserve">投标（响应）报价低于全部通过符合性审查供应商投标（响应）报价平均值50%的，即投标（响应）报价&lt;全部通过符合性审查供应商投标（响应）报价平均值×50%；</w:t>
      </w:r>
      <w:r/>
    </w:p>
    <w:p>
      <w:pPr>
        <w:ind w:left="0" w:right="0" w:firstLine="480"/>
        <w:jc w:val="both"/>
        <w:spacing w:before="0" w:after="0" w:line="479" w:lineRule="atLeast"/>
        <w:shd w:val="clear" w:color="ffffff" w:fill="ffffff"/>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26.1.10.2</w:t>
      </w:r>
      <w:r>
        <w:rPr>
          <w:rFonts w:ascii="宋体" w:hAnsi="宋体" w:eastAsia="宋体" w:cs="宋体"/>
          <w:color w:val="383838"/>
          <w:sz w:val="24"/>
          <w:highlight w:val="white"/>
        </w:rPr>
        <w:t xml:space="preserve">投标（响应）报价低于通过符合性审查的次低报价供应商投标（响应）报价50%的，即投标（响应）报价&lt;通过符合性审查的次低报价供应商投标（响应）报价×50%；</w:t>
      </w:r>
      <w:r/>
    </w:p>
    <w:p>
      <w:pPr>
        <w:ind w:left="0" w:right="0" w:firstLine="48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26.1.10.3投标（响应）报价低于采购项目最高限价 45% 的，即投标（响应）报价&lt;采购项目最高限价×45% ；</w:t>
      </w:r>
      <w:r/>
    </w:p>
    <w:p>
      <w:pPr>
        <w:ind w:left="0" w:right="0" w:firstLine="48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26.1.10.4评审委员会认定的供应商报价过低、有可能影响产品质量或者不能诚信履约的其他情形。</w:t>
      </w:r>
      <w:r/>
    </w:p>
    <w:p>
      <w:pPr>
        <w:ind w:left="0" w:right="0" w:firstLine="48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highlight w:val="white"/>
        </w:rPr>
        <w:t xml:space="preserve">26.1.10.5</w:t>
      </w:r>
      <w:r>
        <w:rPr>
          <w:rFonts w:ascii="宋体" w:hAnsi="宋体" w:eastAsia="宋体" w:cs="宋体"/>
          <w:color w:val="383838"/>
          <w:sz w:val="24"/>
          <w:highlight w:val="white"/>
        </w:rPr>
        <w:t xml:space="preserve">评审委员会启动异常低价投标（响应）审查后，属于前述第1项至第4项情形的，应当要求相关供应商在评审现场合理的时间内</w:t>
      </w:r>
      <w:r>
        <w:rPr>
          <w:rFonts w:ascii="宋体" w:hAnsi="宋体" w:eastAsia="宋体" w:cs="宋体"/>
          <w:color w:val="ff0000"/>
          <w:sz w:val="24"/>
          <w:highlight w:val="white"/>
        </w:rPr>
        <w:t xml:space="preserve">对投标（响应）价格作出解释，提供项目具体成本测算等与报价合理性相关的书面说明及必要的证明材料，包括但不限于原材料成本、人工成本、制造费用等，</w:t>
      </w:r>
      <w:r>
        <w:rPr>
          <w:rFonts w:ascii="宋体" w:hAnsi="宋体" w:eastAsia="宋体" w:cs="宋体"/>
          <w:color w:val="383838"/>
          <w:sz w:val="24"/>
          <w:highlight w:val="white"/>
        </w:rPr>
        <w:t xml:space="preserve">给予相关供应商的合理时间一般</w:t>
      </w:r>
      <w:r>
        <w:rPr>
          <w:rFonts w:ascii="宋体" w:hAnsi="宋体" w:eastAsia="宋体" w:cs="宋体"/>
          <w:color w:val="ff0000"/>
          <w:sz w:val="24"/>
          <w:highlight w:val="white"/>
        </w:rPr>
        <w:t xml:space="preserve">不少于30分钟</w:t>
      </w:r>
      <w:r>
        <w:rPr>
          <w:rFonts w:ascii="宋体" w:hAnsi="宋体" w:eastAsia="宋体" w:cs="宋体"/>
          <w:color w:val="383838"/>
          <w:sz w:val="24"/>
          <w:highlight w:val="white"/>
        </w:rPr>
        <w:t xml:space="preserve">。其中，属于第3项情形，供应商已随投标（响应）文件一并提交相关书面说明及必要的证明材料的，在评审现场可不再重复提交。</w:t>
      </w:r>
      <w:r/>
    </w:p>
    <w:p>
      <w:pPr>
        <w:ind w:left="0" w:right="0" w:firstLine="48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383838"/>
          <w:sz w:val="24"/>
          <w:highlight w:val="whit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0"/>
        <w:jc w:val="both"/>
        <w:spacing w:before="0" w:after="0" w:line="400" w:lineRule="atLeast"/>
        <w:rPr>
          <w:highlight w:val="yellow"/>
        </w:rPr>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highlight w:val="yellow"/>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26.1.11 如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原件扫描件）</w:t>
      </w:r>
      <w:r/>
    </w:p>
    <w:p>
      <w:pPr>
        <w:ind w:left="0" w:right="0" w:firstLine="480"/>
        <w:jc w:val="both"/>
        <w:spacing w:before="0" w:after="0" w:line="400"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26.1.12 投标文件未按照招标文件要求加盖CA电子公章的。</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26.1.13 投标人所投标产品不符合招标文件中所列国家强制性标准的。</w:t>
      </w:r>
      <w:r/>
    </w:p>
    <w:p>
      <w:pPr>
        <w:ind w:left="478"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26.1.14其他法律、法规及本招标文件规定的属无效投标的情形。</w:t>
      </w:r>
      <w:r/>
    </w:p>
    <w:p>
      <w:pPr>
        <w:ind w:left="478"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26.2废标条款</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26.2.1符合专业条件的供应商或者对招标文件作出实质响应的供应商不足三家的。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26.2.2出现影响采购公正的违法、违规行为的。</w:t>
      </w:r>
      <w:r/>
    </w:p>
    <w:p>
      <w:pPr>
        <w:ind w:left="478"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26.2.3因重大变故，采购任务取消的。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26.2.4评委会认定招标文件存在歧义、重大缺陷导致评审工作无法进</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行。</w:t>
      </w:r>
      <w:r/>
    </w:p>
    <w:p>
      <w:pPr>
        <w:ind w:left="478"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26.2.5因苏采云系统系统故障原因造成开标不成功的。</w:t>
      </w:r>
      <w:r/>
    </w:p>
    <w:p>
      <w:pPr>
        <w:ind w:left="478"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26.3投标截止时间结束后参加投标的供应商不足三家的处理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26.3.1如出现投标截止时间结束后参加投标的供应商或者在评标期间对招标文件作出实质响应的供应商不足三家情况，按政府采购相关规定执行。</w:t>
      </w:r>
      <w:r/>
    </w:p>
    <w:p>
      <w:pPr>
        <w:ind w:left="0" w:right="0" w:firstLine="480"/>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六、定标</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27、确定中标单位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27.1中标候选人的选取原则和数量见招标文件第五章规定。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27.2采购人应根据评委会推荐的中标候选人确定中标供应商。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27.3交易中心将在“江苏政府采购网、扬州市政府采购网”发布中标公告，公告期限为1个工作日。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27.4若有充分证据证明，中标供应商出现下列情况之一的，一经查实，将被取消中标资格：</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27.4.1提供虚假材料谋取中标的。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27.4.2向采购人、交易中心行贿或者提供其他不正当利益的。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27.4.3属于本文件规定的无效条件，但在评标过程中又未被评委会发现的。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27.4.4与采购人或者其他供应商恶意串通的。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27.4.5采取不正当手段诋毁、排挤其他供应商的。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 有下列情形之一的，视为投标人串通投标，投标无效：</w:t>
      </w:r>
      <w:r/>
    </w:p>
    <w:p>
      <w:pPr>
        <w:ind w:left="0" w:right="0" w:firstLine="480"/>
        <w:jc w:val="both"/>
        <w:spacing w:before="0" w:after="0" w:line="400"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27.5.1不同投标人的投标文件由同一单位或者个人编制。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经查实，不同投标人的电子投标文件出自同一台电脑的：不同投标人的标书制作工具客户端标识码存在一致的；不同投标人从同一互联网协议地址上传投标文件的。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27.5.2不同投标人委托同一单位或者个人办理投标事宜。</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27.5.3 不同投标人的投标文件载明的项目管理成员或者联系人员为同一人。</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27.5.4不同投标人的投标文件异常一致或者投标报价呈规律性差异。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28、质疑处理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28.1提出质疑的供应商应当是参与所质疑项目采购活动的供应商。潜在供应商依法获取其可质疑的采购文件的，可以对采购文件提出质疑。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28.2供应商认为采购文件、采购过程和采购结果使自己的权益受到损害的，可以在知道或应知其权益受到损害之日起七个工作日内，以书面形式根据下述28.4条款的规定向交易中心或采购人提出质疑。上述应知其权益受到损害之日，是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28.2.1对可以质疑的采购文件提出质疑的，为收到采购文件之日或者采购文件公告期限届满之日；</w:t>
      </w:r>
      <w:r/>
    </w:p>
    <w:p>
      <w:pPr>
        <w:ind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28.2.2对采购过程提出质疑的，为各采购程序环节结束之日；</w:t>
      </w:r>
      <w:r/>
    </w:p>
    <w:p>
      <w:pPr>
        <w:ind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28.2.3对中标或者成交结果提出质疑的，为中标或者成交结果公告期限届满之日。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28.4供应商（含潜在供应商）对采购方式、招标文件中采购需求、供应商资格条件、评标方法与评标标准、合同文本及资格审查结果的询问、质疑请向采购人提出，由采购人负责答复。供应商对其他事项的询问、质疑请向交易中心提出，由交易中心负责答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采购人及交易中心只接收以纸质原件形式送达的质疑,建议供应商尽量通过邮寄方式提交质疑（采购人和交易中心不接受无快递运单号的快递）。</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质疑接收人及联系方式详见招标文件第一章。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28.5以下情形的质疑不予受理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28.5.1内容不符合《政府采购质疑和投诉办法》第十二条规定的质疑。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28.5.2超出政府采购法定期限的质疑。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28.5.3以传真、电子邮件等方式递交的非原件形式的质疑。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28.5.4未参加投标活动的供应商或在投标活动中自身权益未受到损害的供应商所提出的质疑。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28.5.5供应商组成联合体参加投标，联合体中任何一方或多方未按要求签字、盖章、加盖公章的质疑。</w:t>
      </w:r>
      <w:r/>
    </w:p>
    <w:p>
      <w:pPr>
        <w:ind w:left="0" w:right="0" w:firstLine="468"/>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left="0" w:right="0" w:firstLine="45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29、中标通知书</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29.1中标结果确定后，交易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ind w:left="0" w:right="0" w:firstLine="0"/>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七、授予合同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30、签订合同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30.1中标供应商应当在中标通知书发出之日起三十日内，按照招标文件确定的事项与采购人签订政府采购合同。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30.2招标文件、中标供应商的投标文件及招标过程中有关澄清、承诺文件均应作为合同附件。</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30.3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31、政府采购履约资金扶持政策</w:t>
      </w:r>
      <w:r/>
    </w:p>
    <w:p>
      <w:pPr>
        <w:ind w:left="0" w:right="0" w:firstLine="55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中标供应商可凭政府采购合同办理融资贷款，详情请见江苏政府采购网“政采贷”专栏。</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14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14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64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2640"/>
        <w:jc w:val="both"/>
        <w:spacing w:before="0" w:after="0"/>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2640"/>
        <w:jc w:val="both"/>
        <w:spacing w:before="0" w:after="0"/>
        <w:pBdr>
          <w:top w:val="none" w:color="000000" w:sz="0" w:space="0"/>
          <w:left w:val="none" w:color="000000" w:sz="0" w:space="0"/>
          <w:bottom w:val="none" w:color="000000" w:sz="0" w:space="0"/>
          <w:right w:val="none" w:color="000000" w:sz="0" w:space="0"/>
        </w:pBdr>
      </w:pPr>
      <w:r>
        <w:rPr>
          <w:rStyle w:val="990"/>
          <w:rFonts w:ascii="黑体" w:hAnsi="黑体" w:eastAsia="黑体" w:cs="黑体"/>
        </w:rPr>
        <w:t xml:space="preserve">第三章合同文本</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财政部 政府采购货物买卖合同（试行）</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范本</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40"/>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40"/>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40"/>
        </w:rPr>
        <w:t xml:space="preserve"> </w:t>
      </w:r>
      <w:r/>
    </w:p>
    <w:p>
      <w:pPr>
        <w:ind w:left="42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项目名称</w:t>
      </w:r>
      <w:r>
        <w:rPr>
          <w:rFonts w:ascii="宋体" w:hAnsi="宋体" w:eastAsia="宋体" w:cs="宋体"/>
          <w:color w:val="000000"/>
          <w:sz w:val="24"/>
        </w:rPr>
        <w:t xml:space="preserve">：</w:t>
      </w:r>
      <w:r>
        <w:rPr>
          <w:rFonts w:ascii="宋体" w:hAnsi="宋体" w:eastAsia="宋体" w:cs="宋体"/>
          <w:color w:val="000000"/>
          <w:sz w:val="24"/>
          <w:u w:val="single"/>
        </w:rPr>
        <w:t xml:space="preserve">           </w:t>
      </w:r>
      <w:r/>
    </w:p>
    <w:p>
      <w:pPr>
        <w:ind w:left="42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合同编号</w:t>
      </w:r>
      <w:r>
        <w:rPr>
          <w:rFonts w:ascii="宋体" w:hAnsi="宋体" w:eastAsia="宋体" w:cs="宋体"/>
          <w:color w:val="000000"/>
          <w:sz w:val="24"/>
        </w:rPr>
        <w:t xml:space="preserve">：</w:t>
      </w:r>
      <w:r>
        <w:rPr>
          <w:rFonts w:ascii="宋体" w:hAnsi="宋体" w:eastAsia="宋体" w:cs="宋体"/>
          <w:color w:val="000000"/>
          <w:sz w:val="24"/>
          <w:u w:val="single"/>
        </w:rPr>
        <w:t xml:space="preserve">           </w:t>
      </w:r>
      <w:r/>
    </w:p>
    <w:p>
      <w:pPr>
        <w:ind w:left="42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甲方</w:t>
      </w:r>
      <w:r>
        <w:rPr>
          <w:rFonts w:ascii="宋体" w:hAnsi="宋体" w:eastAsia="宋体" w:cs="宋体"/>
          <w:color w:val="000000"/>
          <w:sz w:val="24"/>
        </w:rPr>
        <w:t xml:space="preserve">：</w:t>
      </w:r>
      <w:r>
        <w:rPr>
          <w:rFonts w:ascii="宋体" w:hAnsi="宋体" w:eastAsia="宋体" w:cs="宋体"/>
          <w:color w:val="000000"/>
          <w:sz w:val="24"/>
          <w:u w:val="single"/>
        </w:rPr>
        <w:t xml:space="preserve">           </w:t>
      </w:r>
      <w:r/>
    </w:p>
    <w:p>
      <w:pPr>
        <w:ind w:left="42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乙方</w:t>
      </w:r>
      <w:r>
        <w:rPr>
          <w:rFonts w:ascii="宋体" w:hAnsi="宋体" w:eastAsia="宋体" w:cs="宋体"/>
          <w:color w:val="000000"/>
          <w:sz w:val="24"/>
        </w:rPr>
        <w:t xml:space="preserve">：</w:t>
      </w:r>
      <w:r>
        <w:rPr>
          <w:rFonts w:ascii="宋体" w:hAnsi="宋体" w:eastAsia="宋体" w:cs="宋体"/>
          <w:color w:val="000000"/>
          <w:sz w:val="24"/>
          <w:u w:val="single"/>
        </w:rPr>
        <w:t xml:space="preserve">           </w:t>
      </w:r>
      <w:r/>
    </w:p>
    <w:p>
      <w:pPr>
        <w:ind w:left="42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签订时间</w:t>
      </w:r>
      <w:r>
        <w:rPr>
          <w:rFonts w:ascii="宋体" w:hAnsi="宋体" w:eastAsia="宋体" w:cs="宋体"/>
          <w:color w:val="000000"/>
          <w:sz w:val="24"/>
        </w:rPr>
        <w:t xml:space="preserve">：</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4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4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使 用 说 明</w:t>
      </w:r>
      <w:r/>
    </w:p>
    <w:p>
      <w:pPr>
        <w:ind w:left="0" w:right="0" w:firstLine="640"/>
        <w:jc w:val="both"/>
        <w:spacing w:before="0" w:after="0"/>
        <w:pBdr>
          <w:top w:val="none" w:color="000000" w:sz="0" w:space="0"/>
          <w:left w:val="none" w:color="000000" w:sz="0" w:space="0"/>
          <w:bottom w:val="none" w:color="000000" w:sz="0" w:space="0"/>
          <w:right w:val="none" w:color="000000" w:sz="0" w:space="0"/>
        </w:pBdr>
      </w:pPr>
      <w:r>
        <w:rPr>
          <w:rFonts w:ascii="仿宋" w:hAnsi="仿宋" w:eastAsia="仿宋" w:cs="仿宋"/>
          <w:color w:val="000000"/>
          <w:sz w:val="32"/>
        </w:rPr>
        <w:t xml:space="preserve"> </w:t>
      </w:r>
      <w:r/>
    </w:p>
    <w:p>
      <w:pPr>
        <w:ind w:left="0" w:right="0" w:firstLine="5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1.本合同标准文本适用于购买现成货物的采购项目，不包括需要供应商定制开发、创新研发的货物采购项目。</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2.本合同标准文本为政府采购货物买卖合同编制提供参考，可以结合采购项目具体情况，对文本作必要的调整修订后使用。</w:t>
      </w:r>
      <w:r/>
    </w:p>
    <w:p>
      <w:pPr>
        <w:ind w:left="0" w:right="0" w:firstLine="5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3.本合同标准文本各条款中，如涉及填写多家供应商、制造商，多种采购标的、分包主要内容等信息的，可根据采购项目具体情况添加信息项。</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pStyle w:val="712"/>
        <w:ind w:left="0" w:right="0" w:firstLine="0"/>
        <w:jc w:val="center"/>
        <w:spacing w:before="260" w:after="26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第一节 政府采购合同协议书</w:t>
      </w:r>
      <w:r/>
    </w:p>
    <w:p>
      <w:pPr>
        <w:pStyle w:val="712"/>
        <w:ind w:left="0" w:right="0" w:firstLine="0"/>
        <w:jc w:val="center"/>
        <w:spacing w:before="260" w:after="26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甲方（全称）：</w:t>
      </w:r>
      <w:r>
        <w:rPr>
          <w:rFonts w:ascii="宋体" w:hAnsi="宋体" w:eastAsia="宋体" w:cs="宋体"/>
          <w:color w:val="000000"/>
          <w:sz w:val="21"/>
          <w:u w:val="single"/>
        </w:rPr>
        <w:t xml:space="preserve">     </w:t>
      </w:r>
      <w:r>
        <w:rPr>
          <w:rFonts w:ascii="宋体" w:hAnsi="宋体" w:eastAsia="宋体" w:cs="宋体"/>
          <w:color w:val="000000"/>
          <w:sz w:val="21"/>
        </w:rPr>
        <w:t xml:space="preserve">（采购人、受采购人委托签订合同的单位或采购文件约定的合同甲方）</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乙方1（全称）：</w:t>
      </w:r>
      <w:r>
        <w:rPr>
          <w:rFonts w:ascii="宋体" w:hAnsi="宋体" w:eastAsia="宋体" w:cs="宋体"/>
          <w:color w:val="000000"/>
          <w:sz w:val="21"/>
          <w:u w:val="single"/>
        </w:rPr>
        <w:t xml:space="preserve">     </w:t>
      </w:r>
      <w:r>
        <w:rPr>
          <w:rFonts w:ascii="宋体" w:hAnsi="宋体" w:eastAsia="宋体" w:cs="宋体"/>
          <w:color w:val="000000"/>
          <w:sz w:val="21"/>
        </w:rPr>
        <w:t xml:space="preserve">（供应商）</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乙方2（全称）：</w:t>
      </w:r>
      <w:r>
        <w:rPr>
          <w:rFonts w:ascii="宋体" w:hAnsi="宋体" w:eastAsia="宋体" w:cs="宋体"/>
          <w:color w:val="000000"/>
          <w:sz w:val="21"/>
          <w:u w:val="single"/>
        </w:rPr>
        <w:t xml:space="preserve">          </w:t>
      </w:r>
      <w:r>
        <w:rPr>
          <w:rFonts w:ascii="宋体" w:hAnsi="宋体" w:eastAsia="宋体" w:cs="宋体"/>
          <w:color w:val="000000"/>
          <w:sz w:val="21"/>
        </w:rPr>
        <w:t xml:space="preserve">（联合体成员供应商或其他合同主体）（如有）</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乙方3（全称）</w:t>
      </w:r>
      <w:r>
        <w:rPr>
          <w:rFonts w:ascii="宋体" w:hAnsi="宋体" w:eastAsia="宋体" w:cs="宋体"/>
          <w:color w:val="000000"/>
          <w:sz w:val="21"/>
          <w:u w:val="single"/>
        </w:rPr>
        <w:t xml:space="preserve">            </w:t>
      </w:r>
      <w:r>
        <w:rPr>
          <w:rFonts w:ascii="宋体" w:hAnsi="宋体" w:eastAsia="宋体" w:cs="宋体"/>
          <w:color w:val="000000"/>
          <w:sz w:val="21"/>
        </w:rPr>
        <w:t xml:space="preserve">（联合体成员供应商或其他合同主体）（如有）</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420"/>
        <w:jc w:val="both"/>
        <w:spacing w:before="21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w:t>
      </w:r>
      <w:r/>
    </w:p>
    <w:p>
      <w:pPr>
        <w:numPr>
          <w:ilvl w:val="0"/>
          <w:numId w:val="7"/>
        </w:numPr>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项目信息</w:t>
      </w:r>
      <w:r/>
    </w:p>
    <w:p>
      <w:pPr>
        <w:ind w:left="0" w:right="0" w:firstLine="0"/>
        <w:jc w:val="both"/>
        <w:spacing w:before="21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（1）采购项目名称：</w:t>
      </w:r>
      <w:r>
        <w:rPr>
          <w:rFonts w:ascii="宋体" w:hAnsi="宋体" w:eastAsia="宋体" w:cs="宋体"/>
          <w:color w:val="000000"/>
          <w:sz w:val="21"/>
          <w:u w:val="single"/>
        </w:rPr>
        <w:t xml:space="preserve">           </w:t>
      </w:r>
      <w:r/>
    </w:p>
    <w:p>
      <w:pPr>
        <w:ind w:left="0" w:right="0" w:firstLine="0"/>
        <w:jc w:val="both"/>
        <w:spacing w:before="21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采购项目编号：</w:t>
      </w:r>
      <w:r>
        <w:rPr>
          <w:rFonts w:ascii="宋体" w:hAnsi="宋体" w:eastAsia="宋体" w:cs="宋体"/>
          <w:color w:val="000000"/>
          <w:sz w:val="21"/>
          <w:u w:val="single"/>
        </w:rPr>
        <w:t xml:space="preserve">           </w:t>
      </w:r>
      <w:r/>
    </w:p>
    <w:p>
      <w:pPr>
        <w:ind w:left="0" w:right="0" w:firstLine="420"/>
        <w:jc w:val="both"/>
        <w:spacing w:before="21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（2）采购计划编号：</w:t>
      </w:r>
      <w:r>
        <w:rPr>
          <w:rFonts w:ascii="宋体" w:hAnsi="宋体" w:eastAsia="宋体" w:cs="宋体"/>
          <w:color w:val="000000"/>
          <w:sz w:val="21"/>
          <w:u w:val="single"/>
        </w:rPr>
        <w:t xml:space="preserve">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（3）项目内容：</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采购标的及数量（台/套/个/架/组等）：</w:t>
      </w:r>
      <w:r>
        <w:rPr>
          <w:rFonts w:ascii="宋体" w:hAnsi="宋体" w:eastAsia="宋体" w:cs="宋体"/>
          <w:color w:val="000000"/>
          <w:sz w:val="21"/>
          <w:u w:val="single"/>
        </w:rPr>
        <w:t xml:space="preserve">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品牌：</w:t>
      </w:r>
      <w:r>
        <w:rPr>
          <w:rFonts w:ascii="宋体" w:hAnsi="宋体" w:eastAsia="宋体" w:cs="宋体"/>
          <w:color w:val="000000"/>
          <w:sz w:val="21"/>
          <w:u w:val="single"/>
        </w:rPr>
        <w:t xml:space="preserve">        </w:t>
      </w:r>
      <w:r>
        <w:rPr>
          <w:rFonts w:ascii="宋体" w:hAnsi="宋体" w:eastAsia="宋体" w:cs="宋体"/>
          <w:color w:val="000000"/>
          <w:sz w:val="21"/>
        </w:rPr>
        <w:t xml:space="preserve">     规格型号：</w:t>
      </w:r>
      <w:r>
        <w:rPr>
          <w:rFonts w:ascii="宋体" w:hAnsi="宋体" w:eastAsia="宋体" w:cs="宋体"/>
          <w:color w:val="000000"/>
          <w:sz w:val="21"/>
          <w:u w:val="single"/>
        </w:rPr>
        <w:t xml:space="preserve">         </w:t>
      </w:r>
      <w:r/>
    </w:p>
    <w:p>
      <w:pPr>
        <w:ind w:left="0" w:right="0" w:firstLine="9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采购标的的技术要求、商务要求具体见附件。</w:t>
      </w:r>
      <w:r/>
    </w:p>
    <w:p>
      <w:pPr>
        <w:ind w:left="0" w:right="0" w:firstLine="945"/>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①</w:t>
      </w:r>
      <w:r>
        <w:rPr>
          <w:rFonts w:ascii="宋体" w:hAnsi="宋体" w:eastAsia="宋体" w:cs="宋体"/>
          <w:color w:val="000000"/>
          <w:sz w:val="21"/>
        </w:rPr>
        <w:t xml:space="preserve">涉及信息类产品，请填写该产品关键部件的品牌、型号：</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标的名称：</w:t>
      </w:r>
      <w:r>
        <w:rPr>
          <w:rFonts w:ascii="宋体" w:hAnsi="宋体" w:eastAsia="宋体" w:cs="宋体"/>
          <w:color w:val="000000"/>
          <w:sz w:val="21"/>
          <w:u w:val="single"/>
        </w:rPr>
        <w:t xml:space="preserve">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关键部件：</w:t>
      </w:r>
      <w:r>
        <w:rPr>
          <w:rFonts w:ascii="宋体" w:hAnsi="宋体" w:eastAsia="宋体" w:cs="宋体"/>
          <w:color w:val="000000"/>
          <w:sz w:val="21"/>
          <w:u w:val="single"/>
        </w:rPr>
        <w:t xml:space="preserve">    </w:t>
      </w:r>
      <w:r>
        <w:rPr>
          <w:rFonts w:ascii="宋体" w:hAnsi="宋体" w:eastAsia="宋体" w:cs="宋体"/>
          <w:color w:val="000000"/>
          <w:sz w:val="21"/>
        </w:rPr>
        <w:t xml:space="preserve"> 品牌：</w:t>
      </w:r>
      <w:r>
        <w:rPr>
          <w:rFonts w:ascii="宋体" w:hAnsi="宋体" w:eastAsia="宋体" w:cs="宋体"/>
          <w:color w:val="000000"/>
          <w:sz w:val="21"/>
          <w:u w:val="single"/>
        </w:rPr>
        <w:t xml:space="preserve">    </w:t>
      </w:r>
      <w:r>
        <w:rPr>
          <w:rFonts w:ascii="宋体" w:hAnsi="宋体" w:eastAsia="宋体" w:cs="宋体"/>
          <w:color w:val="000000"/>
          <w:sz w:val="21"/>
        </w:rPr>
        <w:t xml:space="preserve"> 型号：</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关键部件</w:t>
      </w:r>
      <w:r>
        <w:rPr>
          <w:rFonts w:ascii="华文楷体" w:hAnsi="华文楷体" w:eastAsia="华文楷体" w:cs="华文楷体"/>
          <w:color w:val="000000"/>
          <w:sz w:val="22"/>
        </w:rPr>
        <w:t xml:space="preserve">：</w:t>
      </w:r>
      <w:r>
        <w:rPr>
          <w:rFonts w:ascii="华文楷体" w:hAnsi="华文楷体" w:eastAsia="华文楷体" w:cs="华文楷体"/>
          <w:color w:val="000000"/>
          <w:sz w:val="22"/>
          <w:u w:val="single"/>
        </w:rPr>
        <w:t xml:space="preserve">    </w:t>
      </w:r>
      <w:r>
        <w:rPr>
          <w:rFonts w:ascii="华文楷体" w:hAnsi="华文楷体" w:eastAsia="华文楷体" w:cs="华文楷体"/>
          <w:color w:val="000000"/>
          <w:sz w:val="22"/>
        </w:rPr>
        <w:t xml:space="preserve"> </w:t>
      </w:r>
      <w:r>
        <w:rPr>
          <w:rFonts w:ascii="宋体" w:hAnsi="宋体" w:eastAsia="宋体" w:cs="宋体"/>
          <w:color w:val="000000"/>
          <w:sz w:val="21"/>
        </w:rPr>
        <w:t xml:space="preserve">品牌</w:t>
      </w:r>
      <w:r>
        <w:rPr>
          <w:rFonts w:ascii="华文楷体" w:hAnsi="华文楷体" w:eastAsia="华文楷体" w:cs="华文楷体"/>
          <w:color w:val="000000"/>
          <w:sz w:val="22"/>
        </w:rPr>
        <w:t xml:space="preserve">：</w:t>
      </w:r>
      <w:r>
        <w:rPr>
          <w:rFonts w:ascii="华文楷体" w:hAnsi="华文楷体" w:eastAsia="华文楷体" w:cs="华文楷体"/>
          <w:color w:val="000000"/>
          <w:sz w:val="22"/>
          <w:u w:val="single"/>
        </w:rPr>
        <w:t xml:space="preserve">    </w:t>
      </w:r>
      <w:r>
        <w:rPr>
          <w:rFonts w:ascii="华文楷体" w:hAnsi="华文楷体" w:eastAsia="华文楷体" w:cs="华文楷体"/>
          <w:color w:val="000000"/>
          <w:sz w:val="22"/>
        </w:rPr>
        <w:t xml:space="preserve"> </w:t>
      </w:r>
      <w:r>
        <w:rPr>
          <w:rFonts w:ascii="宋体" w:hAnsi="宋体" w:eastAsia="宋体" w:cs="宋体"/>
          <w:color w:val="000000"/>
          <w:sz w:val="21"/>
        </w:rPr>
        <w:t xml:space="preserve">型号</w:t>
      </w:r>
      <w:r>
        <w:rPr>
          <w:rFonts w:ascii="华文楷体" w:hAnsi="华文楷体" w:eastAsia="华文楷体" w:cs="华文楷体"/>
          <w:color w:val="000000"/>
          <w:sz w:val="22"/>
        </w:rPr>
        <w:t xml:space="preserve">：</w:t>
      </w:r>
      <w:r>
        <w:rPr>
          <w:rFonts w:ascii="华文楷体" w:hAnsi="华文楷体" w:eastAsia="华文楷体" w:cs="华文楷体"/>
          <w:color w:val="000000"/>
          <w:sz w:val="22"/>
          <w:u w:val="single"/>
        </w:rPr>
        <w:t xml:space="preserve">    </w:t>
      </w:r>
      <w:r>
        <w:rPr>
          <w:rFonts w:ascii="华文楷体" w:hAnsi="华文楷体" w:eastAsia="华文楷体" w:cs="华文楷体"/>
          <w:color w:val="000000"/>
          <w:sz w:val="22"/>
        </w:rPr>
        <w:t xml:space="preserve"> </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关键部件</w:t>
      </w:r>
      <w:r>
        <w:rPr>
          <w:rFonts w:ascii="华文楷体" w:hAnsi="华文楷体" w:eastAsia="华文楷体" w:cs="华文楷体"/>
          <w:color w:val="000000"/>
          <w:sz w:val="22"/>
        </w:rPr>
        <w:t xml:space="preserve">：</w:t>
      </w:r>
      <w:r>
        <w:rPr>
          <w:rFonts w:ascii="华文楷体" w:hAnsi="华文楷体" w:eastAsia="华文楷体" w:cs="华文楷体"/>
          <w:color w:val="000000"/>
          <w:sz w:val="22"/>
          <w:u w:val="single"/>
        </w:rPr>
        <w:t xml:space="preserve">    </w:t>
      </w:r>
      <w:r>
        <w:rPr>
          <w:rFonts w:ascii="华文楷体" w:hAnsi="华文楷体" w:eastAsia="华文楷体" w:cs="华文楷体"/>
          <w:color w:val="000000"/>
          <w:sz w:val="22"/>
        </w:rPr>
        <w:t xml:space="preserve"> </w:t>
      </w:r>
      <w:r>
        <w:rPr>
          <w:rFonts w:ascii="宋体" w:hAnsi="宋体" w:eastAsia="宋体" w:cs="宋体"/>
          <w:color w:val="000000"/>
          <w:sz w:val="21"/>
        </w:rPr>
        <w:t xml:space="preserve">品牌</w:t>
      </w:r>
      <w:r>
        <w:rPr>
          <w:rFonts w:ascii="华文楷体" w:hAnsi="华文楷体" w:eastAsia="华文楷体" w:cs="华文楷体"/>
          <w:color w:val="000000"/>
          <w:sz w:val="22"/>
        </w:rPr>
        <w:t xml:space="preserve">：</w:t>
      </w:r>
      <w:r>
        <w:rPr>
          <w:rFonts w:ascii="华文楷体" w:hAnsi="华文楷体" w:eastAsia="华文楷体" w:cs="华文楷体"/>
          <w:color w:val="000000"/>
          <w:sz w:val="22"/>
          <w:u w:val="single"/>
        </w:rPr>
        <w:t xml:space="preserve">    </w:t>
      </w:r>
      <w:r>
        <w:rPr>
          <w:rFonts w:ascii="华文楷体" w:hAnsi="华文楷体" w:eastAsia="华文楷体" w:cs="华文楷体"/>
          <w:color w:val="000000"/>
          <w:sz w:val="22"/>
        </w:rPr>
        <w:t xml:space="preserve"> </w:t>
      </w:r>
      <w:r>
        <w:rPr>
          <w:rFonts w:ascii="宋体" w:hAnsi="宋体" w:eastAsia="宋体" w:cs="宋体"/>
          <w:color w:val="000000"/>
          <w:sz w:val="21"/>
        </w:rPr>
        <w:t xml:space="preserve">型号</w:t>
      </w:r>
      <w:r>
        <w:rPr>
          <w:rFonts w:ascii="华文楷体" w:hAnsi="华文楷体" w:eastAsia="华文楷体" w:cs="华文楷体"/>
          <w:color w:val="000000"/>
          <w:sz w:val="22"/>
        </w:rPr>
        <w:t xml:space="preserve">：</w:t>
      </w:r>
      <w:r>
        <w:rPr>
          <w:rFonts w:ascii="华文楷体" w:hAnsi="华文楷体" w:eastAsia="华文楷体" w:cs="华文楷体"/>
          <w:color w:val="000000"/>
          <w:sz w:val="22"/>
          <w:u w:val="single"/>
        </w:rPr>
        <w:t xml:space="preserve">    </w:t>
      </w:r>
      <w:r>
        <w:rPr>
          <w:rFonts w:ascii="华文楷体" w:hAnsi="华文楷体" w:eastAsia="华文楷体" w:cs="华文楷体"/>
          <w:color w:val="000000"/>
          <w:sz w:val="22"/>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（注：关键部件是指财政部会同有关部门发布的政府采购需求标准规定的需要通过国家有关部门指定的测评机构开展的安全可靠测评的软硬件，如CPU芯片、操作系统、数据库等。）</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Arial" w:hAnsi="Arial" w:eastAsia="Arial" w:cs="Arial"/>
          <w:color w:val="000000"/>
          <w:sz w:val="21"/>
        </w:rPr>
        <w:t xml:space="preserve">②</w:t>
      </w:r>
      <w:r>
        <w:rPr>
          <w:rFonts w:ascii="宋体" w:hAnsi="宋体" w:eastAsia="宋体" w:cs="宋体"/>
          <w:color w:val="000000"/>
          <w:sz w:val="21"/>
        </w:rPr>
        <w:t xml:space="preserve">涉及车辆采购，请填写是否属于新能源汽车：</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是，《政府采购品目分类目录》底级品目名称：</w:t>
      </w:r>
      <w:r>
        <w:rPr>
          <w:rFonts w:ascii="宋体" w:hAnsi="宋体" w:eastAsia="宋体" w:cs="宋体"/>
          <w:color w:val="000000"/>
          <w:sz w:val="21"/>
          <w:u w:val="single"/>
        </w:rPr>
        <w:t xml:space="preserve">     </w:t>
      </w:r>
      <w:r>
        <w:rPr>
          <w:rFonts w:ascii="宋体" w:hAnsi="宋体" w:eastAsia="宋体" w:cs="宋体"/>
          <w:color w:val="000000"/>
          <w:sz w:val="21"/>
        </w:rPr>
        <w:t xml:space="preserve"> 数量：</w:t>
      </w:r>
      <w:r>
        <w:rPr>
          <w:rFonts w:ascii="宋体" w:hAnsi="宋体" w:eastAsia="宋体" w:cs="宋体"/>
          <w:color w:val="000000"/>
          <w:sz w:val="21"/>
          <w:u w:val="single"/>
        </w:rPr>
        <w:t xml:space="preserve">    </w:t>
      </w:r>
      <w:r>
        <w:rPr>
          <w:rFonts w:ascii="宋体" w:hAnsi="宋体" w:eastAsia="宋体" w:cs="宋体"/>
          <w:color w:val="000000"/>
          <w:sz w:val="21"/>
        </w:rPr>
        <w:t xml:space="preserve"> 金额：</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（4）政府采购组织形式：</w:t>
      </w:r>
      <w:r>
        <w:rPr>
          <w:rFonts w:ascii="Wingdings" w:hAnsi="Wingdings" w:eastAsia="Wingdings" w:cs="Wingdings"/>
          <w:color w:val="000000"/>
          <w:sz w:val="21"/>
        </w:rPr>
        <w:t xml:space="preserve">¨</w:t>
      </w:r>
      <w:r>
        <w:rPr>
          <w:rFonts w:ascii="宋体" w:hAnsi="宋体" w:eastAsia="宋体" w:cs="宋体"/>
          <w:color w:val="000000"/>
          <w:sz w:val="21"/>
        </w:rPr>
        <w:t xml:space="preserve">政府集中采购</w:t>
      </w:r>
      <w:r>
        <w:rPr>
          <w:rFonts w:ascii="Wingdings" w:hAnsi="Wingdings" w:eastAsia="Wingdings" w:cs="Wingdings"/>
          <w:color w:val="000000"/>
          <w:sz w:val="21"/>
        </w:rPr>
        <w:t xml:space="preserve">¨</w:t>
      </w:r>
      <w:r>
        <w:rPr>
          <w:rFonts w:ascii="宋体" w:hAnsi="宋体" w:eastAsia="宋体" w:cs="宋体"/>
          <w:color w:val="000000"/>
          <w:sz w:val="21"/>
        </w:rPr>
        <w:t xml:space="preserve">部门集中采购</w:t>
      </w:r>
      <w:r>
        <w:rPr>
          <w:rFonts w:ascii="Wingdings" w:hAnsi="Wingdings" w:eastAsia="Wingdings" w:cs="Wingdings"/>
          <w:color w:val="000000"/>
          <w:sz w:val="21"/>
        </w:rPr>
        <w:t xml:space="preserve">¨</w:t>
      </w:r>
      <w:r>
        <w:rPr>
          <w:rFonts w:ascii="宋体" w:hAnsi="宋体" w:eastAsia="宋体" w:cs="宋体"/>
          <w:color w:val="000000"/>
          <w:sz w:val="21"/>
        </w:rPr>
        <w:t xml:space="preserve">分散采购</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（5）政府采购方式：</w:t>
      </w:r>
      <w:r>
        <w:rPr>
          <w:rFonts w:ascii="Wingdings" w:hAnsi="Wingdings" w:eastAsia="Wingdings" w:cs="Wingdings"/>
          <w:color w:val="000000"/>
          <w:sz w:val="21"/>
        </w:rPr>
        <w:t xml:space="preserve">¨</w:t>
      </w:r>
      <w:r>
        <w:rPr>
          <w:rFonts w:ascii="宋体" w:hAnsi="宋体" w:eastAsia="宋体" w:cs="宋体"/>
          <w:color w:val="000000"/>
          <w:sz w:val="21"/>
        </w:rPr>
        <w:t xml:space="preserve">公开招标 </w:t>
      </w:r>
      <w:r>
        <w:rPr>
          <w:rFonts w:ascii="Wingdings" w:hAnsi="Wingdings" w:eastAsia="Wingdings" w:cs="Wingdings"/>
          <w:color w:val="000000"/>
          <w:sz w:val="21"/>
        </w:rPr>
        <w:t xml:space="preserve">¨</w:t>
      </w:r>
      <w:r>
        <w:rPr>
          <w:rFonts w:ascii="宋体" w:hAnsi="宋体" w:eastAsia="宋体" w:cs="宋体"/>
          <w:color w:val="000000"/>
          <w:sz w:val="21"/>
        </w:rPr>
        <w:t xml:space="preserve">邀请招标 </w:t>
      </w:r>
      <w:r>
        <w:rPr>
          <w:rFonts w:ascii="Wingdings" w:hAnsi="Wingdings" w:eastAsia="Wingdings" w:cs="Wingdings"/>
          <w:color w:val="000000"/>
          <w:sz w:val="21"/>
        </w:rPr>
        <w:t xml:space="preserve">¨</w:t>
      </w:r>
      <w:r>
        <w:rPr>
          <w:rFonts w:ascii="宋体" w:hAnsi="宋体" w:eastAsia="宋体" w:cs="宋体"/>
          <w:color w:val="000000"/>
          <w:sz w:val="21"/>
        </w:rPr>
        <w:t xml:space="preserve">竞争性谈判 </w:t>
      </w:r>
      <w:r>
        <w:rPr>
          <w:rFonts w:ascii="Wingdings" w:hAnsi="Wingdings" w:eastAsia="Wingdings" w:cs="Wingdings"/>
          <w:color w:val="000000"/>
          <w:sz w:val="21"/>
        </w:rPr>
        <w:t xml:space="preserve">¨</w:t>
      </w:r>
      <w:r>
        <w:rPr>
          <w:rFonts w:ascii="宋体" w:hAnsi="宋体" w:eastAsia="宋体" w:cs="宋体"/>
          <w:color w:val="000000"/>
          <w:sz w:val="21"/>
        </w:rPr>
        <w:t xml:space="preserve">竞争性磋商</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华文楷体" w:hAnsi="华文楷体" w:eastAsia="华文楷体" w:cs="华文楷体"/>
          <w:color w:val="000000"/>
          <w:sz w:val="22"/>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询价 </w:t>
      </w:r>
      <w:r>
        <w:rPr>
          <w:rFonts w:ascii="Wingdings" w:hAnsi="Wingdings" w:eastAsia="Wingdings" w:cs="Wingdings"/>
          <w:color w:val="000000"/>
          <w:sz w:val="21"/>
        </w:rPr>
        <w:t xml:space="preserve">¨</w:t>
      </w:r>
      <w:r>
        <w:rPr>
          <w:rFonts w:ascii="宋体" w:hAnsi="宋体" w:eastAsia="宋体" w:cs="宋体"/>
          <w:color w:val="000000"/>
          <w:sz w:val="21"/>
        </w:rPr>
        <w:t xml:space="preserve">单一来源 </w:t>
      </w:r>
      <w:r>
        <w:rPr>
          <w:rFonts w:ascii="Wingdings" w:hAnsi="Wingdings" w:eastAsia="Wingdings" w:cs="Wingdings"/>
          <w:color w:val="000000"/>
          <w:sz w:val="21"/>
        </w:rPr>
        <w:t xml:space="preserve">¨</w:t>
      </w:r>
      <w:r>
        <w:rPr>
          <w:rFonts w:ascii="宋体" w:hAnsi="宋体" w:eastAsia="宋体" w:cs="宋体"/>
          <w:color w:val="000000"/>
          <w:sz w:val="21"/>
        </w:rPr>
        <w:t xml:space="preserve">框架协议 </w:t>
      </w:r>
      <w:r>
        <w:rPr>
          <w:rFonts w:ascii="Wingdings" w:hAnsi="Wingdings" w:eastAsia="Wingdings" w:cs="Wingdings"/>
          <w:color w:val="000000"/>
          <w:sz w:val="21"/>
        </w:rPr>
        <w:t xml:space="preserve">¨</w:t>
      </w:r>
      <w:r>
        <w:rPr>
          <w:rFonts w:ascii="宋体" w:hAnsi="宋体" w:eastAsia="宋体" w:cs="宋体"/>
          <w:color w:val="000000"/>
          <w:sz w:val="21"/>
        </w:rPr>
        <w:t xml:space="preserve">其他：</w:t>
      </w:r>
      <w:r>
        <w:rPr>
          <w:rFonts w:ascii="宋体" w:hAnsi="宋体" w:eastAsia="宋体" w:cs="宋体"/>
          <w:color w:val="000000"/>
          <w:sz w:val="21"/>
          <w:u w:val="single"/>
        </w:rPr>
        <w:t xml:space="preserve">          </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（注：在框架协议采购的第二阶段，可选择使用该合同文本）</w:t>
      </w:r>
      <w:r/>
    </w:p>
    <w:p>
      <w:pPr>
        <w:numPr>
          <w:ilvl w:val="0"/>
          <w:numId w:val="8"/>
        </w:numPr>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中标（成交）采购标的制造商是否为中小企业：</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275" w:right="0" w:firstLine="315"/>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本合同是否为专门面向中小企业的采购合同（中小企业预留合同）：</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275" w:right="0" w:firstLine="525"/>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若本项目不专门面向中小企业采购，是否给予小微企业评审优惠：</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275" w:right="0" w:firstLine="525"/>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中标（成交）采购标的制造商是否为残疾人福利性单位：</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275" w:right="0" w:firstLine="525"/>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中标（成交）采购标的制造商是否为监狱企业：</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（7）合同是否分包：</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分包主要内容：</w:t>
      </w:r>
      <w:r>
        <w:rPr>
          <w:rFonts w:ascii="宋体" w:hAnsi="宋体" w:eastAsia="宋体" w:cs="宋体"/>
          <w:color w:val="000000"/>
          <w:sz w:val="21"/>
          <w:u w:val="single"/>
        </w:rPr>
        <w:t xml:space="preserve">         </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分包供应商/制造商名称（如供应商和制造商不同，请分别填写）：</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宋体" w:hAnsi="宋体" w:eastAsia="宋体" w:cs="宋体"/>
          <w:color w:val="000000"/>
          <w:sz w:val="21"/>
          <w:u w:val="single"/>
        </w:rPr>
        <w:t xml:space="preserve">             </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分包供应商/制造商类型（如果供应商和制造商不同，只填写制造商类型）：</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大型企业</w:t>
      </w:r>
      <w:r>
        <w:rPr>
          <w:rFonts w:ascii="Wingdings" w:hAnsi="Wingdings" w:eastAsia="Wingdings" w:cs="Wingdings"/>
          <w:color w:val="000000"/>
          <w:sz w:val="21"/>
        </w:rPr>
        <w:t xml:space="preserve">¨</w:t>
      </w:r>
      <w:r>
        <w:rPr>
          <w:rFonts w:ascii="宋体" w:hAnsi="宋体" w:eastAsia="宋体" w:cs="宋体"/>
          <w:color w:val="000000"/>
          <w:sz w:val="21"/>
        </w:rPr>
        <w:t xml:space="preserve">中型企业</w:t>
      </w:r>
      <w:r>
        <w:rPr>
          <w:rFonts w:ascii="Wingdings" w:hAnsi="Wingdings" w:eastAsia="Wingdings" w:cs="Wingdings"/>
          <w:color w:val="000000"/>
          <w:sz w:val="21"/>
        </w:rPr>
        <w:t xml:space="preserve">¨</w:t>
      </w:r>
      <w:r>
        <w:rPr>
          <w:rFonts w:ascii="宋体" w:hAnsi="宋体" w:eastAsia="宋体" w:cs="宋体"/>
          <w:color w:val="000000"/>
          <w:sz w:val="21"/>
        </w:rPr>
        <w:t xml:space="preserve">小微型企业</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残疾人福利性单位 </w:t>
      </w:r>
      <w:r>
        <w:rPr>
          <w:rFonts w:ascii="Wingdings" w:hAnsi="Wingdings" w:eastAsia="Wingdings" w:cs="Wingdings"/>
          <w:color w:val="000000"/>
          <w:sz w:val="21"/>
        </w:rPr>
        <w:t xml:space="preserve">¨</w:t>
      </w:r>
      <w:r>
        <w:rPr>
          <w:rFonts w:ascii="宋体" w:hAnsi="宋体" w:eastAsia="宋体" w:cs="宋体"/>
          <w:color w:val="000000"/>
          <w:sz w:val="21"/>
        </w:rPr>
        <w:t xml:space="preserve">监狱企业 </w:t>
      </w:r>
      <w:r>
        <w:rPr>
          <w:rFonts w:ascii="Wingdings" w:hAnsi="Wingdings" w:eastAsia="Wingdings" w:cs="Wingdings"/>
          <w:color w:val="000000"/>
          <w:sz w:val="21"/>
        </w:rPr>
        <w:t xml:space="preserve">¨</w:t>
      </w:r>
      <w:r>
        <w:rPr>
          <w:rFonts w:ascii="宋体" w:hAnsi="宋体" w:eastAsia="宋体" w:cs="宋体"/>
          <w:color w:val="000000"/>
          <w:sz w:val="21"/>
        </w:rPr>
        <w:t xml:space="preserve">其他</w:t>
      </w:r>
      <w:r/>
    </w:p>
    <w:p>
      <w:pPr>
        <w:ind w:left="0" w:right="0" w:firstLine="52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(8)中标（成交）供应商是否为外商投资企业：</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275" w:right="0" w:firstLine="73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外商投资企业类型：</w:t>
      </w:r>
      <w:r>
        <w:rPr>
          <w:rFonts w:ascii="Wingdings" w:hAnsi="Wingdings" w:eastAsia="Wingdings" w:cs="Wingdings"/>
          <w:color w:val="000000"/>
          <w:sz w:val="21"/>
        </w:rPr>
        <w:t xml:space="preserve">¨</w:t>
      </w:r>
      <w:r>
        <w:rPr>
          <w:rFonts w:ascii="宋体" w:hAnsi="宋体" w:eastAsia="宋体" w:cs="宋体"/>
          <w:color w:val="000000"/>
          <w:sz w:val="21"/>
        </w:rPr>
        <w:t xml:space="preserve">全部由外国投资者投资</w:t>
      </w:r>
      <w:r>
        <w:rPr>
          <w:rFonts w:ascii="Wingdings" w:hAnsi="Wingdings" w:eastAsia="Wingdings" w:cs="Wingdings"/>
          <w:color w:val="000000"/>
          <w:sz w:val="21"/>
        </w:rPr>
        <w:t xml:space="preserve">¨</w:t>
      </w:r>
      <w:r>
        <w:rPr>
          <w:rFonts w:ascii="宋体" w:hAnsi="宋体" w:eastAsia="宋体" w:cs="宋体"/>
          <w:color w:val="000000"/>
          <w:sz w:val="21"/>
        </w:rPr>
        <w:t xml:space="preserve">部分由外国投资者投资</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（9）是否涉及进口产品：</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是，《政府采购品目分类目录》底级品目名称：</w:t>
      </w:r>
      <w:r>
        <w:rPr>
          <w:rFonts w:ascii="宋体" w:hAnsi="宋体" w:eastAsia="宋体" w:cs="宋体"/>
          <w:color w:val="000000"/>
          <w:sz w:val="21"/>
          <w:u w:val="single"/>
        </w:rPr>
        <w:t xml:space="preserve">  </w:t>
      </w:r>
      <w:r>
        <w:rPr>
          <w:rFonts w:ascii="宋体" w:hAnsi="宋体" w:eastAsia="宋体" w:cs="宋体"/>
          <w:color w:val="000000"/>
          <w:sz w:val="21"/>
        </w:rPr>
        <w:t xml:space="preserve"> 金额：</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国别：</w:t>
      </w:r>
      <w:r>
        <w:rPr>
          <w:rFonts w:ascii="宋体" w:hAnsi="宋体" w:eastAsia="宋体" w:cs="宋体"/>
          <w:color w:val="000000"/>
          <w:sz w:val="21"/>
          <w:u w:val="single"/>
        </w:rPr>
        <w:t xml:space="preserve">  </w:t>
      </w:r>
      <w:r>
        <w:rPr>
          <w:rFonts w:ascii="宋体" w:hAnsi="宋体" w:eastAsia="宋体" w:cs="宋体"/>
          <w:color w:val="000000"/>
          <w:sz w:val="21"/>
        </w:rPr>
        <w:t xml:space="preserve"> 品牌：</w:t>
      </w:r>
      <w:r>
        <w:rPr>
          <w:rFonts w:ascii="宋体" w:hAnsi="宋体" w:eastAsia="宋体" w:cs="宋体"/>
          <w:color w:val="000000"/>
          <w:sz w:val="21"/>
          <w:u w:val="single"/>
        </w:rPr>
        <w:t xml:space="preserve">  </w:t>
      </w:r>
      <w:r>
        <w:rPr>
          <w:rFonts w:ascii="宋体" w:hAnsi="宋体" w:eastAsia="宋体" w:cs="宋体"/>
          <w:color w:val="000000"/>
          <w:sz w:val="21"/>
        </w:rPr>
        <w:t xml:space="preserve"> 规格型号：</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numPr>
          <w:ilvl w:val="0"/>
          <w:numId w:val="9"/>
        </w:numPr>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是否涉及节能产品：</w:t>
      </w:r>
      <w:r/>
    </w:p>
    <w:p>
      <w:pPr>
        <w:ind w:left="0" w:right="0" w:firstLine="1050"/>
        <w:jc w:val="both"/>
        <w:spacing w:before="0" w:after="0"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1"/>
        </w:rPr>
        <w:t xml:space="preserve">¨</w:t>
      </w:r>
      <w:r>
        <w:rPr>
          <w:rFonts w:ascii="宋体" w:hAnsi="宋体" w:eastAsia="宋体" w:cs="宋体"/>
          <w:color w:val="000000"/>
          <w:sz w:val="21"/>
        </w:rPr>
        <w:t xml:space="preserve">是，《节能产品政府采购品目清单》的底级品目名称：</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强制采购    </w:t>
      </w:r>
      <w:r>
        <w:rPr>
          <w:rFonts w:ascii="Wingdings" w:hAnsi="Wingdings" w:eastAsia="Wingdings" w:cs="Wingdings"/>
          <w:color w:val="000000"/>
          <w:sz w:val="21"/>
        </w:rPr>
        <w:t xml:space="preserve">¨</w:t>
      </w:r>
      <w:r>
        <w:rPr>
          <w:rFonts w:ascii="宋体" w:hAnsi="宋体" w:eastAsia="宋体" w:cs="宋体"/>
          <w:color w:val="000000"/>
          <w:sz w:val="21"/>
        </w:rPr>
        <w:t xml:space="preserve">优先采购</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是否涉及环境标志产品：</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是，《环境标志产品政府采购品目清单》的底级品目名称：</w:t>
      </w:r>
      <w:r>
        <w:rPr>
          <w:rFonts w:ascii="宋体" w:hAnsi="宋体" w:eastAsia="宋体" w:cs="宋体"/>
          <w:color w:val="000000"/>
          <w:sz w:val="21"/>
          <w:u w:val="single"/>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强制采购   </w:t>
      </w:r>
      <w:r>
        <w:rPr>
          <w:rFonts w:ascii="Wingdings" w:hAnsi="Wingdings" w:eastAsia="Wingdings" w:cs="Wingdings"/>
          <w:color w:val="000000"/>
          <w:sz w:val="21"/>
        </w:rPr>
        <w:t xml:space="preserve">¨</w:t>
      </w:r>
      <w:r>
        <w:rPr>
          <w:rFonts w:ascii="宋体" w:hAnsi="宋体" w:eastAsia="宋体" w:cs="宋体"/>
          <w:color w:val="000000"/>
          <w:sz w:val="21"/>
        </w:rPr>
        <w:t xml:space="preserve">优先采购</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华文楷体" w:hAnsi="华文楷体" w:eastAsia="华文楷体" w:cs="华文楷体"/>
          <w:color w:val="000000"/>
          <w:sz w:val="21"/>
        </w:rPr>
        <w:t xml:space="preserve">                   </w:t>
      </w:r>
      <w:r>
        <w:rPr>
          <w:rFonts w:ascii="宋体" w:hAnsi="宋体" w:eastAsia="宋体" w:cs="宋体"/>
          <w:color w:val="000000"/>
          <w:sz w:val="21"/>
        </w:rPr>
        <w:t xml:space="preserve">是否涉及绿色产品： </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是，绿色产品政府采购相关政策确定的底级品目名称：</w:t>
      </w:r>
      <w:r>
        <w:rPr>
          <w:rFonts w:ascii="宋体" w:hAnsi="宋体" w:eastAsia="宋体" w:cs="宋体"/>
          <w:color w:val="000000"/>
          <w:sz w:val="21"/>
          <w:u w:val="single"/>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强制采购   </w:t>
      </w:r>
      <w:r>
        <w:rPr>
          <w:rFonts w:ascii="Wingdings" w:hAnsi="Wingdings" w:eastAsia="Wingdings" w:cs="Wingdings"/>
          <w:color w:val="000000"/>
          <w:sz w:val="21"/>
        </w:rPr>
        <w:t xml:space="preserve">¨</w:t>
      </w:r>
      <w:r>
        <w:rPr>
          <w:rFonts w:ascii="宋体" w:hAnsi="宋体" w:eastAsia="宋体" w:cs="宋体"/>
          <w:color w:val="000000"/>
          <w:sz w:val="21"/>
        </w:rPr>
        <w:t xml:space="preserve">优先采购</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（11）涉及商品包装和快递包装的，是否参考《商品包装政府采购需求标准（试行）》、《快递包装政府采购需求标准（试行）》明确产品及相关快递服务的具体包装要求：</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rPr>
          <w:rFonts w:ascii="Wingdings" w:hAnsi="Wingdings" w:eastAsia="Wingdings" w:cs="Wingdings"/>
          <w:color w:val="000000"/>
          <w:sz w:val="21"/>
        </w:rPr>
        <w:t xml:space="preserve">¨</w:t>
      </w:r>
      <w:r>
        <w:rPr>
          <w:rFonts w:ascii="宋体" w:hAnsi="宋体" w:eastAsia="宋体" w:cs="宋体"/>
          <w:color w:val="000000"/>
          <w:sz w:val="21"/>
        </w:rPr>
        <w:t xml:space="preserve">不涉及</w:t>
      </w:r>
      <w:r/>
    </w:p>
    <w:p>
      <w:pPr>
        <w:ind w:left="0" w:right="0" w:firstLine="527"/>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2.合同金额</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（1）合同金额小写：</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大写：</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分包金额（如有）小写：</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大写：</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（注：固定单价合同应填写单价和最高限价）</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（2）合同定价方式（采用组合定价方式的，可以勾选多项）：</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固定总价 </w:t>
      </w:r>
      <w:r>
        <w:rPr>
          <w:rFonts w:ascii="Wingdings" w:hAnsi="Wingdings" w:eastAsia="Wingdings" w:cs="Wingdings"/>
          <w:color w:val="000000"/>
          <w:sz w:val="21"/>
        </w:rPr>
        <w:t xml:space="preserve">¨</w:t>
      </w:r>
      <w:r>
        <w:rPr>
          <w:rFonts w:ascii="宋体" w:hAnsi="宋体" w:eastAsia="宋体" w:cs="宋体"/>
          <w:color w:val="000000"/>
          <w:sz w:val="21"/>
        </w:rPr>
        <w:t xml:space="preserve">固定单价 </w:t>
      </w:r>
      <w:r>
        <w:rPr>
          <w:rFonts w:ascii="Wingdings" w:hAnsi="Wingdings" w:eastAsia="Wingdings" w:cs="Wingdings"/>
          <w:color w:val="000000"/>
          <w:sz w:val="21"/>
        </w:rPr>
        <w:t xml:space="preserve">¨</w:t>
      </w:r>
      <w:r>
        <w:rPr>
          <w:rFonts w:ascii="宋体" w:hAnsi="宋体" w:eastAsia="宋体" w:cs="宋体"/>
          <w:color w:val="000000"/>
          <w:sz w:val="21"/>
        </w:rPr>
        <w:t xml:space="preserve">固定费率 </w:t>
      </w:r>
      <w:r>
        <w:rPr>
          <w:rFonts w:ascii="Wingdings" w:hAnsi="Wingdings" w:eastAsia="Wingdings" w:cs="Wingdings"/>
          <w:color w:val="000000"/>
          <w:sz w:val="21"/>
        </w:rPr>
        <w:t xml:space="preserve">¨</w:t>
      </w:r>
      <w:r>
        <w:rPr>
          <w:rFonts w:ascii="宋体" w:hAnsi="宋体" w:eastAsia="宋体" w:cs="宋体"/>
          <w:color w:val="000000"/>
          <w:sz w:val="21"/>
        </w:rPr>
        <w:t xml:space="preserve">成本补偿 </w:t>
      </w:r>
      <w:r>
        <w:rPr>
          <w:rFonts w:ascii="Wingdings" w:hAnsi="Wingdings" w:eastAsia="Wingdings" w:cs="Wingdings"/>
          <w:color w:val="000000"/>
          <w:sz w:val="21"/>
        </w:rPr>
        <w:t xml:space="preserve">¨</w:t>
      </w:r>
      <w:r>
        <w:rPr>
          <w:rFonts w:ascii="宋体" w:hAnsi="宋体" w:eastAsia="宋体" w:cs="宋体"/>
          <w:color w:val="000000"/>
          <w:sz w:val="21"/>
        </w:rPr>
        <w:t xml:space="preserve">绩效激励 </w:t>
      </w:r>
      <w:r>
        <w:rPr>
          <w:rFonts w:ascii="Wingdings" w:hAnsi="Wingdings" w:eastAsia="Wingdings" w:cs="Wingdings"/>
          <w:color w:val="000000"/>
          <w:sz w:val="21"/>
        </w:rPr>
        <w:t xml:space="preserve">¨</w:t>
      </w:r>
      <w:r>
        <w:rPr>
          <w:rFonts w:ascii="宋体" w:hAnsi="宋体" w:eastAsia="宋体" w:cs="宋体"/>
          <w:color w:val="000000"/>
          <w:sz w:val="21"/>
        </w:rPr>
        <w:t xml:space="preserve">其他</w:t>
      </w:r>
      <w:r>
        <w:rPr>
          <w:rFonts w:ascii="宋体" w:hAnsi="宋体" w:eastAsia="宋体" w:cs="宋体"/>
          <w:color w:val="000000"/>
          <w:sz w:val="21"/>
          <w:u w:val="single"/>
        </w:rPr>
        <w:t xml:space="preserve">       </w:t>
      </w:r>
      <w:r/>
    </w:p>
    <w:p>
      <w:pPr>
        <w:ind w:left="0" w:right="0" w:firstLine="420"/>
        <w:jc w:val="both"/>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（3）付款方式（按项目实际勾选填写）：</w:t>
      </w:r>
      <w:r/>
    </w:p>
    <w:p>
      <w:pPr>
        <w:ind w:left="0" w:right="0" w:firstLine="630"/>
        <w:jc w:val="both"/>
        <w:spacing w:before="0" w:after="0"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1"/>
        </w:rPr>
        <w:t xml:space="preserve">¨</w:t>
      </w:r>
      <w:r>
        <w:rPr>
          <w:rFonts w:ascii="宋体" w:hAnsi="宋体" w:eastAsia="宋体" w:cs="宋体"/>
          <w:color w:val="000000"/>
          <w:sz w:val="21"/>
        </w:rPr>
        <w:t xml:space="preserve">全额付款：</w:t>
      </w:r>
      <w:r>
        <w:rPr>
          <w:rFonts w:ascii="宋体" w:hAnsi="宋体" w:eastAsia="宋体" w:cs="宋体"/>
          <w:color w:val="000000"/>
          <w:sz w:val="21"/>
          <w:u w:val="single"/>
        </w:rPr>
        <w:t xml:space="preserve">  （应明确一次性支付合同款项的条件）</w:t>
      </w:r>
      <w:r/>
    </w:p>
    <w:p>
      <w:pPr>
        <w:numPr>
          <w:ilvl w:val="0"/>
          <w:numId w:val="0"/>
        </w:numPr>
        <w:ind w:firstLine="630"/>
        <w:jc w:val="both"/>
        <w:widowControl w:val="off"/>
      </w:pPr>
      <w:r>
        <w:rPr>
          <w:rFonts w:ascii="Wingdings" w:hAnsi="Wingdings" w:eastAsia="Wingdings" w:cs="Wingdings"/>
          <w:color w:val="000000"/>
          <w:sz w:val="21"/>
        </w:rPr>
        <w:t xml:space="preserve">¨</w:t>
      </w:r>
      <w:r>
        <w:rPr>
          <w:rFonts w:ascii="宋体" w:hAnsi="宋体" w:eastAsia="宋体" w:cs="宋体"/>
          <w:color w:val="000000"/>
          <w:sz w:val="21"/>
        </w:rPr>
        <w:t xml:space="preserve">分期付款：</w:t>
      </w:r>
      <w:r>
        <w:rPr>
          <w:rFonts w:hint="eastAsia" w:ascii="宋体" w:hAnsi="宋体" w:eastAsia="宋体" w:cs="宋体"/>
          <w:color w:val="000000"/>
          <w:sz w:val="21"/>
          <w:u w:val="single"/>
          <w:lang w:val="en-US" w:eastAsia="zh-CN"/>
        </w:rPr>
        <w:t xml:space="preserve">合同签订，甲方自收到乙方开具的发票后10个工作日内支付合同总价30%的预付款；项目试运行结束，甲方自收到乙方开具的发票后10个工作日内支付合同总价的30%；项目验收合格后，甲方自收到乙方开具的发票后10个工作日内支付合同总价的40%。</w:t>
      </w:r>
      <w:r>
        <w:rPr>
          <w:rFonts w:ascii="宋体" w:hAnsi="宋体" w:eastAsia="宋体" w:cs="宋体"/>
          <w:color w:val="000000"/>
          <w:sz w:val="21"/>
        </w:rPr>
        <w:t xml:space="preserve">，其中涉及预付款的：</w:t>
      </w:r>
      <w:r>
        <w:rPr>
          <w:rFonts w:hint="eastAsia" w:ascii="宋体" w:hAnsi="宋体" w:eastAsia="宋体" w:cs="宋体"/>
          <w:color w:val="000000"/>
          <w:sz w:val="21"/>
          <w:u w:val="single"/>
          <w:lang w:val="en-US" w:eastAsia="zh-CN"/>
        </w:rPr>
        <w:t xml:space="preserve">合同签订，甲方自收到乙方开具的发票后10个工作日内支付合同总价30%的预付款。</w:t>
      </w:r>
      <w:r/>
    </w:p>
    <w:p>
      <w:pPr>
        <w:ind w:left="0" w:right="0" w:firstLine="630"/>
        <w:jc w:val="both"/>
        <w:spacing w:before="0" w:after="0"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1"/>
        </w:rPr>
        <w:t xml:space="preserve">¨</w:t>
      </w:r>
      <w:r>
        <w:rPr>
          <w:rFonts w:ascii="宋体" w:hAnsi="宋体" w:eastAsia="宋体" w:cs="宋体"/>
          <w:color w:val="000000"/>
          <w:sz w:val="21"/>
        </w:rPr>
        <w:t xml:space="preserve">成本补偿：</w:t>
      </w:r>
      <w:r>
        <w:rPr>
          <w:rFonts w:ascii="宋体" w:hAnsi="宋体" w:eastAsia="宋体" w:cs="宋体"/>
          <w:color w:val="000000"/>
          <w:sz w:val="21"/>
          <w:u w:val="single"/>
        </w:rPr>
        <w:t xml:space="preserve">      （应明确按照成本补偿方式的支付方式和支付条件）</w:t>
      </w:r>
      <w:r/>
    </w:p>
    <w:p>
      <w:pPr>
        <w:ind w:left="0" w:right="0" w:firstLine="630"/>
        <w:jc w:val="both"/>
        <w:spacing w:before="0" w:after="0"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1"/>
        </w:rPr>
        <w:t xml:space="preserve">¨</w:t>
      </w:r>
      <w:r>
        <w:rPr>
          <w:rFonts w:ascii="宋体" w:hAnsi="宋体" w:eastAsia="宋体" w:cs="宋体"/>
          <w:color w:val="000000"/>
          <w:sz w:val="21"/>
        </w:rPr>
        <w:t xml:space="preserve">绩效激励：</w:t>
      </w:r>
      <w:r>
        <w:rPr>
          <w:rFonts w:ascii="宋体" w:hAnsi="宋体" w:eastAsia="宋体" w:cs="宋体"/>
          <w:color w:val="000000"/>
          <w:sz w:val="21"/>
          <w:u w:val="single"/>
        </w:rPr>
        <w:t xml:space="preserve">      （应明确按照绩效激励方式的支付方式和支付条件）</w:t>
      </w:r>
      <w:r/>
    </w:p>
    <w:p>
      <w:pPr>
        <w:numPr>
          <w:ilvl w:val="0"/>
          <w:numId w:val="10"/>
        </w:numPr>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合同履行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（1）起始日期：</w:t>
      </w:r>
      <w:r>
        <w:rPr>
          <w:rFonts w:ascii="宋体" w:hAnsi="宋体" w:eastAsia="宋体" w:cs="宋体"/>
          <w:color w:val="000000"/>
          <w:sz w:val="21"/>
          <w:u w:val="single"/>
        </w:rPr>
        <w:t xml:space="preserve">    </w:t>
      </w:r>
      <w:r>
        <w:rPr>
          <w:rFonts w:ascii="宋体" w:hAnsi="宋体" w:eastAsia="宋体" w:cs="宋体"/>
          <w:color w:val="000000"/>
          <w:sz w:val="21"/>
        </w:rPr>
        <w:t xml:space="preserve">年</w:t>
      </w:r>
      <w:r>
        <w:rPr>
          <w:rFonts w:ascii="宋体" w:hAnsi="宋体" w:eastAsia="宋体" w:cs="宋体"/>
          <w:color w:val="000000"/>
          <w:sz w:val="21"/>
          <w:u w:val="single"/>
        </w:rPr>
        <w:t xml:space="preserve">   </w:t>
      </w:r>
      <w:r>
        <w:rPr>
          <w:rFonts w:ascii="宋体" w:hAnsi="宋体" w:eastAsia="宋体" w:cs="宋体"/>
          <w:color w:val="000000"/>
          <w:sz w:val="21"/>
        </w:rPr>
        <w:t xml:space="preserve">月</w:t>
      </w:r>
      <w:r>
        <w:rPr>
          <w:rFonts w:ascii="宋体" w:hAnsi="宋体" w:eastAsia="宋体" w:cs="宋体"/>
          <w:color w:val="000000"/>
          <w:sz w:val="21"/>
          <w:u w:val="single"/>
        </w:rPr>
        <w:t xml:space="preserve">   </w:t>
      </w:r>
      <w:r>
        <w:rPr>
          <w:rFonts w:ascii="宋体" w:hAnsi="宋体" w:eastAsia="宋体" w:cs="宋体"/>
          <w:color w:val="000000"/>
          <w:sz w:val="21"/>
        </w:rPr>
        <w:t xml:space="preserve">日，完成日期：</w:t>
      </w:r>
      <w:r>
        <w:rPr>
          <w:rFonts w:ascii="宋体" w:hAnsi="宋体" w:eastAsia="宋体" w:cs="宋体"/>
          <w:color w:val="000000"/>
          <w:sz w:val="21"/>
          <w:u w:val="single"/>
        </w:rPr>
        <w:t xml:space="preserve">    </w:t>
      </w:r>
      <w:r>
        <w:rPr>
          <w:rFonts w:ascii="宋体" w:hAnsi="宋体" w:eastAsia="宋体" w:cs="宋体"/>
          <w:color w:val="000000"/>
          <w:sz w:val="21"/>
        </w:rPr>
        <w:t xml:space="preserve">年</w:t>
      </w:r>
      <w:r>
        <w:rPr>
          <w:rFonts w:ascii="宋体" w:hAnsi="宋体" w:eastAsia="宋体" w:cs="宋体"/>
          <w:color w:val="000000"/>
          <w:sz w:val="21"/>
          <w:u w:val="single"/>
        </w:rPr>
        <w:t xml:space="preserve">   </w:t>
      </w:r>
      <w:r>
        <w:rPr>
          <w:rFonts w:ascii="宋体" w:hAnsi="宋体" w:eastAsia="宋体" w:cs="宋体"/>
          <w:color w:val="000000"/>
          <w:sz w:val="21"/>
        </w:rPr>
        <w:t xml:space="preserve">月</w:t>
      </w:r>
      <w:r>
        <w:rPr>
          <w:rFonts w:ascii="宋体" w:hAnsi="宋体" w:eastAsia="宋体" w:cs="宋体"/>
          <w:color w:val="000000"/>
          <w:sz w:val="21"/>
          <w:u w:val="single"/>
        </w:rPr>
        <w:t xml:space="preserve">   </w:t>
      </w:r>
      <w:r>
        <w:rPr>
          <w:rFonts w:ascii="宋体" w:hAnsi="宋体" w:eastAsia="宋体" w:cs="宋体"/>
          <w:color w:val="000000"/>
          <w:sz w:val="21"/>
        </w:rPr>
        <w:t xml:space="preserve">日。</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（2）履约地点：</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（3）履约担保：是否收取履约保证金：</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szCs w:val="21"/>
        </w:rPr>
        <w:t xml:space="preserve">þ</w:t>
      </w:r>
      <w:r>
        <w:rPr>
          <w:rFonts w:ascii="宋体" w:hAnsi="宋体" w:eastAsia="宋体" w:cs="宋体"/>
          <w:color w:val="000000"/>
          <w:sz w:val="21"/>
        </w:rPr>
        <w:t xml:space="preserve">否</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华文楷体" w:hAnsi="华文楷体" w:eastAsia="华文楷体" w:cs="华文楷体"/>
          <w:color w:val="000000"/>
          <w:sz w:val="22"/>
        </w:rPr>
        <w:t xml:space="preserve"> </w:t>
      </w:r>
      <w:r>
        <w:rPr>
          <w:rFonts w:ascii="宋体" w:hAnsi="宋体" w:eastAsia="宋体" w:cs="宋体"/>
          <w:color w:val="000000"/>
          <w:sz w:val="21"/>
        </w:rPr>
        <w:t xml:space="preserve">收取履约保证金形式：</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收取履约保证金金额：</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履约担保期限：</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（4）分期履行要求：</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（5）风险处置措施和替代方案：</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numPr>
          <w:ilvl w:val="0"/>
          <w:numId w:val="10"/>
        </w:numPr>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合同验收</w:t>
      </w:r>
      <w:r/>
    </w:p>
    <w:p>
      <w:pPr>
        <w:numPr>
          <w:ilvl w:val="0"/>
          <w:numId w:val="11"/>
        </w:numPr>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验收组织方式：</w:t>
      </w:r>
      <w:r>
        <w:rPr>
          <w:rFonts w:ascii="Wingdings" w:hAnsi="Wingdings" w:eastAsia="Wingdings" w:cs="Wingdings"/>
          <w:color w:val="000000"/>
          <w:sz w:val="21"/>
        </w:rPr>
        <w:t xml:space="preserve">¨</w:t>
      </w:r>
      <w:r>
        <w:rPr>
          <w:rFonts w:ascii="宋体" w:hAnsi="宋体" w:eastAsia="宋体" w:cs="宋体"/>
          <w:color w:val="000000"/>
          <w:sz w:val="21"/>
        </w:rPr>
        <w:t xml:space="preserve">自行组织 </w:t>
      </w:r>
      <w:r>
        <w:rPr>
          <w:rFonts w:ascii="Wingdings" w:hAnsi="Wingdings" w:eastAsia="Wingdings" w:cs="Wingdings"/>
          <w:color w:val="000000"/>
          <w:sz w:val="21"/>
        </w:rPr>
        <w:t xml:space="preserve">¨</w:t>
      </w:r>
      <w:r>
        <w:rPr>
          <w:rFonts w:ascii="宋体" w:hAnsi="宋体" w:eastAsia="宋体" w:cs="宋体"/>
          <w:color w:val="000000"/>
          <w:sz w:val="21"/>
        </w:rPr>
        <w:t xml:space="preserve">委托第三方组织</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验收主体：</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是否邀请本项目的其他供应商参加验收：</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52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是否邀请专家参加验收：</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52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是否邀请服务对象参加验收：</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52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是否邀请第三方检测机构参加验收：</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52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是否进行抽查检测：</w:t>
      </w:r>
      <w:r>
        <w:rPr>
          <w:rFonts w:ascii="Wingdings" w:hAnsi="Wingdings" w:eastAsia="Wingdings" w:cs="Wingdings"/>
          <w:color w:val="000000"/>
          <w:sz w:val="21"/>
        </w:rPr>
        <w:t xml:space="preserve">¨</w:t>
      </w:r>
      <w:r>
        <w:rPr>
          <w:rFonts w:ascii="宋体" w:hAnsi="宋体" w:eastAsia="宋体" w:cs="宋体"/>
          <w:color w:val="000000"/>
          <w:sz w:val="21"/>
        </w:rPr>
        <w:t xml:space="preserve">是，抽查比例：</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52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是否存在破坏性检测：</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宋体" w:hAnsi="宋体" w:eastAsia="宋体" w:cs="宋体"/>
          <w:color w:val="000000"/>
          <w:sz w:val="21"/>
          <w:u w:val="single"/>
        </w:rPr>
        <w:t xml:space="preserve">（应明确对被破坏的检测产品的处理方式）</w:t>
      </w:r>
      <w:r/>
    </w:p>
    <w:p>
      <w:pPr>
        <w:ind w:left="0" w:right="0" w:firstLine="525"/>
        <w:jc w:val="both"/>
        <w:spacing w:before="0" w:after="0"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52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验收组织的其他事项：</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（2）履约验收时间：</w:t>
      </w:r>
      <w:r>
        <w:rPr>
          <w:rFonts w:ascii="宋体" w:hAnsi="宋体" w:eastAsia="宋体" w:cs="宋体"/>
          <w:color w:val="000000"/>
          <w:sz w:val="21"/>
          <w:u w:val="single"/>
        </w:rPr>
        <w:t xml:space="preserve">（计划于何时验收/供应商提出验收申请之日起   日内组织验收）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（3）履约验收方式：</w:t>
      </w:r>
      <w:r>
        <w:rPr>
          <w:rFonts w:ascii="Wingdings" w:hAnsi="Wingdings" w:eastAsia="Wingdings" w:cs="Wingdings"/>
          <w:color w:val="000000"/>
          <w:sz w:val="21"/>
        </w:rPr>
        <w:t xml:space="preserve">¨</w:t>
      </w:r>
      <w:r>
        <w:rPr>
          <w:rFonts w:ascii="宋体" w:hAnsi="宋体" w:eastAsia="宋体" w:cs="宋体"/>
          <w:color w:val="000000"/>
          <w:sz w:val="21"/>
        </w:rPr>
        <w:t xml:space="preserve">一次性验收</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分期/分项验收：</w:t>
      </w:r>
      <w:r>
        <w:rPr>
          <w:rFonts w:ascii="宋体" w:hAnsi="宋体" w:eastAsia="宋体" w:cs="宋体"/>
          <w:color w:val="000000"/>
          <w:sz w:val="21"/>
          <w:u w:val="single"/>
        </w:rPr>
        <w:t xml:space="preserve"> （应明确分期/分项验收的工作安排）</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（4）履约验收程序：</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（5）履约验收的内容：</w:t>
      </w:r>
      <w:r>
        <w:rPr>
          <w:rFonts w:ascii="宋体" w:hAnsi="宋体" w:eastAsia="宋体" w:cs="宋体"/>
          <w:color w:val="000000"/>
          <w:sz w:val="21"/>
          <w:u w:val="single"/>
        </w:rPr>
        <w:t xml:space="preserve"> （应当包括每一项技术和商务要求的履约情况，特别是落实政府采购扶持中小企业，支持绿色发展和乡村振兴等政策情况）</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（6）履约验收标准：</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（7）是否以采购活动中供应商提供的样品作为参考：</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（8）履约验收其他事项：</w:t>
      </w:r>
      <w:r>
        <w:rPr>
          <w:rFonts w:ascii="宋体" w:hAnsi="宋体" w:eastAsia="宋体" w:cs="宋体"/>
          <w:color w:val="000000"/>
          <w:sz w:val="21"/>
          <w:u w:val="single"/>
        </w:rPr>
        <w:t xml:space="preserve">      （产权过户登记等）</w:t>
      </w:r>
      <w:r/>
    </w:p>
    <w:p>
      <w:pPr>
        <w:numPr>
          <w:ilvl w:val="0"/>
          <w:numId w:val="10"/>
        </w:numPr>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组成合同的文件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本协议书与下列文件一起构成合同文件，如下述文件之间有任何抵触、矛盾或歧义，应按以下顺序解释：</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（1）政府采购合同协议书及其变更、补充协议</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（2）政府采购合同专用条款</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（3）政府采购合同通用条款</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（4）中标（成交）通知书</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（5）投标（响应）文件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（6）采购文件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（7）有关技术文件，图纸</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（8）国家法律、行政法规和规章制度规定或合同约定的作为合同组成部分的其他文件</w:t>
      </w:r>
      <w:r/>
    </w:p>
    <w:p>
      <w:pPr>
        <w:numPr>
          <w:ilvl w:val="0"/>
          <w:numId w:val="10"/>
        </w:numPr>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合同生效</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本合同自</w:t>
      </w:r>
      <w:r>
        <w:rPr>
          <w:rFonts w:ascii="宋体" w:hAnsi="宋体" w:eastAsia="宋体" w:cs="宋体"/>
          <w:color w:val="000000"/>
          <w:sz w:val="21"/>
          <w:u w:val="single"/>
        </w:rPr>
        <w:t xml:space="preserve">                             </w:t>
      </w:r>
      <w:r>
        <w:rPr>
          <w:rFonts w:ascii="宋体" w:hAnsi="宋体" w:eastAsia="宋体" w:cs="宋体"/>
          <w:color w:val="000000"/>
          <w:sz w:val="21"/>
        </w:rPr>
        <w:t xml:space="preserve">生效。</w:t>
      </w:r>
      <w:r/>
    </w:p>
    <w:p>
      <w:pPr>
        <w:numPr>
          <w:ilvl w:val="0"/>
          <w:numId w:val="10"/>
        </w:numPr>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合同份数</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本合同一式</w:t>
      </w:r>
      <w:r>
        <w:rPr>
          <w:rFonts w:ascii="宋体" w:hAnsi="宋体" w:eastAsia="宋体" w:cs="宋体"/>
          <w:color w:val="000000"/>
          <w:sz w:val="21"/>
          <w:u w:val="single"/>
        </w:rPr>
        <w:t xml:space="preserve">    </w:t>
      </w:r>
      <w:r>
        <w:rPr>
          <w:rFonts w:ascii="宋体" w:hAnsi="宋体" w:eastAsia="宋体" w:cs="宋体"/>
          <w:color w:val="000000"/>
          <w:sz w:val="21"/>
        </w:rPr>
        <w:t xml:space="preserve">份，甲方执</w:t>
      </w:r>
      <w:r>
        <w:rPr>
          <w:rFonts w:ascii="宋体" w:hAnsi="宋体" w:eastAsia="宋体" w:cs="宋体"/>
          <w:color w:val="000000"/>
          <w:sz w:val="21"/>
          <w:u w:val="single"/>
        </w:rPr>
        <w:t xml:space="preserve">    </w:t>
      </w:r>
      <w:r>
        <w:rPr>
          <w:rFonts w:ascii="宋体" w:hAnsi="宋体" w:eastAsia="宋体" w:cs="宋体"/>
          <w:color w:val="000000"/>
          <w:sz w:val="21"/>
        </w:rPr>
        <w:t xml:space="preserve">份，乙方执</w:t>
      </w:r>
      <w:r>
        <w:rPr>
          <w:rFonts w:ascii="宋体" w:hAnsi="宋体" w:eastAsia="宋体" w:cs="宋体"/>
          <w:color w:val="000000"/>
          <w:sz w:val="21"/>
          <w:u w:val="single"/>
        </w:rPr>
        <w:t xml:space="preserve">    </w:t>
      </w:r>
      <w:r>
        <w:rPr>
          <w:rFonts w:ascii="宋体" w:hAnsi="宋体" w:eastAsia="宋体" w:cs="宋体"/>
          <w:color w:val="000000"/>
          <w:sz w:val="21"/>
        </w:rPr>
        <w:t xml:space="preserve">份，均具有同等法律效力。</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合同订立时间：</w:t>
      </w:r>
      <w:r>
        <w:rPr>
          <w:rFonts w:ascii="宋体" w:hAnsi="宋体" w:eastAsia="宋体" w:cs="宋体"/>
          <w:color w:val="000000"/>
          <w:sz w:val="21"/>
          <w:u w:val="single"/>
        </w:rPr>
        <w:t xml:space="preserve">         </w:t>
      </w:r>
      <w:r>
        <w:rPr>
          <w:rFonts w:ascii="宋体" w:hAnsi="宋体" w:eastAsia="宋体" w:cs="宋体"/>
          <w:color w:val="000000"/>
          <w:sz w:val="21"/>
        </w:rPr>
        <w:t xml:space="preserve">年</w:t>
      </w:r>
      <w:r>
        <w:rPr>
          <w:rFonts w:ascii="宋体" w:hAnsi="宋体" w:eastAsia="宋体" w:cs="宋体"/>
          <w:color w:val="000000"/>
          <w:sz w:val="21"/>
          <w:u w:val="single"/>
        </w:rPr>
        <w:t xml:space="preserve">      </w:t>
      </w:r>
      <w:r>
        <w:rPr>
          <w:rFonts w:ascii="宋体" w:hAnsi="宋体" w:eastAsia="宋体" w:cs="宋体"/>
          <w:color w:val="000000"/>
          <w:sz w:val="21"/>
        </w:rPr>
        <w:t xml:space="preserve">月</w:t>
      </w:r>
      <w:r>
        <w:rPr>
          <w:rFonts w:ascii="宋体" w:hAnsi="宋体" w:eastAsia="宋体" w:cs="宋体"/>
          <w:color w:val="000000"/>
          <w:sz w:val="21"/>
          <w:u w:val="single"/>
        </w:rPr>
        <w:t xml:space="preserve">      </w:t>
      </w:r>
      <w:r>
        <w:rPr>
          <w:rFonts w:ascii="宋体" w:hAnsi="宋体" w:eastAsia="宋体" w:cs="宋体"/>
          <w:color w:val="000000"/>
          <w:sz w:val="21"/>
        </w:rPr>
        <w:t xml:space="preserve">日</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合同订立地点：</w:t>
      </w:r>
      <w:r>
        <w:rPr>
          <w:rFonts w:ascii="宋体" w:hAnsi="宋体" w:eastAsia="宋体" w:cs="宋体"/>
          <w:color w:val="000000"/>
          <w:sz w:val="21"/>
          <w:u w:val="single"/>
        </w:rPr>
        <w:t xml:space="preserve">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附件：具体标的及其技术要求和商务要求、联合协议、分包意向协议等</w:t>
      </w:r>
      <w:r/>
    </w:p>
    <w:p>
      <w:pPr>
        <w:pStyle w:val="712"/>
        <w:ind w:left="0" w:right="0" w:firstLine="0"/>
        <w:jc w:val="center"/>
        <w:spacing w:before="260" w:after="260" w:line="400" w:lineRule="atLeast"/>
        <w:pBdr>
          <w:top w:val="none" w:color="000000" w:sz="0" w:space="0"/>
          <w:left w:val="none" w:color="000000" w:sz="0" w:space="0"/>
          <w:bottom w:val="none" w:color="000000" w:sz="0" w:space="0"/>
          <w:right w:val="none" w:color="000000" w:sz="0" w:space="0"/>
        </w:pBdr>
      </w:pPr>
      <w:r>
        <w:rPr>
          <w:rFonts w:ascii="Arial" w:hAnsi="Arial" w:eastAsia="Arial" w:cs="Arial"/>
          <w:b/>
          <w:color w:val="000000"/>
          <w:sz w:val="4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bl>
      <w:tblPr>
        <w:tblStyle w:val="752"/>
        <w:tblW w:w="8623"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7"/>
        <w:gridCol w:w="1965"/>
        <w:gridCol w:w="1960"/>
        <w:gridCol w:w="3611"/>
      </w:tblGrid>
      <w:tr>
        <w:trPr>
          <w:trHeight w:val="490"/>
        </w:trPr>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52"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甲方</w:t>
            </w:r>
            <w:r>
              <w:rPr>
                <w:rFonts w:ascii="宋体" w:hAnsi="宋体" w:eastAsia="宋体" w:cs="宋体"/>
                <w:color w:val="000000"/>
                <w:sz w:val="21"/>
              </w:rPr>
              <w:t xml:space="preserve">（采购人、受采购人委托签订合同的单位或采购文件约定的合同甲方）</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571"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乙方</w:t>
            </w:r>
            <w:r>
              <w:rPr>
                <w:rFonts w:ascii="宋体" w:hAnsi="宋体" w:eastAsia="宋体" w:cs="宋体"/>
                <w:color w:val="000000"/>
                <w:sz w:val="21"/>
              </w:rPr>
              <w:t xml:space="preserve">（供应商）</w:t>
            </w:r>
            <w:r/>
          </w:p>
        </w:tc>
      </w:tr>
      <w:tr>
        <w:trPr>
          <w:trHeight w:val="91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单位名称</w:t>
            </w:r>
            <w:r>
              <w:rPr>
                <w:rFonts w:ascii="宋体" w:hAnsi="宋体" w:eastAsia="宋体" w:cs="宋体"/>
                <w:color w:val="000000"/>
                <w:sz w:val="21"/>
              </w:rPr>
              <w:t xml:space="preserve">（公章或合同章）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0"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单位名称</w:t>
            </w:r>
            <w:r>
              <w:rPr>
                <w:rFonts w:ascii="宋体" w:hAnsi="宋体" w:eastAsia="宋体" w:cs="宋体"/>
                <w:color w:val="000000"/>
                <w:sz w:val="21"/>
              </w:rPr>
              <w:t xml:space="preserve">（公章或合同章）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11"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117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vMerge w:val="restart"/>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法定代表人</w:t>
            </w:r>
            <w:r/>
          </w:p>
          <w:p>
            <w:pPr>
              <w:ind w:left="0" w:right="0" w:firstLine="10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或其</w:t>
            </w:r>
            <w:r>
              <w:rPr>
                <w:rFonts w:ascii="Times New Roman" w:hAnsi="Times New Roman" w:eastAsia="Times New Roman" w:cs="Times New Roman"/>
                <w:color w:val="000000"/>
                <w:sz w:val="21"/>
              </w:rPr>
              <w:t xml:space="preserve">委托代理人</w:t>
            </w:r>
            <w:r>
              <w:rPr>
                <w:rFonts w:ascii="宋体" w:hAnsi="宋体" w:eastAsia="宋体" w:cs="宋体"/>
                <w:color w:val="000000"/>
                <w:sz w:val="21"/>
              </w:rPr>
              <w:t xml:space="preserve">（签章）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vAlign w:val="center"/>
            <w:vMerge w:val="restart"/>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0"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法定代表人</w:t>
            </w:r>
            <w:r/>
          </w:p>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或其</w:t>
            </w:r>
            <w:r>
              <w:rPr>
                <w:rFonts w:ascii="Times New Roman" w:hAnsi="Times New Roman" w:eastAsia="Times New Roman" w:cs="Times New Roman"/>
                <w:color w:val="000000"/>
                <w:sz w:val="21"/>
              </w:rPr>
              <w:t xml:space="preserve">委托代理人</w:t>
            </w:r>
            <w:r>
              <w:rPr>
                <w:rFonts w:ascii="宋体" w:hAnsi="宋体" w:eastAsia="宋体" w:cs="宋体"/>
                <w:color w:val="000000"/>
                <w:sz w:val="21"/>
              </w:rPr>
              <w:t xml:space="preserve">（签章）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11"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W w:w="1087" w:type="dxa"/>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W w:w="1965" w:type="dxa"/>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1960"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拥有者性别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11"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住  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0"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住  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11"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联 系 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0"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联 系 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11"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联系电话</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0"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联系电话</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11"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通信地址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0"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通信地址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11"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邮政编码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0"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邮政编码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11"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电子邮箱</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0"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电子邮箱</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11"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统一社会信用代码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0"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统一社会信用代码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11"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0"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开户名称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11"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0"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开户银行</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11"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0"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银行账号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11"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586"/>
        </w:trPr>
        <w:tc>
          <w:tcPr>
            <w:gridSpan w:val="4"/>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23" w:type="dxa"/>
            <w:vAlign w:val="center"/>
            <w:textDirection w:val="lrTb"/>
            <w:noWrap w:val="false"/>
          </w:tcPr>
          <w:p>
            <w:pPr>
              <w:ind w:left="0" w:right="0" w:firstLine="0"/>
              <w:jc w:val="center"/>
              <w:spacing w:before="156"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注：涉及联合体或其他合同主体的信息应按上表格式加列。</w:t>
            </w:r>
            <w:r/>
          </w:p>
        </w:tc>
      </w:tr>
    </w:tbl>
    <w:p>
      <w:pPr>
        <w:pStyle w:val="712"/>
        <w:ind w:left="0" w:right="0" w:firstLine="0"/>
        <w:jc w:val="center"/>
        <w:spacing w:before="156" w:after="260" w:line="761" w:lineRule="atLeast"/>
        <w:pBdr>
          <w:top w:val="none" w:color="000000" w:sz="0" w:space="0"/>
          <w:left w:val="none" w:color="000000" w:sz="0" w:space="0"/>
          <w:bottom w:val="none" w:color="000000" w:sz="0" w:space="0"/>
          <w:right w:val="none" w:color="000000" w:sz="0" w:space="0"/>
        </w:pBdr>
      </w:pPr>
      <w:r>
        <w:br w:type="page" w:clear="all"/>
      </w:r>
      <w:r/>
    </w:p>
    <w:p>
      <w:pPr>
        <w:pStyle w:val="712"/>
        <w:ind w:left="0" w:right="0" w:firstLine="0"/>
        <w:jc w:val="center"/>
        <w:spacing w:before="156" w:after="260" w:line="761"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第二节 政府采购合同通用条款</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 定义</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1.1合同当事人</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（1）采购人（以下称甲方）是指使用财政性资金，通过政府采购方式向供应商购买货物及其相关服务的国家机关、事业单位、团体组织。</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（2）供应商（以下称乙方）是指参加政府采购活动并且中标（成交），向采购人提供合同约定的货物及其相关服务的法人、非法人组织或者自然人。</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（3）其他合同主体是指除采购人和供应商以外，依法参与合同缔结或履行，享有权利、承担义务的合同当事人。</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1.2本合同下列术语应解释为：</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（2）“合同价款”系指根据本合同规定乙方在全面履行合同义务后甲方应支付给乙方的价款。</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（3）“货物”系指乙方根据本合同规定须向甲方提供的各种形态和种类的物品，包括原材料、设备、产品（包括软件）及相关的其备品备件、工具、手册及其他技术资料和材料等。</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（5）“分包”系指中标（成交）供应商按采购文件、投标（响应）文件的规定，根据分包意向协议，将中标（成交）项目中的部分履约内容，分给具有相应资质条件的供应商履行合同的行为。</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（7）其他术语解释，见【</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w:t>
      </w:r>
      <w:r/>
    </w:p>
    <w:p>
      <w:pPr>
        <w:numPr>
          <w:ilvl w:val="0"/>
          <w:numId w:val="12"/>
        </w:numPr>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合同标的及金额</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2.1 合同标的及金额应与中标（成交）结果一致。乙方为履行本合同而发生的所有费用均应包含在合同价款中，甲方不再另行支付其他任何费用。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 履行合同的时间、地点和方式</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3.1 乙方应当在约定的时间、地点，按照约定方式履行合同。</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4. 甲方的权利和义务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4.2 甲方有权要求乙方按时提交各阶段有关安排计划，并有权定期核对乙方提供货物数量、规格、质量等内容。甲方有权督促乙方工作并要求乙方更换不符合要求的货物。</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4.3 甲方有权要求乙方对缺陷部分予以修复，并按合同约定享有货物保修及其他合同约定的权利。</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4.4 甲方应当按照合同约定及时对交付的货物进行验收，未在</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约定的期限内对乙方履约提出任何异议或者向乙方作出任何说明的，视为验收通过。</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4.5 甲方应当根据合同约定及时向乙方支付合同价款，不得以内部人员变更、履行内部付款流程等为由，拒绝或迟延支付。</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4.6 国家法律法规规定及</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约定应由甲方承担的其他义务和责任。</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5. 乙方的权利和义务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5.1 签署合同后，乙方应确定项目负责人（或项目联系人），负责与本合同有关的事务。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5.3乙方有权根据合同约定向甲方收取合同价款。</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5.4国家法律法规规定及</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约定应由乙方承担的其他义务和责任。</w:t>
      </w:r>
      <w:r/>
    </w:p>
    <w:p>
      <w:pPr>
        <w:numPr>
          <w:ilvl w:val="0"/>
          <w:numId w:val="13"/>
        </w:numPr>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合同履行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6.1 甲乙双方应当按照</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约定顺序履行合同义务；如果没有先后顺序的，应当同时履行。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6.2 甲乙双方按照合同约定顺序履行合同义务时，应当先履行一方未履行的，后履行一方有权拒绝其履行请求。先履行一方履行不符合约定的，后履行一方有权拒绝其相应的履行请求。</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7. 货物包装、运输、保险和交付要求</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7.1 本合同涉及商品包装、快递包装的，除</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另有约定外，包装应适应远距离运输、防潮、防震、防锈和防野蛮装卸等要求，确保货物安全无损地运抵</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约定的指定现场。</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7.2 除</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另有约定外，乙方负责办理将货物运抵本合同规定的交货地点，并装卸、交付至甲方的一切运输事项，相关费用应包含在合同价款中。</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7.3 货物保险要求按</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规定执行。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7.5 乙方在运输到达之前应提前通知甲方，并提示货物运输装卸的注意事项，甲方配合乙方做好货物的接收工作。</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7.6 如因包装、运输问题导致货物损毁、丢失或者品质下降，甲方有权要求降价、换货、拒收部分或整批货物，由此产生的费用和损失，均由乙方承担。</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8. 质量标准和保证</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8.1 质量标准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（2）采用中华人民共和国法定计量单位。</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（3）乙方所提供的货物应符合国家有关安全、环保、卫生的规定。</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（4）乙方应向甲方提交所提供货物的技术文件，包括相应的中文技术文件，如：产品目录、图纸、操作手册、使用说明、维护手册或服务指南等。上述文件应包装好随货物一同发运。</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8.2 保证</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规定或乙方书面承诺（两者以较长的为准）的质量保证期内，本保证保持有效。</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（2）在质量保证期内所发现的缺陷，甲方应尽快以书面形式通知乙方。</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（3）乙方收到通知后，应在</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规定的响应时间内以合理的速度免费维修或更换有缺陷的货物或部件。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（5）乙方在约定的时间内未能弥补缺陷，甲方可采取必要的补救措施，但其风险和费用将由乙方承担，甲方根据合同约定对乙方行使的其他权利不受影响。</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9. 权利瑕疵担保</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9.1 乙方保证对其出售的货物享有合法的权利。</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9.2 乙方保证在交付的货物上不存在抵押权等担保物权。</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9.3 如甲方使用上述货物构成对第三人侵权的，则由乙方承担全部责任。</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10. 知识产权保护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11. 保密义务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中约定。</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12. 合同价款支付</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12.1 合同价款支付按照国库集中支付制度及财政管理相关规定执行。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】中约定。</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13. 履约保证金</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13.1 乙方应当以支票、汇票、本票或者金融机构、担保机构出具的保函等非现金形式提交。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13.2 如果乙方出现</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13.3 甲方在项目通过验收后按照</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规定的时间内将履约保证金退还乙方；逾期退还的，乙方可要求甲方支付违约金，违约金按照</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规定支付。</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14. 售后服务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14.1 除项目不涉及或采购活动中明确约定无须承担外，乙方还应提供下列服务：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（1）货物的现场移动、安装、调试、启动监督及技术支持；</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（2）提供货物组装和维修所需的专用工具和辅助材料；</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（3）在</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约定的期限内对所有的货物实施运行监督、维修，但前提条件是该服务并不能免除乙方在质量保证期内所承担的义务；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（4）在制造商所在地或指定现场就货物的安装、启动、运营、维护、废弃处置等对甲方操作人员进行培训；</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（5）依照法律、行政法规的规定或者按照</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约定，货物在有效使用年限届满后应予回收的，乙方负有自行或者委托第三人对货物予以回收的义务；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规定由乙方提供的其他服务。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14.2 乙方提供的售后服务的费用已包含在合同价款中，甲方不再另行支付。</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15. 违约责任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15.1质量瑕疵的违约责任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乙方提供的产品不符合合同约定的质量标准或存在产品质量缺陷，甲方有权要求乙方根据</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要求及时修理、重作、更换，并承担由此给甲方造成的损失。</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15.2 迟延交货的违约责任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（2）如果乙方没有按照合同规定的时间交货和提供相关服务，甲方有权从货款中扣除误期赔偿费而不影响合同项下的其他补救方法，赔偿费按</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规定执行。如果涉及公共利益，且赔偿金额无法弥补公共利益损失，甲方可要求继续履行或者采取其他补救措施。</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15.3 迟延支付的违约责任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甲方存在迟延支付乙方合同款项的，应当承担</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规定的逾期付款利息。</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15.4其他违约责任根据项目实际需要按</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规定执行。</w:t>
      </w:r>
      <w:r/>
    </w:p>
    <w:p>
      <w:pPr>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16. 合同变更、中止与终止</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16.1合同的变更</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政府采购合同履行中，在不改变合同其他条款的前提下，甲方可以在合同价款10%的范围内追加与合同标的相同的货物，并就此与乙方协商一致后签订补充协议。</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16.2合同的中止</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（1）合同履行过程中因供应商就采购文件、采购过程或结果提起投诉的，甲方认为有必要的，可以中止合同的履行。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（4）甲方不得以行政区划调整、政府换届、机构或者职能调整以及相关责任人更替为由中止合同。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16.3合同的终止</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（1）合同因有效期限届满而终止；</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（2）乙方未按合同约定履行，构成根本性违约的，甲方有权终止合同，并追究乙方的违约责任。</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华文楷体" w:hAnsi="华文楷体" w:eastAsia="华文楷体" w:cs="华文楷体"/>
          <w:color w:val="000000"/>
          <w:sz w:val="22"/>
        </w:rPr>
        <w:t xml:space="preserve">16.4 </w:t>
      </w:r>
      <w:r>
        <w:rPr>
          <w:rFonts w:ascii="宋体" w:hAnsi="宋体" w:eastAsia="宋体" w:cs="宋体"/>
          <w:color w:val="000000"/>
          <w:sz w:val="21"/>
        </w:rPr>
        <w:t xml:space="preserve">涉及国家利益、社会公共利益的情形</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17. 合同分包</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17.1 乙方不得将合同转包给其他供应商。涉及合同分包的，乙方应根据采购文件和投标（响应）文件规定进行合同分包。</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17.2 乙方执行政府采购政策向中小企业依法分包的，乙方应当按采购文件和投标（响应）文件签订分包意向协议，分包意向协议属于本合同组成部分。</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18. 不可抗力</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18.1 不可抗力是指合同双方不能预见、不能避免且不能克服的客观情况。</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18.2 任何一方对由于不可抗力造成的部分或全部不能履行合同不承担违约责任。但迟延履行后发生不可抗力的，不能免除责任。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19. 解决争议的方法</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19.2 选择仲裁的，应在</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中明确仲裁机构及仲裁地；通过诉讼方式解决的，可以在</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中进一步约定选择与争议有实际联系的地点的人民法院管辖，但管辖法院的约定不得违反级别管辖和专属管辖的规定。</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19.3 如甲乙双方有争议的事项不影响合同其他部分的履行，在争议解决期间，合同其他部分应当继续履行。</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20. 政府采购政策</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20.1 本合同应当按照规定执行政府采购政策。</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20.2 本合同依法执行政府采购政策的方式和内容，属于合同履约验收的范围。甲乙双方未按规定要求执行政府采购政策造成损失的，有过错的一方应当承担赔偿责任，双方都有过错的，各自承担相应的责任。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21. 法律适用</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21.1 本合同的订立、生效、解释、履行及与本合同有关的争议解决，均适用法律、行政法规。</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21.2 本合同条款与法律、行政法规的强制性规定不一致的，双方当事人应按照法律、行政法规的强制性规定修改本合同的相关条款。</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22. 通知</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22.1 本合同任何一方向对方发出的通知、信件、数据电文等，应当发送至本合同第一部分《政府采购合同协议书》所约定的通讯地址、联系人、联系电话或电子邮箱。</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22.2 一方当事人变更名称、住所、联系人、联系电话或电子邮箱等信息的，应当在变更后3日内及时书面通知对方，对方实际收到变更通知前的送达仍为有效送达。</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22.3本合同一方给另一方的通知均应采用书面形式，传真或快递送到本合同中规定的对方的地址和办理签收手续。</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22.4通知以送达之日或通知书中规定的生效之日起生效，两者中以较迟之日为准。</w:t>
      </w:r>
      <w:r/>
    </w:p>
    <w:p>
      <w:pPr>
        <w:ind w:lef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23. 合同未尽事项</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23.1合同未尽事项见</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23.2 合同附件与合同正文具有同等的法律效力。</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br w:type="page" w:clear="all"/>
      </w:r>
      <w:r/>
    </w:p>
    <w:p>
      <w:pPr>
        <w:pStyle w:val="712"/>
        <w:ind w:left="0" w:right="0" w:firstLine="0"/>
        <w:jc w:val="center"/>
        <w:spacing w:before="260" w:after="260" w:line="761"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第三节 政府采购合同专用条款</w:t>
      </w:r>
      <w:r/>
    </w:p>
    <w:tbl>
      <w:tblPr>
        <w:tblStyle w:val="752"/>
        <w:tblW w:w="7978"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89"/>
        <w:gridCol w:w="1564"/>
        <w:gridCol w:w="4725"/>
      </w:tblGrid>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第1.2（6）项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联合体具体要求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2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60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第1.2（7）项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其他术语解释</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2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第4.4款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履约验收中甲方提出异议或作出说明的期限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2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第4.6款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约定甲方承担的其他义务和责任</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2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第5.4款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约定乙方承担的其他义务和责任</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2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第6.1款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履行合同义务的顺序</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2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6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9" w:type="dxa"/>
            <w:vAlign w:val="center"/>
            <w:vMerge w:val="restart"/>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第7.1款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包装特殊要求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2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r>
      <w:tr>
        <w:trPr>
          <w:trHeight w:val="667"/>
        </w:trPr>
        <w:tc>
          <w:tcPr>
            <w:tcBorders>
              <w:top w:val="single" w:color="000000" w:sz="4" w:space="0"/>
              <w:left w:val="single" w:color="000000" w:sz="4" w:space="0"/>
              <w:bottom w:val="single" w:color="000000" w:sz="4" w:space="0"/>
              <w:right w:val="single" w:color="000000" w:sz="4" w:space="0"/>
            </w:tcBorders>
            <w:tcW w:w="1689" w:type="dxa"/>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156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指定现场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r>
      <w:tr>
        <w:trPr>
          <w:trHeight w:val="77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第7.2款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运输特殊要求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2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r>
      <w:tr>
        <w:trPr>
          <w:trHeight w:val="6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第7.3款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保险要求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2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第8.2（1）项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质量保证期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25" w:type="dxa"/>
            <w:vAlign w:val="center"/>
            <w:textDirection w:val="lrTb"/>
            <w:noWrap w:val="false"/>
          </w:tcPr>
          <w:p>
            <w:pPr>
              <w:ind w:left="0" w:right="0" w:firstLine="42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第8.2（3）项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货物质量缺陷</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响应时间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2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第11.1款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其他应当保密的信息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2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69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第12.2款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合同价款支付时间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2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69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第13.2款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履约保证金不予退还的情形</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2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第13.3款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履约保证金退还时间及逾期退还的违约金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2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8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第14.1（3）项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运行监督、维修期限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2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8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第14.1（5）项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货物回收的约定</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2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第14.1（6）项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乙方提供的其他服务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2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第15.1款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修理、重作、更换相关具体规定</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2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第15.2（2）项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迟延交货赔偿费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2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第15.3款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逾期付款利息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2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 </w:t>
            </w:r>
            <w:r/>
          </w:p>
        </w:tc>
      </w:tr>
      <w:tr>
        <w:trPr>
          <w:trHeight w:val="87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第15.4款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其他违约责任</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2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 </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第19.2款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解决争议的方法</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2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因本合同及合同有关事项发生的争议，按下列第</w:t>
            </w:r>
            <w:r>
              <w:rPr>
                <w:rFonts w:ascii="宋体" w:hAnsi="宋体" w:eastAsia="宋体" w:cs="宋体"/>
                <w:color w:val="000000"/>
                <w:sz w:val="21"/>
                <w:u w:val="single"/>
              </w:rPr>
              <w:t xml:space="preserve">   </w:t>
            </w:r>
            <w:r>
              <w:rPr>
                <w:rFonts w:ascii="宋体" w:hAnsi="宋体" w:eastAsia="宋体" w:cs="宋体"/>
                <w:color w:val="000000"/>
                <w:sz w:val="21"/>
              </w:rPr>
              <w:t xml:space="preserve">种方式解决：</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（1）向</w:t>
            </w:r>
            <w:r>
              <w:rPr>
                <w:rFonts w:ascii="宋体" w:hAnsi="宋体" w:eastAsia="宋体" w:cs="宋体"/>
                <w:color w:val="000000"/>
                <w:sz w:val="21"/>
                <w:u w:val="single"/>
              </w:rPr>
              <w:t xml:space="preserve">                    </w:t>
            </w:r>
            <w:r>
              <w:rPr>
                <w:rFonts w:ascii="宋体" w:hAnsi="宋体" w:eastAsia="宋体" w:cs="宋体"/>
                <w:color w:val="000000"/>
                <w:sz w:val="21"/>
              </w:rPr>
              <w:t xml:space="preserve">仲裁委员会申请仲裁，仲裁地点为</w:t>
            </w:r>
            <w:r>
              <w:rPr>
                <w:rFonts w:ascii="宋体" w:hAnsi="宋体" w:eastAsia="宋体" w:cs="宋体"/>
                <w:color w:val="000000"/>
                <w:sz w:val="21"/>
                <w:u w:val="single"/>
              </w:rPr>
              <w:t xml:space="preserve">           </w:t>
            </w:r>
            <w:r>
              <w:rPr>
                <w:rFonts w:ascii="宋体" w:hAnsi="宋体" w:eastAsia="宋体" w:cs="宋体"/>
                <w:color w:val="000000"/>
                <w:sz w:val="21"/>
              </w:rPr>
              <w:t xml:space="preserve">；</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（2）向</w:t>
            </w:r>
            <w:r>
              <w:rPr>
                <w:rFonts w:ascii="宋体" w:hAnsi="宋体" w:eastAsia="宋体" w:cs="宋体"/>
                <w:color w:val="000000"/>
                <w:sz w:val="21"/>
                <w:u w:val="single"/>
              </w:rPr>
              <w:t xml:space="preserve">                    </w:t>
            </w:r>
            <w:r>
              <w:rPr>
                <w:rFonts w:ascii="宋体" w:hAnsi="宋体" w:eastAsia="宋体" w:cs="宋体"/>
                <w:color w:val="000000"/>
                <w:sz w:val="21"/>
              </w:rPr>
              <w:t xml:space="preserve">人民法院起诉。</w:t>
            </w:r>
            <w:r/>
          </w:p>
        </w:tc>
      </w:tr>
      <w:tr>
        <w:trPr>
          <w:trHeight w:val="77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第23.1款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其他专用条款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2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bl>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楷体" w:hAnsi="楷体" w:eastAsia="楷体" w:cs="楷体"/>
          <w:b/>
          <w:color w:val="000000"/>
          <w:spacing w:val="-20"/>
          <w:sz w:val="48"/>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pStyle w:val="939"/>
      </w:pPr>
      <w:r>
        <w:rPr>
          <w:rFonts w:ascii="黑体" w:hAnsi="黑体" w:eastAsia="黑体" w:cs="黑体"/>
          <w:color w:val="000000"/>
          <w:sz w:val="44"/>
        </w:rPr>
        <w:t xml:space="preserve">第四章 采购需求</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495" w:right="0" w:hanging="49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一、项目属性:货物类项目</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Times New Roman" w:hAnsi="Times New Roman" w:eastAsia="Times New Roman" w:cs="Times New Roman"/>
          <w:color w:val="000000"/>
          <w:sz w:val="24"/>
        </w:rPr>
        <w:t xml:space="preserve">. </w:t>
      </w:r>
      <w:r>
        <w:rPr>
          <w:rFonts w:ascii="宋体" w:hAnsi="宋体" w:eastAsia="宋体" w:cs="宋体"/>
          <w:color w:val="000000"/>
          <w:sz w:val="24"/>
        </w:rPr>
        <w:t xml:space="preserve">如本项目采购产品被财政部、国家发改委、生态环境部等列入“节能产品政府采购品目清单”强制采购范围，投标文件中必须提供国家确定的认证机构出具的、处于有效期之内的该节能产品认证证书。</w:t>
      </w:r>
      <w:r>
        <w:rPr>
          <w:rFonts w:ascii="宋体" w:hAnsi="宋体" w:eastAsia="宋体" w:cs="宋体"/>
          <w:color w:val="000000"/>
          <w:sz w:val="24"/>
          <w:highlight w:val="none"/>
        </w:rPr>
        <w:t xml:space="preserve">本项目强制节能产品有：</w:t>
      </w:r>
      <w:r>
        <w:rPr>
          <w:rFonts w:hint="eastAsia" w:ascii="宋体" w:hAnsi="宋体" w:eastAsia="宋体" w:cs="宋体"/>
          <w:b/>
          <w:bCs/>
          <w:i/>
          <w:iCs/>
          <w:sz w:val="24"/>
          <w:szCs w:val="24"/>
          <w:highlight w:val="none"/>
          <w:u w:val="single"/>
        </w:rPr>
        <w:t xml:space="preserve">舞台2侧辅助显示器</w:t>
      </w:r>
      <w:r>
        <w:rPr>
          <w:rFonts w:hint="eastAsia" w:ascii="宋体" w:hAnsi="宋体" w:cs="宋体"/>
          <w:b/>
          <w:bCs/>
          <w:i/>
          <w:iCs/>
          <w:sz w:val="24"/>
          <w:szCs w:val="24"/>
          <w:highlight w:val="none"/>
          <w:u w:val="single"/>
          <w:lang w:eastAsia="zh-CN"/>
        </w:rPr>
        <w:t xml:space="preserve">、</w:t>
      </w:r>
      <w:r>
        <w:rPr>
          <w:rFonts w:hint="eastAsia" w:ascii="宋体" w:hAnsi="宋体" w:eastAsia="宋体" w:cs="宋体"/>
          <w:b/>
          <w:bCs/>
          <w:i/>
          <w:iCs/>
          <w:sz w:val="24"/>
          <w:szCs w:val="24"/>
          <w:highlight w:val="none"/>
          <w:u w:val="single"/>
        </w:rPr>
        <w:t xml:space="preserve">舞台返看显示器</w:t>
      </w:r>
      <w:r>
        <w:rPr>
          <w:rFonts w:ascii="宋体" w:hAnsi="宋体" w:eastAsia="宋体" w:cs="宋体"/>
          <w:b/>
          <w:bCs/>
          <w:color w:val="000000"/>
          <w:sz w:val="24"/>
          <w:highlight w:val="none"/>
          <w:u w:val="single"/>
        </w:rPr>
        <w:t xml:space="preserve"> </w:t>
      </w:r>
      <w:r>
        <w:rPr>
          <w:rFonts w:ascii="宋体" w:hAnsi="宋体" w:eastAsia="宋体" w:cs="宋体"/>
          <w:color w:val="000000"/>
          <w:sz w:val="24"/>
        </w:rPr>
        <w:t xml:space="preserve">。</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2. </w:t>
      </w:r>
      <w:r>
        <w:rPr>
          <w:rFonts w:ascii="宋体" w:hAnsi="宋体" w:eastAsia="宋体" w:cs="宋体"/>
          <w:color w:val="000000"/>
          <w:sz w:val="24"/>
        </w:rPr>
        <w:t xml:space="preserve">供应商对于投标产品的包装应按照“财办库〔</w:t>
      </w:r>
      <w:r>
        <w:rPr>
          <w:rFonts w:ascii="Times New Roman" w:hAnsi="Times New Roman" w:eastAsia="Times New Roman" w:cs="Times New Roman"/>
          <w:color w:val="000000"/>
          <w:sz w:val="24"/>
        </w:rPr>
        <w:t xml:space="preserve">2020</w:t>
      </w: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123</w:t>
      </w:r>
      <w:r>
        <w:rPr>
          <w:rFonts w:ascii="宋体" w:hAnsi="宋体" w:eastAsia="宋体" w:cs="宋体"/>
          <w:color w:val="000000"/>
          <w:sz w:val="24"/>
        </w:rPr>
        <w:t xml:space="preserve">号《关于印发《商品包装政府采购需求标准（试行）》、《快递包装政府采购需求标准（试行）》的通知》”执行。</w:t>
      </w:r>
      <w:r/>
    </w:p>
    <w:p>
      <w:pPr>
        <w:ind w:left="0" w:right="0" w:firstLine="480"/>
        <w:jc w:val="both"/>
        <w:spacing w:before="0" w:after="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 采购标的清单</w:t>
      </w:r>
      <w:r/>
    </w:p>
    <w:tbl>
      <w:tblPr>
        <w:tblStyle w:val="752"/>
        <w:tblW w:w="8107"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74"/>
        <w:gridCol w:w="3333"/>
        <w:gridCol w:w="360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33"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0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对应中小企业划分标准所属行业</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33"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刑事大法庭及配套场所信息化建设项目</w:t>
            </w: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0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工业</w:t>
            </w:r>
            <w:r>
              <w:rPr>
                <w:rFonts w:ascii="宋体" w:hAnsi="宋体" w:eastAsia="宋体" w:cs="宋体"/>
                <w:color w:val="000000"/>
                <w:sz w:val="24"/>
              </w:rPr>
              <w:t xml:space="preserve"> </w:t>
            </w:r>
            <w:r/>
          </w:p>
        </w:tc>
      </w:tr>
    </w:tbl>
    <w:p>
      <w:pPr>
        <w:ind w:left="0" w:right="0" w:firstLine="480"/>
        <w:jc w:val="both"/>
        <w:spacing w:before="0" w:after="0"/>
        <w:rPr>
          <w:highlight w:val="none"/>
        </w:rPr>
        <w:pBdr>
          <w:top w:val="none" w:color="000000" w:sz="0" w:space="0"/>
          <w:left w:val="none" w:color="000000" w:sz="0" w:space="0"/>
          <w:bottom w:val="none" w:color="000000" w:sz="0" w:space="0"/>
          <w:right w:val="none" w:color="000000" w:sz="0" w:space="0"/>
        </w:pBdr>
      </w:pPr>
      <w:r>
        <w:rPr>
          <w:highlight w:val="none"/>
        </w:rPr>
      </w:r>
      <w:r/>
    </w:p>
    <w:p>
      <w:pPr>
        <w:ind w:left="0" w:right="0" w:firstLine="480"/>
        <w:jc w:val="both"/>
        <w:spacing w:before="0" w:after="0"/>
        <w:rPr>
          <w:rFonts w:ascii="宋体" w:hAnsi="宋体" w:eastAsia="宋体" w:cs="宋体"/>
          <w:color w:val="000000"/>
          <w:sz w:val="24"/>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4．核心产品</w:t>
      </w:r>
      <w:r/>
    </w:p>
    <w:tbl>
      <w:tblPr>
        <w:tblStyle w:val="752"/>
        <w:tblW w:w="8075"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18"/>
        <w:gridCol w:w="565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18" w:type="dxa"/>
            <w:vAlign w:val="top"/>
            <w:textDirection w:val="lrTb"/>
            <w:noWrap w:val="false"/>
          </w:tcPr>
          <w:p>
            <w:pPr>
              <w:ind w:left="0" w:right="0" w:firstLine="0"/>
              <w:jc w:val="center"/>
              <w:spacing w:before="0" w:after="0"/>
              <w:rPr>
                <w:rFonts w:ascii="宋体" w:hAnsi="宋体" w:eastAsia="宋体" w:cs="宋体"/>
                <w:color w:val="000000"/>
                <w:sz w:val="24"/>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采购</w:t>
            </w:r>
            <w:r/>
          </w:p>
          <w:p>
            <w:pPr>
              <w:ind w:left="0" w:right="0" w:firstLine="0"/>
              <w:jc w:val="center"/>
              <w:spacing w:before="0" w:after="0"/>
              <w:rPr>
                <w:rFonts w:ascii="宋体" w:hAnsi="宋体" w:eastAsia="宋体" w:cs="宋体"/>
                <w:color w:val="000000"/>
                <w:sz w:val="24"/>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657" w:type="dxa"/>
            <w:vAlign w:val="top"/>
            <w:textDirection w:val="lrTb"/>
            <w:noWrap w:val="false"/>
          </w:tcPr>
          <w:p>
            <w:pPr>
              <w:ind w:left="0" w:right="0" w:firstLine="0"/>
              <w:jc w:val="center"/>
              <w:spacing w:before="0" w:after="0"/>
              <w:rPr>
                <w:rFonts w:ascii="宋体" w:hAnsi="宋体" w:eastAsia="宋体" w:cs="宋体"/>
                <w:color w:val="000000"/>
                <w:sz w:val="24"/>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核心产品</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8" w:type="dxa"/>
            <w:vAlign w:val="top"/>
            <w:textDirection w:val="lrTb"/>
            <w:noWrap w:val="false"/>
          </w:tcPr>
          <w:p>
            <w:pPr>
              <w:ind w:left="0" w:right="0" w:firstLine="0"/>
              <w:jc w:val="center"/>
              <w:spacing w:before="0" w:after="0"/>
              <w:rPr>
                <w:rFonts w:ascii="宋体" w:hAnsi="宋体" w:eastAsia="宋体" w:cs="宋体"/>
                <w:color w:val="000000"/>
                <w:sz w:val="24"/>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57" w:type="dxa"/>
            <w:vAlign w:val="top"/>
            <w:textDirection w:val="lrTb"/>
            <w:noWrap w:val="false"/>
          </w:tcPr>
          <w:p>
            <w:pPr>
              <w:ind w:left="0" w:right="0" w:firstLine="0"/>
              <w:jc w:val="center"/>
              <w:spacing w:before="0" w:after="0"/>
              <w:rPr>
                <w:rFonts w:ascii="宋体" w:hAnsi="宋体" w:eastAsia="宋体" w:cs="宋体"/>
                <w:color w:val="000000"/>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智能录播器</w:t>
            </w:r>
            <w:r/>
          </w:p>
        </w:tc>
      </w:tr>
    </w:tbl>
    <w:p>
      <w:pPr>
        <w:ind w:left="495" w:right="0" w:hanging="495"/>
        <w:jc w:val="both"/>
        <w:spacing w:before="0" w:after="0"/>
        <w:rPr>
          <w:rFonts w:ascii="宋体" w:hAnsi="宋体" w:eastAsia="宋体" w:cs="宋体"/>
          <w:b/>
          <w:bCs/>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rPr>
        <w:t xml:space="preserve">二、政府采购中实施本国产品标准及相关政策</w:t>
      </w:r>
      <w:r/>
    </w:p>
    <w:p>
      <w:pPr>
        <w:ind w:left="0" w:right="0" w:firstLine="0"/>
        <w:jc w:val="both"/>
        <w:spacing w:before="0" w:after="0"/>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  </w:t>
      </w:r>
      <w:r>
        <w:rPr>
          <w:rFonts w:ascii="宋体" w:hAnsi="宋体" w:eastAsia="宋体" w:cs="宋体"/>
          <w:color w:val="000000"/>
          <w:sz w:val="24"/>
          <w:szCs w:val="24"/>
        </w:rPr>
        <w:t xml:space="preserve">  1.</w:t>
      </w:r>
      <w:r>
        <w:rPr>
          <w:rFonts w:hint="eastAsia" w:ascii="宋体" w:hAnsi="宋体" w:eastAsia="宋体" w:cs="宋体"/>
          <w:bCs/>
          <w:color w:val="auto"/>
          <w:sz w:val="24"/>
          <w:szCs w:val="24"/>
          <w:highlight w:val="none"/>
          <w:lang w:val="en-US" w:eastAsia="zh-CN"/>
        </w:rPr>
        <w:t xml:space="preserve">根据《国务院办公厅关于在政府采购中实施本国产品标准及相关政策的通知》（国办发〔2025〕34号）规定，</w:t>
      </w:r>
      <w:r>
        <w:rPr>
          <w:rFonts w:ascii="宋体" w:hAnsi="宋体" w:eastAsia="宋体" w:cs="宋体"/>
          <w:color w:val="000000"/>
          <w:sz w:val="24"/>
          <w:szCs w:val="24"/>
        </w:rPr>
        <w:t xml:space="preserve">本项目对采购本国产品给予政策支持，具体内容见招标文件“第五章 评标方法与评标标准”。</w:t>
      </w:r>
      <w:r/>
    </w:p>
    <w:p>
      <w:pPr>
        <w:ind w:left="0" w:right="0" w:firstLine="0"/>
        <w:jc w:val="both"/>
        <w:spacing w:before="0" w:after="0"/>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0"/>
        <w:jc w:val="both"/>
        <w:spacing w:before="0" w:after="0"/>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0"/>
        <w:jc w:val="both"/>
        <w:spacing w:before="0" w:after="0"/>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14:ligatures w14:val="none"/>
        </w:r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三、技术要求</w:t>
      </w:r>
      <w:r/>
    </w:p>
    <w:p>
      <w:pPr>
        <w:ind w:firstLine="480"/>
        <w:rPr>
          <w:rFonts w:hint="eastAsia"/>
          <w:b w:val="0"/>
          <w:bCs w:val="0"/>
          <w:color w:val="000000"/>
          <w:sz w:val="24"/>
          <w:szCs w:val="24"/>
        </w:rPr>
      </w:pPr>
      <w:r>
        <w:rPr>
          <w:rFonts w:hint="eastAsia"/>
          <w:b w:val="0"/>
          <w:bCs w:val="0"/>
          <w:color w:val="000000"/>
          <w:sz w:val="24"/>
          <w:szCs w:val="24"/>
          <w:lang w:val="en-US" w:eastAsia="zh-CN"/>
        </w:rPr>
        <w:t xml:space="preserve">1</w:t>
      </w:r>
      <w:r>
        <w:rPr>
          <w:rFonts w:hint="eastAsia"/>
          <w:b w:val="0"/>
          <w:bCs w:val="0"/>
          <w:color w:val="000000"/>
          <w:sz w:val="24"/>
          <w:szCs w:val="24"/>
          <w:lang w:eastAsia="zh-CN"/>
        </w:rPr>
        <w:t xml:space="preserve">、</w:t>
      </w:r>
      <w:r>
        <w:rPr>
          <w:rFonts w:hint="eastAsia"/>
          <w:b w:val="0"/>
          <w:bCs w:val="0"/>
          <w:color w:val="000000"/>
          <w:sz w:val="24"/>
          <w:szCs w:val="24"/>
        </w:rPr>
        <w:t xml:space="preserve">采购需求中</w:t>
      </w:r>
      <w:r>
        <w:rPr>
          <w:rFonts w:hint="eastAsia"/>
          <w:b w:val="0"/>
          <w:bCs w:val="0"/>
          <w:i/>
          <w:color w:val="000000"/>
          <w:sz w:val="24"/>
          <w:szCs w:val="24"/>
          <w:u w:val="single"/>
        </w:rPr>
        <w:t xml:space="preserve">斜体且有下划线部分</w:t>
      </w:r>
      <w:r>
        <w:rPr>
          <w:rFonts w:hint="eastAsia"/>
          <w:b w:val="0"/>
          <w:bCs w:val="0"/>
          <w:color w:val="000000"/>
          <w:sz w:val="24"/>
          <w:szCs w:val="24"/>
        </w:rPr>
        <w:t xml:space="preserve">为实质性要求，投标人需要填写</w:t>
      </w:r>
      <w:r>
        <w:rPr>
          <w:rFonts w:hint="eastAsia"/>
          <w:b/>
          <w:bCs/>
          <w:color w:val="000000"/>
          <w:sz w:val="24"/>
          <w:szCs w:val="24"/>
        </w:rPr>
        <w:t xml:space="preserve">实质性要求响应及偏离表</w:t>
      </w:r>
      <w:r>
        <w:rPr>
          <w:rFonts w:hint="eastAsia"/>
          <w:b w:val="0"/>
          <w:bCs w:val="0"/>
          <w:color w:val="000000"/>
          <w:sz w:val="24"/>
          <w:szCs w:val="24"/>
        </w:rPr>
        <w:t xml:space="preserve">，投标人必须对技术要求和商务要求中的实质性要求（斜体且有下划线部分）逐条做出明确响应。如果招标文件要求提供证明材料，投标人必须将证明材料列于该表之下。</w:t>
      </w:r>
      <w:r/>
    </w:p>
    <w:p>
      <w:pPr>
        <w:ind w:firstLine="480"/>
        <w:keepLines w:val="0"/>
        <w:keepNext w:val="0"/>
        <w:pageBreakBefore w:val="0"/>
        <w:spacing w:line="240" w:lineRule="auto"/>
        <w:widowControl w:val="off"/>
        <w:rPr>
          <w:rFonts w:ascii="宋体" w:hAnsi="宋体"/>
          <w:sz w:val="24"/>
          <w:szCs w:val="24"/>
        </w:rPr>
        <w:outlineLvl w:val="9"/>
      </w:pPr>
      <w:r>
        <w:rPr>
          <w:rFonts w:hint="eastAsia"/>
          <w:bCs/>
          <w:iCs/>
          <w:sz w:val="24"/>
          <w:szCs w:val="24"/>
          <w:lang w:val="en-US" w:eastAsia="zh-CN"/>
        </w:rPr>
        <w:t xml:space="preserve">2</w:t>
      </w:r>
      <w:r>
        <w:rPr>
          <w:rFonts w:hint="eastAsia"/>
          <w:bCs/>
          <w:iCs/>
          <w:sz w:val="24"/>
          <w:szCs w:val="24"/>
          <w:lang w:eastAsia="zh-CN"/>
        </w:rPr>
        <w:t xml:space="preserve">、</w:t>
      </w:r>
      <w:r>
        <w:rPr>
          <w:rFonts w:hint="eastAsia" w:ascii="宋体" w:hAnsi="宋体"/>
          <w:sz w:val="24"/>
          <w:szCs w:val="24"/>
        </w:rPr>
        <w:t xml:space="preserve">投标人需</w:t>
      </w:r>
      <w:r>
        <w:rPr>
          <w:rFonts w:ascii="宋体" w:hAnsi="宋体"/>
          <w:sz w:val="24"/>
          <w:szCs w:val="24"/>
        </w:rPr>
        <w:t xml:space="preserve">对技术</w:t>
      </w:r>
      <w:r>
        <w:rPr>
          <w:rFonts w:hint="eastAsia" w:ascii="宋体" w:hAnsi="宋体"/>
          <w:sz w:val="24"/>
          <w:szCs w:val="24"/>
        </w:rPr>
        <w:t xml:space="preserve">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hint="eastAsia" w:ascii="宋体" w:hAnsi="宋体"/>
          <w:b/>
          <w:sz w:val="24"/>
          <w:szCs w:val="24"/>
        </w:rPr>
        <w:t xml:space="preserve">技术要求响应及偏离表</w:t>
      </w:r>
      <w:r>
        <w:rPr>
          <w:rFonts w:ascii="宋体" w:hAnsi="宋体"/>
          <w:sz w:val="24"/>
          <w:szCs w:val="24"/>
        </w:rPr>
        <w:t xml:space="preserve">之下。</w:t>
      </w:r>
      <w:r/>
    </w:p>
    <w:p>
      <w:pPr>
        <w:ind w:firstLine="480"/>
        <w:keepLines w:val="0"/>
        <w:keepNext w:val="0"/>
        <w:pageBreakBefore w:val="0"/>
        <w:spacing w:line="240" w:lineRule="auto"/>
        <w:widowControl w:val="off"/>
        <w:rPr>
          <w:bCs/>
          <w:iCs/>
          <w:sz w:val="24"/>
          <w:szCs w:val="24"/>
        </w:rPr>
        <w:outlineLvl w:val="9"/>
      </w:pPr>
      <w:r>
        <w:rPr>
          <w:rFonts w:hint="eastAsia"/>
          <w:bCs/>
          <w:iCs/>
          <w:sz w:val="24"/>
          <w:szCs w:val="24"/>
          <w:lang w:val="en-US" w:eastAsia="zh-CN"/>
        </w:rPr>
        <w:t xml:space="preserve">3</w:t>
      </w:r>
      <w:r>
        <w:rPr>
          <w:rFonts w:hint="eastAsia"/>
          <w:bCs/>
          <w:iCs/>
          <w:sz w:val="24"/>
          <w:szCs w:val="24"/>
          <w:lang w:eastAsia="zh-CN"/>
        </w:rPr>
        <w:t xml:space="preserve">、</w:t>
      </w:r>
      <w:r>
        <w:rPr>
          <w:rFonts w:hint="eastAsia"/>
          <w:bCs/>
          <w:iCs/>
          <w:sz w:val="24"/>
          <w:szCs w:val="24"/>
        </w:rPr>
        <w:t xml:space="preserve">投标人需</w:t>
      </w:r>
      <w:r>
        <w:rPr>
          <w:bCs/>
          <w:iCs/>
          <w:sz w:val="24"/>
          <w:szCs w:val="24"/>
        </w:rPr>
        <w:t xml:space="preserve">对</w:t>
      </w:r>
      <w:r>
        <w:rPr>
          <w:rFonts w:hint="eastAsia"/>
          <w:bCs/>
          <w:iCs/>
          <w:sz w:val="24"/>
          <w:szCs w:val="24"/>
        </w:rPr>
        <w:t xml:space="preserve">商务要求（未加斜体</w:t>
      </w:r>
      <w:r>
        <w:rPr>
          <w:bCs/>
          <w:iCs/>
          <w:sz w:val="24"/>
          <w:szCs w:val="24"/>
        </w:rPr>
        <w:t xml:space="preserve">下划线的</w:t>
      </w:r>
      <w:r>
        <w:rPr>
          <w:rFonts w:hint="eastAsia"/>
          <w:bCs/>
          <w:iCs/>
          <w:sz w:val="24"/>
          <w:szCs w:val="24"/>
        </w:rPr>
        <w:t xml:space="preserve">非</w:t>
      </w:r>
      <w:r>
        <w:rPr>
          <w:bCs/>
          <w:iCs/>
          <w:sz w:val="24"/>
          <w:szCs w:val="24"/>
        </w:rPr>
        <w:t xml:space="preserve">实质性</w:t>
      </w:r>
      <w:r>
        <w:rPr>
          <w:rFonts w:hint="eastAsia"/>
          <w:bCs/>
          <w:iCs/>
          <w:sz w:val="24"/>
          <w:szCs w:val="24"/>
        </w:rPr>
        <w:t xml:space="preserve">要求）</w:t>
      </w:r>
      <w:r>
        <w:rPr>
          <w:bCs/>
          <w:iCs/>
          <w:sz w:val="24"/>
          <w:szCs w:val="24"/>
        </w:rPr>
        <w:t xml:space="preserve">逐条做出明确响应</w:t>
      </w:r>
      <w:r>
        <w:rPr>
          <w:rFonts w:hint="eastAsia"/>
          <w:bCs/>
          <w:iCs/>
          <w:sz w:val="24"/>
          <w:szCs w:val="24"/>
        </w:rPr>
        <w:t xml:space="preserve">。如果招标</w:t>
      </w:r>
      <w:r>
        <w:rPr>
          <w:bCs/>
          <w:iCs/>
          <w:sz w:val="24"/>
          <w:szCs w:val="24"/>
        </w:rPr>
        <w:t xml:space="preserve">文件要求提供</w:t>
      </w:r>
      <w:r>
        <w:rPr>
          <w:rFonts w:hint="eastAsia"/>
          <w:bCs/>
          <w:iCs/>
          <w:sz w:val="24"/>
          <w:szCs w:val="24"/>
        </w:rPr>
        <w:t xml:space="preserve">证明</w:t>
      </w:r>
      <w:r>
        <w:rPr>
          <w:bCs/>
          <w:iCs/>
          <w:sz w:val="24"/>
          <w:szCs w:val="24"/>
        </w:rPr>
        <w:t xml:space="preserve">材料，投标人</w:t>
      </w:r>
      <w:r>
        <w:rPr>
          <w:rFonts w:hint="eastAsia"/>
          <w:bCs/>
          <w:iCs/>
          <w:sz w:val="24"/>
          <w:szCs w:val="24"/>
        </w:rPr>
        <w:t xml:space="preserve">需</w:t>
      </w:r>
      <w:r>
        <w:rPr>
          <w:bCs/>
          <w:iCs/>
          <w:sz w:val="24"/>
          <w:szCs w:val="24"/>
        </w:rPr>
        <w:t xml:space="preserve">将证明材料</w:t>
      </w:r>
      <w:r>
        <w:rPr>
          <w:rFonts w:hint="eastAsia"/>
          <w:bCs/>
          <w:iCs/>
          <w:sz w:val="24"/>
          <w:szCs w:val="24"/>
        </w:rPr>
        <w:t xml:space="preserve">列于</w:t>
      </w:r>
      <w:r>
        <w:rPr>
          <w:rFonts w:hint="eastAsia"/>
          <w:b/>
          <w:bCs w:val="0"/>
          <w:iCs/>
          <w:sz w:val="24"/>
          <w:szCs w:val="24"/>
        </w:rPr>
        <w:t xml:space="preserve">商务要求响应及偏离表</w:t>
      </w:r>
      <w:r>
        <w:rPr>
          <w:bCs/>
          <w:iCs/>
          <w:sz w:val="24"/>
          <w:szCs w:val="24"/>
        </w:rPr>
        <w:t xml:space="preserve">之下。</w:t>
      </w:r>
      <w:r/>
    </w:p>
    <w:p>
      <w:pPr>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r>
      <w:r/>
    </w:p>
    <w:p>
      <w:pPr>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项目背景</w:t>
      </w:r>
      <w:r/>
    </w:p>
    <w:p>
      <w:pPr>
        <w:ind w:firstLine="48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bookmarkStart w:id="2" w:name="_Hlk219828467"/>
      <w:r>
        <w:rPr>
          <w:rFonts w:hint="eastAsia" w:ascii="宋体" w:hAnsi="宋体" w:eastAsia="宋体" w:cs="宋体"/>
          <w:sz w:val="24"/>
          <w:szCs w:val="24"/>
        </w:rPr>
        <w:t xml:space="preserve">扬州市中级人民法院和广陵区人民法院启动新审判法庭建设项目，需推进配套信息化建设工作。新审判法庭信息化建设总体规</w:t>
      </w:r>
      <w:r>
        <w:rPr>
          <w:rFonts w:hint="eastAsia" w:ascii="宋体" w:hAnsi="宋体" w:eastAsia="宋体" w:cs="宋体"/>
          <w:sz w:val="24"/>
          <w:szCs w:val="24"/>
        </w:rPr>
        <w:t xml:space="preserve">划以智慧审判、智慧政务、智慧支撑三大系统为核心，构建诉讼服务中心、执行指挥中心、大数据及网络安全中心和安全保障中心，并配套16个子系统，为审判执行工作提质增效提供坚实的信息化支撑。具体设计需求包括智慧审判、智慧政务、智慧支撑三部分。其中智慧审判包括智慧融合法庭、大要案审判庭、智慧诉讼服务、智慧执行指挥、智慧审案管理、案件信息发布。智慧政务包括智慧案件合议、智慧政务联络、智慧文库档案、固定资产管理。智慧支撑包括计算机网络系统、数据中心机房、办案云桌面、智慧司法安防、智慧法院数字孪生平台、大数据网络安全平台等。</w:t>
      </w:r>
      <w:bookmarkEnd w:id="2"/>
      <w:r/>
      <w:r/>
    </w:p>
    <w:p>
      <w:pPr>
        <w:ind w:firstLine="480"/>
        <w:spacing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bookmarkStart w:id="3" w:name="_Toc14691"/>
      <w:r>
        <w:rPr>
          <w:rFonts w:hint="eastAsia" w:ascii="宋体" w:hAnsi="宋体" w:eastAsia="宋体" w:cs="宋体"/>
          <w:sz w:val="24"/>
          <w:szCs w:val="24"/>
        </w:rPr>
        <w:t xml:space="preserve">本次信息化项目主要是审判支撑部分，建设刑事大法庭及配套场所信息化建设系统，主要内容包括：显示系统、</w:t>
      </w:r>
      <w:r>
        <w:rPr>
          <w:rFonts w:hint="eastAsia" w:ascii="宋体" w:hAnsi="宋体" w:cs="宋体"/>
          <w:sz w:val="24"/>
          <w:szCs w:val="24"/>
          <w:lang w:val="en-US" w:eastAsia="zh-CN"/>
        </w:rPr>
        <w:t xml:space="preserve">发言系统、</w:t>
      </w:r>
      <w:r>
        <w:rPr>
          <w:rFonts w:hint="eastAsia" w:ascii="宋体" w:hAnsi="宋体" w:eastAsia="宋体" w:cs="宋体"/>
          <w:sz w:val="24"/>
          <w:szCs w:val="24"/>
        </w:rPr>
        <w:t xml:space="preserve">视频会议系统、中央控制</w:t>
      </w:r>
      <w:r>
        <w:rPr>
          <w:rFonts w:hint="eastAsia" w:ascii="宋体" w:hAnsi="宋体" w:cs="宋体"/>
          <w:sz w:val="24"/>
          <w:szCs w:val="24"/>
          <w:lang w:val="en-US" w:eastAsia="zh-CN"/>
        </w:rPr>
        <w:t xml:space="preserve">设备</w:t>
      </w:r>
      <w:r>
        <w:rPr>
          <w:rFonts w:hint="eastAsia" w:ascii="宋体" w:hAnsi="宋体" w:eastAsia="宋体" w:cs="宋体"/>
          <w:sz w:val="24"/>
          <w:szCs w:val="24"/>
        </w:rPr>
        <w:t xml:space="preserve">、舞台机械</w:t>
      </w:r>
      <w:r>
        <w:rPr>
          <w:rFonts w:hint="eastAsia" w:ascii="宋体" w:hAnsi="宋体" w:cs="宋体"/>
          <w:sz w:val="24"/>
          <w:szCs w:val="24"/>
          <w:lang w:val="en-US" w:eastAsia="zh-CN"/>
        </w:rPr>
        <w:t xml:space="preserve">设备</w:t>
      </w:r>
      <w:r>
        <w:rPr>
          <w:rFonts w:hint="eastAsia" w:ascii="宋体" w:hAnsi="宋体" w:eastAsia="宋体" w:cs="宋体"/>
          <w:sz w:val="24"/>
          <w:szCs w:val="24"/>
        </w:rPr>
        <w:t xml:space="preserve">、舞台灯光</w:t>
      </w:r>
      <w:r>
        <w:rPr>
          <w:rFonts w:hint="eastAsia" w:ascii="宋体" w:hAnsi="宋体" w:cs="宋体"/>
          <w:sz w:val="24"/>
          <w:szCs w:val="24"/>
          <w:lang w:val="en-US" w:eastAsia="zh-CN"/>
        </w:rPr>
        <w:t xml:space="preserve">设备</w:t>
      </w: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智能</w:t>
      </w:r>
      <w:r>
        <w:rPr>
          <w:rFonts w:hint="eastAsia" w:ascii="宋体" w:hAnsi="宋体" w:eastAsia="宋体" w:cs="宋体"/>
          <w:sz w:val="24"/>
          <w:szCs w:val="24"/>
        </w:rPr>
        <w:t xml:space="preserve">运维系统、18楼指挥调度</w:t>
      </w:r>
      <w:r>
        <w:rPr>
          <w:rFonts w:hint="eastAsia" w:ascii="宋体" w:hAnsi="宋体" w:cs="宋体"/>
          <w:sz w:val="24"/>
          <w:szCs w:val="24"/>
          <w:lang w:val="en-US" w:eastAsia="zh-CN"/>
        </w:rPr>
        <w:t xml:space="preserve">会议</w:t>
      </w:r>
      <w:r>
        <w:rPr>
          <w:rFonts w:hint="eastAsia" w:ascii="宋体" w:hAnsi="宋体" w:eastAsia="宋体" w:cs="宋体"/>
          <w:sz w:val="24"/>
          <w:szCs w:val="24"/>
        </w:rPr>
        <w:t xml:space="preserve">系统等。</w:t>
      </w:r>
      <w:r/>
    </w:p>
    <w:p>
      <w:pPr>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r>
      <w:r/>
    </w:p>
    <w:p>
      <w:pPr>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建设依据</w:t>
      </w:r>
      <w:bookmarkEnd w:id="3"/>
      <w:r/>
      <w:r/>
    </w:p>
    <w:p>
      <w:pPr>
        <w:ind w:firstLine="48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本方案依据国家和本地区的有关标准和规范进行起草，引用参考了如下文件:</w:t>
      </w:r>
      <w:r/>
    </w:p>
    <w:p>
      <w:pPr>
        <w:ind w:firstLine="48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（一）政策依据</w:t>
      </w:r>
      <w:r/>
    </w:p>
    <w:p>
      <w:pPr>
        <w:ind w:firstLine="48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中央网络安全和信息化委员会2021年印发的《“十四五”国家信息化规划》</w:t>
      </w:r>
      <w:r/>
    </w:p>
    <w:p>
      <w:pPr>
        <w:ind w:firstLine="48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最高人民法院2019年印发的《关于深化人民法院司法体制综合配套改革的意见——人民法院第五个五年改革纲要（2019—2023）的通知》</w:t>
      </w:r>
      <w:r/>
    </w:p>
    <w:p>
      <w:pPr>
        <w:ind w:firstLine="48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最高人民法院印发的《关于建设一站式多元解纷机制、一站式诉讼服务中心的意见》（法发〔2019〕19号）</w:t>
      </w:r>
      <w:r/>
    </w:p>
    <w:p>
      <w:pPr>
        <w:ind w:firstLine="48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最高人民法院印发的《人民法院“六专四室”建设规范》的通知（法发〔2020〕47号）</w:t>
      </w:r>
      <w:r/>
    </w:p>
    <w:p>
      <w:pPr>
        <w:ind w:firstLine="48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最高人民法院印发的《人民法院信息化建设五年发展规划（2020-2024）》（法发〔2020〕104号）</w:t>
      </w:r>
      <w:r/>
    </w:p>
    <w:p>
      <w:pPr>
        <w:ind w:firstLine="48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中共江苏省委办公厅印发的《法治江苏建设规划（2021-2025年）》</w:t>
      </w:r>
      <w:r/>
    </w:p>
    <w:p>
      <w:pPr>
        <w:ind w:firstLine="48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江苏省高级人民法院2021年印发的《江苏法院信息化建设五年发展规划》（2021-2025）</w:t>
      </w:r>
      <w:r/>
    </w:p>
    <w:p>
      <w:pPr>
        <w:ind w:firstLine="48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江苏省高级人民法院2022年印发的《江苏智慧法院建设白皮书》（2018-2022）</w:t>
      </w:r>
      <w:r/>
    </w:p>
    <w:p>
      <w:pPr>
        <w:ind w:firstLine="48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（二）技术规范类依据</w:t>
      </w:r>
      <w:r/>
    </w:p>
    <w:p>
      <w:pPr>
        <w:ind w:firstLine="48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《视频显示系统工程技术规范》（GB50464-2008）</w:t>
      </w:r>
      <w:r/>
    </w:p>
    <w:p>
      <w:pPr>
        <w:ind w:firstLine="48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《建筑物防雷设计规范》（GB50057-2010）</w:t>
      </w:r>
      <w:r/>
    </w:p>
    <w:p>
      <w:pPr>
        <w:ind w:firstLine="48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《建筑物电子信息系统防雷技术规范》（GB50343-2012）</w:t>
      </w:r>
      <w:r/>
    </w:p>
    <w:p>
      <w:pPr>
        <w:ind w:firstLine="48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《电磁环境控制限值》（GB8702-2014）</w:t>
      </w:r>
      <w:r/>
    </w:p>
    <w:p>
      <w:pPr>
        <w:ind w:firstLine="48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《智能建筑设计标准》（GB50314-2015）</w:t>
      </w:r>
      <w:r/>
    </w:p>
    <w:p>
      <w:pPr>
        <w:ind w:firstLine="48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《数据中心设计规范》（GB50174-2017）</w:t>
      </w:r>
      <w:r/>
    </w:p>
    <w:p>
      <w:pPr>
        <w:ind w:firstLine="48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《安全防范工程技术规范》（GB50348-2018）</w:t>
      </w:r>
      <w:r/>
    </w:p>
    <w:p>
      <w:pPr>
        <w:ind w:firstLine="48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《视频显示系统工程测量规范》（GB/T50525-2010）</w:t>
      </w:r>
      <w:r/>
    </w:p>
    <w:p>
      <w:pPr>
        <w:ind w:firstLine="48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《计算机场地安全要求》（GB/T9361-2011）</w:t>
      </w:r>
      <w:r/>
    </w:p>
    <w:p>
      <w:pPr>
        <w:ind w:firstLine="48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《信息安全技术网络安全等级保护基本要求》（GB/T22239-2019）</w:t>
      </w:r>
      <w:r/>
    </w:p>
    <w:p>
      <w:pPr>
        <w:ind w:firstLine="48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《信息安全技术网络安全等级保护安全设计技术要求》（GB/T25070-2019）</w:t>
      </w:r>
      <w:r/>
    </w:p>
    <w:p>
      <w:pPr>
        <w:ind w:firstLine="48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《信息安全技术网络安全等级保护测评要求》（GB/T28448-2019）</w:t>
      </w:r>
      <w:r/>
    </w:p>
    <w:p>
      <w:pPr>
        <w:ind w:firstLine="48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《信息安全技术信息系统密码应用基本要求》（GB/T39786-2021）</w:t>
      </w:r>
      <w:r/>
    </w:p>
    <w:p>
      <w:pPr>
        <w:ind w:firstLine="48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《信息安全技术 信息系统密码应用测评要求》（GB/T43206-2023）</w:t>
      </w:r>
      <w:r/>
    </w:p>
    <w:p>
      <w:pPr>
        <w:ind w:firstLine="48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《信息安全技术—SM9密码算法使用规范》（GB/T 41389-2022）</w:t>
      </w:r>
      <w:r/>
    </w:p>
    <w:p>
      <w:pPr>
        <w:ind w:firstLine="48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《科技法庭建设规范》（FYB/T 54001-2024）</w:t>
      </w:r>
      <w:r/>
    </w:p>
    <w:p>
      <w:pPr>
        <w:ind w:firstLine="48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《安全隔离与信息交换平台使用和管理要求》（FYB/T 59006-2020）</w:t>
      </w:r>
      <w:r/>
    </w:p>
    <w:p>
      <w:pPr>
        <w:ind w:firstLine="48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《安全防范系统雷电浪涌防护技术要求》（GA/T670-2006）</w:t>
      </w:r>
      <w:r/>
    </w:p>
    <w:p>
      <w:pPr>
        <w:ind w:firstLine="48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《安全防范视频监控矩阵设备通用技术要求》（GA/T646-2016）</w:t>
      </w:r>
      <w:r/>
    </w:p>
    <w:p>
      <w:pPr>
        <w:ind w:firstLine="48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《环境信息网络建设规范》（HJ460-2009）</w:t>
      </w:r>
      <w:r/>
    </w:p>
    <w:p>
      <w:pPr>
        <w:ind w:firstLine="48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《生态环境信息化标准体系指南》（HJ511-2024）</w:t>
      </w:r>
      <w:r/>
    </w:p>
    <w:p>
      <w:pPr>
        <w:ind w:firstLine="48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参考国家标准、行业标准等修订后的最新标准作为依据。除上述规范标准以外，还须遵循国家、行业及地方现行的相关规范和标准要求。</w:t>
      </w:r>
      <w:r/>
    </w:p>
    <w:p>
      <w:pPr>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bookmarkStart w:id="4" w:name="_Toc10206"/>
      <w:r/>
      <w:r/>
    </w:p>
    <w:p>
      <w:pPr>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建设原则</w:t>
      </w:r>
      <w:bookmarkEnd w:id="4"/>
      <w:r/>
      <w:r/>
    </w:p>
    <w:p>
      <w:pPr>
        <w:ind w:firstLine="48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1、突出智能运用</w:t>
      </w:r>
      <w:r/>
    </w:p>
    <w:p>
      <w:pPr>
        <w:ind w:firstLine="48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充分考量扬州市中级人民法院信息技术迭代升级与司法信息需求快速增长的发展趋势，本项目技术架构设计秉持适度超前原则，深度融合大数据、物联网、人工智能等前沿技术理念与应用成果，精准适配智慧法院办案模式的科技发展要求，确保系统能够满足未来十五至二十年扬州法院信息化建设的长远需求。核心设备优先选用符合安全可靠标准的集成化、数字化主流产品，着力打造技术领先、运行成熟、安全稳定的信息化支撑体系，全面契合智慧法院建设的未来发展方向。</w:t>
      </w:r>
      <w:r/>
    </w:p>
    <w:p>
      <w:pPr>
        <w:ind w:firstLine="48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2、强化可靠运行</w:t>
      </w:r>
      <w:r/>
    </w:p>
    <w:p>
      <w:pPr>
        <w:ind w:firstLine="48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优先选用经实践</w:t>
      </w:r>
      <w:r>
        <w:rPr>
          <w:rFonts w:hint="eastAsia" w:ascii="宋体" w:hAnsi="宋体" w:eastAsia="宋体" w:cs="宋体"/>
          <w:sz w:val="24"/>
          <w:szCs w:val="24"/>
          <w:lang w:eastAsia="zh-CN"/>
        </w:rPr>
        <w:t xml:space="preserve">检测</w:t>
      </w:r>
      <w:r>
        <w:rPr>
          <w:rFonts w:hint="eastAsia" w:ascii="宋体" w:hAnsi="宋体" w:eastAsia="宋体" w:cs="宋体"/>
          <w:sz w:val="24"/>
          <w:szCs w:val="24"/>
        </w:rPr>
        <w:t xml:space="preserve">的成熟实用技术与设备，最大化适配项目当前及未来业务拓展需求，确保系统耐久可靠、高效实用。系统需具备全面完善的管理功能，可充分满足各项业务的管理应用需求；操作环境需实现全流程适配，界面设计简洁友好，联机帮助功能健全完备、精准有效，切实提升操作便捷性与使用体验。</w:t>
      </w:r>
      <w:r/>
    </w:p>
    <w:p>
      <w:pPr>
        <w:ind w:firstLine="48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3、满足开放扩展</w:t>
      </w:r>
      <w:r/>
    </w:p>
    <w:p>
      <w:pPr>
        <w:ind w:firstLine="48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为了满足系统所选用的技术和设备的协同运行能力以及法院信息化工作发展需求的不断扩展，必须追求系统的开放性，采用开放的技术标准。系统设计中各子系统均提供了标准化和开放性的接口协议，保证了各子系统之间的网络化与集成化实现。总体结构应具有兼容性和可扩展性，可以包容不同类型的产品，便于升级换代，使整个信息化系统可以随着技术的发展与进步，不断得到充实、完善、改进和提高。</w:t>
      </w:r>
      <w:r/>
    </w:p>
    <w:p>
      <w:pPr>
        <w:ind w:firstLine="48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4、保证安全冗余</w:t>
      </w:r>
      <w:r/>
    </w:p>
    <w:p>
      <w:pPr>
        <w:ind w:firstLine="48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项目信息化系统必须具有高度的安全性和稳定性，包括系统自身安全和信息传递的安全，以及运行的可靠性。对网络系统、数据系统的数据交换、存储和访问等应有有效的安全措施，防止数据被破坏、窃取、丢失等事故发生。安全级别控制健全，防止截取操作，能有效审计用户操作，以便追查事故原因。整个信息化系统需要通过信息安全测评，通过查漏补缺来确保系统的安全性。</w:t>
      </w:r>
      <w:r/>
    </w:p>
    <w:p>
      <w:pPr>
        <w:ind w:firstLine="48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5、提升数据共享</w:t>
      </w:r>
      <w:r/>
    </w:p>
    <w:p>
      <w:pPr>
        <w:ind w:firstLine="48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进一步强化数据资源整合共享，统筹管理数据资源，建立数据资产；加大纵向、横向的数据交换力度，获取更加全面的数据资源。通过部门间互联互通、数据共享、协同联动，实现跨部门数据流动，提升公共服务的整体效能，需要着力于培育数据共享、业务协同机制，强化业务协同联动，打破信息孤岛，推动信息互联互通、开放共享，发挥数据流在法院办案过程中的基础性作用，使共享协同在提升司法机关公共管理能力，提高国家治理水平、创新公共服务、优化公共政策等方面发挥重要作用。</w:t>
      </w:r>
      <w:r/>
    </w:p>
    <w:p>
      <w:pPr>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bookmarkStart w:id="5" w:name="_Toc31880"/>
      <w:r/>
      <w:r/>
    </w:p>
    <w:p>
      <w:pPr>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建设目标</w:t>
      </w:r>
      <w:bookmarkEnd w:id="5"/>
      <w:r/>
      <w:r/>
    </w:p>
    <w:p>
      <w:pPr>
        <w:ind w:firstLine="48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按照人民法院信息化发展规划要求，积极完善“智慧</w:t>
      </w:r>
      <w:r>
        <w:rPr>
          <w:rFonts w:hint="eastAsia" w:ascii="宋体" w:hAnsi="宋体" w:eastAsia="宋体" w:cs="宋体"/>
          <w:sz w:val="24"/>
          <w:szCs w:val="24"/>
        </w:rPr>
        <w:t xml:space="preserve">法院”系列解决方案，形成了“服务诉讼”、“服务审判”、“服务执行”、“服务司法”四类全覆盖法院音视频业务的解决方案，可以有效地辅助法院尽快建成以大数据为核心的人民法院信息化4.0，促进审判体系和审判能力现代化，为人民群众提供更加高效，更加便利，更加全面的司法服务。审判法庭信息化建设项目立足于扬州法院审判工作实际，力求信息化建设同司法审判工作深度融合，通过加强信息化相关平台、技术建设，旨在促进法院现代化建设，更好地服务经济社会高质量发展，为扬州在新时代中国特色社会主义建设征程中“走在前、做示范”提供有力保障。</w:t>
      </w:r>
      <w:r/>
    </w:p>
    <w:p>
      <w:pPr>
        <w:numPr>
          <w:ilvl w:val="0"/>
          <w:numId w:val="0"/>
        </w:numPr>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r>
      <w:r/>
    </w:p>
    <w:p>
      <w:pPr>
        <w:numPr>
          <w:ilvl w:val="0"/>
          <w:numId w:val="0"/>
        </w:numPr>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技术及商务要求 </w:t>
      </w:r>
      <w:r/>
    </w:p>
    <w:p>
      <w:pPr>
        <w:ind w:firstLine="482"/>
        <w:jc w:val="left"/>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bookmarkStart w:id="6" w:name="_Toc28311"/>
      <w:r>
        <w:rPr>
          <w:rFonts w:hint="eastAsia" w:ascii="宋体" w:hAnsi="宋体" w:eastAsia="宋体" w:cs="宋体"/>
          <w:b/>
          <w:bCs/>
          <w:sz w:val="24"/>
          <w:szCs w:val="24"/>
        </w:rPr>
        <w:t xml:space="preserve">一</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建设内容</w:t>
      </w:r>
      <w:bookmarkEnd w:id="6"/>
      <w:r/>
      <w:r/>
    </w:p>
    <w:p>
      <w:pPr>
        <w:ind w:firstLine="48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bookmarkStart w:id="7" w:name="_Toc11702"/>
      <w:r/>
      <w:bookmarkStart w:id="8" w:name="_Toc20723"/>
      <w:r/>
      <w:bookmarkStart w:id="9" w:name="_Toc19032"/>
      <w:r/>
      <w:bookmarkStart w:id="10" w:name="_Toc9792"/>
      <w:r/>
      <w:bookmarkStart w:id="11" w:name="_Toc20486"/>
      <w:r/>
      <w:bookmarkStart w:id="12" w:name="_Toc8610"/>
      <w:r/>
      <w:bookmarkStart w:id="13" w:name="OLE_LINK2"/>
      <w:r>
        <w:rPr>
          <w:rFonts w:hint="eastAsia" w:ascii="宋体" w:hAnsi="宋体" w:eastAsia="宋体" w:cs="宋体"/>
          <w:sz w:val="24"/>
          <w:szCs w:val="24"/>
        </w:rPr>
        <w:t xml:space="preserve">1</w:t>
      </w:r>
      <w:bookmarkEnd w:id="7"/>
      <w:r/>
      <w:bookmarkEnd w:id="8"/>
      <w:r/>
      <w:bookmarkEnd w:id="9"/>
      <w:r/>
      <w:bookmarkEnd w:id="10"/>
      <w:r/>
      <w:bookmarkEnd w:id="11"/>
      <w:r/>
      <w:bookmarkEnd w:id="12"/>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显示系统</w:t>
      </w:r>
      <w:r/>
    </w:p>
    <w:p>
      <w:pPr>
        <w:ind w:firstLine="480"/>
        <w:rPr>
          <w:rFonts w:hint="default"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2、发言系统</w:t>
      </w:r>
      <w:r/>
    </w:p>
    <w:p>
      <w:pPr>
        <w:ind w:firstLine="48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视频会议系统</w:t>
      </w:r>
      <w:r/>
    </w:p>
    <w:p>
      <w:pPr>
        <w:ind w:firstLine="480"/>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中央控制</w:t>
      </w:r>
      <w:r>
        <w:rPr>
          <w:rFonts w:hint="eastAsia" w:ascii="宋体" w:hAnsi="宋体" w:eastAsia="宋体" w:cs="宋体"/>
          <w:sz w:val="24"/>
          <w:szCs w:val="24"/>
          <w:lang w:val="en-US" w:eastAsia="zh-CN"/>
        </w:rPr>
        <w:t xml:space="preserve">设备</w:t>
      </w:r>
      <w:r/>
    </w:p>
    <w:p>
      <w:pPr>
        <w:ind w:firstLine="480"/>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舞台机械</w:t>
      </w:r>
      <w:r>
        <w:rPr>
          <w:rFonts w:hint="eastAsia" w:ascii="宋体" w:hAnsi="宋体" w:eastAsia="宋体" w:cs="宋体"/>
          <w:sz w:val="24"/>
          <w:szCs w:val="24"/>
          <w:lang w:val="en-US" w:eastAsia="zh-CN"/>
        </w:rPr>
        <w:t xml:space="preserve">设备</w:t>
      </w:r>
      <w:r/>
    </w:p>
    <w:p>
      <w:pPr>
        <w:ind w:firstLine="480"/>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舞台灯光</w:t>
      </w:r>
      <w:r>
        <w:rPr>
          <w:rFonts w:hint="eastAsia" w:ascii="宋体" w:hAnsi="宋体" w:eastAsia="宋体" w:cs="宋体"/>
          <w:sz w:val="24"/>
          <w:szCs w:val="24"/>
          <w:lang w:val="en-US" w:eastAsia="zh-CN"/>
        </w:rPr>
        <w:t xml:space="preserve">设备</w:t>
      </w:r>
      <w:r/>
    </w:p>
    <w:p>
      <w:pPr>
        <w:ind w:firstLine="48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智能运维</w:t>
      </w:r>
      <w:r>
        <w:rPr>
          <w:rFonts w:hint="eastAsia" w:ascii="宋体" w:hAnsi="宋体" w:eastAsia="宋体" w:cs="宋体"/>
          <w:sz w:val="24"/>
          <w:szCs w:val="24"/>
        </w:rPr>
        <w:t xml:space="preserve">系统</w:t>
      </w:r>
      <w:r/>
    </w:p>
    <w:p>
      <w:pPr>
        <w:ind w:firstLine="48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18楼指挥调度</w:t>
      </w:r>
      <w:r>
        <w:rPr>
          <w:rFonts w:hint="eastAsia" w:ascii="宋体" w:hAnsi="宋体" w:eastAsia="宋体" w:cs="宋体"/>
          <w:sz w:val="24"/>
          <w:szCs w:val="24"/>
          <w:lang w:val="en-US" w:eastAsia="zh-CN"/>
        </w:rPr>
        <w:t xml:space="preserve">会议</w:t>
      </w:r>
      <w:r>
        <w:rPr>
          <w:rFonts w:hint="eastAsia" w:ascii="宋体" w:hAnsi="宋体" w:eastAsia="宋体" w:cs="宋体"/>
          <w:sz w:val="24"/>
          <w:szCs w:val="24"/>
        </w:rPr>
        <w:t xml:space="preserve">系统</w:t>
      </w:r>
      <w:bookmarkEnd w:id="13"/>
      <w:r/>
    </w:p>
    <w:p>
      <w:pPr>
        <w:ind w:firstLine="482"/>
        <w:jc w:val="left"/>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bookmarkStart w:id="14" w:name="_Toc15822"/>
      <w:r>
        <w:rPr>
          <w:rFonts w:hint="eastAsia" w:ascii="宋体" w:hAnsi="宋体" w:eastAsia="宋体" w:cs="宋体"/>
          <w:b/>
          <w:bCs/>
          <w:sz w:val="24"/>
          <w:szCs w:val="24"/>
          <w:lang w:val="en-US" w:eastAsia="zh-CN"/>
        </w:rPr>
        <w:t xml:space="preserve">二、</w:t>
      </w:r>
      <w:r>
        <w:rPr>
          <w:rFonts w:hint="eastAsia" w:ascii="宋体" w:hAnsi="宋体" w:eastAsia="宋体" w:cs="宋体"/>
          <w:b/>
          <w:bCs/>
          <w:sz w:val="24"/>
          <w:szCs w:val="24"/>
        </w:rPr>
        <w:t xml:space="preserve">工期要求</w:t>
      </w:r>
      <w:bookmarkEnd w:id="14"/>
      <w:r/>
      <w:r/>
    </w:p>
    <w:p>
      <w:pPr>
        <w:ind w:firstLine="480"/>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自中标签订合同之</w:t>
      </w:r>
      <w:r>
        <w:rPr>
          <w:rFonts w:hint="eastAsia" w:ascii="宋体" w:hAnsi="宋体" w:eastAsia="宋体" w:cs="宋体"/>
          <w:sz w:val="24"/>
          <w:szCs w:val="24"/>
          <w:highlight w:val="none"/>
        </w:rPr>
        <w:t xml:space="preserve">日起，</w:t>
      </w:r>
      <w:r>
        <w:rPr>
          <w:rFonts w:hint="eastAsia" w:ascii="宋体" w:hAnsi="宋体" w:eastAsia="宋体" w:cs="宋体"/>
          <w:sz w:val="24"/>
          <w:szCs w:val="24"/>
          <w:highlight w:val="none"/>
          <w:lang w:val="en-US" w:eastAsia="zh-CN"/>
        </w:rPr>
        <w:t xml:space="preserve">15</w:t>
      </w:r>
      <w:r>
        <w:rPr>
          <w:rFonts w:hint="eastAsia" w:ascii="宋体" w:hAnsi="宋体" w:eastAsia="宋体" w:cs="宋体"/>
          <w:sz w:val="24"/>
          <w:szCs w:val="24"/>
          <w:highlight w:val="none"/>
        </w:rPr>
        <w:t xml:space="preserve">天内设备全部到货或部署，</w:t>
      </w:r>
      <w:r>
        <w:rPr>
          <w:rFonts w:hint="eastAsia" w:ascii="宋体" w:hAnsi="宋体" w:eastAsia="宋体" w:cs="宋体"/>
          <w:sz w:val="24"/>
          <w:szCs w:val="24"/>
          <w:highlight w:val="none"/>
          <w:lang w:val="en-US" w:eastAsia="zh-CN"/>
        </w:rPr>
        <w:t xml:space="preserve">25</w:t>
      </w:r>
      <w:r>
        <w:rPr>
          <w:rFonts w:hint="eastAsia" w:ascii="宋体" w:hAnsi="宋体" w:eastAsia="宋体" w:cs="宋体"/>
          <w:sz w:val="24"/>
          <w:szCs w:val="24"/>
          <w:highlight w:val="none"/>
        </w:rPr>
        <w:t xml:space="preserve">天内完工，连续不间断正常运行三个月后组织验收。</w:t>
      </w:r>
      <w:r/>
    </w:p>
    <w:p>
      <w:pPr>
        <w:ind w:firstLine="482"/>
        <w:jc w:val="left"/>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bookmarkStart w:id="15" w:name="_Toc11604"/>
      <w:r>
        <w:rPr>
          <w:rFonts w:hint="eastAsia" w:ascii="宋体" w:hAnsi="宋体" w:eastAsia="宋体" w:cs="宋体"/>
          <w:b/>
          <w:bCs/>
          <w:sz w:val="24"/>
          <w:szCs w:val="24"/>
          <w:highlight w:val="none"/>
        </w:rPr>
        <w:t xml:space="preserve">三</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建设</w:t>
      </w:r>
      <w:bookmarkEnd w:id="15"/>
      <w:r>
        <w:rPr>
          <w:rFonts w:hint="eastAsia" w:ascii="宋体" w:hAnsi="宋体" w:eastAsia="宋体" w:cs="宋体"/>
          <w:b/>
          <w:bCs/>
          <w:sz w:val="24"/>
          <w:szCs w:val="24"/>
          <w:highlight w:val="none"/>
        </w:rPr>
        <w:t xml:space="preserve">要求</w:t>
      </w:r>
      <w:r/>
    </w:p>
    <w:p>
      <w:pPr>
        <w:ind w:firstLine="480"/>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显示系统</w:t>
      </w:r>
      <w:r/>
    </w:p>
    <w:p>
      <w:pPr>
        <w:ind w:firstLine="480"/>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舞台2侧98寸辅助显示器，3台65寸舞台返看显示器以及舞台会标显示屏。</w:t>
      </w:r>
      <w:r/>
    </w:p>
    <w:p>
      <w:pPr>
        <w:ind w:firstLine="480"/>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发言系统</w:t>
      </w:r>
      <w:r/>
    </w:p>
    <w:p>
      <w:pPr>
        <w:ind w:firstLine="480"/>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包含无线方管会议话筒、无线头戴/领夹麦克风（一拖二）和无线手持话筒（一拖二）。</w:t>
      </w:r>
      <w:r/>
    </w:p>
    <w:p>
      <w:pPr>
        <w:ind w:firstLine="480"/>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视频会议系统</w:t>
      </w:r>
      <w:r/>
    </w:p>
    <w:p>
      <w:pPr>
        <w:ind w:firstLine="480"/>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能够与扬州市中级人民法院现有高清视频会议系统兼容，实现互联、互通、PTZ控制、双流收发、唇音同步等功能。</w:t>
      </w:r>
      <w:r/>
    </w:p>
    <w:p>
      <w:pPr>
        <w:ind w:firstLine="480"/>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中央控制</w:t>
      </w:r>
      <w:r>
        <w:rPr>
          <w:rFonts w:hint="eastAsia" w:ascii="宋体" w:hAnsi="宋体" w:eastAsia="宋体" w:cs="宋体"/>
          <w:sz w:val="24"/>
          <w:szCs w:val="24"/>
          <w:highlight w:val="none"/>
          <w:lang w:val="en-US" w:eastAsia="zh-CN"/>
        </w:rPr>
        <w:t xml:space="preserve">设备</w:t>
      </w:r>
      <w:r/>
    </w:p>
    <w:p>
      <w:pPr>
        <w:ind w:firstLine="480"/>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bidi="ar"/>
        </w:rPr>
        <w:t xml:space="preserve">视频流输入、传输与控制系统是对会场的音视频系统进行分布式控制建设，实现跨区域音视频系统的互控互通</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bidi="ar"/>
        </w:rPr>
        <w:t xml:space="preserve">同时实现对舞台灯光、舞台机械等设备的自动控制</w:t>
      </w:r>
      <w:r>
        <w:rPr>
          <w:rFonts w:hint="eastAsia" w:ascii="宋体" w:hAnsi="宋体" w:eastAsia="宋体" w:cs="宋体"/>
          <w:sz w:val="24"/>
          <w:szCs w:val="24"/>
          <w:highlight w:val="none"/>
        </w:rPr>
        <w:t xml:space="preserve">。</w:t>
      </w:r>
      <w:r/>
    </w:p>
    <w:p>
      <w:pPr>
        <w:ind w:firstLine="480"/>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舞台机械</w:t>
      </w:r>
      <w:r>
        <w:rPr>
          <w:rFonts w:hint="eastAsia" w:ascii="宋体" w:hAnsi="宋体" w:eastAsia="宋体" w:cs="宋体"/>
          <w:sz w:val="24"/>
          <w:szCs w:val="24"/>
          <w:highlight w:val="none"/>
          <w:lang w:val="en-US" w:eastAsia="zh-CN"/>
        </w:rPr>
        <w:t xml:space="preserve">设备</w:t>
      </w:r>
      <w:r/>
    </w:p>
    <w:p>
      <w:pPr>
        <w:ind w:firstLine="480"/>
        <w:rPr>
          <w:rFonts w:hint="eastAsia" w:ascii="宋体" w:hAnsi="宋体" w:eastAsia="宋体" w:cs="宋体"/>
          <w:sz w:val="24"/>
          <w:szCs w:val="24"/>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bidi="ar"/>
        </w:rPr>
        <w:t xml:space="preserve">舞台上空配置变频调速大幕、变频调速二幕和底幕装置，对开幕机用于悬挂舞台上的幕布，可进行对开运动。</w:t>
      </w:r>
      <w:r/>
    </w:p>
    <w:p>
      <w:pPr>
        <w:ind w:firstLine="480"/>
        <w:rPr>
          <w:rFonts w:hint="eastAsia" w:ascii="宋体" w:hAnsi="宋体" w:eastAsia="宋体" w:cs="宋体"/>
          <w:sz w:val="24"/>
          <w:szCs w:val="24"/>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bidi="ar"/>
        </w:rPr>
        <w:t xml:space="preserve">舞台上空配置电动升降景用吊杆，平行于台口布置。</w:t>
      </w:r>
      <w:r/>
    </w:p>
    <w:p>
      <w:pPr>
        <w:ind w:firstLine="480"/>
        <w:rPr>
          <w:rFonts w:hint="eastAsia" w:ascii="宋体" w:hAnsi="宋体" w:eastAsia="宋体" w:cs="宋体"/>
          <w:sz w:val="24"/>
          <w:szCs w:val="24"/>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bidi="ar"/>
        </w:rPr>
        <w:t xml:space="preserve">舞台上空配置灯光吊杆，平行于台口布置，专门用于吊挂舞台灯光设备，可作升降运动。</w:t>
      </w:r>
      <w:r/>
    </w:p>
    <w:p>
      <w:pPr>
        <w:ind w:firstLine="480"/>
        <w:rPr>
          <w:rFonts w:hint="eastAsia" w:ascii="宋体" w:hAnsi="宋体" w:eastAsia="宋体" w:cs="宋体"/>
          <w:sz w:val="24"/>
          <w:szCs w:val="24"/>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bidi="ar"/>
        </w:rPr>
        <w:t xml:space="preserve">栅顶钢结构需满足台上机械设备的安装要求。</w:t>
      </w:r>
      <w:r/>
    </w:p>
    <w:p>
      <w:pPr>
        <w:ind w:firstLine="480"/>
        <w:rPr>
          <w:rFonts w:hint="eastAsia" w:ascii="宋体" w:hAnsi="宋体" w:eastAsia="宋体" w:cs="宋体"/>
          <w:sz w:val="24"/>
          <w:szCs w:val="24"/>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bidi="ar"/>
        </w:rPr>
        <w:t xml:space="preserve">舞台幕布均达到防火规范要求。</w:t>
      </w:r>
      <w:r/>
    </w:p>
    <w:p>
      <w:pPr>
        <w:ind w:firstLine="480"/>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舞台灯光</w:t>
      </w:r>
      <w:r>
        <w:rPr>
          <w:rFonts w:hint="eastAsia" w:ascii="宋体" w:hAnsi="宋体" w:eastAsia="宋体" w:cs="宋体"/>
          <w:sz w:val="24"/>
          <w:szCs w:val="24"/>
          <w:highlight w:val="none"/>
          <w:lang w:val="en-US" w:eastAsia="zh-CN"/>
        </w:rPr>
        <w:t xml:space="preserve">设备</w:t>
      </w:r>
      <w:r/>
    </w:p>
    <w:p>
      <w:pPr>
        <w:ind w:firstLine="480"/>
        <w:rPr>
          <w:rFonts w:hint="eastAsia" w:ascii="宋体" w:hAnsi="宋体" w:eastAsia="宋体" w:cs="宋体"/>
          <w:sz w:val="24"/>
          <w:szCs w:val="24"/>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bidi="ar"/>
        </w:rPr>
        <w:t xml:space="preserve">舞台灯光系统设计是遵循舞台艺术表演的规律和特殊使用要求进行配置的，其目的在于将各种表演艺术再现过程所需的灯光工艺设备，按系统工程进行设计配置，使灯光系统准确、圆满地为艺术展示服务。</w:t>
      </w:r>
      <w:r/>
    </w:p>
    <w:p>
      <w:pPr>
        <w:ind w:firstLine="480"/>
        <w:rPr>
          <w:rFonts w:hint="eastAsia" w:ascii="宋体" w:hAnsi="宋体" w:eastAsia="宋体" w:cs="宋体"/>
          <w:sz w:val="24"/>
          <w:szCs w:val="24"/>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bidi="ar"/>
        </w:rPr>
        <w:t xml:space="preserve">灯光系统功能：能够满足会议要求的主席台冷光源照明、文艺演出活动的演出灯光与效果照明部分。涵盖灯具、光源、控制与调光设备、综合布线等。</w:t>
      </w:r>
      <w:r/>
    </w:p>
    <w:p>
      <w:pPr>
        <w:ind w:firstLine="480"/>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智能运维</w:t>
      </w:r>
      <w:r>
        <w:rPr>
          <w:rFonts w:hint="eastAsia" w:ascii="宋体" w:hAnsi="宋体" w:eastAsia="宋体" w:cs="宋体"/>
          <w:sz w:val="24"/>
          <w:szCs w:val="24"/>
          <w:highlight w:val="none"/>
        </w:rPr>
        <w:t xml:space="preserve">系统</w:t>
      </w:r>
      <w:r/>
    </w:p>
    <w:p>
      <w:pPr>
        <w:ind w:firstLine="480"/>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通过标准浏览器随时随地访问系统，实现便捷、高效的远程管理与控制。基于稳定的Linux内核构建物模型操作系统，不仅兼容国产银河麒麟操作系统，还具备卓越的安全防护、灵活的系统扩展性和高度稳定的运行环境。</w:t>
      </w:r>
      <w:r/>
    </w:p>
    <w:p>
      <w:pPr>
        <w:ind w:firstLine="480"/>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18楼指挥调度</w:t>
      </w:r>
      <w:r>
        <w:rPr>
          <w:rFonts w:hint="eastAsia" w:ascii="宋体" w:hAnsi="宋体" w:eastAsia="宋体" w:cs="宋体"/>
          <w:sz w:val="24"/>
          <w:szCs w:val="24"/>
          <w:highlight w:val="none"/>
          <w:lang w:val="en-US" w:eastAsia="zh-CN"/>
        </w:rPr>
        <w:t xml:space="preserve">会议</w:t>
      </w:r>
      <w:r>
        <w:rPr>
          <w:rFonts w:hint="eastAsia" w:ascii="宋体" w:hAnsi="宋体" w:eastAsia="宋体" w:cs="宋体"/>
          <w:sz w:val="24"/>
          <w:szCs w:val="24"/>
          <w:highlight w:val="none"/>
        </w:rPr>
        <w:t xml:space="preserve">系统</w:t>
      </w:r>
      <w:r/>
    </w:p>
    <w:p>
      <w:pPr>
        <w:ind w:firstLine="480"/>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包含会议扩声、视频会议、视频控制、智慧运维等系统</w:t>
      </w:r>
      <w:r>
        <w:rPr>
          <w:rFonts w:hint="eastAsia" w:ascii="宋体" w:hAnsi="宋体" w:eastAsia="宋体" w:cs="宋体"/>
          <w:sz w:val="24"/>
          <w:szCs w:val="24"/>
          <w:highlight w:val="none"/>
          <w:lang w:eastAsia="zh-CN"/>
        </w:rPr>
        <w:t xml:space="preserve">。</w:t>
      </w:r>
      <w:r/>
    </w:p>
    <w:p>
      <w:pPr>
        <w:ind w:firstLine="482"/>
        <w:jc w:val="left"/>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bookmarkStart w:id="16" w:name="_Toc18068"/>
      <w:r/>
      <w:bookmarkStart w:id="17" w:name="_Toc21887"/>
      <w:r/>
      <w:bookmarkStart w:id="18" w:name="_Toc16237"/>
      <w:r/>
      <w:bookmarkStart w:id="19" w:name="_Toc5581"/>
      <w:r/>
      <w:bookmarkStart w:id="20" w:name="_Toc9667"/>
      <w:r/>
      <w:bookmarkStart w:id="21" w:name="_Toc7972"/>
      <w:r/>
      <w:bookmarkStart w:id="22" w:name="_Toc11434"/>
      <w:r/>
      <w:bookmarkStart w:id="23" w:name="_Toc32080"/>
      <w:r>
        <w:rPr>
          <w:rFonts w:hint="eastAsia" w:ascii="宋体" w:hAnsi="宋体" w:eastAsia="宋体" w:cs="宋体"/>
          <w:b/>
          <w:bCs/>
          <w:sz w:val="24"/>
          <w:szCs w:val="24"/>
          <w:highlight w:val="none"/>
        </w:rPr>
        <w:t xml:space="preserve">四</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采购清单</w:t>
      </w:r>
      <w:bookmarkEnd w:id="16"/>
      <w:r/>
      <w:r/>
    </w:p>
    <w:tbl>
      <w:tblPr>
        <w:tblStyle w:val="721"/>
        <w:tblW w:w="9065" w:type="dxa"/>
        <w:tblInd w:w="0" w:type="dxa"/>
        <w:tblLayout w:type="fixed"/>
        <w:tblCellMar>
          <w:left w:w="108" w:type="dxa"/>
          <w:top w:w="0" w:type="dxa"/>
          <w:right w:w="108" w:type="dxa"/>
          <w:bottom w:w="0" w:type="dxa"/>
        </w:tblCellMar>
        <w:tblLook w:val="04A0" w:firstRow="1" w:lastRow="0" w:firstColumn="1" w:lastColumn="0" w:noHBand="0" w:noVBand="1"/>
      </w:tblPr>
      <w:tblGrid>
        <w:gridCol w:w="616"/>
        <w:gridCol w:w="1071"/>
        <w:gridCol w:w="6220"/>
        <w:gridCol w:w="601"/>
        <w:gridCol w:w="557"/>
      </w:tblGrid>
      <w:tr>
        <w:trPr>
          <w:trHeight w:val="290"/>
          <w:tblHeader/>
        </w:trPr>
        <w:tc>
          <w:tcPr>
            <w:tcBorders>
              <w:top w:val="single" w:color="auto" w:sz="4" w:space="0"/>
              <w:left w:val="single" w:color="auto" w:sz="4" w:space="0"/>
              <w:bottom w:val="single" w:color="auto" w:sz="4" w:space="0"/>
              <w:right w:val="single" w:color="auto" w:sz="4" w:space="0"/>
            </w:tcBorders>
            <w:tcW w:w="616" w:type="dxa"/>
            <w:vAlign w:val="center"/>
            <w:textDirection w:val="lrTb"/>
            <w:noWrap w:val="false"/>
          </w:tcPr>
          <w:p>
            <w:pPr>
              <w:jc w:val="center"/>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序号</w:t>
            </w:r>
            <w:r/>
          </w:p>
        </w:tc>
        <w:tc>
          <w:tcPr>
            <w:tcBorders>
              <w:top w:val="single" w:color="auto" w:sz="4" w:space="0"/>
              <w:left w:val="none" w:color="000000" w:sz="4" w:space="0"/>
              <w:bottom w:val="single" w:color="auto" w:sz="4" w:space="0"/>
              <w:right w:val="single" w:color="auto" w:sz="4" w:space="0"/>
            </w:tcBorders>
            <w:tcW w:w="1071" w:type="dxa"/>
            <w:vAlign w:val="center"/>
            <w:textDirection w:val="lrTb"/>
            <w:noWrap w:val="false"/>
          </w:tcPr>
          <w:p>
            <w:pPr>
              <w:jc w:val="lef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产品名称</w:t>
            </w:r>
            <w:r/>
          </w:p>
        </w:tc>
        <w:tc>
          <w:tcPr>
            <w:tcBorders>
              <w:top w:val="single" w:color="auto" w:sz="4" w:space="0"/>
              <w:left w:val="none" w:color="000000" w:sz="4" w:space="0"/>
              <w:bottom w:val="single" w:color="auto" w:sz="4" w:space="0"/>
              <w:right w:val="single" w:color="auto" w:sz="4" w:space="0"/>
            </w:tcBorders>
            <w:tcW w:w="6220" w:type="dxa"/>
            <w:vAlign w:val="center"/>
            <w:textDirection w:val="lrTb"/>
            <w:noWrap w:val="false"/>
          </w:tcPr>
          <w:p>
            <w:pPr>
              <w:jc w:val="center"/>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技术参数</w:t>
            </w:r>
            <w:r/>
          </w:p>
        </w:tc>
        <w:tc>
          <w:tcPr>
            <w:tcBorders>
              <w:top w:val="single" w:color="auto" w:sz="4" w:space="0"/>
              <w:left w:val="none" w:color="000000" w:sz="4" w:space="0"/>
              <w:bottom w:val="single" w:color="auto" w:sz="4" w:space="0"/>
              <w:right w:val="single" w:color="auto" w:sz="4" w:space="0"/>
            </w:tcBorders>
            <w:tcW w:w="601" w:type="dxa"/>
            <w:vAlign w:val="center"/>
            <w:textDirection w:val="lrTb"/>
            <w:noWrap w:val="false"/>
          </w:tcPr>
          <w:p>
            <w:pPr>
              <w:jc w:val="center"/>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单位</w:t>
            </w:r>
            <w:r/>
          </w:p>
        </w:tc>
        <w:tc>
          <w:tcPr>
            <w:tcBorders>
              <w:top w:val="single" w:color="auto"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数量</w:t>
            </w:r>
            <w:r/>
          </w:p>
        </w:tc>
      </w:tr>
      <w:tr>
        <w:trPr>
          <w:trHeight w:val="290"/>
        </w:trPr>
        <w:tc>
          <w:tcPr>
            <w:gridSpan w:val="2"/>
            <w:tcBorders>
              <w:top w:val="none" w:color="000000" w:sz="4" w:space="0"/>
              <w:left w:val="single" w:color="auto" w:sz="4" w:space="0"/>
              <w:bottom w:val="single" w:color="auto" w:sz="4" w:space="0"/>
              <w:right w:val="single" w:color="auto" w:sz="4" w:space="0"/>
            </w:tcBorders>
            <w:tcW w:w="1687" w:type="dxa"/>
            <w:vAlign w:val="center"/>
            <w:textDirection w:val="lrTb"/>
            <w:noWrap w:val="false"/>
          </w:tcPr>
          <w:p>
            <w:pPr>
              <w:jc w:val="lef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一、显示系统</w:t>
            </w:r>
            <w:r/>
          </w:p>
        </w:tc>
        <w:tc>
          <w:tcPr>
            <w:tcBorders>
              <w:top w:val="none" w:color="000000" w:sz="4" w:space="0"/>
              <w:left w:val="none" w:color="000000" w:sz="4" w:space="0"/>
              <w:bottom w:val="single" w:color="auto" w:sz="4" w:space="0"/>
              <w:right w:val="single" w:color="auto" w:sz="4" w:space="0"/>
            </w:tcBorders>
            <w:tcW w:w="6220" w:type="dxa"/>
            <w:vAlign w:val="center"/>
            <w:textDirection w:val="lrTb"/>
            <w:noWrap w:val="false"/>
          </w:tcPr>
          <w:p>
            <w:pPr>
              <w:jc w:val="lef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601" w:type="dxa"/>
            <w:vAlign w:val="center"/>
            <w:textDirection w:val="lrTb"/>
            <w:noWrap w:val="false"/>
          </w:tcPr>
          <w:p>
            <w:pPr>
              <w:jc w:val="lef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lef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　</w:t>
            </w:r>
            <w:r/>
          </w:p>
        </w:tc>
      </w:tr>
      <w:tr>
        <w:trPr>
          <w:trHeight w:val="520"/>
        </w:trPr>
        <w:tc>
          <w:tcPr>
            <w:tcBorders>
              <w:top w:val="none" w:color="000000" w:sz="4" w:space="0"/>
              <w:left w:val="single" w:color="auto" w:sz="4" w:space="0"/>
              <w:bottom w:val="single" w:color="auto" w:sz="4" w:space="0"/>
              <w:right w:val="single" w:color="auto" w:sz="4" w:space="0"/>
            </w:tcBorders>
            <w:tcW w:w="616"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none" w:color="000000" w:sz="4" w:space="0"/>
              <w:left w:val="none" w:color="000000" w:sz="4" w:space="0"/>
              <w:bottom w:val="single" w:color="auto" w:sz="4" w:space="0"/>
              <w:right w:val="single" w:color="auto" w:sz="4" w:space="0"/>
            </w:tcBorders>
            <w:tcW w:w="1071"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舞台2侧辅助显示器</w:t>
            </w:r>
            <w:r/>
          </w:p>
        </w:tc>
        <w:tc>
          <w:tcPr>
            <w:tcBorders>
              <w:top w:val="none" w:color="000000" w:sz="4" w:space="0"/>
              <w:left w:val="none" w:color="000000" w:sz="4" w:space="0"/>
              <w:bottom w:val="single" w:color="auto" w:sz="4" w:space="0"/>
              <w:right w:val="single" w:color="auto" w:sz="4" w:space="0"/>
            </w:tcBorders>
            <w:tcW w:w="6220" w:type="dxa"/>
            <w:vAlign w:val="center"/>
            <w:textDirection w:val="lrTb"/>
            <w:noWrap w:val="false"/>
          </w:tcPr>
          <w:p>
            <w:pPr>
              <w:jc w:val="left"/>
              <w:widowControl/>
              <w:rPr>
                <w:rFonts w:hint="eastAsia"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t xml:space="preserve">98"液晶LCD显示单元,亮度≥800cd/平方,分辨率≥1920*1080、含HDMI/DVI线缆以及支架</w:t>
            </w:r>
            <w:r/>
          </w:p>
        </w:tc>
        <w:tc>
          <w:tcPr>
            <w:tcBorders>
              <w:top w:val="none" w:color="000000" w:sz="4" w:space="0"/>
              <w:left w:val="none" w:color="000000" w:sz="4" w:space="0"/>
              <w:bottom w:val="single" w:color="auto" w:sz="4" w:space="0"/>
              <w:right w:val="single" w:color="auto" w:sz="4" w:space="0"/>
            </w:tcBorders>
            <w:tcW w:w="601"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r>
      <w:tr>
        <w:trPr>
          <w:trHeight w:val="3120"/>
        </w:trPr>
        <w:tc>
          <w:tcPr>
            <w:tcBorders>
              <w:top w:val="none" w:color="000000" w:sz="4" w:space="0"/>
              <w:left w:val="single" w:color="auto" w:sz="4" w:space="0"/>
              <w:bottom w:val="single" w:color="auto" w:sz="4" w:space="0"/>
              <w:right w:val="single" w:color="auto" w:sz="4" w:space="0"/>
            </w:tcBorders>
            <w:tcW w:w="616"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Borders>
              <w:top w:val="none" w:color="000000" w:sz="4" w:space="0"/>
              <w:left w:val="none" w:color="000000" w:sz="4" w:space="0"/>
              <w:bottom w:val="single" w:color="auto" w:sz="4" w:space="0"/>
              <w:right w:val="single" w:color="auto" w:sz="4" w:space="0"/>
            </w:tcBorders>
            <w:tcW w:w="1071"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舞台返看显示器</w:t>
            </w:r>
            <w:r/>
          </w:p>
        </w:tc>
        <w:tc>
          <w:tcPr>
            <w:tcBorders>
              <w:top w:val="none" w:color="000000" w:sz="4" w:space="0"/>
              <w:left w:val="none" w:color="000000" w:sz="4" w:space="0"/>
              <w:bottom w:val="single" w:color="auto" w:sz="4" w:space="0"/>
              <w:right w:val="single" w:color="auto" w:sz="4" w:space="0"/>
            </w:tcBorders>
            <w:tcW w:w="6220" w:type="dxa"/>
            <w:vAlign w:val="center"/>
            <w:textDirection w:val="lrTb"/>
            <w:noWrap w:val="false"/>
          </w:tcPr>
          <w:p>
            <w:pPr>
              <w:jc w:val="left"/>
              <w:widowControl/>
              <w:rPr>
                <w:rFonts w:hint="eastAsia"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t xml:space="preserve">1、色域值：100%</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2、对比度：静态：≥2500：1 动态：≥50000：1</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3、屏幕分辨率：超高清4K</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4、亮度：≥500尼特</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5、屏幕尺寸：≥65英寸</w:t>
            </w:r>
            <w:r>
              <w:rPr>
                <w:rFonts w:hint="eastAsia" w:ascii="宋体" w:hAnsi="宋体" w:eastAsia="宋体" w:cs="宋体"/>
                <w:sz w:val="24"/>
                <w:szCs w:val="24"/>
                <w:highlight w:val="none"/>
              </w:rPr>
              <w:br/>
            </w:r>
            <w:r>
              <w:rPr>
                <w:rFonts w:hint="eastAsia" w:ascii="宋体" w:hAnsi="宋体" w:eastAsia="宋体" w:cs="宋体"/>
                <w:i/>
                <w:iCs/>
                <w:sz w:val="24"/>
                <w:szCs w:val="24"/>
                <w:highlight w:val="none"/>
                <w:u w:val="single"/>
              </w:rPr>
              <w:t xml:space="preserve">6、VRR可变刷新率：支持VRR可变刷新率</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7、支持格式（高清）：≥2160p</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8、响应时间：≤8ms</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9、HDR显示：支持HDR</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10、屏幕比例：16:9</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11、色域标准：BT.709</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12、工作电压：220V</w:t>
            </w:r>
            <w:r/>
          </w:p>
        </w:tc>
        <w:tc>
          <w:tcPr>
            <w:tcBorders>
              <w:top w:val="none" w:color="000000" w:sz="4" w:space="0"/>
              <w:left w:val="none" w:color="000000" w:sz="4" w:space="0"/>
              <w:bottom w:val="single" w:color="auto" w:sz="4" w:space="0"/>
              <w:right w:val="single" w:color="auto" w:sz="4" w:space="0"/>
            </w:tcBorders>
            <w:tcW w:w="601"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r>
      <w:tr>
        <w:trPr>
          <w:trHeight w:val="780"/>
        </w:trPr>
        <w:tc>
          <w:tcPr>
            <w:tcBorders>
              <w:top w:val="none" w:color="000000" w:sz="4" w:space="0"/>
              <w:left w:val="single" w:color="auto" w:sz="4" w:space="0"/>
              <w:bottom w:val="single" w:color="auto" w:sz="4" w:space="0"/>
              <w:right w:val="single" w:color="auto" w:sz="4" w:space="0"/>
            </w:tcBorders>
            <w:tcW w:w="616"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Borders>
              <w:top w:val="none" w:color="000000" w:sz="4" w:space="0"/>
              <w:left w:val="none" w:color="000000" w:sz="4" w:space="0"/>
              <w:bottom w:val="single" w:color="auto" w:sz="4" w:space="0"/>
              <w:right w:val="single" w:color="auto" w:sz="4" w:space="0"/>
            </w:tcBorders>
            <w:tcW w:w="1071"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舞台会标显示屏</w:t>
            </w:r>
            <w:r/>
          </w:p>
        </w:tc>
        <w:tc>
          <w:tcPr>
            <w:tcBorders>
              <w:top w:val="none" w:color="000000" w:sz="4" w:space="0"/>
              <w:left w:val="none" w:color="000000" w:sz="4" w:space="0"/>
              <w:bottom w:val="single" w:color="auto" w:sz="4" w:space="0"/>
              <w:right w:val="single" w:color="auto" w:sz="4" w:space="0"/>
            </w:tcBorders>
            <w:tcW w:w="6220" w:type="dxa"/>
            <w:vAlign w:val="center"/>
            <w:textDirection w:val="lrTb"/>
            <w:noWrap w:val="false"/>
          </w:tcPr>
          <w:p>
            <w:pPr>
              <w:jc w:val="left"/>
              <w:widowControl/>
              <w:rPr>
                <w:rFonts w:hint="eastAsia"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t xml:space="preserve">1、像素点间距≤4mm，</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2、单元板分辨率≥3200 Dots,刷新率：≥3840Hz；</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3、含钢结构包边，含电源线及信号线缆</w:t>
            </w:r>
            <w:r/>
          </w:p>
        </w:tc>
        <w:tc>
          <w:tcPr>
            <w:tcBorders>
              <w:top w:val="none" w:color="000000" w:sz="4" w:space="0"/>
              <w:left w:val="none" w:color="000000" w:sz="4" w:space="0"/>
              <w:bottom w:val="single" w:color="auto" w:sz="4" w:space="0"/>
              <w:right w:val="single" w:color="auto" w:sz="4" w:space="0"/>
            </w:tcBorders>
            <w:tcW w:w="601"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p>
        </w:tc>
        <w:tc>
          <w:tcPr>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r/>
          </w:p>
        </w:tc>
      </w:tr>
      <w:tr>
        <w:trPr>
          <w:trHeight w:val="290"/>
        </w:trPr>
        <w:tc>
          <w:tcPr>
            <w:gridSpan w:val="2"/>
            <w:tcBorders>
              <w:top w:val="none" w:color="000000" w:sz="4" w:space="0"/>
              <w:left w:val="single" w:color="auto" w:sz="4" w:space="0"/>
              <w:bottom w:val="single" w:color="auto" w:sz="4" w:space="0"/>
              <w:right w:val="single" w:color="auto" w:sz="4" w:space="0"/>
            </w:tcBorders>
            <w:tcW w:w="1687" w:type="dxa"/>
            <w:vAlign w:val="center"/>
            <w:textDirection w:val="lrTb"/>
            <w:noWrap w:val="false"/>
          </w:tcPr>
          <w:p>
            <w:pPr>
              <w:jc w:val="lef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二、发言系统</w:t>
            </w:r>
            <w:r/>
          </w:p>
        </w:tc>
        <w:tc>
          <w:tcPr>
            <w:tcBorders>
              <w:top w:val="none" w:color="000000" w:sz="4" w:space="0"/>
              <w:left w:val="none" w:color="000000" w:sz="4" w:space="0"/>
              <w:bottom w:val="single" w:color="auto" w:sz="4" w:space="0"/>
              <w:right w:val="single" w:color="auto" w:sz="4" w:space="0"/>
            </w:tcBorders>
            <w:tcW w:w="6220" w:type="dxa"/>
            <w:vAlign w:val="center"/>
            <w:textDirection w:val="lrTb"/>
            <w:noWrap w:val="false"/>
          </w:tcPr>
          <w:p>
            <w:pPr>
              <w:jc w:val="lef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601" w:type="dxa"/>
            <w:vAlign w:val="center"/>
            <w:textDirection w:val="lrTb"/>
            <w:noWrap w:val="false"/>
          </w:tcPr>
          <w:p>
            <w:pPr>
              <w:jc w:val="lef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lef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　</w:t>
            </w:r>
            <w:r/>
          </w:p>
        </w:tc>
      </w:tr>
      <w:tr>
        <w:trPr>
          <w:trHeight w:val="90"/>
        </w:trPr>
        <w:tc>
          <w:tcPr>
            <w:tcBorders>
              <w:top w:val="none" w:color="000000" w:sz="4" w:space="0"/>
              <w:left w:val="single" w:color="auto" w:sz="4" w:space="0"/>
              <w:bottom w:val="single" w:color="auto" w:sz="4" w:space="0"/>
              <w:right w:val="single" w:color="auto" w:sz="4" w:space="0"/>
            </w:tcBorders>
            <w:tcW w:w="616" w:type="dxa"/>
            <w:vAlign w:val="center"/>
            <w:textDirection w:val="lrTb"/>
            <w:noWrap w:val="false"/>
          </w:tcPr>
          <w:p>
            <w:pPr>
              <w:ind w:firstLine="24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none" w:color="000000" w:sz="4" w:space="0"/>
              <w:left w:val="none" w:color="000000" w:sz="4" w:space="0"/>
              <w:bottom w:val="single" w:color="auto" w:sz="4" w:space="0"/>
              <w:right w:val="single" w:color="auto" w:sz="4" w:space="0"/>
            </w:tcBorders>
            <w:tcW w:w="1071"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无线方管会议话筒</w:t>
            </w:r>
            <w:r/>
          </w:p>
        </w:tc>
        <w:tc>
          <w:tcPr>
            <w:tcBorders>
              <w:top w:val="none" w:color="000000" w:sz="4" w:space="0"/>
              <w:left w:val="none" w:color="000000" w:sz="4" w:space="0"/>
              <w:bottom w:val="single" w:color="auto" w:sz="4" w:space="0"/>
              <w:right w:val="single" w:color="auto" w:sz="4" w:space="0"/>
            </w:tcBorders>
            <w:tcW w:w="6220"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i/>
                <w:iCs/>
                <w:sz w:val="24"/>
                <w:szCs w:val="24"/>
                <w:highlight w:val="none"/>
                <w:u w:val="single"/>
              </w:rPr>
              <w:t xml:space="preserve">1.音头：≥14MM镀金电容音头</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2.总谐波失真：&lt;0.05%</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3.灵敏度：≥-46dBV/ Pa </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4.频率响应：≥20-20,000Hz</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5.频率范围：≥640-690MHz</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6.待机：&lt;50mA@3.7V</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7.调制方式：宽带 FM </w:t>
            </w:r>
            <w:r>
              <w:rPr>
                <w:rFonts w:hint="eastAsia" w:ascii="宋体" w:hAnsi="宋体" w:eastAsia="宋体" w:cs="宋体"/>
                <w:sz w:val="24"/>
                <w:szCs w:val="24"/>
                <w:highlight w:val="none"/>
              </w:rPr>
              <w:br/>
            </w:r>
            <w:r>
              <w:rPr>
                <w:rFonts w:hint="eastAsia" w:ascii="宋体" w:hAnsi="宋体" w:eastAsia="宋体" w:cs="宋体"/>
                <w:i/>
                <w:iCs/>
                <w:sz w:val="24"/>
                <w:szCs w:val="24"/>
                <w:highlight w:val="none"/>
                <w:u w:val="single"/>
              </w:rPr>
              <w:t xml:space="preserve">8.发射功率：≥10dBm</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9.频道数：≥200频道</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10.话筒方杆长度：≥220mm</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11.信号覆盖范围：≥80m</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12.信噪比：≥80dB</w:t>
            </w:r>
            <w:r/>
          </w:p>
        </w:tc>
        <w:tc>
          <w:tcPr>
            <w:tcBorders>
              <w:top w:val="none" w:color="000000" w:sz="4" w:space="0"/>
              <w:left w:val="none" w:color="000000" w:sz="4" w:space="0"/>
              <w:bottom w:val="single" w:color="auto" w:sz="4" w:space="0"/>
              <w:right w:val="single" w:color="auto" w:sz="4" w:space="0"/>
            </w:tcBorders>
            <w:tcW w:w="601"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套</w:t>
            </w:r>
            <w:r/>
          </w:p>
        </w:tc>
        <w:tc>
          <w:tcPr>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trHeight w:val="90"/>
        </w:trPr>
        <w:tc>
          <w:tcPr>
            <w:tcBorders>
              <w:top w:val="none" w:color="000000" w:sz="4" w:space="0"/>
              <w:left w:val="single" w:color="auto" w:sz="4" w:space="0"/>
              <w:bottom w:val="single" w:color="auto" w:sz="4" w:space="0"/>
              <w:right w:val="single" w:color="auto" w:sz="4" w:space="0"/>
            </w:tcBorders>
            <w:tcW w:w="616" w:type="dxa"/>
            <w:vAlign w:val="center"/>
            <w:textDirection w:val="lrTb"/>
            <w:noWrap w:val="false"/>
          </w:tcPr>
          <w:p>
            <w:pPr>
              <w:ind w:firstLine="24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Borders>
              <w:top w:val="none" w:color="000000" w:sz="4" w:space="0"/>
              <w:left w:val="none" w:color="000000" w:sz="4" w:space="0"/>
              <w:bottom w:val="single" w:color="auto" w:sz="4" w:space="0"/>
              <w:right w:val="single" w:color="auto" w:sz="4" w:space="0"/>
            </w:tcBorders>
            <w:tcW w:w="1071"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无线头戴/领夹（一拖二）</w:t>
            </w:r>
            <w:r/>
          </w:p>
        </w:tc>
        <w:tc>
          <w:tcPr>
            <w:tcBorders>
              <w:top w:val="none" w:color="000000" w:sz="4" w:space="0"/>
              <w:left w:val="none" w:color="000000" w:sz="4" w:space="0"/>
              <w:bottom w:val="single" w:color="auto" w:sz="4" w:space="0"/>
              <w:right w:val="single" w:color="auto" w:sz="4" w:space="0"/>
            </w:tcBorders>
            <w:tcW w:w="6220"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发射规格：</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1、管身材质：全铝金属管体。</w:t>
            </w:r>
            <w:r>
              <w:rPr>
                <w:rFonts w:hint="eastAsia" w:ascii="宋体" w:hAnsi="宋体" w:eastAsia="宋体" w:cs="宋体"/>
                <w:sz w:val="24"/>
                <w:szCs w:val="24"/>
                <w:highlight w:val="none"/>
              </w:rPr>
              <w:br/>
            </w:r>
            <w:r>
              <w:rPr>
                <w:rFonts w:hint="eastAsia" w:ascii="宋体" w:hAnsi="宋体" w:eastAsia="宋体" w:cs="宋体"/>
                <w:i/>
                <w:iCs/>
                <w:sz w:val="24"/>
                <w:szCs w:val="24"/>
                <w:highlight w:val="none"/>
                <w:u w:val="single"/>
              </w:rPr>
              <w:t xml:space="preserve">2、振荡模式：PLL相位锁定频率合成</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3、载波频段：UHF640~690MHz</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4、频带宽度：50MHz</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5、频率调整：自动追锁接收机工作频道/手动调节</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接收机规格：</w:t>
            </w:r>
            <w:r>
              <w:rPr>
                <w:rFonts w:hint="eastAsia" w:ascii="宋体" w:hAnsi="宋体" w:eastAsia="宋体" w:cs="宋体"/>
                <w:sz w:val="24"/>
                <w:szCs w:val="24"/>
                <w:highlight w:val="none"/>
              </w:rPr>
              <w:br/>
            </w:r>
            <w:r>
              <w:rPr>
                <w:rFonts w:hint="eastAsia" w:ascii="宋体" w:hAnsi="宋体" w:eastAsia="宋体" w:cs="宋体"/>
                <w:i/>
                <w:iCs/>
                <w:sz w:val="24"/>
                <w:szCs w:val="24"/>
                <w:highlight w:val="none"/>
                <w:u w:val="single"/>
              </w:rPr>
              <w:t xml:space="preserve">1、振荡模式：PLL相位锁定频率合成</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2、射频稳定度：±0.005%（-10~50℃）</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3、载波频率：UHF740~790MHz</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4、频率宽度：50MHz</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5、信道：200CH（以250KHz步进）</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6、操作方式：手动调整</w:t>
            </w:r>
            <w:r/>
          </w:p>
        </w:tc>
        <w:tc>
          <w:tcPr>
            <w:tcBorders>
              <w:top w:val="none" w:color="000000" w:sz="4" w:space="0"/>
              <w:left w:val="none" w:color="000000" w:sz="4" w:space="0"/>
              <w:bottom w:val="single" w:color="auto" w:sz="4" w:space="0"/>
              <w:right w:val="single" w:color="auto" w:sz="4" w:space="0"/>
            </w:tcBorders>
            <w:tcW w:w="601"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套</w:t>
            </w:r>
            <w:r/>
          </w:p>
        </w:tc>
        <w:tc>
          <w:tcPr>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r>
      <w:tr>
        <w:trPr>
          <w:trHeight w:val="2808"/>
        </w:trPr>
        <w:tc>
          <w:tcPr>
            <w:tcBorders>
              <w:top w:val="none" w:color="000000" w:sz="4" w:space="0"/>
              <w:left w:val="single" w:color="auto" w:sz="4" w:space="0"/>
              <w:bottom w:val="single" w:color="auto" w:sz="4" w:space="0"/>
              <w:right w:val="single" w:color="auto" w:sz="4" w:space="0"/>
            </w:tcBorders>
            <w:tcW w:w="616" w:type="dxa"/>
            <w:vAlign w:val="center"/>
            <w:textDirection w:val="lrTb"/>
            <w:noWrap w:val="false"/>
          </w:tcPr>
          <w:p>
            <w:pPr>
              <w:ind w:firstLine="24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Borders>
              <w:top w:val="none" w:color="000000" w:sz="4" w:space="0"/>
              <w:left w:val="none" w:color="000000" w:sz="4" w:space="0"/>
              <w:bottom w:val="single" w:color="auto" w:sz="4" w:space="0"/>
              <w:right w:val="single" w:color="auto" w:sz="4" w:space="0"/>
            </w:tcBorders>
            <w:tcW w:w="1071"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无线手持话筒（一拖二）</w:t>
            </w:r>
            <w:r/>
          </w:p>
        </w:tc>
        <w:tc>
          <w:tcPr>
            <w:tcBorders>
              <w:top w:val="none" w:color="000000" w:sz="4" w:space="0"/>
              <w:left w:val="none" w:color="000000" w:sz="4" w:space="0"/>
              <w:bottom w:val="single" w:color="auto" w:sz="4" w:space="0"/>
              <w:right w:val="single" w:color="auto" w:sz="4" w:space="0"/>
            </w:tcBorders>
            <w:tcW w:w="6220"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发射规格：</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1、管身材质：全铝金属管体。</w:t>
            </w:r>
            <w:r>
              <w:rPr>
                <w:rFonts w:hint="eastAsia" w:ascii="宋体" w:hAnsi="宋体" w:eastAsia="宋体" w:cs="宋体"/>
                <w:sz w:val="24"/>
                <w:szCs w:val="24"/>
                <w:highlight w:val="none"/>
              </w:rPr>
              <w:br/>
            </w:r>
            <w:r>
              <w:rPr>
                <w:rFonts w:hint="eastAsia" w:ascii="宋体" w:hAnsi="宋体" w:eastAsia="宋体" w:cs="宋体"/>
                <w:i/>
                <w:iCs/>
                <w:sz w:val="24"/>
                <w:szCs w:val="24"/>
                <w:highlight w:val="none"/>
                <w:u w:val="single"/>
              </w:rPr>
              <w:t xml:space="preserve">2、振荡模式：PLL相位锁定频率合成</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3、载波频段：UHF640~690MHz</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4、频带宽度：50MHz</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5、频率调整：自动追锁接收机工作频道/手动调节</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接收机规格：</w:t>
            </w:r>
            <w:r>
              <w:rPr>
                <w:rFonts w:hint="eastAsia" w:ascii="宋体" w:hAnsi="宋体" w:eastAsia="宋体" w:cs="宋体"/>
                <w:sz w:val="24"/>
                <w:szCs w:val="24"/>
                <w:highlight w:val="none"/>
              </w:rPr>
              <w:br/>
            </w:r>
            <w:r>
              <w:rPr>
                <w:rFonts w:hint="eastAsia" w:ascii="宋体" w:hAnsi="宋体" w:eastAsia="宋体" w:cs="宋体"/>
                <w:i/>
                <w:iCs/>
                <w:sz w:val="24"/>
                <w:szCs w:val="24"/>
                <w:highlight w:val="none"/>
                <w:u w:val="single"/>
              </w:rPr>
              <w:t xml:space="preserve">1、振荡模式：PLL相位锁定频率合成</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2、射频稳定度：±0.005%（-10~50℃）</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3、载波频率：UHF740~790MHz</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4、频率宽度：50MHz</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5、信道：200CH（以250KHz步进）</w:t>
            </w:r>
            <w:r>
              <w:rPr>
                <w:rFonts w:hint="eastAsia" w:ascii="宋体" w:hAnsi="宋体" w:eastAsia="宋体" w:cs="宋体"/>
                <w:i/>
                <w:iCs/>
                <w:sz w:val="24"/>
                <w:szCs w:val="24"/>
                <w:highlight w:val="none"/>
                <w:u w:val="single"/>
              </w:rPr>
              <w:br/>
            </w:r>
            <w:r>
              <w:rPr>
                <w:rFonts w:hint="eastAsia" w:ascii="宋体" w:hAnsi="宋体" w:eastAsia="宋体" w:cs="宋体"/>
                <w:sz w:val="24"/>
                <w:szCs w:val="24"/>
                <w:highlight w:val="none"/>
              </w:rPr>
              <w:t xml:space="preserve">6、操作方式：手动调整</w:t>
            </w:r>
            <w:r/>
          </w:p>
        </w:tc>
        <w:tc>
          <w:tcPr>
            <w:tcBorders>
              <w:top w:val="none" w:color="000000" w:sz="4" w:space="0"/>
              <w:left w:val="none" w:color="000000" w:sz="4" w:space="0"/>
              <w:bottom w:val="single" w:color="auto" w:sz="4" w:space="0"/>
              <w:right w:val="single" w:color="auto" w:sz="4" w:space="0"/>
            </w:tcBorders>
            <w:tcW w:w="601"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套</w:t>
            </w:r>
            <w:r/>
          </w:p>
        </w:tc>
        <w:tc>
          <w:tcPr>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r>
      <w:tr>
        <w:trPr>
          <w:trHeight w:val="90"/>
        </w:trPr>
        <w:tc>
          <w:tcPr>
            <w:gridSpan w:val="2"/>
            <w:tcBorders>
              <w:top w:val="none" w:color="000000" w:sz="4" w:space="0"/>
              <w:left w:val="single" w:color="auto" w:sz="4" w:space="0"/>
              <w:bottom w:val="single" w:color="auto" w:sz="4" w:space="0"/>
              <w:right w:val="single" w:color="auto" w:sz="4" w:space="0"/>
            </w:tcBorders>
            <w:tcW w:w="1687" w:type="dxa"/>
            <w:vAlign w:val="center"/>
            <w:textDirection w:val="lrTb"/>
            <w:noWrap w:val="false"/>
          </w:tcPr>
          <w:p>
            <w:pPr>
              <w:jc w:val="lef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三、视频会议系统</w:t>
            </w:r>
            <w:r/>
          </w:p>
        </w:tc>
        <w:tc>
          <w:tcPr>
            <w:tcBorders>
              <w:top w:val="none" w:color="000000" w:sz="4" w:space="0"/>
              <w:left w:val="none" w:color="000000" w:sz="4" w:space="0"/>
              <w:bottom w:val="single" w:color="auto" w:sz="4" w:space="0"/>
              <w:right w:val="single" w:color="auto" w:sz="4" w:space="0"/>
            </w:tcBorders>
            <w:tcW w:w="6220" w:type="dxa"/>
            <w:vAlign w:val="center"/>
            <w:textDirection w:val="lrTb"/>
            <w:noWrap w:val="false"/>
          </w:tcPr>
          <w:p>
            <w:pPr>
              <w:jc w:val="lef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601" w:type="dxa"/>
            <w:vAlign w:val="center"/>
            <w:textDirection w:val="lrTb"/>
            <w:noWrap w:val="false"/>
          </w:tcPr>
          <w:p>
            <w:pPr>
              <w:jc w:val="lef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lef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　</w:t>
            </w:r>
            <w:r/>
          </w:p>
        </w:tc>
      </w:tr>
      <w:tr>
        <w:trPr>
          <w:trHeight w:val="3412"/>
        </w:trPr>
        <w:tc>
          <w:tcPr>
            <w:tcBorders>
              <w:top w:val="none" w:color="000000" w:sz="4" w:space="0"/>
              <w:left w:val="single" w:color="auto" w:sz="4" w:space="0"/>
              <w:bottom w:val="single" w:color="auto" w:sz="4" w:space="0"/>
              <w:right w:val="single" w:color="auto" w:sz="4" w:space="0"/>
            </w:tcBorders>
            <w:tcW w:w="616"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none" w:color="000000" w:sz="4" w:space="0"/>
              <w:left w:val="none" w:color="000000" w:sz="4" w:space="0"/>
              <w:bottom w:val="single" w:color="auto" w:sz="4" w:space="0"/>
              <w:right w:val="single" w:color="auto" w:sz="4" w:space="0"/>
            </w:tcBorders>
            <w:tcW w:w="1071"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4K摄像机</w:t>
            </w:r>
            <w:r/>
          </w:p>
        </w:tc>
        <w:tc>
          <w:tcPr>
            <w:tcBorders>
              <w:top w:val="none" w:color="000000" w:sz="4" w:space="0"/>
              <w:left w:val="none" w:color="000000" w:sz="4" w:space="0"/>
              <w:bottom w:val="single" w:color="auto" w:sz="4" w:space="0"/>
              <w:right w:val="single" w:color="auto" w:sz="4" w:space="0"/>
            </w:tcBorders>
            <w:tcW w:w="6220"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1、采用不小于1/1./8" 图像传感器，支持4K30、1080p60、1080p30、1080p25、720p60、720p50等高清信号输出。</w:t>
            </w:r>
            <w:r>
              <w:rPr>
                <w:rFonts w:hint="eastAsia" w:ascii="宋体" w:hAnsi="宋体" w:eastAsia="宋体" w:cs="宋体"/>
                <w:sz w:val="24"/>
                <w:szCs w:val="24"/>
                <w:highlight w:val="none"/>
              </w:rPr>
              <w:br/>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2、支持不小于30倍光学变焦，视频输出接口具备HDMI、HDBaseT接口。（</w:t>
            </w:r>
            <w:r>
              <w:rPr>
                <w:rFonts w:hint="eastAsia" w:ascii="宋体" w:hAnsi="宋体" w:cs="宋体"/>
                <w:sz w:val="24"/>
                <w:szCs w:val="24"/>
                <w:highlight w:val="none"/>
                <w:lang w:val="en-US" w:eastAsia="zh-CN"/>
              </w:rPr>
              <w:t xml:space="preserve">提供</w:t>
            </w:r>
            <w:r>
              <w:rPr>
                <w:rFonts w:hint="eastAsia" w:ascii="宋体" w:hAnsi="宋体" w:eastAsia="宋体" w:cs="宋体"/>
                <w:sz w:val="24"/>
                <w:szCs w:val="24"/>
                <w:highlight w:val="none"/>
              </w:rPr>
              <w:t xml:space="preserve">公安部授权机构</w:t>
            </w:r>
            <w:r>
              <w:rPr>
                <w:rFonts w:hint="eastAsia" w:ascii="宋体" w:hAnsi="宋体" w:cs="宋体"/>
                <w:sz w:val="24"/>
                <w:szCs w:val="24"/>
                <w:highlight w:val="none"/>
                <w:lang w:val="en-US" w:eastAsia="zh-CN"/>
              </w:rPr>
              <w:t xml:space="preserve">或第三方机构</w:t>
            </w:r>
            <w:r>
              <w:rPr>
                <w:rFonts w:hint="eastAsia" w:ascii="宋体" w:hAnsi="宋体" w:eastAsia="宋体" w:cs="宋体"/>
                <w:sz w:val="24"/>
                <w:szCs w:val="24"/>
                <w:highlight w:val="none"/>
              </w:rPr>
              <w:t xml:space="preserve">出具的检测报告扫描上传）</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3、支持供电、显示、控制多线合一，只连接一根超五类网线实现供电、图像显示、摄像机控制，支持4K信号传输100米</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4、支持中英文OSD菜单，可在OSD中对摄像机进行设置。支持保存不少于255个预置位。</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5、支持RS422控制接口，支持标准VISCA协议，支持摄像机通过控制口RS422实现菊花链控制，菊花链控制摄像机不小于7个。</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6、支持水平转动范围：≥ ±160°，垂直转动范围：≥ -90°～50°</w:t>
            </w:r>
            <w:r>
              <w:rPr>
                <w:rFonts w:hint="eastAsia" w:ascii="宋体" w:hAnsi="宋体" w:eastAsia="宋体" w:cs="宋体"/>
                <w:sz w:val="24"/>
                <w:szCs w:val="24"/>
                <w:highlight w:val="none"/>
              </w:rPr>
              <w:br/>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7、支持ZigBee控制，支持360°控制。（</w:t>
            </w:r>
            <w:r>
              <w:rPr>
                <w:rFonts w:hint="eastAsia" w:ascii="宋体" w:hAnsi="宋体" w:cs="宋体"/>
                <w:sz w:val="24"/>
                <w:szCs w:val="24"/>
                <w:highlight w:val="none"/>
                <w:lang w:val="en-US" w:eastAsia="zh-CN"/>
              </w:rPr>
              <w:t xml:space="preserve">提供</w:t>
            </w:r>
            <w:r>
              <w:rPr>
                <w:rFonts w:hint="eastAsia" w:ascii="宋体" w:hAnsi="宋体" w:eastAsia="宋体" w:cs="宋体"/>
                <w:sz w:val="24"/>
                <w:szCs w:val="24"/>
                <w:highlight w:val="none"/>
              </w:rPr>
              <w:t xml:space="preserve">公安部授权机构</w:t>
            </w:r>
            <w:r>
              <w:rPr>
                <w:rFonts w:hint="eastAsia" w:ascii="宋体" w:hAnsi="宋体" w:cs="宋体"/>
                <w:sz w:val="24"/>
                <w:szCs w:val="24"/>
                <w:highlight w:val="none"/>
                <w:lang w:val="en-US" w:eastAsia="zh-CN"/>
              </w:rPr>
              <w:t xml:space="preserve">或第三方机构</w:t>
            </w:r>
            <w:r>
              <w:rPr>
                <w:rFonts w:hint="eastAsia" w:ascii="宋体" w:hAnsi="宋体" w:eastAsia="宋体" w:cs="宋体"/>
                <w:sz w:val="24"/>
                <w:szCs w:val="24"/>
                <w:highlight w:val="none"/>
              </w:rPr>
              <w:t xml:space="preserve">出具的检测报告扫描上传）</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8、支持终端遥控器通过摄像机反向控制会议终端。</w:t>
            </w:r>
            <w:r/>
          </w:p>
        </w:tc>
        <w:tc>
          <w:tcPr>
            <w:tcBorders>
              <w:top w:val="none" w:color="000000" w:sz="4" w:space="0"/>
              <w:left w:val="none" w:color="000000" w:sz="4" w:space="0"/>
              <w:bottom w:val="single" w:color="auto" w:sz="4" w:space="0"/>
              <w:right w:val="single" w:color="auto" w:sz="4" w:space="0"/>
            </w:tcBorders>
            <w:tcW w:w="601"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r>
      <w:tr>
        <w:trPr>
          <w:trHeight w:val="5544"/>
        </w:trPr>
        <w:tc>
          <w:tcPr>
            <w:tcBorders>
              <w:top w:val="none" w:color="000000" w:sz="4" w:space="0"/>
              <w:left w:val="single" w:color="auto" w:sz="4" w:space="0"/>
              <w:bottom w:val="single" w:color="auto" w:sz="4" w:space="0"/>
              <w:right w:val="single" w:color="auto" w:sz="4" w:space="0"/>
            </w:tcBorders>
            <w:tcW w:w="616"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Borders>
              <w:top w:val="none" w:color="000000" w:sz="4" w:space="0"/>
              <w:left w:val="none" w:color="000000" w:sz="4" w:space="0"/>
              <w:bottom w:val="single" w:color="auto" w:sz="4" w:space="0"/>
              <w:right w:val="single" w:color="auto" w:sz="4" w:space="0"/>
            </w:tcBorders>
            <w:tcW w:w="1071"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远程视频终端</w:t>
            </w:r>
            <w:r/>
          </w:p>
        </w:tc>
        <w:tc>
          <w:tcPr>
            <w:tcBorders>
              <w:top w:val="none" w:color="000000" w:sz="4" w:space="0"/>
              <w:left w:val="none" w:color="000000" w:sz="4" w:space="0"/>
              <w:bottom w:val="single" w:color="auto" w:sz="4" w:space="0"/>
              <w:right w:val="single" w:color="auto" w:sz="4" w:space="0"/>
            </w:tcBorders>
            <w:tcW w:w="6220"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1、采用硬件分体式结构，非PC架构、非工控机架构。</w:t>
            </w:r>
            <w:r>
              <w:rPr>
                <w:rFonts w:hint="eastAsia" w:ascii="宋体" w:hAnsi="宋体" w:eastAsia="宋体" w:cs="宋体"/>
                <w:sz w:val="24"/>
                <w:szCs w:val="24"/>
                <w:highlight w:val="none"/>
              </w:rPr>
              <w:br/>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2、终端核心芯片采用国产化元器件，至少包括音视频编解码单元、CPU处理单元、视频输入输出芯片、音频输入输出芯片、可编程逻辑芯片、电源芯片、时钟芯片、专用安全芯片、内存存储芯片、闪存存储芯片等均采用国产化器件。（提供公安部授权机构</w:t>
            </w:r>
            <w:r>
              <w:rPr>
                <w:rFonts w:hint="eastAsia" w:ascii="宋体" w:hAnsi="宋体" w:cs="宋体"/>
                <w:sz w:val="24"/>
                <w:szCs w:val="24"/>
                <w:highlight w:val="none"/>
                <w:lang w:val="en-US" w:eastAsia="zh-CN"/>
              </w:rPr>
              <w:t xml:space="preserve">或第三方机构出具的</w:t>
            </w:r>
            <w:r>
              <w:rPr>
                <w:rFonts w:hint="eastAsia" w:ascii="宋体" w:hAnsi="宋体" w:eastAsia="宋体" w:cs="宋体"/>
                <w:sz w:val="24"/>
                <w:szCs w:val="24"/>
                <w:highlight w:val="none"/>
                <w:lang w:val="en-US" w:eastAsia="zh-CN"/>
              </w:rPr>
              <w:t xml:space="preserve">检测</w:t>
            </w:r>
            <w:r>
              <w:rPr>
                <w:rFonts w:hint="eastAsia" w:ascii="宋体" w:hAnsi="宋体" w:eastAsia="宋体" w:cs="宋体"/>
                <w:sz w:val="24"/>
                <w:szCs w:val="24"/>
                <w:highlight w:val="none"/>
              </w:rPr>
              <w:t xml:space="preserve">报告扫描上传）</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3、支持ITU-T H.320、H.323和IETF SIP、RTC通信标准，会议速率支持128Kbps－8Mbps。</w:t>
            </w:r>
            <w:r>
              <w:rPr>
                <w:rFonts w:hint="eastAsia" w:ascii="宋体" w:hAnsi="宋体" w:eastAsia="宋体" w:cs="宋体"/>
                <w:sz w:val="24"/>
                <w:szCs w:val="24"/>
                <w:highlight w:val="none"/>
              </w:rPr>
              <w:br/>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4、支持4K30、1080p60、1080p30、720p60、720p30高清分辨率，并向下兼容4CIF、CIF标清分辨率。（提供公安部授权机构</w:t>
            </w:r>
            <w:r>
              <w:rPr>
                <w:rFonts w:hint="eastAsia" w:ascii="宋体" w:hAnsi="宋体" w:cs="宋体"/>
                <w:sz w:val="24"/>
                <w:szCs w:val="24"/>
                <w:highlight w:val="none"/>
                <w:lang w:val="en-US" w:eastAsia="zh-CN"/>
              </w:rPr>
              <w:t xml:space="preserve">或第三方机构出具的</w:t>
            </w:r>
            <w:r>
              <w:rPr>
                <w:rFonts w:hint="eastAsia" w:ascii="宋体" w:hAnsi="宋体" w:eastAsia="宋体" w:cs="宋体"/>
                <w:sz w:val="24"/>
                <w:szCs w:val="24"/>
                <w:highlight w:val="none"/>
                <w:lang w:val="en-US" w:eastAsia="zh-CN"/>
              </w:rPr>
              <w:t xml:space="preserve">检测</w:t>
            </w:r>
            <w:r>
              <w:rPr>
                <w:rFonts w:hint="eastAsia" w:ascii="宋体" w:hAnsi="宋体" w:eastAsia="宋体" w:cs="宋体"/>
                <w:sz w:val="24"/>
                <w:szCs w:val="24"/>
                <w:highlight w:val="none"/>
              </w:rPr>
              <w:t xml:space="preserve">报告扫描上传）</w:t>
            </w:r>
            <w:r>
              <w:rPr>
                <w:rFonts w:hint="eastAsia" w:ascii="宋体" w:hAnsi="宋体" w:eastAsia="宋体" w:cs="宋体"/>
                <w:sz w:val="24"/>
                <w:szCs w:val="24"/>
                <w:highlight w:val="none"/>
              </w:rPr>
              <w:br/>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5、支持≥4路高清视频输入接口（至少含1个HDBaseT接口、2个HDMI输入口）、≥2路高清视频输出接口。（提供公安部授权机构</w:t>
            </w:r>
            <w:r>
              <w:rPr>
                <w:rFonts w:hint="eastAsia" w:ascii="宋体" w:hAnsi="宋体" w:cs="宋体"/>
                <w:sz w:val="24"/>
                <w:szCs w:val="24"/>
                <w:highlight w:val="none"/>
                <w:lang w:val="en-US" w:eastAsia="zh-CN"/>
              </w:rPr>
              <w:t xml:space="preserve">或第三方机构出具的</w:t>
            </w:r>
            <w:r>
              <w:rPr>
                <w:rFonts w:hint="eastAsia" w:ascii="宋体" w:hAnsi="宋体" w:eastAsia="宋体" w:cs="宋体"/>
                <w:sz w:val="24"/>
                <w:szCs w:val="24"/>
                <w:highlight w:val="none"/>
                <w:lang w:val="en-US" w:eastAsia="zh-CN"/>
              </w:rPr>
              <w:t xml:space="preserve">检测</w:t>
            </w:r>
            <w:r>
              <w:rPr>
                <w:rFonts w:hint="eastAsia" w:ascii="宋体" w:hAnsi="宋体" w:eastAsia="宋体" w:cs="宋体"/>
                <w:sz w:val="24"/>
                <w:szCs w:val="24"/>
                <w:highlight w:val="none"/>
              </w:rPr>
              <w:t xml:space="preserve">报告扫描上传）</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6、支持标准的HDBaseT视频输入接口，支持视频、供电、控制三线合一，可通过网线作为传输介质，无需外接其他设备传输距离可达100米。</w:t>
            </w:r>
            <w:r>
              <w:rPr>
                <w:rFonts w:hint="eastAsia" w:ascii="宋体" w:hAnsi="宋体" w:eastAsia="宋体" w:cs="宋体"/>
                <w:sz w:val="24"/>
                <w:szCs w:val="24"/>
                <w:highlight w:val="none"/>
              </w:rPr>
              <w:br/>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7、支持内置视频矩阵功能，可在终端控制系统上灵活配置任意视频输入和输出接口之间的对应关系。（提供公安部授权机构</w:t>
            </w:r>
            <w:r>
              <w:rPr>
                <w:rFonts w:hint="eastAsia" w:ascii="宋体" w:hAnsi="宋体" w:cs="宋体"/>
                <w:sz w:val="24"/>
                <w:szCs w:val="24"/>
                <w:highlight w:val="none"/>
                <w:lang w:val="en-US" w:eastAsia="zh-CN"/>
              </w:rPr>
              <w:t xml:space="preserve">或第三方机构出具的</w:t>
            </w:r>
            <w:r>
              <w:rPr>
                <w:rFonts w:hint="eastAsia" w:ascii="宋体" w:hAnsi="宋体" w:eastAsia="宋体" w:cs="宋体"/>
                <w:sz w:val="24"/>
                <w:szCs w:val="24"/>
                <w:highlight w:val="none"/>
                <w:lang w:val="en-US" w:eastAsia="zh-CN"/>
              </w:rPr>
              <w:t xml:space="preserve">检测</w:t>
            </w:r>
            <w:r>
              <w:rPr>
                <w:rFonts w:hint="eastAsia" w:ascii="宋体" w:hAnsi="宋体" w:eastAsia="宋体" w:cs="宋体"/>
                <w:sz w:val="24"/>
                <w:szCs w:val="24"/>
                <w:highlight w:val="none"/>
              </w:rPr>
              <w:t xml:space="preserve">报告扫描上传）</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8、终端控制台支持本地录像，支持直接录制在电脑本机，录制图像格式为MP4，无需转码</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9、支持演讲者追踪，手动指定某区域，智能跟踪指定区域内的发言人，并居中显示</w:t>
            </w:r>
            <w:r>
              <w:rPr>
                <w:rFonts w:hint="eastAsia" w:ascii="宋体" w:hAnsi="宋体" w:eastAsia="宋体" w:cs="宋体"/>
                <w:sz w:val="24"/>
                <w:szCs w:val="24"/>
                <w:highlight w:val="none"/>
              </w:rPr>
              <w:br/>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10、支持智能视频编码（ROI），可对感兴趣的与会方增强编码，其他区域弱化编码，节省带宽的同时提高与会方图像的显示效果。（提供公安部授权机构</w:t>
            </w:r>
            <w:r>
              <w:rPr>
                <w:rFonts w:hint="eastAsia" w:ascii="宋体" w:hAnsi="宋体" w:cs="宋体"/>
                <w:sz w:val="24"/>
                <w:szCs w:val="24"/>
                <w:highlight w:val="none"/>
                <w:lang w:val="en-US" w:eastAsia="zh-CN"/>
              </w:rPr>
              <w:t xml:space="preserve">或第三方机构出具的</w:t>
            </w:r>
            <w:r>
              <w:rPr>
                <w:rFonts w:hint="eastAsia" w:ascii="宋体" w:hAnsi="宋体" w:eastAsia="宋体" w:cs="宋体"/>
                <w:sz w:val="24"/>
                <w:szCs w:val="24"/>
                <w:highlight w:val="none"/>
                <w:lang w:val="en-US" w:eastAsia="zh-CN"/>
              </w:rPr>
              <w:t xml:space="preserve">检测</w:t>
            </w:r>
            <w:r>
              <w:rPr>
                <w:rFonts w:hint="eastAsia" w:ascii="宋体" w:hAnsi="宋体" w:eastAsia="宋体" w:cs="宋体"/>
                <w:sz w:val="24"/>
                <w:szCs w:val="24"/>
                <w:highlight w:val="none"/>
              </w:rPr>
              <w:t xml:space="preserve">报告扫描上传）</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11、支持双流共享叠加人像功能。基于人像检测技术技术，可将与会方与背景分离，实现与会方图像叠加到共享图像上合成显示。</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12、支持OLED屏显示设备运行状态，显示状态：启动、升级、休眠、网络异常、错误码、温度异常、外设连接异常、风扇异常、IP地址以及号码。</w:t>
            </w:r>
            <w:r>
              <w:rPr>
                <w:rFonts w:hint="eastAsia" w:ascii="宋体" w:hAnsi="宋体" w:eastAsia="宋体" w:cs="宋体"/>
                <w:sz w:val="24"/>
                <w:szCs w:val="24"/>
                <w:highlight w:val="none"/>
              </w:rPr>
              <w:br/>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13、终端控制台支持本地录像，支持直接录制在电脑本机，录制图像格式为MP4，无需转码。（提供公安部授权机构</w:t>
            </w:r>
            <w:r>
              <w:rPr>
                <w:rFonts w:hint="eastAsia" w:ascii="宋体" w:hAnsi="宋体" w:cs="宋体"/>
                <w:sz w:val="24"/>
                <w:szCs w:val="24"/>
                <w:highlight w:val="none"/>
                <w:lang w:val="en-US" w:eastAsia="zh-CN"/>
              </w:rPr>
              <w:t xml:space="preserve">或第三方机构出具的</w:t>
            </w:r>
            <w:r>
              <w:rPr>
                <w:rFonts w:hint="eastAsia" w:ascii="宋体" w:hAnsi="宋体" w:eastAsia="宋体" w:cs="宋体"/>
                <w:sz w:val="24"/>
                <w:szCs w:val="24"/>
                <w:highlight w:val="none"/>
                <w:lang w:val="en-US" w:eastAsia="zh-CN"/>
              </w:rPr>
              <w:t xml:space="preserve">检测</w:t>
            </w:r>
            <w:r>
              <w:rPr>
                <w:rFonts w:hint="eastAsia" w:ascii="宋体" w:hAnsi="宋体" w:eastAsia="宋体" w:cs="宋体"/>
                <w:sz w:val="24"/>
                <w:szCs w:val="24"/>
                <w:highlight w:val="none"/>
              </w:rPr>
              <w:t xml:space="preserve">报告扫描上传）</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14、支持多视功能，终端可将3路本地视频输入图像合成1路视频，在本地显示或发送到远端，画面合成风格可设置</w:t>
            </w:r>
            <w:r>
              <w:rPr>
                <w:rFonts w:hint="eastAsia" w:ascii="宋体" w:hAnsi="宋体" w:eastAsia="宋体" w:cs="宋体"/>
                <w:sz w:val="24"/>
                <w:szCs w:val="24"/>
                <w:highlight w:val="none"/>
              </w:rPr>
              <w:br/>
            </w:r>
            <w:r>
              <w:rPr>
                <w:rFonts w:hint="eastAsia" w:ascii="宋体" w:hAnsi="宋体" w:eastAsia="宋体" w:cs="宋体"/>
                <w:i/>
                <w:iCs/>
                <w:sz w:val="24"/>
                <w:szCs w:val="24"/>
                <w:highlight w:val="none"/>
                <w:u w:val="single"/>
              </w:rPr>
              <w:t xml:space="preserve">15、本次所投设备必须能够与扬州市中级人民法院现有高清视频会议系统兼容，实现互联、互通、PTZ控制、双流收发、唇音同步等功能。</w:t>
            </w:r>
            <w:r/>
          </w:p>
        </w:tc>
        <w:tc>
          <w:tcPr>
            <w:tcBorders>
              <w:top w:val="none" w:color="000000" w:sz="4" w:space="0"/>
              <w:left w:val="none" w:color="000000" w:sz="4" w:space="0"/>
              <w:bottom w:val="single" w:color="auto" w:sz="4" w:space="0"/>
              <w:right w:val="single" w:color="auto" w:sz="4" w:space="0"/>
            </w:tcBorders>
            <w:tcW w:w="601"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trHeight w:val="290"/>
        </w:trPr>
        <w:tc>
          <w:tcPr>
            <w:gridSpan w:val="2"/>
            <w:tcBorders>
              <w:top w:val="none" w:color="000000" w:sz="4" w:space="0"/>
              <w:left w:val="single" w:color="auto" w:sz="4" w:space="0"/>
              <w:bottom w:val="single" w:color="auto" w:sz="4" w:space="0"/>
              <w:right w:val="single" w:color="auto" w:sz="4" w:space="0"/>
            </w:tcBorders>
            <w:tcW w:w="1687" w:type="dxa"/>
            <w:vAlign w:val="center"/>
            <w:textDirection w:val="lrTb"/>
            <w:noWrap w:val="false"/>
          </w:tcPr>
          <w:p>
            <w:pPr>
              <w:jc w:val="lef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四、中央控制设备</w:t>
            </w:r>
            <w:r/>
          </w:p>
        </w:tc>
        <w:tc>
          <w:tcPr>
            <w:tcBorders>
              <w:top w:val="none" w:color="000000" w:sz="4" w:space="0"/>
              <w:left w:val="none" w:color="000000" w:sz="4" w:space="0"/>
              <w:bottom w:val="single" w:color="auto" w:sz="4" w:space="0"/>
              <w:right w:val="single" w:color="auto" w:sz="4" w:space="0"/>
            </w:tcBorders>
            <w:tcW w:w="6220" w:type="dxa"/>
            <w:vAlign w:val="center"/>
            <w:textDirection w:val="lrTb"/>
            <w:noWrap w:val="false"/>
          </w:tcPr>
          <w:p>
            <w:pPr>
              <w:jc w:val="lef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601" w:type="dxa"/>
            <w:vAlign w:val="center"/>
            <w:textDirection w:val="lrTb"/>
            <w:noWrap w:val="false"/>
          </w:tcPr>
          <w:p>
            <w:pPr>
              <w:jc w:val="lef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lef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　</w:t>
            </w:r>
            <w:r/>
          </w:p>
        </w:tc>
      </w:tr>
      <w:tr>
        <w:trPr>
          <w:trHeight w:val="5737"/>
        </w:trPr>
        <w:tc>
          <w:tcPr>
            <w:tcBorders>
              <w:top w:val="none" w:color="000000" w:sz="4" w:space="0"/>
              <w:left w:val="single" w:color="auto" w:sz="4" w:space="0"/>
              <w:bottom w:val="single" w:color="auto" w:sz="4" w:space="0"/>
              <w:right w:val="single" w:color="auto" w:sz="4" w:space="0"/>
            </w:tcBorders>
            <w:tcW w:w="616"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none" w:color="000000" w:sz="4" w:space="0"/>
              <w:left w:val="none" w:color="000000" w:sz="4" w:space="0"/>
              <w:bottom w:val="single" w:color="auto" w:sz="4" w:space="0"/>
              <w:right w:val="single" w:color="auto" w:sz="4" w:space="0"/>
            </w:tcBorders>
            <w:tcW w:w="1071"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4K分布式输入接点</w:t>
            </w:r>
            <w:r/>
          </w:p>
        </w:tc>
        <w:tc>
          <w:tcPr>
            <w:tcBorders>
              <w:top w:val="none" w:color="000000" w:sz="4" w:space="0"/>
              <w:left w:val="none" w:color="000000" w:sz="4" w:space="0"/>
              <w:bottom w:val="single" w:color="auto" w:sz="4" w:space="0"/>
              <w:right w:val="single" w:color="auto" w:sz="4" w:space="0"/>
            </w:tcBorders>
            <w:tcW w:w="6220"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i/>
                <w:iCs/>
                <w:sz w:val="24"/>
                <w:szCs w:val="24"/>
                <w:highlight w:val="none"/>
                <w:u w:val="single"/>
              </w:rPr>
              <w:t xml:space="preserve">1、完全分布式架构，无需配置服务器即可构建无服务器的去中心化分布式音视频综合管控网络，节点均采用嵌入式芯片和 FPGA 组合，无常见操作系统病毒、崩溃等风险。运行中可断开任意分布式节点，系统运行不受影响；</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2、支持4K分辨率，且分辨率和帧率自适应向下兼容，确保图像动态细节和流畅性；</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3、具备≥1路HDMI输入、≥1路音频输入接口、≥1路音频输出接口、≥1路MIC接口、≥1路RJ45网口、≥1路USB Type-A接口、≥1路RS232、≥1路IO/IR、≥1路Relay、≥1路带螺纹锁定防脱落电源适配器接口以及≥1个SEARCH复位；</w:t>
            </w:r>
            <w:r>
              <w:rPr>
                <w:rFonts w:hint="eastAsia" w:ascii="宋体" w:hAnsi="宋体" w:eastAsia="宋体" w:cs="宋体"/>
                <w:sz w:val="24"/>
                <w:szCs w:val="24"/>
                <w:highlight w:val="none"/>
              </w:rPr>
              <w:br/>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4、为保障系统稳定运行，设备HDMI接口须搭载无螺丝无螺母式多级可调距伸缩锁定卡扣结构，可适应适配各类HDMI接头，精准锁紧限位，有效杜绝接口松动，彻底规避震动、走线牵拉引发的信号闪屏、黑屏、断流等问题，适配全天候稳定运行场景；（</w:t>
            </w:r>
            <w:r>
              <w:rPr>
                <w:rFonts w:hint="eastAsia" w:ascii="宋体" w:hAnsi="宋体" w:eastAsia="宋体" w:cs="宋体"/>
                <w:sz w:val="24"/>
                <w:szCs w:val="24"/>
                <w:highlight w:val="none"/>
                <w:lang w:val="en-US" w:eastAsia="zh-CN"/>
              </w:rPr>
              <w:t xml:space="preserve">需</w:t>
            </w:r>
            <w:r>
              <w:rPr>
                <w:rFonts w:hint="eastAsia" w:ascii="宋体" w:hAnsi="宋体" w:eastAsia="宋体" w:cs="宋体"/>
                <w:sz w:val="24"/>
                <w:szCs w:val="24"/>
                <w:highlight w:val="none"/>
              </w:rPr>
              <w:t xml:space="preserve">提供设备信号接口稳固卡扣装置高清实物图扫描上传）</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5、支持信号裁剪上墙，以便突出重点，屏蔽无需上墙的内容。帧内编辑，对不重要、不需要的内容进行屏蔽、裁剪，以便重点突出，展示重点内容、图表；</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6、每个节点输出音频可以指定任意一路音频流，达到单个输出单元音频与视频既可同源，可不同源，在无视频接入情况下，音频也可以正常传输；支持音频从输出端送往输入端（反向传输）；输入节点支持音频环出；</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7、具备输入信号丢失检测，便于对输入进行排查、处理，信号恢复正常后有信号正常指示；</w:t>
            </w:r>
            <w:r/>
          </w:p>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支持本地环出，环出信号与输入信号一致；具备接口备份功能的节点，环出自动跟随主备信号切换；</w:t>
            </w:r>
            <w:r>
              <w:rPr>
                <w:rFonts w:hint="eastAsia" w:ascii="宋体" w:hAnsi="宋体" w:eastAsia="宋体" w:cs="宋体"/>
                <w:sz w:val="24"/>
                <w:szCs w:val="24"/>
                <w:highlight w:val="none"/>
              </w:rPr>
              <w:br/>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、支持信号裁剪上墙，以便突出重点，屏蔽无需上墙的内容。帧内编辑，对不重要、不需要的内容进行屏蔽、裁剪，以便重点突出，展示重点内容、图表；</w:t>
            </w:r>
            <w:r>
              <w:rPr>
                <w:rFonts w:hint="eastAsia" w:ascii="宋体" w:hAnsi="宋体" w:eastAsia="宋体" w:cs="宋体"/>
                <w:sz w:val="24"/>
                <w:szCs w:val="24"/>
                <w:highlight w:val="none"/>
              </w:rPr>
              <w:br/>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具有软件点名功能，当软件选中时，节点所有指示灯闪烁，特别是安装于天花或者狭窄空间的节点的查找，具备硬件监控、异常报警提示，当设备发生故障时给出报警提示，用户可根据提示，快速定位到故障位置；（提供公安部授权机构</w:t>
            </w:r>
            <w:r>
              <w:rPr>
                <w:rFonts w:hint="eastAsia" w:ascii="宋体" w:hAnsi="宋体" w:cs="宋体"/>
                <w:sz w:val="24"/>
                <w:szCs w:val="24"/>
                <w:highlight w:val="none"/>
                <w:lang w:val="en-US" w:eastAsia="zh-CN"/>
              </w:rPr>
              <w:t xml:space="preserve">或第三方机构出具的</w:t>
            </w:r>
            <w:r>
              <w:rPr>
                <w:rFonts w:hint="eastAsia" w:ascii="宋体" w:hAnsi="宋体" w:eastAsia="宋体" w:cs="宋体"/>
                <w:sz w:val="24"/>
                <w:szCs w:val="24"/>
                <w:highlight w:val="none"/>
                <w:lang w:eastAsia="zh-CN"/>
              </w:rPr>
              <w:t xml:space="preserve">检测</w:t>
            </w:r>
            <w:r>
              <w:rPr>
                <w:rFonts w:hint="eastAsia" w:ascii="宋体" w:hAnsi="宋体" w:eastAsia="宋体" w:cs="宋体"/>
                <w:sz w:val="24"/>
                <w:szCs w:val="24"/>
                <w:highlight w:val="none"/>
              </w:rPr>
              <w:t xml:space="preserve">报告扫描上传）</w:t>
            </w:r>
            <w:r>
              <w:rPr>
                <w:rFonts w:hint="eastAsia" w:ascii="宋体" w:hAnsi="宋体" w:eastAsia="宋体" w:cs="宋体"/>
                <w:sz w:val="24"/>
                <w:szCs w:val="24"/>
                <w:highlight w:val="none"/>
              </w:rPr>
              <w:br/>
            </w:r>
            <w:r>
              <w:rPr>
                <w:rFonts w:hint="eastAsia" w:ascii="宋体" w:hAnsi="宋体" w:eastAsia="宋体" w:cs="宋体"/>
                <w:i/>
                <w:iCs/>
                <w:sz w:val="24"/>
                <w:szCs w:val="24"/>
                <w:highlight w:val="none"/>
                <w:u w:val="single"/>
              </w:rPr>
              <w:t xml:space="preserve">1</w:t>
            </w:r>
            <w:r>
              <w:rPr>
                <w:rFonts w:hint="eastAsia" w:ascii="宋体" w:hAnsi="宋体" w:eastAsia="宋体" w:cs="宋体"/>
                <w:i/>
                <w:iCs/>
                <w:sz w:val="24"/>
                <w:szCs w:val="24"/>
                <w:highlight w:val="none"/>
                <w:u w:val="single"/>
                <w:lang w:val="en-US" w:eastAsia="zh-CN"/>
              </w:rPr>
              <w:t xml:space="preserve">1</w:t>
            </w:r>
            <w:r>
              <w:rPr>
                <w:rFonts w:hint="eastAsia" w:ascii="宋体" w:hAnsi="宋体" w:eastAsia="宋体" w:cs="宋体"/>
                <w:i/>
                <w:iCs/>
                <w:sz w:val="24"/>
                <w:szCs w:val="24"/>
                <w:highlight w:val="none"/>
                <w:u w:val="single"/>
              </w:rPr>
              <w:t xml:space="preserve">、支持POE+供电，可使用POE供电而无需外部适配器；或POE供电与适配器供电组成供电双备份；</w:t>
            </w:r>
            <w:r>
              <w:rPr>
                <w:rFonts w:hint="eastAsia" w:ascii="宋体" w:hAnsi="宋体" w:eastAsia="宋体" w:cs="宋体"/>
                <w:sz w:val="24"/>
                <w:szCs w:val="24"/>
                <w:highlight w:val="none"/>
              </w:rPr>
              <w:br/>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、具备7×24小时全天候不间断满载连续运行能力，设备工作温度区间达到-10℃至 60℃，，产品高低温环境适应性须符合GB/T2423.1-2008、GB/T2423.2-2008电工电子产品高低温环境试验标准；（提供公安部授权机构</w:t>
            </w:r>
            <w:r>
              <w:rPr>
                <w:rFonts w:hint="eastAsia" w:ascii="宋体" w:hAnsi="宋体" w:cs="宋体"/>
                <w:sz w:val="24"/>
                <w:szCs w:val="24"/>
                <w:highlight w:val="none"/>
                <w:lang w:val="en-US" w:eastAsia="zh-CN"/>
              </w:rPr>
              <w:t xml:space="preserve">或第三方机构出具的</w:t>
            </w:r>
            <w:r>
              <w:rPr>
                <w:rFonts w:hint="eastAsia" w:ascii="宋体" w:hAnsi="宋体" w:eastAsia="宋体" w:cs="宋体"/>
                <w:sz w:val="24"/>
                <w:szCs w:val="24"/>
                <w:highlight w:val="none"/>
                <w:lang w:eastAsia="zh-CN"/>
              </w:rPr>
              <w:t xml:space="preserve">检测</w:t>
            </w:r>
            <w:r>
              <w:rPr>
                <w:rFonts w:hint="eastAsia" w:ascii="宋体" w:hAnsi="宋体" w:eastAsia="宋体" w:cs="宋体"/>
                <w:sz w:val="24"/>
                <w:szCs w:val="24"/>
                <w:highlight w:val="none"/>
              </w:rPr>
              <w:t xml:space="preserve">报告扫描上传）</w:t>
            </w:r>
            <w:r/>
          </w:p>
        </w:tc>
        <w:tc>
          <w:tcPr>
            <w:tcBorders>
              <w:top w:val="none" w:color="000000" w:sz="4" w:space="0"/>
              <w:left w:val="none" w:color="000000" w:sz="4" w:space="0"/>
              <w:bottom w:val="single" w:color="auto" w:sz="4" w:space="0"/>
              <w:right w:val="single" w:color="auto" w:sz="4" w:space="0"/>
            </w:tcBorders>
            <w:tcW w:w="601"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w:t>
            </w:r>
            <w:r/>
          </w:p>
        </w:tc>
      </w:tr>
      <w:tr>
        <w:trPr>
          <w:trHeight w:val="3530"/>
        </w:trPr>
        <w:tc>
          <w:tcPr>
            <w:tcBorders>
              <w:top w:val="none" w:color="000000" w:sz="4" w:space="0"/>
              <w:left w:val="single" w:color="auto" w:sz="4" w:space="0"/>
              <w:bottom w:val="single" w:color="auto" w:sz="4" w:space="0"/>
              <w:right w:val="single" w:color="auto" w:sz="4" w:space="0"/>
            </w:tcBorders>
            <w:tcW w:w="616"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Borders>
              <w:top w:val="none" w:color="000000" w:sz="4" w:space="0"/>
              <w:left w:val="none" w:color="000000" w:sz="4" w:space="0"/>
              <w:bottom w:val="single" w:color="auto" w:sz="4" w:space="0"/>
              <w:right w:val="single" w:color="auto" w:sz="4" w:space="0"/>
            </w:tcBorders>
            <w:tcW w:w="1071"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4K分布式输出接点</w:t>
            </w:r>
            <w:r/>
          </w:p>
        </w:tc>
        <w:tc>
          <w:tcPr>
            <w:tcBorders>
              <w:top w:val="none" w:color="000000" w:sz="4" w:space="0"/>
              <w:left w:val="none" w:color="000000" w:sz="4" w:space="0"/>
              <w:bottom w:val="single" w:color="auto" w:sz="4" w:space="0"/>
              <w:right w:val="single" w:color="auto" w:sz="4" w:space="0"/>
            </w:tcBorders>
            <w:tcW w:w="6220"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i/>
                <w:iCs/>
                <w:sz w:val="24"/>
                <w:szCs w:val="24"/>
                <w:highlight w:val="none"/>
                <w:u w:val="single"/>
              </w:rPr>
              <w:t xml:space="preserve">1、完全分布式架构，无需配置服务器即可构建无服务器的去中心化分布式音视频综合管控网络，节点均采用嵌入式芯片和FPGA组合，无常见操作系统病毒、崩溃等风险。运行中可断开任意分布式节点，系统运行不受影响；</w:t>
            </w:r>
            <w:r>
              <w:rPr>
                <w:rFonts w:hint="eastAsia" w:ascii="宋体" w:hAnsi="宋体" w:eastAsia="宋体" w:cs="宋体"/>
                <w:sz w:val="24"/>
                <w:szCs w:val="24"/>
                <w:highlight w:val="none"/>
              </w:rPr>
              <w:br/>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2、具备≥1路HDMI输出接口、≥1路DVI输出接口、≥1路VGA输出接口、≥1路凤凰端子模拟音频输入接口、≥1路凤凰端子模拟音频输出接口、≥1路3.5mm MIC接口、≥1路RS232接口、≥1路RS485接口、≥2路IO/IR接口、≥1路RJ45网口、≥1路带螺纹锁定防脱落电源适配器接口以及≥1个SEARCH复位，全接口规格齐全且布局适配专业工程部署需求；（</w:t>
            </w:r>
            <w:r>
              <w:rPr>
                <w:rFonts w:hint="eastAsia" w:ascii="宋体" w:hAnsi="宋体" w:eastAsia="宋体" w:cs="宋体"/>
                <w:sz w:val="24"/>
                <w:szCs w:val="24"/>
                <w:highlight w:val="none"/>
                <w:lang w:val="en-US" w:eastAsia="zh-CN"/>
              </w:rPr>
              <w:t xml:space="preserve">需</w:t>
            </w:r>
            <w:r>
              <w:rPr>
                <w:rFonts w:hint="eastAsia" w:ascii="宋体" w:hAnsi="宋体" w:eastAsia="宋体" w:cs="宋体"/>
                <w:sz w:val="24"/>
                <w:szCs w:val="24"/>
                <w:highlight w:val="none"/>
              </w:rPr>
              <w:t xml:space="preserve">出具设备信号接口高清实物图片</w:t>
            </w:r>
            <w:r>
              <w:rPr>
                <w:rFonts w:hint="eastAsia" w:ascii="宋体" w:hAnsi="宋体" w:eastAsia="宋体" w:cs="宋体"/>
                <w:sz w:val="24"/>
                <w:szCs w:val="24"/>
                <w:highlight w:val="none"/>
                <w:lang w:val="en-US" w:eastAsia="zh-CN"/>
              </w:rPr>
              <w:t xml:space="preserve">扫</w:t>
            </w:r>
            <w:r>
              <w:rPr>
                <w:rFonts w:hint="eastAsia" w:ascii="宋体" w:hAnsi="宋体" w:eastAsia="宋体" w:cs="宋体"/>
                <w:sz w:val="24"/>
                <w:szCs w:val="24"/>
                <w:highlight w:val="none"/>
              </w:rPr>
              <w:t xml:space="preserve">描上传）</w:t>
            </w:r>
            <w:r>
              <w:rPr>
                <w:rFonts w:hint="eastAsia" w:ascii="宋体" w:hAnsi="宋体" w:eastAsia="宋体" w:cs="宋体"/>
                <w:sz w:val="24"/>
                <w:szCs w:val="24"/>
                <w:highlight w:val="none"/>
              </w:rPr>
              <w:br/>
            </w:r>
            <w:r>
              <w:rPr>
                <w:rFonts w:hint="eastAsia" w:ascii="宋体" w:hAnsi="宋体" w:eastAsia="宋体" w:cs="宋体"/>
                <w:i/>
                <w:iCs/>
                <w:sz w:val="24"/>
                <w:szCs w:val="24"/>
                <w:highlight w:val="none"/>
                <w:u w:val="single"/>
              </w:rPr>
              <w:t xml:space="preserve">3、最大支持3840*2160@60Hz分辨率，支持分辨率向下兼容。</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4、为保障系统稳定运行，设备HDMI接口须搭载无螺丝无螺母式可调距伸缩锁定卡扣结构，可适应适配各类HDMI接头，精准锁紧限位，有效杜绝接口松动，彻底规避震动、走线牵拉引发的信号闪屏、黑屏、断流等问题，适配全天候稳定运行场景；</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5、支持操作终端虚拟大屏直接信号切换场景，支持大屏幕上多个小视频开窗和一个主画面之间直接交替切换，而无需删除信号重新拖动信号，提高大屏信号切换速度；</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6、支持用户大屏幕自定义块功能，用户可按照需求自定义屏幕上的屏幕分割块位置和大小，如4-1-4模式，而不是按照预设的2*2,3*3等，实现信号拖放并快速填充块的功能；</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7、支持在控制终端大屏回显区域分割横幅，用于指挥调度主题、参观交流欢迎词等，并直接在控制终端输入文字，设置文字字体、颜色、大小等，大屏同步显示横幅内容；</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8、支持音柱叠加功能，可在输出节点上预览信号源音频的状态，可以音柱的形式监看音频音量大小、电平信号；</w:t>
            </w:r>
            <w:r>
              <w:rPr>
                <w:rFonts w:hint="eastAsia" w:ascii="宋体" w:hAnsi="宋体" w:eastAsia="宋体" w:cs="宋体"/>
                <w:sz w:val="24"/>
                <w:szCs w:val="24"/>
                <w:highlight w:val="none"/>
              </w:rPr>
              <w:br/>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9、信号源由输入节点编码，经过交换机传输，由输出节点进行解码输出。编码端至解码端(端到端传输)，图像传输延时≤16ms，支持输出节点直接连接 LED 发送卡进行拼接。拼接效果肉眼目测完全无画面撕裂，无同步误差；（提供公安部授权机构</w:t>
            </w:r>
            <w:r>
              <w:rPr>
                <w:rFonts w:hint="eastAsia" w:ascii="宋体" w:hAnsi="宋体" w:cs="宋体"/>
                <w:sz w:val="24"/>
                <w:szCs w:val="24"/>
                <w:highlight w:val="none"/>
                <w:lang w:val="en-US" w:eastAsia="zh-CN"/>
              </w:rPr>
              <w:t xml:space="preserve">或第三方机构出具的</w:t>
            </w:r>
            <w:r>
              <w:rPr>
                <w:rFonts w:hint="eastAsia" w:ascii="宋体" w:hAnsi="宋体" w:eastAsia="宋体" w:cs="宋体"/>
                <w:sz w:val="24"/>
                <w:szCs w:val="24"/>
                <w:highlight w:val="none"/>
                <w:lang w:eastAsia="zh-CN"/>
              </w:rPr>
              <w:t xml:space="preserve">检测</w:t>
            </w:r>
            <w:r>
              <w:rPr>
                <w:rFonts w:hint="eastAsia" w:ascii="宋体" w:hAnsi="宋体" w:eastAsia="宋体" w:cs="宋体"/>
                <w:sz w:val="24"/>
                <w:szCs w:val="24"/>
                <w:highlight w:val="none"/>
              </w:rPr>
              <w:t xml:space="preserve">报告扫描上传）</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10、支持任意自定义分辨率，支持异型、弧形、拱门形 LED 屏拼接处理；支持拼接补偿功能；支持针对 LCD/DLP 拼接的移位补偿功能；</w:t>
            </w:r>
            <w:r>
              <w:rPr>
                <w:rFonts w:hint="eastAsia" w:ascii="宋体" w:hAnsi="宋体" w:eastAsia="宋体" w:cs="宋体"/>
                <w:sz w:val="24"/>
                <w:szCs w:val="24"/>
                <w:highlight w:val="none"/>
              </w:rPr>
              <w:br/>
            </w:r>
            <w:r>
              <w:rPr>
                <w:rFonts w:hint="eastAsia" w:ascii="宋体" w:hAnsi="宋体" w:eastAsia="宋体" w:cs="宋体"/>
                <w:i/>
                <w:iCs/>
                <w:sz w:val="24"/>
                <w:szCs w:val="24"/>
                <w:highlight w:val="none"/>
                <w:u w:val="single"/>
              </w:rPr>
              <w:t xml:space="preserve">11、支持POE+供电，可使用POE供电而无需外部适配器；或POE供电与适配器供电组成供电双备份；</w:t>
            </w:r>
            <w:r/>
          </w:p>
        </w:tc>
        <w:tc>
          <w:tcPr>
            <w:tcBorders>
              <w:top w:val="none" w:color="000000" w:sz="4" w:space="0"/>
              <w:left w:val="none" w:color="000000" w:sz="4" w:space="0"/>
              <w:bottom w:val="single" w:color="auto" w:sz="4" w:space="0"/>
              <w:right w:val="single" w:color="auto" w:sz="4" w:space="0"/>
            </w:tcBorders>
            <w:tcW w:w="601"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p>
        </w:tc>
      </w:tr>
      <w:tr>
        <w:trPr>
          <w:trHeight w:val="5515"/>
        </w:trPr>
        <w:tc>
          <w:tcPr>
            <w:tcBorders>
              <w:top w:val="none" w:color="000000" w:sz="4" w:space="0"/>
              <w:left w:val="single" w:color="auto" w:sz="4" w:space="0"/>
              <w:bottom w:val="single" w:color="auto" w:sz="4" w:space="0"/>
              <w:right w:val="single" w:color="auto" w:sz="4" w:space="0"/>
            </w:tcBorders>
            <w:tcW w:w="616"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Borders>
              <w:top w:val="none" w:color="000000" w:sz="4" w:space="0"/>
              <w:left w:val="none" w:color="000000" w:sz="4" w:space="0"/>
              <w:bottom w:val="single" w:color="auto" w:sz="4" w:space="0"/>
              <w:right w:val="single" w:color="auto" w:sz="4" w:space="0"/>
            </w:tcBorders>
            <w:tcW w:w="1071"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智能中控主机</w:t>
            </w:r>
            <w:r/>
          </w:p>
        </w:tc>
        <w:tc>
          <w:tcPr>
            <w:tcBorders>
              <w:top w:val="none" w:color="000000" w:sz="4" w:space="0"/>
              <w:left w:val="none" w:color="000000" w:sz="4" w:space="0"/>
              <w:bottom w:val="single" w:color="auto" w:sz="4" w:space="0"/>
              <w:right w:val="single" w:color="auto" w:sz="4" w:space="0"/>
            </w:tcBorders>
            <w:tcW w:w="6220" w:type="dxa"/>
            <w:vAlign w:val="center"/>
            <w:textDirection w:val="lrTb"/>
            <w:noWrap w:val="false"/>
          </w:tcPr>
          <w:p>
            <w:pPr>
              <w:jc w:val="lef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1、主机需具备10路串口，8路IR，8路IO，8路弱继电器，4个模拟量输入接口，1个模拟量输出接口，2路NET口。具备8路弱继电器，提供开关量输出；具备8路红外，支持一个红外接口发多种设备红外码。支持两路NET接口，可挂载576台485协议网络设备；（提供公安部授权机构</w:t>
            </w:r>
            <w:r>
              <w:rPr>
                <w:rFonts w:hint="eastAsia" w:ascii="宋体" w:hAnsi="宋体" w:cs="宋体"/>
                <w:sz w:val="24"/>
                <w:szCs w:val="24"/>
                <w:highlight w:val="none"/>
                <w:lang w:val="en-US" w:eastAsia="zh-CN"/>
              </w:rPr>
              <w:t xml:space="preserve">或第三方机构出具的</w:t>
            </w:r>
            <w:r>
              <w:rPr>
                <w:rFonts w:hint="eastAsia" w:ascii="宋体" w:hAnsi="宋体" w:eastAsia="宋体" w:cs="宋体"/>
                <w:sz w:val="24"/>
                <w:szCs w:val="24"/>
                <w:highlight w:val="none"/>
                <w:lang w:val="en-US" w:eastAsia="zh-CN"/>
              </w:rPr>
              <w:t xml:space="preserve">检测</w:t>
            </w:r>
            <w:r>
              <w:rPr>
                <w:rFonts w:hint="eastAsia" w:ascii="宋体" w:hAnsi="宋体" w:eastAsia="宋体" w:cs="宋体"/>
                <w:sz w:val="24"/>
                <w:szCs w:val="24"/>
                <w:highlight w:val="none"/>
              </w:rPr>
              <w:t xml:space="preserve">报告扫描上传）</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2、需支持双向反馈，可显示温度、湿度、pm2.5 及周边环境状态；</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3、需支持多用户同时登陆且支持权限管理，支持单点登陆模式， 用户数量无上限，支持多人多终端之间进行同步协作控制；</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4、采用类C语言编程，具备中控管理功能，实现对灯光、摄像头、视频会议终端、对窗帘、调音台、大屏设备外部设备的集中控制；</w:t>
            </w:r>
            <w:r>
              <w:rPr>
                <w:rFonts w:hint="eastAsia" w:ascii="宋体" w:hAnsi="宋体" w:eastAsia="宋体" w:cs="宋体"/>
                <w:sz w:val="24"/>
                <w:szCs w:val="24"/>
                <w:highlight w:val="none"/>
              </w:rPr>
              <w:br/>
            </w:r>
            <w:r>
              <w:rPr>
                <w:rFonts w:hint="eastAsia" w:ascii="宋体" w:hAnsi="宋体" w:eastAsia="宋体" w:cs="宋体"/>
                <w:i/>
                <w:iCs/>
                <w:sz w:val="24"/>
                <w:szCs w:val="24"/>
                <w:highlight w:val="none"/>
                <w:u w:val="single"/>
              </w:rPr>
              <w:t xml:space="preserve">5、设备是通过接受触摸屏的控制指令，执行内置的用户程序，然后给各个分布式单元通过UDP协议发送卡控制代码，可灵活结合分布式系统节点的控制接口使用，系统无控制接口上限；</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6、为保证系统的灵活管理，应具备可视化HDMI高清调试监控接口，支持一键保存会场环境状态，一键恢复；</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7、需支持跨平台多操作终端实时同步界面反馈；</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8、需支持多种控制模式如：PC 控制、IPAD、Android 触摸屏、墙上面板控制等,并支持</w:t>
            </w:r>
            <w:r>
              <w:rPr>
                <w:rFonts w:hint="eastAsia" w:ascii="宋体" w:hAnsi="宋体" w:eastAsia="宋体" w:cs="宋体"/>
                <w:sz w:val="24"/>
                <w:szCs w:val="24"/>
                <w:highlight w:val="none"/>
                <w:lang w:val="en-US" w:eastAsia="zh-CN"/>
              </w:rPr>
              <w:t xml:space="preserve">国产主流浏览器</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9、需支持二次编程能力，即客户根据自我需要，简单培训，即可自我编程状态，如调用当前场景，或者存储当前场景，修改部分执行结果等；</w:t>
            </w:r>
            <w:r>
              <w:rPr>
                <w:rFonts w:hint="eastAsia" w:ascii="宋体" w:hAnsi="宋体" w:eastAsia="宋体" w:cs="宋体"/>
                <w:sz w:val="24"/>
                <w:szCs w:val="24"/>
                <w:highlight w:val="none"/>
              </w:rPr>
              <w:br/>
            </w:r>
            <w:r>
              <w:rPr>
                <w:rFonts w:hint="eastAsia" w:ascii="宋体" w:hAnsi="宋体" w:eastAsia="宋体" w:cs="宋体"/>
                <w:i/>
                <w:iCs/>
                <w:sz w:val="24"/>
                <w:szCs w:val="24"/>
                <w:highlight w:val="none"/>
                <w:u w:val="single"/>
              </w:rPr>
              <w:t xml:space="preserve">10、为保证产品质量可靠，要求产品具备有效</w:t>
            </w:r>
            <w:r>
              <w:rPr>
                <w:rFonts w:hint="eastAsia" w:ascii="宋体" w:hAnsi="宋体" w:eastAsia="宋体" w:cs="宋体"/>
                <w:i/>
                <w:iCs/>
                <w:sz w:val="24"/>
                <w:szCs w:val="24"/>
                <w:highlight w:val="none"/>
                <w:u w:val="single"/>
                <w:lang w:val="en-US" w:eastAsia="zh-CN"/>
              </w:rPr>
              <w:t xml:space="preserve">的</w:t>
            </w:r>
            <w:r>
              <w:rPr>
                <w:rFonts w:hint="eastAsia" w:ascii="宋体" w:hAnsi="宋体" w:eastAsia="宋体" w:cs="宋体"/>
                <w:i/>
                <w:iCs/>
                <w:sz w:val="24"/>
                <w:szCs w:val="24"/>
                <w:highlight w:val="none"/>
                <w:u w:val="single"/>
              </w:rPr>
              <w:t xml:space="preserve">3C 认证证书，提供认证证书扫描上传</w:t>
            </w:r>
            <w:r>
              <w:rPr>
                <w:rFonts w:hint="eastAsia" w:ascii="宋体" w:hAnsi="宋体" w:cs="宋体"/>
                <w:i/>
                <w:iCs/>
                <w:sz w:val="24"/>
                <w:szCs w:val="24"/>
                <w:highlight w:val="none"/>
                <w:u w:val="single"/>
                <w:lang w:eastAsia="zh-CN"/>
              </w:rPr>
              <w:t xml:space="preserve">。</w:t>
            </w:r>
            <w:r/>
          </w:p>
        </w:tc>
        <w:tc>
          <w:tcPr>
            <w:tcBorders>
              <w:top w:val="none" w:color="000000" w:sz="4" w:space="0"/>
              <w:left w:val="none" w:color="000000" w:sz="4" w:space="0"/>
              <w:bottom w:val="single" w:color="auto" w:sz="4" w:space="0"/>
              <w:right w:val="single" w:color="auto" w:sz="4" w:space="0"/>
            </w:tcBorders>
            <w:tcW w:w="601"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trHeight w:val="2809"/>
        </w:trPr>
        <w:tc>
          <w:tcPr>
            <w:tcBorders>
              <w:top w:val="none" w:color="000000" w:sz="4" w:space="0"/>
              <w:left w:val="single" w:color="auto" w:sz="4" w:space="0"/>
              <w:bottom w:val="single" w:color="auto" w:sz="4" w:space="0"/>
              <w:right w:val="single" w:color="auto" w:sz="4" w:space="0"/>
            </w:tcBorders>
            <w:tcW w:w="616"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Borders>
              <w:top w:val="none" w:color="000000" w:sz="4" w:space="0"/>
              <w:left w:val="none" w:color="000000" w:sz="4" w:space="0"/>
              <w:bottom w:val="single" w:color="auto" w:sz="4" w:space="0"/>
              <w:right w:val="single" w:color="auto" w:sz="4" w:space="0"/>
            </w:tcBorders>
            <w:tcW w:w="1071"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平板电脑中控界面控制软件</w:t>
            </w:r>
            <w:r/>
          </w:p>
        </w:tc>
        <w:tc>
          <w:tcPr>
            <w:tcBorders>
              <w:top w:val="none" w:color="000000" w:sz="4" w:space="0"/>
              <w:left w:val="none" w:color="000000" w:sz="4" w:space="0"/>
              <w:bottom w:val="single" w:color="auto" w:sz="4" w:space="0"/>
              <w:right w:val="single" w:color="auto" w:sz="4" w:space="0"/>
            </w:tcBorders>
            <w:tcW w:w="6220"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1.集成完整的可编程中控系统，支持232/485/IR/IO等设备控制；</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2.界面定制功能，定制化界面，PC管理软件任意模块可由用户自定义，根据需求任意更改，做到按需修改；</w:t>
            </w:r>
            <w:r>
              <w:rPr>
                <w:rFonts w:hint="eastAsia" w:ascii="宋体" w:hAnsi="宋体" w:eastAsia="宋体" w:cs="宋体"/>
                <w:i/>
                <w:iCs/>
                <w:sz w:val="24"/>
                <w:szCs w:val="24"/>
                <w:highlight w:val="none"/>
                <w:u w:val="single"/>
              </w:rPr>
              <w:br/>
            </w:r>
            <w:r>
              <w:rPr>
                <w:rFonts w:hint="eastAsia" w:ascii="宋体" w:hAnsi="宋体" w:cs="宋体"/>
                <w:i/>
                <w:iCs/>
                <w:sz w:val="24"/>
                <w:szCs w:val="24"/>
                <w:highlight w:val="none"/>
                <w:u w:val="single"/>
                <w:lang w:val="en-US" w:eastAsia="zh-CN"/>
              </w:rPr>
              <w:t xml:space="preserve">3</w:t>
            </w:r>
            <w:r>
              <w:rPr>
                <w:rFonts w:hint="eastAsia" w:ascii="宋体" w:hAnsi="宋体" w:eastAsia="宋体" w:cs="宋体"/>
                <w:i/>
                <w:iCs/>
                <w:sz w:val="24"/>
                <w:szCs w:val="24"/>
                <w:highlight w:val="none"/>
                <w:u w:val="single"/>
              </w:rPr>
              <w:t xml:space="preserve">.支持环境监测数据的实时采集并生成显示，支持对环境的控制，包括但不限于：灯光、窗帘、空调、电视等；</w:t>
            </w:r>
            <w:r>
              <w:rPr>
                <w:rFonts w:hint="eastAsia" w:ascii="宋体" w:hAnsi="宋体" w:eastAsia="宋体" w:cs="宋体"/>
                <w:i/>
                <w:iCs/>
                <w:sz w:val="24"/>
                <w:szCs w:val="24"/>
                <w:highlight w:val="none"/>
                <w:u w:val="single"/>
              </w:rPr>
              <w:br/>
            </w:r>
            <w:r>
              <w:rPr>
                <w:rFonts w:hint="eastAsia" w:ascii="宋体" w:hAnsi="宋体" w:cs="宋体"/>
                <w:i/>
                <w:iCs/>
                <w:sz w:val="24"/>
                <w:szCs w:val="24"/>
                <w:highlight w:val="none"/>
                <w:u w:val="single"/>
                <w:lang w:val="en-US" w:eastAsia="zh-CN"/>
              </w:rPr>
              <w:t xml:space="preserve">4</w:t>
            </w:r>
            <w:r>
              <w:rPr>
                <w:rFonts w:hint="eastAsia" w:ascii="宋体" w:hAnsi="宋体" w:eastAsia="宋体" w:cs="宋体"/>
                <w:i/>
                <w:iCs/>
                <w:sz w:val="24"/>
                <w:szCs w:val="24"/>
                <w:highlight w:val="none"/>
                <w:u w:val="single"/>
              </w:rPr>
              <w:t xml:space="preserve">.支持在平板终端实时反馈光感检测、PM2.5检测、门磁检测、温度检测湿度检测等各种感应检测器的检测结果；</w:t>
            </w:r>
            <w:r>
              <w:rPr>
                <w:rFonts w:hint="eastAsia" w:ascii="宋体" w:hAnsi="宋体" w:eastAsia="宋体" w:cs="宋体"/>
                <w:sz w:val="24"/>
                <w:szCs w:val="24"/>
                <w:highlight w:val="none"/>
              </w:rPr>
              <w:br/>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.软件具备环境控制区，支持对周边的设备进行控制，包括但不限于：灯光、窗帘、空调、电视等；</w:t>
            </w:r>
            <w:r>
              <w:rPr>
                <w:rFonts w:hint="eastAsia" w:ascii="宋体" w:hAnsi="宋体" w:eastAsia="宋体" w:cs="宋体"/>
                <w:sz w:val="24"/>
                <w:szCs w:val="24"/>
                <w:highlight w:val="none"/>
              </w:rPr>
              <w:br/>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.支持</w:t>
            </w:r>
            <w:r>
              <w:rPr>
                <w:rFonts w:hint="eastAsia" w:ascii="宋体" w:hAnsi="宋体" w:eastAsia="宋体" w:cs="宋体"/>
                <w:sz w:val="24"/>
                <w:szCs w:val="24"/>
                <w:highlight w:val="none"/>
                <w:lang w:val="en-US" w:eastAsia="zh-CN"/>
              </w:rPr>
              <w:t xml:space="preserve">主流</w:t>
            </w:r>
            <w:r>
              <w:rPr>
                <w:rFonts w:hint="eastAsia" w:ascii="宋体" w:hAnsi="宋体" w:eastAsia="宋体" w:cs="宋体"/>
                <w:sz w:val="24"/>
                <w:szCs w:val="24"/>
                <w:highlight w:val="none"/>
              </w:rPr>
              <w:t xml:space="preserve">系统进行交互式控制并同步，支持</w:t>
            </w:r>
            <w:r>
              <w:rPr>
                <w:rFonts w:hint="eastAsia" w:ascii="宋体" w:hAnsi="宋体" w:eastAsia="宋体" w:cs="宋体"/>
                <w:sz w:val="24"/>
                <w:szCs w:val="24"/>
                <w:highlight w:val="none"/>
                <w:lang w:val="en-US" w:eastAsia="zh-CN"/>
              </w:rPr>
              <w:t xml:space="preserve">主流浏览</w:t>
            </w:r>
            <w:r>
              <w:rPr>
                <w:rFonts w:hint="eastAsia" w:ascii="宋体" w:hAnsi="宋体" w:eastAsia="宋体" w:cs="宋体"/>
                <w:sz w:val="24"/>
                <w:szCs w:val="24"/>
                <w:highlight w:val="none"/>
              </w:rPr>
              <w:t xml:space="preserve">器</w:t>
            </w:r>
            <w:r>
              <w:rPr>
                <w:rFonts w:hint="eastAsia" w:ascii="宋体" w:hAnsi="宋体" w:eastAsia="宋体" w:cs="宋体"/>
                <w:sz w:val="24"/>
                <w:szCs w:val="24"/>
                <w:highlight w:val="none"/>
                <w:lang w:val="en-US" w:eastAsia="zh-CN"/>
              </w:rPr>
              <w:t xml:space="preserve">操作控制</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br/>
            </w:r>
            <w:r>
              <w:rPr>
                <w:rFonts w:hint="eastAsia" w:ascii="宋体" w:hAnsi="宋体" w:cs="宋体"/>
                <w:sz w:val="24"/>
                <w:szCs w:val="24"/>
                <w:highlight w:val="none"/>
                <w:lang w:val="en-US" w:eastAsia="zh-CN"/>
              </w:rPr>
              <w:t xml:space="preserve">7</w:t>
            </w:r>
            <w:r>
              <w:rPr>
                <w:rFonts w:hint="eastAsia" w:ascii="宋体" w:hAnsi="宋体" w:eastAsia="宋体" w:cs="宋体"/>
                <w:sz w:val="24"/>
                <w:szCs w:val="24"/>
                <w:highlight w:val="none"/>
              </w:rPr>
              <w:t xml:space="preserve">.支持一键保存会场环境状态、一</w:t>
            </w:r>
            <w:r>
              <w:rPr>
                <w:rFonts w:hint="eastAsia" w:ascii="宋体" w:hAnsi="宋体" w:cs="宋体"/>
                <w:sz w:val="24"/>
                <w:szCs w:val="24"/>
                <w:highlight w:val="none"/>
                <w:lang w:val="en-US" w:eastAsia="zh-CN"/>
              </w:rPr>
              <w:t xml:space="preserve">键</w:t>
            </w:r>
            <w:r>
              <w:rPr>
                <w:rFonts w:hint="eastAsia" w:ascii="宋体" w:hAnsi="宋体" w:eastAsia="宋体" w:cs="宋体"/>
                <w:sz w:val="24"/>
                <w:szCs w:val="24"/>
                <w:highlight w:val="none"/>
              </w:rPr>
              <w:t xml:space="preserve">恢复的功能；</w:t>
            </w:r>
            <w:r/>
          </w:p>
        </w:tc>
        <w:tc>
          <w:tcPr>
            <w:tcBorders>
              <w:top w:val="none" w:color="000000" w:sz="4" w:space="0"/>
              <w:left w:val="none" w:color="000000" w:sz="4" w:space="0"/>
              <w:bottom w:val="single" w:color="auto" w:sz="4" w:space="0"/>
              <w:right w:val="single" w:color="auto" w:sz="4" w:space="0"/>
            </w:tcBorders>
            <w:tcW w:w="601"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套</w:t>
            </w:r>
            <w:r/>
          </w:p>
        </w:tc>
        <w:tc>
          <w:tcPr>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trHeight w:val="7067"/>
        </w:trPr>
        <w:tc>
          <w:tcPr>
            <w:tcBorders>
              <w:top w:val="none" w:color="000000" w:sz="4" w:space="0"/>
              <w:left w:val="single" w:color="auto" w:sz="4" w:space="0"/>
              <w:bottom w:val="single" w:color="auto" w:sz="4" w:space="0"/>
              <w:right w:val="single" w:color="auto" w:sz="4" w:space="0"/>
            </w:tcBorders>
            <w:tcW w:w="616"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tcBorders>
              <w:top w:val="none" w:color="000000" w:sz="4" w:space="0"/>
              <w:left w:val="none" w:color="000000" w:sz="4" w:space="0"/>
              <w:bottom w:val="single" w:color="auto" w:sz="4" w:space="0"/>
              <w:right w:val="single" w:color="auto" w:sz="4" w:space="0"/>
            </w:tcBorders>
            <w:tcW w:w="1071"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综合可视化运维管理平台</w:t>
            </w:r>
            <w:r/>
          </w:p>
        </w:tc>
        <w:tc>
          <w:tcPr>
            <w:tcBorders>
              <w:top w:val="none" w:color="000000" w:sz="4" w:space="0"/>
              <w:left w:val="none" w:color="000000" w:sz="4" w:space="0"/>
              <w:bottom w:val="single" w:color="auto" w:sz="4" w:space="0"/>
              <w:right w:val="single" w:color="auto" w:sz="4" w:space="0"/>
            </w:tcBorders>
            <w:tcW w:w="6220"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1、支持对整个平台设备可视化运维管理，日常可预览系统内所有设备的状态；当系统中某个设备出现故障时，系统自动检测到问题时，自动直接定位到该设备所在位置；</w:t>
            </w:r>
            <w:r>
              <w:rPr>
                <w:rFonts w:hint="eastAsia" w:ascii="宋体" w:hAnsi="宋体" w:eastAsia="宋体" w:cs="宋体"/>
                <w:sz w:val="24"/>
                <w:szCs w:val="24"/>
                <w:highlight w:val="none"/>
              </w:rPr>
              <w:br/>
            </w:r>
            <w:r>
              <w:rPr>
                <w:rFonts w:hint="eastAsia" w:ascii="宋体" w:hAnsi="宋体" w:eastAsia="宋体" w:cs="宋体"/>
                <w:i/>
                <w:iCs/>
                <w:sz w:val="24"/>
                <w:szCs w:val="24"/>
                <w:highlight w:val="none"/>
                <w:u w:val="single"/>
              </w:rPr>
              <w:t xml:space="preserve">2、实现节点状态在线检测功能，如工作状态、节点网络情况，实时码率情况，支持节点内存、CPU使用情况，节点工作活跃情况；支持显示系统不同类型节点数量分布情况；</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3、支持记录用户登陆情况，用户活跃情况；</w:t>
            </w:r>
            <w:r>
              <w:rPr>
                <w:rFonts w:hint="eastAsia" w:ascii="宋体" w:hAnsi="宋体" w:eastAsia="宋体" w:cs="宋体"/>
                <w:sz w:val="24"/>
                <w:szCs w:val="24"/>
                <w:highlight w:val="none"/>
              </w:rPr>
              <w:br/>
            </w:r>
            <w:r>
              <w:rPr>
                <w:rFonts w:hint="eastAsia" w:ascii="宋体" w:hAnsi="宋体" w:eastAsia="宋体" w:cs="宋体"/>
                <w:i/>
                <w:iCs/>
                <w:sz w:val="24"/>
                <w:szCs w:val="24"/>
                <w:highlight w:val="none"/>
                <w:u w:val="single"/>
              </w:rPr>
              <w:t xml:space="preserve">4、支持用户编辑功能，支持用户拼接开窗模式，自定义节点IP、ID和IPC设备，支持用户增减节点和IPC设备；</w:t>
            </w:r>
            <w:r>
              <w:rPr>
                <w:rFonts w:hint="eastAsia" w:ascii="宋体" w:hAnsi="宋体" w:eastAsia="宋体" w:cs="宋体"/>
                <w:sz w:val="24"/>
                <w:szCs w:val="24"/>
                <w:highlight w:val="none"/>
              </w:rPr>
              <w:br/>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5、支持告警模块实时编辑系统内任意设备的任意参数的告警阈值，如温度、湿度、电能峰值、设备掉线等信息；当触发时可逐一出现在告警窗口提示运维管理人员；相同内容的持续告警可自动合并以免丢失关键信息。（提供公安部授权机构</w:t>
            </w:r>
            <w:r>
              <w:rPr>
                <w:rFonts w:hint="eastAsia" w:ascii="宋体" w:hAnsi="宋体" w:cs="宋体"/>
                <w:sz w:val="24"/>
                <w:szCs w:val="24"/>
                <w:highlight w:val="none"/>
                <w:lang w:val="en-US" w:eastAsia="zh-CN"/>
              </w:rPr>
              <w:t xml:space="preserve">或第三方机构出具的</w:t>
            </w:r>
            <w:r>
              <w:rPr>
                <w:rFonts w:hint="eastAsia" w:ascii="宋体" w:hAnsi="宋体" w:eastAsia="宋体" w:cs="宋体"/>
                <w:sz w:val="24"/>
                <w:szCs w:val="24"/>
                <w:highlight w:val="none"/>
                <w:lang w:eastAsia="zh-CN"/>
              </w:rPr>
              <w:t xml:space="preserve">检测</w:t>
            </w:r>
            <w:r>
              <w:rPr>
                <w:rFonts w:hint="eastAsia" w:ascii="宋体" w:hAnsi="宋体" w:eastAsia="宋体" w:cs="宋体"/>
                <w:sz w:val="24"/>
                <w:szCs w:val="24"/>
                <w:highlight w:val="none"/>
              </w:rPr>
              <w:t xml:space="preserve">报告扫描上传）</w:t>
            </w:r>
            <w:r>
              <w:rPr>
                <w:rFonts w:hint="eastAsia" w:ascii="宋体" w:hAnsi="宋体" w:eastAsia="宋体" w:cs="宋体"/>
                <w:sz w:val="24"/>
                <w:szCs w:val="24"/>
                <w:highlight w:val="none"/>
              </w:rPr>
              <w:br/>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6、支持各种可视化组件，可使用浏览器展示，用户随时随地查看系统展示效果，并可根据需求在线对大数据可视化界面进行调整，同时可提前预设多个模板，根据不同使用需求一键进行保存/调用；（提供公安部授权机构</w:t>
            </w:r>
            <w:r>
              <w:rPr>
                <w:rFonts w:hint="eastAsia" w:ascii="宋体" w:hAnsi="宋体" w:cs="宋体"/>
                <w:sz w:val="24"/>
                <w:szCs w:val="24"/>
                <w:highlight w:val="none"/>
                <w:lang w:val="en-US" w:eastAsia="zh-CN"/>
              </w:rPr>
              <w:t xml:space="preserve">或第三方机构出具的</w:t>
            </w:r>
            <w:r>
              <w:rPr>
                <w:rFonts w:hint="eastAsia" w:ascii="宋体" w:hAnsi="宋体" w:eastAsia="宋体" w:cs="宋体"/>
                <w:sz w:val="24"/>
                <w:szCs w:val="24"/>
                <w:highlight w:val="none"/>
                <w:lang w:eastAsia="zh-CN"/>
              </w:rPr>
              <w:t xml:space="preserve">检测</w:t>
            </w:r>
            <w:r>
              <w:rPr>
                <w:rFonts w:hint="eastAsia" w:ascii="宋体" w:hAnsi="宋体" w:eastAsia="宋体" w:cs="宋体"/>
                <w:sz w:val="24"/>
                <w:szCs w:val="24"/>
                <w:highlight w:val="none"/>
              </w:rPr>
              <w:t xml:space="preserve">报告扫描上传）</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7、支持第三方设备接入整合；</w:t>
            </w:r>
            <w:r>
              <w:rPr>
                <w:rFonts w:hint="eastAsia" w:ascii="宋体" w:hAnsi="宋体" w:eastAsia="宋体" w:cs="宋体"/>
                <w:sz w:val="24"/>
                <w:szCs w:val="24"/>
                <w:highlight w:val="none"/>
              </w:rPr>
              <w:br/>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8、运维平台内包含≥13 大模块：系统大数据展示模块、实景呈现模块、网络拓扑图模块、资源管理模块、大屏回显与控制模块、预案管理模块、音频控制与混合模块、用户管理模块、权限控制模块、系统配置模块、告警模块、工单处理模块、备份恢复模块；（提供公安部授权机构</w:t>
            </w:r>
            <w:r>
              <w:rPr>
                <w:rFonts w:hint="eastAsia" w:ascii="宋体" w:hAnsi="宋体" w:cs="宋体"/>
                <w:sz w:val="24"/>
                <w:szCs w:val="24"/>
                <w:highlight w:val="none"/>
                <w:lang w:val="en-US" w:eastAsia="zh-CN"/>
              </w:rPr>
              <w:t xml:space="preserve">或第三方机构出具的</w:t>
            </w:r>
            <w:r>
              <w:rPr>
                <w:rFonts w:hint="eastAsia" w:ascii="宋体" w:hAnsi="宋体" w:eastAsia="宋体" w:cs="宋体"/>
                <w:sz w:val="24"/>
                <w:szCs w:val="24"/>
                <w:highlight w:val="none"/>
                <w:lang w:eastAsia="zh-CN"/>
              </w:rPr>
              <w:t xml:space="preserve">检测</w:t>
            </w:r>
            <w:r>
              <w:rPr>
                <w:rFonts w:hint="eastAsia" w:ascii="宋体" w:hAnsi="宋体" w:eastAsia="宋体" w:cs="宋体"/>
                <w:sz w:val="24"/>
                <w:szCs w:val="24"/>
                <w:highlight w:val="none"/>
              </w:rPr>
              <w:t xml:space="preserve">报告扫描上传）</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9、支持通过可视化方式查看系统拓扑、设备链路和接口信息， 并与底层数据保持同步更新，实时反映系统运行状态，可清晰直观的处理系统运维工作；</w:t>
            </w:r>
            <w:r/>
          </w:p>
          <w:p>
            <w:pPr>
              <w:jc w:val="lef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10、提供</w:t>
            </w:r>
            <w:r>
              <w:rPr>
                <w:rFonts w:hint="eastAsia" w:ascii="宋体" w:hAnsi="宋体" w:cs="宋体"/>
                <w:sz w:val="24"/>
                <w:szCs w:val="24"/>
                <w:highlight w:val="none"/>
                <w:lang w:val="en-US" w:eastAsia="zh-CN"/>
              </w:rPr>
              <w:t xml:space="preserve">与运维管理平台相关的</w:t>
            </w:r>
            <w:r>
              <w:rPr>
                <w:rFonts w:hint="eastAsia" w:ascii="宋体" w:hAnsi="宋体" w:eastAsia="宋体" w:cs="宋体"/>
                <w:sz w:val="24"/>
                <w:szCs w:val="24"/>
                <w:highlight w:val="none"/>
              </w:rPr>
              <w:t xml:space="preserve">软件著作权登记证书扫描上传</w:t>
            </w:r>
            <w:r/>
          </w:p>
        </w:tc>
        <w:tc>
          <w:tcPr>
            <w:tcBorders>
              <w:top w:val="none" w:color="000000" w:sz="4" w:space="0"/>
              <w:left w:val="none" w:color="000000" w:sz="4" w:space="0"/>
              <w:bottom w:val="single" w:color="auto" w:sz="4" w:space="0"/>
              <w:right w:val="single" w:color="auto" w:sz="4" w:space="0"/>
            </w:tcBorders>
            <w:tcW w:w="601"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套</w:t>
            </w:r>
            <w:r/>
          </w:p>
        </w:tc>
        <w:tc>
          <w:tcPr>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trHeight w:val="719"/>
        </w:trPr>
        <w:tc>
          <w:tcPr>
            <w:tcBorders>
              <w:top w:val="none" w:color="000000" w:sz="4" w:space="0"/>
              <w:left w:val="single" w:color="auto" w:sz="4" w:space="0"/>
              <w:bottom w:val="single" w:color="auto" w:sz="4" w:space="0"/>
              <w:right w:val="single" w:color="auto" w:sz="4" w:space="0"/>
            </w:tcBorders>
            <w:tcW w:w="616"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p>
        </w:tc>
        <w:tc>
          <w:tcPr>
            <w:tcBorders>
              <w:top w:val="none" w:color="000000" w:sz="4" w:space="0"/>
              <w:left w:val="none" w:color="000000" w:sz="4" w:space="0"/>
              <w:bottom w:val="single" w:color="auto" w:sz="4" w:space="0"/>
              <w:right w:val="single" w:color="auto" w:sz="4" w:space="0"/>
            </w:tcBorders>
            <w:tcW w:w="1071"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智能录播器</w:t>
            </w:r>
            <w:r/>
          </w:p>
        </w:tc>
        <w:tc>
          <w:tcPr>
            <w:tcBorders>
              <w:top w:val="none" w:color="000000" w:sz="4" w:space="0"/>
              <w:left w:val="none" w:color="000000" w:sz="4" w:space="0"/>
              <w:bottom w:val="single" w:color="auto" w:sz="4" w:space="0"/>
              <w:right w:val="single" w:color="auto" w:sz="4" w:space="0"/>
            </w:tcBorders>
            <w:tcW w:w="6220"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i/>
                <w:iCs/>
                <w:sz w:val="24"/>
                <w:szCs w:val="24"/>
                <w:highlight w:val="none"/>
                <w:u w:val="single"/>
                <w:lang w:val="en-US" w:eastAsia="zh-CN"/>
              </w:rPr>
              <w:t xml:space="preserve">1、</w:t>
            </w:r>
            <w:r>
              <w:rPr>
                <w:rFonts w:hint="eastAsia" w:ascii="宋体" w:hAnsi="宋体" w:eastAsia="宋体" w:cs="宋体"/>
                <w:i/>
                <w:iCs/>
                <w:sz w:val="24"/>
                <w:szCs w:val="24"/>
                <w:highlight w:val="none"/>
                <w:u w:val="single"/>
              </w:rPr>
              <w:t xml:space="preserve">灯光控台DMX输入，与卡里的音乐配合进行实时记录、保存，重放时实现声光同步；控制器输出或控台输出，可一键切换；</w:t>
            </w:r>
            <w:r>
              <w:rPr>
                <w:rFonts w:hint="eastAsia" w:ascii="宋体" w:hAnsi="宋体" w:eastAsia="宋体" w:cs="宋体"/>
                <w:sz w:val="24"/>
                <w:szCs w:val="24"/>
                <w:highlight w:val="none"/>
              </w:rPr>
              <w:br/>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音乐播放器（支持WAV格式，MP3格式），支持用户定义音乐件</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最大支持99首节目的记录、保存和重放；</w:t>
            </w:r>
            <w:r>
              <w:rPr>
                <w:rFonts w:hint="eastAsia" w:ascii="宋体" w:hAnsi="宋体" w:eastAsia="宋体" w:cs="宋体"/>
                <w:sz w:val="24"/>
                <w:szCs w:val="24"/>
                <w:highlight w:val="none"/>
              </w:rPr>
              <w:br/>
            </w:r>
            <w:r>
              <w:rPr>
                <w:rFonts w:hint="eastAsia" w:ascii="宋体" w:hAnsi="宋体" w:eastAsia="宋体" w:cs="宋体"/>
                <w:i/>
                <w:iCs/>
                <w:sz w:val="24"/>
                <w:szCs w:val="24"/>
                <w:highlight w:val="none"/>
                <w:u w:val="single"/>
                <w:lang w:val="en-US" w:eastAsia="zh-CN"/>
              </w:rPr>
              <w:t xml:space="preserve">3、</w:t>
            </w:r>
            <w:r>
              <w:rPr>
                <w:rFonts w:hint="eastAsia" w:ascii="宋体" w:hAnsi="宋体" w:eastAsia="宋体" w:cs="宋体"/>
                <w:i/>
                <w:iCs/>
                <w:sz w:val="24"/>
                <w:szCs w:val="24"/>
                <w:highlight w:val="none"/>
                <w:u w:val="single"/>
              </w:rPr>
              <w:t xml:space="preserve">支持多种触发方式，RS485/RS232/MIDI等协议二次开发后触发或便携式遥控器触发；部分机型可与中控系统配合使用，实现集成控制，并支持二</w:t>
            </w:r>
            <w:r>
              <w:rPr>
                <w:rFonts w:hint="eastAsia" w:ascii="宋体" w:hAnsi="宋体" w:cs="宋体"/>
                <w:i/>
                <w:iCs/>
                <w:sz w:val="24"/>
                <w:szCs w:val="24"/>
                <w:highlight w:val="none"/>
                <w:u w:val="single"/>
                <w:lang w:val="en-US" w:eastAsia="zh-CN"/>
              </w:rPr>
              <w:t xml:space="preserve">次</w:t>
            </w:r>
            <w:r>
              <w:rPr>
                <w:rFonts w:hint="eastAsia" w:ascii="宋体" w:hAnsi="宋体" w:eastAsia="宋体" w:cs="宋体"/>
                <w:i/>
                <w:iCs/>
                <w:sz w:val="24"/>
                <w:szCs w:val="24"/>
                <w:highlight w:val="none"/>
                <w:u w:val="single"/>
              </w:rPr>
              <w:t xml:space="preserve">开发；</w:t>
            </w:r>
            <w:r>
              <w:rPr>
                <w:rFonts w:hint="eastAsia" w:ascii="宋体" w:hAnsi="宋体" w:eastAsia="宋体" w:cs="宋体"/>
                <w:sz w:val="24"/>
                <w:szCs w:val="24"/>
                <w:highlight w:val="none"/>
              </w:rPr>
              <w:br/>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可做电脑灯控台或电脑软件控台的备份器；</w:t>
            </w:r>
            <w:r>
              <w:rPr>
                <w:rFonts w:hint="eastAsia" w:ascii="宋体" w:hAnsi="宋体" w:eastAsia="宋体" w:cs="宋体"/>
                <w:sz w:val="24"/>
                <w:szCs w:val="24"/>
                <w:highlight w:val="none"/>
              </w:rPr>
              <w:br/>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可全自动无人值守播放音乐及同步控制灯光；无线遥控，全光电隔离保护输出。</w:t>
            </w:r>
            <w:r/>
          </w:p>
        </w:tc>
        <w:tc>
          <w:tcPr>
            <w:tcBorders>
              <w:top w:val="none" w:color="000000" w:sz="4" w:space="0"/>
              <w:left w:val="none" w:color="000000" w:sz="4" w:space="0"/>
              <w:bottom w:val="single" w:color="auto" w:sz="4" w:space="0"/>
              <w:right w:val="single" w:color="auto" w:sz="4" w:space="0"/>
            </w:tcBorders>
            <w:tcW w:w="601"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trHeight w:val="2276"/>
        </w:trPr>
        <w:tc>
          <w:tcPr>
            <w:tcBorders>
              <w:top w:val="none" w:color="000000" w:sz="4" w:space="0"/>
              <w:left w:val="single" w:color="auto" w:sz="4" w:space="0"/>
              <w:bottom w:val="single" w:color="auto" w:sz="4" w:space="0"/>
              <w:right w:val="single" w:color="auto" w:sz="4" w:space="0"/>
            </w:tcBorders>
            <w:tcW w:w="616"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r/>
          </w:p>
        </w:tc>
        <w:tc>
          <w:tcPr>
            <w:tcBorders>
              <w:top w:val="none" w:color="000000" w:sz="4" w:space="0"/>
              <w:left w:val="none" w:color="000000" w:sz="4" w:space="0"/>
              <w:bottom w:val="single" w:color="auto" w:sz="4" w:space="0"/>
              <w:right w:val="single" w:color="auto" w:sz="4" w:space="0"/>
            </w:tcBorders>
            <w:tcW w:w="1071"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控制管理继电器器</w:t>
            </w:r>
            <w:r/>
          </w:p>
        </w:tc>
        <w:tc>
          <w:tcPr>
            <w:tcBorders>
              <w:top w:val="none" w:color="000000" w:sz="4" w:space="0"/>
              <w:left w:val="none" w:color="000000" w:sz="4" w:space="0"/>
              <w:bottom w:val="single" w:color="auto" w:sz="4" w:space="0"/>
              <w:right w:val="single" w:color="auto" w:sz="4" w:space="0"/>
            </w:tcBorders>
            <w:tcW w:w="6220"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i/>
                <w:iCs/>
                <w:sz w:val="24"/>
                <w:szCs w:val="24"/>
                <w:highlight w:val="none"/>
                <w:u w:val="single"/>
              </w:rPr>
              <w:t xml:space="preserve">1</w:t>
            </w:r>
            <w:r>
              <w:rPr>
                <w:rFonts w:hint="eastAsia" w:ascii="宋体" w:hAnsi="宋体" w:eastAsia="宋体" w:cs="宋体"/>
                <w:i/>
                <w:iCs/>
                <w:sz w:val="24"/>
                <w:szCs w:val="24"/>
                <w:highlight w:val="none"/>
                <w:u w:val="single"/>
                <w:lang w:eastAsia="zh-CN"/>
              </w:rPr>
              <w:t xml:space="preserve">、</w:t>
            </w:r>
            <w:r>
              <w:rPr>
                <w:rFonts w:hint="eastAsia" w:ascii="宋体" w:hAnsi="宋体" w:eastAsia="宋体" w:cs="宋体"/>
                <w:i/>
                <w:iCs/>
                <w:sz w:val="24"/>
                <w:szCs w:val="24"/>
                <w:highlight w:val="none"/>
                <w:u w:val="single"/>
              </w:rPr>
              <w:t xml:space="preserve">支持手动控制，前面板具备≥8个硅胶发光按键控制，带状态指示，紧急情况下可以手动控制继电器的开关，在中控出现故障时可使用这一功能，很好的保护其他的设备。</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2</w:t>
            </w:r>
            <w:r>
              <w:rPr>
                <w:rFonts w:hint="eastAsia" w:ascii="宋体" w:hAnsi="宋体" w:eastAsia="宋体" w:cs="宋体"/>
                <w:i/>
                <w:iCs/>
                <w:sz w:val="24"/>
                <w:szCs w:val="24"/>
                <w:highlight w:val="none"/>
                <w:u w:val="single"/>
                <w:lang w:eastAsia="zh-CN"/>
              </w:rPr>
              <w:t xml:space="preserve">、</w:t>
            </w:r>
            <w:r>
              <w:rPr>
                <w:rFonts w:hint="eastAsia" w:ascii="宋体" w:hAnsi="宋体" w:eastAsia="宋体" w:cs="宋体"/>
                <w:i/>
                <w:iCs/>
                <w:sz w:val="24"/>
                <w:szCs w:val="24"/>
                <w:highlight w:val="none"/>
                <w:u w:val="single"/>
              </w:rPr>
              <w:t xml:space="preserve">支持IO控制，在机器的内部有≥8个IO接口，在没有中控的情况下也能使用，用途更广；</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协议兼容能力强，可兼容目前市面上用得比较广的中控网络协议；</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支持ID选择，支持通过旋转ID切换设置网络ID身份代码；</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每路继电器都有三连接点的接线柱，具有常开与常闭的功能；</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前面板带LCD显示，可设定网络参数；</w:t>
            </w:r>
            <w:r/>
          </w:p>
        </w:tc>
        <w:tc>
          <w:tcPr>
            <w:tcBorders>
              <w:top w:val="none" w:color="000000" w:sz="4" w:space="0"/>
              <w:left w:val="none" w:color="000000" w:sz="4" w:space="0"/>
              <w:bottom w:val="single" w:color="auto" w:sz="4" w:space="0"/>
              <w:right w:val="single" w:color="auto" w:sz="4" w:space="0"/>
            </w:tcBorders>
            <w:tcW w:w="601"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r>
      <w:tr>
        <w:trPr>
          <w:trHeight w:val="780"/>
        </w:trPr>
        <w:tc>
          <w:tcPr>
            <w:tcBorders>
              <w:top w:val="none" w:color="000000" w:sz="4" w:space="0"/>
              <w:left w:val="single" w:color="auto" w:sz="4" w:space="0"/>
              <w:bottom w:val="single" w:color="auto" w:sz="4" w:space="0"/>
              <w:right w:val="single" w:color="auto" w:sz="4" w:space="0"/>
            </w:tcBorders>
            <w:tcW w:w="616"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w:t>
            </w:r>
            <w:r/>
          </w:p>
        </w:tc>
        <w:tc>
          <w:tcPr>
            <w:tcBorders>
              <w:top w:val="none" w:color="000000" w:sz="4" w:space="0"/>
              <w:left w:val="none" w:color="000000" w:sz="4" w:space="0"/>
              <w:bottom w:val="single" w:color="auto" w:sz="4" w:space="0"/>
              <w:right w:val="single" w:color="auto" w:sz="4" w:space="0"/>
            </w:tcBorders>
            <w:tcW w:w="1071"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节点安装支架</w:t>
            </w:r>
            <w:r/>
          </w:p>
        </w:tc>
        <w:tc>
          <w:tcPr>
            <w:tcBorders>
              <w:top w:val="none" w:color="000000" w:sz="4" w:space="0"/>
              <w:left w:val="none" w:color="000000" w:sz="4" w:space="0"/>
              <w:bottom w:val="single" w:color="auto" w:sz="4" w:space="0"/>
              <w:right w:val="single" w:color="auto" w:sz="4" w:space="0"/>
            </w:tcBorders>
            <w:tcW w:w="6220"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1、满足节点机柜整体部署安装；</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2、适用于分布式（坐席）输入/输出节点安装；</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3、7u最多可支持安装10个分布式节点；</w:t>
            </w:r>
            <w:r/>
          </w:p>
        </w:tc>
        <w:tc>
          <w:tcPr>
            <w:tcBorders>
              <w:top w:val="none" w:color="000000" w:sz="4" w:space="0"/>
              <w:left w:val="none" w:color="000000" w:sz="4" w:space="0"/>
              <w:bottom w:val="single" w:color="auto" w:sz="4" w:space="0"/>
              <w:right w:val="single" w:color="auto" w:sz="4" w:space="0"/>
            </w:tcBorders>
            <w:tcW w:w="601"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r>
      <w:tr>
        <w:trPr>
          <w:trHeight w:val="5260"/>
        </w:trPr>
        <w:tc>
          <w:tcPr>
            <w:tcBorders>
              <w:top w:val="none" w:color="000000" w:sz="4" w:space="0"/>
              <w:left w:val="single" w:color="auto" w:sz="4" w:space="0"/>
              <w:bottom w:val="single" w:color="auto" w:sz="4" w:space="0"/>
              <w:right w:val="single" w:color="auto" w:sz="4" w:space="0"/>
            </w:tcBorders>
            <w:tcW w:w="616"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w:t>
            </w:r>
            <w:r/>
          </w:p>
        </w:tc>
        <w:tc>
          <w:tcPr>
            <w:tcBorders>
              <w:top w:val="none" w:color="000000" w:sz="4" w:space="0"/>
              <w:left w:val="none" w:color="000000" w:sz="4" w:space="0"/>
              <w:bottom w:val="single" w:color="auto" w:sz="4" w:space="0"/>
              <w:right w:val="single" w:color="auto" w:sz="4" w:space="0"/>
            </w:tcBorders>
            <w:tcW w:w="1071"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电源时序器</w:t>
            </w:r>
            <w:r/>
          </w:p>
        </w:tc>
        <w:tc>
          <w:tcPr>
            <w:tcBorders>
              <w:top w:val="none" w:color="000000" w:sz="4" w:space="0"/>
              <w:left w:val="none" w:color="000000" w:sz="4" w:space="0"/>
              <w:bottom w:val="single" w:color="auto" w:sz="4" w:space="0"/>
              <w:right w:val="single" w:color="auto" w:sz="4" w:space="0"/>
            </w:tcBorders>
            <w:tcW w:w="6220"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供电架构</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1、电源输入：三相五线制AC 380V(±10%)，50/60Hz与单相AC220V(±10%)，50/60Hz，多种输入方式选择，具备全球主流电力环境自适应。</w:t>
            </w:r>
            <w:r>
              <w:rPr>
                <w:rFonts w:hint="eastAsia" w:ascii="宋体" w:hAnsi="宋体" w:eastAsia="宋体" w:cs="宋体"/>
                <w:sz w:val="24"/>
                <w:szCs w:val="24"/>
                <w:highlight w:val="none"/>
              </w:rPr>
              <w:br/>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2、电源输出：12路独立可控通道，每路输出额定电压 AC220V ±10%，单通道负载能力达4kW，整机最大带载功率48kW，满足中大型演出、数据中心、会议集成等高功率用电管控场景。（提供功能截图扫描上传）</w:t>
            </w:r>
            <w:r>
              <w:rPr>
                <w:rFonts w:hint="eastAsia" w:ascii="宋体" w:hAnsi="宋体" w:eastAsia="宋体" w:cs="宋体"/>
                <w:sz w:val="24"/>
                <w:szCs w:val="24"/>
                <w:highlight w:val="none"/>
              </w:rPr>
              <w:br/>
            </w:r>
            <w:r>
              <w:rPr>
                <w:rFonts w:hint="eastAsia" w:ascii="宋体" w:hAnsi="宋体" w:eastAsia="宋体" w:cs="宋体"/>
                <w:i/>
                <w:iCs/>
                <w:sz w:val="24"/>
                <w:szCs w:val="24"/>
                <w:highlight w:val="none"/>
                <w:u w:val="single"/>
              </w:rPr>
              <w:t xml:space="preserve">3、智能短路与过载保护：每路输出独立配备液压电磁式 20A 断路器，具备过载保护与瞬时短路切断能力，相比传统热磁式断路器响应速度更快、使用寿命更长，可有效杜绝电弧隐患。</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4、本地控制模式切换：具备紧急物理按键，可实时切换本地触屏时序开关模式和应急物理按键时序开关两种控制模式，两种控制方式相互独立，实现全工况应急控制兜底，可快速通过设备紧急开关进行电源一键时序开关</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远程智控</w:t>
            </w:r>
            <w:r>
              <w:rPr>
                <w:rFonts w:hint="eastAsia" w:ascii="宋体" w:hAnsi="宋体" w:eastAsia="宋体" w:cs="宋体"/>
                <w:sz w:val="24"/>
                <w:szCs w:val="24"/>
                <w:highlight w:val="none"/>
              </w:rPr>
              <w:br/>
            </w:r>
            <w:r>
              <w:rPr>
                <w:rFonts w:hint="eastAsia" w:ascii="宋体" w:hAnsi="宋体" w:eastAsia="宋体" w:cs="宋体"/>
                <w:i/>
                <w:iCs/>
                <w:sz w:val="24"/>
                <w:szCs w:val="24"/>
                <w:highlight w:val="none"/>
                <w:u w:val="single"/>
              </w:rPr>
              <w:t xml:space="preserve">1、一键时序调度：平台端可远程对设备12路通道进行一键式顺序、逆序、自定义顺序控制及每路独立开关操作，也可远程触发12路输出通道的批量开关动作，适用于系统启动、关机等标准化流程。</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2、三相综合监测：平台端实时监测设备三相输入电压、电流、温度以及设备湿度、累计运行时长、总用电量、总功率。</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3、通道级精细化感知：平台端实时监测每路输出通道的实时电流、功率、异常状态、运行时长、自定义备注信息。</w:t>
            </w:r>
            <w:r>
              <w:rPr>
                <w:rFonts w:hint="eastAsia" w:ascii="宋体" w:hAnsi="宋体" w:eastAsia="宋体" w:cs="宋体"/>
                <w:sz w:val="24"/>
                <w:szCs w:val="24"/>
                <w:highlight w:val="none"/>
              </w:rPr>
              <w:br/>
            </w:r>
            <w:r>
              <w:rPr>
                <w:rFonts w:hint="eastAsia" w:ascii="宋体" w:hAnsi="宋体" w:eastAsia="宋体" w:cs="宋体"/>
                <w:i/>
                <w:iCs/>
                <w:sz w:val="24"/>
                <w:szCs w:val="24"/>
                <w:highlight w:val="none"/>
                <w:u w:val="single"/>
              </w:rPr>
              <w:t xml:space="preserve">4、智能告警与主动通知：平台端具备输入过压/欠压、温度超限、每路电流/功率超阈值等事件。可分级设定告警动作（仅通知 / 通知+断电）</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br/>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5、云端告警聚合：所有告警自动上传至物联网平台，通过手机App和电脑Web端实时推送告警设备名称、场所、时间、详情及告警次数，方便管理员快速掌握所有设备维护情况。（提供功能截图扫描上传）</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6、场景自动化引擎：电源管理平台端具备手动场景、自动场景、条件场景三类任务设置，可自定义执行日期、周期（周/月/单次），能够实时查看执行的场景名称、创建时间、执行操作和结果，实现无人值守状态下的设备联动控制。</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7、精细化定时策略：平台端可针对任意通道组合，独立设置定时开关任务，具备重复周期（每天/工作日/自定义）与无限循环模式。</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8、全场景日志审计：平台端自动记录场景名称、创建时间、执行结果，为运维审计与故障回溯提供可溯源轨迹。</w:t>
            </w:r>
            <w:r>
              <w:rPr>
                <w:rFonts w:hint="eastAsia" w:ascii="宋体" w:hAnsi="宋体" w:eastAsia="宋体" w:cs="宋体"/>
                <w:sz w:val="24"/>
                <w:szCs w:val="24"/>
                <w:highlight w:val="none"/>
              </w:rPr>
              <w:br/>
            </w:r>
            <w:r>
              <w:rPr>
                <w:rFonts w:hint="eastAsia" w:ascii="宋体" w:hAnsi="宋体" w:eastAsia="宋体" w:cs="宋体"/>
                <w:i/>
                <w:iCs/>
                <w:sz w:val="24"/>
                <w:szCs w:val="24"/>
                <w:highlight w:val="none"/>
                <w:u w:val="single"/>
              </w:rPr>
              <w:t xml:space="preserve">9、系统链路拓补图：电源管理平台端联动其他设备形成系统化链路拓补图，直观展示各设备之间连接情况，快速确认设备之间是否存在故障断联。</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10、功率趋势分析：平台端自动生成功率走势图，能够查看各个通道在23小时内的功率使用情况，帮助识别设备老化、负荷异常、峰值规律，为扩容或节能提供数据支撑。</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智慧交互</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1、工业级触控中枢</w:t>
            </w:r>
            <w:r>
              <w:rPr>
                <w:rFonts w:hint="eastAsia" w:ascii="宋体" w:hAnsi="宋体" w:eastAsia="宋体" w:cs="宋体"/>
                <w:sz w:val="24"/>
                <w:szCs w:val="24"/>
                <w:highlight w:val="none"/>
                <w:lang w:eastAsia="zh-CN"/>
              </w:rPr>
              <w:t xml:space="preserve">：</w:t>
            </w:r>
            <w:r>
              <w:rPr>
                <w:rFonts w:hint="eastAsia" w:ascii="宋体" w:hAnsi="宋体" w:eastAsia="宋体" w:cs="宋体"/>
                <w:i/>
                <w:iCs/>
                <w:sz w:val="24"/>
                <w:szCs w:val="24"/>
                <w:highlight w:val="none"/>
                <w:u w:val="none"/>
              </w:rPr>
              <w:t xml:space="preserve">≧</w:t>
            </w:r>
            <w:r>
              <w:rPr>
                <w:rFonts w:hint="eastAsia" w:ascii="宋体" w:hAnsi="宋体" w:eastAsia="宋体" w:cs="宋体"/>
                <w:sz w:val="24"/>
                <w:szCs w:val="24"/>
                <w:highlight w:val="none"/>
                <w:u w:val="none"/>
              </w:rPr>
              <w:t xml:space="preserve">4.</w:t>
            </w:r>
            <w:r>
              <w:rPr>
                <w:rFonts w:hint="eastAsia" w:ascii="宋体" w:hAnsi="宋体" w:eastAsia="宋体" w:cs="宋体"/>
                <w:sz w:val="24"/>
                <w:szCs w:val="24"/>
                <w:highlight w:val="none"/>
              </w:rPr>
              <w:t xml:space="preserve">3 英寸 IPS 电容触摸屏，实时呈现设备状态、日期时间、三相电压状态，以及12路输出电压、电流、功率、状态、温度等信息。具备屏幕锁与显示亮度无极调节，适应强光、暗场等多种工程环境。</w:t>
            </w:r>
            <w:r>
              <w:rPr>
                <w:rFonts w:hint="eastAsia" w:ascii="宋体" w:hAnsi="宋体" w:eastAsia="宋体" w:cs="宋体"/>
                <w:sz w:val="24"/>
                <w:szCs w:val="24"/>
                <w:highlight w:val="none"/>
              </w:rPr>
              <w:br/>
            </w:r>
            <w:r>
              <w:rPr>
                <w:rFonts w:hint="eastAsia" w:ascii="宋体" w:hAnsi="宋体" w:eastAsia="宋体" w:cs="宋体"/>
                <w:i/>
                <w:iCs/>
                <w:sz w:val="24"/>
                <w:szCs w:val="24"/>
                <w:highlight w:val="none"/>
                <w:u w:val="single"/>
              </w:rPr>
              <w:t xml:space="preserve">2、本机定时任务：无需联网即可在设备端新增定时任务，自定义任务名称、开关动作、执行周期（单次/循环）、执行通道顺序，保障离线场景下的自动化能力。</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3、本机电气安全设置：直接在设备端设置过压/欠压/温度/每路过流阈值，并查看每一路的告警状态，实现本地化闭环管理。</w:t>
            </w:r>
            <w:r>
              <w:rPr>
                <w:rFonts w:hint="eastAsia" w:ascii="宋体" w:hAnsi="宋体" w:eastAsia="宋体" w:cs="宋体"/>
                <w:sz w:val="24"/>
                <w:szCs w:val="24"/>
                <w:highlight w:val="none"/>
              </w:rPr>
              <w:br/>
            </w:r>
            <w:r>
              <w:rPr>
                <w:rFonts w:hint="eastAsia" w:ascii="宋体" w:hAnsi="宋体" w:eastAsia="宋体" w:cs="宋体"/>
                <w:i/>
                <w:iCs/>
                <w:sz w:val="24"/>
                <w:szCs w:val="24"/>
                <w:highlight w:val="none"/>
                <w:u w:val="single"/>
              </w:rPr>
              <w:t xml:space="preserve">4、远程操作使能开关：设备端可物理开启/关闭远程控制功能，有效防止云端误操作或网络攻击导致的意外断电，保障关键负载的绝对可控性。</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5、本机优先原则：本地触控操作与平台指令实时同步，当网络中断时，本机定时任务与安全保护策略仍可独立正常运行，确保系统高可用性，避免因网络问题影响设备运行。</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开放集成</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 、DMX512 专业照明协议：可进行设备端进行地址码配置，能够接收DMX512信号控制每一路通道开关，无缝融入舞台、演播厅、剧场等专业灯光系统。</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2 、RS485串口中控集成：具有标准RS485端子，能够接收RS485信号控制每一路通道开关，实现对接现场智能化系统统一调度。</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3、双模式网络控制：内置RJ45以太网接口，具备局域网本地直管与物联网云平台远程管控双模式并行，并可通过网络进行固件远程升级（OTA），持续获取功能迭代。</w:t>
            </w:r>
            <w:r>
              <w:rPr>
                <w:rFonts w:hint="eastAsia" w:ascii="宋体" w:hAnsi="宋体" w:eastAsia="宋体" w:cs="宋体"/>
                <w:sz w:val="24"/>
                <w:szCs w:val="24"/>
                <w:highlight w:val="none"/>
              </w:rPr>
              <w:br/>
            </w:r>
            <w:r>
              <w:rPr>
                <w:rFonts w:hint="eastAsia" w:ascii="宋体" w:hAnsi="宋体" w:eastAsia="宋体" w:cs="宋体"/>
                <w:i/>
                <w:iCs/>
                <w:sz w:val="24"/>
                <w:szCs w:val="24"/>
                <w:highlight w:val="none"/>
                <w:u w:val="single"/>
              </w:rPr>
              <w:t xml:space="preserve">4、本机云端双备份: 本地触控操作与平台指令实时同步，当网络中断时，本机定时任务与电气设置仍可独立正常运行</w:t>
            </w:r>
            <w:r/>
          </w:p>
        </w:tc>
        <w:tc>
          <w:tcPr>
            <w:tcBorders>
              <w:top w:val="none" w:color="000000" w:sz="4" w:space="0"/>
              <w:left w:val="none" w:color="000000" w:sz="4" w:space="0"/>
              <w:bottom w:val="single" w:color="auto" w:sz="4" w:space="0"/>
              <w:right w:val="single" w:color="auto" w:sz="4" w:space="0"/>
            </w:tcBorders>
            <w:tcW w:w="601"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trHeight w:val="1300"/>
        </w:trPr>
        <w:tc>
          <w:tcPr>
            <w:tcBorders>
              <w:top w:val="none" w:color="000000" w:sz="4" w:space="0"/>
              <w:left w:val="single" w:color="auto" w:sz="4" w:space="0"/>
              <w:bottom w:val="single" w:color="auto" w:sz="4" w:space="0"/>
              <w:right w:val="single" w:color="auto" w:sz="4" w:space="0"/>
            </w:tcBorders>
            <w:tcW w:w="616"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p>
        </w:tc>
        <w:tc>
          <w:tcPr>
            <w:tcBorders>
              <w:top w:val="none" w:color="000000" w:sz="4" w:space="0"/>
              <w:left w:val="none" w:color="000000" w:sz="4" w:space="0"/>
              <w:bottom w:val="single" w:color="auto" w:sz="4" w:space="0"/>
              <w:right w:val="single" w:color="auto" w:sz="4" w:space="0"/>
            </w:tcBorders>
            <w:tcW w:w="1071"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平板触摸屏</w:t>
            </w:r>
            <w:r/>
          </w:p>
        </w:tc>
        <w:tc>
          <w:tcPr>
            <w:tcBorders>
              <w:top w:val="none" w:color="000000" w:sz="4" w:space="0"/>
              <w:left w:val="none" w:color="000000" w:sz="4" w:space="0"/>
              <w:bottom w:val="single" w:color="auto" w:sz="4" w:space="0"/>
              <w:right w:val="single" w:color="auto" w:sz="4" w:space="0"/>
            </w:tcBorders>
            <w:tcW w:w="6220" w:type="dxa"/>
            <w:textDirection w:val="lrTb"/>
            <w:noWrap w:val="false"/>
          </w:tcPr>
          <w:p>
            <w:pPr>
              <w:jc w:val="left"/>
              <w:widowControl/>
              <w:rPr>
                <w:rFonts w:hint="eastAsia"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t xml:space="preserve">1、屏幕尺寸≧11.5英寸</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2、不低于</w:t>
            </w:r>
            <w:r>
              <w:rPr>
                <w:rFonts w:hint="eastAsia" w:ascii="宋体" w:hAnsi="宋体" w:eastAsia="宋体" w:cs="宋体"/>
                <w:i/>
                <w:iCs/>
                <w:sz w:val="24"/>
                <w:szCs w:val="24"/>
                <w:highlight w:val="none"/>
                <w:u w:val="single"/>
                <w:lang w:val="en-US" w:eastAsia="zh-CN"/>
              </w:rPr>
              <w:t xml:space="preserve">16</w:t>
            </w:r>
            <w:r>
              <w:rPr>
                <w:rFonts w:hint="eastAsia" w:ascii="宋体" w:hAnsi="宋体" w:eastAsia="宋体" w:cs="宋体"/>
                <w:i/>
                <w:iCs/>
                <w:sz w:val="24"/>
                <w:szCs w:val="24"/>
                <w:highlight w:val="none"/>
                <w:u w:val="single"/>
              </w:rPr>
              <w:t xml:space="preserve">G+</w:t>
            </w:r>
            <w:r>
              <w:rPr>
                <w:rFonts w:hint="eastAsia" w:ascii="宋体" w:hAnsi="宋体" w:eastAsia="宋体" w:cs="宋体"/>
                <w:i/>
                <w:iCs/>
                <w:sz w:val="24"/>
                <w:szCs w:val="24"/>
                <w:highlight w:val="none"/>
                <w:u w:val="single"/>
                <w:lang w:val="en-US" w:eastAsia="zh-CN"/>
              </w:rPr>
              <w:t xml:space="preserve">512</w:t>
            </w:r>
            <w:r>
              <w:rPr>
                <w:rFonts w:hint="eastAsia" w:ascii="宋体" w:hAnsi="宋体" w:eastAsia="宋体" w:cs="宋体"/>
                <w:i/>
                <w:iCs/>
                <w:sz w:val="24"/>
                <w:szCs w:val="24"/>
                <w:highlight w:val="none"/>
                <w:u w:val="single"/>
              </w:rPr>
              <w:t xml:space="preserve">G  </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3、国产操作系统 </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4、分辨率≧2200*1440   </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5、全网通信号</w:t>
            </w:r>
            <w:r/>
          </w:p>
        </w:tc>
        <w:tc>
          <w:tcPr>
            <w:tcBorders>
              <w:top w:val="none" w:color="000000" w:sz="4" w:space="0"/>
              <w:left w:val="none" w:color="000000" w:sz="4" w:space="0"/>
              <w:bottom w:val="single" w:color="auto" w:sz="4" w:space="0"/>
              <w:right w:val="single" w:color="auto" w:sz="4" w:space="0"/>
            </w:tcBorders>
            <w:tcW w:w="601"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trHeight w:val="1584"/>
        </w:trPr>
        <w:tc>
          <w:tcPr>
            <w:tcBorders>
              <w:top w:val="none" w:color="000000" w:sz="4" w:space="0"/>
              <w:left w:val="single" w:color="auto" w:sz="4" w:space="0"/>
              <w:bottom w:val="single" w:color="auto" w:sz="4" w:space="0"/>
              <w:right w:val="single" w:color="auto" w:sz="4" w:space="0"/>
            </w:tcBorders>
            <w:tcW w:w="616"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w:t>
            </w:r>
            <w:r/>
          </w:p>
        </w:tc>
        <w:tc>
          <w:tcPr>
            <w:tcBorders>
              <w:top w:val="none" w:color="000000" w:sz="4" w:space="0"/>
              <w:left w:val="none" w:color="000000" w:sz="4" w:space="0"/>
              <w:bottom w:val="single" w:color="auto" w:sz="4" w:space="0"/>
              <w:right w:val="single" w:color="auto" w:sz="4" w:space="0"/>
            </w:tcBorders>
            <w:tcW w:w="1071"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墙上触控屏</w:t>
            </w:r>
            <w:r/>
          </w:p>
        </w:tc>
        <w:tc>
          <w:tcPr>
            <w:tcBorders>
              <w:top w:val="none" w:color="000000" w:sz="4" w:space="0"/>
              <w:left w:val="none" w:color="000000" w:sz="4" w:space="0"/>
              <w:bottom w:val="single" w:color="auto" w:sz="4" w:space="0"/>
              <w:right w:val="single" w:color="auto" w:sz="4" w:space="0"/>
            </w:tcBorders>
            <w:tcW w:w="6220" w:type="dxa"/>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i/>
                <w:iCs/>
                <w:sz w:val="24"/>
                <w:szCs w:val="24"/>
                <w:highlight w:val="none"/>
                <w:u w:val="single"/>
              </w:rPr>
              <w:t xml:space="preserve">1</w:t>
            </w:r>
            <w:r>
              <w:rPr>
                <w:rFonts w:hint="eastAsia" w:ascii="宋体" w:hAnsi="宋体" w:eastAsia="宋体" w:cs="宋体"/>
                <w:i/>
                <w:iCs/>
                <w:sz w:val="24"/>
                <w:szCs w:val="24"/>
                <w:highlight w:val="none"/>
                <w:u w:val="single"/>
                <w:lang w:eastAsia="zh-CN"/>
              </w:rPr>
              <w:t xml:space="preserve">、</w:t>
            </w:r>
            <w:r>
              <w:rPr>
                <w:rFonts w:hint="eastAsia" w:ascii="宋体" w:hAnsi="宋体" w:eastAsia="宋体" w:cs="宋体"/>
                <w:i/>
                <w:iCs/>
                <w:sz w:val="24"/>
                <w:szCs w:val="24"/>
                <w:highlight w:val="none"/>
                <w:u w:val="single"/>
              </w:rPr>
              <w:t xml:space="preserve">≧10.1英寸电容式触控屏，屏幕分辨率 ≧1920*1200 像素；</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2</w:t>
            </w:r>
            <w:r>
              <w:rPr>
                <w:rFonts w:hint="eastAsia" w:ascii="宋体" w:hAnsi="宋体" w:eastAsia="宋体" w:cs="宋体"/>
                <w:i/>
                <w:iCs/>
                <w:sz w:val="24"/>
                <w:szCs w:val="24"/>
                <w:highlight w:val="none"/>
                <w:u w:val="single"/>
                <w:lang w:eastAsia="zh-CN"/>
              </w:rPr>
              <w:t xml:space="preserve">、</w:t>
            </w:r>
            <w:r>
              <w:rPr>
                <w:rFonts w:hint="eastAsia" w:ascii="宋体" w:hAnsi="宋体" w:eastAsia="宋体" w:cs="宋体"/>
                <w:i/>
                <w:iCs/>
                <w:sz w:val="24"/>
                <w:szCs w:val="24"/>
                <w:highlight w:val="none"/>
                <w:u w:val="single"/>
              </w:rPr>
              <w:t xml:space="preserve">操作界面可编辑，图形界面支持图片，图形，文字，动画，按键等；</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支持分布式系统可视化预览，图像上屏、开窗、漫游；</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支持联动中控控制灯光、电源、窗帘等第三方设备；</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嵌入式安装，安装方便；</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主流</w:t>
            </w:r>
            <w:r>
              <w:rPr>
                <w:rFonts w:hint="eastAsia" w:ascii="宋体" w:hAnsi="宋体" w:eastAsia="宋体" w:cs="宋体"/>
                <w:sz w:val="24"/>
                <w:szCs w:val="24"/>
                <w:highlight w:val="none"/>
              </w:rPr>
              <w:t xml:space="preserve">操作系统。</w:t>
            </w:r>
            <w:r/>
          </w:p>
        </w:tc>
        <w:tc>
          <w:tcPr>
            <w:tcBorders>
              <w:top w:val="none" w:color="000000" w:sz="4" w:space="0"/>
              <w:left w:val="none" w:color="000000" w:sz="4" w:space="0"/>
              <w:bottom w:val="single" w:color="auto" w:sz="4" w:space="0"/>
              <w:right w:val="single" w:color="auto" w:sz="4" w:space="0"/>
            </w:tcBorders>
            <w:tcW w:w="601"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trHeight w:val="780"/>
        </w:trPr>
        <w:tc>
          <w:tcPr>
            <w:tcBorders>
              <w:top w:val="none" w:color="000000" w:sz="4" w:space="0"/>
              <w:left w:val="single" w:color="auto" w:sz="4" w:space="0"/>
              <w:bottom w:val="single" w:color="auto" w:sz="4" w:space="0"/>
              <w:right w:val="single" w:color="auto" w:sz="4" w:space="0"/>
            </w:tcBorders>
            <w:tcW w:w="616"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w:t>
            </w:r>
            <w:r/>
          </w:p>
        </w:tc>
        <w:tc>
          <w:tcPr>
            <w:tcBorders>
              <w:top w:val="none" w:color="000000" w:sz="4" w:space="0"/>
              <w:left w:val="none" w:color="000000" w:sz="4" w:space="0"/>
              <w:bottom w:val="single" w:color="auto" w:sz="4" w:space="0"/>
              <w:right w:val="single" w:color="auto" w:sz="4" w:space="0"/>
            </w:tcBorders>
            <w:tcW w:w="1071"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无线路由器</w:t>
            </w:r>
            <w:r/>
          </w:p>
        </w:tc>
        <w:tc>
          <w:tcPr>
            <w:tcBorders>
              <w:top w:val="none" w:color="000000" w:sz="4" w:space="0"/>
              <w:left w:val="none" w:color="000000" w:sz="4" w:space="0"/>
              <w:bottom w:val="single" w:color="auto" w:sz="4" w:space="0"/>
              <w:right w:val="single" w:color="auto" w:sz="4" w:space="0"/>
            </w:tcBorders>
            <w:tcW w:w="6220"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i/>
                <w:iCs/>
                <w:sz w:val="24"/>
                <w:szCs w:val="24"/>
                <w:highlight w:val="none"/>
                <w:u w:val="single"/>
                <w:lang w:val="en-US" w:eastAsia="zh-CN"/>
              </w:rPr>
              <w:t xml:space="preserve">1、</w:t>
            </w:r>
            <w:r>
              <w:rPr>
                <w:rFonts w:hint="eastAsia" w:ascii="宋体" w:hAnsi="宋体" w:eastAsia="宋体" w:cs="宋体"/>
                <w:i/>
                <w:iCs/>
                <w:sz w:val="24"/>
                <w:szCs w:val="24"/>
                <w:highlight w:val="none"/>
                <w:u w:val="single"/>
              </w:rPr>
              <w:t xml:space="preserve">Wan口: 10/100/1000 Mbps 千兆 WAN 端口</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lang w:val="en-US" w:eastAsia="zh-CN"/>
              </w:rPr>
              <w:t xml:space="preserve">2、</w:t>
            </w:r>
            <w:r>
              <w:rPr>
                <w:rFonts w:hint="eastAsia" w:ascii="宋体" w:hAnsi="宋体" w:eastAsia="宋体" w:cs="宋体"/>
                <w:i/>
                <w:iCs/>
                <w:sz w:val="24"/>
                <w:szCs w:val="24"/>
                <w:highlight w:val="none"/>
                <w:u w:val="single"/>
              </w:rPr>
              <w:t xml:space="preserve">Lan口: 10/100/1000 Mbps 千兆 LAN 端口</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lang w:val="en-US" w:eastAsia="zh-CN"/>
              </w:rPr>
              <w:t xml:space="preserve">3、</w:t>
            </w:r>
            <w:r>
              <w:rPr>
                <w:rFonts w:hint="eastAsia" w:ascii="宋体" w:hAnsi="宋体" w:eastAsia="宋体" w:cs="宋体"/>
                <w:i/>
                <w:iCs/>
                <w:sz w:val="24"/>
                <w:szCs w:val="24"/>
                <w:highlight w:val="none"/>
                <w:u w:val="single"/>
              </w:rPr>
              <w:t xml:space="preserve">无线传输率 300Mbps</w:t>
            </w:r>
            <w:r/>
          </w:p>
        </w:tc>
        <w:tc>
          <w:tcPr>
            <w:tcBorders>
              <w:top w:val="none" w:color="000000" w:sz="4" w:space="0"/>
              <w:left w:val="none" w:color="000000" w:sz="4" w:space="0"/>
              <w:bottom w:val="single" w:color="auto" w:sz="4" w:space="0"/>
              <w:right w:val="single" w:color="auto" w:sz="4" w:space="0"/>
            </w:tcBorders>
            <w:tcW w:w="601"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trHeight w:val="1820"/>
        </w:trPr>
        <w:tc>
          <w:tcPr>
            <w:tcBorders>
              <w:top w:val="none" w:color="000000" w:sz="4" w:space="0"/>
              <w:left w:val="single" w:color="auto" w:sz="4" w:space="0"/>
              <w:bottom w:val="single" w:color="auto" w:sz="4" w:space="0"/>
              <w:right w:val="single" w:color="auto" w:sz="4" w:space="0"/>
            </w:tcBorders>
            <w:tcW w:w="616"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w:t>
            </w:r>
            <w:r/>
          </w:p>
        </w:tc>
        <w:tc>
          <w:tcPr>
            <w:tcBorders>
              <w:top w:val="none" w:color="000000" w:sz="4" w:space="0"/>
              <w:left w:val="none" w:color="000000" w:sz="4" w:space="0"/>
              <w:bottom w:val="single" w:color="auto" w:sz="4" w:space="0"/>
              <w:right w:val="single" w:color="auto" w:sz="4" w:space="0"/>
            </w:tcBorders>
            <w:tcW w:w="1071"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24口千兆PoE交换机</w:t>
            </w:r>
            <w:r/>
          </w:p>
        </w:tc>
        <w:tc>
          <w:tcPr>
            <w:tcBorders>
              <w:top w:val="none" w:color="000000" w:sz="4" w:space="0"/>
              <w:left w:val="none" w:color="000000" w:sz="4" w:space="0"/>
              <w:bottom w:val="single" w:color="auto" w:sz="4" w:space="0"/>
              <w:right w:val="single" w:color="auto" w:sz="4" w:space="0"/>
            </w:tcBorders>
            <w:tcW w:w="6220"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i/>
                <w:iCs/>
                <w:sz w:val="24"/>
                <w:szCs w:val="24"/>
                <w:highlight w:val="none"/>
                <w:u w:val="single"/>
              </w:rPr>
              <w:t xml:space="preserve">1.24个10/100/1000BASE-T以太网端口,4个千兆SFP；</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2.包转发率≥126Mpps；</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3.交换容量≥672Gbps/6.72Tbps；</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4.支持POE功能；</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5.支持端口运维；</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6.含2个千兆光模块；</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7.对交换机进行一体化运维监测；</w:t>
            </w:r>
            <w:r/>
          </w:p>
        </w:tc>
        <w:tc>
          <w:tcPr>
            <w:tcBorders>
              <w:top w:val="none" w:color="000000" w:sz="4" w:space="0"/>
              <w:left w:val="none" w:color="000000" w:sz="4" w:space="0"/>
              <w:bottom w:val="single" w:color="auto" w:sz="4" w:space="0"/>
              <w:right w:val="single" w:color="auto" w:sz="4" w:space="0"/>
            </w:tcBorders>
            <w:tcW w:w="601"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trHeight w:val="290"/>
        </w:trPr>
        <w:tc>
          <w:tcPr>
            <w:gridSpan w:val="2"/>
            <w:tcBorders>
              <w:top w:val="none" w:color="000000" w:sz="4" w:space="0"/>
              <w:left w:val="single" w:color="auto" w:sz="4" w:space="0"/>
              <w:bottom w:val="single" w:color="auto" w:sz="4" w:space="0"/>
              <w:right w:val="single" w:color="auto" w:sz="4" w:space="0"/>
            </w:tcBorders>
            <w:tcW w:w="1687" w:type="dxa"/>
            <w:vAlign w:val="center"/>
            <w:textDirection w:val="lrTb"/>
            <w:noWrap w:val="false"/>
          </w:tcPr>
          <w:p>
            <w:pPr>
              <w:jc w:val="lef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五、舞台机械设备</w:t>
            </w:r>
            <w:r/>
          </w:p>
        </w:tc>
        <w:tc>
          <w:tcPr>
            <w:tcBorders>
              <w:top w:val="none" w:color="000000" w:sz="4" w:space="0"/>
              <w:left w:val="none" w:color="000000" w:sz="4" w:space="0"/>
              <w:bottom w:val="single" w:color="auto" w:sz="4" w:space="0"/>
              <w:right w:val="single" w:color="auto" w:sz="4" w:space="0"/>
            </w:tcBorders>
            <w:tcW w:w="6220" w:type="dxa"/>
            <w:vAlign w:val="center"/>
            <w:textDirection w:val="lrTb"/>
            <w:noWrap w:val="false"/>
          </w:tcPr>
          <w:p>
            <w:pPr>
              <w:jc w:val="lef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601" w:type="dxa"/>
            <w:vAlign w:val="center"/>
            <w:textDirection w:val="lrTb"/>
            <w:noWrap w:val="false"/>
          </w:tcPr>
          <w:p>
            <w:pPr>
              <w:jc w:val="lef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lef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　</w:t>
            </w:r>
            <w:r/>
          </w:p>
        </w:tc>
      </w:tr>
      <w:tr>
        <w:trPr>
          <w:trHeight w:val="520"/>
        </w:trPr>
        <w:tc>
          <w:tcPr>
            <w:tcBorders>
              <w:top w:val="none" w:color="000000" w:sz="4" w:space="0"/>
              <w:left w:val="single" w:color="auto" w:sz="4" w:space="0"/>
              <w:bottom w:val="single" w:color="auto" w:sz="4" w:space="0"/>
              <w:right w:val="single" w:color="auto" w:sz="4" w:space="0"/>
            </w:tcBorders>
            <w:tcW w:w="616"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none" w:color="000000" w:sz="4" w:space="0"/>
              <w:left w:val="none" w:color="000000" w:sz="4" w:space="0"/>
              <w:bottom w:val="single" w:color="auto" w:sz="4" w:space="0"/>
              <w:right w:val="single" w:color="auto" w:sz="4" w:space="0"/>
            </w:tcBorders>
            <w:tcW w:w="1071"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舞台机械控制系统</w:t>
            </w:r>
            <w:r/>
          </w:p>
        </w:tc>
        <w:tc>
          <w:tcPr>
            <w:tcBorders>
              <w:top w:val="none" w:color="000000" w:sz="4" w:space="0"/>
              <w:left w:val="none" w:color="000000" w:sz="4" w:space="0"/>
              <w:bottom w:val="single" w:color="auto" w:sz="4" w:space="0"/>
              <w:right w:val="single" w:color="auto" w:sz="4" w:space="0"/>
            </w:tcBorders>
            <w:tcW w:w="6220"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12路模拟控制，控制任何一个线路上的上限到位和下限到位，具有点控功能，设有乱相保护装置，电源指示等设施。</w:t>
            </w:r>
            <w:r/>
          </w:p>
        </w:tc>
        <w:tc>
          <w:tcPr>
            <w:tcBorders>
              <w:top w:val="none" w:color="000000" w:sz="4" w:space="0"/>
              <w:left w:val="none" w:color="000000" w:sz="4" w:space="0"/>
              <w:bottom w:val="single" w:color="auto" w:sz="4" w:space="0"/>
              <w:right w:val="single" w:color="auto" w:sz="4" w:space="0"/>
            </w:tcBorders>
            <w:tcW w:w="601"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套</w:t>
            </w:r>
            <w:r/>
          </w:p>
        </w:tc>
      </w:tr>
      <w:tr>
        <w:trPr>
          <w:trHeight w:val="2337"/>
        </w:trPr>
        <w:tc>
          <w:tcPr>
            <w:tcBorders>
              <w:top w:val="none" w:color="000000" w:sz="4" w:space="0"/>
              <w:left w:val="single" w:color="auto" w:sz="4" w:space="0"/>
              <w:bottom w:val="single" w:color="auto" w:sz="4" w:space="0"/>
              <w:right w:val="single" w:color="auto" w:sz="4" w:space="0"/>
            </w:tcBorders>
            <w:tcW w:w="616"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Borders>
              <w:top w:val="none" w:color="000000" w:sz="4" w:space="0"/>
              <w:left w:val="none" w:color="000000" w:sz="4" w:space="0"/>
              <w:bottom w:val="single" w:color="auto" w:sz="4" w:space="0"/>
              <w:right w:val="single" w:color="auto" w:sz="4" w:space="0"/>
            </w:tcBorders>
            <w:tcW w:w="1071"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电动面光吊杆</w:t>
            </w:r>
            <w:r/>
          </w:p>
        </w:tc>
        <w:tc>
          <w:tcPr>
            <w:tcBorders>
              <w:top w:val="none" w:color="000000" w:sz="4" w:space="0"/>
              <w:left w:val="none" w:color="000000" w:sz="4" w:space="0"/>
              <w:bottom w:val="single" w:color="auto" w:sz="4" w:space="0"/>
              <w:right w:val="single" w:color="auto" w:sz="4" w:space="0"/>
            </w:tcBorders>
            <w:tcW w:w="6220"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i/>
                <w:iCs/>
                <w:sz w:val="24"/>
                <w:szCs w:val="24"/>
                <w:highlight w:val="none"/>
                <w:u w:val="single"/>
              </w:rPr>
              <w:t xml:space="preserve">1.吊点数：≥4个；</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2.运行速度：≥0.2m/s；</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3.载荷：≥6KN；</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4、滑轮的节圆直径不小于钢丝绳直径的20倍；</w:t>
            </w:r>
            <w:r>
              <w:rPr>
                <w:rFonts w:hint="eastAsia" w:ascii="宋体" w:hAnsi="宋体" w:eastAsia="宋体" w:cs="宋体"/>
                <w:sz w:val="24"/>
                <w:szCs w:val="24"/>
                <w:highlight w:val="none"/>
              </w:rPr>
              <w:br/>
            </w:r>
            <w:r>
              <w:rPr>
                <w:rFonts w:hint="eastAsia" w:ascii="宋体" w:hAnsi="宋体" w:eastAsia="宋体" w:cs="宋体"/>
                <w:i/>
                <w:iCs/>
                <w:sz w:val="24"/>
                <w:szCs w:val="24"/>
                <w:highlight w:val="none"/>
                <w:u w:val="single"/>
              </w:rPr>
              <w:t xml:space="preserve">5、安全措施：配有上下限位装置、上下极限开关、防冲顶保护装置；</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6、杆体抱箍：采用双夹式设计，上口两眼穿孔，下口一眼穿孔，配套 M12 螺栓使用，吊挂杆体紧固件；</w:t>
            </w:r>
            <w:r>
              <w:rPr>
                <w:rFonts w:hint="eastAsia" w:ascii="宋体" w:hAnsi="宋体" w:eastAsia="宋体" w:cs="宋体"/>
                <w:sz w:val="24"/>
                <w:szCs w:val="24"/>
                <w:highlight w:val="none"/>
              </w:rPr>
              <w:br/>
            </w:r>
            <w:r>
              <w:rPr>
                <w:rFonts w:hint="eastAsia" w:ascii="宋体" w:hAnsi="宋体" w:eastAsia="宋体" w:cs="宋体"/>
                <w:i/>
                <w:iCs/>
                <w:sz w:val="24"/>
                <w:szCs w:val="24"/>
                <w:highlight w:val="none"/>
                <w:u w:val="single"/>
              </w:rPr>
              <w:t xml:space="preserve">7、噪音：观众席第一排检测≤48dB（A）；</w:t>
            </w:r>
            <w:r>
              <w:rPr>
                <w:rFonts w:hint="eastAsia" w:ascii="宋体" w:hAnsi="宋体" w:eastAsia="宋体" w:cs="宋体"/>
                <w:sz w:val="24"/>
                <w:szCs w:val="24"/>
                <w:highlight w:val="none"/>
              </w:rPr>
              <w:br/>
            </w:r>
            <w:r>
              <w:rPr>
                <w:rFonts w:hint="eastAsia" w:ascii="宋体" w:hAnsi="宋体" w:eastAsia="宋体" w:cs="宋体"/>
                <w:i/>
                <w:iCs/>
                <w:sz w:val="24"/>
                <w:szCs w:val="24"/>
                <w:highlight w:val="none"/>
                <w:u w:val="single"/>
              </w:rPr>
              <w:t xml:space="preserve">8、设备为成套设备，包含双层杆体、调平装置、滑轮组、限位开关、防冲顶装置、钢丝绳及绳卡相关配件等。</w:t>
            </w:r>
            <w:r/>
          </w:p>
        </w:tc>
        <w:tc>
          <w:tcPr>
            <w:tcBorders>
              <w:top w:val="none" w:color="000000" w:sz="4" w:space="0"/>
              <w:left w:val="none" w:color="000000" w:sz="4" w:space="0"/>
              <w:bottom w:val="single" w:color="auto" w:sz="4" w:space="0"/>
              <w:right w:val="single" w:color="auto" w:sz="4" w:space="0"/>
            </w:tcBorders>
            <w:tcW w:w="601"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套</w:t>
            </w:r>
            <w:r/>
          </w:p>
        </w:tc>
      </w:tr>
      <w:tr>
        <w:trPr>
          <w:trHeight w:val="2388"/>
        </w:trPr>
        <w:tc>
          <w:tcPr>
            <w:tcBorders>
              <w:top w:val="none" w:color="000000" w:sz="4" w:space="0"/>
              <w:left w:val="single" w:color="auto" w:sz="4" w:space="0"/>
              <w:bottom w:val="single" w:color="auto" w:sz="4" w:space="0"/>
              <w:right w:val="single" w:color="auto" w:sz="4" w:space="0"/>
            </w:tcBorders>
            <w:tcW w:w="616"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Borders>
              <w:top w:val="none" w:color="000000" w:sz="4" w:space="0"/>
              <w:left w:val="none" w:color="000000" w:sz="4" w:space="0"/>
              <w:bottom w:val="single" w:color="auto" w:sz="4" w:space="0"/>
              <w:right w:val="single" w:color="auto" w:sz="4" w:space="0"/>
            </w:tcBorders>
            <w:tcW w:w="1071"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电动前檐幕吊杆</w:t>
            </w:r>
            <w:r/>
          </w:p>
        </w:tc>
        <w:tc>
          <w:tcPr>
            <w:tcBorders>
              <w:top w:val="none" w:color="000000" w:sz="4" w:space="0"/>
              <w:left w:val="none" w:color="000000" w:sz="4" w:space="0"/>
              <w:bottom w:val="single" w:color="auto" w:sz="4" w:space="0"/>
              <w:right w:val="single" w:color="auto" w:sz="4" w:space="0"/>
            </w:tcBorders>
            <w:tcW w:w="6220"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i/>
                <w:iCs/>
                <w:sz w:val="24"/>
                <w:szCs w:val="24"/>
                <w:highlight w:val="none"/>
                <w:u w:val="single"/>
              </w:rPr>
              <w:t xml:space="preserve">1.吊点数：≥4个；</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2.运行速度：≥0.3m/s；</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3.载荷：≥4KN；</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4、滑轮的节圆直径不小于钢丝绳直径的20倍；</w:t>
            </w:r>
            <w:r>
              <w:rPr>
                <w:rFonts w:hint="eastAsia" w:ascii="宋体" w:hAnsi="宋体" w:eastAsia="宋体" w:cs="宋体"/>
                <w:sz w:val="24"/>
                <w:szCs w:val="24"/>
                <w:highlight w:val="none"/>
              </w:rPr>
              <w:br/>
            </w:r>
            <w:r>
              <w:rPr>
                <w:rFonts w:hint="eastAsia" w:ascii="宋体" w:hAnsi="宋体" w:eastAsia="宋体" w:cs="宋体"/>
                <w:i/>
                <w:iCs/>
                <w:sz w:val="24"/>
                <w:szCs w:val="24"/>
                <w:highlight w:val="none"/>
                <w:u w:val="single"/>
              </w:rPr>
              <w:t xml:space="preserve">5、安全措施：配有上下限位装置、上下极限开关、防冲顶保护装置；</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6、杆体抱箍：采用双夹式设计，上口两眼穿孔，下口一眼穿孔，配套 M12 螺栓使用，吊挂杆体紧固件；</w:t>
            </w:r>
            <w:r>
              <w:rPr>
                <w:rFonts w:hint="eastAsia" w:ascii="宋体" w:hAnsi="宋体" w:eastAsia="宋体" w:cs="宋体"/>
                <w:sz w:val="24"/>
                <w:szCs w:val="24"/>
                <w:highlight w:val="none"/>
              </w:rPr>
              <w:br/>
            </w:r>
            <w:r>
              <w:rPr>
                <w:rFonts w:hint="eastAsia" w:ascii="宋体" w:hAnsi="宋体" w:eastAsia="宋体" w:cs="宋体"/>
                <w:i/>
                <w:iCs/>
                <w:sz w:val="24"/>
                <w:szCs w:val="24"/>
                <w:highlight w:val="none"/>
                <w:u w:val="single"/>
              </w:rPr>
              <w:t xml:space="preserve">7、噪音：观众席第一排检测≤48dB（A）；</w:t>
            </w:r>
            <w:r>
              <w:rPr>
                <w:rFonts w:hint="eastAsia" w:ascii="宋体" w:hAnsi="宋体" w:eastAsia="宋体" w:cs="宋体"/>
                <w:sz w:val="24"/>
                <w:szCs w:val="24"/>
                <w:highlight w:val="none"/>
              </w:rPr>
              <w:br/>
            </w:r>
            <w:r>
              <w:rPr>
                <w:rFonts w:hint="eastAsia" w:ascii="宋体" w:hAnsi="宋体" w:eastAsia="宋体" w:cs="宋体"/>
                <w:i/>
                <w:iCs/>
                <w:sz w:val="24"/>
                <w:szCs w:val="24"/>
                <w:highlight w:val="none"/>
                <w:u w:val="single"/>
              </w:rPr>
              <w:t xml:space="preserve">8、设备为成套设备，包含双层杆体、调平装置、滑轮组、限位开关、防冲顶装置、钢丝绳及绳卡相关配件等。</w:t>
            </w:r>
            <w:r/>
          </w:p>
        </w:tc>
        <w:tc>
          <w:tcPr>
            <w:tcBorders>
              <w:top w:val="none" w:color="000000" w:sz="4" w:space="0"/>
              <w:left w:val="none" w:color="000000" w:sz="4" w:space="0"/>
              <w:bottom w:val="single" w:color="auto" w:sz="4" w:space="0"/>
              <w:right w:val="single" w:color="auto" w:sz="4" w:space="0"/>
            </w:tcBorders>
            <w:tcW w:w="601"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套</w:t>
            </w:r>
            <w:r/>
          </w:p>
        </w:tc>
      </w:tr>
      <w:tr>
        <w:trPr>
          <w:trHeight w:val="2486"/>
        </w:trPr>
        <w:tc>
          <w:tcPr>
            <w:tcBorders>
              <w:top w:val="none" w:color="000000" w:sz="4" w:space="0"/>
              <w:left w:val="single" w:color="auto" w:sz="4" w:space="0"/>
              <w:bottom w:val="single" w:color="auto" w:sz="4" w:space="0"/>
              <w:right w:val="single" w:color="auto" w:sz="4" w:space="0"/>
            </w:tcBorders>
            <w:tcW w:w="616"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Borders>
              <w:top w:val="none" w:color="000000" w:sz="4" w:space="0"/>
              <w:left w:val="none" w:color="000000" w:sz="4" w:space="0"/>
              <w:bottom w:val="single" w:color="auto" w:sz="4" w:space="0"/>
              <w:right w:val="single" w:color="auto" w:sz="4" w:space="0"/>
            </w:tcBorders>
            <w:tcW w:w="1071"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对开大幕</w:t>
            </w:r>
            <w:r/>
          </w:p>
        </w:tc>
        <w:tc>
          <w:tcPr>
            <w:tcBorders>
              <w:top w:val="none" w:color="000000" w:sz="4" w:space="0"/>
              <w:left w:val="none" w:color="000000" w:sz="4" w:space="0"/>
              <w:bottom w:val="single" w:color="auto" w:sz="4" w:space="0"/>
              <w:right w:val="single" w:color="auto" w:sz="4" w:space="0"/>
            </w:tcBorders>
            <w:tcW w:w="6220"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i/>
                <w:iCs/>
                <w:sz w:val="24"/>
                <w:szCs w:val="24"/>
                <w:highlight w:val="none"/>
                <w:u w:val="single"/>
              </w:rPr>
              <w:t xml:space="preserve">1.吊点数：≥4个；</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2.运行速度：≥0.3m/s；</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3.载荷：≥4KN；</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4、滑轮的节圆直径不小于钢丝绳直径的20倍；</w:t>
            </w:r>
            <w:r>
              <w:rPr>
                <w:rFonts w:hint="eastAsia" w:ascii="宋体" w:hAnsi="宋体" w:eastAsia="宋体" w:cs="宋体"/>
                <w:sz w:val="24"/>
                <w:szCs w:val="24"/>
                <w:highlight w:val="none"/>
              </w:rPr>
              <w:br/>
            </w:r>
            <w:r>
              <w:rPr>
                <w:rFonts w:hint="eastAsia" w:ascii="宋体" w:hAnsi="宋体" w:eastAsia="宋体" w:cs="宋体"/>
                <w:i/>
                <w:iCs/>
                <w:sz w:val="24"/>
                <w:szCs w:val="24"/>
                <w:highlight w:val="none"/>
                <w:u w:val="single"/>
              </w:rPr>
              <w:t xml:space="preserve">5、安全措施：配有上下限位装置、上下极限开关、防冲顶保护装置；</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6、杆体抱箍：采用双夹式设计，上口两眼穿孔，下口一眼穿孔，配套 M12 螺栓使用，吊挂杆体紧固件；</w:t>
            </w:r>
            <w:r>
              <w:rPr>
                <w:rFonts w:hint="eastAsia" w:ascii="宋体" w:hAnsi="宋体" w:eastAsia="宋体" w:cs="宋体"/>
                <w:sz w:val="24"/>
                <w:szCs w:val="24"/>
                <w:highlight w:val="none"/>
              </w:rPr>
              <w:br/>
            </w:r>
            <w:r>
              <w:rPr>
                <w:rFonts w:hint="eastAsia" w:ascii="宋体" w:hAnsi="宋体" w:eastAsia="宋体" w:cs="宋体"/>
                <w:i/>
                <w:iCs/>
                <w:sz w:val="24"/>
                <w:szCs w:val="24"/>
                <w:highlight w:val="none"/>
                <w:u w:val="single"/>
              </w:rPr>
              <w:t xml:space="preserve">7、噪音：观众席第一排检测≤48dB（A）；</w:t>
            </w:r>
            <w:r>
              <w:rPr>
                <w:rFonts w:hint="eastAsia" w:ascii="宋体" w:hAnsi="宋体" w:eastAsia="宋体" w:cs="宋体"/>
                <w:sz w:val="24"/>
                <w:szCs w:val="24"/>
                <w:highlight w:val="none"/>
              </w:rPr>
              <w:br/>
            </w:r>
            <w:r>
              <w:rPr>
                <w:rFonts w:hint="eastAsia" w:ascii="宋体" w:hAnsi="宋体" w:eastAsia="宋体" w:cs="宋体"/>
                <w:i/>
                <w:iCs/>
                <w:sz w:val="24"/>
                <w:szCs w:val="24"/>
                <w:highlight w:val="none"/>
                <w:u w:val="single"/>
              </w:rPr>
              <w:t xml:space="preserve">8、设备为成套设备，包含双层杆体、调平装置、滑轮组、限位开关、防冲顶装置、钢丝绳及绳卡相关配件等。</w:t>
            </w:r>
            <w:r/>
          </w:p>
        </w:tc>
        <w:tc>
          <w:tcPr>
            <w:tcBorders>
              <w:top w:val="none" w:color="000000" w:sz="4" w:space="0"/>
              <w:left w:val="none" w:color="000000" w:sz="4" w:space="0"/>
              <w:bottom w:val="single" w:color="auto" w:sz="4" w:space="0"/>
              <w:right w:val="single" w:color="auto" w:sz="4" w:space="0"/>
            </w:tcBorders>
            <w:tcW w:w="601"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套</w:t>
            </w:r>
            <w:r/>
          </w:p>
        </w:tc>
      </w:tr>
      <w:tr>
        <w:trPr>
          <w:trHeight w:val="1560"/>
        </w:trPr>
        <w:tc>
          <w:tcPr>
            <w:tcBorders>
              <w:top w:val="none" w:color="000000" w:sz="4" w:space="0"/>
              <w:left w:val="single" w:color="auto" w:sz="4" w:space="0"/>
              <w:bottom w:val="single" w:color="auto" w:sz="4" w:space="0"/>
              <w:right w:val="single" w:color="auto" w:sz="4" w:space="0"/>
            </w:tcBorders>
            <w:tcW w:w="616"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tcBorders>
              <w:top w:val="none" w:color="000000" w:sz="4" w:space="0"/>
              <w:left w:val="none" w:color="000000" w:sz="4" w:space="0"/>
              <w:bottom w:val="single" w:color="auto" w:sz="4" w:space="0"/>
              <w:right w:val="single" w:color="auto" w:sz="4" w:space="0"/>
            </w:tcBorders>
            <w:tcW w:w="1071"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电动灯光吊杆</w:t>
            </w:r>
            <w:r/>
          </w:p>
        </w:tc>
        <w:tc>
          <w:tcPr>
            <w:tcBorders>
              <w:top w:val="none" w:color="000000" w:sz="4" w:space="0"/>
              <w:left w:val="none" w:color="000000" w:sz="4" w:space="0"/>
              <w:bottom w:val="single" w:color="auto" w:sz="4" w:space="0"/>
              <w:right w:val="single" w:color="auto" w:sz="4" w:space="0"/>
            </w:tcBorders>
            <w:tcW w:w="6220" w:type="dxa"/>
            <w:vAlign w:val="center"/>
            <w:textDirection w:val="lrTb"/>
            <w:noWrap w:val="false"/>
          </w:tcPr>
          <w:p>
            <w:pPr>
              <w:jc w:val="left"/>
              <w:widowControl/>
              <w:rPr>
                <w:rFonts w:hint="eastAsia"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t xml:space="preserve">1、吊点数：≥4个；</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2、运行速度：≥0.2m/s；</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3、载重：≥6KN；</w:t>
            </w:r>
            <w:r>
              <w:rPr>
                <w:rFonts w:hint="eastAsia" w:ascii="宋体" w:hAnsi="宋体" w:eastAsia="宋体" w:cs="宋体"/>
                <w:sz w:val="24"/>
                <w:szCs w:val="24"/>
                <w:highlight w:val="none"/>
              </w:rPr>
              <w:br/>
            </w:r>
            <w:r>
              <w:rPr>
                <w:rFonts w:hint="eastAsia" w:ascii="宋体" w:hAnsi="宋体" w:eastAsia="宋体" w:cs="宋体"/>
                <w:i/>
                <w:iCs/>
                <w:sz w:val="24"/>
                <w:szCs w:val="24"/>
                <w:highlight w:val="none"/>
                <w:u w:val="single"/>
              </w:rPr>
              <w:t xml:space="preserve">4、噪音：观众厅第一排检测≤48dB；</w:t>
            </w:r>
            <w:r>
              <w:rPr>
                <w:rFonts w:hint="eastAsia" w:ascii="宋体" w:hAnsi="宋体" w:eastAsia="宋体" w:cs="宋体"/>
                <w:sz w:val="24"/>
                <w:szCs w:val="24"/>
                <w:highlight w:val="none"/>
              </w:rPr>
              <w:br/>
            </w:r>
            <w:r>
              <w:rPr>
                <w:rFonts w:hint="eastAsia" w:ascii="宋体" w:hAnsi="宋体" w:eastAsia="宋体" w:cs="宋体"/>
                <w:i/>
                <w:iCs/>
                <w:sz w:val="24"/>
                <w:szCs w:val="24"/>
                <w:highlight w:val="none"/>
                <w:u w:val="single"/>
              </w:rPr>
              <w:t xml:space="preserve">5、具有限位装置、极限装置、冲顶保护装置；</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6、含双层杆体、限位开关、防冲顶装置、滑轮组。</w:t>
            </w:r>
            <w:r/>
          </w:p>
        </w:tc>
        <w:tc>
          <w:tcPr>
            <w:tcBorders>
              <w:top w:val="none" w:color="000000" w:sz="4" w:space="0"/>
              <w:left w:val="none" w:color="000000" w:sz="4" w:space="0"/>
              <w:bottom w:val="single" w:color="auto" w:sz="4" w:space="0"/>
              <w:right w:val="single" w:color="auto" w:sz="4" w:space="0"/>
            </w:tcBorders>
            <w:tcW w:w="601"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套</w:t>
            </w:r>
            <w:r/>
          </w:p>
        </w:tc>
      </w:tr>
      <w:tr>
        <w:trPr>
          <w:trHeight w:val="1560"/>
        </w:trPr>
        <w:tc>
          <w:tcPr>
            <w:tcBorders>
              <w:top w:val="none" w:color="000000" w:sz="4" w:space="0"/>
              <w:left w:val="single" w:color="auto" w:sz="4" w:space="0"/>
              <w:bottom w:val="single" w:color="auto" w:sz="4" w:space="0"/>
              <w:right w:val="single" w:color="auto" w:sz="4" w:space="0"/>
            </w:tcBorders>
            <w:tcW w:w="616"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p>
        </w:tc>
        <w:tc>
          <w:tcPr>
            <w:tcBorders>
              <w:top w:val="none" w:color="000000" w:sz="4" w:space="0"/>
              <w:left w:val="none" w:color="000000" w:sz="4" w:space="0"/>
              <w:bottom w:val="single" w:color="auto" w:sz="4" w:space="0"/>
              <w:right w:val="single" w:color="auto" w:sz="4" w:space="0"/>
            </w:tcBorders>
            <w:tcW w:w="1071"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电动侧光吊杆</w:t>
            </w:r>
            <w:r/>
          </w:p>
        </w:tc>
        <w:tc>
          <w:tcPr>
            <w:tcBorders>
              <w:top w:val="none" w:color="000000" w:sz="4" w:space="0"/>
              <w:left w:val="none" w:color="000000" w:sz="4" w:space="0"/>
              <w:bottom w:val="single" w:color="auto" w:sz="4" w:space="0"/>
              <w:right w:val="single" w:color="auto" w:sz="4" w:space="0"/>
            </w:tcBorders>
            <w:tcW w:w="6220" w:type="dxa"/>
            <w:vAlign w:val="center"/>
            <w:textDirection w:val="lrTb"/>
            <w:noWrap w:val="false"/>
          </w:tcPr>
          <w:p>
            <w:pPr>
              <w:jc w:val="left"/>
              <w:widowControl/>
              <w:rPr>
                <w:rFonts w:hint="eastAsia"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t xml:space="preserve">1、吊点数：≥4个；</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2、运行速度：≥0.2m/s；</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3、载重：≥6KN；</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4、噪音：观众厅第一排检测≤48dB</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br/>
            </w:r>
            <w:r>
              <w:rPr>
                <w:rFonts w:hint="eastAsia" w:ascii="宋体" w:hAnsi="宋体" w:eastAsia="宋体" w:cs="宋体"/>
                <w:i/>
                <w:iCs/>
                <w:sz w:val="24"/>
                <w:szCs w:val="24"/>
                <w:highlight w:val="none"/>
                <w:u w:val="single"/>
              </w:rPr>
              <w:t xml:space="preserve">5、具有限位装置、极限装置、冲顶保护装置；</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6、含双层杆体、限位开关、防冲顶装置、滑轮组。</w:t>
            </w:r>
            <w:r/>
          </w:p>
        </w:tc>
        <w:tc>
          <w:tcPr>
            <w:tcBorders>
              <w:top w:val="none" w:color="000000" w:sz="4" w:space="0"/>
              <w:left w:val="none" w:color="000000" w:sz="4" w:space="0"/>
              <w:bottom w:val="single" w:color="auto" w:sz="4" w:space="0"/>
              <w:right w:val="single" w:color="auto" w:sz="4" w:space="0"/>
            </w:tcBorders>
            <w:tcW w:w="601"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套</w:t>
            </w:r>
            <w:r/>
          </w:p>
        </w:tc>
      </w:tr>
      <w:tr>
        <w:trPr>
          <w:trHeight w:val="1560"/>
        </w:trPr>
        <w:tc>
          <w:tcPr>
            <w:tcBorders>
              <w:top w:val="none" w:color="000000" w:sz="4" w:space="0"/>
              <w:left w:val="single" w:color="auto" w:sz="4" w:space="0"/>
              <w:bottom w:val="single" w:color="auto" w:sz="4" w:space="0"/>
              <w:right w:val="single" w:color="auto" w:sz="4" w:space="0"/>
            </w:tcBorders>
            <w:tcW w:w="616"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r/>
          </w:p>
        </w:tc>
        <w:tc>
          <w:tcPr>
            <w:tcBorders>
              <w:top w:val="none" w:color="000000" w:sz="4" w:space="0"/>
              <w:left w:val="none" w:color="000000" w:sz="4" w:space="0"/>
              <w:bottom w:val="single" w:color="auto" w:sz="4" w:space="0"/>
              <w:right w:val="single" w:color="auto" w:sz="4" w:space="0"/>
            </w:tcBorders>
            <w:tcW w:w="1071"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电动横侧幕吊杆</w:t>
            </w:r>
            <w:r/>
          </w:p>
        </w:tc>
        <w:tc>
          <w:tcPr>
            <w:tcBorders>
              <w:top w:val="none" w:color="000000" w:sz="4" w:space="0"/>
              <w:left w:val="none" w:color="000000" w:sz="4" w:space="0"/>
              <w:bottom w:val="single" w:color="auto" w:sz="4" w:space="0"/>
              <w:right w:val="single" w:color="auto" w:sz="4" w:space="0"/>
            </w:tcBorders>
            <w:tcW w:w="6220" w:type="dxa"/>
            <w:vAlign w:val="center"/>
            <w:textDirection w:val="lrTb"/>
            <w:noWrap w:val="false"/>
          </w:tcPr>
          <w:p>
            <w:pPr>
              <w:jc w:val="left"/>
              <w:widowControl/>
              <w:rPr>
                <w:rFonts w:hint="eastAsia"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t xml:space="preserve">1、吊点数：≥4个；</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2、运行速度：≥0.3m/s；</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3、载重：≥4KN；</w:t>
            </w:r>
            <w:r>
              <w:rPr>
                <w:rFonts w:hint="eastAsia" w:ascii="宋体" w:hAnsi="宋体" w:eastAsia="宋体" w:cs="宋体"/>
                <w:sz w:val="24"/>
                <w:szCs w:val="24"/>
                <w:highlight w:val="none"/>
              </w:rPr>
              <w:br/>
            </w:r>
            <w:r>
              <w:rPr>
                <w:rFonts w:hint="eastAsia" w:ascii="宋体" w:hAnsi="宋体" w:eastAsia="宋体" w:cs="宋体"/>
                <w:i/>
                <w:iCs/>
                <w:sz w:val="24"/>
                <w:szCs w:val="24"/>
                <w:highlight w:val="none"/>
                <w:u w:val="single"/>
              </w:rPr>
              <w:t xml:space="preserve">4、噪音：观众厅第一排检测≤48dB；</w:t>
            </w:r>
            <w:r>
              <w:rPr>
                <w:rFonts w:hint="eastAsia" w:ascii="宋体" w:hAnsi="宋体" w:eastAsia="宋体" w:cs="宋体"/>
                <w:sz w:val="24"/>
                <w:szCs w:val="24"/>
                <w:highlight w:val="none"/>
              </w:rPr>
              <w:br/>
            </w:r>
            <w:r>
              <w:rPr>
                <w:rFonts w:hint="eastAsia" w:ascii="宋体" w:hAnsi="宋体" w:eastAsia="宋体" w:cs="宋体"/>
                <w:i/>
                <w:iCs/>
                <w:sz w:val="24"/>
                <w:szCs w:val="24"/>
                <w:highlight w:val="none"/>
                <w:u w:val="single"/>
              </w:rPr>
              <w:t xml:space="preserve">5、具有限位装置、极限装置、冲顶保护装置；</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6、含双层杆体、限位开关、防冲顶装置、滑轮组。</w:t>
            </w:r>
            <w:r/>
          </w:p>
        </w:tc>
        <w:tc>
          <w:tcPr>
            <w:tcBorders>
              <w:top w:val="none" w:color="000000" w:sz="4" w:space="0"/>
              <w:left w:val="none" w:color="000000" w:sz="4" w:space="0"/>
              <w:bottom w:val="single" w:color="auto" w:sz="4" w:space="0"/>
              <w:right w:val="single" w:color="auto" w:sz="4" w:space="0"/>
            </w:tcBorders>
            <w:tcW w:w="601"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套</w:t>
            </w:r>
            <w:r/>
          </w:p>
        </w:tc>
      </w:tr>
      <w:tr>
        <w:trPr>
          <w:trHeight w:val="1560"/>
        </w:trPr>
        <w:tc>
          <w:tcPr>
            <w:tcBorders>
              <w:top w:val="none" w:color="000000" w:sz="4" w:space="0"/>
              <w:left w:val="single" w:color="auto" w:sz="4" w:space="0"/>
              <w:bottom w:val="single" w:color="auto" w:sz="4" w:space="0"/>
              <w:right w:val="single" w:color="auto" w:sz="4" w:space="0"/>
            </w:tcBorders>
            <w:tcW w:w="616"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w:t>
            </w:r>
            <w:r/>
          </w:p>
        </w:tc>
        <w:tc>
          <w:tcPr>
            <w:tcBorders>
              <w:top w:val="none" w:color="000000" w:sz="4" w:space="0"/>
              <w:left w:val="none" w:color="000000" w:sz="4" w:space="0"/>
              <w:bottom w:val="single" w:color="auto" w:sz="4" w:space="0"/>
              <w:right w:val="single" w:color="auto" w:sz="4" w:space="0"/>
            </w:tcBorders>
            <w:tcW w:w="1071"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电动景用（党徽）吊杆</w:t>
            </w:r>
            <w:r/>
          </w:p>
        </w:tc>
        <w:tc>
          <w:tcPr>
            <w:tcBorders>
              <w:top w:val="none" w:color="000000" w:sz="4" w:space="0"/>
              <w:left w:val="none" w:color="000000" w:sz="4" w:space="0"/>
              <w:bottom w:val="single" w:color="auto" w:sz="4" w:space="0"/>
              <w:right w:val="single" w:color="auto" w:sz="4" w:space="0"/>
            </w:tcBorders>
            <w:tcW w:w="6220" w:type="dxa"/>
            <w:vAlign w:val="center"/>
            <w:textDirection w:val="lrTb"/>
            <w:noWrap w:val="false"/>
          </w:tcPr>
          <w:p>
            <w:pPr>
              <w:jc w:val="left"/>
              <w:widowControl/>
              <w:rPr>
                <w:rFonts w:hint="eastAsia"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t xml:space="preserve">1、吊点数：≥4个；</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2、运行速度：≥0.3m/s；</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3、载重：≥4KN；</w:t>
            </w:r>
            <w:r>
              <w:rPr>
                <w:rFonts w:hint="eastAsia" w:ascii="宋体" w:hAnsi="宋体" w:eastAsia="宋体" w:cs="宋体"/>
                <w:sz w:val="24"/>
                <w:szCs w:val="24"/>
                <w:highlight w:val="none"/>
              </w:rPr>
              <w:br/>
            </w:r>
            <w:r>
              <w:rPr>
                <w:rFonts w:hint="eastAsia" w:ascii="宋体" w:hAnsi="宋体" w:eastAsia="宋体" w:cs="宋体"/>
                <w:i/>
                <w:iCs/>
                <w:sz w:val="24"/>
                <w:szCs w:val="24"/>
                <w:highlight w:val="none"/>
                <w:u w:val="single"/>
              </w:rPr>
              <w:t xml:space="preserve">4、噪音：观众厅第一排检测≤48dB；</w:t>
            </w:r>
            <w:r>
              <w:rPr>
                <w:rFonts w:hint="eastAsia" w:ascii="宋体" w:hAnsi="宋体" w:eastAsia="宋体" w:cs="宋体"/>
                <w:sz w:val="24"/>
                <w:szCs w:val="24"/>
                <w:highlight w:val="none"/>
              </w:rPr>
              <w:br/>
            </w:r>
            <w:r>
              <w:rPr>
                <w:rFonts w:hint="eastAsia" w:ascii="宋体" w:hAnsi="宋体" w:eastAsia="宋体" w:cs="宋体"/>
                <w:i/>
                <w:iCs/>
                <w:sz w:val="24"/>
                <w:szCs w:val="24"/>
                <w:highlight w:val="none"/>
                <w:u w:val="single"/>
              </w:rPr>
              <w:t xml:space="preserve">5、具有限位装置、极限装置、冲顶保护装置；</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6、含双层杆体、限位开关、防冲顶装置、滑轮组。</w:t>
            </w:r>
            <w:r/>
          </w:p>
        </w:tc>
        <w:tc>
          <w:tcPr>
            <w:tcBorders>
              <w:top w:val="none" w:color="000000" w:sz="4" w:space="0"/>
              <w:left w:val="none" w:color="000000" w:sz="4" w:space="0"/>
              <w:bottom w:val="single" w:color="auto" w:sz="4" w:space="0"/>
              <w:right w:val="single" w:color="auto" w:sz="4" w:space="0"/>
            </w:tcBorders>
            <w:tcW w:w="601"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套</w:t>
            </w:r>
            <w:r/>
          </w:p>
        </w:tc>
      </w:tr>
      <w:tr>
        <w:trPr>
          <w:trHeight w:val="1300"/>
        </w:trPr>
        <w:tc>
          <w:tcPr>
            <w:tcBorders>
              <w:top w:val="none" w:color="000000" w:sz="4" w:space="0"/>
              <w:left w:val="single" w:color="auto" w:sz="4" w:space="0"/>
              <w:bottom w:val="single" w:color="auto" w:sz="4" w:space="0"/>
              <w:right w:val="single" w:color="auto" w:sz="4" w:space="0"/>
            </w:tcBorders>
            <w:tcW w:w="616"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w:t>
            </w:r>
            <w:r/>
          </w:p>
        </w:tc>
        <w:tc>
          <w:tcPr>
            <w:tcBorders>
              <w:top w:val="none" w:color="000000" w:sz="4" w:space="0"/>
              <w:left w:val="none" w:color="000000" w:sz="4" w:space="0"/>
              <w:bottom w:val="single" w:color="auto" w:sz="4" w:space="0"/>
              <w:right w:val="single" w:color="auto" w:sz="4" w:space="0"/>
            </w:tcBorders>
            <w:tcW w:w="1071"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对开底幕</w:t>
            </w:r>
            <w:r/>
          </w:p>
        </w:tc>
        <w:tc>
          <w:tcPr>
            <w:tcBorders>
              <w:top w:val="none" w:color="000000" w:sz="4" w:space="0"/>
              <w:left w:val="none" w:color="000000" w:sz="4" w:space="0"/>
              <w:bottom w:val="single" w:color="auto" w:sz="4" w:space="0"/>
              <w:right w:val="single" w:color="auto" w:sz="4" w:space="0"/>
            </w:tcBorders>
            <w:tcW w:w="6220" w:type="dxa"/>
            <w:vAlign w:val="center"/>
            <w:textDirection w:val="lrTb"/>
            <w:noWrap w:val="false"/>
          </w:tcPr>
          <w:p>
            <w:pPr>
              <w:jc w:val="left"/>
              <w:widowControl/>
              <w:rPr>
                <w:rFonts w:hint="eastAsia"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t xml:space="preserve">1、对开方式：匀速；</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2、拉力（牵引力）等于或大于600N；</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3、对开电机功率：0.75kw；电压：380V；</w:t>
            </w:r>
            <w:r>
              <w:rPr>
                <w:rFonts w:hint="eastAsia" w:ascii="宋体" w:hAnsi="宋体" w:eastAsia="宋体" w:cs="宋体"/>
                <w:sz w:val="24"/>
                <w:szCs w:val="24"/>
                <w:highlight w:val="none"/>
              </w:rPr>
              <w:br/>
            </w:r>
            <w:r>
              <w:rPr>
                <w:rFonts w:hint="eastAsia" w:ascii="宋体" w:hAnsi="宋体" w:eastAsia="宋体" w:cs="宋体"/>
                <w:i/>
                <w:iCs/>
                <w:sz w:val="24"/>
                <w:szCs w:val="24"/>
                <w:highlight w:val="none"/>
                <w:u w:val="single"/>
              </w:rPr>
              <w:t xml:space="preserve">4、噪音：观众厅第一排中间位置检测不大于48dB。</w:t>
            </w:r>
            <w:r>
              <w:rPr>
                <w:rFonts w:hint="eastAsia" w:ascii="宋体" w:hAnsi="宋体" w:eastAsia="宋体" w:cs="宋体"/>
                <w:sz w:val="24"/>
                <w:szCs w:val="24"/>
                <w:highlight w:val="none"/>
              </w:rPr>
              <w:br/>
            </w:r>
            <w:r>
              <w:rPr>
                <w:rFonts w:hint="eastAsia" w:ascii="宋体" w:hAnsi="宋体" w:eastAsia="宋体" w:cs="宋体"/>
                <w:i/>
                <w:iCs/>
                <w:sz w:val="24"/>
                <w:szCs w:val="24"/>
                <w:highlight w:val="none"/>
                <w:u w:val="single"/>
              </w:rPr>
              <w:t xml:space="preserve">5、含对开轨道、限位开关、滑轮组、撞车、挂钩。</w:t>
            </w:r>
            <w:r/>
          </w:p>
        </w:tc>
        <w:tc>
          <w:tcPr>
            <w:tcBorders>
              <w:top w:val="none" w:color="000000" w:sz="4" w:space="0"/>
              <w:left w:val="none" w:color="000000" w:sz="4" w:space="0"/>
              <w:bottom w:val="single" w:color="auto" w:sz="4" w:space="0"/>
              <w:right w:val="single" w:color="auto" w:sz="4" w:space="0"/>
            </w:tcBorders>
            <w:tcW w:w="601"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套</w:t>
            </w:r>
            <w:r/>
          </w:p>
        </w:tc>
      </w:tr>
      <w:tr>
        <w:trPr>
          <w:trHeight w:val="520"/>
        </w:trPr>
        <w:tc>
          <w:tcPr>
            <w:tcBorders>
              <w:top w:val="none" w:color="000000" w:sz="4" w:space="0"/>
              <w:left w:val="single" w:color="auto" w:sz="4" w:space="0"/>
              <w:bottom w:val="single" w:color="auto" w:sz="4" w:space="0"/>
              <w:right w:val="single" w:color="auto" w:sz="4" w:space="0"/>
            </w:tcBorders>
            <w:tcW w:w="616"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p>
        </w:tc>
        <w:tc>
          <w:tcPr>
            <w:tcBorders>
              <w:top w:val="none" w:color="000000" w:sz="4" w:space="0"/>
              <w:left w:val="none" w:color="000000" w:sz="4" w:space="0"/>
              <w:bottom w:val="single" w:color="auto" w:sz="4" w:space="0"/>
              <w:right w:val="single" w:color="auto" w:sz="4" w:space="0"/>
            </w:tcBorders>
            <w:tcW w:w="1071"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前檐幕幕布</w:t>
            </w:r>
            <w:r/>
          </w:p>
        </w:tc>
        <w:tc>
          <w:tcPr>
            <w:tcBorders>
              <w:top w:val="none" w:color="000000" w:sz="4" w:space="0"/>
              <w:left w:val="none" w:color="000000" w:sz="4" w:space="0"/>
              <w:bottom w:val="single" w:color="auto" w:sz="4" w:space="0"/>
              <w:right w:val="single" w:color="auto" w:sz="4" w:space="0"/>
            </w:tcBorders>
            <w:tcW w:w="6220" w:type="dxa"/>
            <w:vAlign w:val="center"/>
            <w:textDirection w:val="lrTb"/>
            <w:noWrap w:val="false"/>
          </w:tcPr>
          <w:p>
            <w:pPr>
              <w:jc w:val="left"/>
              <w:widowControl/>
              <w:rPr>
                <w:rFonts w:hint="eastAsia"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t xml:space="preserve">规格：14×1.5×3×1（长×高×折比3×块)丝绒，B1级防火阻燃处理；</w:t>
            </w:r>
            <w:r/>
          </w:p>
        </w:tc>
        <w:tc>
          <w:tcPr>
            <w:tcBorders>
              <w:top w:val="none" w:color="000000" w:sz="4" w:space="0"/>
              <w:left w:val="none" w:color="000000" w:sz="4" w:space="0"/>
              <w:bottom w:val="single" w:color="auto" w:sz="4" w:space="0"/>
              <w:right w:val="single" w:color="auto" w:sz="4" w:space="0"/>
            </w:tcBorders>
            <w:tcW w:w="601"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63</w:t>
            </w:r>
            <w:r/>
          </w:p>
        </w:tc>
        <w:tc>
          <w:tcPr>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p>
        </w:tc>
      </w:tr>
      <w:tr>
        <w:trPr>
          <w:trHeight w:val="520"/>
        </w:trPr>
        <w:tc>
          <w:tcPr>
            <w:tcBorders>
              <w:top w:val="none" w:color="000000" w:sz="4" w:space="0"/>
              <w:left w:val="single" w:color="auto" w:sz="4" w:space="0"/>
              <w:bottom w:val="single" w:color="auto" w:sz="4" w:space="0"/>
              <w:right w:val="single" w:color="auto" w:sz="4" w:space="0"/>
            </w:tcBorders>
            <w:tcW w:w="616"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w:t>
            </w:r>
            <w:r/>
          </w:p>
        </w:tc>
        <w:tc>
          <w:tcPr>
            <w:tcBorders>
              <w:top w:val="none" w:color="000000" w:sz="4" w:space="0"/>
              <w:left w:val="none" w:color="000000" w:sz="4" w:space="0"/>
              <w:bottom w:val="single" w:color="auto" w:sz="4" w:space="0"/>
              <w:right w:val="single" w:color="auto" w:sz="4" w:space="0"/>
            </w:tcBorders>
            <w:tcW w:w="1071"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前檐幕幕布衬里</w:t>
            </w:r>
            <w:r/>
          </w:p>
        </w:tc>
        <w:tc>
          <w:tcPr>
            <w:tcBorders>
              <w:top w:val="none" w:color="000000" w:sz="4" w:space="0"/>
              <w:left w:val="none" w:color="000000" w:sz="4" w:space="0"/>
              <w:bottom w:val="single" w:color="auto" w:sz="4" w:space="0"/>
              <w:right w:val="single" w:color="auto" w:sz="4" w:space="0"/>
            </w:tcBorders>
            <w:tcW w:w="6220" w:type="dxa"/>
            <w:vAlign w:val="center"/>
            <w:textDirection w:val="lrTb"/>
            <w:noWrap w:val="false"/>
          </w:tcPr>
          <w:p>
            <w:pPr>
              <w:jc w:val="left"/>
              <w:widowControl/>
              <w:rPr>
                <w:rFonts w:hint="eastAsia"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t xml:space="preserve">规格：14×1.5×1×1（长×高×折比1×块)棉布，B1级防火阻燃处理；</w:t>
            </w:r>
            <w:r/>
          </w:p>
        </w:tc>
        <w:tc>
          <w:tcPr>
            <w:tcBorders>
              <w:top w:val="none" w:color="000000" w:sz="4" w:space="0"/>
              <w:left w:val="none" w:color="000000" w:sz="4" w:space="0"/>
              <w:bottom w:val="single" w:color="auto" w:sz="4" w:space="0"/>
              <w:right w:val="single" w:color="auto" w:sz="4" w:space="0"/>
            </w:tcBorders>
            <w:tcW w:w="601"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w:t>
            </w:r>
            <w:r/>
          </w:p>
        </w:tc>
        <w:tc>
          <w:tcPr>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p>
        </w:tc>
      </w:tr>
      <w:tr>
        <w:trPr>
          <w:trHeight w:val="520"/>
        </w:trPr>
        <w:tc>
          <w:tcPr>
            <w:tcBorders>
              <w:top w:val="none" w:color="000000" w:sz="4" w:space="0"/>
              <w:left w:val="single" w:color="auto" w:sz="4" w:space="0"/>
              <w:bottom w:val="single" w:color="auto" w:sz="4" w:space="0"/>
              <w:right w:val="single" w:color="auto" w:sz="4" w:space="0"/>
            </w:tcBorders>
            <w:tcW w:w="616"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w:t>
            </w:r>
            <w:r/>
          </w:p>
        </w:tc>
        <w:tc>
          <w:tcPr>
            <w:tcBorders>
              <w:top w:val="none" w:color="000000" w:sz="4" w:space="0"/>
              <w:left w:val="none" w:color="000000" w:sz="4" w:space="0"/>
              <w:bottom w:val="single" w:color="auto" w:sz="4" w:space="0"/>
              <w:right w:val="single" w:color="auto" w:sz="4" w:space="0"/>
            </w:tcBorders>
            <w:tcW w:w="1071"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大幕幕布</w:t>
            </w:r>
            <w:r/>
          </w:p>
        </w:tc>
        <w:tc>
          <w:tcPr>
            <w:tcBorders>
              <w:top w:val="none" w:color="000000" w:sz="4" w:space="0"/>
              <w:left w:val="none" w:color="000000" w:sz="4" w:space="0"/>
              <w:bottom w:val="single" w:color="auto" w:sz="4" w:space="0"/>
              <w:right w:val="single" w:color="auto" w:sz="4" w:space="0"/>
            </w:tcBorders>
            <w:tcW w:w="6220" w:type="dxa"/>
            <w:vAlign w:val="center"/>
            <w:textDirection w:val="lrTb"/>
            <w:noWrap w:val="false"/>
          </w:tcPr>
          <w:p>
            <w:pPr>
              <w:jc w:val="left"/>
              <w:widowControl/>
              <w:rPr>
                <w:rFonts w:hint="eastAsia"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t xml:space="preserve">规格：8×6×3×2(长×高×折比3×块)丝绒，B1级防火阻燃处理；</w:t>
            </w:r>
            <w:r/>
          </w:p>
        </w:tc>
        <w:tc>
          <w:tcPr>
            <w:tcBorders>
              <w:top w:val="none" w:color="000000" w:sz="4" w:space="0"/>
              <w:left w:val="none" w:color="000000" w:sz="4" w:space="0"/>
              <w:bottom w:val="single" w:color="auto" w:sz="4" w:space="0"/>
              <w:right w:val="single" w:color="auto" w:sz="4" w:space="0"/>
            </w:tcBorders>
            <w:tcW w:w="601"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288</w:t>
            </w:r>
            <w:r/>
          </w:p>
        </w:tc>
        <w:tc>
          <w:tcPr>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p>
        </w:tc>
      </w:tr>
      <w:tr>
        <w:trPr>
          <w:trHeight w:val="520"/>
        </w:trPr>
        <w:tc>
          <w:tcPr>
            <w:tcBorders>
              <w:top w:val="none" w:color="000000" w:sz="4" w:space="0"/>
              <w:left w:val="single" w:color="auto" w:sz="4" w:space="0"/>
              <w:bottom w:val="single" w:color="auto" w:sz="4" w:space="0"/>
              <w:right w:val="single" w:color="auto" w:sz="4" w:space="0"/>
            </w:tcBorders>
            <w:tcW w:w="616"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w:t>
            </w:r>
            <w:r/>
          </w:p>
        </w:tc>
        <w:tc>
          <w:tcPr>
            <w:tcBorders>
              <w:top w:val="none" w:color="000000" w:sz="4" w:space="0"/>
              <w:left w:val="none" w:color="000000" w:sz="4" w:space="0"/>
              <w:bottom w:val="single" w:color="auto" w:sz="4" w:space="0"/>
              <w:right w:val="single" w:color="auto" w:sz="4" w:space="0"/>
            </w:tcBorders>
            <w:tcW w:w="1071"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大幕幕布衬里</w:t>
            </w:r>
            <w:r/>
          </w:p>
        </w:tc>
        <w:tc>
          <w:tcPr>
            <w:tcBorders>
              <w:top w:val="none" w:color="000000" w:sz="4" w:space="0"/>
              <w:left w:val="none" w:color="000000" w:sz="4" w:space="0"/>
              <w:bottom w:val="single" w:color="auto" w:sz="4" w:space="0"/>
              <w:right w:val="single" w:color="auto" w:sz="4" w:space="0"/>
            </w:tcBorders>
            <w:tcW w:w="6220" w:type="dxa"/>
            <w:vAlign w:val="center"/>
            <w:textDirection w:val="lrTb"/>
            <w:noWrap w:val="false"/>
          </w:tcPr>
          <w:p>
            <w:pPr>
              <w:jc w:val="left"/>
              <w:widowControl/>
              <w:rPr>
                <w:rFonts w:hint="eastAsia"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t xml:space="preserve">规格：8×6×1×2(长×高×折比1×块)棉布，B1级防火阻燃处理；</w:t>
            </w:r>
            <w:r/>
          </w:p>
        </w:tc>
        <w:tc>
          <w:tcPr>
            <w:tcBorders>
              <w:top w:val="none" w:color="000000" w:sz="4" w:space="0"/>
              <w:left w:val="none" w:color="000000" w:sz="4" w:space="0"/>
              <w:bottom w:val="single" w:color="auto" w:sz="4" w:space="0"/>
              <w:right w:val="single" w:color="auto" w:sz="4" w:space="0"/>
            </w:tcBorders>
            <w:tcW w:w="601"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96</w:t>
            </w:r>
            <w:r/>
          </w:p>
        </w:tc>
        <w:tc>
          <w:tcPr>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p>
        </w:tc>
      </w:tr>
      <w:tr>
        <w:trPr>
          <w:trHeight w:val="520"/>
        </w:trPr>
        <w:tc>
          <w:tcPr>
            <w:tcBorders>
              <w:top w:val="none" w:color="000000" w:sz="4" w:space="0"/>
              <w:left w:val="single" w:color="auto" w:sz="4" w:space="0"/>
              <w:bottom w:val="single" w:color="auto" w:sz="4" w:space="0"/>
              <w:right w:val="single" w:color="auto" w:sz="4" w:space="0"/>
            </w:tcBorders>
            <w:tcW w:w="616"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w:t>
            </w:r>
            <w:r/>
          </w:p>
        </w:tc>
        <w:tc>
          <w:tcPr>
            <w:tcBorders>
              <w:top w:val="none" w:color="000000" w:sz="4" w:space="0"/>
              <w:left w:val="none" w:color="000000" w:sz="4" w:space="0"/>
              <w:bottom w:val="single" w:color="auto" w:sz="4" w:space="0"/>
              <w:right w:val="single" w:color="auto" w:sz="4" w:space="0"/>
            </w:tcBorders>
            <w:tcW w:w="1071"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横条幕幕布</w:t>
            </w:r>
            <w:r/>
          </w:p>
        </w:tc>
        <w:tc>
          <w:tcPr>
            <w:tcBorders>
              <w:top w:val="none" w:color="000000" w:sz="4" w:space="0"/>
              <w:left w:val="none" w:color="000000" w:sz="4" w:space="0"/>
              <w:bottom w:val="single" w:color="auto" w:sz="4" w:space="0"/>
              <w:right w:val="single" w:color="auto" w:sz="4" w:space="0"/>
            </w:tcBorders>
            <w:tcW w:w="6220" w:type="dxa"/>
            <w:vAlign w:val="center"/>
            <w:textDirection w:val="lrTb"/>
            <w:noWrap w:val="false"/>
          </w:tcPr>
          <w:p>
            <w:pPr>
              <w:jc w:val="left"/>
              <w:widowControl/>
              <w:rPr>
                <w:rFonts w:hint="eastAsia"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t xml:space="preserve">规格：14×1.5×3×1（长×高×折比3×块)丝绒，B1级防火阻燃处理；</w:t>
            </w:r>
            <w:r/>
          </w:p>
        </w:tc>
        <w:tc>
          <w:tcPr>
            <w:tcBorders>
              <w:top w:val="none" w:color="000000" w:sz="4" w:space="0"/>
              <w:left w:val="none" w:color="000000" w:sz="4" w:space="0"/>
              <w:bottom w:val="single" w:color="auto" w:sz="4" w:space="0"/>
              <w:right w:val="single" w:color="auto" w:sz="4" w:space="0"/>
            </w:tcBorders>
            <w:tcW w:w="601"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63</w:t>
            </w:r>
            <w:r/>
          </w:p>
        </w:tc>
        <w:tc>
          <w:tcPr>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p>
        </w:tc>
      </w:tr>
      <w:tr>
        <w:trPr>
          <w:trHeight w:val="520"/>
        </w:trPr>
        <w:tc>
          <w:tcPr>
            <w:tcBorders>
              <w:top w:val="none" w:color="000000" w:sz="4" w:space="0"/>
              <w:left w:val="single" w:color="auto" w:sz="4" w:space="0"/>
              <w:bottom w:val="single" w:color="auto" w:sz="4" w:space="0"/>
              <w:right w:val="single" w:color="auto" w:sz="4" w:space="0"/>
            </w:tcBorders>
            <w:tcW w:w="616"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w:t>
            </w:r>
            <w:r/>
          </w:p>
        </w:tc>
        <w:tc>
          <w:tcPr>
            <w:tcBorders>
              <w:top w:val="none" w:color="000000" w:sz="4" w:space="0"/>
              <w:left w:val="none" w:color="000000" w:sz="4" w:space="0"/>
              <w:bottom w:val="single" w:color="auto" w:sz="4" w:space="0"/>
              <w:right w:val="single" w:color="auto" w:sz="4" w:space="0"/>
            </w:tcBorders>
            <w:tcW w:w="1071"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横条幕幕布衬里</w:t>
            </w:r>
            <w:r/>
          </w:p>
        </w:tc>
        <w:tc>
          <w:tcPr>
            <w:tcBorders>
              <w:top w:val="none" w:color="000000" w:sz="4" w:space="0"/>
              <w:left w:val="none" w:color="000000" w:sz="4" w:space="0"/>
              <w:bottom w:val="single" w:color="auto" w:sz="4" w:space="0"/>
              <w:right w:val="single" w:color="auto" w:sz="4" w:space="0"/>
            </w:tcBorders>
            <w:tcW w:w="6220" w:type="dxa"/>
            <w:vAlign w:val="center"/>
            <w:textDirection w:val="lrTb"/>
            <w:noWrap w:val="false"/>
          </w:tcPr>
          <w:p>
            <w:pPr>
              <w:jc w:val="left"/>
              <w:widowControl/>
              <w:rPr>
                <w:rFonts w:hint="eastAsia"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t xml:space="preserve">规格：14×1.5×1×1（长×高×折比1×块)棉布，B1级防火阻燃处理；</w:t>
            </w:r>
            <w:r/>
          </w:p>
        </w:tc>
        <w:tc>
          <w:tcPr>
            <w:tcBorders>
              <w:top w:val="none" w:color="000000" w:sz="4" w:space="0"/>
              <w:left w:val="none" w:color="000000" w:sz="4" w:space="0"/>
              <w:bottom w:val="single" w:color="auto" w:sz="4" w:space="0"/>
              <w:right w:val="single" w:color="auto" w:sz="4" w:space="0"/>
            </w:tcBorders>
            <w:tcW w:w="601"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w:t>
            </w:r>
            <w:r/>
          </w:p>
        </w:tc>
        <w:tc>
          <w:tcPr>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p>
        </w:tc>
      </w:tr>
      <w:tr>
        <w:trPr>
          <w:trHeight w:val="520"/>
        </w:trPr>
        <w:tc>
          <w:tcPr>
            <w:tcBorders>
              <w:top w:val="none" w:color="000000" w:sz="4" w:space="0"/>
              <w:left w:val="single" w:color="auto" w:sz="4" w:space="0"/>
              <w:bottom w:val="single" w:color="auto" w:sz="4" w:space="0"/>
              <w:right w:val="single" w:color="auto" w:sz="4" w:space="0"/>
            </w:tcBorders>
            <w:tcW w:w="616"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w:t>
            </w:r>
            <w:r/>
          </w:p>
        </w:tc>
        <w:tc>
          <w:tcPr>
            <w:tcBorders>
              <w:top w:val="none" w:color="000000" w:sz="4" w:space="0"/>
              <w:left w:val="none" w:color="000000" w:sz="4" w:space="0"/>
              <w:bottom w:val="single" w:color="auto" w:sz="4" w:space="0"/>
              <w:right w:val="single" w:color="auto" w:sz="4" w:space="0"/>
            </w:tcBorders>
            <w:tcW w:w="1071"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侧条幕幕布</w:t>
            </w:r>
            <w:r/>
          </w:p>
        </w:tc>
        <w:tc>
          <w:tcPr>
            <w:tcBorders>
              <w:top w:val="none" w:color="000000" w:sz="4" w:space="0"/>
              <w:left w:val="none" w:color="000000" w:sz="4" w:space="0"/>
              <w:bottom w:val="single" w:color="auto" w:sz="4" w:space="0"/>
              <w:right w:val="single" w:color="auto" w:sz="4" w:space="0"/>
            </w:tcBorders>
            <w:tcW w:w="6220" w:type="dxa"/>
            <w:vAlign w:val="center"/>
            <w:textDirection w:val="lrTb"/>
            <w:noWrap w:val="false"/>
          </w:tcPr>
          <w:p>
            <w:pPr>
              <w:jc w:val="left"/>
              <w:widowControl/>
              <w:rPr>
                <w:rFonts w:hint="eastAsia"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t xml:space="preserve">规格：2×6×3×2（长×高×折比3×块)丝绒，B1级防火阻燃处理；</w:t>
            </w:r>
            <w:r/>
          </w:p>
        </w:tc>
        <w:tc>
          <w:tcPr>
            <w:tcBorders>
              <w:top w:val="none" w:color="000000" w:sz="4" w:space="0"/>
              <w:left w:val="none" w:color="000000" w:sz="4" w:space="0"/>
              <w:bottom w:val="single" w:color="auto" w:sz="4" w:space="0"/>
              <w:right w:val="single" w:color="auto" w:sz="4" w:space="0"/>
            </w:tcBorders>
            <w:tcW w:w="601"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72</w:t>
            </w:r>
            <w:r/>
          </w:p>
        </w:tc>
        <w:tc>
          <w:tcPr>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p>
        </w:tc>
      </w:tr>
      <w:tr>
        <w:trPr>
          <w:trHeight w:val="520"/>
        </w:trPr>
        <w:tc>
          <w:tcPr>
            <w:tcBorders>
              <w:top w:val="none" w:color="000000" w:sz="4" w:space="0"/>
              <w:left w:val="single" w:color="auto" w:sz="4" w:space="0"/>
              <w:bottom w:val="single" w:color="auto" w:sz="4" w:space="0"/>
              <w:right w:val="single" w:color="auto" w:sz="4" w:space="0"/>
            </w:tcBorders>
            <w:tcW w:w="616"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w:t>
            </w:r>
            <w:r/>
          </w:p>
        </w:tc>
        <w:tc>
          <w:tcPr>
            <w:tcBorders>
              <w:top w:val="none" w:color="000000" w:sz="4" w:space="0"/>
              <w:left w:val="none" w:color="000000" w:sz="4" w:space="0"/>
              <w:bottom w:val="single" w:color="auto" w:sz="4" w:space="0"/>
              <w:right w:val="single" w:color="auto" w:sz="4" w:space="0"/>
            </w:tcBorders>
            <w:tcW w:w="1071"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侧条幕幕布衬里</w:t>
            </w:r>
            <w:r/>
          </w:p>
        </w:tc>
        <w:tc>
          <w:tcPr>
            <w:tcBorders>
              <w:top w:val="none" w:color="000000" w:sz="4" w:space="0"/>
              <w:left w:val="none" w:color="000000" w:sz="4" w:space="0"/>
              <w:bottom w:val="single" w:color="auto" w:sz="4" w:space="0"/>
              <w:right w:val="single" w:color="auto" w:sz="4" w:space="0"/>
            </w:tcBorders>
            <w:tcW w:w="6220" w:type="dxa"/>
            <w:vAlign w:val="center"/>
            <w:textDirection w:val="lrTb"/>
            <w:noWrap w:val="false"/>
          </w:tcPr>
          <w:p>
            <w:pPr>
              <w:jc w:val="left"/>
              <w:widowControl/>
              <w:rPr>
                <w:rFonts w:hint="eastAsia"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t xml:space="preserve">规格：2×6×1×2（长×高×折比1×块)棉布，B1级防火阻燃处理；</w:t>
            </w:r>
            <w:r/>
          </w:p>
        </w:tc>
        <w:tc>
          <w:tcPr>
            <w:tcBorders>
              <w:top w:val="none" w:color="000000" w:sz="4" w:space="0"/>
              <w:left w:val="none" w:color="000000" w:sz="4" w:space="0"/>
              <w:bottom w:val="single" w:color="auto" w:sz="4" w:space="0"/>
              <w:right w:val="single" w:color="auto" w:sz="4" w:space="0"/>
            </w:tcBorders>
            <w:tcW w:w="601"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w:t>
            </w:r>
            <w:r/>
          </w:p>
        </w:tc>
        <w:tc>
          <w:tcPr>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p>
        </w:tc>
      </w:tr>
      <w:tr>
        <w:trPr>
          <w:trHeight w:val="520"/>
        </w:trPr>
        <w:tc>
          <w:tcPr>
            <w:tcBorders>
              <w:top w:val="none" w:color="000000" w:sz="4" w:space="0"/>
              <w:left w:val="single" w:color="auto" w:sz="4" w:space="0"/>
              <w:bottom w:val="single" w:color="auto" w:sz="4" w:space="0"/>
              <w:right w:val="single" w:color="auto" w:sz="4" w:space="0"/>
            </w:tcBorders>
            <w:tcW w:w="616"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w:t>
            </w:r>
            <w:r/>
          </w:p>
        </w:tc>
        <w:tc>
          <w:tcPr>
            <w:tcBorders>
              <w:top w:val="none" w:color="000000" w:sz="4" w:space="0"/>
              <w:left w:val="none" w:color="000000" w:sz="4" w:space="0"/>
              <w:bottom w:val="single" w:color="auto" w:sz="4" w:space="0"/>
              <w:right w:val="single" w:color="auto" w:sz="4" w:space="0"/>
            </w:tcBorders>
            <w:tcW w:w="1071"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底幕幕布</w:t>
            </w:r>
            <w:r/>
          </w:p>
        </w:tc>
        <w:tc>
          <w:tcPr>
            <w:tcBorders>
              <w:top w:val="none" w:color="000000" w:sz="4" w:space="0"/>
              <w:left w:val="none" w:color="000000" w:sz="4" w:space="0"/>
              <w:bottom w:val="single" w:color="auto" w:sz="4" w:space="0"/>
              <w:right w:val="single" w:color="auto" w:sz="4" w:space="0"/>
            </w:tcBorders>
            <w:tcW w:w="6220" w:type="dxa"/>
            <w:vAlign w:val="center"/>
            <w:textDirection w:val="lrTb"/>
            <w:noWrap w:val="false"/>
          </w:tcPr>
          <w:p>
            <w:pPr>
              <w:jc w:val="left"/>
              <w:widowControl/>
              <w:rPr>
                <w:rFonts w:hint="eastAsia"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t xml:space="preserve">规格：8×6×3×2(长×高×折比3×块)丝绒，B1级防火阻燃处理；</w:t>
            </w:r>
            <w:r/>
          </w:p>
        </w:tc>
        <w:tc>
          <w:tcPr>
            <w:tcBorders>
              <w:top w:val="none" w:color="000000" w:sz="4" w:space="0"/>
              <w:left w:val="none" w:color="000000" w:sz="4" w:space="0"/>
              <w:bottom w:val="single" w:color="auto" w:sz="4" w:space="0"/>
              <w:right w:val="single" w:color="auto" w:sz="4" w:space="0"/>
            </w:tcBorders>
            <w:tcW w:w="601"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288</w:t>
            </w:r>
            <w:r/>
          </w:p>
        </w:tc>
        <w:tc>
          <w:tcPr>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p>
        </w:tc>
      </w:tr>
      <w:tr>
        <w:trPr>
          <w:trHeight w:val="520"/>
        </w:trPr>
        <w:tc>
          <w:tcPr>
            <w:tcBorders>
              <w:top w:val="none" w:color="000000" w:sz="4" w:space="0"/>
              <w:left w:val="single" w:color="auto" w:sz="4" w:space="0"/>
              <w:bottom w:val="single" w:color="auto" w:sz="4" w:space="0"/>
              <w:right w:val="single" w:color="auto" w:sz="4" w:space="0"/>
            </w:tcBorders>
            <w:tcW w:w="616"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w:t>
            </w:r>
            <w:r/>
          </w:p>
        </w:tc>
        <w:tc>
          <w:tcPr>
            <w:tcBorders>
              <w:top w:val="none" w:color="000000" w:sz="4" w:space="0"/>
              <w:left w:val="none" w:color="000000" w:sz="4" w:space="0"/>
              <w:bottom w:val="single" w:color="auto" w:sz="4" w:space="0"/>
              <w:right w:val="single" w:color="auto" w:sz="4" w:space="0"/>
            </w:tcBorders>
            <w:tcW w:w="1071"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底幕幕布衬里</w:t>
            </w:r>
            <w:r/>
          </w:p>
        </w:tc>
        <w:tc>
          <w:tcPr>
            <w:tcBorders>
              <w:top w:val="none" w:color="000000" w:sz="4" w:space="0"/>
              <w:left w:val="none" w:color="000000" w:sz="4" w:space="0"/>
              <w:bottom w:val="single" w:color="auto" w:sz="4" w:space="0"/>
              <w:right w:val="single" w:color="auto" w:sz="4" w:space="0"/>
            </w:tcBorders>
            <w:tcW w:w="6220" w:type="dxa"/>
            <w:vAlign w:val="center"/>
            <w:textDirection w:val="lrTb"/>
            <w:noWrap w:val="false"/>
          </w:tcPr>
          <w:p>
            <w:pPr>
              <w:jc w:val="left"/>
              <w:widowControl/>
              <w:rPr>
                <w:rFonts w:hint="eastAsia"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t xml:space="preserve">规格：8×6×1×2(长×高×折比1×块)棉布，B1级防火阻燃处理；</w:t>
            </w:r>
            <w:r/>
          </w:p>
        </w:tc>
        <w:tc>
          <w:tcPr>
            <w:tcBorders>
              <w:top w:val="none" w:color="000000" w:sz="4" w:space="0"/>
              <w:left w:val="none" w:color="000000" w:sz="4" w:space="0"/>
              <w:bottom w:val="single" w:color="auto" w:sz="4" w:space="0"/>
              <w:right w:val="single" w:color="auto" w:sz="4" w:space="0"/>
            </w:tcBorders>
            <w:tcW w:w="601"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96</w:t>
            </w:r>
            <w:r/>
          </w:p>
        </w:tc>
        <w:tc>
          <w:tcPr>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p>
        </w:tc>
      </w:tr>
      <w:tr>
        <w:trPr>
          <w:trHeight w:val="290"/>
        </w:trPr>
        <w:tc>
          <w:tcPr>
            <w:tcBorders>
              <w:top w:val="none" w:color="000000" w:sz="4" w:space="0"/>
              <w:left w:val="single" w:color="auto" w:sz="4" w:space="0"/>
              <w:bottom w:val="single" w:color="auto" w:sz="4" w:space="0"/>
              <w:right w:val="single" w:color="auto" w:sz="4" w:space="0"/>
            </w:tcBorders>
            <w:tcW w:w="616"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w:t>
            </w:r>
            <w:r/>
          </w:p>
        </w:tc>
        <w:tc>
          <w:tcPr>
            <w:tcBorders>
              <w:top w:val="none" w:color="000000" w:sz="4" w:space="0"/>
              <w:left w:val="none" w:color="000000" w:sz="4" w:space="0"/>
              <w:bottom w:val="single" w:color="auto" w:sz="4" w:space="0"/>
              <w:right w:val="single" w:color="auto" w:sz="4" w:space="0"/>
            </w:tcBorders>
            <w:tcW w:w="1071"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电源线</w:t>
            </w:r>
            <w:r/>
          </w:p>
        </w:tc>
        <w:tc>
          <w:tcPr>
            <w:tcBorders>
              <w:top w:val="none" w:color="000000" w:sz="4" w:space="0"/>
              <w:left w:val="none" w:color="000000" w:sz="4" w:space="0"/>
              <w:bottom w:val="single" w:color="auto" w:sz="4" w:space="0"/>
              <w:right w:val="single" w:color="auto" w:sz="4" w:space="0"/>
            </w:tcBorders>
            <w:tcW w:w="6220"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RVV3*2.5mm</w:t>
            </w:r>
            <w:r/>
          </w:p>
        </w:tc>
        <w:tc>
          <w:tcPr>
            <w:tcBorders>
              <w:top w:val="none" w:color="000000" w:sz="4" w:space="0"/>
              <w:left w:val="none" w:color="000000" w:sz="4" w:space="0"/>
              <w:bottom w:val="single" w:color="auto" w:sz="4" w:space="0"/>
              <w:right w:val="single" w:color="auto" w:sz="4" w:space="0"/>
            </w:tcBorders>
            <w:tcW w:w="601"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500</w:t>
            </w:r>
            <w:r/>
          </w:p>
        </w:tc>
        <w:tc>
          <w:tcPr>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m</w:t>
            </w:r>
            <w:r/>
          </w:p>
        </w:tc>
      </w:tr>
      <w:tr>
        <w:trPr>
          <w:trHeight w:val="290"/>
        </w:trPr>
        <w:tc>
          <w:tcPr>
            <w:tcBorders>
              <w:top w:val="none" w:color="000000" w:sz="4" w:space="0"/>
              <w:left w:val="single" w:color="auto" w:sz="4" w:space="0"/>
              <w:bottom w:val="single" w:color="auto" w:sz="4" w:space="0"/>
              <w:right w:val="single" w:color="auto" w:sz="4" w:space="0"/>
            </w:tcBorders>
            <w:tcW w:w="616"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w:t>
            </w:r>
            <w:r/>
          </w:p>
        </w:tc>
        <w:tc>
          <w:tcPr>
            <w:tcBorders>
              <w:top w:val="none" w:color="000000" w:sz="4" w:space="0"/>
              <w:left w:val="none" w:color="000000" w:sz="4" w:space="0"/>
              <w:bottom w:val="single" w:color="auto" w:sz="4" w:space="0"/>
              <w:right w:val="single" w:color="auto" w:sz="4" w:space="0"/>
            </w:tcBorders>
            <w:tcW w:w="1071"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限位线</w:t>
            </w:r>
            <w:r/>
          </w:p>
        </w:tc>
        <w:tc>
          <w:tcPr>
            <w:tcBorders>
              <w:top w:val="none" w:color="000000" w:sz="4" w:space="0"/>
              <w:left w:val="none" w:color="000000" w:sz="4" w:space="0"/>
              <w:bottom w:val="single" w:color="auto" w:sz="4" w:space="0"/>
              <w:right w:val="single" w:color="auto" w:sz="4" w:space="0"/>
            </w:tcBorders>
            <w:tcW w:w="6220"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RVV3*0.75mm</w:t>
            </w:r>
            <w:r/>
          </w:p>
        </w:tc>
        <w:tc>
          <w:tcPr>
            <w:tcBorders>
              <w:top w:val="none" w:color="000000" w:sz="4" w:space="0"/>
              <w:left w:val="none" w:color="000000" w:sz="4" w:space="0"/>
              <w:bottom w:val="single" w:color="auto" w:sz="4" w:space="0"/>
              <w:right w:val="single" w:color="auto" w:sz="4" w:space="0"/>
            </w:tcBorders>
            <w:tcW w:w="601"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500</w:t>
            </w:r>
            <w:r/>
          </w:p>
        </w:tc>
        <w:tc>
          <w:tcPr>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m</w:t>
            </w:r>
            <w:r/>
          </w:p>
        </w:tc>
      </w:tr>
      <w:tr>
        <w:trPr>
          <w:trHeight w:val="290"/>
        </w:trPr>
        <w:tc>
          <w:tcPr>
            <w:tcBorders>
              <w:top w:val="none" w:color="000000" w:sz="4" w:space="0"/>
              <w:left w:val="single" w:color="auto" w:sz="4" w:space="0"/>
              <w:bottom w:val="single" w:color="auto" w:sz="4" w:space="0"/>
              <w:right w:val="single" w:color="auto" w:sz="4" w:space="0"/>
            </w:tcBorders>
            <w:tcW w:w="616"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w:t>
            </w:r>
            <w:r/>
          </w:p>
        </w:tc>
        <w:tc>
          <w:tcPr>
            <w:tcBorders>
              <w:top w:val="none" w:color="000000" w:sz="4" w:space="0"/>
              <w:left w:val="none" w:color="000000" w:sz="4" w:space="0"/>
              <w:bottom w:val="single" w:color="auto" w:sz="4" w:space="0"/>
              <w:right w:val="single" w:color="auto" w:sz="4" w:space="0"/>
            </w:tcBorders>
            <w:tcW w:w="1071"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钢丝绳</w:t>
            </w:r>
            <w:r/>
          </w:p>
        </w:tc>
        <w:tc>
          <w:tcPr>
            <w:tcBorders>
              <w:top w:val="none" w:color="000000" w:sz="4" w:space="0"/>
              <w:left w:val="none" w:color="000000" w:sz="4" w:space="0"/>
              <w:bottom w:val="single" w:color="auto" w:sz="4" w:space="0"/>
              <w:right w:val="single" w:color="auto" w:sz="4" w:space="0"/>
            </w:tcBorders>
            <w:tcW w:w="6220" w:type="dxa"/>
            <w:vAlign w:val="center"/>
            <w:textDirection w:val="lrTb"/>
            <w:noWrap w:val="false"/>
          </w:tcPr>
          <w:p>
            <w:pPr>
              <w:jc w:val="left"/>
              <w:widowControl/>
              <w:rPr>
                <w:rFonts w:hint="eastAsia"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t xml:space="preserve">航空钢丝绳5.1mm</w:t>
            </w:r>
            <w:r/>
          </w:p>
        </w:tc>
        <w:tc>
          <w:tcPr>
            <w:tcBorders>
              <w:top w:val="none" w:color="000000" w:sz="4" w:space="0"/>
              <w:left w:val="none" w:color="000000" w:sz="4" w:space="0"/>
              <w:bottom w:val="single" w:color="auto" w:sz="4" w:space="0"/>
              <w:right w:val="single" w:color="auto" w:sz="4" w:space="0"/>
            </w:tcBorders>
            <w:tcW w:w="601"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1200</w:t>
            </w:r>
            <w:r/>
          </w:p>
        </w:tc>
        <w:tc>
          <w:tcPr>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米</w:t>
            </w:r>
            <w:r/>
          </w:p>
        </w:tc>
      </w:tr>
      <w:tr>
        <w:trPr>
          <w:trHeight w:val="828"/>
        </w:trPr>
        <w:tc>
          <w:tcPr>
            <w:tcBorders>
              <w:top w:val="none" w:color="000000" w:sz="4" w:space="0"/>
              <w:left w:val="single" w:color="auto" w:sz="4" w:space="0"/>
              <w:bottom w:val="single" w:color="auto" w:sz="4" w:space="0"/>
              <w:right w:val="single" w:color="auto" w:sz="4" w:space="0"/>
            </w:tcBorders>
            <w:tcW w:w="616"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w:t>
            </w:r>
            <w:r/>
          </w:p>
        </w:tc>
        <w:tc>
          <w:tcPr>
            <w:tcBorders>
              <w:top w:val="none" w:color="000000" w:sz="4" w:space="0"/>
              <w:left w:val="none" w:color="000000" w:sz="4" w:space="0"/>
              <w:bottom w:val="single" w:color="auto" w:sz="4" w:space="0"/>
              <w:right w:val="single" w:color="auto" w:sz="4" w:space="0"/>
            </w:tcBorders>
            <w:tcW w:w="1071"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马道栅顶钢结构</w:t>
            </w:r>
            <w:r/>
          </w:p>
        </w:tc>
        <w:tc>
          <w:tcPr>
            <w:tcBorders>
              <w:top w:val="none" w:color="000000" w:sz="4" w:space="0"/>
              <w:left w:val="none" w:color="000000" w:sz="4" w:space="0"/>
              <w:bottom w:val="single" w:color="auto" w:sz="4" w:space="0"/>
              <w:right w:val="single" w:color="auto" w:sz="4" w:space="0"/>
            </w:tcBorders>
            <w:tcW w:w="6220" w:type="dxa"/>
            <w:vAlign w:val="center"/>
            <w:textDirection w:val="lrTb"/>
            <w:noWrap w:val="false"/>
          </w:tcPr>
          <w:p>
            <w:pPr>
              <w:jc w:val="left"/>
              <w:widowControl/>
              <w:rPr>
                <w:rFonts w:hint="eastAsia"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t xml:space="preserve">设备安装层钢架现场定制，设置在屋盖下弦合理的位置，舞台机械安装的必备的基础钢结构；定制承重梁，为保证栅顶钢构在水平方向作用力下的稳定性，承重梁应与建筑主体结构可靠连接；定制吊点梁，定制机座梁，检修马道，下挂吊筋等辅材</w:t>
            </w:r>
            <w:r/>
          </w:p>
        </w:tc>
        <w:tc>
          <w:tcPr>
            <w:tcBorders>
              <w:top w:val="none" w:color="000000" w:sz="4" w:space="0"/>
              <w:left w:val="none" w:color="000000" w:sz="4" w:space="0"/>
              <w:bottom w:val="single" w:color="auto" w:sz="4" w:space="0"/>
              <w:right w:val="single" w:color="auto" w:sz="4" w:space="0"/>
            </w:tcBorders>
            <w:tcW w:w="601"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w:t>
            </w:r>
            <w:r/>
          </w:p>
        </w:tc>
      </w:tr>
      <w:tr>
        <w:trPr>
          <w:trHeight w:val="290"/>
        </w:trPr>
        <w:tc>
          <w:tcPr>
            <w:tcBorders>
              <w:top w:val="none" w:color="000000" w:sz="4" w:space="0"/>
              <w:left w:val="single" w:color="auto" w:sz="4" w:space="0"/>
              <w:bottom w:val="single" w:color="auto" w:sz="4" w:space="0"/>
              <w:right w:val="single" w:color="auto" w:sz="4" w:space="0"/>
            </w:tcBorders>
            <w:tcW w:w="616"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w:t>
            </w:r>
            <w:r/>
          </w:p>
        </w:tc>
        <w:tc>
          <w:tcPr>
            <w:tcBorders>
              <w:top w:val="none" w:color="000000" w:sz="4" w:space="0"/>
              <w:left w:val="none" w:color="000000" w:sz="4" w:space="0"/>
              <w:bottom w:val="single" w:color="auto" w:sz="4" w:space="0"/>
              <w:right w:val="single" w:color="auto" w:sz="4" w:space="0"/>
            </w:tcBorders>
            <w:tcW w:w="1071"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安装辅材及配件</w:t>
            </w:r>
            <w:r/>
          </w:p>
        </w:tc>
        <w:tc>
          <w:tcPr>
            <w:tcBorders>
              <w:top w:val="none" w:color="000000" w:sz="4" w:space="0"/>
              <w:left w:val="none" w:color="000000" w:sz="4" w:space="0"/>
              <w:bottom w:val="single" w:color="auto" w:sz="4" w:space="0"/>
              <w:right w:val="single" w:color="auto" w:sz="4" w:space="0"/>
            </w:tcBorders>
            <w:tcW w:w="6220"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焊条、劳保用品、油漆、五金件等</w:t>
            </w:r>
            <w:r/>
          </w:p>
        </w:tc>
        <w:tc>
          <w:tcPr>
            <w:tcBorders>
              <w:top w:val="none" w:color="000000" w:sz="4" w:space="0"/>
              <w:left w:val="none" w:color="000000" w:sz="4" w:space="0"/>
              <w:bottom w:val="single" w:color="auto" w:sz="4" w:space="0"/>
              <w:right w:val="single" w:color="auto" w:sz="4" w:space="0"/>
            </w:tcBorders>
            <w:tcW w:w="601"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套</w:t>
            </w:r>
            <w:r/>
          </w:p>
        </w:tc>
      </w:tr>
      <w:tr>
        <w:trPr>
          <w:trHeight w:val="290"/>
        </w:trPr>
        <w:tc>
          <w:tcPr>
            <w:gridSpan w:val="2"/>
            <w:tcBorders>
              <w:top w:val="none" w:color="000000" w:sz="4" w:space="0"/>
              <w:left w:val="single" w:color="auto" w:sz="4" w:space="0"/>
              <w:bottom w:val="single" w:color="auto" w:sz="4" w:space="0"/>
              <w:right w:val="single" w:color="auto" w:sz="4" w:space="0"/>
            </w:tcBorders>
            <w:tcW w:w="1687" w:type="dxa"/>
            <w:vAlign w:val="center"/>
            <w:textDirection w:val="lrTb"/>
            <w:noWrap w:val="false"/>
          </w:tcPr>
          <w:p>
            <w:pPr>
              <w:jc w:val="lef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六、舞台灯光设备</w:t>
            </w:r>
            <w:r/>
          </w:p>
        </w:tc>
        <w:tc>
          <w:tcPr>
            <w:tcBorders>
              <w:top w:val="none" w:color="000000" w:sz="4" w:space="0"/>
              <w:left w:val="none" w:color="000000" w:sz="4" w:space="0"/>
              <w:bottom w:val="single" w:color="auto" w:sz="4" w:space="0"/>
              <w:right w:val="single" w:color="auto" w:sz="4" w:space="0"/>
            </w:tcBorders>
            <w:tcW w:w="6220" w:type="dxa"/>
            <w:vAlign w:val="center"/>
            <w:textDirection w:val="lrTb"/>
            <w:noWrap w:val="false"/>
          </w:tcPr>
          <w:p>
            <w:pPr>
              <w:jc w:val="lef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601" w:type="dxa"/>
            <w:vAlign w:val="center"/>
            <w:textDirection w:val="lrTb"/>
            <w:noWrap w:val="false"/>
          </w:tcPr>
          <w:p>
            <w:pPr>
              <w:jc w:val="lef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lef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　</w:t>
            </w:r>
            <w:r/>
          </w:p>
        </w:tc>
      </w:tr>
      <w:tr>
        <w:trPr>
          <w:trHeight w:val="547"/>
        </w:trPr>
        <w:tc>
          <w:tcPr>
            <w:tcBorders>
              <w:top w:val="none" w:color="000000" w:sz="4" w:space="0"/>
              <w:left w:val="single" w:color="auto" w:sz="4" w:space="0"/>
              <w:bottom w:val="single" w:color="auto" w:sz="4" w:space="0"/>
              <w:right w:val="single" w:color="auto" w:sz="4" w:space="0"/>
            </w:tcBorders>
            <w:tcW w:w="616"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none" w:color="000000" w:sz="4" w:space="0"/>
              <w:left w:val="none" w:color="000000" w:sz="4" w:space="0"/>
              <w:bottom w:val="single" w:color="auto" w:sz="4" w:space="0"/>
              <w:right w:val="single" w:color="auto" w:sz="4" w:space="0"/>
            </w:tcBorders>
            <w:tcW w:w="1071"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远程调焦面光灯</w:t>
            </w:r>
            <w:r/>
          </w:p>
        </w:tc>
        <w:tc>
          <w:tcPr>
            <w:tcBorders>
              <w:top w:val="none" w:color="000000" w:sz="4" w:space="0"/>
              <w:left w:val="none" w:color="000000" w:sz="4" w:space="0"/>
              <w:bottom w:val="single" w:color="auto" w:sz="4" w:space="0"/>
              <w:right w:val="single" w:color="auto" w:sz="4" w:space="0"/>
            </w:tcBorders>
            <w:tcW w:w="6220"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i/>
                <w:iCs/>
                <w:sz w:val="24"/>
                <w:szCs w:val="24"/>
                <w:highlight w:val="none"/>
                <w:u w:val="single"/>
              </w:rPr>
              <w:t xml:space="preserve">1</w:t>
            </w:r>
            <w:r>
              <w:rPr>
                <w:rFonts w:hint="eastAsia" w:ascii="宋体" w:hAnsi="宋体" w:eastAsia="宋体" w:cs="宋体"/>
                <w:i/>
                <w:iCs/>
                <w:sz w:val="24"/>
                <w:szCs w:val="24"/>
                <w:highlight w:val="none"/>
                <w:u w:val="single"/>
                <w:lang w:eastAsia="zh-CN"/>
              </w:rPr>
              <w:t xml:space="preserve">、</w:t>
            </w:r>
            <w:r>
              <w:rPr>
                <w:rFonts w:hint="eastAsia" w:ascii="宋体" w:hAnsi="宋体" w:eastAsia="宋体" w:cs="宋体"/>
                <w:i/>
                <w:iCs/>
                <w:sz w:val="24"/>
                <w:szCs w:val="24"/>
                <w:highlight w:val="none"/>
                <w:u w:val="single"/>
              </w:rPr>
              <w:t xml:space="preserve">采用≥200W LED COB光源，光源平均寿命≥50000H。</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2</w:t>
            </w:r>
            <w:r>
              <w:rPr>
                <w:rFonts w:hint="eastAsia" w:ascii="宋体" w:hAnsi="宋体" w:eastAsia="宋体" w:cs="宋体"/>
                <w:i/>
                <w:iCs/>
                <w:sz w:val="24"/>
                <w:szCs w:val="24"/>
                <w:highlight w:val="none"/>
                <w:u w:val="single"/>
                <w:lang w:eastAsia="zh-CN"/>
              </w:rPr>
              <w:t xml:space="preserve">、</w:t>
            </w:r>
            <w:r>
              <w:rPr>
                <w:rFonts w:hint="eastAsia" w:ascii="宋体" w:hAnsi="宋体" w:eastAsia="宋体" w:cs="宋体"/>
                <w:i/>
                <w:iCs/>
                <w:sz w:val="24"/>
                <w:szCs w:val="24"/>
                <w:highlight w:val="none"/>
                <w:u w:val="single"/>
              </w:rPr>
              <w:t xml:space="preserve">具备≥45°光束角度。</w:t>
            </w:r>
            <w:r>
              <w:rPr>
                <w:rFonts w:hint="eastAsia" w:ascii="宋体" w:hAnsi="宋体" w:eastAsia="宋体" w:cs="宋体"/>
                <w:sz w:val="24"/>
                <w:szCs w:val="24"/>
                <w:highlight w:val="none"/>
              </w:rPr>
              <w:br/>
            </w:r>
            <w:r>
              <w:rPr>
                <w:rFonts w:hint="eastAsia" w:ascii="宋体" w:hAnsi="宋体" w:eastAsia="宋体" w:cs="宋体"/>
                <w:i/>
                <w:iCs/>
                <w:sz w:val="24"/>
                <w:szCs w:val="24"/>
                <w:highlight w:val="none"/>
                <w:u w:val="single"/>
              </w:rPr>
              <w:t xml:space="preserve">3</w:t>
            </w:r>
            <w:r>
              <w:rPr>
                <w:rFonts w:hint="eastAsia" w:ascii="宋体" w:hAnsi="宋体" w:eastAsia="宋体" w:cs="宋体"/>
                <w:i/>
                <w:iCs/>
                <w:sz w:val="24"/>
                <w:szCs w:val="24"/>
                <w:highlight w:val="none"/>
                <w:u w:val="single"/>
                <w:lang w:eastAsia="zh-CN"/>
              </w:rPr>
              <w:t xml:space="preserve">、</w:t>
            </w:r>
            <w:r>
              <w:rPr>
                <w:rFonts w:hint="eastAsia" w:ascii="宋体" w:hAnsi="宋体" w:eastAsia="宋体" w:cs="宋体"/>
                <w:i/>
                <w:iCs/>
                <w:sz w:val="24"/>
                <w:szCs w:val="24"/>
                <w:highlight w:val="none"/>
                <w:u w:val="single"/>
              </w:rPr>
              <w:t xml:space="preserve">支持DMX信号更新、云端服务器远程在线更新。</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4</w:t>
            </w:r>
            <w:r>
              <w:rPr>
                <w:rFonts w:hint="eastAsia" w:ascii="宋体" w:hAnsi="宋体" w:eastAsia="宋体" w:cs="宋体"/>
                <w:i/>
                <w:iCs/>
                <w:sz w:val="24"/>
                <w:szCs w:val="24"/>
                <w:highlight w:val="none"/>
                <w:u w:val="single"/>
                <w:lang w:eastAsia="zh-CN"/>
              </w:rPr>
              <w:t xml:space="preserve">、</w:t>
            </w:r>
            <w:r>
              <w:rPr>
                <w:rFonts w:hint="eastAsia" w:ascii="宋体" w:hAnsi="宋体" w:eastAsia="宋体" w:cs="宋体"/>
                <w:i/>
                <w:iCs/>
                <w:sz w:val="24"/>
                <w:szCs w:val="24"/>
                <w:highlight w:val="none"/>
                <w:u w:val="single"/>
              </w:rPr>
              <w:t xml:space="preserve">支持0-25次/秒电子频闪，速度可调节，内置随机频闪或脉冲频闪</w:t>
            </w:r>
            <w:r>
              <w:rPr>
                <w:rFonts w:hint="eastAsia" w:ascii="宋体" w:hAnsi="宋体" w:eastAsia="宋体" w:cs="宋体"/>
                <w:i/>
                <w:iCs/>
                <w:sz w:val="24"/>
                <w:szCs w:val="24"/>
                <w:highlight w:val="none"/>
                <w:u w:val="single"/>
                <w:lang w:eastAsia="zh-CN"/>
              </w:rPr>
              <w:t xml:space="preserve">，</w:t>
            </w:r>
            <w:r>
              <w:rPr>
                <w:rFonts w:hint="eastAsia" w:ascii="宋体" w:hAnsi="宋体" w:eastAsia="宋体" w:cs="宋体"/>
                <w:i/>
                <w:iCs/>
                <w:sz w:val="24"/>
                <w:szCs w:val="24"/>
                <w:highlight w:val="none"/>
                <w:u w:val="single"/>
              </w:rPr>
              <w:t xml:space="preserve">支持0-100%电子线性调光。</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5</w:t>
            </w:r>
            <w:r>
              <w:rPr>
                <w:rFonts w:hint="eastAsia" w:ascii="宋体" w:hAnsi="宋体" w:eastAsia="宋体" w:cs="宋体"/>
                <w:i/>
                <w:iCs/>
                <w:sz w:val="24"/>
                <w:szCs w:val="24"/>
                <w:highlight w:val="none"/>
                <w:u w:val="single"/>
                <w:lang w:eastAsia="zh-CN"/>
              </w:rPr>
              <w:t xml:space="preserve">、</w:t>
            </w:r>
            <w:r>
              <w:rPr>
                <w:rFonts w:hint="eastAsia" w:ascii="宋体" w:hAnsi="宋体" w:eastAsia="宋体" w:cs="宋体"/>
                <w:i/>
                <w:iCs/>
                <w:sz w:val="24"/>
                <w:szCs w:val="24"/>
                <w:highlight w:val="none"/>
                <w:u w:val="single"/>
              </w:rPr>
              <w:t xml:space="preserve">支持3000K-6000K色温线性调节。</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6</w:t>
            </w:r>
            <w:r>
              <w:rPr>
                <w:rFonts w:hint="eastAsia" w:ascii="宋体" w:hAnsi="宋体" w:eastAsia="宋体" w:cs="宋体"/>
                <w:i/>
                <w:iCs/>
                <w:sz w:val="24"/>
                <w:szCs w:val="24"/>
                <w:highlight w:val="none"/>
                <w:u w:val="single"/>
                <w:lang w:eastAsia="zh-CN"/>
              </w:rPr>
              <w:t xml:space="preserve">、</w:t>
            </w:r>
            <w:r>
              <w:rPr>
                <w:rFonts w:hint="eastAsia" w:ascii="宋体" w:hAnsi="宋体" w:eastAsia="宋体" w:cs="宋体"/>
                <w:i/>
                <w:iCs/>
                <w:sz w:val="24"/>
                <w:szCs w:val="24"/>
                <w:highlight w:val="none"/>
                <w:u w:val="single"/>
              </w:rPr>
              <w:t xml:space="preserve">采用数码管显示，配置≥4个机械按键。</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7</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内置NTC温度控测功能，当LED工作过热时，智能降低LED的输出功率。</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8</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支持DMX512协议，RDM协议，内置主从模式、自走模式、手动控制模式。</w:t>
            </w:r>
            <w:r>
              <w:rPr>
                <w:rFonts w:hint="eastAsia" w:ascii="宋体" w:hAnsi="宋体" w:eastAsia="宋体" w:cs="宋体"/>
                <w:sz w:val="24"/>
                <w:szCs w:val="24"/>
                <w:highlight w:val="none"/>
              </w:rPr>
              <w:br/>
            </w:r>
            <w:r>
              <w:rPr>
                <w:rFonts w:hint="eastAsia" w:ascii="宋体" w:hAnsi="宋体" w:eastAsia="宋体" w:cs="宋体"/>
                <w:i/>
                <w:iCs/>
                <w:sz w:val="24"/>
                <w:szCs w:val="24"/>
                <w:highlight w:val="none"/>
                <w:u w:val="single"/>
              </w:rPr>
              <w:t xml:space="preserve">9</w:t>
            </w:r>
            <w:r>
              <w:rPr>
                <w:rFonts w:hint="eastAsia" w:ascii="宋体" w:hAnsi="宋体" w:eastAsia="宋体" w:cs="宋体"/>
                <w:i/>
                <w:iCs/>
                <w:sz w:val="24"/>
                <w:szCs w:val="24"/>
                <w:highlight w:val="none"/>
                <w:u w:val="single"/>
                <w:lang w:eastAsia="zh-CN"/>
              </w:rPr>
              <w:t xml:space="preserve">、</w:t>
            </w:r>
            <w:r>
              <w:rPr>
                <w:rFonts w:hint="eastAsia" w:ascii="宋体" w:hAnsi="宋体" w:eastAsia="宋体" w:cs="宋体"/>
                <w:i/>
                <w:iCs/>
                <w:sz w:val="24"/>
                <w:szCs w:val="24"/>
                <w:highlight w:val="none"/>
                <w:u w:val="single"/>
              </w:rPr>
              <w:t xml:space="preserve">具备≥3种通道模式，包含精简模式≥2CH，标准模式≥6CH，拓展模式≥7CH。</w:t>
            </w:r>
            <w:r/>
          </w:p>
        </w:tc>
        <w:tc>
          <w:tcPr>
            <w:tcBorders>
              <w:top w:val="none" w:color="000000" w:sz="4" w:space="0"/>
              <w:left w:val="none" w:color="000000" w:sz="4" w:space="0"/>
              <w:bottom w:val="single" w:color="auto" w:sz="4" w:space="0"/>
              <w:right w:val="single" w:color="auto" w:sz="4" w:space="0"/>
            </w:tcBorders>
            <w:tcW w:w="601"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w:t>
            </w:r>
            <w:r/>
          </w:p>
        </w:tc>
        <w:tc>
          <w:tcPr>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r>
      <w:tr>
        <w:trPr>
          <w:trHeight w:val="3464"/>
        </w:trPr>
        <w:tc>
          <w:tcPr>
            <w:tcBorders>
              <w:top w:val="none" w:color="000000" w:sz="4" w:space="0"/>
              <w:left w:val="single" w:color="auto" w:sz="4" w:space="0"/>
              <w:bottom w:val="single" w:color="auto" w:sz="4" w:space="0"/>
              <w:right w:val="single" w:color="auto" w:sz="4" w:space="0"/>
            </w:tcBorders>
            <w:tcW w:w="616"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Borders>
              <w:top w:val="none" w:color="000000" w:sz="4" w:space="0"/>
              <w:left w:val="none" w:color="000000" w:sz="4" w:space="0"/>
              <w:bottom w:val="single" w:color="auto" w:sz="4" w:space="0"/>
              <w:right w:val="single" w:color="auto" w:sz="4" w:space="0"/>
            </w:tcBorders>
            <w:tcW w:w="1071"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LED三基色灯</w:t>
            </w:r>
            <w:r/>
          </w:p>
        </w:tc>
        <w:tc>
          <w:tcPr>
            <w:tcBorders>
              <w:top w:val="none" w:color="000000" w:sz="4" w:space="0"/>
              <w:left w:val="none" w:color="000000" w:sz="4" w:space="0"/>
              <w:bottom w:val="single" w:color="auto" w:sz="4" w:space="0"/>
              <w:right w:val="single" w:color="auto" w:sz="4" w:space="0"/>
            </w:tcBorders>
            <w:tcW w:w="6220"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i/>
                <w:iCs/>
                <w:sz w:val="24"/>
                <w:szCs w:val="24"/>
                <w:highlight w:val="none"/>
                <w:u w:val="single"/>
              </w:rPr>
              <w:t xml:space="preserve">1</w:t>
            </w:r>
            <w:r>
              <w:rPr>
                <w:rFonts w:hint="eastAsia" w:ascii="宋体" w:hAnsi="宋体" w:eastAsia="宋体" w:cs="宋体"/>
                <w:i/>
                <w:iCs/>
                <w:sz w:val="24"/>
                <w:szCs w:val="24"/>
                <w:highlight w:val="none"/>
                <w:u w:val="single"/>
                <w:lang w:eastAsia="zh-CN"/>
              </w:rPr>
              <w:t xml:space="preserve">、</w:t>
            </w:r>
            <w:r>
              <w:rPr>
                <w:rFonts w:hint="eastAsia" w:ascii="宋体" w:hAnsi="宋体" w:eastAsia="宋体" w:cs="宋体"/>
                <w:i/>
                <w:iCs/>
                <w:sz w:val="24"/>
                <w:szCs w:val="24"/>
                <w:highlight w:val="none"/>
                <w:u w:val="single"/>
              </w:rPr>
              <w:t xml:space="preserve">采用≥630*0.2W LED光源，光源平均寿命≥50000H。</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2</w:t>
            </w:r>
            <w:r>
              <w:rPr>
                <w:rFonts w:hint="eastAsia" w:ascii="宋体" w:hAnsi="宋体" w:eastAsia="宋体" w:cs="宋体"/>
                <w:i/>
                <w:iCs/>
                <w:sz w:val="24"/>
                <w:szCs w:val="24"/>
                <w:highlight w:val="none"/>
                <w:u w:val="single"/>
                <w:lang w:eastAsia="zh-CN"/>
              </w:rPr>
              <w:t xml:space="preserve">、</w:t>
            </w:r>
            <w:r>
              <w:rPr>
                <w:rFonts w:hint="eastAsia" w:ascii="宋体" w:hAnsi="宋体" w:eastAsia="宋体" w:cs="宋体"/>
                <w:i/>
                <w:iCs/>
                <w:sz w:val="24"/>
                <w:szCs w:val="24"/>
                <w:highlight w:val="none"/>
                <w:u w:val="single"/>
              </w:rPr>
              <w:t xml:space="preserve">具备光斑角度≥100°。</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3</w:t>
            </w:r>
            <w:r>
              <w:rPr>
                <w:rFonts w:hint="eastAsia" w:ascii="宋体" w:hAnsi="宋体" w:eastAsia="宋体" w:cs="宋体"/>
                <w:i/>
                <w:iCs/>
                <w:sz w:val="24"/>
                <w:szCs w:val="24"/>
                <w:highlight w:val="none"/>
                <w:u w:val="single"/>
                <w:lang w:eastAsia="zh-CN"/>
              </w:rPr>
              <w:t xml:space="preserve">、</w:t>
            </w:r>
            <w:r>
              <w:rPr>
                <w:rFonts w:hint="eastAsia" w:ascii="宋体" w:hAnsi="宋体" w:eastAsia="宋体" w:cs="宋体"/>
                <w:i/>
                <w:iCs/>
                <w:sz w:val="24"/>
                <w:szCs w:val="24"/>
                <w:highlight w:val="none"/>
                <w:u w:val="single"/>
              </w:rPr>
              <w:t xml:space="preserve">支持0-25次/秒电子频闪，速度可调节，内置随机频闪或脉冲频闪；支持0-100%电子线性调光。</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4</w:t>
            </w:r>
            <w:r>
              <w:rPr>
                <w:rFonts w:hint="eastAsia" w:ascii="宋体" w:hAnsi="宋体" w:eastAsia="宋体" w:cs="宋体"/>
                <w:i/>
                <w:iCs/>
                <w:sz w:val="24"/>
                <w:szCs w:val="24"/>
                <w:highlight w:val="none"/>
                <w:u w:val="single"/>
                <w:lang w:eastAsia="zh-CN"/>
              </w:rPr>
              <w:t xml:space="preserve">、</w:t>
            </w:r>
            <w:r>
              <w:rPr>
                <w:rFonts w:hint="eastAsia" w:ascii="宋体" w:hAnsi="宋体" w:eastAsia="宋体" w:cs="宋体"/>
                <w:i/>
                <w:iCs/>
                <w:sz w:val="24"/>
                <w:szCs w:val="24"/>
                <w:highlight w:val="none"/>
                <w:u w:val="single"/>
              </w:rPr>
              <w:t xml:space="preserve">支持DMX信号更新、云端服务器远程在线更新。</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5</w:t>
            </w:r>
            <w:r>
              <w:rPr>
                <w:rFonts w:hint="eastAsia" w:ascii="宋体" w:hAnsi="宋体" w:eastAsia="宋体" w:cs="宋体"/>
                <w:i/>
                <w:iCs/>
                <w:sz w:val="24"/>
                <w:szCs w:val="24"/>
                <w:highlight w:val="none"/>
                <w:u w:val="single"/>
                <w:lang w:eastAsia="zh-CN"/>
              </w:rPr>
              <w:t xml:space="preserve">、</w:t>
            </w:r>
            <w:r>
              <w:rPr>
                <w:rFonts w:hint="eastAsia" w:ascii="宋体" w:hAnsi="宋体" w:eastAsia="宋体" w:cs="宋体"/>
                <w:i/>
                <w:iCs/>
                <w:sz w:val="24"/>
                <w:szCs w:val="24"/>
                <w:highlight w:val="none"/>
                <w:u w:val="single"/>
              </w:rPr>
              <w:t xml:space="preserve">采用数码管显示，配置≥4个机械按键。</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采用无风扇全铝自然散热技术，内置NTC温度控测功能，当故障导致光源工作过热时，智能降低光源的输出功率。</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7</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支持DMX512协议，RDM协议，内置主从模式、自走模式、手动控制模式。</w:t>
            </w:r>
            <w:r>
              <w:rPr>
                <w:rFonts w:hint="eastAsia" w:ascii="宋体" w:hAnsi="宋体" w:eastAsia="宋体" w:cs="宋体"/>
                <w:sz w:val="24"/>
                <w:szCs w:val="24"/>
                <w:highlight w:val="none"/>
              </w:rPr>
              <w:br/>
            </w:r>
            <w:r>
              <w:rPr>
                <w:rFonts w:hint="eastAsia" w:ascii="宋体" w:hAnsi="宋体" w:eastAsia="宋体" w:cs="宋体"/>
                <w:i/>
                <w:iCs/>
                <w:sz w:val="24"/>
                <w:szCs w:val="24"/>
                <w:highlight w:val="none"/>
                <w:u w:val="single"/>
              </w:rPr>
              <w:t xml:space="preserve">8</w:t>
            </w:r>
            <w:r>
              <w:rPr>
                <w:rFonts w:hint="eastAsia" w:ascii="宋体" w:hAnsi="宋体" w:eastAsia="宋体" w:cs="宋体"/>
                <w:i/>
                <w:iCs/>
                <w:sz w:val="24"/>
                <w:szCs w:val="24"/>
                <w:highlight w:val="none"/>
                <w:u w:val="single"/>
                <w:lang w:eastAsia="zh-CN"/>
              </w:rPr>
              <w:t xml:space="preserve">、</w:t>
            </w:r>
            <w:r>
              <w:rPr>
                <w:rFonts w:hint="eastAsia" w:ascii="宋体" w:hAnsi="宋体" w:eastAsia="宋体" w:cs="宋体"/>
                <w:i/>
                <w:iCs/>
                <w:sz w:val="24"/>
                <w:szCs w:val="24"/>
                <w:highlight w:val="none"/>
                <w:u w:val="single"/>
              </w:rPr>
              <w:t xml:space="preserve">具备≥2种通道模式，由精简模式≥2CH，标准模式≥5CH组成。</w:t>
            </w:r>
            <w:r>
              <w:rPr>
                <w:rFonts w:hint="eastAsia" w:ascii="宋体" w:hAnsi="宋体" w:eastAsia="宋体" w:cs="宋体"/>
                <w:sz w:val="24"/>
                <w:szCs w:val="24"/>
                <w:highlight w:val="none"/>
              </w:rPr>
              <w:br/>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9</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配置≥1个电源输入接口，≥1个电源输出接口，≥1个DMX512输入接口，≥1个DMX512输出接口。（需提供功能截图</w:t>
            </w:r>
            <w:r>
              <w:rPr>
                <w:rFonts w:hint="eastAsia" w:ascii="宋体" w:hAnsi="宋体" w:eastAsia="宋体" w:cs="宋体"/>
                <w:sz w:val="24"/>
                <w:szCs w:val="24"/>
                <w:highlight w:val="none"/>
                <w:lang w:val="en-US" w:eastAsia="zh-CN"/>
              </w:rPr>
              <w:t xml:space="preserve">扫描上传</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10</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具备Ra≥97，TLCI≥95。</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支持3000K-6500K色温线性调节。</w:t>
            </w:r>
            <w:r/>
          </w:p>
        </w:tc>
        <w:tc>
          <w:tcPr>
            <w:tcBorders>
              <w:top w:val="none" w:color="000000" w:sz="4" w:space="0"/>
              <w:left w:val="none" w:color="000000" w:sz="4" w:space="0"/>
              <w:bottom w:val="single" w:color="auto" w:sz="4" w:space="0"/>
              <w:right w:val="single" w:color="auto" w:sz="4" w:space="0"/>
            </w:tcBorders>
            <w:tcW w:w="601"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w:t>
            </w:r>
            <w:r/>
          </w:p>
        </w:tc>
        <w:tc>
          <w:tcPr>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r>
      <w:tr>
        <w:trPr>
          <w:trHeight w:val="3910"/>
        </w:trPr>
        <w:tc>
          <w:tcPr>
            <w:tcBorders>
              <w:top w:val="none" w:color="000000" w:sz="4" w:space="0"/>
              <w:left w:val="single" w:color="auto" w:sz="4" w:space="0"/>
              <w:bottom w:val="single" w:color="auto" w:sz="4" w:space="0"/>
              <w:right w:val="single" w:color="auto" w:sz="4" w:space="0"/>
            </w:tcBorders>
            <w:tcW w:w="616"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Borders>
              <w:top w:val="none" w:color="000000" w:sz="4" w:space="0"/>
              <w:left w:val="none" w:color="000000" w:sz="4" w:space="0"/>
              <w:bottom w:val="single" w:color="auto" w:sz="4" w:space="0"/>
              <w:right w:val="single" w:color="auto" w:sz="4" w:space="0"/>
            </w:tcBorders>
            <w:tcW w:w="1071"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LED智能染色灯</w:t>
            </w:r>
            <w:r/>
          </w:p>
        </w:tc>
        <w:tc>
          <w:tcPr>
            <w:tcBorders>
              <w:top w:val="none" w:color="000000" w:sz="4" w:space="0"/>
              <w:left w:val="none" w:color="000000" w:sz="4" w:space="0"/>
              <w:bottom w:val="single" w:color="auto" w:sz="4" w:space="0"/>
              <w:right w:val="single" w:color="auto" w:sz="4" w:space="0"/>
            </w:tcBorders>
            <w:tcW w:w="6220" w:type="dxa"/>
            <w:vAlign w:val="center"/>
            <w:textDirection w:val="lrTb"/>
            <w:noWrap w:val="false"/>
          </w:tcPr>
          <w:p>
            <w:pPr>
              <w:numPr>
                <w:ilvl w:val="0"/>
                <w:numId w:val="14"/>
              </w:num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采用≥18×10W RGBW四合一LED光源，光源平均寿命≥50000H。</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具备光束角度≥20°，光斑角度≥50°。</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支持0-25次/秒电子频闪，速度可调节，内置随机频闪或脉冲频闪；支持0-100%电子线性调光。</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具备RGBW(红绿蓝白)线性混色系统，内置宏功能，支持3200K-7200K色温线性调节。</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支持DMX信号更新、云端服务器远程在线更新。</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采用数码管显示，配置≥4个机械按键。</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7</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内置NTC温度控测功能，当LED工作过热时，智能降低LED的输出功率。</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★8、支持DMX512协议，内置主从模式、自走模式，通道：9/5 通道。（提</w:t>
            </w:r>
            <w:r>
              <w:rPr>
                <w:rFonts w:hint="eastAsia" w:ascii="宋体" w:hAnsi="宋体" w:eastAsia="宋体" w:cs="宋体"/>
                <w:sz w:val="24"/>
                <w:szCs w:val="24"/>
                <w:highlight w:val="none"/>
                <w:lang w:val="en-US" w:eastAsia="zh-CN"/>
              </w:rPr>
              <w:t xml:space="preserve">供</w:t>
            </w:r>
            <w:r>
              <w:rPr>
                <w:rFonts w:hint="eastAsia" w:ascii="宋体" w:hAnsi="宋体" w:eastAsia="宋体" w:cs="宋体"/>
                <w:sz w:val="24"/>
                <w:szCs w:val="24"/>
                <w:highlight w:val="none"/>
              </w:rPr>
              <w:t xml:space="preserve">公安部授权机构</w:t>
            </w:r>
            <w:r>
              <w:rPr>
                <w:rFonts w:hint="eastAsia" w:ascii="宋体" w:hAnsi="宋体" w:eastAsia="宋体" w:cs="宋体"/>
                <w:sz w:val="24"/>
                <w:szCs w:val="24"/>
                <w:highlight w:val="none"/>
                <w:lang w:val="en-US" w:eastAsia="zh-CN"/>
              </w:rPr>
              <w:t xml:space="preserve">或第三方机构</w:t>
            </w:r>
            <w:r>
              <w:rPr>
                <w:rFonts w:hint="eastAsia" w:ascii="宋体" w:hAnsi="宋体" w:eastAsia="宋体" w:cs="宋体"/>
                <w:sz w:val="24"/>
                <w:szCs w:val="24"/>
                <w:highlight w:val="none"/>
              </w:rPr>
              <w:t xml:space="preserve">出具的检测报告扫描上传）</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9</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具备≥2种通道模式，由精简模式≥4CH，标准模式≥8CH组成。</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10</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配置≥1个电源输入接口，≥1个电源输出接口，≥1个DMX512输入接口，≥1个DMX512输出接口。</w:t>
            </w:r>
            <w:r/>
          </w:p>
          <w:p>
            <w:pPr>
              <w:pStyle w:val="722"/>
              <w:numPr>
                <w:ilvl w:val="0"/>
                <w:numId w:val="0"/>
              </w:numPr>
              <w:rPr>
                <w:rFonts w:hint="eastAsia"/>
                <w:highlight w:val="none"/>
              </w:rPr>
            </w:pPr>
            <w:r>
              <w:rPr>
                <w:rFonts w:hint="eastAsia" w:ascii="宋体" w:hAnsi="宋体" w:eastAsia="宋体" w:cs="宋体"/>
                <w:sz w:val="24"/>
                <w:szCs w:val="24"/>
                <w:highlight w:val="none"/>
              </w:rPr>
              <w:t xml:space="preserve">★11、设备光源蓝光危害等级≤RG0，颜色：≥1670 万种颜色变化，LED 角度：15°，25°，45°（可供选择）</w:t>
            </w:r>
            <w:r>
              <w:rPr>
                <w:rFonts w:hint="eastAsia" w:ascii="宋体" w:hAnsi="宋体" w:eastAsia="宋体" w:cs="宋体"/>
                <w:i w:val="0"/>
                <w:iCs w:val="0"/>
                <w:sz w:val="24"/>
                <w:szCs w:val="24"/>
                <w:highlight w:val="none"/>
                <w:u w:val="none"/>
              </w:rPr>
              <w:t xml:space="preserve">（提</w:t>
            </w:r>
            <w:r>
              <w:rPr>
                <w:rFonts w:hint="eastAsia" w:ascii="宋体" w:hAnsi="宋体" w:eastAsia="宋体" w:cs="宋体"/>
                <w:i w:val="0"/>
                <w:iCs w:val="0"/>
                <w:sz w:val="24"/>
                <w:szCs w:val="24"/>
                <w:highlight w:val="none"/>
                <w:u w:val="none"/>
                <w:lang w:val="en-US" w:eastAsia="zh-CN"/>
              </w:rPr>
              <w:t xml:space="preserve">供</w:t>
            </w:r>
            <w:r>
              <w:rPr>
                <w:rFonts w:hint="eastAsia" w:ascii="宋体" w:hAnsi="宋体" w:eastAsia="宋体" w:cs="宋体"/>
                <w:i w:val="0"/>
                <w:iCs w:val="0"/>
                <w:sz w:val="24"/>
                <w:szCs w:val="24"/>
                <w:highlight w:val="none"/>
                <w:u w:val="none"/>
              </w:rPr>
              <w:t xml:space="preserve">公安部授权机构</w:t>
            </w:r>
            <w:r>
              <w:rPr>
                <w:rFonts w:hint="eastAsia" w:ascii="宋体" w:hAnsi="宋体" w:eastAsia="宋体" w:cs="宋体"/>
                <w:i w:val="0"/>
                <w:iCs w:val="0"/>
                <w:sz w:val="24"/>
                <w:szCs w:val="24"/>
                <w:highlight w:val="none"/>
                <w:u w:val="none"/>
                <w:lang w:val="en-US" w:eastAsia="zh-CN"/>
              </w:rPr>
              <w:t xml:space="preserve">或第三方机构</w:t>
            </w:r>
            <w:r>
              <w:rPr>
                <w:rFonts w:hint="eastAsia" w:ascii="宋体" w:hAnsi="宋体" w:eastAsia="宋体" w:cs="宋体"/>
                <w:i w:val="0"/>
                <w:iCs w:val="0"/>
                <w:sz w:val="24"/>
                <w:szCs w:val="24"/>
                <w:highlight w:val="none"/>
                <w:u w:val="none"/>
              </w:rPr>
              <w:t xml:space="preserve">出具的检测报告扫描上传）</w:t>
            </w:r>
            <w:r/>
          </w:p>
        </w:tc>
        <w:tc>
          <w:tcPr>
            <w:tcBorders>
              <w:top w:val="none" w:color="000000" w:sz="4" w:space="0"/>
              <w:left w:val="none" w:color="000000" w:sz="4" w:space="0"/>
              <w:bottom w:val="single" w:color="auto" w:sz="4" w:space="0"/>
              <w:right w:val="single" w:color="auto" w:sz="4" w:space="0"/>
            </w:tcBorders>
            <w:tcW w:w="601"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36</w:t>
            </w:r>
            <w:r/>
          </w:p>
        </w:tc>
        <w:tc>
          <w:tcPr>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r>
      <w:tr>
        <w:trPr>
          <w:trHeight w:val="7240"/>
        </w:trPr>
        <w:tc>
          <w:tcPr>
            <w:tcBorders>
              <w:top w:val="none" w:color="000000" w:sz="4" w:space="0"/>
              <w:left w:val="single" w:color="auto" w:sz="4" w:space="0"/>
              <w:bottom w:val="single" w:color="auto" w:sz="4" w:space="0"/>
              <w:right w:val="single" w:color="auto" w:sz="4" w:space="0"/>
            </w:tcBorders>
            <w:tcW w:w="616"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Borders>
              <w:top w:val="none" w:color="000000" w:sz="4" w:space="0"/>
              <w:left w:val="none" w:color="000000" w:sz="4" w:space="0"/>
              <w:bottom w:val="single" w:color="auto" w:sz="4" w:space="0"/>
              <w:right w:val="single" w:color="auto" w:sz="4" w:space="0"/>
            </w:tcBorders>
            <w:tcW w:w="1071"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摇头光束灯</w:t>
            </w:r>
            <w:r/>
          </w:p>
        </w:tc>
        <w:tc>
          <w:tcPr>
            <w:tcBorders>
              <w:top w:val="none" w:color="000000" w:sz="4" w:space="0"/>
              <w:left w:val="none" w:color="000000" w:sz="4" w:space="0"/>
              <w:bottom w:val="single" w:color="auto" w:sz="4" w:space="0"/>
              <w:right w:val="single" w:color="auto" w:sz="4" w:space="0"/>
            </w:tcBorders>
            <w:tcW w:w="6220"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光束角度≤2.5°，频率0.5-13次/s的频闪速度，具有频闪、雾化功能。（提</w:t>
            </w:r>
            <w:r>
              <w:rPr>
                <w:rFonts w:hint="eastAsia" w:ascii="宋体" w:hAnsi="宋体" w:eastAsia="宋体" w:cs="宋体"/>
                <w:sz w:val="24"/>
                <w:szCs w:val="24"/>
                <w:highlight w:val="none"/>
                <w:lang w:val="en-US" w:eastAsia="zh-CN"/>
              </w:rPr>
              <w:t xml:space="preserve">供</w:t>
            </w:r>
            <w:r>
              <w:rPr>
                <w:rFonts w:hint="eastAsia" w:ascii="宋体" w:hAnsi="宋体" w:eastAsia="宋体" w:cs="宋体"/>
                <w:sz w:val="24"/>
                <w:szCs w:val="24"/>
                <w:highlight w:val="none"/>
              </w:rPr>
              <w:t xml:space="preserve">公安部授权机构</w:t>
            </w:r>
            <w:r>
              <w:rPr>
                <w:rFonts w:hint="eastAsia" w:ascii="宋体" w:hAnsi="宋体" w:eastAsia="宋体" w:cs="宋体"/>
                <w:sz w:val="24"/>
                <w:szCs w:val="24"/>
                <w:highlight w:val="none"/>
                <w:lang w:val="en-US" w:eastAsia="zh-CN"/>
              </w:rPr>
              <w:t xml:space="preserve">或第三方机构</w:t>
            </w:r>
            <w:r>
              <w:rPr>
                <w:rFonts w:hint="eastAsia" w:ascii="宋体" w:hAnsi="宋体" w:eastAsia="宋体" w:cs="宋体"/>
                <w:sz w:val="24"/>
                <w:szCs w:val="24"/>
                <w:highlight w:val="none"/>
              </w:rPr>
              <w:t xml:space="preserve">出具的检测报告扫描上传）</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支持0-23次/秒双片式频闪，速度可调节，内置随机频闪或脉冲频闪；支持0-100%线性调光，具备≥4种调光曲线（平方曲线、反曲线、直线和S曲线）。</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配置≥1个颜色盘，由≥14个颜色+≥1个白光组成，双向彩虹效果，速度可调，任意定位功能。</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配置≥1个固定图案盘，由≥16个固定图案+≥1个白光组成，单向流水，速度可调，任意定位功能。</w:t>
            </w:r>
            <w:r>
              <w:rPr>
                <w:rFonts w:hint="eastAsia" w:ascii="宋体" w:hAnsi="宋体" w:eastAsia="宋体" w:cs="宋体"/>
                <w:sz w:val="24"/>
                <w:szCs w:val="24"/>
                <w:highlight w:val="none"/>
              </w:rPr>
              <w:br/>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配置≥2个棱镜，由≥1个十六棱镜+≥1个六排镜组成，可正反旋转，速度可调，棱镜叠加功能。（提供公安部授权机构</w:t>
            </w:r>
            <w:r>
              <w:rPr>
                <w:rFonts w:hint="eastAsia" w:ascii="宋体" w:hAnsi="宋体" w:eastAsia="宋体" w:cs="宋体"/>
                <w:sz w:val="24"/>
                <w:szCs w:val="24"/>
                <w:highlight w:val="none"/>
                <w:lang w:val="en-US" w:eastAsia="zh-CN"/>
              </w:rPr>
              <w:t xml:space="preserve">或第三方机构</w:t>
            </w:r>
            <w:r>
              <w:rPr>
                <w:rFonts w:hint="eastAsia" w:ascii="宋体" w:hAnsi="宋体" w:eastAsia="宋体" w:cs="宋体"/>
                <w:sz w:val="24"/>
                <w:szCs w:val="24"/>
                <w:highlight w:val="none"/>
              </w:rPr>
              <w:t xml:space="preserve">出具的</w:t>
            </w:r>
            <w:r>
              <w:rPr>
                <w:rFonts w:hint="eastAsia" w:ascii="宋体" w:hAnsi="宋体" w:eastAsia="宋体" w:cs="宋体"/>
                <w:sz w:val="24"/>
                <w:szCs w:val="24"/>
                <w:highlight w:val="none"/>
                <w:lang w:eastAsia="zh-CN"/>
              </w:rPr>
              <w:t xml:space="preserve">检测</w:t>
            </w:r>
            <w:r>
              <w:rPr>
                <w:rFonts w:hint="eastAsia" w:ascii="宋体" w:hAnsi="宋体" w:eastAsia="宋体" w:cs="宋体"/>
                <w:sz w:val="24"/>
                <w:szCs w:val="24"/>
                <w:highlight w:val="none"/>
              </w:rPr>
              <w:t xml:space="preserve">报告扫描上传）</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配置≥1个独立的雾化片，实现柔光雾化效果。</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7</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支持DMX信号更新、云端服务器远程在线更新。</w:t>
            </w:r>
            <w:r>
              <w:rPr>
                <w:rFonts w:hint="eastAsia" w:ascii="宋体" w:hAnsi="宋体" w:eastAsia="宋体" w:cs="宋体"/>
                <w:sz w:val="24"/>
                <w:szCs w:val="24"/>
                <w:highlight w:val="none"/>
              </w:rPr>
              <w:br/>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8</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采用≥2.8英寸全触控LCD显示屏，采用菜单分层结构，支持触摸屏的常规操作，包括点击、双击、滑动等操作手势。（提</w:t>
            </w:r>
            <w:r>
              <w:rPr>
                <w:rFonts w:hint="eastAsia" w:ascii="宋体" w:hAnsi="宋体" w:eastAsia="宋体" w:cs="宋体"/>
                <w:sz w:val="24"/>
                <w:szCs w:val="24"/>
                <w:highlight w:val="none"/>
                <w:lang w:val="en-US" w:eastAsia="zh-CN"/>
              </w:rPr>
              <w:t xml:space="preserve">供</w:t>
            </w:r>
            <w:r>
              <w:rPr>
                <w:rFonts w:hint="eastAsia" w:ascii="宋体" w:hAnsi="宋体" w:eastAsia="宋体" w:cs="宋体"/>
                <w:sz w:val="24"/>
                <w:szCs w:val="24"/>
                <w:highlight w:val="none"/>
              </w:rPr>
              <w:t xml:space="preserve">公安部授权机构</w:t>
            </w:r>
            <w:r>
              <w:rPr>
                <w:rFonts w:hint="eastAsia" w:ascii="宋体" w:hAnsi="宋体" w:eastAsia="宋体" w:cs="宋体"/>
                <w:sz w:val="24"/>
                <w:szCs w:val="24"/>
                <w:highlight w:val="none"/>
                <w:lang w:val="en-US" w:eastAsia="zh-CN"/>
              </w:rPr>
              <w:t xml:space="preserve">或第三方机构</w:t>
            </w:r>
            <w:r>
              <w:rPr>
                <w:rFonts w:hint="eastAsia" w:ascii="宋体" w:hAnsi="宋体" w:eastAsia="宋体" w:cs="宋体"/>
                <w:sz w:val="24"/>
                <w:szCs w:val="24"/>
                <w:highlight w:val="none"/>
              </w:rPr>
              <w:t xml:space="preserve">出具的检测报告扫描上传）</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9</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通过实时监控风扇转速，可以在显示屏上显示风扇的旋转状态和速度。</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10</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配备≥20个独立可编辑场景，单机编程录制出多变的场景灯光效果。</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支持弹窗式预警功能，在设备运行出现故障或其他问题时自动弹出一个警告窗口。</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支持≥6种屏保模式，当显示屏在一段时间内没有活动时，将自动进入屏保模式。</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13</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采用≥251W 灯泡,光源平均寿命≥3000H。</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14</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支持RDM协议，单机编程控制模式；具备≥2种通道模式，由精简模式≥13CH，标准模式≥15CH组成。</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15</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配置≥1个电源输入接口，≥1个电源输出接口，≥1个DMX512输入接口，≥1个DMX512输出接口。</w:t>
            </w:r>
            <w:r/>
          </w:p>
          <w:p>
            <w:pPr>
              <w:pStyle w:val="722"/>
              <w:ind w:left="0" w:firstLine="0"/>
              <w:rPr>
                <w:rFonts w:hint="eastAsia"/>
                <w:highlight w:val="none"/>
              </w:rPr>
            </w:pPr>
            <w:r>
              <w:rPr>
                <w:rFonts w:hint="eastAsia" w:ascii="宋体" w:hAnsi="宋体" w:eastAsia="宋体" w:cs="宋体"/>
                <w:i w:val="0"/>
                <w:iCs w:val="0"/>
                <w:sz w:val="24"/>
                <w:szCs w:val="24"/>
                <w:highlight w:val="none"/>
                <w:u w:val="none"/>
                <w:lang w:val="en-US" w:eastAsia="zh-CN"/>
              </w:rPr>
              <w:t xml:space="preserve">★16、</w:t>
            </w:r>
            <w:r>
              <w:rPr>
                <w:rFonts w:hint="default" w:ascii="宋体" w:hAnsi="宋体" w:eastAsia="宋体" w:cs="宋体"/>
                <w:i w:val="0"/>
                <w:iCs w:val="0"/>
                <w:sz w:val="24"/>
                <w:szCs w:val="24"/>
                <w:highlight w:val="none"/>
                <w:u w:val="none"/>
                <w:lang w:val="en-US" w:eastAsia="zh-CN"/>
              </w:rPr>
              <w:t xml:space="preserve">具有散热功能，采用风向引流与温度智能监控技术，根据灯具不同位置的温度高低，自动驱动灯具里面不同部位的冷却风扇，对灯具部件进行有效的冷却。</w:t>
            </w:r>
            <w:r>
              <w:rPr>
                <w:rFonts w:hint="eastAsia" w:ascii="宋体" w:hAnsi="宋体" w:eastAsia="宋体" w:cs="宋体"/>
                <w:i w:val="0"/>
                <w:iCs w:val="0"/>
                <w:sz w:val="24"/>
                <w:szCs w:val="24"/>
                <w:highlight w:val="none"/>
                <w:u w:val="none"/>
              </w:rPr>
              <w:t xml:space="preserve">（提</w:t>
            </w:r>
            <w:r>
              <w:rPr>
                <w:rFonts w:hint="eastAsia" w:ascii="宋体" w:hAnsi="宋体" w:eastAsia="宋体" w:cs="宋体"/>
                <w:i w:val="0"/>
                <w:iCs w:val="0"/>
                <w:sz w:val="24"/>
                <w:szCs w:val="24"/>
                <w:highlight w:val="none"/>
                <w:u w:val="none"/>
                <w:lang w:val="en-US" w:eastAsia="zh-CN"/>
              </w:rPr>
              <w:t xml:space="preserve">供</w:t>
            </w:r>
            <w:r>
              <w:rPr>
                <w:rFonts w:hint="eastAsia" w:ascii="宋体" w:hAnsi="宋体" w:eastAsia="宋体" w:cs="宋体"/>
                <w:i w:val="0"/>
                <w:iCs w:val="0"/>
                <w:sz w:val="24"/>
                <w:szCs w:val="24"/>
                <w:highlight w:val="none"/>
                <w:u w:val="none"/>
              </w:rPr>
              <w:t xml:space="preserve">公安部授权机构</w:t>
            </w:r>
            <w:r>
              <w:rPr>
                <w:rFonts w:hint="eastAsia" w:ascii="宋体" w:hAnsi="宋体" w:eastAsia="宋体" w:cs="宋体"/>
                <w:i w:val="0"/>
                <w:iCs w:val="0"/>
                <w:sz w:val="24"/>
                <w:szCs w:val="24"/>
                <w:highlight w:val="none"/>
                <w:u w:val="none"/>
                <w:lang w:val="en-US" w:eastAsia="zh-CN"/>
              </w:rPr>
              <w:t xml:space="preserve">或第三方机构</w:t>
            </w:r>
            <w:r>
              <w:rPr>
                <w:rFonts w:hint="eastAsia" w:ascii="宋体" w:hAnsi="宋体" w:eastAsia="宋体" w:cs="宋体"/>
                <w:i w:val="0"/>
                <w:iCs w:val="0"/>
                <w:sz w:val="24"/>
                <w:szCs w:val="24"/>
                <w:highlight w:val="none"/>
                <w:u w:val="none"/>
              </w:rPr>
              <w:t xml:space="preserve">出具的检测报告扫描上传）</w:t>
            </w:r>
            <w:r/>
          </w:p>
        </w:tc>
        <w:tc>
          <w:tcPr>
            <w:tcBorders>
              <w:top w:val="none" w:color="000000" w:sz="4" w:space="0"/>
              <w:left w:val="none" w:color="000000" w:sz="4" w:space="0"/>
              <w:bottom w:val="single" w:color="auto" w:sz="4" w:space="0"/>
              <w:right w:val="single" w:color="auto" w:sz="4" w:space="0"/>
            </w:tcBorders>
            <w:tcW w:w="601"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w:t>
            </w:r>
            <w:r/>
          </w:p>
        </w:tc>
        <w:tc>
          <w:tcPr>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r>
      <w:tr>
        <w:trPr>
          <w:trHeight w:val="1820"/>
        </w:trPr>
        <w:tc>
          <w:tcPr>
            <w:tcBorders>
              <w:top w:val="none" w:color="000000" w:sz="4" w:space="0"/>
              <w:left w:val="single" w:color="auto" w:sz="4" w:space="0"/>
              <w:bottom w:val="single" w:color="auto" w:sz="4" w:space="0"/>
              <w:right w:val="single" w:color="auto" w:sz="4" w:space="0"/>
            </w:tcBorders>
            <w:tcW w:w="616"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tcBorders>
              <w:top w:val="none" w:color="000000" w:sz="4" w:space="0"/>
              <w:left w:val="none" w:color="000000" w:sz="4" w:space="0"/>
              <w:bottom w:val="single" w:color="auto" w:sz="4" w:space="0"/>
              <w:right w:val="single" w:color="auto" w:sz="4" w:space="0"/>
            </w:tcBorders>
            <w:tcW w:w="1071"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特效烟雾机</w:t>
            </w:r>
            <w:r/>
          </w:p>
        </w:tc>
        <w:tc>
          <w:tcPr>
            <w:tcBorders>
              <w:top w:val="none" w:color="000000" w:sz="4" w:space="0"/>
              <w:left w:val="none" w:color="000000" w:sz="4" w:space="0"/>
              <w:bottom w:val="single" w:color="auto" w:sz="4" w:space="0"/>
              <w:right w:val="single" w:color="auto" w:sz="4" w:space="0"/>
            </w:tcBorders>
            <w:tcW w:w="6220"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i/>
                <w:iCs/>
                <w:sz w:val="24"/>
                <w:szCs w:val="24"/>
                <w:highlight w:val="none"/>
                <w:u w:val="single"/>
              </w:rPr>
              <w:t xml:space="preserve">1</w:t>
            </w:r>
            <w:r>
              <w:rPr>
                <w:rFonts w:hint="eastAsia" w:ascii="宋体" w:hAnsi="宋体" w:eastAsia="宋体" w:cs="宋体"/>
                <w:i/>
                <w:iCs/>
                <w:sz w:val="24"/>
                <w:szCs w:val="24"/>
                <w:highlight w:val="none"/>
                <w:u w:val="single"/>
                <w:lang w:eastAsia="zh-CN"/>
              </w:rPr>
              <w:t xml:space="preserve">、</w:t>
            </w:r>
            <w:r>
              <w:rPr>
                <w:rFonts w:hint="eastAsia" w:ascii="宋体" w:hAnsi="宋体" w:eastAsia="宋体" w:cs="宋体"/>
                <w:i/>
                <w:iCs/>
                <w:sz w:val="24"/>
                <w:szCs w:val="24"/>
                <w:highlight w:val="none"/>
                <w:u w:val="single"/>
              </w:rPr>
              <w:t xml:space="preserve">具备烟雾输出量≥90立方米/分钟。</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支持无需预热，开机即可工作。</w:t>
            </w:r>
            <w:r>
              <w:rPr>
                <w:rFonts w:hint="eastAsia" w:ascii="宋体" w:hAnsi="宋体" w:eastAsia="宋体" w:cs="宋体"/>
                <w:sz w:val="24"/>
                <w:szCs w:val="24"/>
                <w:highlight w:val="none"/>
              </w:rPr>
              <w:br/>
            </w:r>
            <w:r>
              <w:rPr>
                <w:rFonts w:hint="eastAsia" w:ascii="宋体" w:hAnsi="宋体" w:eastAsia="宋体" w:cs="宋体"/>
                <w:i/>
                <w:iCs/>
                <w:sz w:val="24"/>
                <w:szCs w:val="24"/>
                <w:highlight w:val="none"/>
                <w:u w:val="single"/>
              </w:rPr>
              <w:t xml:space="preserve">3</w:t>
            </w:r>
            <w:r>
              <w:rPr>
                <w:rFonts w:hint="eastAsia" w:ascii="宋体" w:hAnsi="宋体" w:eastAsia="宋体" w:cs="宋体"/>
                <w:i/>
                <w:iCs/>
                <w:sz w:val="24"/>
                <w:szCs w:val="24"/>
                <w:highlight w:val="none"/>
                <w:u w:val="single"/>
                <w:lang w:eastAsia="zh-CN"/>
              </w:rPr>
              <w:t xml:space="preserve">、</w:t>
            </w:r>
            <w:r>
              <w:rPr>
                <w:rFonts w:hint="eastAsia" w:ascii="宋体" w:hAnsi="宋体" w:eastAsia="宋体" w:cs="宋体"/>
                <w:i/>
                <w:iCs/>
                <w:sz w:val="24"/>
                <w:szCs w:val="24"/>
                <w:highlight w:val="none"/>
                <w:u w:val="single"/>
              </w:rPr>
              <w:t xml:space="preserve">具有≥2L油桶容积。</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4</w:t>
            </w:r>
            <w:r>
              <w:rPr>
                <w:rFonts w:hint="eastAsia" w:ascii="宋体" w:hAnsi="宋体" w:eastAsia="宋体" w:cs="宋体"/>
                <w:i/>
                <w:iCs/>
                <w:sz w:val="24"/>
                <w:szCs w:val="24"/>
                <w:highlight w:val="none"/>
                <w:u w:val="single"/>
                <w:lang w:eastAsia="zh-CN"/>
              </w:rPr>
              <w:t xml:space="preserve">、</w:t>
            </w:r>
            <w:r>
              <w:rPr>
                <w:rFonts w:hint="eastAsia" w:ascii="宋体" w:hAnsi="宋体" w:eastAsia="宋体" w:cs="宋体"/>
                <w:i/>
                <w:iCs/>
                <w:sz w:val="24"/>
                <w:szCs w:val="24"/>
                <w:highlight w:val="none"/>
                <w:u w:val="single"/>
              </w:rPr>
              <w:t xml:space="preserve">具备≤24小时/升耗油量。</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支持DMX512协议，RDM控制，手动控制，遥控控制。</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通道模式：标准模式≥2CH。</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7</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油性烟油，配合烟雾机使用，容量：≥1L/瓶</w:t>
            </w:r>
            <w:r/>
          </w:p>
        </w:tc>
        <w:tc>
          <w:tcPr>
            <w:tcBorders>
              <w:top w:val="none" w:color="000000" w:sz="4" w:space="0"/>
              <w:left w:val="none" w:color="000000" w:sz="4" w:space="0"/>
              <w:bottom w:val="single" w:color="auto" w:sz="4" w:space="0"/>
              <w:right w:val="single" w:color="auto" w:sz="4" w:space="0"/>
            </w:tcBorders>
            <w:tcW w:w="601"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r>
      <w:tr>
        <w:trPr>
          <w:trHeight w:val="5681"/>
        </w:trPr>
        <w:tc>
          <w:tcPr>
            <w:tcBorders>
              <w:top w:val="none" w:color="000000" w:sz="4" w:space="0"/>
              <w:left w:val="single" w:color="auto" w:sz="4" w:space="0"/>
              <w:bottom w:val="single" w:color="auto" w:sz="4" w:space="0"/>
              <w:right w:val="single" w:color="auto" w:sz="4" w:space="0"/>
            </w:tcBorders>
            <w:tcW w:w="616"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p>
        </w:tc>
        <w:tc>
          <w:tcPr>
            <w:tcBorders>
              <w:top w:val="none" w:color="000000" w:sz="4" w:space="0"/>
              <w:left w:val="none" w:color="000000" w:sz="4" w:space="0"/>
              <w:bottom w:val="single" w:color="auto" w:sz="4" w:space="0"/>
              <w:right w:val="single" w:color="auto" w:sz="4" w:space="0"/>
            </w:tcBorders>
            <w:tcW w:w="1071"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灯光控制台</w:t>
            </w:r>
            <w:r/>
          </w:p>
        </w:tc>
        <w:tc>
          <w:tcPr>
            <w:tcBorders>
              <w:top w:val="none" w:color="000000" w:sz="4" w:space="0"/>
              <w:left w:val="none" w:color="000000" w:sz="4" w:space="0"/>
              <w:bottom w:val="single" w:color="auto" w:sz="4" w:space="0"/>
              <w:right w:val="single" w:color="auto" w:sz="4" w:space="0"/>
            </w:tcBorders>
            <w:tcW w:w="6220"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i/>
                <w:iCs/>
                <w:sz w:val="24"/>
                <w:szCs w:val="24"/>
                <w:highlight w:val="none"/>
                <w:u w:val="single"/>
              </w:rPr>
              <w:t xml:space="preserve">1</w:t>
            </w:r>
            <w:r>
              <w:rPr>
                <w:rFonts w:hint="eastAsia" w:ascii="宋体" w:hAnsi="宋体" w:eastAsia="宋体" w:cs="宋体"/>
                <w:i/>
                <w:iCs/>
                <w:sz w:val="24"/>
                <w:szCs w:val="24"/>
                <w:highlight w:val="none"/>
                <w:u w:val="single"/>
                <w:lang w:eastAsia="zh-CN"/>
              </w:rPr>
              <w:t xml:space="preserve">、</w:t>
            </w:r>
            <w:r>
              <w:rPr>
                <w:rFonts w:hint="eastAsia" w:ascii="宋体" w:hAnsi="宋体" w:eastAsia="宋体" w:cs="宋体"/>
                <w:i/>
                <w:iCs/>
                <w:sz w:val="24"/>
                <w:szCs w:val="24"/>
                <w:highlight w:val="none"/>
                <w:u w:val="single"/>
              </w:rPr>
              <w:t xml:space="preserve">物理固定输出≥1024个DMX512控制通道，可使用ART-NET拓展到≥4个输出口，共≥2048个DMX512通道。</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2</w:t>
            </w:r>
            <w:r>
              <w:rPr>
                <w:rFonts w:hint="eastAsia" w:ascii="宋体" w:hAnsi="宋体" w:eastAsia="宋体" w:cs="宋体"/>
                <w:i/>
                <w:iCs/>
                <w:sz w:val="24"/>
                <w:szCs w:val="24"/>
                <w:highlight w:val="none"/>
                <w:u w:val="single"/>
                <w:lang w:eastAsia="zh-CN"/>
              </w:rPr>
              <w:t xml:space="preserve">、</w:t>
            </w:r>
            <w:r>
              <w:rPr>
                <w:rFonts w:hint="eastAsia" w:ascii="宋体" w:hAnsi="宋体" w:eastAsia="宋体" w:cs="宋体"/>
                <w:i/>
                <w:iCs/>
                <w:sz w:val="24"/>
                <w:szCs w:val="24"/>
                <w:highlight w:val="none"/>
                <w:u w:val="single"/>
              </w:rPr>
              <w:t xml:space="preserve">支持≥96台电脑灯的配接数量。</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3</w:t>
            </w:r>
            <w:r>
              <w:rPr>
                <w:rFonts w:hint="eastAsia" w:ascii="宋体" w:hAnsi="宋体" w:eastAsia="宋体" w:cs="宋体"/>
                <w:i/>
                <w:iCs/>
                <w:sz w:val="24"/>
                <w:szCs w:val="24"/>
                <w:highlight w:val="none"/>
                <w:u w:val="single"/>
                <w:lang w:eastAsia="zh-CN"/>
              </w:rPr>
              <w:t xml:space="preserve">、</w:t>
            </w:r>
            <w:r>
              <w:rPr>
                <w:rFonts w:hint="eastAsia" w:ascii="宋体" w:hAnsi="宋体" w:eastAsia="宋体" w:cs="宋体"/>
                <w:i/>
                <w:iCs/>
                <w:sz w:val="24"/>
                <w:szCs w:val="24"/>
                <w:highlight w:val="none"/>
                <w:u w:val="single"/>
              </w:rPr>
              <w:t xml:space="preserve">支持电脑灯重新配接地址码，支持灯具水平垂直交换，支持灯具通道反相输出。</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4</w:t>
            </w:r>
            <w:r>
              <w:rPr>
                <w:rFonts w:hint="eastAsia" w:ascii="宋体" w:hAnsi="宋体" w:eastAsia="宋体" w:cs="宋体"/>
                <w:i/>
                <w:iCs/>
                <w:sz w:val="24"/>
                <w:szCs w:val="24"/>
                <w:highlight w:val="none"/>
                <w:u w:val="single"/>
                <w:lang w:eastAsia="zh-CN"/>
              </w:rPr>
              <w:t xml:space="preserve">、</w:t>
            </w:r>
            <w:r>
              <w:rPr>
                <w:rFonts w:hint="eastAsia" w:ascii="宋体" w:hAnsi="宋体" w:eastAsia="宋体" w:cs="宋体"/>
                <w:i/>
                <w:iCs/>
                <w:sz w:val="24"/>
                <w:szCs w:val="24"/>
                <w:highlight w:val="none"/>
                <w:u w:val="single"/>
              </w:rPr>
              <w:t xml:space="preserve">支持灯具通道滑步模式切换，支持≥40主通道+≥40微调通道控制，支持R20灯库。</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5</w:t>
            </w:r>
            <w:r>
              <w:rPr>
                <w:rFonts w:hint="eastAsia" w:ascii="宋体" w:hAnsi="宋体" w:eastAsia="宋体" w:cs="宋体"/>
                <w:i/>
                <w:iCs/>
                <w:sz w:val="24"/>
                <w:szCs w:val="24"/>
                <w:highlight w:val="none"/>
                <w:u w:val="single"/>
                <w:lang w:eastAsia="zh-CN"/>
              </w:rPr>
              <w:t xml:space="preserve">、</w:t>
            </w:r>
            <w:r>
              <w:rPr>
                <w:rFonts w:hint="eastAsia" w:ascii="宋体" w:hAnsi="宋体" w:eastAsia="宋体" w:cs="宋体"/>
                <w:i/>
                <w:iCs/>
                <w:sz w:val="24"/>
                <w:szCs w:val="24"/>
                <w:highlight w:val="none"/>
                <w:u w:val="single"/>
              </w:rPr>
              <w:t xml:space="preserve">具备≥60个可保存的场景，具备≥10个可同时运行的场景，具备≥600步场景的总步数。</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具备淡入、淡出、LTP滑步场景时间控制。</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7</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支持推杆启动场景并进行调光，支持互锁场景，支持点控场景。</w:t>
            </w:r>
            <w:r>
              <w:rPr>
                <w:rFonts w:hint="eastAsia" w:ascii="宋体" w:hAnsi="宋体" w:eastAsia="宋体" w:cs="宋体"/>
                <w:sz w:val="24"/>
                <w:szCs w:val="24"/>
                <w:highlight w:val="none"/>
              </w:rPr>
              <w:br/>
            </w:r>
            <w:r>
              <w:rPr>
                <w:rFonts w:hint="eastAsia" w:ascii="宋体" w:hAnsi="宋体" w:eastAsia="宋体" w:cs="宋体"/>
                <w:i/>
                <w:iCs/>
                <w:sz w:val="24"/>
                <w:szCs w:val="24"/>
                <w:highlight w:val="none"/>
                <w:u w:val="single"/>
              </w:rPr>
              <w:t xml:space="preserve">8</w:t>
            </w:r>
            <w:r>
              <w:rPr>
                <w:rFonts w:hint="eastAsia" w:ascii="宋体" w:hAnsi="宋体" w:eastAsia="宋体" w:cs="宋体"/>
                <w:i/>
                <w:iCs/>
                <w:sz w:val="24"/>
                <w:szCs w:val="24"/>
                <w:highlight w:val="none"/>
                <w:u w:val="single"/>
                <w:lang w:eastAsia="zh-CN"/>
              </w:rPr>
              <w:t xml:space="preserve">、</w:t>
            </w:r>
            <w:r>
              <w:rPr>
                <w:rFonts w:hint="eastAsia" w:ascii="宋体" w:hAnsi="宋体" w:eastAsia="宋体" w:cs="宋体"/>
                <w:i/>
                <w:iCs/>
                <w:sz w:val="24"/>
                <w:szCs w:val="24"/>
                <w:highlight w:val="none"/>
                <w:u w:val="single"/>
              </w:rPr>
              <w:t xml:space="preserve">具备图形生成器，每个场景可存储≥5个图形。</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9</w:t>
            </w:r>
            <w:r>
              <w:rPr>
                <w:rFonts w:hint="eastAsia" w:ascii="宋体" w:hAnsi="宋体" w:eastAsia="宋体" w:cs="宋体"/>
                <w:i/>
                <w:iCs/>
                <w:sz w:val="24"/>
                <w:szCs w:val="24"/>
                <w:highlight w:val="none"/>
                <w:u w:val="single"/>
                <w:lang w:eastAsia="zh-CN"/>
              </w:rPr>
              <w:t xml:space="preserve">、</w:t>
            </w:r>
            <w:r>
              <w:rPr>
                <w:rFonts w:hint="eastAsia" w:ascii="宋体" w:hAnsi="宋体" w:eastAsia="宋体" w:cs="宋体"/>
                <w:i/>
                <w:iCs/>
                <w:sz w:val="24"/>
                <w:szCs w:val="24"/>
                <w:highlight w:val="none"/>
                <w:u w:val="single"/>
              </w:rPr>
              <w:t xml:space="preserve">具备≥10个可同时运行图形数量。</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10</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具备全局、重演、灯具主控推杆。</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支持立即黑场。</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支持转盘调整通道数值，支持推杆调整通道数值，支持推杆调光。</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13</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支持FAT32格式U盘读取。</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14</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支持Art-net协议与RDM协议。</w:t>
            </w:r>
            <w:r/>
          </w:p>
        </w:tc>
        <w:tc>
          <w:tcPr>
            <w:tcBorders>
              <w:top w:val="none" w:color="000000" w:sz="4" w:space="0"/>
              <w:left w:val="none" w:color="000000" w:sz="4" w:space="0"/>
              <w:bottom w:val="single" w:color="auto" w:sz="4" w:space="0"/>
              <w:right w:val="single" w:color="auto" w:sz="4" w:space="0"/>
            </w:tcBorders>
            <w:tcW w:w="601"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r>
      <w:tr>
        <w:trPr>
          <w:trHeight w:val="1560"/>
        </w:trPr>
        <w:tc>
          <w:tcPr>
            <w:tcBorders>
              <w:top w:val="none" w:color="000000" w:sz="4" w:space="0"/>
              <w:left w:val="single" w:color="auto" w:sz="4" w:space="0"/>
              <w:bottom w:val="single" w:color="auto" w:sz="4" w:space="0"/>
              <w:right w:val="single" w:color="auto" w:sz="4" w:space="0"/>
            </w:tcBorders>
            <w:tcW w:w="616"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r/>
          </w:p>
        </w:tc>
        <w:tc>
          <w:tcPr>
            <w:tcBorders>
              <w:top w:val="none" w:color="000000" w:sz="4" w:space="0"/>
              <w:left w:val="none" w:color="000000" w:sz="4" w:space="0"/>
              <w:bottom w:val="single" w:color="auto" w:sz="4" w:space="0"/>
              <w:right w:val="single" w:color="auto" w:sz="4" w:space="0"/>
            </w:tcBorders>
            <w:tcW w:w="1071"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八路信号放大器</w:t>
            </w:r>
            <w:r/>
          </w:p>
        </w:tc>
        <w:tc>
          <w:tcPr>
            <w:tcBorders>
              <w:top w:val="none" w:color="000000" w:sz="4" w:space="0"/>
              <w:left w:val="none" w:color="000000" w:sz="4" w:space="0"/>
              <w:bottom w:val="single" w:color="auto" w:sz="4" w:space="0"/>
              <w:right w:val="single" w:color="auto" w:sz="4" w:space="0"/>
            </w:tcBorders>
            <w:tcW w:w="6220"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i/>
                <w:iCs/>
                <w:sz w:val="24"/>
                <w:szCs w:val="24"/>
                <w:highlight w:val="none"/>
                <w:u w:val="single"/>
              </w:rPr>
              <w:t xml:space="preserve">1</w:t>
            </w:r>
            <w:r>
              <w:rPr>
                <w:rFonts w:hint="eastAsia" w:ascii="宋体" w:hAnsi="宋体" w:eastAsia="宋体" w:cs="宋体"/>
                <w:i/>
                <w:iCs/>
                <w:sz w:val="24"/>
                <w:szCs w:val="24"/>
                <w:highlight w:val="none"/>
                <w:u w:val="single"/>
                <w:lang w:eastAsia="zh-CN"/>
              </w:rPr>
              <w:t xml:space="preserve">、</w:t>
            </w:r>
            <w:r>
              <w:rPr>
                <w:rFonts w:hint="eastAsia" w:ascii="宋体" w:hAnsi="宋体" w:eastAsia="宋体" w:cs="宋体"/>
                <w:i/>
                <w:iCs/>
                <w:sz w:val="24"/>
                <w:szCs w:val="24"/>
                <w:highlight w:val="none"/>
                <w:u w:val="single"/>
              </w:rPr>
              <w:t xml:space="preserve">支持DMX512公母接口输入。</w:t>
            </w:r>
            <w:r>
              <w:rPr>
                <w:rFonts w:hint="eastAsia" w:ascii="宋体" w:hAnsi="宋体" w:eastAsia="宋体" w:cs="宋体"/>
                <w:sz w:val="24"/>
                <w:szCs w:val="24"/>
                <w:highlight w:val="none"/>
              </w:rPr>
              <w:br/>
            </w:r>
            <w:r>
              <w:rPr>
                <w:rFonts w:hint="eastAsia" w:ascii="宋体" w:hAnsi="宋体" w:eastAsia="宋体" w:cs="宋体"/>
                <w:i/>
                <w:iCs/>
                <w:sz w:val="24"/>
                <w:szCs w:val="24"/>
                <w:highlight w:val="none"/>
                <w:u w:val="single"/>
              </w:rPr>
              <w:t xml:space="preserve">2</w:t>
            </w:r>
            <w:r>
              <w:rPr>
                <w:rFonts w:hint="eastAsia" w:ascii="宋体" w:hAnsi="宋体" w:eastAsia="宋体" w:cs="宋体"/>
                <w:i/>
                <w:iCs/>
                <w:sz w:val="24"/>
                <w:szCs w:val="24"/>
                <w:highlight w:val="none"/>
                <w:u w:val="single"/>
                <w:lang w:eastAsia="zh-CN"/>
              </w:rPr>
              <w:t xml:space="preserve">、</w:t>
            </w:r>
            <w:r>
              <w:rPr>
                <w:rFonts w:hint="eastAsia" w:ascii="宋体" w:hAnsi="宋体" w:eastAsia="宋体" w:cs="宋体"/>
                <w:i/>
                <w:iCs/>
                <w:sz w:val="24"/>
                <w:szCs w:val="24"/>
                <w:highlight w:val="none"/>
                <w:u w:val="single"/>
              </w:rPr>
              <w:t xml:space="preserve">支持输入输出光电隔离。</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br/>
            </w:r>
            <w:r>
              <w:rPr>
                <w:rFonts w:hint="eastAsia" w:ascii="宋体" w:hAnsi="宋体" w:eastAsia="宋体" w:cs="宋体"/>
                <w:i/>
                <w:iCs/>
                <w:sz w:val="24"/>
                <w:szCs w:val="24"/>
                <w:highlight w:val="none"/>
                <w:u w:val="single"/>
              </w:rPr>
              <w:t xml:space="preserve">3</w:t>
            </w:r>
            <w:r>
              <w:rPr>
                <w:rFonts w:hint="eastAsia" w:ascii="宋体" w:hAnsi="宋体" w:eastAsia="宋体" w:cs="宋体"/>
                <w:i/>
                <w:iCs/>
                <w:sz w:val="24"/>
                <w:szCs w:val="24"/>
                <w:highlight w:val="none"/>
                <w:u w:val="single"/>
                <w:lang w:eastAsia="zh-CN"/>
              </w:rPr>
              <w:t xml:space="preserve">、</w:t>
            </w:r>
            <w:r>
              <w:rPr>
                <w:rFonts w:hint="eastAsia" w:ascii="宋体" w:hAnsi="宋体" w:eastAsia="宋体" w:cs="宋体"/>
                <w:i/>
                <w:iCs/>
                <w:sz w:val="24"/>
                <w:szCs w:val="24"/>
                <w:highlight w:val="none"/>
                <w:u w:val="single"/>
              </w:rPr>
              <w:t xml:space="preserve">支持≥8路独立放大驱动输出。</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具备信号放大整形功能，延长信号传输距离。                                                                                                                                                                                                        </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具备增强数据总线接入设备数量的能力。                                                                                                               </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具备独立的LED信号指示。</w:t>
            </w:r>
            <w:r/>
          </w:p>
        </w:tc>
        <w:tc>
          <w:tcPr>
            <w:tcBorders>
              <w:top w:val="none" w:color="000000" w:sz="4" w:space="0"/>
              <w:left w:val="none" w:color="000000" w:sz="4" w:space="0"/>
              <w:bottom w:val="single" w:color="auto" w:sz="4" w:space="0"/>
              <w:right w:val="single" w:color="auto" w:sz="4" w:space="0"/>
            </w:tcBorders>
            <w:tcW w:w="601"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r>
      <w:tr>
        <w:trPr>
          <w:trHeight w:val="1040"/>
        </w:trPr>
        <w:tc>
          <w:tcPr>
            <w:tcBorders>
              <w:top w:val="none" w:color="000000" w:sz="4" w:space="0"/>
              <w:left w:val="single" w:color="auto" w:sz="4" w:space="0"/>
              <w:bottom w:val="single" w:color="auto" w:sz="4" w:space="0"/>
              <w:right w:val="single" w:color="auto" w:sz="4" w:space="0"/>
            </w:tcBorders>
            <w:tcW w:w="616"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w:t>
            </w:r>
            <w:r/>
          </w:p>
        </w:tc>
        <w:tc>
          <w:tcPr>
            <w:tcBorders>
              <w:top w:val="none" w:color="000000" w:sz="4" w:space="0"/>
              <w:left w:val="none" w:color="000000" w:sz="4" w:space="0"/>
              <w:bottom w:val="single" w:color="auto" w:sz="4" w:space="0"/>
              <w:right w:val="single" w:color="auto" w:sz="4" w:space="0"/>
            </w:tcBorders>
            <w:tcW w:w="1071"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12路电源直通箱</w:t>
            </w:r>
            <w:r/>
          </w:p>
        </w:tc>
        <w:tc>
          <w:tcPr>
            <w:tcBorders>
              <w:top w:val="none" w:color="000000" w:sz="4" w:space="0"/>
              <w:left w:val="none" w:color="000000" w:sz="4" w:space="0"/>
              <w:bottom w:val="single" w:color="auto" w:sz="4" w:space="0"/>
              <w:right w:val="single" w:color="auto" w:sz="4" w:space="0"/>
            </w:tcBorders>
            <w:tcW w:w="6220"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具备过载与短路双重保护高分断空气开关。</w:t>
            </w:r>
            <w:r>
              <w:rPr>
                <w:rFonts w:hint="eastAsia" w:ascii="宋体" w:hAnsi="宋体" w:eastAsia="宋体" w:cs="宋体"/>
                <w:sz w:val="24"/>
                <w:szCs w:val="24"/>
                <w:highlight w:val="none"/>
              </w:rPr>
              <w:br/>
            </w:r>
            <w:r>
              <w:rPr>
                <w:rFonts w:hint="eastAsia" w:ascii="宋体" w:hAnsi="宋体" w:eastAsia="宋体" w:cs="宋体"/>
                <w:i/>
                <w:iCs/>
                <w:sz w:val="24"/>
                <w:szCs w:val="24"/>
                <w:highlight w:val="none"/>
                <w:u w:val="single"/>
              </w:rPr>
              <w:t xml:space="preserve">2</w:t>
            </w:r>
            <w:r>
              <w:rPr>
                <w:rFonts w:hint="eastAsia" w:ascii="宋体" w:hAnsi="宋体" w:eastAsia="宋体" w:cs="宋体"/>
                <w:i/>
                <w:iCs/>
                <w:sz w:val="24"/>
                <w:szCs w:val="24"/>
                <w:highlight w:val="none"/>
                <w:u w:val="single"/>
                <w:lang w:eastAsia="zh-CN"/>
              </w:rPr>
              <w:t xml:space="preserve">、</w:t>
            </w:r>
            <w:r>
              <w:rPr>
                <w:rFonts w:hint="eastAsia" w:ascii="宋体" w:hAnsi="宋体" w:eastAsia="宋体" w:cs="宋体"/>
                <w:i/>
                <w:iCs/>
                <w:sz w:val="24"/>
                <w:szCs w:val="24"/>
                <w:highlight w:val="none"/>
                <w:u w:val="single"/>
              </w:rPr>
              <w:t xml:space="preserve">具备≥12路×4KW功率输出。</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支持A.B.C三相工作指示灯。</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支持两脚和三脚万能用插座。</w:t>
            </w:r>
            <w:r/>
          </w:p>
        </w:tc>
        <w:tc>
          <w:tcPr>
            <w:tcBorders>
              <w:top w:val="none" w:color="000000" w:sz="4" w:space="0"/>
              <w:left w:val="none" w:color="000000" w:sz="4" w:space="0"/>
              <w:bottom w:val="single" w:color="auto" w:sz="4" w:space="0"/>
              <w:right w:val="single" w:color="auto" w:sz="4" w:space="0"/>
            </w:tcBorders>
            <w:tcW w:w="601"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r>
      <w:tr>
        <w:trPr>
          <w:trHeight w:val="290"/>
        </w:trPr>
        <w:tc>
          <w:tcPr>
            <w:tcBorders>
              <w:top w:val="none" w:color="000000" w:sz="4" w:space="0"/>
              <w:left w:val="single" w:color="auto" w:sz="4" w:space="0"/>
              <w:bottom w:val="single" w:color="auto" w:sz="4" w:space="0"/>
              <w:right w:val="single" w:color="auto" w:sz="4" w:space="0"/>
            </w:tcBorders>
            <w:tcW w:w="616"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p>
        </w:tc>
        <w:tc>
          <w:tcPr>
            <w:tcBorders>
              <w:top w:val="none" w:color="000000" w:sz="4" w:space="0"/>
              <w:left w:val="none" w:color="000000" w:sz="4" w:space="0"/>
              <w:bottom w:val="single" w:color="auto" w:sz="4" w:space="0"/>
              <w:right w:val="single" w:color="auto" w:sz="4" w:space="0"/>
            </w:tcBorders>
            <w:tcW w:w="1071"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灯钩保险绳</w:t>
            </w:r>
            <w:r/>
          </w:p>
        </w:tc>
        <w:tc>
          <w:tcPr>
            <w:tcBorders>
              <w:top w:val="none" w:color="000000" w:sz="4" w:space="0"/>
              <w:left w:val="none" w:color="000000" w:sz="4" w:space="0"/>
              <w:bottom w:val="single" w:color="auto" w:sz="4" w:space="0"/>
              <w:right w:val="single" w:color="auto" w:sz="4" w:space="0"/>
            </w:tcBorders>
            <w:tcW w:w="6220"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灯钩保险绳</w:t>
            </w:r>
            <w:r/>
          </w:p>
        </w:tc>
        <w:tc>
          <w:tcPr>
            <w:tcBorders>
              <w:top w:val="none" w:color="000000" w:sz="4" w:space="0"/>
              <w:left w:val="none" w:color="000000" w:sz="4" w:space="0"/>
              <w:bottom w:val="single" w:color="auto" w:sz="4" w:space="0"/>
              <w:right w:val="single" w:color="auto" w:sz="4" w:space="0"/>
            </w:tcBorders>
            <w:tcW w:w="601"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112</w:t>
            </w:r>
            <w:r/>
          </w:p>
        </w:tc>
        <w:tc>
          <w:tcPr>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套</w:t>
            </w:r>
            <w:r/>
          </w:p>
        </w:tc>
      </w:tr>
      <w:tr>
        <w:trPr>
          <w:trHeight w:val="290"/>
        </w:trPr>
        <w:tc>
          <w:tcPr>
            <w:tcBorders>
              <w:top w:val="none" w:color="000000" w:sz="4" w:space="0"/>
              <w:left w:val="single" w:color="auto" w:sz="4" w:space="0"/>
              <w:bottom w:val="single" w:color="auto" w:sz="4" w:space="0"/>
              <w:right w:val="single" w:color="auto" w:sz="4" w:space="0"/>
            </w:tcBorders>
            <w:tcW w:w="616"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w:t>
            </w:r>
            <w:r/>
          </w:p>
        </w:tc>
        <w:tc>
          <w:tcPr>
            <w:tcBorders>
              <w:top w:val="none" w:color="000000" w:sz="4" w:space="0"/>
              <w:left w:val="none" w:color="000000" w:sz="4" w:space="0"/>
              <w:bottom w:val="single" w:color="auto" w:sz="4" w:space="0"/>
              <w:right w:val="single" w:color="auto" w:sz="4" w:space="0"/>
            </w:tcBorders>
            <w:tcW w:w="1071"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线材及即插件</w:t>
            </w:r>
            <w:r/>
          </w:p>
        </w:tc>
        <w:tc>
          <w:tcPr>
            <w:tcBorders>
              <w:top w:val="none" w:color="000000" w:sz="4" w:space="0"/>
              <w:left w:val="none" w:color="000000" w:sz="4" w:space="0"/>
              <w:bottom w:val="single" w:color="auto" w:sz="4" w:space="0"/>
              <w:right w:val="single" w:color="auto" w:sz="4" w:space="0"/>
            </w:tcBorders>
            <w:tcW w:w="6220"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电源线缆、信号线、即插件</w:t>
            </w:r>
            <w:r/>
          </w:p>
        </w:tc>
        <w:tc>
          <w:tcPr>
            <w:tcBorders>
              <w:top w:val="none" w:color="000000" w:sz="4" w:space="0"/>
              <w:left w:val="none" w:color="000000" w:sz="4" w:space="0"/>
              <w:bottom w:val="single" w:color="auto" w:sz="4" w:space="0"/>
              <w:right w:val="single" w:color="auto" w:sz="4" w:space="0"/>
            </w:tcBorders>
            <w:tcW w:w="601"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批</w:t>
            </w:r>
            <w:r/>
          </w:p>
        </w:tc>
      </w:tr>
      <w:tr>
        <w:trPr>
          <w:trHeight w:val="780"/>
        </w:trPr>
        <w:tc>
          <w:tcPr>
            <w:tcBorders>
              <w:top w:val="none" w:color="000000" w:sz="4" w:space="0"/>
              <w:left w:val="single" w:color="auto" w:sz="4" w:space="0"/>
              <w:bottom w:val="single" w:color="auto" w:sz="4" w:space="0"/>
              <w:right w:val="single" w:color="auto" w:sz="4" w:space="0"/>
            </w:tcBorders>
            <w:tcW w:w="616"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w:t>
            </w:r>
            <w:r/>
          </w:p>
        </w:tc>
        <w:tc>
          <w:tcPr>
            <w:tcBorders>
              <w:top w:val="none" w:color="000000" w:sz="4" w:space="0"/>
              <w:left w:val="none" w:color="000000" w:sz="4" w:space="0"/>
              <w:bottom w:val="single" w:color="auto" w:sz="4" w:space="0"/>
              <w:right w:val="single" w:color="auto" w:sz="4" w:space="0"/>
            </w:tcBorders>
            <w:tcW w:w="1071"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舞台吊顶拆除及恢复</w:t>
            </w:r>
            <w:r/>
          </w:p>
        </w:tc>
        <w:tc>
          <w:tcPr>
            <w:tcBorders>
              <w:top w:val="none" w:color="000000" w:sz="4" w:space="0"/>
              <w:left w:val="none" w:color="000000" w:sz="4" w:space="0"/>
              <w:bottom w:val="single" w:color="auto" w:sz="4" w:space="0"/>
              <w:right w:val="single" w:color="auto" w:sz="4" w:space="0"/>
            </w:tcBorders>
            <w:tcW w:w="6220"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根据现场实际情况，完成舞台灯光、机械等设备的安装调试，有影响安装的可以自行拆除并恢复，并与原装修整体风格协调，保持一致。</w:t>
            </w:r>
            <w:r/>
          </w:p>
        </w:tc>
        <w:tc>
          <w:tcPr>
            <w:tcBorders>
              <w:top w:val="none" w:color="000000" w:sz="4" w:space="0"/>
              <w:left w:val="none" w:color="000000" w:sz="4" w:space="0"/>
              <w:bottom w:val="single" w:color="auto" w:sz="4" w:space="0"/>
              <w:right w:val="single" w:color="auto" w:sz="4" w:space="0"/>
            </w:tcBorders>
            <w:tcW w:w="601"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w:t>
            </w:r>
            <w:r/>
          </w:p>
        </w:tc>
      </w:tr>
      <w:tr>
        <w:trPr>
          <w:trHeight w:val="520"/>
        </w:trPr>
        <w:tc>
          <w:tcPr>
            <w:tcBorders>
              <w:top w:val="none" w:color="000000" w:sz="4" w:space="0"/>
              <w:left w:val="single" w:color="auto" w:sz="4" w:space="0"/>
              <w:bottom w:val="single" w:color="auto" w:sz="4" w:space="0"/>
              <w:right w:val="single" w:color="auto" w:sz="4" w:space="0"/>
            </w:tcBorders>
            <w:tcW w:w="616"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w:t>
            </w:r>
            <w:r/>
          </w:p>
        </w:tc>
        <w:tc>
          <w:tcPr>
            <w:tcBorders>
              <w:top w:val="none" w:color="000000" w:sz="4" w:space="0"/>
              <w:left w:val="none" w:color="000000" w:sz="4" w:space="0"/>
              <w:bottom w:val="single" w:color="auto" w:sz="4" w:space="0"/>
              <w:right w:val="single" w:color="auto" w:sz="4" w:space="0"/>
            </w:tcBorders>
            <w:tcW w:w="1071"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脚手架搭拆</w:t>
            </w:r>
            <w:r/>
          </w:p>
        </w:tc>
        <w:tc>
          <w:tcPr>
            <w:tcBorders>
              <w:top w:val="none" w:color="000000" w:sz="4" w:space="0"/>
              <w:left w:val="none" w:color="000000" w:sz="4" w:space="0"/>
              <w:bottom w:val="single" w:color="auto" w:sz="4" w:space="0"/>
              <w:right w:val="single" w:color="auto" w:sz="4" w:space="0"/>
            </w:tcBorders>
            <w:tcW w:w="6220"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根据现场实际情况完成脚手架搭拆，同时需进行成品保护，如有损毁需修复。</w:t>
            </w:r>
            <w:r/>
          </w:p>
        </w:tc>
        <w:tc>
          <w:tcPr>
            <w:tcBorders>
              <w:top w:val="none" w:color="000000" w:sz="4" w:space="0"/>
              <w:left w:val="none" w:color="000000" w:sz="4" w:space="0"/>
              <w:bottom w:val="single" w:color="auto" w:sz="4" w:space="0"/>
              <w:right w:val="single" w:color="auto" w:sz="4" w:space="0"/>
            </w:tcBorders>
            <w:tcW w:w="601"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tc>
      </w:tr>
      <w:tr>
        <w:trPr>
          <w:trHeight w:val="290"/>
        </w:trPr>
        <w:tc>
          <w:tcPr>
            <w:gridSpan w:val="2"/>
            <w:tcBorders>
              <w:top w:val="none" w:color="000000" w:sz="4" w:space="0"/>
              <w:left w:val="single" w:color="auto" w:sz="4" w:space="0"/>
              <w:bottom w:val="single" w:color="auto" w:sz="4" w:space="0"/>
              <w:right w:val="single" w:color="auto" w:sz="4" w:space="0"/>
            </w:tcBorders>
            <w:tcW w:w="1687" w:type="dxa"/>
            <w:vAlign w:val="center"/>
            <w:textDirection w:val="lrTb"/>
            <w:noWrap w:val="false"/>
          </w:tcPr>
          <w:p>
            <w:pPr>
              <w:jc w:val="lef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七、智能运维系统</w:t>
            </w:r>
            <w:r/>
          </w:p>
        </w:tc>
        <w:tc>
          <w:tcPr>
            <w:tcBorders>
              <w:top w:val="none" w:color="000000" w:sz="4" w:space="0"/>
              <w:left w:val="none" w:color="000000" w:sz="4" w:space="0"/>
              <w:bottom w:val="single" w:color="auto" w:sz="4" w:space="0"/>
              <w:right w:val="single" w:color="auto" w:sz="4" w:space="0"/>
            </w:tcBorders>
            <w:tcW w:w="6220" w:type="dxa"/>
            <w:vAlign w:val="center"/>
            <w:textDirection w:val="lrTb"/>
            <w:noWrap w:val="false"/>
          </w:tcPr>
          <w:p>
            <w:pPr>
              <w:jc w:val="lef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601" w:type="dxa"/>
            <w:vAlign w:val="center"/>
            <w:textDirection w:val="lrTb"/>
            <w:noWrap w:val="false"/>
          </w:tcPr>
          <w:p>
            <w:pPr>
              <w:jc w:val="lef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lef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　</w:t>
            </w:r>
            <w:r/>
          </w:p>
        </w:tc>
      </w:tr>
      <w:tr>
        <w:trPr>
          <w:trHeight w:val="6575"/>
        </w:trPr>
        <w:tc>
          <w:tcPr>
            <w:tcBorders>
              <w:top w:val="none" w:color="000000" w:sz="4" w:space="0"/>
              <w:left w:val="single" w:color="auto" w:sz="4" w:space="0"/>
              <w:bottom w:val="single" w:color="auto" w:sz="4" w:space="0"/>
              <w:right w:val="single" w:color="auto" w:sz="4" w:space="0"/>
            </w:tcBorders>
            <w:tcW w:w="616"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none" w:color="000000" w:sz="4" w:space="0"/>
              <w:left w:val="none" w:color="000000" w:sz="4" w:space="0"/>
              <w:bottom w:val="single" w:color="auto" w:sz="4" w:space="0"/>
              <w:right w:val="single" w:color="auto" w:sz="4" w:space="0"/>
            </w:tcBorders>
            <w:tcW w:w="1071"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智慧运维控制系统</w:t>
            </w:r>
            <w:r/>
          </w:p>
        </w:tc>
        <w:tc>
          <w:tcPr>
            <w:tcBorders>
              <w:top w:val="none" w:color="000000" w:sz="4" w:space="0"/>
              <w:left w:val="none" w:color="000000" w:sz="4" w:space="0"/>
              <w:bottom w:val="single" w:color="auto" w:sz="4" w:space="0"/>
              <w:right w:val="single" w:color="auto" w:sz="4" w:space="0"/>
            </w:tcBorders>
            <w:tcW w:w="6220" w:type="dxa"/>
            <w:vAlign w:val="center"/>
            <w:textDirection w:val="lrTb"/>
            <w:noWrap w:val="false"/>
          </w:tcPr>
          <w:p>
            <w:pPr>
              <w:numPr>
                <w:ilvl w:val="0"/>
                <w:numId w:val="15"/>
              </w:num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系统采用先进的B/S架构，该平台</w:t>
            </w:r>
            <w:r>
              <w:rPr>
                <w:rFonts w:hint="eastAsia" w:ascii="宋体" w:hAnsi="宋体" w:eastAsia="宋体" w:cs="宋体"/>
                <w:sz w:val="24"/>
                <w:szCs w:val="24"/>
                <w:highlight w:val="none"/>
                <w:lang w:val="en-US" w:eastAsia="zh-CN"/>
              </w:rPr>
              <w:t xml:space="preserve">可在国产操作系统稳定运行。</w:t>
            </w:r>
            <w:r>
              <w:rPr>
                <w:rFonts w:hint="eastAsia" w:ascii="宋体" w:hAnsi="宋体" w:eastAsia="宋体" w:cs="宋体"/>
                <w:sz w:val="24"/>
                <w:szCs w:val="24"/>
                <w:highlight w:val="none"/>
              </w:rPr>
              <w:br/>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2、平台提供全面的项目监控功能，用户可实时查看场所分布、在线设备数量、离线设备状态及历史告警趋势，可生成直观的图表报告（如柱状图、折线图等）。（提</w:t>
            </w:r>
            <w:r>
              <w:rPr>
                <w:rFonts w:hint="eastAsia" w:ascii="宋体" w:hAnsi="宋体" w:eastAsia="宋体" w:cs="宋体"/>
                <w:sz w:val="24"/>
                <w:szCs w:val="24"/>
                <w:highlight w:val="none"/>
                <w:lang w:val="en-US" w:eastAsia="zh-CN"/>
              </w:rPr>
              <w:t xml:space="preserve">供</w:t>
            </w:r>
            <w:r>
              <w:rPr>
                <w:rFonts w:hint="eastAsia" w:ascii="宋体" w:hAnsi="宋体" w:eastAsia="宋体" w:cs="宋体"/>
                <w:sz w:val="24"/>
                <w:szCs w:val="24"/>
                <w:highlight w:val="none"/>
              </w:rPr>
              <w:t xml:space="preserve">公安部授权机构</w:t>
            </w:r>
            <w:r>
              <w:rPr>
                <w:rFonts w:hint="eastAsia" w:ascii="宋体" w:hAnsi="宋体" w:eastAsia="宋体" w:cs="宋体"/>
                <w:sz w:val="24"/>
                <w:szCs w:val="24"/>
                <w:highlight w:val="none"/>
                <w:lang w:val="en-US" w:eastAsia="zh-CN"/>
              </w:rPr>
              <w:t xml:space="preserve">或第三方机构</w:t>
            </w:r>
            <w:r>
              <w:rPr>
                <w:rFonts w:hint="eastAsia" w:ascii="宋体" w:hAnsi="宋体" w:eastAsia="宋体" w:cs="宋体"/>
                <w:sz w:val="24"/>
                <w:szCs w:val="24"/>
                <w:highlight w:val="none"/>
              </w:rPr>
              <w:t xml:space="preserve">出具的检测报告扫描上传）</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3、支持全面的设备实时监测功能，用户可查看物联网设备的在线状态、历史数据记录，并进行远程控制操作。系统具备完善的设备管理模块，确保设备状态透明化和操作便捷性。</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4、详细告警信息展示：包括告警ID、设备唯一标识符（Device ID）、设备名称、所属项目及场所、发生时间、具体告警描述以及累计告警次数等关键信息，帮助用户快速定位和解决问题；告警闭环管理：在处理完告警事件后，操作人员可通过系统界面完成告警确认和关闭，确保告警处理过程的完整性和追踪性。</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5、平台完善记录所有场景执行情况，用户可随时查看场景运行日志，了解具体执行结果（如成功、失败或部分成功）以及相关错误信息，便于排查和优化配置。</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6、支持批量导入用户列表，管理员可为每位用户配置详细信息（如用户名、手机号码、所属部门）并分配相应角色，从而获得特定的权限集合。系统提供便捷的用户生命周期管理功能，包括添加、修改、删除及权限变更等操作。</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7、系统采用模块化设计，各功能模块的访问权限可根据企业需求灵活配置。管理员可以创建自定义角色，并为每个角色分配特定的权限项，然后将其分配给不同用户或用户组，实现精确的权限控制。</w:t>
            </w:r>
            <w:r/>
          </w:p>
          <w:p>
            <w:pPr>
              <w:pStyle w:val="722"/>
              <w:numPr>
                <w:ilvl w:val="0"/>
                <w:numId w:val="0"/>
              </w:numPr>
              <w:rPr>
                <w:rFonts w:hint="eastAsia"/>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、系统内置智能拓扑图功能，自动描绘设备间的连接关系和层次结构，并实时更新状态信息（如在线/离线、告警状态等）。支持自定义拓扑样式和布局方式，便于用户直观理解网络或系统架构。（提供</w:t>
            </w:r>
            <w:r>
              <w:rPr>
                <w:rFonts w:hint="eastAsia" w:ascii="宋体" w:hAnsi="宋体" w:eastAsia="宋体" w:cs="宋体"/>
                <w:i w:val="0"/>
                <w:iCs w:val="0"/>
                <w:sz w:val="24"/>
                <w:szCs w:val="24"/>
                <w:highlight w:val="none"/>
                <w:u w:val="none"/>
              </w:rPr>
              <w:t xml:space="preserve">公安部授权机构</w:t>
            </w:r>
            <w:r>
              <w:rPr>
                <w:rFonts w:hint="eastAsia" w:ascii="宋体" w:hAnsi="宋体" w:eastAsia="宋体" w:cs="宋体"/>
                <w:i w:val="0"/>
                <w:iCs w:val="0"/>
                <w:sz w:val="24"/>
                <w:szCs w:val="24"/>
                <w:highlight w:val="none"/>
                <w:u w:val="none"/>
                <w:lang w:val="en-US" w:eastAsia="zh-CN"/>
              </w:rPr>
              <w:t xml:space="preserve">或</w:t>
            </w:r>
            <w:r>
              <w:rPr>
                <w:rFonts w:hint="eastAsia" w:ascii="宋体" w:hAnsi="宋体" w:eastAsia="宋体" w:cs="宋体"/>
                <w:sz w:val="24"/>
                <w:szCs w:val="24"/>
                <w:highlight w:val="none"/>
              </w:rPr>
              <w:t xml:space="preserve">第三方</w:t>
            </w:r>
            <w:r>
              <w:rPr>
                <w:rFonts w:hint="eastAsia" w:ascii="宋体" w:hAnsi="宋体" w:eastAsia="宋体" w:cs="宋体"/>
                <w:sz w:val="24"/>
                <w:szCs w:val="24"/>
                <w:highlight w:val="none"/>
                <w:lang w:val="en-US" w:eastAsia="zh-CN"/>
              </w:rPr>
              <w:t xml:space="preserve">机构出具的</w:t>
            </w:r>
            <w:r>
              <w:rPr>
                <w:rFonts w:hint="eastAsia" w:ascii="宋体" w:hAnsi="宋体" w:eastAsia="宋体" w:cs="宋体"/>
                <w:sz w:val="24"/>
                <w:szCs w:val="24"/>
                <w:highlight w:val="none"/>
              </w:rPr>
              <w:t xml:space="preserve">检测报告扫描上传）</w:t>
            </w:r>
            <w:r/>
          </w:p>
        </w:tc>
        <w:tc>
          <w:tcPr>
            <w:tcBorders>
              <w:top w:val="none" w:color="000000" w:sz="4" w:space="0"/>
              <w:left w:val="none" w:color="000000" w:sz="4" w:space="0"/>
              <w:bottom w:val="single" w:color="auto" w:sz="4" w:space="0"/>
              <w:right w:val="single" w:color="auto" w:sz="4" w:space="0"/>
            </w:tcBorders>
            <w:tcW w:w="601"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套</w:t>
            </w:r>
            <w:r/>
          </w:p>
        </w:tc>
        <w:tc>
          <w:tcPr>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trHeight w:val="1285"/>
        </w:trPr>
        <w:tc>
          <w:tcPr>
            <w:tcBorders>
              <w:top w:val="none" w:color="000000" w:sz="4" w:space="0"/>
              <w:left w:val="single" w:color="auto" w:sz="4" w:space="0"/>
              <w:bottom w:val="single" w:color="auto" w:sz="4" w:space="0"/>
              <w:right w:val="single" w:color="auto" w:sz="4" w:space="0"/>
            </w:tcBorders>
            <w:tcW w:w="616"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Borders>
              <w:top w:val="none" w:color="000000" w:sz="4" w:space="0"/>
              <w:left w:val="none" w:color="000000" w:sz="4" w:space="0"/>
              <w:bottom w:val="single" w:color="auto" w:sz="4" w:space="0"/>
              <w:right w:val="single" w:color="auto" w:sz="4" w:space="0"/>
            </w:tcBorders>
            <w:tcW w:w="1071"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智能场景管理模块</w:t>
            </w:r>
            <w:r/>
          </w:p>
        </w:tc>
        <w:tc>
          <w:tcPr>
            <w:tcBorders>
              <w:top w:val="none" w:color="000000" w:sz="4" w:space="0"/>
              <w:left w:val="none" w:color="000000" w:sz="4" w:space="0"/>
              <w:bottom w:val="single" w:color="auto" w:sz="4" w:space="0"/>
              <w:right w:val="single" w:color="auto" w:sz="4" w:space="0"/>
            </w:tcBorders>
            <w:tcW w:w="6220"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系统提供高级的自定义场景功能，用户可以根据实际需求预设物联网设备的运行参数和触发条件。支持手动执行、自动触发和条件触发三种模式，同时允许设置场景名称、执行方式（如按一次或循环）、相关联设备、触发条件类型（如时间或特定事件）及执行时间等详细配置。（提供</w:t>
            </w:r>
            <w:r>
              <w:rPr>
                <w:rFonts w:hint="eastAsia" w:ascii="宋体" w:hAnsi="宋体" w:eastAsia="宋体" w:cs="宋体"/>
                <w:i w:val="0"/>
                <w:iCs w:val="0"/>
                <w:sz w:val="24"/>
                <w:szCs w:val="24"/>
                <w:highlight w:val="none"/>
                <w:u w:val="none"/>
              </w:rPr>
              <w:t xml:space="preserve">公安部授权机构</w:t>
            </w:r>
            <w:r>
              <w:rPr>
                <w:rFonts w:hint="eastAsia" w:ascii="宋体" w:hAnsi="宋体" w:eastAsia="宋体" w:cs="宋体"/>
                <w:i w:val="0"/>
                <w:iCs w:val="0"/>
                <w:sz w:val="24"/>
                <w:szCs w:val="24"/>
                <w:highlight w:val="none"/>
                <w:u w:val="none"/>
                <w:lang w:val="en-US" w:eastAsia="zh-CN"/>
              </w:rPr>
              <w:t xml:space="preserve">或第三方</w:t>
            </w:r>
            <w:r>
              <w:rPr>
                <w:rFonts w:hint="eastAsia" w:ascii="宋体" w:hAnsi="宋体" w:cs="宋体"/>
                <w:i w:val="0"/>
                <w:iCs w:val="0"/>
                <w:sz w:val="24"/>
                <w:szCs w:val="24"/>
                <w:highlight w:val="none"/>
                <w:u w:val="none"/>
                <w:lang w:val="en-US" w:eastAsia="zh-CN"/>
              </w:rPr>
              <w:t xml:space="preserve">机构</w:t>
            </w:r>
            <w:r>
              <w:rPr>
                <w:rFonts w:hint="eastAsia" w:ascii="宋体" w:hAnsi="宋体" w:eastAsia="宋体" w:cs="宋体"/>
                <w:i w:val="0"/>
                <w:iCs w:val="0"/>
                <w:sz w:val="24"/>
                <w:szCs w:val="24"/>
                <w:highlight w:val="none"/>
                <w:u w:val="none"/>
              </w:rPr>
              <w:t xml:space="preserve">出具的</w:t>
            </w:r>
            <w:r>
              <w:rPr>
                <w:rFonts w:hint="eastAsia" w:ascii="宋体" w:hAnsi="宋体" w:eastAsia="宋体" w:cs="宋体"/>
                <w:sz w:val="24"/>
                <w:szCs w:val="24"/>
                <w:highlight w:val="none"/>
                <w:lang w:eastAsia="zh-CN"/>
              </w:rPr>
              <w:t xml:space="preserve">检测</w:t>
            </w:r>
            <w:r>
              <w:rPr>
                <w:rFonts w:hint="eastAsia" w:ascii="宋体" w:hAnsi="宋体" w:eastAsia="宋体" w:cs="宋体"/>
                <w:sz w:val="24"/>
                <w:szCs w:val="24"/>
                <w:highlight w:val="none"/>
              </w:rPr>
              <w:t xml:space="preserve">报告扫描上传）</w:t>
            </w:r>
            <w:r/>
          </w:p>
        </w:tc>
        <w:tc>
          <w:tcPr>
            <w:tcBorders>
              <w:top w:val="none" w:color="000000" w:sz="4" w:space="0"/>
              <w:left w:val="none" w:color="000000" w:sz="4" w:space="0"/>
              <w:bottom w:val="single" w:color="auto" w:sz="4" w:space="0"/>
              <w:right w:val="single" w:color="auto" w:sz="4" w:space="0"/>
            </w:tcBorders>
            <w:tcW w:w="601"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套</w:t>
            </w:r>
            <w:r/>
          </w:p>
        </w:tc>
        <w:tc>
          <w:tcPr>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trHeight w:val="3787"/>
        </w:trPr>
        <w:tc>
          <w:tcPr>
            <w:tcBorders>
              <w:top w:val="none" w:color="000000" w:sz="4" w:space="0"/>
              <w:left w:val="single" w:color="auto" w:sz="4" w:space="0"/>
              <w:bottom w:val="single" w:color="auto" w:sz="4" w:space="0"/>
              <w:right w:val="single" w:color="auto" w:sz="4" w:space="0"/>
            </w:tcBorders>
            <w:tcW w:w="616"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Borders>
              <w:top w:val="none" w:color="000000" w:sz="4" w:space="0"/>
              <w:left w:val="none" w:color="000000" w:sz="4" w:space="0"/>
              <w:bottom w:val="single" w:color="auto" w:sz="4" w:space="0"/>
              <w:right w:val="single" w:color="auto" w:sz="4" w:space="0"/>
            </w:tcBorders>
            <w:tcW w:w="1071"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有线控制面板</w:t>
            </w:r>
            <w:r/>
          </w:p>
        </w:tc>
        <w:tc>
          <w:tcPr>
            <w:tcBorders>
              <w:top w:val="none" w:color="000000" w:sz="4" w:space="0"/>
              <w:left w:val="none" w:color="000000" w:sz="4" w:space="0"/>
              <w:bottom w:val="single" w:color="auto" w:sz="4" w:space="0"/>
              <w:right w:val="single" w:color="auto" w:sz="4" w:space="0"/>
            </w:tcBorders>
            <w:tcW w:w="6220"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i/>
                <w:iCs/>
                <w:sz w:val="24"/>
                <w:szCs w:val="24"/>
                <w:highlight w:val="none"/>
                <w:u w:val="single"/>
              </w:rPr>
              <w:t xml:space="preserve">1、≥1280*800分辨率显示</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2、处理器</w:t>
            </w:r>
            <w:r>
              <w:rPr>
                <w:rFonts w:hint="eastAsia" w:ascii="宋体" w:hAnsi="宋体" w:eastAsia="宋体" w:cs="宋体"/>
                <w:i/>
                <w:iCs/>
                <w:sz w:val="24"/>
                <w:szCs w:val="24"/>
                <w:highlight w:val="none"/>
                <w:u w:val="single"/>
                <w:lang w:eastAsia="zh-CN"/>
              </w:rPr>
              <w:t xml:space="preserve">：</w:t>
            </w:r>
            <w:r>
              <w:rPr>
                <w:rFonts w:hint="eastAsia" w:ascii="宋体" w:hAnsi="宋体" w:eastAsia="宋体" w:cs="宋体"/>
                <w:i/>
                <w:iCs/>
                <w:sz w:val="24"/>
                <w:szCs w:val="24"/>
                <w:highlight w:val="none"/>
                <w:u w:val="single"/>
              </w:rPr>
              <w:t xml:space="preserve">四核 64位 主频 2.0Ghz  </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3、内存≥</w:t>
            </w:r>
            <w:r>
              <w:rPr>
                <w:rFonts w:hint="eastAsia" w:ascii="宋体" w:hAnsi="宋体" w:eastAsia="宋体" w:cs="宋体"/>
                <w:i/>
                <w:iCs/>
                <w:sz w:val="24"/>
                <w:szCs w:val="24"/>
                <w:highlight w:val="none"/>
                <w:u w:val="single"/>
                <w:lang w:val="en-US" w:eastAsia="zh-CN"/>
              </w:rPr>
              <w:t xml:space="preserve">8</w:t>
            </w:r>
            <w:r>
              <w:rPr>
                <w:rFonts w:hint="eastAsia" w:ascii="宋体" w:hAnsi="宋体" w:eastAsia="宋体" w:cs="宋体"/>
                <w:i/>
                <w:iCs/>
                <w:sz w:val="24"/>
                <w:szCs w:val="24"/>
                <w:highlight w:val="none"/>
                <w:u w:val="single"/>
              </w:rPr>
              <w:t xml:space="preserve">G 存储≥</w:t>
            </w:r>
            <w:r>
              <w:rPr>
                <w:rFonts w:hint="eastAsia" w:ascii="宋体" w:hAnsi="宋体" w:eastAsia="宋体" w:cs="宋体"/>
                <w:i/>
                <w:iCs/>
                <w:sz w:val="24"/>
                <w:szCs w:val="24"/>
                <w:highlight w:val="none"/>
                <w:u w:val="single"/>
                <w:lang w:val="en-US" w:eastAsia="zh-CN"/>
              </w:rPr>
              <w:t xml:space="preserve">128</w:t>
            </w:r>
            <w:r>
              <w:rPr>
                <w:rFonts w:hint="eastAsia" w:ascii="宋体" w:hAnsi="宋体" w:eastAsia="宋体" w:cs="宋体"/>
                <w:i/>
                <w:iCs/>
                <w:sz w:val="24"/>
                <w:szCs w:val="24"/>
                <w:highlight w:val="none"/>
                <w:u w:val="single"/>
              </w:rPr>
              <w:t xml:space="preserve">G</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4、系统：安卓11以上</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5、内置扬声器、WIFI、蓝牙</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6、摄像头：200w</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7、POE供电</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8、电容触控：10 点投射式电容触控技术，5 毫秒快速响应，精准稳定</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9、亮度：≥350cd/m²</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10、对比度：≥ 1000：1</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11、可视角度：全视角 89/89/89/89 (Typ.)(CR≥10)(左/右/上/下)</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12、屏幕使用寿命：≥50000H</w:t>
            </w:r>
            <w:r>
              <w:rPr>
                <w:rFonts w:hint="eastAsia" w:ascii="宋体" w:hAnsi="宋体" w:eastAsia="宋体" w:cs="宋体"/>
                <w:i/>
                <w:iCs/>
                <w:sz w:val="24"/>
                <w:szCs w:val="24"/>
                <w:highlight w:val="none"/>
                <w:u w:val="single"/>
              </w:rPr>
              <w:br/>
            </w:r>
            <w:r>
              <w:rPr>
                <w:rFonts w:hint="eastAsia" w:ascii="宋体" w:hAnsi="宋体" w:eastAsia="宋体" w:cs="宋体"/>
                <w:sz w:val="24"/>
                <w:szCs w:val="24"/>
                <w:highlight w:val="none"/>
              </w:rPr>
              <w:t xml:space="preserve">13、工作温度：0℃-50℃</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14、工作湿度：10% - 90%</w:t>
            </w:r>
            <w:r/>
          </w:p>
        </w:tc>
        <w:tc>
          <w:tcPr>
            <w:tcBorders>
              <w:top w:val="none" w:color="000000" w:sz="4" w:space="0"/>
              <w:left w:val="none" w:color="000000" w:sz="4" w:space="0"/>
              <w:bottom w:val="single" w:color="auto" w:sz="4" w:space="0"/>
              <w:right w:val="single" w:color="auto" w:sz="4" w:space="0"/>
            </w:tcBorders>
            <w:tcW w:w="601"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trHeight w:val="290"/>
        </w:trPr>
        <w:tc>
          <w:tcPr>
            <w:tcBorders>
              <w:top w:val="none" w:color="000000" w:sz="4" w:space="0"/>
              <w:left w:val="single" w:color="auto" w:sz="4" w:space="0"/>
              <w:bottom w:val="single" w:color="auto" w:sz="4" w:space="0"/>
              <w:right w:val="single" w:color="auto" w:sz="4" w:space="0"/>
            </w:tcBorders>
            <w:tcW w:w="616"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Borders>
              <w:top w:val="none" w:color="000000" w:sz="4" w:space="0"/>
              <w:left w:val="none" w:color="000000" w:sz="4" w:space="0"/>
              <w:bottom w:val="single" w:color="auto" w:sz="4" w:space="0"/>
              <w:right w:val="single" w:color="auto" w:sz="4" w:space="0"/>
            </w:tcBorders>
            <w:tcW w:w="1071"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智能通讯模组</w:t>
            </w:r>
            <w:r/>
          </w:p>
        </w:tc>
        <w:tc>
          <w:tcPr>
            <w:tcBorders>
              <w:top w:val="none" w:color="000000" w:sz="4" w:space="0"/>
              <w:left w:val="none" w:color="000000" w:sz="4" w:space="0"/>
              <w:bottom w:val="single" w:color="auto" w:sz="4" w:space="0"/>
              <w:right w:val="single" w:color="auto" w:sz="4" w:space="0"/>
            </w:tcBorders>
            <w:tcW w:w="6220"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1、支持网络，触摸屏与中控主机建立通讯连接</w:t>
            </w:r>
            <w:r/>
          </w:p>
        </w:tc>
        <w:tc>
          <w:tcPr>
            <w:tcBorders>
              <w:top w:val="none" w:color="000000" w:sz="4" w:space="0"/>
              <w:left w:val="none" w:color="000000" w:sz="4" w:space="0"/>
              <w:bottom w:val="single" w:color="auto" w:sz="4" w:space="0"/>
              <w:right w:val="single" w:color="auto" w:sz="4" w:space="0"/>
            </w:tcBorders>
            <w:tcW w:w="601"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套</w:t>
            </w:r>
            <w:r/>
          </w:p>
        </w:tc>
        <w:tc>
          <w:tcPr>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trHeight w:val="290"/>
        </w:trPr>
        <w:tc>
          <w:tcPr>
            <w:gridSpan w:val="2"/>
            <w:tcBorders>
              <w:top w:val="none" w:color="000000" w:sz="4" w:space="0"/>
              <w:left w:val="single" w:color="auto" w:sz="4" w:space="0"/>
              <w:bottom w:val="single" w:color="auto" w:sz="4" w:space="0"/>
              <w:right w:val="single" w:color="auto" w:sz="4" w:space="0"/>
            </w:tcBorders>
            <w:tcW w:w="1687" w:type="dxa"/>
            <w:vAlign w:val="center"/>
            <w:textDirection w:val="lrTb"/>
            <w:noWrap w:val="false"/>
          </w:tcPr>
          <w:p>
            <w:pPr>
              <w:jc w:val="lef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八、18楼指挥调度会议系统</w:t>
            </w:r>
            <w:r/>
          </w:p>
        </w:tc>
        <w:tc>
          <w:tcPr>
            <w:tcBorders>
              <w:top w:val="none" w:color="000000" w:sz="4" w:space="0"/>
              <w:left w:val="none" w:color="000000" w:sz="4" w:space="0"/>
              <w:bottom w:val="single" w:color="auto" w:sz="4" w:space="0"/>
              <w:right w:val="single" w:color="auto" w:sz="4" w:space="0"/>
            </w:tcBorders>
            <w:tcW w:w="6220" w:type="dxa"/>
            <w:vAlign w:val="center"/>
            <w:textDirection w:val="lrTb"/>
            <w:noWrap w:val="false"/>
          </w:tcPr>
          <w:p>
            <w:pPr>
              <w:jc w:val="lef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601" w:type="dxa"/>
            <w:vAlign w:val="center"/>
            <w:textDirection w:val="lrTb"/>
            <w:noWrap w:val="false"/>
          </w:tcPr>
          <w:p>
            <w:pPr>
              <w:jc w:val="lef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lef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　</w:t>
            </w:r>
            <w:r/>
          </w:p>
        </w:tc>
      </w:tr>
      <w:tr>
        <w:trPr>
          <w:trHeight w:val="541"/>
        </w:trPr>
        <w:tc>
          <w:tcPr>
            <w:tcBorders>
              <w:top w:val="none" w:color="000000" w:sz="4" w:space="0"/>
              <w:left w:val="single" w:color="auto" w:sz="4" w:space="0"/>
              <w:bottom w:val="single" w:color="auto" w:sz="4" w:space="0"/>
              <w:right w:val="single" w:color="auto" w:sz="4" w:space="0"/>
            </w:tcBorders>
            <w:tcW w:w="616"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none" w:color="000000" w:sz="4" w:space="0"/>
              <w:left w:val="none" w:color="000000" w:sz="4" w:space="0"/>
              <w:bottom w:val="single" w:color="auto" w:sz="4" w:space="0"/>
              <w:right w:val="single" w:color="auto" w:sz="4" w:space="0"/>
            </w:tcBorders>
            <w:tcW w:w="1071"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无线方管会议话筒</w:t>
            </w:r>
            <w:r/>
          </w:p>
        </w:tc>
        <w:tc>
          <w:tcPr>
            <w:tcBorders>
              <w:top w:val="none" w:color="000000" w:sz="4" w:space="0"/>
              <w:left w:val="none" w:color="000000" w:sz="4" w:space="0"/>
              <w:bottom w:val="single" w:color="auto" w:sz="4" w:space="0"/>
              <w:right w:val="single" w:color="auto" w:sz="4" w:space="0"/>
            </w:tcBorders>
            <w:tcW w:w="6220" w:type="dxa"/>
            <w:vAlign w:val="center"/>
            <w:textDirection w:val="lrTb"/>
            <w:noWrap w:val="false"/>
          </w:tcPr>
          <w:p>
            <w:pPr>
              <w:jc w:val="lef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参数详见大法庭-发言系统-</w:t>
            </w:r>
            <w:r>
              <w:rPr>
                <w:rFonts w:hint="eastAsia" w:ascii="宋体" w:hAnsi="宋体" w:eastAsia="宋体" w:cs="宋体"/>
                <w:sz w:val="24"/>
                <w:szCs w:val="24"/>
                <w:highlight w:val="none"/>
              </w:rPr>
              <w:t xml:space="preserve">无线方管会议话筒</w:t>
            </w:r>
            <w:r/>
          </w:p>
        </w:tc>
        <w:tc>
          <w:tcPr>
            <w:tcBorders>
              <w:top w:val="none" w:color="000000" w:sz="4" w:space="0"/>
              <w:left w:val="none" w:color="000000" w:sz="4" w:space="0"/>
              <w:bottom w:val="single" w:color="auto" w:sz="4" w:space="0"/>
              <w:right w:val="single" w:color="auto" w:sz="4" w:space="0"/>
            </w:tcBorders>
            <w:tcW w:w="601"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台 </w:t>
            </w:r>
            <w:r/>
          </w:p>
        </w:tc>
        <w:tc>
          <w:tcPr>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trHeight w:val="3920"/>
        </w:trPr>
        <w:tc>
          <w:tcPr>
            <w:tcBorders>
              <w:top w:val="none" w:color="000000" w:sz="4" w:space="0"/>
              <w:left w:val="single" w:color="auto" w:sz="4" w:space="0"/>
              <w:bottom w:val="single" w:color="auto" w:sz="4" w:space="0"/>
              <w:right w:val="single" w:color="auto" w:sz="4" w:space="0"/>
            </w:tcBorders>
            <w:tcW w:w="616"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Borders>
              <w:top w:val="none" w:color="000000" w:sz="4" w:space="0"/>
              <w:left w:val="none" w:color="000000" w:sz="4" w:space="0"/>
              <w:bottom w:val="single" w:color="auto" w:sz="4" w:space="0"/>
              <w:right w:val="single" w:color="auto" w:sz="4" w:space="0"/>
            </w:tcBorders>
            <w:tcW w:w="1071"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全频音柱</w:t>
            </w:r>
            <w:r/>
          </w:p>
        </w:tc>
        <w:tc>
          <w:tcPr>
            <w:tcBorders>
              <w:top w:val="none" w:color="000000" w:sz="4" w:space="0"/>
              <w:left w:val="none" w:color="000000" w:sz="4" w:space="0"/>
              <w:bottom w:val="single" w:color="auto" w:sz="4" w:space="0"/>
              <w:right w:val="single" w:color="auto" w:sz="4" w:space="0"/>
            </w:tcBorders>
            <w:tcW w:w="6220"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i/>
                <w:iCs/>
                <w:sz w:val="24"/>
                <w:szCs w:val="24"/>
                <w:highlight w:val="none"/>
                <w:u w:val="single"/>
              </w:rPr>
              <w:t xml:space="preserve">1、系统类型：8单元全频密闭式</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2、额定功率：320W</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3、最大功率：640W</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4、峰值功率：1280W</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5、标称阻抗：4 Ω</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6、推荐放大器额定输出功率：400W—800W@4 Ω</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7、标称灵敏度（1W@1m）：97dB</w:t>
            </w:r>
            <w:r>
              <w:rPr>
                <w:rFonts w:hint="eastAsia" w:ascii="宋体" w:hAnsi="宋体" w:eastAsia="宋体" w:cs="宋体"/>
                <w:sz w:val="24"/>
                <w:szCs w:val="24"/>
                <w:highlight w:val="none"/>
              </w:rPr>
              <w:br/>
            </w:r>
            <w:r>
              <w:rPr>
                <w:rFonts w:hint="eastAsia" w:ascii="宋体" w:hAnsi="宋体" w:eastAsia="宋体" w:cs="宋体"/>
                <w:i/>
                <w:iCs/>
                <w:sz w:val="24"/>
                <w:szCs w:val="24"/>
                <w:highlight w:val="none"/>
                <w:u w:val="single"/>
              </w:rPr>
              <w:t xml:space="preserve">8、最大声压级（Pmax@1m）：122dB@320W(125dB@640W)  </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9、频率带宽（-10dB）：90Hz—18.5KHz</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10、标称指向性（-6dB）：90°H×30°V </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11、换能器配置：全频驱动器3″(75mm全频单元20mm音圈)×8</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12、连接器：标准欧式四芯插座</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13、箱体材质：12mm（0.5″）MDF板</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14、颜色：默认为黑色环保水性喷涂</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15、箱体尺寸：W118*D125*H755mm</w:t>
            </w:r>
            <w:r/>
          </w:p>
        </w:tc>
        <w:tc>
          <w:tcPr>
            <w:tcBorders>
              <w:top w:val="none" w:color="000000" w:sz="4" w:space="0"/>
              <w:left w:val="none" w:color="000000" w:sz="4" w:space="0"/>
              <w:bottom w:val="single" w:color="auto" w:sz="4" w:space="0"/>
              <w:right w:val="single" w:color="auto" w:sz="4" w:space="0"/>
            </w:tcBorders>
            <w:tcW w:w="601"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只</w:t>
            </w:r>
            <w:r/>
          </w:p>
        </w:tc>
        <w:tc>
          <w:tcPr>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p>
        </w:tc>
      </w:tr>
      <w:tr>
        <w:trPr>
          <w:trHeight w:val="2630"/>
        </w:trPr>
        <w:tc>
          <w:tcPr>
            <w:tcBorders>
              <w:top w:val="none" w:color="000000" w:sz="4" w:space="0"/>
              <w:left w:val="single" w:color="auto" w:sz="4" w:space="0"/>
              <w:bottom w:val="single" w:color="auto" w:sz="4" w:space="0"/>
              <w:right w:val="single" w:color="auto" w:sz="4" w:space="0"/>
            </w:tcBorders>
            <w:tcW w:w="616"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Borders>
              <w:top w:val="none" w:color="000000" w:sz="4" w:space="0"/>
              <w:left w:val="none" w:color="000000" w:sz="4" w:space="0"/>
              <w:bottom w:val="single" w:color="auto" w:sz="4" w:space="0"/>
              <w:right w:val="single" w:color="auto" w:sz="4" w:space="0"/>
            </w:tcBorders>
            <w:tcW w:w="1071"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功率放大器</w:t>
            </w:r>
            <w:r/>
          </w:p>
        </w:tc>
        <w:tc>
          <w:tcPr>
            <w:tcBorders>
              <w:top w:val="none" w:color="000000" w:sz="4" w:space="0"/>
              <w:left w:val="none" w:color="000000" w:sz="4" w:space="0"/>
              <w:bottom w:val="single" w:color="auto" w:sz="4" w:space="0"/>
              <w:right w:val="single" w:color="auto" w:sz="4" w:space="0"/>
            </w:tcBorders>
            <w:tcW w:w="6220"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i/>
                <w:iCs/>
                <w:sz w:val="24"/>
                <w:szCs w:val="24"/>
                <w:highlight w:val="none"/>
                <w:u w:val="single"/>
              </w:rPr>
              <w:t xml:space="preserve">1、输出功率：8Ω/500W,4Ω/800W,8Ω桥接/1500W； </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2、信噪比：&gt;100dB A计权 </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3、失真度：&lt;0.1% A计权 </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4、灵敏度：0.775V </w:t>
            </w:r>
            <w:r>
              <w:rPr>
                <w:rFonts w:hint="eastAsia" w:ascii="宋体" w:hAnsi="宋体" w:eastAsia="宋体" w:cs="宋体"/>
                <w:sz w:val="24"/>
                <w:szCs w:val="24"/>
                <w:highlight w:val="none"/>
              </w:rPr>
              <w:br/>
            </w:r>
            <w:r>
              <w:rPr>
                <w:rFonts w:hint="eastAsia" w:ascii="宋体" w:hAnsi="宋体" w:eastAsia="宋体" w:cs="宋体"/>
                <w:i/>
                <w:iCs/>
                <w:sz w:val="24"/>
                <w:szCs w:val="24"/>
                <w:highlight w:val="none"/>
                <w:u w:val="single"/>
              </w:rPr>
              <w:t xml:space="preserve">5、输入阻抗：20KΩ 平衡  </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6、阻尼系数：&gt;200/8Ω  </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7、频率响应：20Hz-20KHz,±0.5dB </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8、通道分离度：&gt;95dB  </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9、冷却方式：无级变速风扇散热 </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10、功放保护：具有短路、过流、欠压、过压和过温</w:t>
            </w:r>
            <w:r/>
          </w:p>
        </w:tc>
        <w:tc>
          <w:tcPr>
            <w:tcBorders>
              <w:top w:val="none" w:color="000000" w:sz="4" w:space="0"/>
              <w:left w:val="none" w:color="000000" w:sz="4" w:space="0"/>
              <w:bottom w:val="single" w:color="auto" w:sz="4" w:space="0"/>
              <w:right w:val="single" w:color="auto" w:sz="4" w:space="0"/>
            </w:tcBorders>
            <w:tcW w:w="601"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r>
      <w:tr>
        <w:trPr>
          <w:trHeight w:val="3380"/>
        </w:trPr>
        <w:tc>
          <w:tcPr>
            <w:tcBorders>
              <w:top w:val="none" w:color="000000" w:sz="4" w:space="0"/>
              <w:left w:val="single" w:color="auto" w:sz="4" w:space="0"/>
              <w:bottom w:val="single" w:color="auto" w:sz="4" w:space="0"/>
              <w:right w:val="single" w:color="auto" w:sz="4" w:space="0"/>
            </w:tcBorders>
            <w:tcW w:w="616"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Borders>
              <w:top w:val="none" w:color="000000" w:sz="4" w:space="0"/>
              <w:left w:val="none" w:color="000000" w:sz="4" w:space="0"/>
              <w:bottom w:val="single" w:color="auto" w:sz="4" w:space="0"/>
              <w:right w:val="single" w:color="auto" w:sz="4" w:space="0"/>
            </w:tcBorders>
            <w:tcW w:w="1071"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模拟调音台</w:t>
            </w:r>
            <w:r/>
          </w:p>
        </w:tc>
        <w:tc>
          <w:tcPr>
            <w:tcBorders>
              <w:top w:val="none" w:color="000000" w:sz="4" w:space="0"/>
              <w:left w:val="none" w:color="000000" w:sz="4" w:space="0"/>
              <w:bottom w:val="single" w:color="auto" w:sz="4" w:space="0"/>
              <w:right w:val="single" w:color="auto" w:sz="4" w:space="0"/>
            </w:tcBorders>
            <w:tcW w:w="6220"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i/>
                <w:iCs/>
                <w:sz w:val="24"/>
                <w:szCs w:val="24"/>
                <w:highlight w:val="none"/>
                <w:u w:val="single"/>
              </w:rPr>
              <w:t xml:space="preserve">1、16路单声输入带话放，2组立体声输入</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2、带蓝牙播放，带有数码显示（U-DISK MP3输入）</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3、带有录音功能</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4、幻象电源+48V</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5、9段均衡</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6、每通道带静音开关</w:t>
            </w:r>
            <w:r>
              <w:rPr>
                <w:rFonts w:hint="eastAsia" w:ascii="宋体" w:hAnsi="宋体" w:eastAsia="宋体" w:cs="宋体"/>
                <w:sz w:val="24"/>
                <w:szCs w:val="24"/>
                <w:highlight w:val="none"/>
              </w:rPr>
              <w:br/>
            </w:r>
            <w:r>
              <w:rPr>
                <w:rFonts w:hint="eastAsia" w:ascii="宋体" w:hAnsi="宋体" w:eastAsia="宋体" w:cs="宋体"/>
                <w:i/>
                <w:iCs/>
                <w:sz w:val="24"/>
                <w:szCs w:val="24"/>
                <w:highlight w:val="none"/>
                <w:u w:val="single"/>
              </w:rPr>
              <w:t xml:space="preserve">7、内置双99种DSP效果器</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8、四编组主输出控制</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9、供话音消除功能</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10、五段效果电平监听指示</w:t>
            </w:r>
            <w:r>
              <w:rPr>
                <w:rFonts w:hint="eastAsia" w:ascii="宋体" w:hAnsi="宋体" w:eastAsia="宋体" w:cs="宋体"/>
                <w:sz w:val="24"/>
                <w:szCs w:val="24"/>
                <w:highlight w:val="none"/>
              </w:rPr>
              <w:br/>
            </w:r>
            <w:r>
              <w:rPr>
                <w:rFonts w:hint="eastAsia" w:ascii="宋体" w:hAnsi="宋体" w:eastAsia="宋体" w:cs="宋体"/>
                <w:i/>
                <w:iCs/>
                <w:sz w:val="24"/>
                <w:szCs w:val="24"/>
                <w:highlight w:val="none"/>
                <w:u w:val="single"/>
              </w:rPr>
              <w:t xml:space="preserve">11、双十二段电平显示主输出</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12、录音、耳机监听输出</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13、每通道3段均衡器</w:t>
            </w:r>
            <w:r/>
          </w:p>
        </w:tc>
        <w:tc>
          <w:tcPr>
            <w:tcBorders>
              <w:top w:val="none" w:color="000000" w:sz="4" w:space="0"/>
              <w:left w:val="none" w:color="000000" w:sz="4" w:space="0"/>
              <w:bottom w:val="single" w:color="auto" w:sz="4" w:space="0"/>
              <w:right w:val="single" w:color="auto" w:sz="4" w:space="0"/>
            </w:tcBorders>
            <w:tcW w:w="601"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trHeight w:val="2423"/>
        </w:trPr>
        <w:tc>
          <w:tcPr>
            <w:tcBorders>
              <w:top w:val="none" w:color="000000" w:sz="4" w:space="0"/>
              <w:left w:val="single" w:color="auto" w:sz="4" w:space="0"/>
              <w:bottom w:val="single" w:color="auto" w:sz="4" w:space="0"/>
              <w:right w:val="single" w:color="auto" w:sz="4" w:space="0"/>
            </w:tcBorders>
            <w:tcW w:w="616"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tcBorders>
              <w:top w:val="none" w:color="000000" w:sz="4" w:space="0"/>
              <w:left w:val="none" w:color="000000" w:sz="4" w:space="0"/>
              <w:bottom w:val="single" w:color="auto" w:sz="4" w:space="0"/>
              <w:right w:val="single" w:color="auto" w:sz="4" w:space="0"/>
            </w:tcBorders>
            <w:tcW w:w="1071"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音频处理器</w:t>
            </w:r>
            <w:r/>
          </w:p>
        </w:tc>
        <w:tc>
          <w:tcPr>
            <w:tcBorders>
              <w:top w:val="none" w:color="000000" w:sz="4" w:space="0"/>
              <w:left w:val="none" w:color="000000" w:sz="4" w:space="0"/>
              <w:bottom w:val="single" w:color="auto" w:sz="4" w:space="0"/>
              <w:right w:val="single" w:color="auto" w:sz="4" w:space="0"/>
            </w:tcBorders>
            <w:tcW w:w="6220" w:type="dxa"/>
            <w:vAlign w:val="center"/>
            <w:textDirection w:val="lrTb"/>
            <w:noWrap w:val="false"/>
          </w:tcPr>
          <w:p>
            <w:pPr>
              <w:jc w:val="left"/>
              <w:widowControl/>
              <w:rPr>
                <w:rFonts w:hint="eastAsia"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t xml:space="preserve">1</w:t>
            </w:r>
            <w:r>
              <w:rPr>
                <w:rFonts w:hint="eastAsia" w:ascii="宋体" w:hAnsi="宋体" w:eastAsia="宋体" w:cs="宋体"/>
                <w:i/>
                <w:iCs/>
                <w:sz w:val="24"/>
                <w:szCs w:val="24"/>
                <w:highlight w:val="none"/>
                <w:u w:val="single"/>
                <w:lang w:eastAsia="zh-CN"/>
              </w:rPr>
              <w:t xml:space="preserve">、</w:t>
            </w:r>
            <w:r>
              <w:rPr>
                <w:rFonts w:hint="eastAsia" w:ascii="宋体" w:hAnsi="宋体" w:eastAsia="宋体" w:cs="宋体"/>
                <w:i/>
                <w:iCs/>
                <w:sz w:val="24"/>
                <w:szCs w:val="24"/>
                <w:highlight w:val="none"/>
                <w:u w:val="single"/>
              </w:rPr>
              <w:t xml:space="preserve">4路平衡输入，8路平衡输出</w:t>
            </w:r>
            <w:r/>
          </w:p>
          <w:p>
            <w:pPr>
              <w:jc w:val="left"/>
              <w:widowControl/>
              <w:rPr>
                <w:rFonts w:hint="eastAsia" w:ascii="宋体" w:hAnsi="宋体" w:eastAsia="宋体" w:cs="宋体"/>
                <w:i/>
                <w:iCs/>
                <w:sz w:val="24"/>
                <w:szCs w:val="24"/>
                <w:highlight w:val="none"/>
                <w:u w:val="single"/>
              </w:rPr>
            </w:pPr>
            <w:r>
              <w:rPr>
                <w:rFonts w:hint="eastAsia" w:ascii="宋体" w:hAnsi="宋体" w:eastAsia="宋体" w:cs="宋体"/>
                <w:i/>
                <w:iCs/>
                <w:sz w:val="24"/>
                <w:szCs w:val="24"/>
                <w:highlight w:val="none"/>
                <w:u w:val="single"/>
                <w:lang w:val="en-US" w:eastAsia="zh-CN"/>
              </w:rPr>
              <w:t xml:space="preserve">2、</w:t>
            </w:r>
            <w:r>
              <w:rPr>
                <w:rFonts w:hint="eastAsia" w:ascii="宋体" w:hAnsi="宋体" w:eastAsia="宋体" w:cs="宋体"/>
                <w:i/>
                <w:iCs/>
                <w:sz w:val="24"/>
                <w:szCs w:val="24"/>
                <w:highlight w:val="none"/>
                <w:u w:val="single"/>
              </w:rPr>
              <w:t xml:space="preserve">采样率：48KHz</w:t>
            </w:r>
            <w:r/>
          </w:p>
          <w:p>
            <w:pPr>
              <w:jc w:val="left"/>
              <w:widowControl/>
              <w:rPr>
                <w:rFonts w:hint="eastAsia" w:ascii="宋体" w:hAnsi="宋体" w:eastAsia="宋体" w:cs="宋体"/>
                <w:i/>
                <w:iCs/>
                <w:sz w:val="24"/>
                <w:szCs w:val="24"/>
                <w:highlight w:val="none"/>
                <w:u w:val="single"/>
              </w:rPr>
            </w:pPr>
            <w:r>
              <w:rPr>
                <w:rFonts w:hint="eastAsia" w:ascii="宋体" w:hAnsi="宋体" w:eastAsia="宋体" w:cs="宋体"/>
                <w:i/>
                <w:iCs/>
                <w:sz w:val="24"/>
                <w:szCs w:val="24"/>
                <w:highlight w:val="none"/>
                <w:u w:val="single"/>
                <w:lang w:val="en-US" w:eastAsia="zh-CN"/>
              </w:rPr>
              <w:t xml:space="preserve">3、</w:t>
            </w:r>
            <w:r>
              <w:rPr>
                <w:rFonts w:hint="eastAsia" w:ascii="宋体" w:hAnsi="宋体" w:eastAsia="宋体" w:cs="宋体"/>
                <w:i/>
                <w:iCs/>
                <w:sz w:val="24"/>
                <w:szCs w:val="24"/>
                <w:highlight w:val="none"/>
                <w:u w:val="single"/>
              </w:rPr>
              <w:t xml:space="preserve">高速DSP处理芯片 400Mhz ADSP-21488 DSP处理内核</w:t>
            </w:r>
            <w:r/>
          </w:p>
          <w:p>
            <w:pPr>
              <w:jc w:val="left"/>
              <w:widowControl/>
              <w:rPr>
                <w:rFonts w:hint="eastAsia" w:ascii="宋体" w:hAnsi="宋体" w:eastAsia="宋体" w:cs="宋体"/>
                <w:i/>
                <w:iCs/>
                <w:sz w:val="24"/>
                <w:szCs w:val="24"/>
                <w:highlight w:val="none"/>
                <w:u w:val="single"/>
              </w:rPr>
            </w:pPr>
            <w:r>
              <w:rPr>
                <w:rFonts w:hint="eastAsia" w:ascii="宋体" w:hAnsi="宋体" w:eastAsia="宋体" w:cs="宋体"/>
                <w:i/>
                <w:iCs/>
                <w:sz w:val="24"/>
                <w:szCs w:val="24"/>
                <w:highlight w:val="none"/>
                <w:u w:val="single"/>
                <w:lang w:val="en-US" w:eastAsia="zh-CN"/>
              </w:rPr>
              <w:t xml:space="preserve">4、</w:t>
            </w:r>
            <w:r>
              <w:rPr>
                <w:rFonts w:hint="eastAsia" w:ascii="宋体" w:hAnsi="宋体" w:eastAsia="宋体" w:cs="宋体"/>
                <w:i/>
                <w:iCs/>
                <w:sz w:val="24"/>
                <w:szCs w:val="24"/>
                <w:highlight w:val="none"/>
                <w:u w:val="single"/>
              </w:rPr>
              <w:t xml:space="preserve">输入通道：前级放大、反相、噪声门、AFC自适应反馈消除、16段动态均衡器、高低通滤波器、RMS压限器、延时器</w:t>
            </w:r>
            <w:r/>
          </w:p>
          <w:p>
            <w:pPr>
              <w:jc w:val="left"/>
              <w:widowControl/>
              <w:rPr>
                <w:rFonts w:hint="eastAsia" w:ascii="宋体" w:hAnsi="宋体" w:eastAsia="宋体" w:cs="宋体"/>
                <w:i/>
                <w:iCs/>
                <w:sz w:val="24"/>
                <w:szCs w:val="24"/>
                <w:highlight w:val="none"/>
                <w:u w:val="single"/>
              </w:rPr>
            </w:pPr>
            <w:r>
              <w:rPr>
                <w:rFonts w:hint="eastAsia" w:ascii="宋体" w:hAnsi="宋体" w:eastAsia="宋体" w:cs="宋体"/>
                <w:i/>
                <w:iCs/>
                <w:sz w:val="24"/>
                <w:szCs w:val="24"/>
                <w:highlight w:val="none"/>
                <w:u w:val="single"/>
                <w:lang w:val="en-US" w:eastAsia="zh-CN"/>
              </w:rPr>
              <w:t xml:space="preserve">5、</w:t>
            </w:r>
            <w:r>
              <w:rPr>
                <w:rFonts w:hint="eastAsia" w:ascii="宋体" w:hAnsi="宋体" w:eastAsia="宋体" w:cs="宋体"/>
                <w:i/>
                <w:iCs/>
                <w:sz w:val="24"/>
                <w:szCs w:val="24"/>
                <w:highlight w:val="none"/>
                <w:u w:val="single"/>
              </w:rPr>
              <w:t xml:space="preserve">输出通道：增益控制、反相、16段动态均衡器、高低</w:t>
            </w:r>
            <w:r>
              <w:rPr>
                <w:rFonts w:hint="eastAsia" w:ascii="宋体" w:hAnsi="宋体" w:eastAsia="宋体" w:cs="宋体"/>
                <w:i/>
                <w:iCs/>
                <w:sz w:val="24"/>
                <w:szCs w:val="24"/>
                <w:highlight w:val="none"/>
                <w:u w:val="single"/>
                <w:lang w:val="en-US" w:eastAsia="zh-CN"/>
              </w:rPr>
              <w:t xml:space="preserve">6、</w:t>
            </w:r>
            <w:r>
              <w:rPr>
                <w:rFonts w:hint="eastAsia" w:ascii="宋体" w:hAnsi="宋体" w:eastAsia="宋体" w:cs="宋体"/>
                <w:i/>
                <w:iCs/>
                <w:sz w:val="24"/>
                <w:szCs w:val="24"/>
                <w:highlight w:val="none"/>
                <w:u w:val="single"/>
              </w:rPr>
              <w:t xml:space="preserve">通滤波器、RMS压限器、延时器</w:t>
            </w:r>
            <w:r/>
          </w:p>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频率响应： 20Hz-20kHz ±0.3dB</w:t>
            </w:r>
            <w:r/>
          </w:p>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底噪： -89 dBu（无记权）</w:t>
            </w:r>
            <w:r/>
          </w:p>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输入到输出动态范围：106 dB</w:t>
            </w:r>
            <w:r/>
          </w:p>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信噪比： -106 dB</w:t>
            </w:r>
            <w:r/>
          </w:p>
        </w:tc>
        <w:tc>
          <w:tcPr>
            <w:tcBorders>
              <w:top w:val="none" w:color="000000" w:sz="4" w:space="0"/>
              <w:left w:val="none" w:color="000000" w:sz="4" w:space="0"/>
              <w:bottom w:val="single" w:color="auto" w:sz="4" w:space="0"/>
              <w:right w:val="single" w:color="auto" w:sz="4" w:space="0"/>
            </w:tcBorders>
            <w:tcW w:w="601"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trHeight w:val="2141"/>
        </w:trPr>
        <w:tc>
          <w:tcPr>
            <w:tcBorders>
              <w:top w:val="none" w:color="000000" w:sz="4" w:space="0"/>
              <w:left w:val="single" w:color="auto" w:sz="4" w:space="0"/>
              <w:bottom w:val="single" w:color="auto" w:sz="4" w:space="0"/>
              <w:right w:val="single" w:color="auto" w:sz="4" w:space="0"/>
            </w:tcBorders>
            <w:tcW w:w="616"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p>
        </w:tc>
        <w:tc>
          <w:tcPr>
            <w:tcBorders>
              <w:top w:val="none" w:color="000000" w:sz="4" w:space="0"/>
              <w:left w:val="none" w:color="000000" w:sz="4" w:space="0"/>
              <w:bottom w:val="single" w:color="auto" w:sz="4" w:space="0"/>
              <w:right w:val="single" w:color="auto" w:sz="4" w:space="0"/>
            </w:tcBorders>
            <w:tcW w:w="1071"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反馈抑制器</w:t>
            </w:r>
            <w:r/>
          </w:p>
        </w:tc>
        <w:tc>
          <w:tcPr>
            <w:tcBorders>
              <w:top w:val="none" w:color="000000" w:sz="4" w:space="0"/>
              <w:left w:val="none" w:color="000000" w:sz="4" w:space="0"/>
              <w:bottom w:val="single" w:color="auto" w:sz="4" w:space="0"/>
              <w:right w:val="single" w:color="auto" w:sz="4" w:space="0"/>
            </w:tcBorders>
            <w:tcW w:w="6220"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i/>
                <w:iCs/>
                <w:sz w:val="24"/>
                <w:szCs w:val="24"/>
                <w:highlight w:val="none"/>
                <w:u w:val="single"/>
              </w:rPr>
              <w:t xml:space="preserve">1、每通道最多可设12个动态陷波器,12个PEQ。分辨精度1HZ，工作频率20-20KHZ。 </w:t>
            </w:r>
            <w:r>
              <w:rPr>
                <w:rFonts w:hint="eastAsia" w:ascii="宋体" w:hAnsi="宋体" w:eastAsia="宋体" w:cs="宋体"/>
                <w:sz w:val="24"/>
                <w:szCs w:val="24"/>
                <w:highlight w:val="none"/>
              </w:rPr>
              <w:br/>
            </w:r>
            <w:r>
              <w:rPr>
                <w:rFonts w:hint="eastAsia" w:ascii="宋体" w:hAnsi="宋体" w:eastAsia="宋体" w:cs="宋体"/>
                <w:i/>
                <w:iCs/>
                <w:sz w:val="24"/>
                <w:szCs w:val="24"/>
                <w:highlight w:val="none"/>
                <w:u w:val="single"/>
              </w:rPr>
              <w:t xml:space="preserve">2、24BIT高性能A/D及D/A转换。  </w:t>
            </w:r>
            <w:r>
              <w:rPr>
                <w:rFonts w:hint="eastAsia" w:ascii="宋体" w:hAnsi="宋体" w:eastAsia="宋体" w:cs="宋体"/>
                <w:i/>
                <w:iCs/>
                <w:sz w:val="24"/>
                <w:szCs w:val="24"/>
                <w:highlight w:val="none"/>
                <w:u w:val="single"/>
              </w:rPr>
              <w:br/>
            </w:r>
            <w:r>
              <w:rPr>
                <w:rFonts w:hint="eastAsia" w:ascii="宋体" w:hAnsi="宋体" w:eastAsia="宋体" w:cs="宋体"/>
                <w:i/>
                <w:iCs/>
                <w:sz w:val="24"/>
                <w:szCs w:val="24"/>
                <w:highlight w:val="none"/>
                <w:u w:val="single"/>
              </w:rPr>
              <w:t xml:space="preserve">3、响应时间快中慢3速可设定，陷波器Q值两档自动选取。</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4、自动扫描啸叫点并抑制。  </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5、噪声门功能可抑制系统微弱噪声干扰。  </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6、输入压缩功能，消除反馈同时更可扩展人声动态。  </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7、每通道，增益-80dB到0dB。  </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8、每路设有四档移频选择，配合陷波器使用，防啸叫效果出类拨萃。</w:t>
            </w:r>
            <w:r/>
          </w:p>
        </w:tc>
        <w:tc>
          <w:tcPr>
            <w:tcBorders>
              <w:top w:val="none" w:color="000000" w:sz="4" w:space="0"/>
              <w:left w:val="none" w:color="000000" w:sz="4" w:space="0"/>
              <w:bottom w:val="single" w:color="auto" w:sz="4" w:space="0"/>
              <w:right w:val="single" w:color="auto" w:sz="4" w:space="0"/>
            </w:tcBorders>
            <w:tcW w:w="601"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trHeight w:val="90"/>
        </w:trPr>
        <w:tc>
          <w:tcPr>
            <w:tcBorders>
              <w:top w:val="none" w:color="000000" w:sz="4" w:space="0"/>
              <w:left w:val="single" w:color="auto" w:sz="4" w:space="0"/>
              <w:bottom w:val="single" w:color="auto" w:sz="4" w:space="0"/>
              <w:right w:val="single" w:color="auto" w:sz="4" w:space="0"/>
            </w:tcBorders>
            <w:tcW w:w="616"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r/>
          </w:p>
        </w:tc>
        <w:tc>
          <w:tcPr>
            <w:tcBorders>
              <w:top w:val="none" w:color="000000" w:sz="4" w:space="0"/>
              <w:left w:val="none" w:color="000000" w:sz="4" w:space="0"/>
              <w:bottom w:val="single" w:color="auto" w:sz="4" w:space="0"/>
              <w:right w:val="single" w:color="auto" w:sz="4" w:space="0"/>
            </w:tcBorders>
            <w:tcW w:w="1071"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电源时序器</w:t>
            </w:r>
            <w:r/>
          </w:p>
        </w:tc>
        <w:tc>
          <w:tcPr>
            <w:tcBorders>
              <w:top w:val="none" w:color="000000" w:sz="4" w:space="0"/>
              <w:left w:val="none" w:color="000000" w:sz="4" w:space="0"/>
              <w:bottom w:val="single" w:color="auto" w:sz="4" w:space="0"/>
              <w:right w:val="single" w:color="auto" w:sz="4" w:space="0"/>
            </w:tcBorders>
            <w:tcW w:w="6220"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参数详见采购清单-四-9</w:t>
            </w:r>
            <w:r/>
          </w:p>
        </w:tc>
        <w:tc>
          <w:tcPr>
            <w:tcBorders>
              <w:top w:val="none" w:color="000000" w:sz="4" w:space="0"/>
              <w:left w:val="none" w:color="000000" w:sz="4" w:space="0"/>
              <w:bottom w:val="single" w:color="auto" w:sz="4" w:space="0"/>
              <w:right w:val="single" w:color="auto" w:sz="4" w:space="0"/>
            </w:tcBorders>
            <w:tcW w:w="601"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trHeight w:val="90"/>
        </w:trPr>
        <w:tc>
          <w:tcPr>
            <w:tcBorders>
              <w:top w:val="none" w:color="000000" w:sz="4" w:space="0"/>
              <w:left w:val="single" w:color="auto" w:sz="4" w:space="0"/>
              <w:bottom w:val="single" w:color="auto" w:sz="4" w:space="0"/>
              <w:right w:val="single" w:color="auto" w:sz="4" w:space="0"/>
            </w:tcBorders>
            <w:tcW w:w="616"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w:t>
            </w:r>
            <w:r/>
          </w:p>
        </w:tc>
        <w:tc>
          <w:tcPr>
            <w:tcBorders>
              <w:top w:val="none" w:color="000000" w:sz="4" w:space="0"/>
              <w:left w:val="none" w:color="000000" w:sz="4" w:space="0"/>
              <w:bottom w:val="single" w:color="auto" w:sz="4" w:space="0"/>
              <w:right w:val="single" w:color="auto" w:sz="4" w:space="0"/>
            </w:tcBorders>
            <w:tcW w:w="1071"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4K摄像机</w:t>
            </w:r>
            <w:r/>
          </w:p>
        </w:tc>
        <w:tc>
          <w:tcPr>
            <w:tcBorders>
              <w:top w:val="none" w:color="000000" w:sz="4" w:space="0"/>
              <w:left w:val="none" w:color="000000" w:sz="4" w:space="0"/>
              <w:bottom w:val="single" w:color="auto" w:sz="4" w:space="0"/>
              <w:right w:val="single" w:color="auto" w:sz="4" w:space="0"/>
            </w:tcBorders>
            <w:tcW w:w="6220" w:type="dxa"/>
            <w:vAlign w:val="center"/>
            <w:textDirection w:val="lrTb"/>
            <w:noWrap w:val="false"/>
          </w:tcPr>
          <w:p>
            <w:pPr>
              <w:jc w:val="lef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参数详见采购清单-三-1</w:t>
            </w:r>
            <w:r/>
          </w:p>
        </w:tc>
        <w:tc>
          <w:tcPr>
            <w:tcBorders>
              <w:top w:val="none" w:color="000000" w:sz="4" w:space="0"/>
              <w:left w:val="none" w:color="000000" w:sz="4" w:space="0"/>
              <w:bottom w:val="single" w:color="auto" w:sz="4" w:space="0"/>
              <w:right w:val="single" w:color="auto" w:sz="4" w:space="0"/>
            </w:tcBorders>
            <w:tcW w:w="601"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trHeight w:val="442"/>
        </w:trPr>
        <w:tc>
          <w:tcPr>
            <w:tcBorders>
              <w:top w:val="none" w:color="000000" w:sz="4" w:space="0"/>
              <w:left w:val="single" w:color="auto" w:sz="4" w:space="0"/>
              <w:bottom w:val="single" w:color="auto" w:sz="4" w:space="0"/>
              <w:right w:val="single" w:color="auto" w:sz="4" w:space="0"/>
            </w:tcBorders>
            <w:tcW w:w="616"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w:t>
            </w:r>
            <w:r/>
          </w:p>
        </w:tc>
        <w:tc>
          <w:tcPr>
            <w:tcBorders>
              <w:top w:val="none" w:color="000000" w:sz="4" w:space="0"/>
              <w:left w:val="none" w:color="000000" w:sz="4" w:space="0"/>
              <w:bottom w:val="single" w:color="auto" w:sz="4" w:space="0"/>
              <w:right w:val="single" w:color="auto" w:sz="4" w:space="0"/>
            </w:tcBorders>
            <w:tcW w:w="1071"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远程视频终端</w:t>
            </w:r>
            <w:r/>
          </w:p>
        </w:tc>
        <w:tc>
          <w:tcPr>
            <w:tcBorders>
              <w:top w:val="none" w:color="000000" w:sz="4" w:space="0"/>
              <w:left w:val="none" w:color="000000" w:sz="4" w:space="0"/>
              <w:bottom w:val="single" w:color="auto" w:sz="4" w:space="0"/>
              <w:right w:val="single" w:color="auto" w:sz="4" w:space="0"/>
            </w:tcBorders>
            <w:tcW w:w="6220"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参数详见采购清单-三-2</w:t>
            </w:r>
            <w:r/>
          </w:p>
        </w:tc>
        <w:tc>
          <w:tcPr>
            <w:tcBorders>
              <w:top w:val="none" w:color="000000" w:sz="4" w:space="0"/>
              <w:left w:val="none" w:color="000000" w:sz="4" w:space="0"/>
              <w:bottom w:val="single" w:color="auto" w:sz="4" w:space="0"/>
              <w:right w:val="single" w:color="auto" w:sz="4" w:space="0"/>
            </w:tcBorders>
            <w:tcW w:w="601"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trHeight w:val="360"/>
        </w:trPr>
        <w:tc>
          <w:tcPr>
            <w:tcBorders>
              <w:top w:val="none" w:color="000000" w:sz="4" w:space="0"/>
              <w:left w:val="single" w:color="auto" w:sz="4" w:space="0"/>
              <w:bottom w:val="single" w:color="auto" w:sz="4" w:space="0"/>
              <w:right w:val="single" w:color="auto" w:sz="4" w:space="0"/>
            </w:tcBorders>
            <w:tcW w:w="616"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p>
        </w:tc>
        <w:tc>
          <w:tcPr>
            <w:tcBorders>
              <w:top w:val="none" w:color="000000" w:sz="4" w:space="0"/>
              <w:left w:val="none" w:color="000000" w:sz="4" w:space="0"/>
              <w:bottom w:val="single" w:color="auto" w:sz="4" w:space="0"/>
              <w:right w:val="single" w:color="auto" w:sz="4" w:space="0"/>
            </w:tcBorders>
            <w:tcW w:w="1071"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4K分布式输入接点</w:t>
            </w:r>
            <w:r/>
          </w:p>
        </w:tc>
        <w:tc>
          <w:tcPr>
            <w:tcBorders>
              <w:top w:val="none" w:color="000000" w:sz="4" w:space="0"/>
              <w:left w:val="none" w:color="000000" w:sz="4" w:space="0"/>
              <w:bottom w:val="single" w:color="auto" w:sz="4" w:space="0"/>
              <w:right w:val="single" w:color="auto" w:sz="4" w:space="0"/>
            </w:tcBorders>
            <w:tcW w:w="6220"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参数详见采购清单-四-1</w:t>
            </w:r>
            <w:r/>
          </w:p>
        </w:tc>
        <w:tc>
          <w:tcPr>
            <w:tcBorders>
              <w:top w:val="none" w:color="000000" w:sz="4" w:space="0"/>
              <w:left w:val="none" w:color="000000" w:sz="4" w:space="0"/>
              <w:bottom w:val="single" w:color="auto" w:sz="4" w:space="0"/>
              <w:right w:val="single" w:color="auto" w:sz="4" w:space="0"/>
            </w:tcBorders>
            <w:tcW w:w="601"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p>
        </w:tc>
      </w:tr>
      <w:tr>
        <w:trPr>
          <w:trHeight w:val="636"/>
        </w:trPr>
        <w:tc>
          <w:tcPr>
            <w:tcBorders>
              <w:top w:val="none" w:color="000000" w:sz="4" w:space="0"/>
              <w:left w:val="single" w:color="auto" w:sz="4" w:space="0"/>
              <w:bottom w:val="single" w:color="auto" w:sz="4" w:space="0"/>
              <w:right w:val="single" w:color="auto" w:sz="4" w:space="0"/>
            </w:tcBorders>
            <w:tcW w:w="616"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w:t>
            </w:r>
            <w:r/>
          </w:p>
        </w:tc>
        <w:tc>
          <w:tcPr>
            <w:tcBorders>
              <w:top w:val="none" w:color="000000" w:sz="4" w:space="0"/>
              <w:left w:val="none" w:color="000000" w:sz="4" w:space="0"/>
              <w:bottom w:val="single" w:color="auto" w:sz="4" w:space="0"/>
              <w:right w:val="single" w:color="auto" w:sz="4" w:space="0"/>
            </w:tcBorders>
            <w:tcW w:w="1071"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4K分布式输出接点</w:t>
            </w:r>
            <w:r/>
          </w:p>
        </w:tc>
        <w:tc>
          <w:tcPr>
            <w:tcBorders>
              <w:top w:val="none" w:color="000000" w:sz="4" w:space="0"/>
              <w:left w:val="none" w:color="000000" w:sz="4" w:space="0"/>
              <w:bottom w:val="single" w:color="auto" w:sz="4" w:space="0"/>
              <w:right w:val="single" w:color="auto" w:sz="4" w:space="0"/>
            </w:tcBorders>
            <w:tcW w:w="6220"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参数详见采购清单-四-2</w:t>
            </w:r>
            <w:r/>
          </w:p>
        </w:tc>
        <w:tc>
          <w:tcPr>
            <w:tcBorders>
              <w:top w:val="none" w:color="000000" w:sz="4" w:space="0"/>
              <w:left w:val="none" w:color="000000" w:sz="4" w:space="0"/>
              <w:bottom w:val="single" w:color="auto" w:sz="4" w:space="0"/>
              <w:right w:val="single" w:color="auto" w:sz="4" w:space="0"/>
            </w:tcBorders>
            <w:tcW w:w="601"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r>
      <w:tr>
        <w:trPr>
          <w:trHeight w:val="419"/>
        </w:trPr>
        <w:tc>
          <w:tcPr>
            <w:tcBorders>
              <w:top w:val="none" w:color="000000" w:sz="4" w:space="0"/>
              <w:left w:val="single" w:color="auto" w:sz="4" w:space="0"/>
              <w:bottom w:val="single" w:color="auto" w:sz="4" w:space="0"/>
              <w:right w:val="single" w:color="auto" w:sz="4" w:space="0"/>
            </w:tcBorders>
            <w:tcW w:w="616"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w:t>
            </w:r>
            <w:r/>
          </w:p>
        </w:tc>
        <w:tc>
          <w:tcPr>
            <w:tcBorders>
              <w:top w:val="none" w:color="000000" w:sz="4" w:space="0"/>
              <w:left w:val="none" w:color="000000" w:sz="4" w:space="0"/>
              <w:bottom w:val="single" w:color="auto" w:sz="4" w:space="0"/>
              <w:right w:val="single" w:color="auto" w:sz="4" w:space="0"/>
            </w:tcBorders>
            <w:tcW w:w="1071"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智能中控主机</w:t>
            </w:r>
            <w:r/>
          </w:p>
        </w:tc>
        <w:tc>
          <w:tcPr>
            <w:tcBorders>
              <w:top w:val="none" w:color="000000" w:sz="4" w:space="0"/>
              <w:left w:val="none" w:color="000000" w:sz="4" w:space="0"/>
              <w:bottom w:val="single" w:color="auto" w:sz="4" w:space="0"/>
              <w:right w:val="single" w:color="auto" w:sz="4" w:space="0"/>
            </w:tcBorders>
            <w:tcW w:w="6220"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参数详见采购清单-四-3</w:t>
            </w:r>
            <w:r/>
          </w:p>
        </w:tc>
        <w:tc>
          <w:tcPr>
            <w:tcBorders>
              <w:top w:val="none" w:color="000000" w:sz="4" w:space="0"/>
              <w:left w:val="none" w:color="000000" w:sz="4" w:space="0"/>
              <w:bottom w:val="single" w:color="auto" w:sz="4" w:space="0"/>
              <w:right w:val="single" w:color="auto" w:sz="4" w:space="0"/>
            </w:tcBorders>
            <w:tcW w:w="601"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trHeight w:val="583"/>
        </w:trPr>
        <w:tc>
          <w:tcPr>
            <w:tcBorders>
              <w:top w:val="none" w:color="000000" w:sz="4" w:space="0"/>
              <w:left w:val="single" w:color="auto" w:sz="4" w:space="0"/>
              <w:bottom w:val="single" w:color="auto" w:sz="4" w:space="0"/>
              <w:right w:val="single" w:color="auto" w:sz="4" w:space="0"/>
            </w:tcBorders>
            <w:tcW w:w="616"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w:t>
            </w:r>
            <w:r/>
          </w:p>
        </w:tc>
        <w:tc>
          <w:tcPr>
            <w:tcBorders>
              <w:top w:val="none" w:color="000000" w:sz="4" w:space="0"/>
              <w:left w:val="none" w:color="000000" w:sz="4" w:space="0"/>
              <w:bottom w:val="single" w:color="auto" w:sz="4" w:space="0"/>
              <w:right w:val="single" w:color="auto" w:sz="4" w:space="0"/>
            </w:tcBorders>
            <w:tcW w:w="1071"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平板电脑中控界面控制软件</w:t>
            </w:r>
            <w:r/>
          </w:p>
        </w:tc>
        <w:tc>
          <w:tcPr>
            <w:tcBorders>
              <w:top w:val="none" w:color="000000" w:sz="4" w:space="0"/>
              <w:left w:val="none" w:color="000000" w:sz="4" w:space="0"/>
              <w:bottom w:val="single" w:color="auto" w:sz="4" w:space="0"/>
              <w:right w:val="single" w:color="auto" w:sz="4" w:space="0"/>
            </w:tcBorders>
            <w:tcW w:w="6220"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参数详见采购清单-四-4</w:t>
            </w:r>
            <w:r/>
          </w:p>
        </w:tc>
        <w:tc>
          <w:tcPr>
            <w:tcBorders>
              <w:top w:val="none" w:color="000000" w:sz="4" w:space="0"/>
              <w:left w:val="none" w:color="000000" w:sz="4" w:space="0"/>
              <w:bottom w:val="single" w:color="auto" w:sz="4" w:space="0"/>
              <w:right w:val="single" w:color="auto" w:sz="4" w:space="0"/>
            </w:tcBorders>
            <w:tcW w:w="601"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套</w:t>
            </w:r>
            <w:r/>
          </w:p>
        </w:tc>
        <w:tc>
          <w:tcPr>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trHeight w:val="838"/>
        </w:trPr>
        <w:tc>
          <w:tcPr>
            <w:tcBorders>
              <w:top w:val="none" w:color="000000" w:sz="4" w:space="0"/>
              <w:left w:val="single" w:color="auto" w:sz="4" w:space="0"/>
              <w:bottom w:val="single" w:color="auto" w:sz="4" w:space="0"/>
              <w:right w:val="single" w:color="auto" w:sz="4" w:space="0"/>
            </w:tcBorders>
            <w:tcW w:w="616"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w:t>
            </w:r>
            <w:r/>
          </w:p>
        </w:tc>
        <w:tc>
          <w:tcPr>
            <w:tcBorders>
              <w:top w:val="none" w:color="000000" w:sz="4" w:space="0"/>
              <w:left w:val="none" w:color="000000" w:sz="4" w:space="0"/>
              <w:bottom w:val="single" w:color="auto" w:sz="4" w:space="0"/>
              <w:right w:val="single" w:color="auto" w:sz="4" w:space="0"/>
            </w:tcBorders>
            <w:tcW w:w="1071"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综合可视化运维管理平台</w:t>
            </w:r>
            <w:r/>
          </w:p>
        </w:tc>
        <w:tc>
          <w:tcPr>
            <w:tcBorders>
              <w:top w:val="none" w:color="000000" w:sz="4" w:space="0"/>
              <w:left w:val="none" w:color="000000" w:sz="4" w:space="0"/>
              <w:bottom w:val="single" w:color="auto" w:sz="4" w:space="0"/>
              <w:right w:val="single" w:color="auto" w:sz="4" w:space="0"/>
            </w:tcBorders>
            <w:tcW w:w="6220"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参数详见采购清单-四-5</w:t>
            </w:r>
            <w:r/>
          </w:p>
        </w:tc>
        <w:tc>
          <w:tcPr>
            <w:tcBorders>
              <w:top w:val="none" w:color="000000" w:sz="4" w:space="0"/>
              <w:left w:val="none" w:color="000000" w:sz="4" w:space="0"/>
              <w:bottom w:val="single" w:color="auto" w:sz="4" w:space="0"/>
              <w:right w:val="single" w:color="auto" w:sz="4" w:space="0"/>
            </w:tcBorders>
            <w:tcW w:w="601"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套</w:t>
            </w:r>
            <w:r/>
          </w:p>
        </w:tc>
        <w:tc>
          <w:tcPr>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trHeight w:val="672"/>
        </w:trPr>
        <w:tc>
          <w:tcPr>
            <w:tcBorders>
              <w:top w:val="none" w:color="000000" w:sz="4" w:space="0"/>
              <w:left w:val="single" w:color="auto" w:sz="4" w:space="0"/>
              <w:bottom w:val="single" w:color="auto" w:sz="4" w:space="0"/>
              <w:right w:val="single" w:color="auto" w:sz="4" w:space="0"/>
            </w:tcBorders>
            <w:tcW w:w="616"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w:t>
            </w:r>
            <w:r/>
          </w:p>
        </w:tc>
        <w:tc>
          <w:tcPr>
            <w:tcBorders>
              <w:top w:val="none" w:color="000000" w:sz="4" w:space="0"/>
              <w:left w:val="none" w:color="000000" w:sz="4" w:space="0"/>
              <w:bottom w:val="single" w:color="auto" w:sz="4" w:space="0"/>
              <w:right w:val="single" w:color="auto" w:sz="4" w:space="0"/>
            </w:tcBorders>
            <w:tcW w:w="1071"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有线控制面板</w:t>
            </w:r>
            <w:r/>
          </w:p>
        </w:tc>
        <w:tc>
          <w:tcPr>
            <w:tcBorders>
              <w:top w:val="none" w:color="000000" w:sz="4" w:space="0"/>
              <w:left w:val="none" w:color="000000" w:sz="4" w:space="0"/>
              <w:bottom w:val="single" w:color="auto" w:sz="4" w:space="0"/>
              <w:right w:val="single" w:color="auto" w:sz="4" w:space="0"/>
            </w:tcBorders>
            <w:tcW w:w="6220"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参数详见采购清单-七-3</w:t>
            </w:r>
            <w:r/>
          </w:p>
        </w:tc>
        <w:tc>
          <w:tcPr>
            <w:tcBorders>
              <w:top w:val="none" w:color="000000" w:sz="4" w:space="0"/>
              <w:left w:val="none" w:color="000000" w:sz="4" w:space="0"/>
              <w:bottom w:val="single" w:color="auto" w:sz="4" w:space="0"/>
              <w:right w:val="single" w:color="auto" w:sz="4" w:space="0"/>
            </w:tcBorders>
            <w:tcW w:w="601"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trHeight w:val="290"/>
        </w:trPr>
        <w:tc>
          <w:tcPr>
            <w:tcBorders>
              <w:top w:val="none" w:color="000000" w:sz="4" w:space="0"/>
              <w:left w:val="single" w:color="auto" w:sz="4" w:space="0"/>
              <w:bottom w:val="single" w:color="auto" w:sz="4" w:space="0"/>
              <w:right w:val="single" w:color="auto" w:sz="4" w:space="0"/>
            </w:tcBorders>
            <w:tcW w:w="616"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w:t>
            </w:r>
            <w:r/>
          </w:p>
        </w:tc>
        <w:tc>
          <w:tcPr>
            <w:tcBorders>
              <w:top w:val="none" w:color="000000" w:sz="4" w:space="0"/>
              <w:left w:val="none" w:color="000000" w:sz="4" w:space="0"/>
              <w:bottom w:val="single" w:color="auto" w:sz="4" w:space="0"/>
              <w:right w:val="single" w:color="auto" w:sz="4" w:space="0"/>
            </w:tcBorders>
            <w:tcW w:w="1071"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智能通讯模组</w:t>
            </w:r>
            <w:r/>
          </w:p>
        </w:tc>
        <w:tc>
          <w:tcPr>
            <w:tcBorders>
              <w:top w:val="none" w:color="000000" w:sz="4" w:space="0"/>
              <w:left w:val="none" w:color="000000" w:sz="4" w:space="0"/>
              <w:bottom w:val="single" w:color="auto" w:sz="4" w:space="0"/>
              <w:right w:val="single" w:color="auto" w:sz="4" w:space="0"/>
            </w:tcBorders>
            <w:tcW w:w="6220"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参数详见采购清单-七-4</w:t>
            </w:r>
            <w:r/>
          </w:p>
        </w:tc>
        <w:tc>
          <w:tcPr>
            <w:tcBorders>
              <w:top w:val="none" w:color="000000" w:sz="4" w:space="0"/>
              <w:left w:val="none" w:color="000000" w:sz="4" w:space="0"/>
              <w:bottom w:val="single" w:color="auto" w:sz="4" w:space="0"/>
              <w:right w:val="single" w:color="auto" w:sz="4" w:space="0"/>
            </w:tcBorders>
            <w:tcW w:w="601"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套</w:t>
            </w:r>
            <w:r/>
          </w:p>
        </w:tc>
        <w:tc>
          <w:tcPr>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trHeight w:val="290"/>
        </w:trPr>
        <w:tc>
          <w:tcPr>
            <w:tcBorders>
              <w:top w:val="none" w:color="000000" w:sz="4" w:space="0"/>
              <w:left w:val="single" w:color="auto" w:sz="4" w:space="0"/>
              <w:bottom w:val="single" w:color="auto" w:sz="4" w:space="0"/>
              <w:right w:val="single" w:color="auto" w:sz="4" w:space="0"/>
            </w:tcBorders>
            <w:tcW w:w="616"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w:t>
            </w:r>
            <w:r/>
          </w:p>
        </w:tc>
        <w:tc>
          <w:tcPr>
            <w:tcBorders>
              <w:top w:val="none" w:color="000000" w:sz="4" w:space="0"/>
              <w:left w:val="none" w:color="000000" w:sz="4" w:space="0"/>
              <w:bottom w:val="single" w:color="auto" w:sz="4" w:space="0"/>
              <w:right w:val="single" w:color="auto" w:sz="4" w:space="0"/>
            </w:tcBorders>
            <w:tcW w:w="1071"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机柜</w:t>
            </w:r>
            <w:r/>
          </w:p>
        </w:tc>
        <w:tc>
          <w:tcPr>
            <w:tcBorders>
              <w:top w:val="none" w:color="000000" w:sz="4" w:space="0"/>
              <w:left w:val="none" w:color="000000" w:sz="4" w:space="0"/>
              <w:bottom w:val="single" w:color="auto" w:sz="4" w:space="0"/>
              <w:right w:val="single" w:color="auto" w:sz="4" w:space="0"/>
            </w:tcBorders>
            <w:tcW w:w="6220"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42U</w:t>
            </w:r>
            <w:r/>
          </w:p>
        </w:tc>
        <w:tc>
          <w:tcPr>
            <w:tcBorders>
              <w:top w:val="none" w:color="000000" w:sz="4" w:space="0"/>
              <w:left w:val="none" w:color="000000" w:sz="4" w:space="0"/>
              <w:bottom w:val="single" w:color="auto" w:sz="4" w:space="0"/>
              <w:right w:val="single" w:color="auto" w:sz="4" w:space="0"/>
            </w:tcBorders>
            <w:tcW w:w="601"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trHeight w:val="520"/>
        </w:trPr>
        <w:tc>
          <w:tcPr>
            <w:tcBorders>
              <w:top w:val="none" w:color="000000" w:sz="4" w:space="0"/>
              <w:left w:val="single" w:color="auto" w:sz="4" w:space="0"/>
              <w:bottom w:val="single" w:color="auto" w:sz="4" w:space="0"/>
              <w:right w:val="single" w:color="auto" w:sz="4" w:space="0"/>
            </w:tcBorders>
            <w:tcW w:w="616"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w:t>
            </w:r>
            <w:r/>
          </w:p>
        </w:tc>
        <w:tc>
          <w:tcPr>
            <w:tcBorders>
              <w:top w:val="none" w:color="000000" w:sz="4" w:space="0"/>
              <w:left w:val="none" w:color="000000" w:sz="4" w:space="0"/>
              <w:bottom w:val="single" w:color="auto" w:sz="4" w:space="0"/>
              <w:right w:val="single" w:color="auto" w:sz="4" w:space="0"/>
            </w:tcBorders>
            <w:tcW w:w="1071"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音视频线缆及接插件</w:t>
            </w:r>
            <w:r/>
          </w:p>
        </w:tc>
        <w:tc>
          <w:tcPr>
            <w:tcBorders>
              <w:top w:val="none" w:color="000000" w:sz="4" w:space="0"/>
              <w:left w:val="none" w:color="000000" w:sz="4" w:space="0"/>
              <w:bottom w:val="single" w:color="auto" w:sz="4" w:space="0"/>
              <w:right w:val="single" w:color="auto" w:sz="4" w:space="0"/>
            </w:tcBorders>
            <w:tcW w:w="6220"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视频线、音频线、接插件</w:t>
            </w:r>
            <w:r/>
          </w:p>
        </w:tc>
        <w:tc>
          <w:tcPr>
            <w:tcBorders>
              <w:top w:val="none" w:color="000000" w:sz="4" w:space="0"/>
              <w:left w:val="none" w:color="000000" w:sz="4" w:space="0"/>
              <w:bottom w:val="single" w:color="auto" w:sz="4" w:space="0"/>
              <w:right w:val="single" w:color="auto" w:sz="4" w:space="0"/>
            </w:tcBorders>
            <w:tcW w:w="601"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批</w:t>
            </w:r>
            <w:r/>
          </w:p>
        </w:tc>
        <w:tc>
          <w:tcPr>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trHeight w:val="290"/>
        </w:trPr>
        <w:tc>
          <w:tcPr>
            <w:tcBorders>
              <w:top w:val="none" w:color="000000" w:sz="4" w:space="0"/>
              <w:left w:val="single" w:color="auto" w:sz="4" w:space="0"/>
              <w:bottom w:val="single" w:color="auto" w:sz="4" w:space="0"/>
              <w:right w:val="single" w:color="auto" w:sz="4" w:space="0"/>
            </w:tcBorders>
            <w:tcW w:w="616"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w:t>
            </w:r>
            <w:r/>
          </w:p>
        </w:tc>
        <w:tc>
          <w:tcPr>
            <w:tcBorders>
              <w:top w:val="none" w:color="000000" w:sz="4" w:space="0"/>
              <w:left w:val="none" w:color="000000" w:sz="4" w:space="0"/>
              <w:bottom w:val="single" w:color="auto" w:sz="4" w:space="0"/>
              <w:right w:val="single" w:color="auto" w:sz="4" w:space="0"/>
            </w:tcBorders>
            <w:tcW w:w="1071"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多功能桌插</w:t>
            </w:r>
            <w:r/>
          </w:p>
        </w:tc>
        <w:tc>
          <w:tcPr>
            <w:tcBorders>
              <w:top w:val="none" w:color="000000" w:sz="4" w:space="0"/>
              <w:left w:val="none" w:color="000000" w:sz="4" w:space="0"/>
              <w:bottom w:val="single" w:color="auto" w:sz="4" w:space="0"/>
              <w:right w:val="single" w:color="auto" w:sz="4" w:space="0"/>
            </w:tcBorders>
            <w:tcW w:w="6220"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包含HDMI、网络、电源</w:t>
            </w:r>
            <w:r/>
          </w:p>
        </w:tc>
        <w:tc>
          <w:tcPr>
            <w:tcBorders>
              <w:top w:val="none" w:color="000000" w:sz="4" w:space="0"/>
              <w:left w:val="none" w:color="000000" w:sz="4" w:space="0"/>
              <w:bottom w:val="single" w:color="auto" w:sz="4" w:space="0"/>
              <w:right w:val="single" w:color="auto" w:sz="4" w:space="0"/>
            </w:tcBorders>
            <w:tcW w:w="601"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个</w:t>
            </w:r>
            <w:r/>
          </w:p>
        </w:tc>
        <w:tc>
          <w:tcPr>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r>
    </w:tbl>
    <w:p>
      <w:pPr>
        <w:ind w:firstLine="480"/>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bookmarkStart w:id="24" w:name="_Toc14069"/>
      <w:r/>
      <w:bookmarkStart w:id="25" w:name="_Toc16734"/>
      <w:r/>
      <w:bookmarkStart w:id="26" w:name="_Toc20951"/>
      <w:r/>
      <w:bookmarkStart w:id="27" w:name="_Toc10435"/>
      <w:r>
        <w:rPr>
          <w:rFonts w:hint="eastAsia" w:ascii="宋体" w:hAnsi="宋体" w:eastAsia="宋体" w:cs="宋体"/>
          <w:sz w:val="24"/>
          <w:szCs w:val="24"/>
          <w:highlight w:val="none"/>
        </w:rPr>
        <w:t xml:space="preserve">注：所有证明文件在中标后提供原件备查</w:t>
      </w:r>
      <w:bookmarkEnd w:id="17"/>
      <w:r/>
      <w:bookmarkEnd w:id="18"/>
      <w:r/>
      <w:bookmarkEnd w:id="19"/>
      <w:r/>
      <w:bookmarkEnd w:id="20"/>
      <w:r/>
      <w:bookmarkEnd w:id="21"/>
      <w:r/>
      <w:bookmarkEnd w:id="22"/>
      <w:r/>
      <w:bookmarkEnd w:id="23"/>
      <w:r/>
      <w:bookmarkEnd w:id="24"/>
      <w:r/>
      <w:bookmarkEnd w:id="25"/>
      <w:r/>
      <w:bookmarkEnd w:id="26"/>
      <w:r/>
      <w:bookmarkEnd w:id="27"/>
      <w:r/>
      <w:bookmarkStart w:id="28" w:name="_Toc15768"/>
      <w:r/>
      <w:r/>
    </w:p>
    <w:p>
      <w:pPr>
        <w:ind w:firstLine="482"/>
        <w:jc w:val="left"/>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五</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项目实施要求</w:t>
      </w:r>
      <w:r/>
    </w:p>
    <w:p>
      <w:pPr>
        <w:ind w:firstLine="480"/>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rPr>
        <w:t xml:space="preserve">项目地点</w:t>
      </w:r>
      <w:r/>
    </w:p>
    <w:p>
      <w:pPr>
        <w:ind w:firstLine="560"/>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江苏省扬州市中级人民法院新址。</w:t>
      </w:r>
      <w:r/>
    </w:p>
    <w:p>
      <w:pPr>
        <w:ind w:firstLine="480"/>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项目进度计划要求</w:t>
      </w:r>
      <w:r/>
    </w:p>
    <w:p>
      <w:pPr>
        <w:ind w:firstLine="480"/>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合同履行时间：</w:t>
      </w:r>
      <w:bookmarkStart w:id="29" w:name="OLE_LINK1"/>
      <w:r>
        <w:rPr>
          <w:rFonts w:hint="eastAsia" w:ascii="宋体" w:hAnsi="宋体" w:eastAsia="宋体" w:cs="宋体"/>
          <w:sz w:val="24"/>
          <w:szCs w:val="24"/>
          <w:highlight w:val="none"/>
        </w:rPr>
        <w:t xml:space="preserve">自中标签订合同之日起，</w:t>
      </w:r>
      <w:r>
        <w:rPr>
          <w:rFonts w:hint="eastAsia" w:ascii="宋体" w:hAnsi="宋体" w:eastAsia="宋体" w:cs="宋体"/>
          <w:sz w:val="24"/>
          <w:szCs w:val="24"/>
          <w:highlight w:val="none"/>
          <w:lang w:val="en-US" w:eastAsia="zh-CN"/>
        </w:rPr>
        <w:t xml:space="preserve">15</w:t>
      </w:r>
      <w:r>
        <w:rPr>
          <w:rFonts w:hint="eastAsia" w:ascii="宋体" w:hAnsi="宋体" w:eastAsia="宋体" w:cs="宋体"/>
          <w:sz w:val="24"/>
          <w:szCs w:val="24"/>
          <w:highlight w:val="none"/>
        </w:rPr>
        <w:t xml:space="preserve">天内设备全部到货或部署，</w:t>
      </w:r>
      <w:r>
        <w:rPr>
          <w:rFonts w:hint="eastAsia" w:ascii="宋体" w:hAnsi="宋体" w:eastAsia="宋体" w:cs="宋体"/>
          <w:sz w:val="24"/>
          <w:szCs w:val="24"/>
          <w:highlight w:val="none"/>
          <w:lang w:val="en-US" w:eastAsia="zh-CN"/>
        </w:rPr>
        <w:t xml:space="preserve">25</w:t>
      </w:r>
      <w:r>
        <w:rPr>
          <w:rFonts w:hint="eastAsia" w:ascii="宋体" w:hAnsi="宋体" w:eastAsia="宋体" w:cs="宋体"/>
          <w:sz w:val="24"/>
          <w:szCs w:val="24"/>
          <w:highlight w:val="none"/>
        </w:rPr>
        <w:t xml:space="preserve">天内完工，连续不间断正常运行三个月后组织验收。</w:t>
      </w:r>
      <w:bookmarkEnd w:id="29"/>
      <w:r/>
      <w:r/>
    </w:p>
    <w:p>
      <w:pPr>
        <w:ind w:firstLine="482"/>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投标人需按照合同履行时间提供进度计划，明确设备采购、到货验收、部署调试、测试上线、人员培训、交付验收等各环节的时间节点、责任分工及里程碑目标，确保所有设备及系统按时完成部署并投入使用。</w:t>
      </w:r>
      <w:r/>
    </w:p>
    <w:p>
      <w:pPr>
        <w:ind w:firstLine="482"/>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方案需预留合理的缓冲周期，针对设备到货延迟、调试异常等突发情况，制定可落地的应急预案，保障项目进度不受影响。</w:t>
      </w:r>
      <w:r/>
    </w:p>
    <w:p>
      <w:pPr>
        <w:ind w:firstLine="482"/>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建立完善的项目沟通机制，项目经理每周向采购人提交项目进展报告，同步问题整改情况；重要节点（如设备到货）需提前3个工作日书面告知采购人，组织联合检查确认。</w:t>
      </w:r>
      <w:r/>
    </w:p>
    <w:p>
      <w:pPr>
        <w:ind w:firstLine="480"/>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技术</w:t>
      </w:r>
      <w:r>
        <w:rPr>
          <w:rFonts w:hint="eastAsia" w:ascii="宋体" w:hAnsi="宋体" w:cs="宋体"/>
          <w:sz w:val="24"/>
          <w:szCs w:val="24"/>
          <w:highlight w:val="none"/>
          <w:lang w:val="en-US" w:eastAsia="zh-CN"/>
        </w:rPr>
        <w:t xml:space="preserve">及安装</w:t>
      </w:r>
      <w:r>
        <w:rPr>
          <w:rFonts w:hint="eastAsia" w:ascii="宋体" w:hAnsi="宋体" w:eastAsia="宋体" w:cs="宋体"/>
          <w:sz w:val="24"/>
          <w:szCs w:val="24"/>
          <w:highlight w:val="none"/>
        </w:rPr>
        <w:t xml:space="preserve">要求</w:t>
      </w:r>
      <w:r/>
    </w:p>
    <w:p>
      <w:pPr>
        <w:ind w:firstLine="480"/>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舞台机械系统整体要求</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舞台机械系统为模块化、智能化电动控制系统，包含台上机械设备、台下机械设备及配套控制、保护装置，整体运行平稳、低噪音、定位精准、启停柔和，可实现单点手动、编组联动、预设程序运行，适配各类舞台布景切换、场景造型、舞台升降变换需求，全程具备多重安全保护机制。</w:t>
      </w:r>
      <w:r/>
    </w:p>
    <w:p>
      <w:pPr>
        <w:ind w:firstLine="480"/>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机械控制与安全要求</w:t>
      </w:r>
      <w:r/>
    </w:p>
    <w:p>
      <w:pPr>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1）控制系统采用PLC智能集中控制，配备触摸屏操作面板，支持手动单点控制、编组联动、预设场景程序调用、一键复位，操作界面简洁直观，支持参数存储、一键调取历史演出程序。</w:t>
      </w:r>
      <w:r/>
    </w:p>
    <w:p>
      <w:pPr>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2）所有运动设备均设置双重限位、极限保护、过载断电、紧急停止功能，紧急情况下可一键切断所有机械动力，瞬间停机，杜绝设备碰撞、坠落、过载损坏风险。</w:t>
      </w:r>
      <w:r/>
    </w:p>
    <w:p>
      <w:pPr>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3）机械结构采用高强度钢材，焊接、防腐工艺达标，所有传动部件耐磨、防锈、免频繁维护，整机使用寿命长，长期运行无变形、无松动。</w:t>
      </w:r>
      <w:r/>
    </w:p>
    <w:p>
      <w:pPr>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4）设备运行噪音低，演出过程中无机械异响，不干扰演出音效，满足专业演出声学环境要求。</w:t>
      </w:r>
      <w:r/>
    </w:p>
    <w:p>
      <w:pPr>
        <w:ind w:firstLine="480"/>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舞台灯光系统整体要求</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舞台灯光系统遵循WH/T 40—2011行业标准，采用数字化、智能化、模块化设计，系统稳定、显色精准、调光平滑、无频闪，可满足面光、侧光、顶光、逆光、效果光等全方位灯光布光需求，适配会议、晚会、舞台剧、综艺、汇报演出等多场景光影效果，支持程序化灯光编排、一键场景切换、实时动态调控。</w:t>
      </w:r>
      <w:r/>
    </w:p>
    <w:p>
      <w:pPr>
        <w:ind w:firstLine="480"/>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灯光控制系统技术要求</w:t>
      </w:r>
      <w:r/>
    </w:p>
    <w:p>
      <w:pPr>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 灯光控制台符合WH/T 86—2019标准，中型及以上场馆配置专业计算机灯光控制台，配备轨迹球精准控制灯具，支持灯库自定义配接、预排编程、实时演出操控、场景存储与一键调用。具备多通道同步控制、编组控制、渐变延时、特效叠加功能，可存储上千组演出程序，支持离线编辑、在线调试。</w:t>
      </w:r>
      <w:r/>
    </w:p>
    <w:p>
      <w:pPr>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2）信号系统采用国际标准DMX512信号，兼容RDM双向反馈功能，支持Art-Net网络传输，信号传输稳定、抗干扰能力强，无灯光跳色、失控、死机现象。</w:t>
      </w:r>
      <w:r/>
    </w:p>
    <w:p>
      <w:pPr>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3）配套设备配置专业灯光配电柜、电源直通箱、DMX信号放大器，实现回路隔离、信号放大、过载保护，每路回路独立可控，短路、过载自动断电保护，保障系统稳定运行。</w:t>
      </w:r>
      <w:r/>
    </w:p>
    <w:p>
      <w:pPr>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4）调光系统实现0～100%无阶梯线性调光，调光柔和、无频闪、无抖动，暗场无杂光，亮场无过曝，适配高清拍摄、直播录制需求。</w:t>
      </w:r>
      <w:r/>
    </w:p>
    <w:p>
      <w:pPr>
        <w:ind w:firstLine="480"/>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系统软硬件集成要求</w:t>
      </w:r>
      <w:r/>
    </w:p>
    <w:p>
      <w:pPr>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1）系统整体为一体化集成，舞台机械系统、舞台灯光系统相对独立，同时预留联动接口，可配合音视频系统协同工作，整套系统稳定可靠，满足会议、文艺演出模式切换。</w:t>
      </w:r>
      <w:r/>
    </w:p>
    <w:p>
      <w:pPr>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2）通信与接口集成：舞台机械控制系统、舞台灯光控制系统、跨系统联动接口（机械与灯光）。</w:t>
      </w:r>
      <w:r/>
    </w:p>
    <w:p>
      <w:pPr>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3）硬件集成与吊挂结构集成</w:t>
      </w:r>
      <w:r/>
    </w:p>
    <w:p>
      <w:pPr>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4）配电、接地与电磁兼容集成</w:t>
      </w:r>
      <w:r/>
    </w:p>
    <w:p>
      <w:pPr>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5）软件集成</w:t>
      </w:r>
      <w:r/>
    </w:p>
    <w:p>
      <w:pPr>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舞台机械软件：吊杆位置预设、场景记忆，速度可调，行程限位软件二次校验；故障弹窗报警，显示故障位置类型。 </w:t>
      </w:r>
      <w:r/>
    </w:p>
    <w:p>
      <w:pPr>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灯光控制软件：场景保存、分组、效果编辑、RDM 设备管理，支持控台与电脑离线编辑，在线调用。 </w:t>
      </w:r>
      <w:r/>
    </w:p>
    <w:p>
      <w:pPr>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集成联动软件：统一场景库，一套场景可同时包含机械动作 + 灯光效果，一键调用整套演出场景；支持时间线时序编辑，设置延时触发。</w:t>
      </w:r>
      <w:r/>
    </w:p>
    <w:p>
      <w:pPr>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6）安全集成硬性要求</w:t>
      </w:r>
      <w:r/>
    </w:p>
    <w:p>
      <w:pPr>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急停系统、舞台机械安全系数、防火、线缆阻燃等要求</w:t>
      </w:r>
      <w:r/>
    </w:p>
    <w:p>
      <w:pPr>
        <w:ind w:firstLine="480"/>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调试验收要求</w:t>
      </w:r>
      <w:r/>
    </w:p>
    <w:p>
      <w:pPr>
        <w:ind w:firstLine="480"/>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rPr>
        <w:t xml:space="preserve">调试要求</w:t>
      </w:r>
      <w:r/>
    </w:p>
    <w:p>
      <w:pPr>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施工完成后进行全系统调试，包含机械设备空载、满载试运行，测试升降、旋转、移动精度与稳定性，校验各类安全保护功能有效性；灯光系统调试色温、显色、调光效果、特效运行、信号传输稳定性，优化布光效果、编程程序，确保所有功能正常、效果达标。</w:t>
      </w:r>
      <w:r/>
    </w:p>
    <w:p>
      <w:pPr>
        <w:ind w:firstLine="480"/>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验收标准</w:t>
      </w:r>
      <w:r/>
    </w:p>
    <w:p>
      <w:pPr>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舞台机械：设备运行平稳、定位精准、无异响，所有安全保护功能有效，联动、程控功能正常，载荷、速度、精度符合设计及规范要求。</w:t>
      </w:r>
      <w:r/>
    </w:p>
    <w:p>
      <w:pPr>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舞台灯光：光影效果均匀饱满、无频闪跳色，调光平滑、特效流畅，控制系统操控灵敏、程序存储调用正常，信号传输稳定无干扰。</w:t>
      </w:r>
      <w:r/>
    </w:p>
    <w:p>
      <w:pPr>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电气与安全：布线规范、接地达标、防护齐全，无安全隐患，所有设备资料、合格证、检测报告齐全。</w:t>
      </w:r>
      <w:r/>
    </w:p>
    <w:p>
      <w:pPr>
        <w:ind w:firstLine="480"/>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项目供货服务要求</w:t>
      </w:r>
      <w:r/>
    </w:p>
    <w:p>
      <w:pPr>
        <w:ind w:firstLine="480"/>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投标人一旦中标必须提交正式的质量计划，明确质量控制点、控制内容、质量要求、检查记录要求，并经采购人审核、批准。</w:t>
      </w:r>
      <w:r/>
    </w:p>
    <w:p>
      <w:pPr>
        <w:ind w:firstLine="480"/>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中标人完成所有软硬件设备采购到货后，7个工作日内申请设备现场报验，设备现场报验需要采购人与监理单位共同鉴证，货到现场初验需要采购人与监理单位共同书面签字确认。</w:t>
      </w:r>
      <w:r/>
    </w:p>
    <w:p>
      <w:pPr>
        <w:ind w:firstLine="480"/>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在项目建设过程中，采购人可以采用发送工作联络单方式与中标人衔接工作，中标人不得拒绝接收工作联络单。中标人在项目实施过程中提交的文档一律采用书面形式（同时提交相应的电子文档），提交的技术文档必须附上本单位的质量审核记录采购人可对项目进行优化调整，优化的内容包括项目内采购的所有软硬件系统，中标人必须予以配合，确保不影响项目建设的进度和质量。任何项目变更指令必须以书面形式作出，任何变更指令均须采购人确认。</w:t>
      </w:r>
      <w:r/>
    </w:p>
    <w:p>
      <w:pPr>
        <w:ind w:firstLine="480"/>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中标人须根据采购人需求完成项目中采购的相关产品的部署调试。中标人必须接受采购人的质量监督检查，提供真实有效的相关质量活动记录、证据，无条件接受采购人提出的质量问题整改要求，承担质量责任及因质量问题导致的进度延迟责任。中标人在项目实施完成后须进行自测，通过自测后提请监理组织验证测试，经审核通过后，项目方可进入试运行阶段。试运行为期三个月，三个月内新采购的设备及运管平台未发生重大运行故障的，同时试运行期间中标人完成相关产品的测评考核工作的，视为具备验收条件。</w:t>
      </w:r>
      <w:r/>
    </w:p>
    <w:p>
      <w:pPr>
        <w:ind w:firstLine="480"/>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针对验收过程中发现的问题，中标人应在3个工作日内提交整改方案，明确整改措施、责任人及时限；整改完成后2个工作日内申请复验，直至验收合格；整改期间产生的人工、材料、设备等所有费用由中标人承担，若因整改不及时导致项目延期，需按合同约定承担违约责任；承诺验收合格前，所有设备及系统的安全、运维责任由中标人承担。</w:t>
      </w:r>
      <w:r/>
    </w:p>
    <w:p>
      <w:pPr>
        <w:ind w:firstLine="480"/>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人员培训要求</w:t>
      </w:r>
      <w:r/>
    </w:p>
    <w:p>
      <w:pPr>
        <w:ind w:firstLine="480"/>
        <w:rPr>
          <w:rFonts w:hint="eastAsia" w:ascii="宋体" w:hAnsi="宋体" w:eastAsia="宋体" w:cs="宋体"/>
          <w:sz w:val="24"/>
          <w:szCs w:val="24"/>
          <w:highlight w:val="yellow"/>
        </w:rPr>
      </w:pPr>
      <w:r>
        <w:rPr>
          <w:rFonts w:hint="eastAsia" w:ascii="宋体" w:hAnsi="宋体" w:cs="宋体"/>
          <w:sz w:val="24"/>
          <w:szCs w:val="24"/>
          <w:highlight w:val="none"/>
          <w:lang w:val="en-US" w:eastAsia="zh-CN"/>
        </w:rPr>
        <w:t xml:space="preserve">投标人</w:t>
      </w:r>
      <w:r>
        <w:rPr>
          <w:rFonts w:hint="eastAsia" w:ascii="宋体" w:hAnsi="宋体" w:eastAsia="宋体" w:cs="宋体"/>
          <w:sz w:val="24"/>
          <w:szCs w:val="24"/>
          <w:highlight w:val="none"/>
        </w:rPr>
        <w:t xml:space="preserve">制定详细的培训计划，包括培训时间、地点、内容等。培训对象应涵盖</w:t>
      </w:r>
      <w:r>
        <w:rPr>
          <w:rFonts w:hint="eastAsia" w:ascii="宋体" w:hAnsi="宋体" w:cs="宋体"/>
          <w:sz w:val="24"/>
          <w:szCs w:val="24"/>
          <w:highlight w:val="none"/>
          <w:lang w:val="en-US" w:eastAsia="zh-CN"/>
        </w:rPr>
        <w:t xml:space="preserve">采购单位信息技术人员</w:t>
      </w:r>
      <w:r>
        <w:rPr>
          <w:rFonts w:hint="eastAsia" w:ascii="宋体" w:hAnsi="宋体" w:eastAsia="宋体" w:cs="宋体"/>
          <w:sz w:val="24"/>
          <w:szCs w:val="24"/>
          <w:highlight w:val="none"/>
        </w:rPr>
        <w:t xml:space="preserve">，培训人员应具备丰富的实践经验和教学经验，能够提供针对性的指导和帮助。同时，应提供必要的培训资料和文档，确保培训效果。中标人须对采购人进行项目软硬件系统的技术培训，培训相关费用由中标人承担。技术培训中，中标人须提供硬件设备管理维护的现场技术培训，包括相关设备使用、基础运维等；提供相关使用维护的现场技术培训，包括相关系统的操作培训课程，使采购人的相关技术人员能掌握关系设备的使用、维护和管理，达到能独立进行管理、故障处理、日常测试维护等工作的目的，以保障系统能够正常、安全地运行。</w:t>
      </w:r>
      <w:r/>
    </w:p>
    <w:p>
      <w:pPr>
        <w:ind w:firstLine="482"/>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六、人员要求</w:t>
      </w:r>
      <w:r/>
    </w:p>
    <w:p>
      <w:pPr>
        <w:ind w:firstLine="480"/>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项目</w:t>
      </w:r>
      <w:r>
        <w:rPr>
          <w:rFonts w:hint="eastAsia" w:ascii="宋体" w:hAnsi="宋体" w:cs="宋体"/>
          <w:sz w:val="24"/>
          <w:szCs w:val="24"/>
          <w:highlight w:val="none"/>
          <w:lang w:val="en-US" w:eastAsia="zh-CN"/>
        </w:rPr>
        <w:t xml:space="preserve">负责人</w:t>
      </w:r>
      <w:r>
        <w:rPr>
          <w:rFonts w:hint="eastAsia" w:ascii="宋体" w:hAnsi="宋体" w:eastAsia="宋体" w:cs="宋体"/>
          <w:sz w:val="24"/>
          <w:szCs w:val="24"/>
          <w:highlight w:val="none"/>
        </w:rPr>
        <w:t xml:space="preserve">：投标人拟派的项目负责人具有ITSS服务项目经理、信息系统项目管理师。</w:t>
      </w:r>
      <w:r/>
    </w:p>
    <w:p>
      <w:pPr>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团队人员：系统集成项目管理工程师、网络工程师、ITSS服务工程师，注册信息安全专业人员（CISP）。</w:t>
      </w:r>
      <w:r/>
    </w:p>
    <w:p>
      <w:pPr>
        <w:ind w:firstLine="482"/>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七、</w:t>
      </w:r>
      <w:r>
        <w:rPr>
          <w:rFonts w:hint="eastAsia" w:ascii="宋体" w:hAnsi="宋体" w:eastAsia="宋体" w:cs="宋体"/>
          <w:b/>
          <w:bCs/>
          <w:sz w:val="24"/>
          <w:szCs w:val="24"/>
          <w:highlight w:val="none"/>
        </w:rPr>
        <w:t xml:space="preserve">售后服务要求</w:t>
      </w:r>
      <w:bookmarkEnd w:id="28"/>
      <w:r/>
      <w:r/>
    </w:p>
    <w:p>
      <w:pPr>
        <w:ind w:firstLine="480"/>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中标人负责本项目中所有设备及系统的安装调试、系统对接等工作，确保实现采购文件技术要求。</w:t>
      </w:r>
      <w:r/>
    </w:p>
    <w:p>
      <w:pPr>
        <w:ind w:firstLine="480"/>
        <w:rPr>
          <w:rFonts w:hint="eastAsia" w:ascii="宋体" w:hAnsi="宋体" w:eastAsia="宋体" w:cs="宋体"/>
          <w:i/>
          <w:iCs/>
          <w:sz w:val="24"/>
          <w:szCs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sz w:val="24"/>
          <w:szCs w:val="24"/>
          <w:highlight w:val="none"/>
          <w:u w:val="single"/>
        </w:rPr>
        <w:t xml:space="preserve">合规及保密：投标人须无条件接受本院《信息化运维管理服务办法》所设各项义务的必备条款，并在缔约时签署《信息化合作企业网络安全、保密、廉洁承诺书》。</w:t>
      </w:r>
      <w:r/>
    </w:p>
    <w:p>
      <w:pPr>
        <w:ind w:firstLine="480"/>
        <w:rPr>
          <w:rFonts w:hint="eastAsia" w:ascii="宋体" w:hAnsi="宋体" w:eastAsia="宋体" w:cs="宋体"/>
          <w:i/>
          <w:iCs/>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sz w:val="24"/>
          <w:szCs w:val="24"/>
          <w:highlight w:val="none"/>
          <w:u w:val="single"/>
        </w:rPr>
        <w:t xml:space="preserve">售后服务：针对本项目建设内容，若发生紧急故障，</w:t>
      </w:r>
      <w:r>
        <w:rPr>
          <w:rFonts w:hint="eastAsia" w:ascii="宋体" w:hAnsi="宋体" w:cs="宋体"/>
          <w:i/>
          <w:iCs/>
          <w:sz w:val="24"/>
          <w:szCs w:val="24"/>
          <w:highlight w:val="none"/>
          <w:u w:val="single"/>
          <w:lang w:val="en-US" w:eastAsia="zh-CN"/>
        </w:rPr>
        <w:t xml:space="preserve">中</w:t>
      </w:r>
      <w:r>
        <w:rPr>
          <w:rFonts w:hint="eastAsia" w:ascii="宋体" w:hAnsi="宋体" w:eastAsia="宋体" w:cs="宋体"/>
          <w:i/>
          <w:iCs/>
          <w:sz w:val="24"/>
          <w:szCs w:val="24"/>
          <w:highlight w:val="none"/>
          <w:u w:val="single"/>
        </w:rPr>
        <w:t xml:space="preserve">标人须在接到通知后半小时内抵达现场开展维护保障工作；若出现一般故障或需维修事项，</w:t>
      </w:r>
      <w:r>
        <w:rPr>
          <w:rFonts w:hint="eastAsia" w:ascii="宋体" w:hAnsi="宋体" w:cs="宋体"/>
          <w:i/>
          <w:iCs/>
          <w:sz w:val="24"/>
          <w:szCs w:val="24"/>
          <w:highlight w:val="none"/>
          <w:u w:val="single"/>
          <w:lang w:val="en-US" w:eastAsia="zh-CN"/>
        </w:rPr>
        <w:t xml:space="preserve">中</w:t>
      </w:r>
      <w:r>
        <w:rPr>
          <w:rFonts w:hint="eastAsia" w:ascii="宋体" w:hAnsi="宋体" w:eastAsia="宋体" w:cs="宋体"/>
          <w:i/>
          <w:iCs/>
          <w:sz w:val="24"/>
          <w:szCs w:val="24"/>
          <w:highlight w:val="none"/>
          <w:u w:val="single"/>
        </w:rPr>
        <w:t xml:space="preserve">标人须于2小时内到达现场，并在24小时内完成故障处理及问题解决。</w:t>
      </w:r>
      <w:r/>
    </w:p>
    <w:p>
      <w:pPr>
        <w:ind w:firstLine="480"/>
        <w:rPr>
          <w:rFonts w:hint="eastAsia" w:ascii="宋体" w:hAnsi="宋体" w:eastAsia="宋体" w:cs="宋体"/>
          <w:i/>
          <w:iCs/>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sz w:val="24"/>
          <w:szCs w:val="24"/>
          <w:highlight w:val="none"/>
          <w:u w:val="single"/>
        </w:rPr>
        <w:t xml:space="preserve">原厂质保：</w:t>
      </w:r>
      <w:r>
        <w:rPr>
          <w:rFonts w:hint="eastAsia" w:ascii="宋体" w:hAnsi="宋体" w:cs="宋体"/>
          <w:i/>
          <w:iCs/>
          <w:sz w:val="24"/>
          <w:szCs w:val="24"/>
          <w:highlight w:val="none"/>
          <w:u w:val="single"/>
          <w:lang w:val="en-US" w:eastAsia="zh-CN"/>
        </w:rPr>
        <w:t xml:space="preserve">中</w:t>
      </w:r>
      <w:r>
        <w:rPr>
          <w:rFonts w:hint="eastAsia" w:ascii="宋体" w:hAnsi="宋体" w:eastAsia="宋体" w:cs="宋体"/>
          <w:i/>
          <w:iCs/>
          <w:sz w:val="24"/>
          <w:szCs w:val="24"/>
          <w:highlight w:val="none"/>
          <w:u w:val="single"/>
        </w:rPr>
        <w:t xml:space="preserve">标人须确保本次采购的全部产品安全稳定运行，提供不低于6年的原厂免费质保服务，质保范围涵盖原厂部件更换、软件升级、系统优化等全部相关服务。3年内出现问题的产品只换不修，并免费提供现场安装和操作培训。</w:t>
      </w:r>
      <w:r/>
    </w:p>
    <w:p>
      <w:pPr>
        <w:ind w:firstLine="480"/>
        <w:rPr>
          <w:rFonts w:hint="eastAsia" w:ascii="宋体" w:hAnsi="宋体" w:eastAsia="宋体" w:cs="宋体"/>
          <w:i/>
          <w:iCs/>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sz w:val="24"/>
          <w:szCs w:val="24"/>
          <w:highlight w:val="none"/>
          <w:u w:val="single"/>
        </w:rPr>
        <w:t xml:space="preserve">安全责任：因设备故障、协助保障不力等原因引发安全事故，造成不良后果的，</w:t>
      </w:r>
      <w:r>
        <w:rPr>
          <w:rFonts w:hint="eastAsia" w:ascii="宋体" w:hAnsi="宋体" w:cs="宋体"/>
          <w:i/>
          <w:iCs/>
          <w:sz w:val="24"/>
          <w:szCs w:val="24"/>
          <w:highlight w:val="none"/>
          <w:u w:val="single"/>
          <w:lang w:val="en-US" w:eastAsia="zh-CN"/>
        </w:rPr>
        <w:t xml:space="preserve">中</w:t>
      </w:r>
      <w:r>
        <w:rPr>
          <w:rFonts w:hint="eastAsia" w:ascii="宋体" w:hAnsi="宋体" w:eastAsia="宋体" w:cs="宋体"/>
          <w:i/>
          <w:iCs/>
          <w:sz w:val="24"/>
          <w:szCs w:val="24"/>
          <w:highlight w:val="none"/>
          <w:u w:val="single"/>
        </w:rPr>
        <w:t xml:space="preserve">标人须依法依规承担全部相关责任</w:t>
      </w:r>
      <w:r>
        <w:rPr>
          <w:rFonts w:hint="eastAsia" w:ascii="宋体" w:hAnsi="宋体" w:cs="宋体"/>
          <w:i/>
          <w:iCs/>
          <w:sz w:val="24"/>
          <w:szCs w:val="24"/>
          <w:highlight w:val="none"/>
          <w:u w:val="single"/>
          <w:lang w:eastAsia="zh-CN"/>
        </w:rPr>
        <w:t xml:space="preserve">。</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hint="eastAsia" w:ascii="宋体" w:hAnsi="宋体" w:cs="宋体"/>
          <w:i/>
          <w:iCs/>
          <w:color w:val="000000"/>
          <w:sz w:val="24"/>
          <w:szCs w:val="24"/>
          <w:highlight w:val="none"/>
          <w:u w:val="single"/>
          <w:lang w:val="en-US" w:eastAsia="zh-CN" w:bidi="ar-SA"/>
        </w:rPr>
        <w:t xml:space="preserve">安装</w:t>
      </w:r>
      <w:r>
        <w:rPr>
          <w:rFonts w:hint="eastAsia" w:ascii="宋体" w:hAnsi="宋体" w:eastAsia="宋体" w:cs="宋体"/>
          <w:i/>
          <w:iCs/>
          <w:color w:val="000000"/>
          <w:sz w:val="24"/>
          <w:szCs w:val="24"/>
          <w:highlight w:val="none"/>
          <w:u w:val="single"/>
          <w:lang w:val="en-US" w:eastAsia="zh-CN" w:bidi="ar-SA"/>
        </w:rPr>
        <w:t xml:space="preserve">要求：</w:t>
      </w:r>
      <w:r>
        <w:rPr>
          <w:rFonts w:hint="eastAsia" w:ascii="宋体" w:hAnsi="宋体" w:cs="宋体"/>
          <w:i/>
          <w:iCs/>
          <w:color w:val="000000"/>
          <w:sz w:val="24"/>
          <w:szCs w:val="24"/>
          <w:highlight w:val="none"/>
          <w:u w:val="single"/>
          <w:lang w:val="en-US" w:eastAsia="zh-CN" w:bidi="ar-SA"/>
        </w:rPr>
        <w:t xml:space="preserve">中</w:t>
      </w:r>
      <w:r>
        <w:rPr>
          <w:rFonts w:hint="eastAsia" w:ascii="宋体" w:hAnsi="宋体" w:eastAsia="宋体" w:cs="宋体"/>
          <w:i/>
          <w:iCs/>
          <w:color w:val="000000"/>
          <w:sz w:val="24"/>
          <w:szCs w:val="24"/>
          <w:highlight w:val="none"/>
          <w:u w:val="single"/>
          <w:lang w:val="en-US" w:eastAsia="zh-CN" w:bidi="ar-SA"/>
        </w:rPr>
        <w:t xml:space="preserve">标人须综合考量本项目管线预埋调整、桥架敷设、设备安装全过程中，可能造成的地面、墙面、吊顶、天花及原有装修结构的损毁、破损、移位、开裂等各类问题，承担</w:t>
      </w:r>
      <w:r>
        <w:rPr>
          <w:rFonts w:hint="eastAsia" w:ascii="宋体" w:hAnsi="宋体" w:cs="宋体"/>
          <w:i/>
          <w:iCs/>
          <w:color w:val="000000"/>
          <w:sz w:val="24"/>
          <w:szCs w:val="24"/>
          <w:highlight w:val="none"/>
          <w:u w:val="single"/>
          <w:lang w:val="en-US" w:eastAsia="zh-CN" w:bidi="ar-SA"/>
        </w:rPr>
        <w:t xml:space="preserve">安装</w:t>
      </w:r>
      <w:r>
        <w:rPr>
          <w:rFonts w:hint="eastAsia" w:ascii="宋体" w:hAnsi="宋体" w:eastAsia="宋体" w:cs="宋体"/>
          <w:i/>
          <w:iCs/>
          <w:color w:val="000000"/>
          <w:sz w:val="24"/>
          <w:szCs w:val="24"/>
          <w:highlight w:val="none"/>
          <w:u w:val="single"/>
          <w:lang w:val="en-US" w:eastAsia="zh-CN" w:bidi="ar-SA"/>
        </w:rPr>
        <w:t xml:space="preserve">过程中产生的所有装修损毁修复、复原相关全部费用。</w:t>
      </w:r>
      <w:r>
        <w:rPr>
          <w:rFonts w:ascii="宋体" w:hAnsi="宋体" w:eastAsia="宋体" w:cs="宋体"/>
          <w:b/>
          <w:color w:val="ff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Style w:val="990"/>
          <w:rFonts w:ascii="黑体" w:hAnsi="黑体" w:eastAsia="黑体" w:cs="黑体"/>
        </w:rPr>
        <w:t xml:space="preserve">第五章评标方法与评标标准</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采用综合评分法的，评标结果按评审后得分由高到低顺序排列。得分相同的，按投标报价由低到高顺序排列。得分且投标报价相同的并列。</w:t>
      </w:r>
      <w:r/>
    </w:p>
    <w:tbl>
      <w:tblPr>
        <w:tblStyle w:val="752"/>
        <w:tblW w:w="7955"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2"/>
        <w:gridCol w:w="1417"/>
        <w:gridCol w:w="538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2"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17"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选取中标候选人数量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386"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选取中标候选人的原则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2"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86"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满足招标文件全部实质性要求，且按照评审因素的量化指标评审得分最高的投标人为中标候选人。</w:t>
            </w:r>
            <w:r/>
          </w:p>
        </w:tc>
      </w:tr>
    </w:tbl>
    <w:p>
      <w:pPr>
        <w:ind w:left="0" w:right="0" w:firstLine="439"/>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39"/>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政府采购政策功能落实</w:t>
      </w:r>
      <w:r/>
    </w:p>
    <w:p>
      <w:pPr>
        <w:ind w:left="0" w:right="0" w:firstLine="439"/>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本项目专门面向中小企业：是/否</w:t>
      </w:r>
      <w:r/>
    </w:p>
    <w:tbl>
      <w:tblPr>
        <w:tblStyle w:val="752"/>
        <w:tblW w:w="7861"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28"/>
        <w:gridCol w:w="573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8"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733"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专门面向中小企业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8"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否</w:t>
            </w:r>
            <w:r/>
          </w:p>
        </w:tc>
      </w:tr>
    </w:tbl>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1、小微型企业价格扣除</w:t>
      </w:r>
      <w:r/>
    </w:p>
    <w:p>
      <w:pPr>
        <w:ind w:left="0" w:right="0" w:firstLine="36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（1）本项目对小型和微型企业产品给予</w:t>
      </w:r>
      <w:r>
        <w:rPr>
          <w:rFonts w:hint="eastAsia" w:ascii="宋体" w:hAnsi="宋体" w:cs="宋体"/>
          <w:color w:val="000000" w:themeColor="text1"/>
          <w:sz w:val="24"/>
          <w:highlight w:val="none"/>
          <w:u w:val="single"/>
          <w:lang w:val="en-US" w:eastAsia="zh-CN"/>
          <w14:textFill>
            <w14:solidFill>
              <w14:schemeClr w14:val="tx1"/>
            </w14:solidFill>
          </w14:textFill>
        </w:rPr>
        <w:t xml:space="preserve">1</w:t>
      </w:r>
      <w:r>
        <w:rPr>
          <w:rFonts w:ascii="宋体" w:hAnsi="宋体" w:eastAsia="宋体" w:cs="宋体"/>
          <w:color w:val="000000" w:themeColor="text1"/>
          <w:sz w:val="24"/>
          <w:highlight w:val="none"/>
          <w:u w:val="single"/>
          <w14:textFill>
            <w14:solidFill>
              <w14:schemeClr w14:val="tx1"/>
            </w14:solidFill>
          </w14:textFill>
        </w:rPr>
        <w:t xml:space="preserve">0%</w:t>
      </w:r>
      <w:r>
        <w:rPr>
          <w:rFonts w:ascii="宋体" w:hAnsi="宋体" w:eastAsia="宋体" w:cs="宋体"/>
          <w:color w:val="000000"/>
          <w:sz w:val="24"/>
        </w:rPr>
        <w:t xml:space="preserve">的扣除价格，用扣除后的价格参与评审。</w:t>
      </w:r>
      <w:r/>
    </w:p>
    <w:p>
      <w:pPr>
        <w:ind w:left="0" w:right="0" w:firstLine="36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（2）供应商需按照采购文件的要求提供相应的《中小企业声明函》。</w:t>
      </w:r>
      <w:r/>
    </w:p>
    <w:p>
      <w:pPr>
        <w:ind w:left="0" w:right="0" w:firstLine="36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（3）企业标准请参照《关于印发中小企业划型标准规定的通知》（工信部联企业[2011]300号）文件规定自行填写。</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2、残疾人福利单位价格扣除</w:t>
      </w:r>
      <w:r/>
    </w:p>
    <w:p>
      <w:pPr>
        <w:ind w:left="119" w:right="0" w:firstLine="36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（1）本项目对残疾人福利性单位视同小型、微型企业，给予</w:t>
      </w:r>
      <w:r>
        <w:rPr>
          <w:rFonts w:hint="eastAsia" w:ascii="宋体" w:hAnsi="宋体" w:cs="宋体"/>
          <w:color w:val="000000"/>
          <w:sz w:val="24"/>
          <w:highlight w:val="none"/>
          <w:u w:val="single"/>
          <w:lang w:val="en-US" w:eastAsia="zh-CN"/>
        </w:rPr>
        <w:t xml:space="preserve">1</w:t>
      </w:r>
      <w:r>
        <w:rPr>
          <w:rFonts w:ascii="宋体" w:hAnsi="宋体" w:eastAsia="宋体" w:cs="宋体"/>
          <w:color w:val="000000"/>
          <w:sz w:val="24"/>
          <w:highlight w:val="none"/>
          <w:u w:val="single"/>
        </w:rPr>
        <w:t xml:space="preserve">0%</w:t>
      </w:r>
      <w:r>
        <w:rPr>
          <w:rFonts w:ascii="宋体" w:hAnsi="宋体" w:eastAsia="宋体" w:cs="宋体"/>
          <w:color w:val="000000"/>
          <w:sz w:val="24"/>
        </w:rPr>
        <w:t xml:space="preserve">的价格扣除，用扣除后的价格参与评审。</w:t>
      </w:r>
      <w:r/>
    </w:p>
    <w:p>
      <w:pPr>
        <w:ind w:left="119" w:right="0" w:firstLine="36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（2）残疾人福利单位需按照采购文件的要求提供《残疾人福利性单位声明函》。</w:t>
      </w:r>
      <w:r/>
    </w:p>
    <w:p>
      <w:pPr>
        <w:ind w:left="119" w:right="0" w:firstLine="36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（3）残疾人福利单位标准请参照《关于促进残疾人就业政府采购政策的通知》（财库〔2017〕141号）。</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3、监狱和戒毒企业价格扣除</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（1）本项目对监狱和戒毒企业（简称监狱企业）视同小型、微型企业，给予</w:t>
      </w:r>
      <w:r>
        <w:rPr>
          <w:rFonts w:hint="eastAsia" w:ascii="宋体" w:hAnsi="宋体" w:cs="宋体"/>
          <w:color w:val="000000"/>
          <w:sz w:val="24"/>
          <w:highlight w:val="none"/>
          <w:u w:val="single"/>
          <w:lang w:val="en-US" w:eastAsia="zh-CN"/>
        </w:rPr>
        <w:t xml:space="preserve">1</w:t>
      </w:r>
      <w:r>
        <w:rPr>
          <w:rFonts w:ascii="宋体" w:hAnsi="宋体" w:eastAsia="宋体" w:cs="宋体"/>
          <w:color w:val="000000"/>
          <w:sz w:val="24"/>
          <w:highlight w:val="none"/>
          <w:u w:val="single"/>
        </w:rPr>
        <w:t xml:space="preserve">0%</w:t>
      </w:r>
      <w:r>
        <w:rPr>
          <w:rFonts w:ascii="宋体" w:hAnsi="宋体" w:eastAsia="宋体" w:cs="宋体"/>
          <w:color w:val="000000"/>
          <w:sz w:val="24"/>
        </w:rPr>
        <w:t xml:space="preserve">的价格扣除，用扣除后的价格参与评审。</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（3）监狱企业标准请参照《关于政府采购支持监狱企业发展有关问题的通知》（财库〔2014〕68号）。</w:t>
      </w:r>
      <w:r/>
    </w:p>
    <w:p>
      <w:pPr>
        <w:ind w:left="0" w:right="0" w:firstLine="480"/>
        <w:jc w:val="both"/>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4、残疾人福利单位、监狱企业属于小型、微型企业的，不重复享受政策。</w:t>
      </w:r>
      <w:r/>
    </w:p>
    <w:p>
      <w:pPr>
        <w:ind w:left="0" w:right="0" w:firstLine="480"/>
        <w:jc w:val="both"/>
        <w:spacing w:before="120" w:after="12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w:t>
      </w:r>
      <w:r>
        <w:rPr>
          <w:rFonts w:ascii="宋体" w:hAnsi="宋体" w:eastAsia="宋体" w:cs="宋体"/>
          <w:color w:val="000000"/>
          <w:sz w:val="24"/>
          <w:highlight w:val="none"/>
        </w:rPr>
        <w:t xml:space="preserve">业</w:t>
      </w:r>
      <w:r>
        <w:rPr>
          <w:rFonts w:hint="eastAsia" w:ascii="宋体" w:hAnsi="宋体" w:cs="宋体"/>
          <w:color w:val="000000"/>
          <w:sz w:val="24"/>
          <w:highlight w:val="none"/>
          <w:u w:val="single"/>
          <w:lang w:val="en-US" w:eastAsia="zh-CN"/>
        </w:rPr>
        <w:t xml:space="preserve">4</w:t>
      </w:r>
      <w:r>
        <w:rPr>
          <w:rFonts w:ascii="宋体" w:hAnsi="宋体" w:eastAsia="宋体" w:cs="宋体"/>
          <w:color w:val="000000"/>
          <w:sz w:val="24"/>
          <w:highlight w:val="none"/>
          <w:u w:val="single"/>
        </w:rPr>
        <w:t xml:space="preserve">%</w:t>
      </w:r>
      <w:r>
        <w:rPr>
          <w:rFonts w:ascii="宋体" w:hAnsi="宋体" w:eastAsia="宋体" w:cs="宋体"/>
          <w:color w:val="000000"/>
          <w:sz w:val="24"/>
        </w:rPr>
        <w:t xml:space="preserve">的价格扣除，用扣除后的价格参与评审。</w:t>
      </w:r>
      <w:r/>
    </w:p>
    <w:p>
      <w:pPr>
        <w:ind w:left="0" w:right="0" w:firstLine="480"/>
        <w:jc w:val="both"/>
        <w:spacing w:before="120" w:after="120" w:line="400"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6、联合体各方均为小型、微型企业（残疾人福利单位、监狱企业）的，联合体享受</w:t>
      </w:r>
      <w:r>
        <w:rPr>
          <w:rFonts w:hint="eastAsia" w:ascii="宋体" w:hAnsi="宋体" w:cs="宋体"/>
          <w:color w:val="000000"/>
          <w:sz w:val="24"/>
          <w:highlight w:val="none"/>
          <w:u w:val="single"/>
          <w:lang w:val="en-US" w:eastAsia="zh-CN"/>
        </w:rPr>
        <w:t xml:space="preserve">1</w:t>
      </w:r>
      <w:r>
        <w:rPr>
          <w:rFonts w:ascii="宋体" w:hAnsi="宋体" w:eastAsia="宋体" w:cs="宋体"/>
          <w:color w:val="000000"/>
          <w:sz w:val="24"/>
          <w:highlight w:val="none"/>
          <w:u w:val="single"/>
        </w:rPr>
        <w:t xml:space="preserve">0%</w:t>
      </w:r>
      <w:r>
        <w:rPr>
          <w:rFonts w:ascii="宋体" w:hAnsi="宋体" w:eastAsia="宋体" w:cs="宋体"/>
          <w:color w:val="000000"/>
          <w:sz w:val="24"/>
        </w:rPr>
        <w:t xml:space="preserve">价格扣除，用扣除后的价格参与评审。</w:t>
      </w:r>
      <w:r/>
    </w:p>
    <w:p>
      <w:pPr>
        <w:ind w:left="0" w:right="0" w:firstLine="480"/>
        <w:jc w:val="both"/>
        <w:spacing w:before="120" w:after="12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7、采购本国产品的支持政策</w:t>
      </w:r>
      <w:r/>
    </w:p>
    <w:p>
      <w:pPr>
        <w:ind w:left="0" w:right="0" w:firstLine="480"/>
        <w:jc w:val="both"/>
        <w:spacing w:before="120" w:after="12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7.1 本项目政府采购活动中既有本国产品又有非本国产品参与竞争的，依法对本国产品给予价格评审优惠，对本国产品的报价给予20%的价格扣除，用扣除后的价格参与评审。</w:t>
      </w:r>
      <w:r/>
    </w:p>
    <w:p>
      <w:pPr>
        <w:ind w:left="0" w:right="0" w:firstLine="480"/>
        <w:jc w:val="both"/>
        <w:spacing w:before="120" w:after="12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480"/>
        <w:jc w:val="both"/>
        <w:spacing w:before="120" w:after="12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7.3 供应商需按照招标文件的要求提供《关于符合本国产品标准的声明函》（以下简称《声明函》），如不提供将不享受本国产品价格评审优惠。</w:t>
      </w:r>
      <w:r/>
    </w:p>
    <w:p>
      <w:pPr>
        <w:ind w:left="0" w:right="0" w:firstLine="480"/>
        <w:jc w:val="both"/>
        <w:spacing w:before="120" w:after="12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7.4 供应商需在《声明函》中逐一、准确填写产品名称、厂名、生产厂址三项信息</w:t>
      </w:r>
      <w:r>
        <w:rPr>
          <w:rFonts w:hint="eastAsia" w:ascii="宋体" w:hAnsi="宋体" w:eastAsia="宋体"/>
          <w:color w:val="000000" w:themeColor="text1"/>
          <w:sz w:val="24"/>
          <w:szCs w:val="24"/>
          <w:highlight w:val="none"/>
          <w14:textFill>
            <w14:solidFill>
              <w14:schemeClr w14:val="tx1"/>
            </w14:solidFill>
          </w14:textFill>
        </w:rPr>
        <w:t xml:space="preserve">（</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《声明函》中标注“  /  ”的地方无需填写</w:t>
      </w:r>
      <w:r>
        <w:rPr>
          <w:rFonts w:hint="eastAsia" w:ascii="宋体" w:hAnsi="宋体" w:eastAsia="宋体"/>
          <w:color w:val="000000" w:themeColor="text1"/>
          <w:sz w:val="24"/>
          <w:szCs w:val="24"/>
          <w:highlight w:val="none"/>
          <w14:textFill>
            <w14:solidFill>
              <w14:schemeClr w14:val="tx1"/>
            </w14:solidFill>
          </w14:textFill>
        </w:rPr>
        <w:t xml:space="preserve">）</w:t>
      </w:r>
      <w:r>
        <w:rPr>
          <w:rFonts w:ascii="宋体" w:hAnsi="宋体" w:eastAsia="宋体" w:cs="宋体"/>
          <w:color w:val="000000"/>
          <w:sz w:val="24"/>
          <w:szCs w:val="24"/>
        </w:rPr>
        <w:t xml:space="preserve">，三项信息中任意一项未填写的视为该项产品不符合本国产品标准，不享受本国产品价格评审优惠。</w:t>
      </w:r>
      <w:r/>
    </w:p>
    <w:p>
      <w:pPr>
        <w:ind w:left="0" w:right="0" w:firstLine="480"/>
        <w:jc w:val="both"/>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评标方法与评标标准</w:t>
      </w:r>
      <w:r/>
    </w:p>
    <w:tbl>
      <w:tblPr>
        <w:tblStyle w:val="721"/>
        <w:tblpPr w:horzAnchor="page" w:tblpX="1551" w:vertAnchor="text" w:tblpY="422" w:leftFromText="180" w:topFromText="0" w:rightFromText="180" w:bottomFromText="0"/>
        <w:tblW w:w="90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01"/>
        <w:gridCol w:w="7603"/>
      </w:tblGrid>
      <w:tr>
        <w:trPr/>
        <w:tc>
          <w:tcPr>
            <w:tcBorders>
              <w:top w:val="single" w:color="000000" w:sz="4" w:space="0"/>
              <w:left w:val="single" w:color="000000" w:sz="4" w:space="0"/>
              <w:bottom w:val="single" w:color="000000" w:sz="4" w:space="0"/>
              <w:right w:val="single" w:color="000000" w:sz="4" w:space="0"/>
            </w:tcBorders>
            <w:tcW w:w="1401"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评分项目</w:t>
            </w:r>
            <w:r/>
          </w:p>
        </w:tc>
        <w:tc>
          <w:tcPr>
            <w:tcBorders>
              <w:top w:val="single" w:color="000000" w:sz="4" w:space="0"/>
              <w:left w:val="single" w:color="000000" w:sz="4" w:space="0"/>
              <w:bottom w:val="single" w:color="000000" w:sz="4" w:space="0"/>
              <w:right w:val="single" w:color="000000" w:sz="4" w:space="0"/>
            </w:tcBorders>
            <w:tcW w:w="7603" w:type="dxa"/>
            <w:vAlign w:val="center"/>
            <w:textDirection w:val="lrTb"/>
            <w:noWrap w:val="false"/>
          </w:tcPr>
          <w:p>
            <w:pPr>
              <w:jc w:val="center"/>
              <w:spacing w:line="360" w:lineRule="auto"/>
              <w:widowControl/>
              <w:rPr>
                <w:rFonts w:hint="eastAsia" w:ascii="宋体" w:hAnsi="宋体" w:eastAsia="宋体" w:cs="宋体"/>
                <w:b/>
                <w:bCs/>
                <w:sz w:val="24"/>
                <w:szCs w:val="24"/>
                <w:highlight w:val="none"/>
              </w:rPr>
            </w:pPr>
            <w:r>
              <w:rPr>
                <w:rFonts w:hint="eastAsia" w:ascii="宋体" w:hAnsi="宋体" w:eastAsia="宋体" w:cs="宋体"/>
                <w:sz w:val="24"/>
                <w:szCs w:val="24"/>
                <w:highlight w:val="none"/>
                <w:lang w:bidi="ar"/>
              </w:rPr>
              <w:t xml:space="preserve">评  分  标  准   </w:t>
            </w:r>
            <w:r/>
          </w:p>
        </w:tc>
      </w:tr>
      <w:tr>
        <w:trPr>
          <w:trHeight w:val="984"/>
        </w:trPr>
        <w:tc>
          <w:tcPr>
            <w:tcBorders>
              <w:top w:val="single" w:color="000000" w:sz="4" w:space="0"/>
              <w:left w:val="single" w:color="000000" w:sz="4" w:space="0"/>
              <w:bottom w:val="single" w:color="000000" w:sz="4" w:space="0"/>
              <w:right w:val="single" w:color="000000" w:sz="4" w:space="0"/>
            </w:tcBorders>
            <w:tcW w:w="1401"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报价（30分）</w:t>
            </w:r>
            <w:r/>
          </w:p>
        </w:tc>
        <w:tc>
          <w:tcPr>
            <w:tcBorders>
              <w:top w:val="single" w:color="000000" w:sz="4" w:space="0"/>
              <w:left w:val="single" w:color="000000" w:sz="4" w:space="0"/>
              <w:bottom w:val="single" w:color="000000" w:sz="4" w:space="0"/>
              <w:right w:val="single" w:color="000000" w:sz="4" w:space="0"/>
            </w:tcBorders>
            <w:tcW w:w="7603" w:type="dxa"/>
            <w:vAlign w:val="center"/>
            <w:textDirection w:val="lrTb"/>
            <w:noWrap w:val="false"/>
          </w:tcPr>
          <w:p>
            <w:pPr>
              <w:jc w:val="left"/>
              <w:spacing w:after="200" w:line="273"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以满足招标文件要求的最低投标报价为评标基准价，得满分30分，其他投标报价得分=(评标基准价／其他投标报价)×30×100%。</w:t>
            </w:r>
            <w:r/>
          </w:p>
        </w:tc>
      </w:tr>
      <w:tr>
        <w:trPr/>
        <w:tc>
          <w:tcPr>
            <w:tcBorders>
              <w:top w:val="single" w:color="000000" w:sz="4" w:space="0"/>
              <w:left w:val="single" w:color="000000" w:sz="4" w:space="0"/>
              <w:bottom w:val="single" w:color="000000" w:sz="4" w:space="0"/>
              <w:right w:val="single" w:color="000000" w:sz="4" w:space="0"/>
            </w:tcBorders>
            <w:tcW w:w="1401"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技术参数响应（3</w:t>
            </w:r>
            <w:r>
              <w:rPr>
                <w:rFonts w:hint="eastAsia" w:ascii="宋体" w:hAnsi="宋体" w:cs="宋体"/>
                <w:sz w:val="24"/>
                <w:szCs w:val="24"/>
                <w:highlight w:val="none"/>
                <w:lang w:val="en-US" w:eastAsia="zh-CN" w:bidi="ar"/>
              </w:rPr>
              <w:t xml:space="preserve">6</w:t>
            </w:r>
            <w:r>
              <w:rPr>
                <w:rFonts w:hint="eastAsia" w:ascii="宋体" w:hAnsi="宋体" w:eastAsia="宋体" w:cs="宋体"/>
                <w:sz w:val="24"/>
                <w:szCs w:val="24"/>
                <w:highlight w:val="none"/>
                <w:lang w:bidi="ar"/>
              </w:rPr>
              <w:t xml:space="preserve">分）</w:t>
            </w:r>
            <w:r/>
          </w:p>
        </w:tc>
        <w:tc>
          <w:tcPr>
            <w:tcBorders>
              <w:top w:val="single" w:color="000000" w:sz="4" w:space="0"/>
              <w:left w:val="single" w:color="000000" w:sz="4" w:space="0"/>
              <w:bottom w:val="single" w:color="000000" w:sz="4" w:space="0"/>
              <w:right w:val="single" w:color="000000" w:sz="4" w:space="0"/>
            </w:tcBorders>
            <w:tcW w:w="7603" w:type="dxa"/>
            <w:vAlign w:val="center"/>
            <w:textDirection w:val="lrTb"/>
            <w:noWrap w:val="false"/>
          </w:tcPr>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根据投标文件中的技术偏离表对招标文件性能参数要求的响应状况综合打分。性能参数均满足得3</w:t>
            </w:r>
            <w:r>
              <w:rPr>
                <w:rFonts w:hint="eastAsia" w:ascii="宋体" w:hAnsi="宋体" w:cs="宋体"/>
                <w:sz w:val="24"/>
                <w:szCs w:val="24"/>
                <w:highlight w:val="none"/>
                <w:lang w:val="en-US" w:eastAsia="zh-CN" w:bidi="ar"/>
              </w:rPr>
              <w:t xml:space="preserve">6</w:t>
            </w:r>
            <w:r>
              <w:rPr>
                <w:rFonts w:hint="eastAsia" w:ascii="宋体" w:hAnsi="宋体" w:eastAsia="宋体" w:cs="宋体"/>
                <w:sz w:val="24"/>
                <w:szCs w:val="24"/>
                <w:highlight w:val="none"/>
                <w:lang w:bidi="ar"/>
              </w:rPr>
              <w:t xml:space="preserve">分，</w:t>
            </w:r>
            <w:r>
              <w:rPr>
                <w:rFonts w:hint="eastAsia" w:ascii="宋体" w:hAnsi="宋体" w:cs="宋体"/>
                <w:sz w:val="24"/>
                <w:szCs w:val="24"/>
                <w:highlight w:val="none"/>
                <w:lang w:val="en-US" w:eastAsia="zh-CN" w:bidi="ar"/>
              </w:rPr>
              <w:t xml:space="preserve">标</w:t>
            </w:r>
            <w:r>
              <w:rPr>
                <w:rFonts w:hint="eastAsia" w:ascii="宋体" w:hAnsi="宋体" w:eastAsia="宋体" w:cs="宋体"/>
                <w:sz w:val="24"/>
                <w:szCs w:val="24"/>
                <w:highlight w:val="none"/>
                <w:lang w:eastAsia="zh-CN" w:bidi="ar"/>
              </w:rPr>
              <w:t xml:space="preserve">★</w:t>
            </w:r>
            <w:r>
              <w:rPr>
                <w:rFonts w:hint="eastAsia" w:ascii="宋体" w:hAnsi="宋体" w:eastAsia="宋体" w:cs="宋体"/>
                <w:sz w:val="24"/>
                <w:szCs w:val="24"/>
                <w:highlight w:val="none"/>
                <w:lang w:bidi="ar"/>
              </w:rPr>
              <w:t xml:space="preserve">项为满足业务场景的重要技术要求，投标人在投标文件中进行逐项应答并</w:t>
            </w:r>
            <w:r>
              <w:rPr>
                <w:rFonts w:hint="eastAsia" w:ascii="宋体" w:hAnsi="宋体" w:cs="宋体"/>
                <w:sz w:val="24"/>
                <w:szCs w:val="24"/>
                <w:highlight w:val="none"/>
                <w:lang w:val="en-US" w:eastAsia="zh-CN" w:bidi="ar"/>
              </w:rPr>
              <w:t xml:space="preserve">按招标文件要求</w:t>
            </w:r>
            <w:r>
              <w:rPr>
                <w:rFonts w:hint="eastAsia" w:ascii="宋体" w:hAnsi="宋体" w:eastAsia="宋体" w:cs="宋体"/>
                <w:sz w:val="24"/>
                <w:szCs w:val="24"/>
                <w:highlight w:val="none"/>
                <w:lang w:bidi="ar"/>
              </w:rPr>
              <w:t xml:space="preserve">提供证明材料，每</w:t>
            </w:r>
            <w:r>
              <w:rPr>
                <w:rFonts w:hint="eastAsia" w:ascii="宋体" w:hAnsi="宋体" w:cs="宋体"/>
                <w:sz w:val="24"/>
                <w:szCs w:val="24"/>
                <w:highlight w:val="none"/>
                <w:lang w:val="en-US" w:eastAsia="zh-CN" w:bidi="ar"/>
              </w:rPr>
              <w:t xml:space="preserve">1</w:t>
            </w:r>
            <w:r>
              <w:rPr>
                <w:rFonts w:hint="eastAsia" w:ascii="宋体" w:hAnsi="宋体" w:eastAsia="宋体" w:cs="宋体"/>
                <w:sz w:val="24"/>
                <w:szCs w:val="24"/>
                <w:highlight w:val="none"/>
                <w:lang w:bidi="ar"/>
              </w:rPr>
              <w:t xml:space="preserve">项不满足扣1</w:t>
            </w:r>
            <w:r>
              <w:rPr>
                <w:rFonts w:hint="eastAsia" w:ascii="宋体" w:hAnsi="宋体" w:cs="宋体"/>
                <w:sz w:val="24"/>
                <w:szCs w:val="24"/>
                <w:highlight w:val="none"/>
                <w:lang w:val="en-US" w:eastAsia="zh-CN" w:bidi="ar"/>
              </w:rPr>
              <w:t xml:space="preserve">.2</w:t>
            </w:r>
            <w:r>
              <w:rPr>
                <w:rFonts w:hint="eastAsia" w:ascii="宋体" w:hAnsi="宋体" w:eastAsia="宋体" w:cs="宋体"/>
                <w:sz w:val="24"/>
                <w:szCs w:val="24"/>
                <w:highlight w:val="none"/>
                <w:lang w:bidi="ar"/>
              </w:rPr>
              <w:t xml:space="preserve">分。</w:t>
            </w:r>
            <w:r/>
          </w:p>
        </w:tc>
      </w:tr>
      <w:tr>
        <w:trPr/>
        <w:tc>
          <w:tcPr>
            <w:tcBorders>
              <w:top w:val="single" w:color="000000" w:sz="4" w:space="0"/>
              <w:left w:val="single" w:color="000000" w:sz="4" w:space="0"/>
              <w:bottom w:val="single" w:color="000000" w:sz="4" w:space="0"/>
              <w:right w:val="single" w:color="000000" w:sz="4" w:space="0"/>
            </w:tcBorders>
            <w:tcW w:w="1401"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项目建设方案（20分）</w:t>
            </w:r>
            <w:r/>
          </w:p>
        </w:tc>
        <w:tc>
          <w:tcPr>
            <w:tcBorders>
              <w:top w:val="single" w:color="000000" w:sz="4" w:space="0"/>
              <w:left w:val="single" w:color="000000" w:sz="4" w:space="0"/>
              <w:bottom w:val="single" w:color="000000" w:sz="4" w:space="0"/>
              <w:right w:val="single" w:color="000000" w:sz="4" w:space="0"/>
            </w:tcBorders>
            <w:tcW w:w="7603" w:type="dxa"/>
            <w:vAlign w:val="center"/>
            <w:textDirection w:val="lrTb"/>
            <w:noWrap w:val="false"/>
          </w:tcPr>
          <w:p>
            <w:pPr>
              <w:jc w:val="left"/>
              <w:spacing w:line="360" w:lineRule="auto"/>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1、根据投标人提供的进度计划</w:t>
            </w:r>
            <w:r>
              <w:rPr>
                <w:rFonts w:hint="eastAsia" w:ascii="宋体" w:hAnsi="宋体" w:eastAsia="宋体" w:cs="宋体"/>
                <w:sz w:val="24"/>
                <w:szCs w:val="24"/>
                <w:highlight w:val="none"/>
                <w:lang w:bidi="ar"/>
              </w:rPr>
              <w:t xml:space="preserve">方案</w:t>
            </w:r>
            <w:r>
              <w:rPr>
                <w:rFonts w:hint="eastAsia" w:ascii="宋体" w:hAnsi="宋体" w:eastAsia="宋体" w:cs="宋体"/>
                <w:sz w:val="24"/>
                <w:szCs w:val="24"/>
                <w:highlight w:val="none"/>
                <w:lang w:bidi="ar"/>
              </w:rPr>
              <w:t xml:space="preserve">进行评分。</w:t>
            </w:r>
            <w:r/>
          </w:p>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优于招标文件要求的得5分；</w:t>
            </w:r>
            <w:r/>
          </w:p>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符合招标文件要求的得3分；</w:t>
            </w:r>
            <w:r/>
          </w:p>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不符合招标文件要求或未提供的不得分。</w:t>
            </w:r>
            <w:r/>
          </w:p>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2、根据投标人提供</w:t>
            </w:r>
            <w:bookmarkStart w:id="30" w:name="OLE_LINK5"/>
            <w:r>
              <w:rPr>
                <w:rFonts w:hint="eastAsia" w:ascii="宋体" w:hAnsi="宋体" w:eastAsia="宋体" w:cs="宋体"/>
                <w:sz w:val="24"/>
                <w:szCs w:val="24"/>
                <w:highlight w:val="none"/>
                <w:lang w:bidi="ar"/>
              </w:rPr>
              <w:t xml:space="preserve">的技术及</w:t>
            </w:r>
            <w:r>
              <w:rPr>
                <w:rFonts w:hint="eastAsia" w:ascii="宋体" w:hAnsi="宋体" w:cs="宋体"/>
                <w:sz w:val="24"/>
                <w:szCs w:val="24"/>
                <w:highlight w:val="none"/>
                <w:lang w:val="en-US" w:eastAsia="zh-CN" w:bidi="ar"/>
              </w:rPr>
              <w:t xml:space="preserve">安装</w:t>
            </w:r>
            <w:r>
              <w:rPr>
                <w:rFonts w:hint="eastAsia" w:ascii="宋体" w:hAnsi="宋体" w:eastAsia="宋体" w:cs="宋体"/>
                <w:sz w:val="24"/>
                <w:szCs w:val="24"/>
                <w:highlight w:val="none"/>
                <w:lang w:bidi="ar"/>
              </w:rPr>
              <w:t xml:space="preserve">方案进行评分</w:t>
            </w:r>
            <w:bookmarkEnd w:id="30"/>
            <w:r>
              <w:rPr>
                <w:rFonts w:hint="eastAsia" w:ascii="宋体" w:hAnsi="宋体" w:eastAsia="宋体" w:cs="宋体"/>
                <w:sz w:val="24"/>
                <w:szCs w:val="24"/>
                <w:highlight w:val="none"/>
                <w:lang w:bidi="ar"/>
              </w:rPr>
              <w:t xml:space="preserve">。</w:t>
            </w:r>
            <w:r/>
          </w:p>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优于招标文件要求的得5分；</w:t>
            </w:r>
            <w:r/>
          </w:p>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符合招标文件要求的得3分；</w:t>
            </w:r>
            <w:r/>
          </w:p>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不符合招标文件要求或未提供的不得分。</w:t>
            </w:r>
            <w:r/>
          </w:p>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3、根据投标人提供的供货</w:t>
            </w:r>
            <w:r>
              <w:rPr>
                <w:rFonts w:hint="eastAsia" w:ascii="宋体" w:hAnsi="宋体" w:cs="宋体"/>
                <w:sz w:val="24"/>
                <w:szCs w:val="24"/>
                <w:highlight w:val="none"/>
                <w:lang w:val="en-US" w:eastAsia="zh-CN" w:bidi="ar"/>
              </w:rPr>
              <w:t xml:space="preserve">服务</w:t>
            </w:r>
            <w:r>
              <w:rPr>
                <w:rFonts w:hint="eastAsia" w:ascii="宋体" w:hAnsi="宋体" w:eastAsia="宋体" w:cs="宋体"/>
                <w:sz w:val="24"/>
                <w:szCs w:val="24"/>
                <w:highlight w:val="none"/>
                <w:lang w:bidi="ar"/>
              </w:rPr>
              <w:t xml:space="preserve">方案进行评分。</w:t>
            </w:r>
            <w:r/>
          </w:p>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优于招标文件要求的得5分；</w:t>
            </w:r>
            <w:r/>
          </w:p>
          <w:p>
            <w:pPr>
              <w:jc w:val="left"/>
              <w:spacing w:line="360" w:lineRule="auto"/>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符合招标文件要求的得3分；</w:t>
            </w:r>
            <w:r/>
          </w:p>
          <w:p>
            <w:pPr>
              <w:jc w:val="left"/>
              <w:spacing w:line="360" w:lineRule="auto"/>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不符合招标文件要求或未提供的不得分。</w:t>
            </w:r>
            <w:r/>
          </w:p>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4、根据投标人提供的培训方案进行评分。</w:t>
            </w:r>
            <w:r/>
          </w:p>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优于招标文件要求的得5分；</w:t>
            </w:r>
            <w:r/>
          </w:p>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符合招标文件要求的得3分；</w:t>
            </w:r>
            <w:r/>
          </w:p>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不符合招标文件要求或未提供的不得分。</w:t>
            </w:r>
            <w:r/>
          </w:p>
        </w:tc>
      </w:tr>
      <w:tr>
        <w:trPr/>
        <w:tc>
          <w:tcPr>
            <w:tcBorders>
              <w:top w:val="single" w:color="000000" w:sz="4" w:space="0"/>
              <w:left w:val="single" w:color="000000" w:sz="4" w:space="0"/>
              <w:bottom w:val="single" w:color="000000" w:sz="4" w:space="0"/>
              <w:right w:val="single" w:color="000000" w:sz="4" w:space="0"/>
            </w:tcBorders>
            <w:tcW w:w="1401" w:type="dxa"/>
            <w:vAlign w:val="center"/>
            <w:textDirection w:val="lrTb"/>
            <w:noWrap w:val="false"/>
          </w:tcPr>
          <w:p>
            <w:pPr>
              <w:jc w:val="center"/>
              <w:spacing w:line="360" w:lineRule="auto"/>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服务能力（1</w:t>
            </w:r>
            <w:r>
              <w:rPr>
                <w:rFonts w:hint="eastAsia" w:ascii="宋体" w:hAnsi="宋体" w:cs="宋体"/>
                <w:sz w:val="24"/>
                <w:szCs w:val="24"/>
                <w:highlight w:val="none"/>
                <w:lang w:val="en-US" w:eastAsia="zh-CN" w:bidi="ar"/>
              </w:rPr>
              <w:t xml:space="preserve">2</w:t>
            </w:r>
            <w:r>
              <w:rPr>
                <w:rFonts w:hint="eastAsia" w:ascii="宋体" w:hAnsi="宋体" w:eastAsia="宋体" w:cs="宋体"/>
                <w:sz w:val="24"/>
                <w:szCs w:val="24"/>
                <w:highlight w:val="none"/>
                <w:lang w:bidi="ar"/>
              </w:rPr>
              <w:t xml:space="preserve">分）</w:t>
            </w:r>
            <w:r/>
          </w:p>
        </w:tc>
        <w:tc>
          <w:tcPr>
            <w:tcBorders>
              <w:top w:val="single" w:color="000000" w:sz="4" w:space="0"/>
              <w:left w:val="single" w:color="000000" w:sz="4" w:space="0"/>
              <w:bottom w:val="single" w:color="000000" w:sz="4" w:space="0"/>
              <w:right w:val="single" w:color="000000" w:sz="4" w:space="0"/>
            </w:tcBorders>
            <w:tcW w:w="7603" w:type="dxa"/>
            <w:vAlign w:val="center"/>
            <w:textDirection w:val="lrTb"/>
            <w:noWrap w:val="false"/>
          </w:tcPr>
          <w:p>
            <w:pPr>
              <w:jc w:val="left"/>
              <w:spacing w:line="360" w:lineRule="auto"/>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一、企业资质（满分</w:t>
            </w:r>
            <w:r>
              <w:rPr>
                <w:rFonts w:hint="eastAsia" w:ascii="宋体" w:hAnsi="宋体" w:cs="宋体"/>
                <w:sz w:val="24"/>
                <w:szCs w:val="24"/>
                <w:highlight w:val="none"/>
                <w:lang w:val="en-US" w:eastAsia="zh-CN" w:bidi="ar"/>
              </w:rPr>
              <w:t xml:space="preserve">4</w:t>
            </w:r>
            <w:r>
              <w:rPr>
                <w:rFonts w:hint="eastAsia" w:ascii="宋体" w:hAnsi="宋体" w:eastAsia="宋体" w:cs="宋体"/>
                <w:sz w:val="24"/>
                <w:szCs w:val="24"/>
                <w:highlight w:val="none"/>
                <w:lang w:bidi="ar"/>
              </w:rPr>
              <w:t xml:space="preserve">分）</w:t>
            </w:r>
            <w:r/>
          </w:p>
          <w:p>
            <w:pPr>
              <w:jc w:val="left"/>
              <w:spacing w:line="360" w:lineRule="auto"/>
              <w:widowControl/>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rPr>
              <w:t xml:space="preserve">、投标人具有信息安全服务资质认证CCRC安全集成一级，得</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分；具有信息安全服务资质认证CCRC安全集成二级及以下，得</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rPr>
              <w:t xml:space="preserve">分；没有不得分。</w:t>
            </w:r>
            <w:r/>
          </w:p>
          <w:p>
            <w:pPr>
              <w:jc w:val="left"/>
              <w:spacing w:line="360" w:lineRule="auto"/>
              <w:widowControl/>
              <w:rPr>
                <w:rFonts w:hint="default"/>
                <w:highlight w:val="none"/>
                <w:lang w:val="en-US"/>
              </w:rPr>
            </w:pP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、投标人具有信息技术服务标准（ITSS）符合性证书（运行维护）</w:t>
            </w:r>
            <w:r>
              <w:rPr>
                <w:rFonts w:hint="eastAsia" w:ascii="宋体" w:hAnsi="宋体" w:cs="宋体"/>
                <w:sz w:val="24"/>
                <w:szCs w:val="24"/>
                <w:highlight w:val="none"/>
                <w:lang w:val="en-US" w:eastAsia="zh-CN"/>
              </w:rPr>
              <w:t xml:space="preserve">一级</w:t>
            </w:r>
            <w:r>
              <w:rPr>
                <w:rFonts w:hint="eastAsia" w:ascii="宋体" w:hAnsi="宋体" w:eastAsia="宋体" w:cs="宋体"/>
                <w:sz w:val="24"/>
                <w:szCs w:val="24"/>
                <w:highlight w:val="none"/>
                <w:lang w:val="en-US" w:eastAsia="zh-CN"/>
              </w:rPr>
              <w:t xml:space="preserve">得</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分，具有信息技术服务标准（ITSS）符合性证书（运行维护）</w:t>
            </w:r>
            <w:r>
              <w:rPr>
                <w:rFonts w:hint="eastAsia" w:ascii="宋体" w:hAnsi="宋体" w:cs="宋体"/>
                <w:sz w:val="24"/>
                <w:szCs w:val="24"/>
                <w:highlight w:val="none"/>
                <w:lang w:val="en-US" w:eastAsia="zh-CN"/>
              </w:rPr>
              <w:t xml:space="preserve">二</w:t>
            </w:r>
            <w:r>
              <w:rPr>
                <w:rFonts w:hint="eastAsia" w:ascii="宋体" w:hAnsi="宋体" w:eastAsia="宋体" w:cs="宋体"/>
                <w:sz w:val="24"/>
                <w:szCs w:val="24"/>
                <w:highlight w:val="none"/>
                <w:lang w:val="en-US" w:eastAsia="zh-CN"/>
              </w:rPr>
              <w:t xml:space="preserve">级及以下得1分</w:t>
            </w:r>
            <w:r>
              <w:rPr>
                <w:rFonts w:hint="eastAsia" w:ascii="宋体" w:hAnsi="宋体" w:cs="宋体"/>
                <w:sz w:val="24"/>
                <w:szCs w:val="24"/>
                <w:highlight w:val="none"/>
                <w:lang w:val="en-US" w:eastAsia="zh-CN"/>
              </w:rPr>
              <w:t xml:space="preserve">；没有不得分。</w:t>
            </w:r>
            <w:r/>
          </w:p>
          <w:p>
            <w:pPr>
              <w:jc w:val="left"/>
              <w:spacing w:line="360" w:lineRule="auto"/>
              <w:widowControl/>
              <w:rPr>
                <w:rFonts w:hint="eastAsia" w:ascii="宋体" w:hAnsi="宋体" w:eastAsia="宋体" w:cs="宋体"/>
                <w:b/>
                <w:sz w:val="24"/>
                <w:szCs w:val="24"/>
                <w:highlight w:val="none"/>
              </w:rPr>
            </w:pPr>
            <w:r>
              <w:rPr>
                <w:rFonts w:hint="eastAsia" w:ascii="宋体" w:hAnsi="宋体" w:eastAsia="宋体" w:cs="宋体"/>
                <w:b/>
                <w:bCs/>
                <w:sz w:val="24"/>
                <w:szCs w:val="24"/>
                <w:highlight w:val="none"/>
              </w:rPr>
              <w:t xml:space="preserve">注：以</w:t>
            </w:r>
            <w:r>
              <w:rPr>
                <w:rFonts w:hint="eastAsia" w:ascii="宋体" w:hAnsi="宋体" w:eastAsia="宋体" w:cs="宋体"/>
                <w:b/>
                <w:sz w:val="24"/>
                <w:szCs w:val="24"/>
                <w:highlight w:val="none"/>
              </w:rPr>
              <w:t xml:space="preserve">上</w:t>
            </w:r>
            <w:r>
              <w:rPr>
                <w:rFonts w:hint="eastAsia" w:ascii="宋体" w:hAnsi="宋体" w:cs="宋体"/>
                <w:b/>
                <w:sz w:val="24"/>
                <w:szCs w:val="24"/>
                <w:highlight w:val="none"/>
                <w:lang w:val="en-US" w:eastAsia="zh-CN"/>
              </w:rPr>
              <w:t xml:space="preserve">需</w:t>
            </w:r>
            <w:r>
              <w:rPr>
                <w:rFonts w:hint="eastAsia" w:ascii="宋体" w:hAnsi="宋体" w:eastAsia="宋体" w:cs="宋体"/>
                <w:b/>
                <w:sz w:val="24"/>
                <w:szCs w:val="24"/>
                <w:highlight w:val="none"/>
              </w:rPr>
              <w:t xml:space="preserve">提供有效期内证书原件扫描上传</w:t>
            </w:r>
            <w:r/>
          </w:p>
          <w:p>
            <w:pPr>
              <w:jc w:val="left"/>
              <w:spacing w:line="360" w:lineRule="auto"/>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二、企业业绩（满分</w:t>
            </w:r>
            <w:r>
              <w:rPr>
                <w:rFonts w:hint="eastAsia" w:ascii="宋体" w:hAnsi="宋体" w:cs="宋体"/>
                <w:sz w:val="24"/>
                <w:szCs w:val="24"/>
                <w:highlight w:val="none"/>
                <w:lang w:val="en-US" w:eastAsia="zh-CN" w:bidi="ar"/>
              </w:rPr>
              <w:t xml:space="preserve">2</w:t>
            </w:r>
            <w:r>
              <w:rPr>
                <w:rFonts w:hint="eastAsia" w:ascii="宋体" w:hAnsi="宋体" w:eastAsia="宋体" w:cs="宋体"/>
                <w:sz w:val="24"/>
                <w:szCs w:val="24"/>
                <w:highlight w:val="none"/>
                <w:lang w:bidi="ar"/>
              </w:rPr>
              <w:t xml:space="preserve">分）</w:t>
            </w:r>
            <w:r/>
          </w:p>
          <w:p>
            <w:pPr>
              <w:jc w:val="left"/>
              <w:spacing w:line="360" w:lineRule="auto"/>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自2023年1月1日以来类似项目业绩，</w:t>
            </w:r>
            <w:bookmarkStart w:id="34" w:name="_GoBack"/>
            <w:r/>
            <w:bookmarkEnd w:id="34"/>
            <w:r>
              <w:rPr>
                <w:rFonts w:hint="eastAsia" w:ascii="宋体" w:hAnsi="宋体" w:eastAsia="宋体" w:cs="宋体"/>
                <w:sz w:val="24"/>
                <w:szCs w:val="24"/>
                <w:highlight w:val="none"/>
                <w:lang w:bidi="ar"/>
              </w:rPr>
              <w:t xml:space="preserve">每提供一个案例得1分，满分</w:t>
            </w:r>
            <w:r>
              <w:rPr>
                <w:rFonts w:hint="eastAsia" w:ascii="宋体" w:hAnsi="宋体" w:cs="宋体"/>
                <w:sz w:val="24"/>
                <w:szCs w:val="24"/>
                <w:highlight w:val="none"/>
                <w:lang w:val="en-US" w:eastAsia="zh-CN" w:bidi="ar"/>
              </w:rPr>
              <w:t xml:space="preserve">2</w:t>
            </w:r>
            <w:r>
              <w:rPr>
                <w:rFonts w:hint="eastAsia" w:ascii="宋体" w:hAnsi="宋体" w:eastAsia="宋体" w:cs="宋体"/>
                <w:sz w:val="24"/>
                <w:szCs w:val="24"/>
                <w:highlight w:val="none"/>
                <w:lang w:bidi="ar"/>
              </w:rPr>
              <w:t xml:space="preserve">分。</w:t>
            </w:r>
            <w:r/>
          </w:p>
          <w:p>
            <w:pPr>
              <w:jc w:val="left"/>
              <w:spacing w:line="360" w:lineRule="auto"/>
              <w:widowControl/>
              <w:rPr>
                <w:rFonts w:hint="eastAsia" w:ascii="宋体" w:hAnsi="宋体" w:eastAsia="宋体" w:cs="宋体"/>
                <w:b/>
                <w:bCs/>
                <w:sz w:val="24"/>
                <w:szCs w:val="24"/>
                <w:highlight w:val="none"/>
                <w:lang w:bidi="ar"/>
              </w:rPr>
            </w:pPr>
            <w:r>
              <w:rPr>
                <w:rFonts w:hint="eastAsia" w:ascii="宋体" w:hAnsi="宋体" w:eastAsia="宋体" w:cs="宋体"/>
                <w:b/>
                <w:bCs/>
                <w:sz w:val="24"/>
                <w:szCs w:val="24"/>
                <w:highlight w:val="none"/>
                <w:lang w:bidi="ar"/>
              </w:rPr>
              <w:t xml:space="preserve">(以合同签订时间为准，提供合同原件扫描上传,未提供不得分)</w:t>
            </w:r>
            <w:r/>
          </w:p>
          <w:p>
            <w:pPr>
              <w:jc w:val="left"/>
              <w:spacing w:line="360" w:lineRule="auto"/>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三、企业拟投入项目人员</w:t>
            </w:r>
            <w:bookmarkStart w:id="31" w:name="OLE_LINK9"/>
            <w:r>
              <w:rPr>
                <w:rFonts w:hint="eastAsia" w:ascii="宋体" w:hAnsi="宋体" w:eastAsia="宋体" w:cs="宋体"/>
                <w:sz w:val="24"/>
                <w:szCs w:val="24"/>
                <w:highlight w:val="none"/>
                <w:lang w:bidi="ar"/>
              </w:rPr>
              <w:t xml:space="preserve">（满分</w:t>
            </w:r>
            <w:r>
              <w:rPr>
                <w:rFonts w:hint="eastAsia" w:ascii="宋体" w:hAnsi="宋体" w:cs="宋体"/>
                <w:sz w:val="24"/>
                <w:szCs w:val="24"/>
                <w:highlight w:val="none"/>
                <w:lang w:val="en-US" w:eastAsia="zh-CN" w:bidi="ar"/>
              </w:rPr>
              <w:t xml:space="preserve">6</w:t>
            </w:r>
            <w:r>
              <w:rPr>
                <w:rFonts w:hint="eastAsia" w:ascii="宋体" w:hAnsi="宋体" w:eastAsia="宋体" w:cs="宋体"/>
                <w:sz w:val="24"/>
                <w:szCs w:val="24"/>
                <w:highlight w:val="none"/>
                <w:lang w:bidi="ar"/>
              </w:rPr>
              <w:t xml:space="preserve">分）</w:t>
            </w:r>
            <w:bookmarkEnd w:id="31"/>
            <w:r/>
            <w:r/>
          </w:p>
          <w:p>
            <w:pPr>
              <w:numPr>
                <w:ilvl w:val="0"/>
                <w:numId w:val="16"/>
              </w:num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投标人拟派的项目负责人</w:t>
            </w:r>
            <w:bookmarkStart w:id="32" w:name="OLE_LINK6"/>
            <w:r>
              <w:rPr>
                <w:rFonts w:hint="eastAsia" w:ascii="宋体" w:hAnsi="宋体" w:eastAsia="宋体" w:cs="宋体"/>
                <w:sz w:val="24"/>
                <w:szCs w:val="24"/>
                <w:highlight w:val="none"/>
              </w:rPr>
              <w:t xml:space="preserve">具有ITSS服务项目经理、信息系统项目管理师</w:t>
            </w:r>
            <w:bookmarkEnd w:id="32"/>
            <w:r>
              <w:rPr>
                <w:rFonts w:hint="eastAsia" w:ascii="宋体" w:hAnsi="宋体" w:eastAsia="宋体" w:cs="宋体"/>
                <w:sz w:val="24"/>
                <w:szCs w:val="24"/>
                <w:highlight w:val="none"/>
              </w:rPr>
              <w:t xml:space="preserve">，有</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个得</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rPr>
              <w:t xml:space="preserve">分，满分</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分。  </w:t>
            </w:r>
            <w:r/>
          </w:p>
          <w:p>
            <w:pPr>
              <w:numPr>
                <w:ilvl w:val="0"/>
                <w:numId w:val="16"/>
              </w:num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投标人拟派的项目团队人员具有</w:t>
            </w:r>
            <w:bookmarkStart w:id="33" w:name="OLE_LINK7"/>
            <w:r>
              <w:rPr>
                <w:rFonts w:hint="eastAsia" w:ascii="宋体" w:hAnsi="宋体" w:eastAsia="宋体" w:cs="宋体"/>
                <w:sz w:val="24"/>
                <w:szCs w:val="24"/>
                <w:highlight w:val="none"/>
                <w:lang w:bidi="ar"/>
              </w:rPr>
              <w:t xml:space="preserve">系统集成项目管理工程师</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bidi="ar"/>
              </w:rPr>
              <w:t xml:space="preserve">网络工程师</w:t>
            </w:r>
            <w:r>
              <w:rPr>
                <w:rFonts w:hint="eastAsia" w:ascii="宋体" w:hAnsi="宋体" w:eastAsia="宋体" w:cs="宋体"/>
                <w:sz w:val="24"/>
                <w:szCs w:val="24"/>
                <w:highlight w:val="none"/>
              </w:rPr>
              <w:t xml:space="preserve">、ITSS服务工程师，注册信息安全专业人员</w:t>
            </w:r>
            <w:bookmarkEnd w:id="33"/>
            <w:r>
              <w:rPr>
                <w:rFonts w:hint="eastAsia" w:ascii="宋体" w:hAnsi="宋体" w:eastAsia="宋体" w:cs="宋体"/>
                <w:sz w:val="24"/>
                <w:szCs w:val="24"/>
                <w:highlight w:val="none"/>
              </w:rPr>
              <w:t xml:space="preserve">（CISP）</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有</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rPr>
              <w:t xml:space="preserve">个得1分，满分4分。 </w:t>
            </w:r>
            <w:r/>
          </w:p>
          <w:p>
            <w:pPr>
              <w:jc w:val="left"/>
              <w:spacing w:line="360" w:lineRule="auto"/>
              <w:widowControl/>
              <w:rPr>
                <w:rFonts w:hint="eastAsia" w:ascii="宋体" w:hAnsi="宋体" w:eastAsia="宋体" w:cs="宋体"/>
                <w:sz w:val="24"/>
                <w:szCs w:val="24"/>
                <w:highlight w:val="none"/>
                <w:lang w:bidi="ar"/>
              </w:rPr>
            </w:pPr>
            <w:r>
              <w:rPr>
                <w:rFonts w:hint="eastAsia" w:ascii="宋体" w:hAnsi="宋体" w:eastAsia="宋体" w:cs="宋体"/>
                <w:b/>
                <w:bCs/>
                <w:sz w:val="24"/>
                <w:szCs w:val="24"/>
                <w:highlight w:val="none"/>
              </w:rPr>
              <w:t xml:space="preserve">注：（1）上述人员</w:t>
            </w:r>
            <w:r>
              <w:rPr>
                <w:rFonts w:hint="eastAsia" w:ascii="宋体" w:hAnsi="宋体" w:cs="宋体"/>
                <w:b/>
                <w:bCs/>
                <w:sz w:val="24"/>
                <w:szCs w:val="24"/>
                <w:highlight w:val="none"/>
                <w:lang w:val="en-US" w:eastAsia="zh-CN"/>
              </w:rPr>
              <w:t xml:space="preserve">需</w:t>
            </w:r>
            <w:r>
              <w:rPr>
                <w:rFonts w:hint="eastAsia" w:ascii="宋体" w:hAnsi="宋体" w:eastAsia="宋体" w:cs="宋体"/>
                <w:b/>
                <w:bCs/>
                <w:sz w:val="24"/>
                <w:szCs w:val="24"/>
                <w:highlight w:val="none"/>
              </w:rPr>
              <w:t xml:space="preserve">提供证书及投标人近3个月任意</w:t>
            </w:r>
            <w:r>
              <w:rPr>
                <w:rFonts w:hint="eastAsia" w:ascii="宋体" w:hAnsi="宋体" w:cs="宋体"/>
                <w:b/>
                <w:bCs/>
                <w:sz w:val="24"/>
                <w:szCs w:val="24"/>
                <w:highlight w:val="none"/>
                <w:lang w:val="en-US" w:eastAsia="zh-CN"/>
              </w:rPr>
              <w:t xml:space="preserve">1</w:t>
            </w:r>
            <w:r>
              <w:rPr>
                <w:rFonts w:hint="eastAsia" w:ascii="宋体" w:hAnsi="宋体" w:eastAsia="宋体" w:cs="宋体"/>
                <w:b/>
                <w:bCs/>
                <w:sz w:val="24"/>
                <w:szCs w:val="24"/>
                <w:highlight w:val="none"/>
              </w:rPr>
              <w:t xml:space="preserve">个月为其缴纳社保的证明，所有材料原件扫描上传。</w:t>
            </w:r>
            <w:r/>
          </w:p>
        </w:tc>
      </w:tr>
      <w:tr>
        <w:trPr/>
        <w:tc>
          <w:tcPr>
            <w:tcBorders>
              <w:top w:val="single" w:color="000000" w:sz="4" w:space="0"/>
              <w:left w:val="single" w:color="000000" w:sz="4" w:space="0"/>
              <w:bottom w:val="single" w:color="000000" w:sz="4" w:space="0"/>
              <w:right w:val="single" w:color="000000" w:sz="4" w:space="0"/>
            </w:tcBorders>
            <w:tcW w:w="1401" w:type="dxa"/>
            <w:vAlign w:val="center"/>
            <w:textDirection w:val="lrTb"/>
            <w:noWrap w:val="false"/>
          </w:tcPr>
          <w:p>
            <w:pPr>
              <w:jc w:val="center"/>
              <w:spacing w:line="360" w:lineRule="auto"/>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节能环保（2分）</w:t>
            </w:r>
            <w:r/>
          </w:p>
        </w:tc>
        <w:tc>
          <w:tcPr>
            <w:tcBorders>
              <w:top w:val="single" w:color="000000" w:sz="4" w:space="0"/>
              <w:left w:val="single" w:color="000000" w:sz="4" w:space="0"/>
              <w:bottom w:val="single" w:color="000000" w:sz="4" w:space="0"/>
              <w:right w:val="single" w:color="000000" w:sz="4" w:space="0"/>
            </w:tcBorders>
            <w:tcW w:w="7603" w:type="dxa"/>
            <w:vAlign w:val="center"/>
            <w:textDirection w:val="lrTb"/>
            <w:noWrap w:val="false"/>
          </w:tcPr>
          <w:p>
            <w:pPr>
              <w:pStyle w:val="727"/>
              <w:ind w:firstLine="0"/>
              <w:spacing w:line="36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投标（响应）产品属于财政部、国家发改委公布的“节能产品品目清单”范围内的，投标人（供应商）提供国家确定的认证机构出具的、处于有效期之内的该节能产品认证证书复印件的，有1个得0.5分，最多得1分。如投标（响应）产品均属于政府强制采购节能产品品目清单范围内，本项不得分。</w:t>
            </w:r>
            <w:r/>
          </w:p>
          <w:p>
            <w:pPr>
              <w:pStyle w:val="727"/>
              <w:ind w:firstLine="0"/>
              <w:spacing w:line="360" w:lineRule="auto"/>
              <w:rPr>
                <w:rFonts w:hint="eastAsia" w:ascii="宋体" w:hAnsi="宋体" w:eastAsia="宋体" w:cs="宋体"/>
                <w:b/>
                <w:bCs/>
                <w:sz w:val="24"/>
                <w:szCs w:val="24"/>
                <w:highlight w:val="none"/>
                <w:lang w:bidi="ar"/>
              </w:rPr>
            </w:pPr>
            <w:r>
              <w:rPr>
                <w:rFonts w:hint="eastAsia" w:ascii="宋体" w:hAnsi="宋体" w:eastAsia="宋体" w:cs="宋体"/>
                <w:sz w:val="24"/>
                <w:szCs w:val="24"/>
                <w:highlight w:val="none"/>
                <w:lang w:bidi="ar"/>
              </w:rPr>
              <w:t xml:space="preserve">2.投标（响应）产品属于财政部、生态环境部公布的“环境标志产品品目清单”范围内的，投标人（供应商）提供国家确定的认证机构出具的、处于有效期内的该投标（响应）产品环境标志产品认证证书复印件的，有1个得0.5分，最多得1分。</w:t>
            </w:r>
            <w:r/>
          </w:p>
        </w:tc>
      </w:tr>
    </w:tbl>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br w:type="page" w:clear="all"/>
      </w:r>
      <w:r/>
    </w:p>
    <w:p>
      <w:pPr>
        <w:pStyle w:val="939"/>
      </w:pPr>
      <w:r>
        <w:rPr>
          <w:rFonts w:ascii="黑体" w:hAnsi="黑体" w:eastAsia="黑体" w:cs="黑体"/>
          <w:color w:val="000000"/>
          <w:sz w:val="44"/>
        </w:rPr>
        <w:t xml:space="preserve">第六章投标文件格式</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投标文件</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108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 目 名 称：</w:t>
      </w:r>
      <w:r>
        <w:rPr>
          <w:rFonts w:ascii="宋体" w:hAnsi="宋体" w:eastAsia="宋体" w:cs="宋体"/>
          <w:b/>
          <w:color w:val="000000"/>
          <w:sz w:val="36"/>
          <w:u w:val="single"/>
        </w:rPr>
        <w:t xml:space="preserve">               </w:t>
      </w:r>
      <w:r/>
    </w:p>
    <w:p>
      <w:pPr>
        <w:ind w:left="0" w:right="0" w:firstLine="108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 目 编 号：</w:t>
      </w:r>
      <w:r>
        <w:rPr>
          <w:rFonts w:ascii="宋体" w:hAnsi="宋体" w:eastAsia="宋体" w:cs="宋体"/>
          <w:b/>
          <w:color w:val="000000"/>
          <w:sz w:val="36"/>
          <w:u w:val="single"/>
        </w:rPr>
        <w:t xml:space="preserve">               </w:t>
      </w:r>
      <w:r/>
    </w:p>
    <w:p>
      <w:pPr>
        <w:ind w:left="0" w:right="0" w:firstLine="1080"/>
        <w:jc w:val="both"/>
        <w:spacing w:before="0" w:after="0"/>
        <w:rPr>
          <w:rFonts w:ascii="宋体" w:hAnsi="宋体" w:eastAsia="宋体" w:cs="宋体"/>
          <w:b/>
          <w:bCs/>
          <w:color w:val="000000"/>
          <w:sz w:val="36"/>
          <w:szCs w:val="36"/>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36"/>
          <w:szCs w:val="36"/>
        </w:rPr>
        <w:t xml:space="preserve">        投标人名称 ：（加盖CA电子公章）</w:t>
      </w:r>
      <w:r/>
    </w:p>
    <w:p>
      <w:pPr>
        <w:ind w:left="0" w:right="0" w:firstLine="0"/>
        <w:jc w:val="left"/>
        <w:spacing w:before="0" w:after="0"/>
        <w:rPr>
          <w:rFonts w:ascii="宋体" w:hAnsi="宋体" w:eastAsia="宋体" w:cs="宋体"/>
          <w:b/>
          <w:bCs/>
          <w:color w:val="000000"/>
          <w:sz w:val="36"/>
          <w:szCs w:val="36"/>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36"/>
          <w:szCs w:val="36"/>
        </w:rPr>
        <w:t xml:space="preserve">              日期 ：               </w:t>
      </w:r>
      <w:r/>
    </w:p>
    <w:p>
      <w:pPr>
        <w:ind w:left="0" w:right="0" w:firstLine="0"/>
        <w:jc w:val="center"/>
        <w:spacing w:before="0" w:after="0" w:line="437"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投标文件的组成</w:t>
      </w:r>
      <w:r/>
    </w:p>
    <w:p>
      <w:pPr>
        <w:ind w:left="0" w:right="0" w:firstLine="0"/>
        <w:jc w:val="center"/>
        <w:spacing w:before="0" w:after="0" w:line="437"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一、基本目录</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1.开标一览表（格式见附件1）</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2.投标分项报价表（格式见附件2）</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3.技术要求响应及偏离表（格式见附件3）</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4.商务要求响应及偏离表（格式见附件4）</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5.法人授权书（格式见附件5）</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6.投标函（格式见附件6）</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7.主要标的信息（格式见附件7）</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8.其他</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****（格式见附件**）</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二、资格审查内容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1.法人或者其他组织的营业执照等证明文件，自然人的身份证明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2.上一年度的财务状况报告（成立不满一年无需提供）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4.具备履行合同所必需的设备和专业技术能力的书面声明（格式见附件8）</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5.参加政府采购活动前 3 年内在经营活动中没有重大违法记录的书面声明（格式见附件9）</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6.供应商信用承诺函（格式见附件10）</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7.企业报价折扣证明文件：</w:t>
      </w:r>
      <w:r/>
    </w:p>
    <w:p>
      <w:pPr>
        <w:ind w:left="0" w:right="0" w:firstLine="7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中小企业声明函（格式见附件11）。</w:t>
      </w:r>
      <w:r>
        <w:rPr>
          <w:rFonts w:ascii="宋体" w:hAnsi="宋体" w:eastAsia="宋体" w:cs="宋体"/>
          <w:color w:val="ff0000"/>
          <w:sz w:val="24"/>
        </w:rPr>
        <w:t xml:space="preserve">如果本项目专门面向中小企业采购，则必须提供。</w:t>
      </w:r>
      <w:r/>
    </w:p>
    <w:p>
      <w:pPr>
        <w:ind w:left="0" w:right="0" w:firstLine="7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残疾人福利性单位声明函（格式见附件12）。</w:t>
      </w:r>
      <w:r>
        <w:rPr>
          <w:rFonts w:ascii="宋体" w:hAnsi="宋体" w:eastAsia="宋体" w:cs="宋体"/>
          <w:color w:val="ff0000"/>
          <w:sz w:val="24"/>
        </w:rPr>
        <w:t xml:space="preserve">如果本项目专门面向中小企业采购，供应商为残疾人福利性单位并提供本单位制造的货物，或者提供其他残疾人福利性单位制造的货物，则必须提供。</w:t>
      </w:r>
      <w:r/>
    </w:p>
    <w:p>
      <w:pPr>
        <w:ind w:left="0" w:right="0" w:firstLine="7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监狱企业的证明文件。</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8.联合体协议（格式见附件14）。</w:t>
      </w:r>
      <w:r>
        <w:rPr>
          <w:rFonts w:ascii="宋体" w:hAnsi="宋体" w:eastAsia="宋体" w:cs="宋体"/>
          <w:color w:val="ff0000"/>
          <w:sz w:val="24"/>
        </w:rPr>
        <w:t xml:space="preserve">如果本项目接受联合体投标，投标人是联合体的，则必须提供。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9.特定资格要求的证明文件。</w:t>
      </w:r>
      <w:r>
        <w:rPr>
          <w:rFonts w:ascii="宋体" w:hAnsi="宋体" w:eastAsia="宋体" w:cs="宋体"/>
          <w:color w:val="ff0000"/>
          <w:sz w:val="24"/>
        </w:rPr>
        <w:t xml:space="preserve">如果本项目对投标人做出特定资格要求的，则必须提供。</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三、符合性审查内容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投标人必须对技术要求和商务要求中加斜体下划线的实质性要求逐条做出响应，并按照招标文件要求提供证明材料，否则做无效投标处理。（格式见附件15）</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四、价格扣除证明文件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1.中小企业声明函（格式见附件11）</w:t>
      </w:r>
      <w:r/>
    </w:p>
    <w:p>
      <w:pPr>
        <w:ind w:left="0" w:right="0" w:firstLine="480"/>
        <w:jc w:val="both"/>
        <w:spacing w:before="0" w:after="0" w:line="400"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2.残疾人福利性单位声明函（格式见附件12）</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 关于符合本国产品标准的声明函（格式见附件13）</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 </w:t>
      </w:r>
      <w:r>
        <w:rPr>
          <w:rFonts w:hint="eastAsia" w:ascii="宋体" w:hAnsi="宋体" w:cs="宋体"/>
          <w:b/>
          <w:color w:val="000000"/>
          <w:sz w:val="24"/>
          <w:lang w:val="en-US" w:eastAsia="zh-CN"/>
        </w:rPr>
        <w:t xml:space="preserve">                            </w:t>
      </w:r>
      <w:r>
        <w:rPr>
          <w:rFonts w:ascii="宋体" w:hAnsi="宋体" w:eastAsia="宋体" w:cs="宋体"/>
          <w:b/>
          <w:color w:val="000000"/>
          <w:sz w:val="24"/>
        </w:rPr>
        <w:t xml:space="preserve">开标一览表</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投标人全称（加盖CA电子签章）：</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项目编号：</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bl>
      <w:tblPr>
        <w:tblStyle w:val="752"/>
        <w:tblW w:w="8248"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81"/>
        <w:gridCol w:w="6367"/>
      </w:tblGrid>
      <w:tr>
        <w:trPr>
          <w:trHeight w:val="72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48"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投标总报价</w:t>
            </w:r>
            <w:r/>
          </w:p>
        </w:tc>
      </w:tr>
      <w:tr>
        <w:trPr>
          <w:trHeight w:val="725"/>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8"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大写：                   （人民币：元）</w:t>
            </w:r>
            <w:r/>
          </w:p>
        </w:tc>
      </w:tr>
      <w:tr>
        <w:trPr>
          <w:trHeight w:val="61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8" w:type="dxa"/>
            <w:vAlign w:val="center"/>
            <w:textDirection w:val="lrTb"/>
            <w:noWrap w:val="false"/>
          </w:tcPr>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小写：                   （人民币：元）</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1"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核心产品品牌</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367" w:type="dxa"/>
            <w:vAlign w:val="center"/>
            <w:textDirection w:val="lrTb"/>
            <w:noWrap w:val="false"/>
          </w:tcPr>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附件2       投标分项报价表（采购包号：***）</w:t>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tbl>
      <w:tblPr>
        <w:tblStyle w:val="752"/>
        <w:tblW w:w="8947"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6"/>
        <w:gridCol w:w="696"/>
        <w:gridCol w:w="709"/>
        <w:gridCol w:w="850"/>
        <w:gridCol w:w="567"/>
        <w:gridCol w:w="850"/>
        <w:gridCol w:w="1276"/>
        <w:gridCol w:w="1559"/>
        <w:gridCol w:w="1984"/>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w:t>
            </w:r>
            <w:r/>
          </w:p>
        </w:tc>
      </w:tr>
      <w:tr>
        <w:trPr>
          <w:trHeight w:val="2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产品</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规格</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型号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制造商名称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产地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交付期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分项</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分项</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总价</w:t>
            </w:r>
            <w:r/>
          </w:p>
        </w:tc>
      </w:tr>
      <w:tr>
        <w:trPr>
          <w:trHeight w:val="6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合同签订后</w:t>
            </w:r>
            <w:r>
              <w:rPr>
                <w:rFonts w:ascii="宋体" w:hAnsi="宋体" w:eastAsia="宋体" w:cs="宋体"/>
                <w:color w:val="000000"/>
                <w:sz w:val="24"/>
                <w:u w:val="single"/>
              </w:rPr>
              <w:t xml:space="preserve">  </w:t>
            </w:r>
            <w:r>
              <w:rPr>
                <w:rFonts w:ascii="宋体" w:hAnsi="宋体" w:eastAsia="宋体" w:cs="宋体"/>
                <w:color w:val="000000"/>
                <w:sz w:val="24"/>
              </w:rPr>
              <w:t xml:space="preserve">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7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80"/>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4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投标总报价（人民币：元）</w:t>
            </w:r>
            <w:r/>
          </w:p>
        </w:tc>
      </w:tr>
      <w:tr>
        <w:trPr>
          <w:trHeight w:val="580"/>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47" w:type="dxa"/>
            <w:vAlign w:val="center"/>
            <w:textDirection w:val="lrTb"/>
            <w:noWrap w:val="false"/>
          </w:tcPr>
          <w:p>
            <w:pPr>
              <w:ind w:left="0" w:right="0" w:firstLine="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本采购包中提供的符合本国产品标准的产品成本之和占该采购包提供的全部产品成本之和的比例为***%。</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w:t>
      </w:r>
      <w:r>
        <w:rPr>
          <w:rFonts w:hint="eastAsia"/>
          <w:sz w:val="24"/>
          <w:szCs w:val="24"/>
          <w:highlight w:val="none"/>
          <w:lang w:val="en-US" w:eastAsia="zh-CN"/>
        </w:rPr>
        <w:t xml:space="preserve">投标总报价”数额为各“分项总价”之和。</w:t>
      </w:r>
      <w:r/>
    </w:p>
    <w:p>
      <w:pPr>
        <w:ind w:left="0" w:right="0" w:firstLine="0"/>
        <w:jc w:val="both"/>
        <w:spacing w:before="0" w:after="0" w:line="400"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ascii="宋体" w:hAnsi="宋体" w:eastAsia="宋体" w:cs="宋体"/>
          <w:color w:val="000000"/>
          <w:sz w:val="21"/>
        </w:rPr>
        <w:t xml:space="preserve">“</w:t>
      </w:r>
      <w:r>
        <w:rPr>
          <w:rFonts w:ascii="宋体" w:hAnsi="宋体" w:eastAsia="宋体" w:cs="宋体"/>
          <w:color w:val="000000"/>
          <w:sz w:val="24"/>
        </w:rPr>
        <w:t xml:space="preserve">投标分项报价表</w:t>
      </w:r>
      <w:r>
        <w:rPr>
          <w:rFonts w:ascii="宋体" w:hAnsi="宋体" w:eastAsia="宋体" w:cs="宋体"/>
          <w:color w:val="000000"/>
          <w:sz w:val="21"/>
        </w:rPr>
        <w:t xml:space="preserve">”</w:t>
      </w:r>
      <w:r>
        <w:rPr>
          <w:rFonts w:ascii="宋体" w:hAnsi="宋体" w:eastAsia="宋体" w:cs="宋体"/>
          <w:color w:val="000000"/>
          <w:sz w:val="24"/>
        </w:rPr>
        <w:t xml:space="preserve">中“投标总报价”数额应当与“开标一览表”中“投标总报价”数额一致。</w:t>
      </w:r>
      <w:r/>
    </w:p>
    <w:p>
      <w:pPr>
        <w:ind w:left="0" w:right="0" w:firstLine="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4.投标人需认真填写本报价表，尤其注意规格型号的准确填写。</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5.项目经办人可以根据项目实际需要对表格结构进行调整。</w:t>
      </w:r>
      <w:r/>
    </w:p>
    <w:p>
      <w:pPr>
        <w:ind w:left="48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 </w:t>
      </w:r>
      <w:r/>
    </w:p>
    <w:p>
      <w:pPr>
        <w:ind w:left="0" w:right="0" w:firstLine="0"/>
        <w:jc w:val="both"/>
        <w:spacing w:before="0" w:after="0"/>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附件3        技术要求响应及偏离表（采购包号：**）</w:t>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tbl>
      <w:tblPr>
        <w:tblStyle w:val="752"/>
        <w:tblW w:w="8097"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6"/>
        <w:gridCol w:w="1445"/>
        <w:gridCol w:w="1343"/>
        <w:gridCol w:w="485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4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技术要求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43"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853"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附件3-1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1.投标人需对技术要求（未加斜体下划线的非实质性要求）逐条做出明确响应。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2.如果招标文件要求提供证明材料，投标人需将证明材料列于该表之下。</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both"/>
        <w:spacing w:before="0" w:after="0"/>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附件4         商务要求响应及偏离表（采购包号：**）</w:t>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tbl>
      <w:tblPr>
        <w:tblStyle w:val="752"/>
        <w:tblW w:w="8239"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6"/>
        <w:gridCol w:w="1445"/>
        <w:gridCol w:w="1343"/>
        <w:gridCol w:w="499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4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商务要求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43"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99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附件4-1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1.投标人需对商务要求（未加斜体下划线的非实质性要求）逐条做出明确响应。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2.如果招标文件要求提供证明材料，投标人需将证明材料列于该表之下。</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left"/>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附件5       </w:t>
      </w:r>
      <w:r>
        <w:rPr>
          <w:rFonts w:hint="eastAsia" w:ascii="宋体" w:hAnsi="宋体" w:cs="宋体"/>
          <w:b/>
          <w:color w:val="000000"/>
          <w:sz w:val="24"/>
          <w:lang w:val="en-US" w:eastAsia="zh-CN"/>
        </w:rPr>
        <w:t xml:space="preserve">            </w:t>
      </w:r>
      <w:r>
        <w:rPr>
          <w:rFonts w:ascii="宋体" w:hAnsi="宋体" w:eastAsia="宋体" w:cs="宋体"/>
          <w:b/>
          <w:color w:val="000000"/>
          <w:sz w:val="24"/>
        </w:rPr>
        <w:t xml:space="preserve">法人授权书</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本授权书声明：____________（投标人名称）授权</w:t>
      </w:r>
      <w:r>
        <w:rPr>
          <w:rFonts w:ascii="Times New Roman" w:hAnsi="Times New Roman" w:eastAsia="Times New Roman" w:cs="Times New Roman"/>
          <w:color w:val="000000"/>
          <w:sz w:val="24"/>
        </w:rPr>
        <w:t xml:space="preserve">________________</w:t>
      </w:r>
      <w:r>
        <w:rPr>
          <w:rFonts w:ascii="宋体" w:hAnsi="宋体" w:eastAsia="宋体" w:cs="宋体"/>
          <w:color w:val="000000"/>
          <w:sz w:val="24"/>
        </w:rPr>
        <w:t xml:space="preserve">（被授权人的姓名）为我方就</w:t>
      </w:r>
      <w:r>
        <w:rPr>
          <w:rFonts w:ascii="Times New Roman" w:hAnsi="Times New Roman" w:eastAsia="Times New Roman" w:cs="Times New Roman"/>
          <w:color w:val="000000"/>
          <w:sz w:val="24"/>
          <w:u w:val="single"/>
        </w:rPr>
        <w:t xml:space="preserve">***</w:t>
      </w:r>
      <w:r>
        <w:rPr>
          <w:rFonts w:ascii="宋体" w:hAnsi="宋体" w:eastAsia="宋体" w:cs="宋体"/>
          <w:color w:val="000000"/>
          <w:sz w:val="24"/>
        </w:rPr>
        <w:t xml:space="preserve">号项目采购活动的合法代理人，以本单位名义全权处理一切与该项目采购有关的事务。</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本授权书于______年</w:t>
      </w:r>
      <w:r>
        <w:rPr>
          <w:rFonts w:ascii="Times New Roman" w:hAnsi="Times New Roman" w:eastAsia="Times New Roman" w:cs="Times New Roman"/>
          <w:color w:val="000000"/>
          <w:sz w:val="24"/>
        </w:rPr>
        <w:t xml:space="preserve">____</w:t>
      </w:r>
      <w:r>
        <w:rPr>
          <w:rFonts w:ascii="宋体" w:hAnsi="宋体" w:eastAsia="宋体" w:cs="宋体"/>
          <w:color w:val="000000"/>
          <w:sz w:val="24"/>
        </w:rPr>
        <w:t xml:space="preserve">月</w:t>
      </w:r>
      <w:r>
        <w:rPr>
          <w:rFonts w:ascii="Times New Roman" w:hAnsi="Times New Roman" w:eastAsia="Times New Roman" w:cs="Times New Roman"/>
          <w:color w:val="000000"/>
          <w:sz w:val="24"/>
        </w:rPr>
        <w:t xml:space="preserve">____</w:t>
      </w:r>
      <w:r>
        <w:rPr>
          <w:rFonts w:ascii="宋体" w:hAnsi="宋体" w:eastAsia="宋体" w:cs="宋体"/>
          <w:color w:val="000000"/>
          <w:sz w:val="24"/>
        </w:rPr>
        <w:t xml:space="preserve">日起生效，特此声明。</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被授权人身份证号码：</w:t>
      </w:r>
      <w:r>
        <w:rPr>
          <w:rFonts w:ascii="宋体" w:hAnsi="宋体" w:eastAsia="宋体" w:cs="宋体"/>
          <w:color w:val="000000"/>
          <w:sz w:val="24"/>
          <w:u w:val="single"/>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被授权人联系电话：（手机）</w:t>
      </w:r>
      <w:r>
        <w:rPr>
          <w:rFonts w:ascii="宋体" w:hAnsi="宋体" w:eastAsia="宋体" w:cs="宋体"/>
          <w:color w:val="000000"/>
          <w:sz w:val="24"/>
          <w:u w:val="single"/>
        </w:rPr>
        <w:t xml:space="preserve">             </w:t>
      </w:r>
      <w:r/>
    </w:p>
    <w:p>
      <w:pPr>
        <w:ind w:left="0" w:right="0" w:firstLine="12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被授权人电子邮箱：</w:t>
      </w:r>
      <w:r>
        <w:rPr>
          <w:rFonts w:ascii="宋体" w:hAnsi="宋体" w:eastAsia="宋体" w:cs="宋体"/>
          <w:color w:val="000000"/>
          <w:sz w:val="24"/>
          <w:u w:val="single"/>
        </w:rPr>
        <w:t xml:space="preserve">           </w:t>
      </w:r>
      <w:r/>
    </w:p>
    <w:p>
      <w:pPr>
        <w:ind w:left="0" w:right="0" w:firstLine="12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授权单位名称：</w:t>
      </w:r>
      <w:r>
        <w:rPr>
          <w:rFonts w:ascii="宋体" w:hAnsi="宋体" w:eastAsia="宋体" w:cs="宋体"/>
          <w:color w:val="000000"/>
          <w:sz w:val="24"/>
          <w:u w:val="single"/>
        </w:rPr>
        <w:t xml:space="preserve">（加盖CA电子公章）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单位地址：</w:t>
      </w:r>
      <w:r>
        <w:rPr>
          <w:rFonts w:ascii="宋体" w:hAnsi="宋体" w:eastAsia="宋体" w:cs="宋体"/>
          <w:color w:val="000000"/>
          <w:sz w:val="24"/>
          <w:u w:val="single"/>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w:t>
      </w:r>
      <w:r>
        <w:rPr>
          <w:rFonts w:ascii="宋体" w:hAnsi="宋体" w:eastAsia="宋体" w:cs="宋体"/>
          <w:color w:val="000000"/>
          <w:sz w:val="24"/>
          <w:u w:val="single"/>
        </w:rPr>
        <w:t xml:space="preserve">           </w:t>
      </w:r>
      <w:r/>
    </w:p>
    <w:p>
      <w:pPr>
        <w:ind w:left="0" w:right="0" w:firstLine="0"/>
        <w:jc w:val="both"/>
        <w:spacing w:before="260" w:after="260"/>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260" w:after="26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附件6               </w:t>
      </w:r>
      <w:r>
        <w:rPr>
          <w:rFonts w:hint="eastAsia" w:ascii="宋体" w:hAnsi="宋体" w:cs="宋体"/>
          <w:b/>
          <w:color w:val="000000"/>
          <w:sz w:val="24"/>
          <w:lang w:val="en-US" w:eastAsia="zh-CN"/>
        </w:rPr>
        <w:t xml:space="preserve"> </w:t>
      </w:r>
      <w:r>
        <w:rPr>
          <w:rFonts w:ascii="宋体" w:hAnsi="宋体" w:eastAsia="宋体" w:cs="宋体"/>
          <w:b/>
          <w:color w:val="000000"/>
          <w:sz w:val="24"/>
        </w:rPr>
        <w:t xml:space="preserve">投标函</w:t>
      </w:r>
      <w:r/>
    </w:p>
    <w:p>
      <w:pPr>
        <w:ind w:left="0" w:right="0" w:firstLine="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致：扬州市公共资源交易中心：</w:t>
      </w:r>
      <w:r/>
    </w:p>
    <w:p>
      <w:pPr>
        <w:ind w:left="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根据贵方的</w:t>
      </w:r>
      <w:r>
        <w:rPr>
          <w:rFonts w:ascii="宋体" w:hAnsi="宋体" w:eastAsia="宋体" w:cs="宋体"/>
          <w:color w:val="000000"/>
          <w:sz w:val="24"/>
          <w:u w:val="single"/>
        </w:rPr>
        <w:t xml:space="preserve">****</w:t>
      </w:r>
      <w:r>
        <w:rPr>
          <w:rFonts w:ascii="宋体" w:hAnsi="宋体" w:eastAsia="宋体" w:cs="宋体"/>
          <w:color w:val="000000"/>
          <w:sz w:val="24"/>
        </w:rPr>
        <w:t xml:space="preserve">号招标文件，正式授权下述签字人_____(姓名)代表我方_______（投标人的名称），全权处理本次项目投标的有关事宜。</w:t>
      </w:r>
      <w:r/>
    </w:p>
    <w:p>
      <w:pPr>
        <w:ind w:left="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据此函，__________签字人兹宣布同意如下：</w:t>
      </w:r>
      <w:r/>
    </w:p>
    <w:p>
      <w:pPr>
        <w:ind w:left="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1.按招标文件规定的各项要求，向买方提供所需货物（包含与货物相关的服务）。</w:t>
      </w:r>
      <w:r/>
    </w:p>
    <w:p>
      <w:pPr>
        <w:ind w:left="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2.我们完全理解贵方不一定将合同授予最低报价的投标人。</w:t>
      </w:r>
      <w:r/>
    </w:p>
    <w:p>
      <w:pPr>
        <w:ind w:left="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3.我们已详细审核全部招标文件及其有效补充文件，我们知道必须放弃提出含糊不清或误解问题的权利。</w:t>
      </w:r>
      <w:r/>
    </w:p>
    <w:p>
      <w:pPr>
        <w:ind w:left="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4.我们同意从规定的开标日期起遵循本投标文件，并在规定的投标有效期期满之前均具有约束力。</w:t>
      </w:r>
      <w:r/>
    </w:p>
    <w:p>
      <w:pPr>
        <w:ind w:left="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5.同意向贵方提供贵方可能另外要求的与投标有关的任何证据或资料，并保证我方已提供和将要提供的文件是真实的、准确的。</w:t>
      </w:r>
      <w:r/>
    </w:p>
    <w:p>
      <w:pPr>
        <w:ind w:left="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6.一旦我方中标,我方将根据招标文件的规定，严格履行合同的责任和义务,并保证在招标文件规定的时间完成项目，交付买方验收、使用。</w:t>
      </w:r>
      <w:r/>
    </w:p>
    <w:p>
      <w:pPr>
        <w:ind w:left="425" w:right="0" w:firstLine="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7.与本投标有关的正式通讯地址为：</w:t>
      </w:r>
      <w:r/>
    </w:p>
    <w:p>
      <w:pPr>
        <w:ind w:left="42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p>
    <w:p>
      <w:pPr>
        <w:ind w:left="42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邮编：</w:t>
      </w:r>
      <w:r/>
    </w:p>
    <w:p>
      <w:pPr>
        <w:ind w:left="42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电话：</w:t>
      </w:r>
      <w:r/>
    </w:p>
    <w:p>
      <w:pPr>
        <w:ind w:left="42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传真：</w:t>
      </w:r>
      <w:r/>
    </w:p>
    <w:p>
      <w:pPr>
        <w:ind w:left="42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投标人开户行：</w:t>
      </w:r>
      <w:r/>
    </w:p>
    <w:p>
      <w:pPr>
        <w:ind w:left="42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账号： </w:t>
      </w:r>
      <w:r/>
    </w:p>
    <w:p>
      <w:pPr>
        <w:ind w:left="42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日期：______年____月____日</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pStyle w:val="722"/>
      </w:pPr>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附件7   </w:t>
      </w:r>
      <w:r>
        <w:rPr>
          <w:rFonts w:ascii="仿宋" w:hAnsi="仿宋" w:eastAsia="仿宋" w:cs="仿宋"/>
          <w:b/>
          <w:color w:val="000000"/>
          <w:sz w:val="24"/>
        </w:rPr>
        <w:t xml:space="preserve">      </w:t>
      </w:r>
      <w:r>
        <w:rPr>
          <w:rFonts w:ascii="宋体" w:hAnsi="宋体" w:eastAsia="宋体" w:cs="宋体"/>
          <w:b/>
          <w:color w:val="000000"/>
          <w:sz w:val="24"/>
        </w:rPr>
        <w:t xml:space="preserve">  </w:t>
      </w:r>
      <w:r>
        <w:rPr>
          <w:rFonts w:hint="eastAsia" w:ascii="宋体" w:hAnsi="宋体" w:cs="宋体"/>
          <w:b/>
          <w:color w:val="000000"/>
          <w:sz w:val="24"/>
          <w:lang w:val="en-US" w:eastAsia="zh-CN"/>
        </w:rPr>
        <w:t xml:space="preserve">      </w:t>
      </w:r>
      <w:r>
        <w:rPr>
          <w:rFonts w:ascii="宋体" w:hAnsi="宋体" w:eastAsia="宋体" w:cs="宋体"/>
          <w:b/>
          <w:color w:val="000000"/>
          <w:sz w:val="24"/>
        </w:rPr>
        <w:t xml:space="preserve">主要标的信息（中标后将公示）</w:t>
      </w:r>
      <w:r/>
    </w:p>
    <w:p>
      <w:pPr>
        <w:ind w:left="0" w:right="0" w:firstLine="0"/>
        <w:jc w:val="both"/>
        <w:spacing w:before="0" w:after="312"/>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投标人全称：</w:t>
      </w:r>
      <w:r/>
    </w:p>
    <w:tbl>
      <w:tblPr>
        <w:tblStyle w:val="752"/>
        <w:tblW w:w="797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84"/>
        <w:gridCol w:w="398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84"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货物类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986"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服务类</w:t>
            </w:r>
            <w:r/>
          </w:p>
        </w:tc>
      </w:tr>
      <w:tr>
        <w:trPr>
          <w:trHeight w:val="3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84"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品牌（如有）：</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规格型号：</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数量：</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86"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服务范围：</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服务要求：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服务时间：</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服务标准：</w:t>
            </w:r>
            <w:r/>
          </w:p>
        </w:tc>
      </w:tr>
    </w:tbl>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附件8</w:t>
      </w:r>
      <w:r/>
    </w:p>
    <w:p>
      <w:pPr>
        <w:ind w:left="0" w:right="0" w:firstLine="1617"/>
        <w:jc w:val="both"/>
        <w:spacing w:before="0" w:after="0"/>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具备履行合同所必需的设备和专业技术能力的书面声明</w:t>
      </w:r>
      <w:r/>
    </w:p>
    <w:p>
      <w:pPr>
        <w:ind w:left="0" w:right="0" w:firstLine="1200"/>
        <w:jc w:val="both"/>
        <w:spacing w:before="0" w:after="0"/>
        <w:pBdr>
          <w:top w:val="none" w:color="000000" w:sz="0" w:space="0"/>
          <w:left w:val="none" w:color="000000" w:sz="0" w:space="0"/>
          <w:bottom w:val="none" w:color="000000" w:sz="0" w:space="0"/>
          <w:right w:val="none" w:color="000000" w:sz="0" w:space="0"/>
        </w:pBdr>
      </w:pPr>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主要设备有：</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主要专业技术能力有：</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附件9</w:t>
      </w:r>
      <w:r>
        <w:rPr>
          <w:rFonts w:ascii="仿宋" w:hAnsi="仿宋" w:eastAsia="仿宋" w:cs="仿宋"/>
          <w:color w:val="000000"/>
          <w:sz w:val="24"/>
        </w:rPr>
        <w:t xml:space="preserve">                        </w:t>
      </w:r>
      <w:r/>
    </w:p>
    <w:p>
      <w:pPr>
        <w:ind w:left="480" w:right="0" w:firstLine="48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参加政府采购活动前 3 年内在经营活动中没有重大违法记录的书面声明</w:t>
      </w:r>
      <w:r/>
    </w:p>
    <w:p>
      <w:pPr>
        <w:ind w:left="0" w:right="0" w:firstLine="0"/>
        <w:jc w:val="center"/>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附件10             供应商信用承诺函</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承诺主体名称：</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统一社会信用代码：</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一、对提供给注册登记部门、行业管理部门、司法部门、行业组织以及在政府采购活动中提交的所有资料的合法性、真实性、准确性和有效性负责；</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二、严格按照国家法律、法规和规章开展采购活动，全面履行应尽的责任和义务，全面做到履约守信，具备《中华人民共和国政府采购法》第二十二条第一款规定的条件;</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三、严格依法开展生产经营活动，主动接受行业监管，自愿接受依法开展的日常检查；违法失信经营后将自愿接受约束和惩戒，并依法承担相应责任；</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四、自觉接受行政管理部门、行业组织、社会公众、新闻舆论的监督；</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五、自觉做到自我约束、自我管理，不制假售假、商标侵权、虚假宣传、违约毁约、恶意逃债、偷税漏税、垄断和不正当竞争，维护经营者、消费者的合法权益；</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六、提出政府采购质疑和投诉坚持依法依规、诚实信用原则，在全国范围12个月内没有三次以上查无实据的政府采购投诉；</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七、严格遵守信用信息公示相关规定，向社会公示信用信息；</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八、在“信用中国”和“中国政府采购网”网站中无严重失信记录；</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九、如违反承诺，自愿接受管理部门依法给予的行政处罚，同意将违反承诺的行为作为不良记录记入信用档案，依法依规进行信息公示，并承担所产生的一切法律责任和经济损失。</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十、本承诺书自签订之日起生效。</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（注：法定代表人或负责人、主体名称发生变更的应当重新做出承诺。）</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承诺单位（加盖CA电子公章）：    </w:t>
      </w:r>
      <w:r/>
    </w:p>
    <w:p>
      <w:pPr>
        <w:ind w:left="0" w:right="0" w:firstLine="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年  月  日</w:t>
      </w:r>
      <w:r/>
    </w:p>
    <w:p>
      <w:pPr>
        <w:ind w:left="0" w:right="0" w:firstLine="0"/>
        <w:jc w:val="both"/>
        <w:spacing w:before="260" w:after="26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260" w:after="26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260" w:after="26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260" w:after="26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260" w:after="26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260" w:after="26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42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4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 </w:t>
      </w:r>
      <w:r/>
    </w:p>
    <w:p>
      <w:pPr>
        <w:ind w:left="0" w:right="0" w:firstLine="24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附件11    中小企业声明函（货物类项目）（采购包号：**）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本公司（联合体）郑重声明，根据《政府采购促进中小企业发展管理办法》（财库﹝2020﹞46 号）的规定，本公司（联合体）参加扬州市公共资源交易中心组织的</w:t>
      </w:r>
      <w:r>
        <w:rPr>
          <w:rFonts w:ascii="宋体" w:hAnsi="宋体" w:eastAsia="宋体" w:cs="宋体"/>
          <w:color w:val="000000"/>
          <w:sz w:val="24"/>
          <w:u w:val="single"/>
        </w:rPr>
        <w:t xml:space="preserve">（项目名称），（项目编号）</w:t>
      </w:r>
      <w:r>
        <w:rPr>
          <w:rFonts w:ascii="宋体" w:hAnsi="宋体" w:eastAsia="宋体" w:cs="宋体"/>
          <w:color w:val="000000"/>
          <w:sz w:val="24"/>
        </w:rPr>
        <w:t xml:space="preserve">的采购活动，提供的货物全部由符合政策要求的中小企业制造。相关企业（含联合体中的中小企业、签订分包意向协议的中小企业）的具体情况如下：</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1. </w:t>
      </w:r>
      <w:r>
        <w:rPr>
          <w:rFonts w:ascii="宋体" w:hAnsi="宋体" w:eastAsia="宋体" w:cs="宋体"/>
          <w:color w:val="000000"/>
          <w:sz w:val="24"/>
          <w:u w:val="single"/>
        </w:rPr>
        <w:t xml:space="preserve">（标的名称） </w:t>
      </w:r>
      <w:r>
        <w:rPr>
          <w:rFonts w:ascii="宋体" w:hAnsi="宋体" w:eastAsia="宋体" w:cs="宋体"/>
          <w:color w:val="000000"/>
          <w:sz w:val="24"/>
        </w:rPr>
        <w:t xml:space="preserve">，属于</w:t>
      </w:r>
      <w:r>
        <w:rPr>
          <w:rFonts w:ascii="宋体" w:hAnsi="宋体" w:eastAsia="宋体" w:cs="宋体"/>
          <w:color w:val="000000"/>
          <w:sz w:val="24"/>
          <w:u w:val="single"/>
        </w:rPr>
        <w:t xml:space="preserve">（</w:t>
      </w:r>
      <w:r>
        <w:rPr>
          <w:rFonts w:hint="eastAsia" w:ascii="宋体" w:hAnsi="宋体" w:cs="宋体"/>
          <w:color w:val="ff0000"/>
          <w:sz w:val="24"/>
          <w:u w:val="single"/>
          <w:lang w:val="en-US" w:eastAsia="zh-CN"/>
        </w:rPr>
        <w:t xml:space="preserve">工业</w:t>
      </w:r>
      <w:r>
        <w:rPr>
          <w:rFonts w:ascii="宋体" w:hAnsi="宋体" w:eastAsia="宋体" w:cs="宋体"/>
          <w:color w:val="000000"/>
          <w:sz w:val="24"/>
          <w:u w:val="single"/>
        </w:rPr>
        <w:t xml:space="preserve">）</w:t>
      </w:r>
      <w:r>
        <w:rPr>
          <w:rFonts w:ascii="宋体" w:hAnsi="宋体" w:eastAsia="宋体" w:cs="宋体"/>
          <w:color w:val="000000"/>
          <w:sz w:val="24"/>
        </w:rPr>
        <w:t xml:space="preserve">行业；</w:t>
      </w:r>
      <w:r>
        <w:rPr>
          <w:rFonts w:ascii="宋体" w:hAnsi="宋体" w:eastAsia="宋体" w:cs="宋体"/>
          <w:color w:val="ff0000"/>
          <w:sz w:val="24"/>
        </w:rPr>
        <w:t xml:space="preserve">制造商</w:t>
      </w:r>
      <w:r>
        <w:rPr>
          <w:rFonts w:ascii="宋体" w:hAnsi="宋体" w:eastAsia="宋体" w:cs="宋体"/>
          <w:color w:val="000000"/>
          <w:sz w:val="24"/>
        </w:rPr>
        <w:t xml:space="preserve">为</w:t>
      </w:r>
      <w:r>
        <w:rPr>
          <w:rFonts w:ascii="宋体" w:hAnsi="宋体" w:eastAsia="宋体" w:cs="宋体"/>
          <w:color w:val="000000"/>
          <w:sz w:val="24"/>
          <w:u w:val="single"/>
        </w:rPr>
        <w:t xml:space="preserve">（企业名称）</w:t>
      </w:r>
      <w:r>
        <w:rPr>
          <w:rFonts w:ascii="宋体" w:hAnsi="宋体" w:eastAsia="宋体" w:cs="宋体"/>
          <w:color w:val="000000"/>
          <w:sz w:val="24"/>
        </w:rPr>
        <w:t xml:space="preserve">，从业人员</w:t>
      </w:r>
      <w:r>
        <w:rPr>
          <w:rFonts w:ascii="宋体" w:hAnsi="宋体" w:eastAsia="宋体" w:cs="宋体"/>
          <w:color w:val="000000"/>
          <w:sz w:val="24"/>
          <w:u w:val="single"/>
        </w:rPr>
        <w:t xml:space="preserve">    </w:t>
      </w:r>
      <w:r>
        <w:rPr>
          <w:rFonts w:ascii="宋体" w:hAnsi="宋体" w:eastAsia="宋体" w:cs="宋体"/>
          <w:color w:val="000000"/>
          <w:sz w:val="24"/>
        </w:rPr>
        <w:t xml:space="preserve">人，营业收入为</w:t>
      </w:r>
      <w:r>
        <w:rPr>
          <w:rFonts w:ascii="宋体" w:hAnsi="宋体" w:eastAsia="宋体" w:cs="宋体"/>
          <w:color w:val="000000"/>
          <w:sz w:val="24"/>
          <w:u w:val="single"/>
        </w:rPr>
        <w:t xml:space="preserve">    </w:t>
      </w:r>
      <w:r>
        <w:rPr>
          <w:rFonts w:ascii="宋体" w:hAnsi="宋体" w:eastAsia="宋体" w:cs="宋体"/>
          <w:color w:val="000000"/>
          <w:sz w:val="24"/>
        </w:rPr>
        <w:t xml:space="preserve">万元，资产总额为 </w:t>
      </w:r>
      <w:r>
        <w:rPr>
          <w:rFonts w:ascii="宋体" w:hAnsi="宋体" w:eastAsia="宋体" w:cs="宋体"/>
          <w:color w:val="000000"/>
          <w:sz w:val="24"/>
          <w:u w:val="single"/>
        </w:rPr>
        <w:t xml:space="preserve">    </w:t>
      </w:r>
      <w:r>
        <w:rPr>
          <w:rFonts w:ascii="宋体" w:hAnsi="宋体" w:eastAsia="宋体" w:cs="宋体"/>
          <w:color w:val="000000"/>
          <w:sz w:val="24"/>
        </w:rPr>
        <w:t xml:space="preserve">万元，属于（</w:t>
      </w:r>
      <w:r>
        <w:rPr>
          <w:rFonts w:ascii="宋体" w:hAnsi="宋体" w:eastAsia="宋体" w:cs="宋体"/>
          <w:color w:val="000000"/>
          <w:sz w:val="24"/>
          <w:u w:val="single"/>
        </w:rPr>
        <w:t xml:space="preserve">□中型企业、□小型企业、□微型企业</w:t>
      </w: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 </w:t>
      </w:r>
      <w:r>
        <w:rPr>
          <w:rFonts w:ascii="宋体" w:hAnsi="宋体" w:eastAsia="宋体" w:cs="宋体"/>
          <w:color w:val="000000"/>
          <w:sz w:val="24"/>
          <w:u w:val="single"/>
        </w:rPr>
        <w:t xml:space="preserve">（标的名称） </w:t>
      </w:r>
      <w:r>
        <w:rPr>
          <w:rFonts w:ascii="宋体" w:hAnsi="宋体" w:eastAsia="宋体" w:cs="宋体"/>
          <w:color w:val="000000"/>
          <w:sz w:val="24"/>
        </w:rPr>
        <w:t xml:space="preserve">，属于</w:t>
      </w:r>
      <w:r>
        <w:rPr>
          <w:rFonts w:ascii="宋体" w:hAnsi="宋体" w:eastAsia="宋体" w:cs="宋体"/>
          <w:color w:val="000000"/>
          <w:sz w:val="24"/>
          <w:u w:val="single"/>
        </w:rPr>
        <w:t xml:space="preserve">（</w:t>
      </w:r>
      <w:r>
        <w:rPr>
          <w:rFonts w:hint="eastAsia" w:ascii="宋体" w:hAnsi="宋体" w:cs="宋体"/>
          <w:color w:val="ff0000"/>
          <w:sz w:val="24"/>
          <w:u w:val="single"/>
          <w:lang w:val="en-US" w:eastAsia="zh-CN"/>
        </w:rPr>
        <w:t xml:space="preserve">工业</w:t>
      </w:r>
      <w:r>
        <w:rPr>
          <w:rFonts w:ascii="宋体" w:hAnsi="宋体" w:eastAsia="宋体" w:cs="宋体"/>
          <w:color w:val="000000"/>
          <w:sz w:val="24"/>
          <w:u w:val="single"/>
        </w:rPr>
        <w:t xml:space="preserve">）</w:t>
      </w:r>
      <w:r>
        <w:rPr>
          <w:rFonts w:ascii="宋体" w:hAnsi="宋体" w:eastAsia="宋体" w:cs="宋体"/>
          <w:color w:val="000000"/>
          <w:sz w:val="24"/>
        </w:rPr>
        <w:t xml:space="preserve">行业；</w:t>
      </w:r>
      <w:r>
        <w:rPr>
          <w:rFonts w:ascii="宋体" w:hAnsi="宋体" w:eastAsia="宋体" w:cs="宋体"/>
          <w:color w:val="ff0000"/>
          <w:sz w:val="24"/>
        </w:rPr>
        <w:t xml:space="preserve">制造商</w:t>
      </w:r>
      <w:r>
        <w:rPr>
          <w:rFonts w:ascii="宋体" w:hAnsi="宋体" w:eastAsia="宋体" w:cs="宋体"/>
          <w:color w:val="000000"/>
          <w:sz w:val="24"/>
        </w:rPr>
        <w:t xml:space="preserve">为</w:t>
      </w:r>
      <w:r>
        <w:rPr>
          <w:rFonts w:ascii="宋体" w:hAnsi="宋体" w:eastAsia="宋体" w:cs="宋体"/>
          <w:color w:val="000000"/>
          <w:sz w:val="24"/>
          <w:u w:val="single"/>
        </w:rPr>
        <w:t xml:space="preserve">（企业名称）</w:t>
      </w:r>
      <w:r>
        <w:rPr>
          <w:rFonts w:ascii="宋体" w:hAnsi="宋体" w:eastAsia="宋体" w:cs="宋体"/>
          <w:color w:val="000000"/>
          <w:sz w:val="24"/>
        </w:rPr>
        <w:t xml:space="preserve">，从业人员</w:t>
      </w:r>
      <w:r>
        <w:rPr>
          <w:rFonts w:ascii="宋体" w:hAnsi="宋体" w:eastAsia="宋体" w:cs="宋体"/>
          <w:color w:val="000000"/>
          <w:sz w:val="24"/>
          <w:u w:val="single"/>
        </w:rPr>
        <w:t xml:space="preserve">    </w:t>
      </w:r>
      <w:r>
        <w:rPr>
          <w:rFonts w:ascii="宋体" w:hAnsi="宋体" w:eastAsia="宋体" w:cs="宋体"/>
          <w:color w:val="000000"/>
          <w:sz w:val="24"/>
        </w:rPr>
        <w:t xml:space="preserve">人，营业收入为</w:t>
      </w:r>
      <w:r>
        <w:rPr>
          <w:rFonts w:ascii="宋体" w:hAnsi="宋体" w:eastAsia="宋体" w:cs="宋体"/>
          <w:color w:val="000000"/>
          <w:sz w:val="24"/>
          <w:u w:val="single"/>
        </w:rPr>
        <w:t xml:space="preserve">    </w:t>
      </w:r>
      <w:r>
        <w:rPr>
          <w:rFonts w:ascii="宋体" w:hAnsi="宋体" w:eastAsia="宋体" w:cs="宋体"/>
          <w:color w:val="000000"/>
          <w:sz w:val="24"/>
        </w:rPr>
        <w:t xml:space="preserve">万元，资产总额为 </w:t>
      </w:r>
      <w:r>
        <w:rPr>
          <w:rFonts w:ascii="宋体" w:hAnsi="宋体" w:eastAsia="宋体" w:cs="宋体"/>
          <w:color w:val="000000"/>
          <w:sz w:val="24"/>
          <w:u w:val="single"/>
        </w:rPr>
        <w:t xml:space="preserve">    </w:t>
      </w:r>
      <w:r>
        <w:rPr>
          <w:rFonts w:ascii="宋体" w:hAnsi="宋体" w:eastAsia="宋体" w:cs="宋体"/>
          <w:color w:val="000000"/>
          <w:sz w:val="24"/>
        </w:rPr>
        <w:t xml:space="preserve">万元，属于（</w:t>
      </w:r>
      <w:r>
        <w:rPr>
          <w:rFonts w:ascii="宋体" w:hAnsi="宋体" w:eastAsia="宋体" w:cs="宋体"/>
          <w:color w:val="000000"/>
          <w:sz w:val="24"/>
          <w:u w:val="single"/>
        </w:rPr>
        <w:t xml:space="preserve">□中型企业、□小型企业、□微型企业</w:t>
      </w:r>
      <w:r>
        <w:rPr>
          <w:rFonts w:ascii="宋体" w:hAnsi="宋体" w:eastAsia="宋体" w:cs="宋体"/>
          <w:color w:val="000000"/>
          <w:sz w:val="24"/>
        </w:rPr>
        <w:t xml:space="preserve">）；</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以上企业，不属于大企业的分支机构，不存在控股股东为大企业的情形，也不存在与大企业的负责人为同一人的情形。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本企业对上述声明内容的真实性负责。如有虚假，将依法承担相应责任。 </w:t>
      </w:r>
      <w:r/>
    </w:p>
    <w:p>
      <w:pPr>
        <w:ind w:left="0" w:right="0" w:firstLine="40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0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企业名称（加盖CA电子公章）：</w:t>
      </w:r>
      <w:r/>
    </w:p>
    <w:p>
      <w:pPr>
        <w:ind w:left="0" w:right="0" w:firstLine="48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1.从业人员、营业收入、资产总额填报上一年度数据，无上一年度数据的新成立企业可不填报。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2.专门面向中小企业采购的项目，供应商如不提供此声明函，则不能通过资格审查；非专门面向中小企业采购的项目，供应商如不提供此声明函，价格将不做相应扣除。</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3.供应商应对照《工业和信息化部、国家统计局、国家发展和改革委员会、</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财政部关于印发中小企业划型标准规定的通知》(工信部联企业[2011]300号)《国家统计局关于印发〈统计上大中小微型企业划分办法（2017）〉的通知》（国统字〔2017〕213号）的规定，自行勾选制造商的企业规模类型。  </w:t>
      </w:r>
      <w:r>
        <w:rPr>
          <w:rFonts w:ascii="宋体" w:hAnsi="宋体" w:eastAsia="宋体" w:cs="宋体"/>
          <w:color w:val="ff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70c0"/>
          <w:sz w:val="21"/>
        </w:rPr>
        <w:t xml:space="preserve"> </w:t>
      </w:r>
      <w:r/>
    </w:p>
    <w:p>
      <w:pPr>
        <w:ind w:left="0" w:right="0" w:firstLine="0"/>
        <w:jc w:val="both"/>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中小微企业划型标准如下：</w:t>
      </w:r>
      <w:r/>
    </w:p>
    <w:tbl>
      <w:tblPr>
        <w:tblStyle w:val="752"/>
        <w:tblW w:w="8945"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33"/>
        <w:gridCol w:w="1276"/>
        <w:gridCol w:w="1417"/>
        <w:gridCol w:w="1701"/>
        <w:gridCol w:w="1701"/>
        <w:gridCol w:w="1417"/>
      </w:tblGrid>
      <w:tr>
        <w:trPr>
          <w:trHeight w:val="28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行业名称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指标名称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计量单位</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中型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小型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微型</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农、林、牧、渔</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工业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建筑业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6000≤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6000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300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Z＜</w:t>
            </w:r>
            <w:r>
              <w:rPr>
                <w:rFonts w:ascii="宋体" w:hAnsi="宋体" w:eastAsia="宋体" w:cs="宋体"/>
                <w:b/>
                <w:color w:val="666666"/>
                <w:sz w:val="21"/>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批发业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5</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零售业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50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交通运输业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200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仓储业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邮政业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住宿业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餐饮业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信息传输业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42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软件和信息技术服务业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房地产开发经营</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2000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物业管理</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租赁和商务服务业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8000≤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120000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8000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其他未列明行业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bl>
    <w:p>
      <w:pPr>
        <w:ind w:left="0" w:right="0" w:firstLine="810"/>
        <w:jc w:val="both"/>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pStyle w:val="722"/>
        <w:rPr>
          <w:rFonts w:ascii="宋体" w:hAnsi="宋体" w:eastAsia="宋体" w:cs="宋体"/>
          <w:b/>
          <w:color w:val="000000"/>
          <w:sz w:val="24"/>
        </w:rPr>
      </w:pPr>
      <w:r>
        <w:rPr>
          <w:rFonts w:ascii="宋体" w:hAnsi="宋体" w:eastAsia="宋体" w:cs="宋体"/>
          <w:b/>
          <w:color w:val="000000"/>
          <w:sz w:val="24"/>
        </w:rPr>
      </w:r>
      <w:r/>
    </w:p>
    <w:p>
      <w:pPr>
        <w:pStyle w:val="724"/>
        <w:rPr>
          <w:rFonts w:ascii="宋体" w:hAnsi="宋体" w:eastAsia="宋体" w:cs="宋体"/>
          <w:b/>
          <w:color w:val="000000"/>
          <w:sz w:val="24"/>
        </w:rPr>
      </w:pPr>
      <w:r>
        <w:rPr>
          <w:rFonts w:ascii="宋体" w:hAnsi="宋体" w:eastAsia="宋体" w:cs="宋体"/>
          <w:b/>
          <w:color w:val="000000"/>
          <w:sz w:val="24"/>
        </w:rPr>
      </w:r>
      <w:r/>
    </w:p>
    <w:p>
      <w:pPr>
        <w:rPr>
          <w:rFonts w:ascii="宋体" w:hAnsi="宋体" w:eastAsia="宋体" w:cs="宋体"/>
          <w:b/>
          <w:color w:val="000000"/>
          <w:sz w:val="24"/>
        </w:rPr>
      </w:pPr>
      <w:r>
        <w:rPr>
          <w:rFonts w:ascii="宋体" w:hAnsi="宋体" w:eastAsia="宋体" w:cs="宋体"/>
          <w:b/>
          <w:color w:val="000000"/>
          <w:sz w:val="24"/>
        </w:rPr>
      </w:r>
      <w:r/>
    </w:p>
    <w:p>
      <w:pPr>
        <w:pStyle w:val="722"/>
        <w:rPr>
          <w:rFonts w:ascii="宋体" w:hAnsi="宋体" w:eastAsia="宋体" w:cs="宋体"/>
          <w:b/>
          <w:color w:val="000000"/>
          <w:sz w:val="24"/>
        </w:rPr>
      </w:pPr>
      <w:r>
        <w:rPr>
          <w:rFonts w:ascii="宋体" w:hAnsi="宋体" w:eastAsia="宋体" w:cs="宋体"/>
          <w:b/>
          <w:color w:val="000000"/>
          <w:sz w:val="24"/>
        </w:rPr>
      </w:r>
      <w:r/>
    </w:p>
    <w:p>
      <w:pPr>
        <w:pStyle w:val="724"/>
        <w:rPr>
          <w:rFonts w:ascii="宋体" w:hAnsi="宋体" w:eastAsia="宋体" w:cs="宋体"/>
          <w:b/>
          <w:color w:val="000000"/>
          <w:sz w:val="24"/>
        </w:rPr>
      </w:pPr>
      <w:r>
        <w:rPr>
          <w:rFonts w:ascii="宋体" w:hAnsi="宋体" w:eastAsia="宋体" w:cs="宋体"/>
          <w:b/>
          <w:color w:val="000000"/>
          <w:sz w:val="24"/>
        </w:rPr>
      </w:r>
      <w:r/>
    </w:p>
    <w:p>
      <w:pPr>
        <w:rPr>
          <w:rFonts w:ascii="宋体" w:hAnsi="宋体" w:eastAsia="宋体" w:cs="宋体"/>
          <w:b/>
          <w:color w:val="000000"/>
          <w:sz w:val="24"/>
        </w:rPr>
      </w:pPr>
      <w:r>
        <w:rPr>
          <w:rFonts w:ascii="宋体" w:hAnsi="宋体" w:eastAsia="宋体" w:cs="宋体"/>
          <w:b/>
          <w:color w:val="000000"/>
          <w:sz w:val="24"/>
        </w:rPr>
      </w:r>
      <w:r/>
    </w:p>
    <w:p>
      <w:pPr>
        <w:pStyle w:val="722"/>
        <w:rPr>
          <w:rFonts w:ascii="宋体" w:hAnsi="宋体" w:eastAsia="宋体" w:cs="宋体"/>
          <w:b/>
          <w:color w:val="000000"/>
          <w:sz w:val="24"/>
        </w:rPr>
      </w:pPr>
      <w:r>
        <w:rPr>
          <w:rFonts w:ascii="宋体" w:hAnsi="宋体" w:eastAsia="宋体" w:cs="宋体"/>
          <w:b/>
          <w:color w:val="000000"/>
          <w:sz w:val="24"/>
        </w:rPr>
      </w:r>
      <w:r/>
    </w:p>
    <w:p>
      <w:pPr>
        <w:pStyle w:val="724"/>
        <w:rPr>
          <w:rFonts w:ascii="宋体" w:hAnsi="宋体" w:eastAsia="宋体" w:cs="宋体"/>
          <w:b/>
          <w:color w:val="000000"/>
          <w:sz w:val="24"/>
        </w:rPr>
      </w:pPr>
      <w:r>
        <w:rPr>
          <w:rFonts w:ascii="宋体" w:hAnsi="宋体" w:eastAsia="宋体" w:cs="宋体"/>
          <w:b/>
          <w:color w:val="000000"/>
          <w:sz w:val="24"/>
        </w:rPr>
      </w:r>
      <w:r/>
    </w:p>
    <w:p>
      <w:pPr>
        <w:rPr>
          <w:rFonts w:ascii="宋体" w:hAnsi="宋体" w:eastAsia="宋体" w:cs="宋体"/>
          <w:b/>
          <w:color w:val="000000"/>
          <w:sz w:val="24"/>
        </w:rPr>
      </w:pPr>
      <w:r>
        <w:rPr>
          <w:rFonts w:ascii="宋体" w:hAnsi="宋体" w:eastAsia="宋体" w:cs="宋体"/>
          <w:b/>
          <w:color w:val="000000"/>
          <w:sz w:val="24"/>
        </w:rPr>
      </w:r>
      <w:r/>
    </w:p>
    <w:p>
      <w:pPr>
        <w:pStyle w:val="722"/>
        <w:rPr>
          <w:rFonts w:ascii="宋体" w:hAnsi="宋体" w:eastAsia="宋体" w:cs="宋体"/>
          <w:b/>
          <w:color w:val="000000"/>
          <w:sz w:val="24"/>
        </w:rPr>
      </w:pPr>
      <w:r>
        <w:rPr>
          <w:rFonts w:ascii="宋体" w:hAnsi="宋体" w:eastAsia="宋体" w:cs="宋体"/>
          <w:b/>
          <w:color w:val="000000"/>
          <w:sz w:val="24"/>
        </w:rPr>
      </w:r>
      <w:r/>
    </w:p>
    <w:p>
      <w:pPr>
        <w:pStyle w:val="724"/>
        <w:rPr>
          <w:rFonts w:ascii="宋体" w:hAnsi="宋体" w:eastAsia="宋体" w:cs="宋体"/>
          <w:b/>
          <w:color w:val="000000"/>
          <w:sz w:val="24"/>
        </w:rPr>
      </w:pPr>
      <w:r>
        <w:rPr>
          <w:rFonts w:ascii="宋体" w:hAnsi="宋体" w:eastAsia="宋体" w:cs="宋体"/>
          <w:b/>
          <w:color w:val="000000"/>
          <w:sz w:val="24"/>
        </w:rPr>
      </w:r>
      <w:r/>
    </w:p>
    <w:p>
      <w:pPr>
        <w:rPr>
          <w:rFonts w:ascii="宋体" w:hAnsi="宋体" w:eastAsia="宋体" w:cs="宋体"/>
          <w:b/>
          <w:color w:val="000000"/>
          <w:sz w:val="24"/>
        </w:rPr>
      </w:pPr>
      <w:r>
        <w:rPr>
          <w:rFonts w:ascii="宋体" w:hAnsi="宋体" w:eastAsia="宋体" w:cs="宋体"/>
          <w:b/>
          <w:color w:val="000000"/>
          <w:sz w:val="24"/>
        </w:rPr>
      </w:r>
      <w:r/>
    </w:p>
    <w:p>
      <w:pPr>
        <w:pStyle w:val="722"/>
        <w:rPr>
          <w:rFonts w:ascii="宋体" w:hAnsi="宋体" w:eastAsia="宋体" w:cs="宋体"/>
          <w:b/>
          <w:color w:val="000000"/>
          <w:sz w:val="24"/>
        </w:rPr>
      </w:pPr>
      <w:r>
        <w:rPr>
          <w:rFonts w:ascii="宋体" w:hAnsi="宋体" w:eastAsia="宋体" w:cs="宋体"/>
          <w:b/>
          <w:color w:val="000000"/>
          <w:sz w:val="24"/>
        </w:rPr>
      </w:r>
      <w:r/>
    </w:p>
    <w:p>
      <w:pPr>
        <w:pStyle w:val="724"/>
      </w:pPr>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附件12     残疾人福利性单位声明函（货物类项目）（采购包号：**）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ascii="宋体" w:hAnsi="宋体" w:eastAsia="宋体" w:cs="宋体"/>
          <w:color w:val="000000"/>
          <w:sz w:val="24"/>
          <w:u w:val="single"/>
        </w:rPr>
        <w:t xml:space="preserve">****</w:t>
      </w:r>
      <w:r>
        <w:rPr>
          <w:rFonts w:ascii="宋体" w:hAnsi="宋体" w:eastAsia="宋体" w:cs="宋体"/>
          <w:color w:val="000000"/>
          <w:sz w:val="24"/>
        </w:rPr>
        <w:t xml:space="preserve">的</w:t>
      </w:r>
      <w:r>
        <w:rPr>
          <w:rFonts w:ascii="宋体" w:hAnsi="宋体" w:eastAsia="宋体" w:cs="宋体"/>
          <w:color w:val="000000"/>
          <w:sz w:val="24"/>
          <w:u w:val="single"/>
        </w:rPr>
        <w:t xml:space="preserve">       </w:t>
      </w:r>
      <w:r>
        <w:rPr>
          <w:rFonts w:ascii="宋体" w:hAnsi="宋体" w:eastAsia="宋体" w:cs="宋体"/>
          <w:color w:val="000000"/>
          <w:sz w:val="24"/>
        </w:rPr>
        <w:t xml:space="preserve">项目（采购包号：**）采购活动提供本单位制造的货物，或者提供其他残疾人福利性单位制造的货物（不包括使用非残疾人福利性单位注册商标的货物）。</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本单位对上述声明的真实性负责。如有虚假，将依法承担相应责任。</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1.专门面向中小企业采购的项目，供应商为残疾人福利性单位并提供本单位制造的货物，或者提供其他残疾人福利性单位制造的货物，必须提供此声明函，否则将不能通过资格审查。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 非专门面向中小企业采购的项目，供应商如不提供此声明函，价格将不做相应扣除。</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3.中标/成交供应商为残疾人福利性单位的，此声明函将随中标/成交结果同时公告，接受社会监督。</w:t>
      </w:r>
      <w:r/>
    </w:p>
    <w:p>
      <w:pPr>
        <w:ind w:left="0" w:right="0" w:firstLine="624"/>
        <w:jc w:val="both"/>
        <w:spacing w:before="0" w:after="0" w:line="587"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6"/>
          <w:sz w:val="30"/>
        </w:rPr>
        <w:t xml:space="preserve"> </w:t>
      </w:r>
      <w:r/>
    </w:p>
    <w:p>
      <w:pPr>
        <w:ind w:left="0" w:right="1559" w:firstLine="624"/>
        <w:jc w:val="center"/>
        <w:spacing w:before="0" w:after="0" w:line="4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6"/>
          <w:sz w:val="30"/>
        </w:rPr>
        <w:t xml:space="preserve">             </w:t>
      </w:r>
      <w:r>
        <w:rPr>
          <w:rFonts w:ascii="宋体" w:hAnsi="宋体" w:eastAsia="宋体" w:cs="宋体"/>
          <w:color w:val="000000"/>
          <w:sz w:val="24"/>
        </w:rPr>
        <w:t xml:space="preserve">     供应商全称（加盖CA电子公章）：</w:t>
      </w:r>
      <w:r/>
    </w:p>
    <w:p>
      <w:pPr>
        <w:ind w:left="0" w:right="1559" w:firstLine="48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w:t>
      </w:r>
      <w:r/>
    </w:p>
    <w:p>
      <w:pPr>
        <w:ind w:left="0" w:right="0" w:firstLine="0"/>
        <w:jc w:val="both"/>
        <w:spacing w:before="0" w:after="0" w:line="40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pStyle w:val="722"/>
        <w:rPr>
          <w:rFonts w:ascii="宋体" w:hAnsi="宋体" w:eastAsia="宋体" w:cs="宋体"/>
          <w:b/>
          <w:color w:val="000000"/>
          <w:sz w:val="24"/>
        </w:rPr>
      </w:pPr>
      <w:r>
        <w:rPr>
          <w:rFonts w:ascii="宋体" w:hAnsi="宋体" w:eastAsia="宋体" w:cs="宋体"/>
          <w:b/>
          <w:color w:val="000000"/>
          <w:sz w:val="24"/>
        </w:rPr>
      </w:r>
      <w:r/>
    </w:p>
    <w:p>
      <w:pPr>
        <w:pStyle w:val="724"/>
        <w:rPr>
          <w:rFonts w:ascii="宋体" w:hAnsi="宋体" w:eastAsia="宋体" w:cs="宋体"/>
          <w:b/>
          <w:color w:val="000000"/>
          <w:sz w:val="24"/>
        </w:rPr>
      </w:pPr>
      <w:r>
        <w:rPr>
          <w:rFonts w:ascii="宋体" w:hAnsi="宋体" w:eastAsia="宋体" w:cs="宋体"/>
          <w:b/>
          <w:color w:val="000000"/>
          <w:sz w:val="24"/>
        </w:rPr>
      </w:r>
      <w:r/>
    </w:p>
    <w:p>
      <w:pPr>
        <w:rPr>
          <w:rFonts w:ascii="宋体" w:hAnsi="宋体" w:eastAsia="宋体" w:cs="宋体"/>
          <w:b/>
          <w:color w:val="000000"/>
          <w:sz w:val="24"/>
        </w:rPr>
      </w:pPr>
      <w:r>
        <w:rPr>
          <w:rFonts w:ascii="宋体" w:hAnsi="宋体" w:eastAsia="宋体" w:cs="宋体"/>
          <w:b/>
          <w:color w:val="000000"/>
          <w:sz w:val="24"/>
        </w:rPr>
      </w:r>
      <w:r/>
    </w:p>
    <w:p>
      <w:pPr>
        <w:pStyle w:val="722"/>
        <w:rPr>
          <w:rFonts w:ascii="宋体" w:hAnsi="宋体" w:eastAsia="宋体" w:cs="宋体"/>
          <w:b/>
          <w:color w:val="000000"/>
          <w:sz w:val="24"/>
        </w:rPr>
      </w:pPr>
      <w:r>
        <w:rPr>
          <w:rFonts w:ascii="宋体" w:hAnsi="宋体" w:eastAsia="宋体" w:cs="宋体"/>
          <w:b/>
          <w:color w:val="000000"/>
          <w:sz w:val="24"/>
        </w:rPr>
      </w:r>
      <w:r/>
    </w:p>
    <w:p>
      <w:pPr>
        <w:pStyle w:val="724"/>
        <w:rPr>
          <w:rFonts w:ascii="宋体" w:hAnsi="宋体" w:eastAsia="宋体" w:cs="宋体"/>
          <w:b/>
          <w:color w:val="000000"/>
          <w:sz w:val="24"/>
        </w:rPr>
      </w:pPr>
      <w:r>
        <w:rPr>
          <w:rFonts w:ascii="宋体" w:hAnsi="宋体" w:eastAsia="宋体" w:cs="宋体"/>
          <w:b/>
          <w:color w:val="000000"/>
          <w:sz w:val="24"/>
        </w:rPr>
      </w:r>
      <w:r/>
    </w:p>
    <w:p>
      <w:pPr>
        <w:rPr>
          <w:rFonts w:ascii="宋体" w:hAnsi="宋体" w:eastAsia="宋体" w:cs="宋体"/>
          <w:b/>
          <w:color w:val="000000"/>
          <w:sz w:val="24"/>
        </w:rPr>
      </w:pPr>
      <w:r>
        <w:rPr>
          <w:rFonts w:ascii="宋体" w:hAnsi="宋体" w:eastAsia="宋体" w:cs="宋体"/>
          <w:b/>
          <w:color w:val="000000"/>
          <w:sz w:val="24"/>
        </w:rPr>
      </w:r>
      <w:r/>
    </w:p>
    <w:p>
      <w:pPr>
        <w:pStyle w:val="722"/>
        <w:rPr>
          <w:rFonts w:ascii="宋体" w:hAnsi="宋体" w:eastAsia="宋体" w:cs="宋体"/>
          <w:b/>
          <w:color w:val="000000"/>
          <w:sz w:val="24"/>
        </w:rPr>
      </w:pPr>
      <w:r>
        <w:rPr>
          <w:rFonts w:ascii="宋体" w:hAnsi="宋体" w:eastAsia="宋体" w:cs="宋体"/>
          <w:b/>
          <w:color w:val="000000"/>
          <w:sz w:val="24"/>
        </w:rPr>
      </w:r>
      <w:r/>
    </w:p>
    <w:p>
      <w:pPr>
        <w:pStyle w:val="724"/>
        <w:rPr>
          <w:rFonts w:ascii="宋体" w:hAnsi="宋体" w:eastAsia="宋体" w:cs="宋体"/>
          <w:b/>
          <w:color w:val="000000"/>
          <w:sz w:val="24"/>
        </w:rPr>
      </w:pPr>
      <w:r>
        <w:rPr>
          <w:rFonts w:ascii="宋体" w:hAnsi="宋体" w:eastAsia="宋体" w:cs="宋体"/>
          <w:b/>
          <w:color w:val="000000"/>
          <w:sz w:val="24"/>
        </w:rPr>
      </w:r>
      <w:r/>
    </w:p>
    <w:p>
      <w:pPr>
        <w:rPr>
          <w:rFonts w:ascii="宋体" w:hAnsi="宋体" w:eastAsia="宋体" w:cs="宋体"/>
          <w:b/>
          <w:color w:val="000000"/>
          <w:sz w:val="24"/>
        </w:rPr>
      </w:pPr>
      <w:r>
        <w:rPr>
          <w:rFonts w:ascii="宋体" w:hAnsi="宋体" w:eastAsia="宋体" w:cs="宋体"/>
          <w:b/>
          <w:color w:val="000000"/>
          <w:sz w:val="24"/>
        </w:rPr>
      </w:r>
      <w:r/>
    </w:p>
    <w:p>
      <w:pPr>
        <w:pStyle w:val="722"/>
        <w:rPr>
          <w:rFonts w:ascii="宋体" w:hAnsi="宋体" w:eastAsia="宋体" w:cs="宋体"/>
          <w:b/>
          <w:color w:val="000000"/>
          <w:sz w:val="24"/>
        </w:rPr>
      </w:pPr>
      <w:r>
        <w:rPr>
          <w:rFonts w:ascii="宋体" w:hAnsi="宋体" w:eastAsia="宋体" w:cs="宋体"/>
          <w:b/>
          <w:color w:val="000000"/>
          <w:sz w:val="24"/>
        </w:rPr>
      </w:r>
      <w:r/>
    </w:p>
    <w:p>
      <w:pPr>
        <w:pStyle w:val="724"/>
        <w:rPr>
          <w:rFonts w:ascii="宋体" w:hAnsi="宋体" w:eastAsia="宋体" w:cs="宋体"/>
          <w:b/>
          <w:color w:val="000000"/>
          <w:sz w:val="24"/>
        </w:rPr>
      </w:pPr>
      <w:r>
        <w:rPr>
          <w:rFonts w:ascii="宋体" w:hAnsi="宋体" w:eastAsia="宋体" w:cs="宋体"/>
          <w:b/>
          <w:color w:val="000000"/>
          <w:sz w:val="24"/>
        </w:rPr>
      </w:r>
      <w:r/>
    </w:p>
    <w:p>
      <w:pPr>
        <w:rPr>
          <w:rFonts w:ascii="宋体" w:hAnsi="宋体" w:eastAsia="宋体" w:cs="宋体"/>
          <w:b/>
          <w:color w:val="000000"/>
          <w:sz w:val="24"/>
        </w:rPr>
      </w:pPr>
      <w:r>
        <w:rPr>
          <w:rFonts w:ascii="宋体" w:hAnsi="宋体" w:eastAsia="宋体" w:cs="宋体"/>
          <w:b/>
          <w:color w:val="000000"/>
          <w:sz w:val="24"/>
        </w:rPr>
      </w:r>
      <w:r/>
    </w:p>
    <w:p>
      <w:pPr>
        <w:pStyle w:val="722"/>
      </w:pPr>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rPr>
          <w:rFonts w:ascii="宋体" w:hAnsi="宋体" w:eastAsia="宋体" w:cs="宋体"/>
          <w:b/>
          <w:bCs/>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rPr>
        <w:t xml:space="preserve"> 附件13 </w:t>
      </w:r>
      <w:r>
        <w:rPr>
          <w:rFonts w:hint="eastAsia" w:ascii="宋体" w:hAnsi="宋体" w:cs="宋体"/>
          <w:b/>
          <w:bCs/>
          <w:color w:val="000000"/>
          <w:sz w:val="24"/>
          <w:szCs w:val="24"/>
          <w:lang w:val="en-US" w:eastAsia="zh-CN"/>
        </w:rPr>
        <w:t xml:space="preserve">      </w:t>
      </w:r>
      <w:r>
        <w:rPr>
          <w:rFonts w:ascii="宋体" w:hAnsi="宋体" w:eastAsia="宋体" w:cs="宋体"/>
          <w:b/>
          <w:bCs/>
          <w:color w:val="000000"/>
          <w:sz w:val="24"/>
          <w:szCs w:val="24"/>
        </w:rPr>
        <w:t xml:space="preserve">关于符合本国产品标准的声明函（采购包号：**）</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p>
      <w:pPr>
        <w:pStyle w:val="746"/>
        <w:ind w:left="0" w:right="0" w:firstLine="480"/>
        <w:keepLines w:val="0"/>
        <w:keepNext w:val="0"/>
        <w:pageBreakBefore w:val="0"/>
        <w:spacing w:before="0" w:beforeAutospacing="0" w:after="0" w:afterAutospacing="0" w:line="400" w:lineRule="exact"/>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46"/>
        <w:ind w:left="0" w:right="0" w:firstLine="480"/>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1.</w:t>
      </w:r>
      <w:r>
        <w:rPr>
          <w:rStyle w:val="749"/>
          <w:rFonts w:hint="eastAsia" w:ascii="宋体" w:hAnsi="宋体" w:eastAsia="宋体" w:cs="宋体"/>
          <w:i w:val="0"/>
          <w:iCs w:val="0"/>
          <w:caps w:val="0"/>
          <w:color w:val="auto"/>
          <w:spacing w:val="0"/>
          <w:sz w:val="24"/>
          <w:szCs w:val="24"/>
          <w:highlight w:val="none"/>
          <w:u w:val="single"/>
          <w:shd w:val="clear" w:color="auto" w:fill="ffffff"/>
        </w:rPr>
        <w:t xml:space="preserve">（产品名称1）</w:t>
      </w:r>
      <w:r>
        <w:rPr>
          <w:rStyle w:val="749"/>
          <w:rFonts w:hint="eastAsia" w:ascii="宋体" w:hAnsi="宋体" w:eastAsia="宋体" w:cs="宋体"/>
          <w:i w:val="0"/>
          <w:iCs w:val="0"/>
          <w:caps w:val="0"/>
          <w:color w:val="auto"/>
          <w:spacing w:val="0"/>
          <w:sz w:val="24"/>
          <w:szCs w:val="24"/>
          <w:highlight w:val="none"/>
          <w:u w:val="none"/>
          <w:shd w:val="clear" w:color="auto" w:fill="ffffff"/>
          <w:vertAlign w:val="superscript"/>
        </w:rPr>
        <w:t xml:space="preserve">1</w:t>
      </w:r>
      <w:r>
        <w:rPr>
          <w:rFonts w:hint="eastAsia" w:ascii="宋体" w:hAnsi="宋体" w:eastAsia="宋体" w:cs="宋体"/>
          <w:i w:val="0"/>
          <w:iCs w:val="0"/>
          <w:caps w:val="0"/>
          <w:color w:val="auto"/>
          <w:spacing w:val="0"/>
          <w:sz w:val="24"/>
          <w:szCs w:val="24"/>
          <w:highlight w:val="none"/>
          <w:shd w:val="clear" w:color="auto" w:fill="ffffff"/>
        </w:rPr>
        <w:t xml:space="preserve">，生产厂为</w:t>
      </w:r>
      <w:r>
        <w:rPr>
          <w:rStyle w:val="749"/>
          <w:rFonts w:hint="eastAsia" w:ascii="宋体" w:hAnsi="宋体" w:eastAsia="宋体" w:cs="宋体"/>
          <w:i w:val="0"/>
          <w:iCs w:val="0"/>
          <w:caps w:val="0"/>
          <w:color w:val="auto"/>
          <w:spacing w:val="0"/>
          <w:sz w:val="24"/>
          <w:szCs w:val="24"/>
          <w:highlight w:val="none"/>
          <w:u w:val="single"/>
          <w:shd w:val="clear" w:color="auto" w:fill="ffffff"/>
        </w:rPr>
        <w:t xml:space="preserve">（厂名）</w:t>
      </w:r>
      <w:r>
        <w:rPr>
          <w:rStyle w:val="749"/>
          <w:rFonts w:hint="eastAsia" w:ascii="宋体" w:hAnsi="宋体" w:eastAsia="宋体" w:cs="宋体"/>
          <w:i w:val="0"/>
          <w:iCs w:val="0"/>
          <w:caps w:val="0"/>
          <w:color w:val="auto"/>
          <w:spacing w:val="0"/>
          <w:sz w:val="24"/>
          <w:szCs w:val="24"/>
          <w:highlight w:val="none"/>
          <w:u w:val="none"/>
          <w:shd w:val="clear" w:color="auto" w:fill="ffffff"/>
          <w:vertAlign w:val="superscript"/>
        </w:rPr>
        <w:t xml:space="preserve">2</w:t>
      </w:r>
      <w:r>
        <w:rPr>
          <w:rFonts w:hint="eastAsia" w:ascii="宋体" w:hAnsi="宋体" w:eastAsia="宋体" w:cs="宋体"/>
          <w:i w:val="0"/>
          <w:iCs w:val="0"/>
          <w:caps w:val="0"/>
          <w:color w:val="auto"/>
          <w:spacing w:val="0"/>
          <w:sz w:val="24"/>
          <w:szCs w:val="24"/>
          <w:highlight w:val="none"/>
          <w:shd w:val="clear" w:color="auto" w:fill="ffffff"/>
        </w:rPr>
        <w:t xml:space="preserve">，厂址为</w:t>
      </w:r>
      <w:r>
        <w:rPr>
          <w:rStyle w:val="749"/>
          <w:rFonts w:hint="eastAsia" w:ascii="宋体" w:hAnsi="宋体" w:eastAsia="宋体" w:cs="宋体"/>
          <w:i w:val="0"/>
          <w:iCs w:val="0"/>
          <w:caps w:val="0"/>
          <w:color w:val="auto"/>
          <w:spacing w:val="0"/>
          <w:sz w:val="24"/>
          <w:szCs w:val="24"/>
          <w:highlight w:val="none"/>
          <w:u w:val="single"/>
          <w:shd w:val="clear" w:color="auto" w:fill="ffffff"/>
        </w:rPr>
        <w:t xml:space="preserve">（生产厂址）</w:t>
      </w:r>
      <w:r>
        <w:rPr>
          <w:rFonts w:hint="eastAsia" w:ascii="宋体" w:hAnsi="宋体" w:eastAsia="宋体" w:cs="宋体"/>
          <w:i w:val="0"/>
          <w:iCs w:val="0"/>
          <w:caps w:val="0"/>
          <w:color w:val="auto"/>
          <w:spacing w:val="0"/>
          <w:sz w:val="24"/>
          <w:szCs w:val="24"/>
          <w:highlight w:val="none"/>
          <w:shd w:val="clear" w:color="auto" w:fill="ffffff"/>
        </w:rPr>
        <w:t xml:space="preserve">。</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749"/>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的中国境内生产的组件成本占比≥</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749"/>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749"/>
          <w:rFonts w:hint="eastAsia" w:ascii="宋体" w:hAnsi="宋体" w:eastAsia="宋体" w:cs="宋体"/>
          <w:i w:val="0"/>
          <w:iCs w:val="0"/>
          <w:caps w:val="0"/>
          <w:color w:val="auto"/>
          <w:spacing w:val="0"/>
          <w:sz w:val="24"/>
          <w:szCs w:val="24"/>
          <w:highlight w:val="none"/>
          <w:u w:val="none"/>
          <w:shd w:val="clear" w:color="auto" w:fill="ffffff"/>
          <w:vertAlign w:val="superscript"/>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749"/>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的</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749"/>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749"/>
          <w:rFonts w:hint="eastAsia" w:ascii="宋体" w:hAnsi="宋体" w:eastAsia="宋体" w:cs="宋体"/>
          <w:i w:val="0"/>
          <w:iCs w:val="0"/>
          <w:caps w:val="0"/>
          <w:color w:val="auto"/>
          <w:spacing w:val="0"/>
          <w:sz w:val="24"/>
          <w:szCs w:val="24"/>
          <w:highlight w:val="none"/>
          <w:u w:val="none"/>
          <w:shd w:val="clear" w:color="auto" w:fill="ffffff"/>
          <w:vertAlign w:val="superscript"/>
        </w:rPr>
        <w:t xml:space="preserve">4</w:t>
      </w:r>
      <w:r>
        <w:rPr>
          <w:rFonts w:hint="eastAsia" w:ascii="宋体" w:hAnsi="宋体" w:eastAsia="宋体" w:cs="宋体"/>
          <w:i w:val="0"/>
          <w:iCs w:val="0"/>
          <w:caps w:val="0"/>
          <w:color w:val="auto"/>
          <w:spacing w:val="0"/>
          <w:sz w:val="24"/>
          <w:szCs w:val="24"/>
          <w:highlight w:val="none"/>
          <w:shd w:val="clear" w:color="auto" w:fill="ffffff"/>
        </w:rPr>
        <w:t xml:space="preserve">在中国境内生产。</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749"/>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的</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749"/>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749"/>
          <w:rFonts w:hint="eastAsia" w:ascii="宋体" w:hAnsi="宋体" w:eastAsia="宋体" w:cs="宋体"/>
          <w:i w:val="0"/>
          <w:iCs w:val="0"/>
          <w:caps w:val="0"/>
          <w:color w:val="auto"/>
          <w:spacing w:val="0"/>
          <w:sz w:val="24"/>
          <w:szCs w:val="24"/>
          <w:highlight w:val="none"/>
          <w:u w:val="none"/>
          <w:shd w:val="clear" w:color="auto" w:fill="ffffff"/>
          <w:vertAlign w:val="superscript"/>
        </w:rPr>
        <w:t xml:space="preserve">5</w:t>
      </w:r>
      <w:r>
        <w:rPr>
          <w:rFonts w:hint="eastAsia" w:ascii="宋体" w:hAnsi="宋体" w:eastAsia="宋体" w:cs="宋体"/>
          <w:i w:val="0"/>
          <w:iCs w:val="0"/>
          <w:caps w:val="0"/>
          <w:color w:val="auto"/>
          <w:spacing w:val="0"/>
          <w:sz w:val="24"/>
          <w:szCs w:val="24"/>
          <w:highlight w:val="none"/>
          <w:shd w:val="clear" w:color="auto" w:fill="ffffff"/>
        </w:rPr>
        <w:t xml:space="preserve">在中国境内完成。</w:t>
      </w:r>
      <w:r/>
    </w:p>
    <w:p>
      <w:pPr>
        <w:pStyle w:val="746"/>
        <w:ind w:left="0" w:right="0" w:firstLine="480"/>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749"/>
          <w:rFonts w:hint="eastAsia" w:ascii="宋体" w:hAnsi="宋体" w:eastAsia="宋体" w:cs="宋体"/>
          <w:i w:val="0"/>
          <w:iCs w:val="0"/>
          <w:caps w:val="0"/>
          <w:color w:val="auto"/>
          <w:spacing w:val="0"/>
          <w:sz w:val="24"/>
          <w:szCs w:val="24"/>
          <w:highlight w:val="none"/>
          <w:u w:val="single"/>
          <w:shd w:val="clear" w:color="auto" w:fill="ffffff"/>
        </w:rPr>
        <w:t xml:space="preserve">（产品名称</w:t>
      </w:r>
      <w:r>
        <w:rPr>
          <w:rStyle w:val="749"/>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2</w:t>
      </w:r>
      <w:r>
        <w:rPr>
          <w:rStyle w:val="749"/>
          <w:rFonts w:hint="eastAsia" w:ascii="宋体" w:hAnsi="宋体" w:eastAsia="宋体" w:cs="宋体"/>
          <w:i w:val="0"/>
          <w:iCs w:val="0"/>
          <w:caps w:val="0"/>
          <w:color w:val="auto"/>
          <w:spacing w:val="0"/>
          <w:sz w:val="24"/>
          <w:szCs w:val="24"/>
          <w:highlight w:val="none"/>
          <w:u w:val="single"/>
          <w:shd w:val="clear" w:color="auto" w:fill="ffffff"/>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，生产厂为</w:t>
      </w:r>
      <w:r>
        <w:rPr>
          <w:rStyle w:val="749"/>
          <w:rFonts w:hint="eastAsia" w:ascii="宋体" w:hAnsi="宋体" w:eastAsia="宋体" w:cs="宋体"/>
          <w:i w:val="0"/>
          <w:iCs w:val="0"/>
          <w:caps w:val="0"/>
          <w:color w:val="auto"/>
          <w:spacing w:val="0"/>
          <w:sz w:val="24"/>
          <w:szCs w:val="24"/>
          <w:highlight w:val="none"/>
          <w:u w:val="single"/>
          <w:shd w:val="clear" w:color="auto" w:fill="ffffff"/>
        </w:rPr>
        <w:t xml:space="preserve">（厂名）</w:t>
      </w:r>
      <w:r>
        <w:rPr>
          <w:rFonts w:hint="eastAsia" w:ascii="宋体" w:hAnsi="宋体" w:eastAsia="宋体" w:cs="宋体"/>
          <w:i w:val="0"/>
          <w:iCs w:val="0"/>
          <w:caps w:val="0"/>
          <w:color w:val="auto"/>
          <w:spacing w:val="0"/>
          <w:sz w:val="24"/>
          <w:szCs w:val="24"/>
          <w:highlight w:val="none"/>
          <w:shd w:val="clear" w:color="auto" w:fill="ffffff"/>
        </w:rPr>
        <w:t xml:space="preserve">，厂址为</w:t>
      </w:r>
      <w:r>
        <w:rPr>
          <w:rStyle w:val="749"/>
          <w:rFonts w:hint="eastAsia" w:ascii="宋体" w:hAnsi="宋体" w:eastAsia="宋体" w:cs="宋体"/>
          <w:i w:val="0"/>
          <w:iCs w:val="0"/>
          <w:caps w:val="0"/>
          <w:color w:val="auto"/>
          <w:spacing w:val="0"/>
          <w:sz w:val="24"/>
          <w:szCs w:val="24"/>
          <w:highlight w:val="none"/>
          <w:u w:val="single"/>
          <w:shd w:val="clear" w:color="auto" w:fill="ffffff"/>
        </w:rPr>
        <w:t xml:space="preserve">（生产厂址）</w:t>
      </w:r>
      <w:r>
        <w:rPr>
          <w:rFonts w:hint="eastAsia" w:ascii="宋体" w:hAnsi="宋体" w:eastAsia="宋体" w:cs="宋体"/>
          <w:i w:val="0"/>
          <w:iCs w:val="0"/>
          <w:caps w:val="0"/>
          <w:color w:val="auto"/>
          <w:spacing w:val="0"/>
          <w:sz w:val="24"/>
          <w:szCs w:val="24"/>
          <w:highlight w:val="none"/>
          <w:shd w:val="clear" w:color="auto" w:fill="ffffff"/>
        </w:rPr>
        <w:t xml:space="preserve">。</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749"/>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的中国境内生产的组件成本占比≥</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749"/>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749"/>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的</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749"/>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在中国境内生产。</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749"/>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的</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749"/>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在中国境内完成。</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w:t>
      </w:r>
      <w:r/>
    </w:p>
    <w:p>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本公司（单位）对上述声明内容的真实性负责。如有虚假，愿承担相应法律责任。</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公司（单位）名称（盖章）：　     </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日期：　   年　  月　  日         </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1.产品如有型号，请在“产品名称”栏一并填写。</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2.生产厂名与厂址应与生产厂营业执照载明的相关信息保持一致。</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3.该产品的中国境内生产的组件成本占比相关要求实施前，“规定比例”栏可不填，下同。</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4.该产品的关键组件要求实施前，“关键组件”栏可不填，下同。</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5.该产品的关键工序要求实施前，“关键工序”栏可不填，下同。</w:t>
      </w:r>
      <w:r/>
    </w:p>
    <w:p>
      <w:pPr>
        <w:pStyle w:val="746"/>
        <w:ind w:firstLine="480"/>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6.《声明函》中标注“  /  ”的地方无需填写。</w:t>
      </w:r>
      <w:r/>
    </w:p>
    <w:p>
      <w:r/>
      <w:r/>
    </w:p>
    <w:p>
      <w:r/>
      <w:r/>
    </w:p>
    <w:p>
      <w:r/>
      <w:r/>
    </w:p>
    <w:p>
      <w:r/>
      <w:r/>
    </w:p>
    <w:p>
      <w:r/>
      <w:r/>
    </w:p>
    <w:p>
      <w:r/>
      <w:r/>
    </w:p>
    <w:p>
      <w:r/>
      <w:r/>
    </w:p>
    <w:p>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
    </w:p>
    <w:p>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line="400" w:lineRule="atLeast"/>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附件14   </w:t>
      </w:r>
      <w:r>
        <w:rPr>
          <w:rFonts w:hint="eastAsia" w:ascii="宋体" w:hAnsi="宋体" w:cs="宋体"/>
          <w:b/>
          <w:color w:val="000000"/>
          <w:sz w:val="24"/>
          <w:lang w:val="en-US" w:eastAsia="zh-CN"/>
        </w:rPr>
        <w:t xml:space="preserve">  </w:t>
      </w:r>
      <w:r>
        <w:rPr>
          <w:rFonts w:ascii="宋体" w:hAnsi="宋体" w:eastAsia="宋体" w:cs="宋体"/>
          <w:b/>
          <w:color w:val="000000"/>
          <w:sz w:val="24"/>
        </w:rPr>
        <w:t xml:space="preserve">   联合体协议（参考格式）（采购包号：**）</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（联合体中各供应商全称）在此达成以下协议：</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1、我们</w:t>
      </w:r>
      <w:r>
        <w:rPr>
          <w:rFonts w:ascii="宋体" w:hAnsi="宋体" w:eastAsia="宋体" w:cs="宋体"/>
          <w:color w:val="000000"/>
          <w:sz w:val="24"/>
          <w:u w:val="single"/>
        </w:rPr>
        <w:t xml:space="preserve"> （供应商1），（供应商2） ，……</w:t>
      </w:r>
      <w:r>
        <w:rPr>
          <w:rFonts w:ascii="宋体" w:hAnsi="宋体" w:eastAsia="宋体" w:cs="宋体"/>
          <w:color w:val="000000"/>
          <w:sz w:val="24"/>
        </w:rPr>
        <w:t xml:space="preserve">自愿组成联合体，参加扬州市公共资源交易中心组织的采购编号为</w:t>
      </w:r>
      <w:r>
        <w:rPr>
          <w:rFonts w:ascii="宋体" w:hAnsi="宋体" w:eastAsia="宋体" w:cs="宋体"/>
          <w:color w:val="000000"/>
          <w:sz w:val="24"/>
          <w:u w:val="single"/>
        </w:rPr>
        <w:t xml:space="preserve">（编号全称），（项目全称）</w:t>
      </w:r>
      <w:r>
        <w:rPr>
          <w:rFonts w:ascii="宋体" w:hAnsi="宋体" w:eastAsia="宋体" w:cs="宋体"/>
          <w:color w:val="000000"/>
          <w:sz w:val="24"/>
        </w:rPr>
        <w:t xml:space="preserve">项目（采购包号：**）的政府采购活动，我联合体指定</w:t>
      </w:r>
      <w:r>
        <w:rPr>
          <w:rFonts w:ascii="宋体" w:hAnsi="宋体" w:eastAsia="宋体" w:cs="宋体"/>
          <w:color w:val="000000"/>
          <w:sz w:val="24"/>
          <w:u w:val="single"/>
        </w:rPr>
        <w:t xml:space="preserve">（供应商*）</w:t>
      </w:r>
      <w:r>
        <w:rPr>
          <w:rFonts w:ascii="宋体" w:hAnsi="宋体" w:eastAsia="宋体" w:cs="宋体"/>
          <w:color w:val="000000"/>
          <w:sz w:val="24"/>
        </w:rPr>
        <w:t xml:space="preserve">为牵头单位（牵头单位必须为联合体成员）。</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3、其中</w:t>
      </w:r>
      <w:r>
        <w:rPr>
          <w:rFonts w:ascii="宋体" w:hAnsi="宋体" w:eastAsia="宋体" w:cs="宋体"/>
          <w:color w:val="000000"/>
          <w:sz w:val="24"/>
          <w:u w:val="single"/>
        </w:rPr>
        <w:t xml:space="preserve">      </w:t>
      </w:r>
      <w:r>
        <w:rPr>
          <w:rFonts w:ascii="宋体" w:hAnsi="宋体" w:eastAsia="宋体" w:cs="宋体"/>
          <w:color w:val="000000"/>
          <w:sz w:val="24"/>
        </w:rPr>
        <w:t xml:space="preserve">（小型、微型企业/残疾人福利性单位/监狱企业全称）为</w:t>
      </w:r>
      <w:r>
        <w:rPr>
          <w:rFonts w:ascii="宋体" w:hAnsi="宋体" w:eastAsia="宋体" w:cs="宋体"/>
          <w:color w:val="000000"/>
          <w:sz w:val="24"/>
          <w:u w:val="single"/>
        </w:rPr>
        <w:t xml:space="preserve">    </w:t>
      </w:r>
      <w:r>
        <w:rPr>
          <w:rFonts w:ascii="宋体" w:hAnsi="宋体" w:eastAsia="宋体" w:cs="宋体"/>
          <w:color w:val="000000"/>
          <w:sz w:val="24"/>
        </w:rPr>
        <w:t xml:space="preserve">（小型、微型企业/残疾人福利性单位/监狱企业）企业，且我们约定该公司/单位所承担的合同金额将占本项目合同总金额的</w:t>
      </w:r>
      <w:r>
        <w:rPr>
          <w:rFonts w:ascii="宋体" w:hAnsi="宋体" w:eastAsia="宋体" w:cs="宋体"/>
          <w:color w:val="000000"/>
          <w:sz w:val="24"/>
          <w:u w:val="single"/>
        </w:rPr>
        <w:t xml:space="preserve">  </w:t>
      </w:r>
      <w:r>
        <w:rPr>
          <w:rFonts w:ascii="宋体" w:hAnsi="宋体" w:eastAsia="宋体" w:cs="宋体"/>
          <w:color w:val="000000"/>
          <w:sz w:val="24"/>
        </w:rPr>
        <w:t xml:space="preserve"> %。</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6"/>
        <w:jc w:val="right"/>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联合体中各供应商全称（公章）：     </w:t>
      </w:r>
      <w:r/>
    </w:p>
    <w:p>
      <w:pPr>
        <w:ind w:left="0" w:right="0" w:firstLine="646"/>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备注：本招标文件中要求加盖CA电子签章的地方，仅需加盖牵头单位的CA电子签章。</w:t>
      </w:r>
      <w:r/>
    </w:p>
    <w:p>
      <w:pPr>
        <w:ind w:left="0" w:right="0" w:firstLine="645"/>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附件15    </w:t>
      </w:r>
      <w:r>
        <w:rPr>
          <w:rFonts w:hint="eastAsia" w:ascii="宋体" w:hAnsi="宋体" w:cs="宋体"/>
          <w:b/>
          <w:color w:val="000000"/>
          <w:sz w:val="24"/>
          <w:lang w:val="en-US" w:eastAsia="zh-CN"/>
        </w:rPr>
        <w:t xml:space="preserve">    </w:t>
      </w:r>
      <w:r>
        <w:rPr>
          <w:rFonts w:ascii="宋体" w:hAnsi="宋体" w:eastAsia="宋体" w:cs="宋体"/>
          <w:b/>
          <w:color w:val="000000"/>
          <w:sz w:val="24"/>
        </w:rPr>
        <w:t xml:space="preserve">  实质性要求响应及偏离表（采购包号：**）</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bl>
      <w:tblPr>
        <w:tblStyle w:val="752"/>
        <w:tblW w:w="866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6"/>
        <w:gridCol w:w="2539"/>
        <w:gridCol w:w="1984"/>
        <w:gridCol w:w="368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39"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技术要求和商务要求中的实质性要求</w:t>
            </w:r>
            <w:r>
              <w:rPr>
                <w:rFonts w:ascii="宋体" w:hAnsi="宋体" w:eastAsia="宋体" w:cs="宋体"/>
                <w:b/>
                <w:color w:val="ff0000"/>
                <w:sz w:val="24"/>
              </w:rPr>
              <w:t xml:space="preserve">（</w:t>
            </w:r>
            <w:r>
              <w:rPr>
                <w:rFonts w:ascii="宋体" w:hAnsi="宋体" w:eastAsia="宋体" w:cs="宋体"/>
                <w:b/>
                <w:i/>
                <w:color w:val="ff0000"/>
                <w:sz w:val="24"/>
                <w:u w:val="single"/>
              </w:rPr>
              <w:t xml:space="preserve">斜体且有下划线部分</w:t>
            </w:r>
            <w:r>
              <w:rPr>
                <w:rFonts w:ascii="宋体" w:hAnsi="宋体" w:eastAsia="宋体" w:cs="宋体"/>
                <w:b/>
                <w:color w:val="ff0000"/>
                <w:sz w:val="24"/>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8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附件14-1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1.投标人必须对技术要求和商务要求中的实质性要求</w:t>
      </w:r>
      <w:r>
        <w:rPr>
          <w:rFonts w:ascii="宋体" w:hAnsi="宋体" w:eastAsia="宋体" w:cs="宋体"/>
          <w:b/>
          <w:color w:val="ff0000"/>
          <w:sz w:val="24"/>
        </w:rPr>
        <w:t xml:space="preserve">（</w:t>
      </w:r>
      <w:r>
        <w:rPr>
          <w:rFonts w:ascii="宋体" w:hAnsi="宋体" w:eastAsia="宋体" w:cs="宋体"/>
          <w:b/>
          <w:i/>
          <w:color w:val="ff0000"/>
          <w:sz w:val="24"/>
          <w:u w:val="single"/>
        </w:rPr>
        <w:t xml:space="preserve">斜体且有下划线部分</w:t>
      </w:r>
      <w:r>
        <w:rPr>
          <w:rFonts w:ascii="宋体" w:hAnsi="宋体" w:eastAsia="宋体" w:cs="宋体"/>
          <w:b/>
          <w:color w:val="ff0000"/>
          <w:sz w:val="24"/>
        </w:rPr>
        <w:t xml:space="preserve">）</w:t>
      </w:r>
      <w:r>
        <w:rPr>
          <w:rFonts w:ascii="宋体" w:hAnsi="宋体" w:eastAsia="宋体" w:cs="宋体"/>
          <w:color w:val="000000"/>
          <w:sz w:val="24"/>
        </w:rPr>
        <w:t xml:space="preserve">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2.如果招标文件要求提供证明材料，投标人必须将证明材料列于该表之下。</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3.投标人未对实质性要求逐条作出明确响应的，或未按招标文件要求提供证明材料的，该采购包作无效投标处理。</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both"/>
        <w:spacing w:before="0" w:after="0"/>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pStyle w:val="722"/>
        <w:rPr>
          <w:rFonts w:ascii="宋体" w:hAnsi="宋体" w:eastAsia="宋体" w:cs="宋体"/>
          <w:b/>
          <w:color w:val="000000"/>
          <w:sz w:val="32"/>
        </w:rPr>
      </w:pPr>
      <w:r>
        <w:rPr>
          <w:rFonts w:ascii="宋体" w:hAnsi="宋体" w:eastAsia="宋体" w:cs="宋体"/>
          <w:b/>
          <w:color w:val="000000"/>
          <w:sz w:val="32"/>
        </w:rPr>
      </w:r>
      <w:r/>
    </w:p>
    <w:p>
      <w:pPr>
        <w:pStyle w:val="724"/>
        <w:rPr>
          <w:rFonts w:ascii="宋体" w:hAnsi="宋体" w:eastAsia="宋体" w:cs="宋体"/>
          <w:b/>
          <w:color w:val="000000"/>
          <w:sz w:val="32"/>
        </w:rPr>
      </w:pPr>
      <w:r>
        <w:rPr>
          <w:rFonts w:ascii="宋体" w:hAnsi="宋体" w:eastAsia="宋体" w:cs="宋体"/>
          <w:b/>
          <w:color w:val="000000"/>
          <w:sz w:val="32"/>
        </w:rPr>
      </w:r>
      <w:r/>
    </w:p>
    <w:p>
      <w:pPr>
        <w:rPr>
          <w:rFonts w:ascii="宋体" w:hAnsi="宋体" w:eastAsia="宋体" w:cs="宋体"/>
          <w:b/>
          <w:color w:val="000000"/>
          <w:sz w:val="32"/>
        </w:rPr>
      </w:pPr>
      <w:r>
        <w:rPr>
          <w:rFonts w:ascii="宋体" w:hAnsi="宋体" w:eastAsia="宋体" w:cs="宋体"/>
          <w:b/>
          <w:color w:val="000000"/>
          <w:sz w:val="32"/>
        </w:rPr>
      </w:r>
      <w:r/>
    </w:p>
    <w:p>
      <w:pPr>
        <w:pStyle w:val="722"/>
        <w:rPr>
          <w:rFonts w:ascii="宋体" w:hAnsi="宋体" w:eastAsia="宋体" w:cs="宋体"/>
          <w:b/>
          <w:color w:val="000000"/>
          <w:sz w:val="32"/>
        </w:rPr>
      </w:pPr>
      <w:r>
        <w:rPr>
          <w:rFonts w:ascii="宋体" w:hAnsi="宋体" w:eastAsia="宋体" w:cs="宋体"/>
          <w:b/>
          <w:color w:val="000000"/>
          <w:sz w:val="32"/>
        </w:rPr>
      </w:r>
      <w:r/>
    </w:p>
    <w:p>
      <w:pPr>
        <w:pStyle w:val="724"/>
      </w:pPr>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质疑函范本</w:t>
      </w:r>
      <w:r/>
    </w:p>
    <w:p>
      <w:pPr>
        <w:ind w:left="0" w:right="0" w:firstLine="0"/>
        <w:jc w:val="both"/>
        <w:spacing w:before="312"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一、质疑供应商基本信息</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质疑供应商：</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ascii="宋体" w:hAnsi="宋体" w:eastAsia="宋体" w:cs="宋体"/>
          <w:color w:val="000000"/>
          <w:sz w:val="24"/>
          <w:u w:val="single"/>
        </w:rPr>
        <w:t xml:space="preserve">           </w:t>
      </w:r>
      <w:r>
        <w:rPr>
          <w:rFonts w:ascii="宋体" w:hAnsi="宋体" w:eastAsia="宋体" w:cs="宋体"/>
          <w:color w:val="000000"/>
          <w:sz w:val="24"/>
        </w:rPr>
        <w:t xml:space="preserve">邮编：</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w:t>
      </w:r>
      <w:r>
        <w:rPr>
          <w:rFonts w:ascii="宋体" w:hAnsi="宋体" w:eastAsia="宋体" w:cs="宋体"/>
          <w:color w:val="000000"/>
          <w:sz w:val="24"/>
          <w:u w:val="single"/>
        </w:rPr>
        <w:t xml:space="preserve">           </w:t>
      </w:r>
      <w:r>
        <w:rPr>
          <w:rFonts w:ascii="宋体" w:hAnsi="宋体" w:eastAsia="宋体" w:cs="宋体"/>
          <w:color w:val="000000"/>
          <w:sz w:val="24"/>
        </w:rPr>
        <w:t xml:space="preserve">联系电话</w:t>
      </w:r>
      <w:r>
        <w:rPr>
          <w:rFonts w:ascii="宋体" w:hAnsi="宋体" w:eastAsia="宋体" w:cs="宋体"/>
          <w:color w:val="000000"/>
          <w:sz w:val="21"/>
        </w:rPr>
        <w:t xml:space="preserve">：</w:t>
      </w:r>
      <w:r>
        <w:rPr>
          <w:rFonts w:ascii="宋体" w:hAnsi="宋体" w:eastAsia="宋体" w:cs="宋体"/>
          <w:color w:val="000000"/>
          <w:sz w:val="21"/>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授权代表：</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联系电话：</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ascii="宋体" w:hAnsi="宋体" w:eastAsia="宋体" w:cs="宋体"/>
          <w:color w:val="000000"/>
          <w:sz w:val="24"/>
          <w:u w:val="single"/>
        </w:rPr>
        <w:t xml:space="preserve">           </w:t>
      </w:r>
      <w:r>
        <w:rPr>
          <w:rFonts w:ascii="宋体" w:hAnsi="宋体" w:eastAsia="宋体" w:cs="宋体"/>
          <w:color w:val="000000"/>
          <w:sz w:val="24"/>
        </w:rPr>
        <w:t xml:space="preserve">邮编：</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二、质疑项目基本情况</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质疑项目的名称：</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质疑项目的编号：</w:t>
      </w:r>
      <w:r>
        <w:rPr>
          <w:rFonts w:ascii="宋体" w:hAnsi="宋体" w:eastAsia="宋体" w:cs="宋体"/>
          <w:color w:val="000000"/>
          <w:sz w:val="24"/>
          <w:u w:val="single"/>
        </w:rPr>
        <w:t xml:space="preserve">           </w:t>
      </w:r>
      <w:r>
        <w:rPr>
          <w:rFonts w:ascii="宋体" w:hAnsi="宋体" w:eastAsia="宋体" w:cs="宋体"/>
          <w:color w:val="000000"/>
          <w:sz w:val="24"/>
        </w:rPr>
        <w:t xml:space="preserve">包号：</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采购人名称：</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采购文件获取日期：</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三、质疑事项具体内容</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质疑事项1：</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事实依据：</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法律依据：</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质疑事项2</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四、与质疑事项相关的质疑请求</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请求：</w:t>
      </w:r>
      <w:r>
        <w:rPr>
          <w:rFonts w:ascii="宋体" w:hAnsi="宋体" w:eastAsia="宋体" w:cs="宋体"/>
          <w:color w:val="000000"/>
          <w:sz w:val="24"/>
          <w:u w:val="single"/>
        </w:rPr>
        <w:t xml:space="preserve">           </w:t>
      </w:r>
      <w:r/>
    </w:p>
    <w:p>
      <w:pPr>
        <w:ind w:left="0" w:right="0" w:firstLine="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签字(签章)：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公章：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质疑函制作说明：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1.供应商提出质疑时，应提交质疑函和必要的证明材料。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3.质疑供应商若对项目的某一采购包进行质疑，质疑函中应列明具体采购包号。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4.质疑函的质疑事项应具体、明确，并有必要的事实依据和法律依据。</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5.质疑函的质疑请求应与质疑事项相关。</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sectPr>
      <w:footerReference w:type="default" r:id="rId10"/>
      <w:footerReference w:type="first" r:id="rId11"/>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华文楷体">
    <w:panose1 w:val="02010600040101010101"/>
  </w:font>
  <w:font w:name="Wingdings">
    <w:panose1 w:val="05000000000000000000"/>
  </w:font>
  <w:font w:name="方正黑体_GBK">
    <w:panose1 w:val="020B0503020202020204"/>
  </w:font>
  <w:font w:name="Tahoma">
    <w:panose1 w:val="020B0604030504040204"/>
  </w:font>
  <w:font w:name="Courier New">
    <w:panose1 w:val="02070309020205020404"/>
  </w:font>
  <w:font w:name="仿宋">
    <w:panose1 w:val="02010609060101010101"/>
  </w:font>
  <w:font w:name="等线">
    <w:panose1 w:val="02010600030101010101"/>
  </w:font>
  <w:font w:name="微软雅黑">
    <w:panose1 w:val="020B0503020204020204"/>
  </w:font>
  <w:font w:name="Calibri">
    <w:panose1 w:val="020F0502020204030204"/>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6"/>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92320" cy="153339"/>
              <wp:effectExtent l="3175" t="3175" r="3175" b="3175"/>
              <wp:wrapNone/>
              <wp:docPr id="1" name="文本框 15"/>
              <wp:cNvGraphicFramePr/>
              <a:graphic xmlns:a="http://schemas.openxmlformats.org/drawingml/2006/main">
                <a:graphicData uri="http://schemas.microsoft.com/office/word/2010/wordprocessingShape">
                  <wps:wsp>
                    <wps:cNvPr id="0" name=""/>
                    <wps:cNvSpPr txBox="1"/>
                    <wps:spPr bwMode="auto">
                      <a:xfrm flipH="0" flipV="0">
                        <a:off x="0" y="0"/>
                        <a:ext cx="192320"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6"/>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w:t>
                          </w:r>
                          <w:r>
                            <w:rPr>
                              <w:rFonts w:hint="eastAsia"/>
                              <w:lang w:eastAsia="zh-CN"/>
                            </w:rP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5.1pt;height:12.1pt;mso-wrap-distance-left:9.0pt;mso-wrap-distance-top:0.0pt;mso-wrap-distance-right:9.0pt;mso-wrap-distance-bottom:0.0pt;v-text-anchor:top;visibility:visible;" filled="f" stroked="f" strokeweight="0.50pt">
              <v:textbox inset="0,0,0,0">
                <w:txbxContent>
                  <w:p>
                    <w:pPr>
                      <w:pStyle w:val="736"/>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w:t>
                    </w:r>
                    <w:r>
                      <w:rPr>
                        <w:rFonts w:hint="eastAsia"/>
                        <w:lang w:eastAsia="zh-CN"/>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6"/>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6"/>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6"/>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pPr>
    </w:lvl>
    <w:lvl w:ilvl="1">
      <w:start w:val="1"/>
      <w:numFmt w:val="bullet"/>
      <w:isLgl w:val="false"/>
      <w:suff w:val="tab"/>
      <w:lvlText w:val="&quot;&quot;&quot;&quot;o&quot;&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quot;&quot;"/>
      <w:lvlJc w:val="left"/>
      <w:pPr>
        <w:ind w:left="2880" w:hanging="360"/>
      </w:pPr>
      <w:rPr>
        <w:rFonts w:hint="default" w:ascii="Symbol" w:hAnsi="Symbol" w:eastAsia="Symbol" w:cs="Symbol"/>
      </w:rPr>
    </w:lvl>
    <w:lvl w:ilvl="4">
      <w:start w:val="1"/>
      <w:numFmt w:val="bullet"/>
      <w:isLgl w:val="false"/>
      <w:suff w:val="tab"/>
      <w:lvlText w:val="&quot;&quot;&quot;&quot;o&quot;&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quot;&quot;"/>
      <w:lvlJc w:val="left"/>
      <w:pPr>
        <w:ind w:left="5040" w:hanging="360"/>
      </w:pPr>
      <w:rPr>
        <w:rFonts w:hint="default" w:ascii="Symbol" w:hAnsi="Symbol" w:eastAsia="Symbol" w:cs="Symbol"/>
      </w:rPr>
    </w:lvl>
    <w:lvl w:ilvl="7">
      <w:start w:val="1"/>
      <w:numFmt w:val="bullet"/>
      <w:isLgl w:val="false"/>
      <w:suff w:val="tab"/>
      <w:lvlText w:val="&quot;&quot;&quot;&quot;o&quot;&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quot;&quot;"/>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第%1章"/>
      <w:lvlJc w:val="left"/>
      <w:pPr>
        <w:ind w:left="1440" w:hanging="1440"/>
      </w:pPr>
      <w:rPr>
        <w:rFonts w:ascii="黑体" w:hAnsi="黑体" w:eastAsia="黑体" w:cs="黑体"/>
        <w:sz w:val="36"/>
      </w:rPr>
    </w:lvl>
    <w:lvl w:ilvl="1">
      <w:start w:val="1"/>
      <w:numFmt w:val="bullet"/>
      <w:isLgl w:val="false"/>
      <w:suff w:val="tab"/>
      <w:lvlText w:val="&quot;&quot;&quot;&quot;&quot;o&quot;&quot;&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quot;&quot;&quot;&quot;"/>
      <w:lvlJc w:val="left"/>
      <w:pPr>
        <w:ind w:left="2880" w:hanging="360"/>
      </w:pPr>
      <w:rPr>
        <w:rFonts w:hint="default" w:ascii="Symbol" w:hAnsi="Symbol" w:eastAsia="Symbol" w:cs="Symbol"/>
      </w:rPr>
    </w:lvl>
    <w:lvl w:ilvl="4">
      <w:start w:val="1"/>
      <w:numFmt w:val="bullet"/>
      <w:isLgl w:val="false"/>
      <w:suff w:val="tab"/>
      <w:lvlText w:val="&quot;&quot;&quot;&quot;&quot;o&quot;&quot;&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quot;&quot;&quot;&quot;"/>
      <w:lvlJc w:val="left"/>
      <w:pPr>
        <w:ind w:left="5040" w:hanging="360"/>
      </w:pPr>
      <w:rPr>
        <w:rFonts w:hint="default" w:ascii="Symbol" w:hAnsi="Symbol" w:eastAsia="Symbol" w:cs="Symbol"/>
      </w:rPr>
    </w:lvl>
    <w:lvl w:ilvl="7">
      <w:start w:val="1"/>
      <w:numFmt w:val="bullet"/>
      <w:isLgl w:val="false"/>
      <w:suff w:val="tab"/>
      <w:lvlText w:val="&quot;&quot;&quot;&quot;&quot;o&quot;&quot;&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quot;&quot;&quot;&quot;"/>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3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6"/>
      <w:numFmt w:val="decimal"/>
      <w:isLgl w:val="false"/>
      <w:suff w:val="tab"/>
      <w:lvlText w:val="%1."/>
      <w:lvlJc w:val="left"/>
      <w:pPr>
        <w:ind w:left="0" w:firstLine="0"/>
      </w:pPr>
    </w:lvl>
    <w:lvl w:ilvl="1">
      <w:start w:val="1"/>
      <w:numFmt w:val="bullet"/>
      <w:isLgl w:val="false"/>
      <w:suff w:val="tab"/>
      <w:lvlText w:val="&quot;&quot;&quot;&quot;o&quot;&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quot;&quot;"/>
      <w:lvlJc w:val="left"/>
      <w:pPr>
        <w:ind w:left="2880" w:hanging="360"/>
      </w:pPr>
      <w:rPr>
        <w:rFonts w:hint="default" w:ascii="Symbol" w:hAnsi="Symbol" w:eastAsia="Symbol" w:cs="Symbol"/>
      </w:rPr>
    </w:lvl>
    <w:lvl w:ilvl="4">
      <w:start w:val="1"/>
      <w:numFmt w:val="bullet"/>
      <w:isLgl w:val="false"/>
      <w:suff w:val="tab"/>
      <w:lvlText w:val="&quot;&quot;&quot;&quot;o&quot;&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quot;&quot;"/>
      <w:lvlJc w:val="left"/>
      <w:pPr>
        <w:ind w:left="5040" w:hanging="360"/>
      </w:pPr>
      <w:rPr>
        <w:rFonts w:hint="default" w:ascii="Symbol" w:hAnsi="Symbol" w:eastAsia="Symbol" w:cs="Symbol"/>
      </w:rPr>
    </w:lvl>
    <w:lvl w:ilvl="7">
      <w:start w:val="1"/>
      <w:numFmt w:val="bullet"/>
      <w:isLgl w:val="false"/>
      <w:suff w:val="tab"/>
      <w:lvlText w:val="&quot;&quot;&quot;&quot;o&quot;&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quot;&quot;"/>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44"/>
      <w:isLgl w:val="false"/>
      <w:suff w:val="nothing"/>
      <w:lvlText w:val=""/>
      <w:lvlJc w:val="left"/>
      <w:pPr>
        <w:ind w:left="0" w:firstLine="0"/>
      </w:pPr>
      <w:rPr>
        <w:rFonts w:hint="eastAsia"/>
      </w:rPr>
    </w:lvl>
    <w:lvl w:ilvl="6">
      <w:start w:val="1"/>
      <w:numFmt w:val="decimal"/>
      <w:pStyle w:val="945"/>
      <w:isLgl w:val="false"/>
      <w:suff w:val="nothing"/>
      <w:lvlText w:val=""/>
      <w:lvlJc w:val="left"/>
      <w:pPr>
        <w:ind w:left="0" w:firstLine="0"/>
      </w:pPr>
      <w:rPr>
        <w:rFonts w:hint="eastAsia"/>
      </w:rPr>
    </w:lvl>
    <w:lvl w:ilvl="7">
      <w:start w:val="1"/>
      <w:numFmt w:val="decimal"/>
      <w:pStyle w:val="946"/>
      <w:isLgl w:val="false"/>
      <w:suff w:val="nothing"/>
      <w:lvlText w:val=""/>
      <w:lvlJc w:val="left"/>
      <w:pPr>
        <w:ind w:left="0" w:firstLine="0"/>
      </w:pPr>
      <w:rPr>
        <w:rFonts w:hint="eastAsia"/>
      </w:rPr>
    </w:lvl>
    <w:lvl w:ilvl="8">
      <w:start w:val="1"/>
      <w:numFmt w:val="decimal"/>
      <w:pStyle w:val="947"/>
      <w:isLgl w:val="false"/>
      <w:suff w:val="nothing"/>
      <w:lvlText w:val=""/>
      <w:lvlJc w:val="left"/>
      <w:pPr>
        <w:ind w:left="0" w:firstLine="0"/>
      </w:pPr>
      <w:rPr>
        <w:rFonts w:hint="eastAsia"/>
      </w:rPr>
    </w:lvl>
  </w:abstractNum>
  <w:abstractNum w:abstractNumId="5">
    <w:multiLevelType w:val="hybridMultilevel"/>
    <w:lvl w:ilvl="0">
      <w:start w:val="1"/>
      <w:numFmt w:val="bullet"/>
      <w:pStyle w:val="730"/>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0"/>
      <w:numFmt w:val="decimal"/>
      <w:isLgl w:val="false"/>
      <w:suff w:val="tab"/>
      <w:lvlText w:val="（%1）"/>
      <w:lvlJc w:val="left"/>
      <w:pPr>
        <w:ind w:left="840" w:firstLine="0"/>
      </w:pPr>
    </w:lvl>
    <w:lvl w:ilvl="1">
      <w:start w:val="1"/>
      <w:numFmt w:val="bullet"/>
      <w:isLgl w:val="false"/>
      <w:suff w:val="tab"/>
      <w:lvlText w:val="&quot;&quot;o&quot;&quot;"/>
      <w:lvlJc w:val="left"/>
      <w:pPr>
        <w:ind w:left="1440" w:hanging="360"/>
      </w:pPr>
      <w:rPr>
        <w:rFonts w:hint="default" w:ascii="Courier New" w:hAnsi="Courier New" w:eastAsia="Courier New" w:cs="Courier New"/>
      </w:rPr>
    </w:lvl>
    <w:lvl w:ilvl="2">
      <w:start w:val="1"/>
      <w:numFmt w:val="bullet"/>
      <w:isLgl w:val="false"/>
      <w:suff w:val="tab"/>
      <w:lvlText w:val="&quot;&quot;§&quot;&quot;"/>
      <w:lvlJc w:val="left"/>
      <w:pPr>
        <w:ind w:left="2160" w:hanging="360"/>
      </w:pPr>
      <w:rPr>
        <w:rFonts w:hint="default" w:ascii="Wingdings" w:hAnsi="Wingdings" w:eastAsia="Wingdings" w:cs="Wingdings"/>
      </w:rPr>
    </w:lvl>
    <w:lvl w:ilvl="3">
      <w:start w:val="1"/>
      <w:numFmt w:val="bullet"/>
      <w:isLgl w:val="false"/>
      <w:suff w:val="tab"/>
      <w:lvlText w:val="&quot;&quot;·&quot;&quot;"/>
      <w:lvlJc w:val="left"/>
      <w:pPr>
        <w:ind w:left="2880" w:hanging="360"/>
      </w:pPr>
      <w:rPr>
        <w:rFonts w:hint="default" w:ascii="Symbol" w:hAnsi="Symbol" w:eastAsia="Symbol" w:cs="Symbol"/>
      </w:rPr>
    </w:lvl>
    <w:lvl w:ilvl="4">
      <w:start w:val="1"/>
      <w:numFmt w:val="bullet"/>
      <w:isLgl w:val="false"/>
      <w:suff w:val="tab"/>
      <w:lvlText w:val="&quot;&quot;o&quot;&quot;"/>
      <w:lvlJc w:val="left"/>
      <w:pPr>
        <w:ind w:left="3600" w:hanging="360"/>
      </w:pPr>
      <w:rPr>
        <w:rFonts w:hint="default" w:ascii="Courier New" w:hAnsi="Courier New" w:eastAsia="Courier New" w:cs="Courier New"/>
      </w:rPr>
    </w:lvl>
    <w:lvl w:ilvl="5">
      <w:start w:val="1"/>
      <w:numFmt w:val="bullet"/>
      <w:isLgl w:val="false"/>
      <w:suff w:val="tab"/>
      <w:lvlText w:val="&quot;&quot;§&quot;&quot;"/>
      <w:lvlJc w:val="left"/>
      <w:pPr>
        <w:ind w:left="4320" w:hanging="360"/>
      </w:pPr>
      <w:rPr>
        <w:rFonts w:hint="default" w:ascii="Wingdings" w:hAnsi="Wingdings" w:eastAsia="Wingdings" w:cs="Wingdings"/>
      </w:rPr>
    </w:lvl>
    <w:lvl w:ilvl="6">
      <w:start w:val="1"/>
      <w:numFmt w:val="bullet"/>
      <w:isLgl w:val="false"/>
      <w:suff w:val="tab"/>
      <w:lvlText w:val="&quot;&quot;·&quot;&quot;"/>
      <w:lvlJc w:val="left"/>
      <w:pPr>
        <w:ind w:left="5040" w:hanging="360"/>
      </w:pPr>
      <w:rPr>
        <w:rFonts w:hint="default" w:ascii="Symbol" w:hAnsi="Symbol" w:eastAsia="Symbol" w:cs="Symbol"/>
      </w:rPr>
    </w:lvl>
    <w:lvl w:ilvl="7">
      <w:start w:val="1"/>
      <w:numFmt w:val="bullet"/>
      <w:isLgl w:val="false"/>
      <w:suff w:val="tab"/>
      <w:lvlText w:val="&quot;&quot;o&quot;&quot;"/>
      <w:lvlJc w:val="left"/>
      <w:pPr>
        <w:ind w:left="5760" w:hanging="360"/>
      </w:pPr>
      <w:rPr>
        <w:rFonts w:hint="default" w:ascii="Courier New" w:hAnsi="Courier New" w:eastAsia="Courier New" w:cs="Courier New"/>
      </w:rPr>
    </w:lvl>
    <w:lvl w:ilvl="8">
      <w:start w:val="1"/>
      <w:numFmt w:val="bullet"/>
      <w:isLgl w:val="false"/>
      <w:suff w:val="tab"/>
      <w:lvlText w:val="&quot;&quot;§&quot;&quot;"/>
      <w:lvlJc w:val="left"/>
      <w:pPr>
        <w:ind w:left="6480" w:hanging="360"/>
      </w:pPr>
      <w:rPr>
        <w:rFonts w:hint="default" w:ascii="Wingdings" w:hAnsi="Wingdings" w:eastAsia="Wingdings" w:cs="Wingdings"/>
      </w:rPr>
    </w:lvl>
  </w:abstractNum>
  <w:abstractNum w:abstractNumId="7">
    <w:multiLevelType w:val="hybridMultilevel"/>
    <w:lvl w:ilvl="0">
      <w:start w:val="10"/>
      <w:numFmt w:val="decimal"/>
      <w:isLgl w:val="false"/>
      <w:suff w:val="tab"/>
      <w:lvlText w:val="%1、"/>
      <w:lvlJc w:val="left"/>
      <w:pPr>
        <w:ind w:left="0" w:firstLine="0"/>
      </w:pPr>
    </w:lvl>
    <w:lvl w:ilvl="1">
      <w:start w:val="1"/>
      <w:numFmt w:val="bullet"/>
      <w:isLgl w:val="false"/>
      <w:suff w:val="tab"/>
      <w:lvlText w:val="&quot;&quot;&quot;o&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
      <w:lvlJc w:val="left"/>
      <w:pPr>
        <w:ind w:left="2880" w:hanging="360"/>
      </w:pPr>
      <w:rPr>
        <w:rFonts w:hint="default" w:ascii="Symbol" w:hAnsi="Symbol" w:eastAsia="Symbol" w:cs="Symbol"/>
      </w:rPr>
    </w:lvl>
    <w:lvl w:ilvl="4">
      <w:start w:val="1"/>
      <w:numFmt w:val="bullet"/>
      <w:isLgl w:val="false"/>
      <w:suff w:val="tab"/>
      <w:lvlText w:val="&quot;&quot;&quot;o&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
      <w:lvlJc w:val="left"/>
      <w:pPr>
        <w:ind w:left="5040" w:hanging="360"/>
      </w:pPr>
      <w:rPr>
        <w:rFonts w:hint="default" w:ascii="Symbol" w:hAnsi="Symbol" w:eastAsia="Symbol" w:cs="Symbol"/>
      </w:rPr>
    </w:lvl>
    <w:lvl w:ilvl="7">
      <w:start w:val="1"/>
      <w:numFmt w:val="bullet"/>
      <w:isLgl w:val="false"/>
      <w:suff w:val="tab"/>
      <w:lvlText w:val="&quot;&quot;&quot;o&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0" w:firstLine="0"/>
      </w:pPr>
    </w:lvl>
    <w:lvl w:ilvl="1">
      <w:start w:val="1"/>
      <w:numFmt w:val="bullet"/>
      <w:isLgl w:val="false"/>
      <w:suff w:val="tab"/>
      <w:lvlText w:val="&quot;&quot;&quot;o&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
      <w:lvlJc w:val="left"/>
      <w:pPr>
        <w:ind w:left="2880" w:hanging="360"/>
      </w:pPr>
      <w:rPr>
        <w:rFonts w:hint="default" w:ascii="Symbol" w:hAnsi="Symbol" w:eastAsia="Symbol" w:cs="Symbol"/>
      </w:rPr>
    </w:lvl>
    <w:lvl w:ilvl="4">
      <w:start w:val="1"/>
      <w:numFmt w:val="bullet"/>
      <w:isLgl w:val="false"/>
      <w:suff w:val="tab"/>
      <w:lvlText w:val="&quot;&quot;&quot;o&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
      <w:lvlJc w:val="left"/>
      <w:pPr>
        <w:ind w:left="5040" w:hanging="360"/>
      </w:pPr>
      <w:rPr>
        <w:rFonts w:hint="default" w:ascii="Symbol" w:hAnsi="Symbol" w:eastAsia="Symbol" w:cs="Symbol"/>
      </w:rPr>
    </w:lvl>
    <w:lvl w:ilvl="7">
      <w:start w:val="1"/>
      <w:numFmt w:val="bullet"/>
      <w:isLgl w:val="false"/>
      <w:suff w:val="tab"/>
      <w:lvlText w:val="&quot;&quot;&quot;o&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0" w:firstLine="0"/>
      </w:pPr>
    </w:lvl>
    <w:lvl w:ilvl="1">
      <w:start w:val="1"/>
      <w:numFmt w:val="bullet"/>
      <w:isLgl w:val="false"/>
      <w:suff w:val="tab"/>
      <w:lvlText w:val="&quot;&quot;&quot;&quot;o&quot;&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quot;&quot;"/>
      <w:lvlJc w:val="left"/>
      <w:pPr>
        <w:ind w:left="2880" w:hanging="360"/>
      </w:pPr>
      <w:rPr>
        <w:rFonts w:hint="default" w:ascii="Symbol" w:hAnsi="Symbol" w:eastAsia="Symbol" w:cs="Symbol"/>
      </w:rPr>
    </w:lvl>
    <w:lvl w:ilvl="4">
      <w:start w:val="1"/>
      <w:numFmt w:val="bullet"/>
      <w:isLgl w:val="false"/>
      <w:suff w:val="tab"/>
      <w:lvlText w:val="&quot;&quot;&quot;&quot;o&quot;&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quot;&quot;"/>
      <w:lvlJc w:val="left"/>
      <w:pPr>
        <w:ind w:left="5040" w:hanging="360"/>
      </w:pPr>
      <w:rPr>
        <w:rFonts w:hint="default" w:ascii="Symbol" w:hAnsi="Symbol" w:eastAsia="Symbol" w:cs="Symbol"/>
      </w:rPr>
    </w:lvl>
    <w:lvl w:ilvl="7">
      <w:start w:val="1"/>
      <w:numFmt w:val="bullet"/>
      <w:isLgl w:val="false"/>
      <w:suff w:val="tab"/>
      <w:lvlText w:val="&quot;&quot;&quot;&quot;o&quot;&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quot;&quot;"/>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upperLetter"/>
      <w:pStyle w:val="102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2"/>
      <w:numFmt w:val="decimal"/>
      <w:isLgl w:val="false"/>
      <w:suff w:val="tab"/>
      <w:lvlText w:val="%1."/>
      <w:lvlJc w:val="left"/>
      <w:pPr>
        <w:ind w:left="0" w:firstLine="0"/>
      </w:pPr>
    </w:lvl>
    <w:lvl w:ilvl="1">
      <w:start w:val="1"/>
      <w:numFmt w:val="bullet"/>
      <w:isLgl w:val="false"/>
      <w:suff w:val="tab"/>
      <w:lvlText w:val="&quot;&quot;&quot;&quot;o&quot;&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quot;&quot;"/>
      <w:lvlJc w:val="left"/>
      <w:pPr>
        <w:ind w:left="2880" w:hanging="360"/>
      </w:pPr>
      <w:rPr>
        <w:rFonts w:hint="default" w:ascii="Symbol" w:hAnsi="Symbol" w:eastAsia="Symbol" w:cs="Symbol"/>
      </w:rPr>
    </w:lvl>
    <w:lvl w:ilvl="4">
      <w:start w:val="1"/>
      <w:numFmt w:val="bullet"/>
      <w:isLgl w:val="false"/>
      <w:suff w:val="tab"/>
      <w:lvlText w:val="&quot;&quot;&quot;&quot;o&quot;&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quot;&quot;"/>
      <w:lvlJc w:val="left"/>
      <w:pPr>
        <w:ind w:left="5040" w:hanging="360"/>
      </w:pPr>
      <w:rPr>
        <w:rFonts w:hint="default" w:ascii="Symbol" w:hAnsi="Symbol" w:eastAsia="Symbol" w:cs="Symbol"/>
      </w:rPr>
    </w:lvl>
    <w:lvl w:ilvl="7">
      <w:start w:val="1"/>
      <w:numFmt w:val="bullet"/>
      <w:isLgl w:val="false"/>
      <w:suff w:val="tab"/>
      <w:lvlText w:val="&quot;&quot;&quot;&quot;o&quot;&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quot;&quot;"/>
      <w:lvlJc w:val="left"/>
      <w:pPr>
        <w:ind w:left="6480" w:hanging="360"/>
      </w:pPr>
      <w:rPr>
        <w:rFonts w:hint="default" w:ascii="Wingdings" w:hAnsi="Wingdings" w:eastAsia="Wingdings" w:cs="Wingdings"/>
      </w:rPr>
    </w:lvl>
  </w:abstractNum>
  <w:abstractNum w:abstractNumId="15">
    <w:multiLevelType w:val="hybridMultilevel"/>
    <w:lvl w:ilvl="0">
      <w:start w:val="6"/>
      <w:numFmt w:val="decimal"/>
      <w:isLgl w:val="false"/>
      <w:suff w:val="tab"/>
      <w:lvlText w:val="（%1）"/>
      <w:lvlJc w:val="left"/>
      <w:pPr>
        <w:ind w:left="275" w:firstLine="0"/>
      </w:pPr>
    </w:lvl>
    <w:lvl w:ilvl="1">
      <w:start w:val="1"/>
      <w:numFmt w:val="bullet"/>
      <w:isLgl w:val="false"/>
      <w:suff w:val="tab"/>
      <w:lvlText w:val="&quot;&quot;o&quot;&quot;"/>
      <w:lvlJc w:val="left"/>
      <w:pPr>
        <w:ind w:left="1440" w:hanging="360"/>
      </w:pPr>
      <w:rPr>
        <w:rFonts w:hint="default" w:ascii="Courier New" w:hAnsi="Courier New" w:eastAsia="Courier New" w:cs="Courier New"/>
      </w:rPr>
    </w:lvl>
    <w:lvl w:ilvl="2">
      <w:start w:val="1"/>
      <w:numFmt w:val="bullet"/>
      <w:isLgl w:val="false"/>
      <w:suff w:val="tab"/>
      <w:lvlText w:val="&quot;&quot;§&quot;&quot;"/>
      <w:lvlJc w:val="left"/>
      <w:pPr>
        <w:ind w:left="2160" w:hanging="360"/>
      </w:pPr>
      <w:rPr>
        <w:rFonts w:hint="default" w:ascii="Wingdings" w:hAnsi="Wingdings" w:eastAsia="Wingdings" w:cs="Wingdings"/>
      </w:rPr>
    </w:lvl>
    <w:lvl w:ilvl="3">
      <w:start w:val="1"/>
      <w:numFmt w:val="bullet"/>
      <w:isLgl w:val="false"/>
      <w:suff w:val="tab"/>
      <w:lvlText w:val="&quot;&quot;·&quot;&quot;"/>
      <w:lvlJc w:val="left"/>
      <w:pPr>
        <w:ind w:left="2880" w:hanging="360"/>
      </w:pPr>
      <w:rPr>
        <w:rFonts w:hint="default" w:ascii="Symbol" w:hAnsi="Symbol" w:eastAsia="Symbol" w:cs="Symbol"/>
      </w:rPr>
    </w:lvl>
    <w:lvl w:ilvl="4">
      <w:start w:val="1"/>
      <w:numFmt w:val="bullet"/>
      <w:isLgl w:val="false"/>
      <w:suff w:val="tab"/>
      <w:lvlText w:val="&quot;&quot;o&quot;&quot;"/>
      <w:lvlJc w:val="left"/>
      <w:pPr>
        <w:ind w:left="3600" w:hanging="360"/>
      </w:pPr>
      <w:rPr>
        <w:rFonts w:hint="default" w:ascii="Courier New" w:hAnsi="Courier New" w:eastAsia="Courier New" w:cs="Courier New"/>
      </w:rPr>
    </w:lvl>
    <w:lvl w:ilvl="5">
      <w:start w:val="1"/>
      <w:numFmt w:val="bullet"/>
      <w:isLgl w:val="false"/>
      <w:suff w:val="tab"/>
      <w:lvlText w:val="&quot;&quot;§&quot;&quot;"/>
      <w:lvlJc w:val="left"/>
      <w:pPr>
        <w:ind w:left="4320" w:hanging="360"/>
      </w:pPr>
      <w:rPr>
        <w:rFonts w:hint="default" w:ascii="Wingdings" w:hAnsi="Wingdings" w:eastAsia="Wingdings" w:cs="Wingdings"/>
      </w:rPr>
    </w:lvl>
    <w:lvl w:ilvl="6">
      <w:start w:val="1"/>
      <w:numFmt w:val="bullet"/>
      <w:isLgl w:val="false"/>
      <w:suff w:val="tab"/>
      <w:lvlText w:val="&quot;&quot;·&quot;&quot;"/>
      <w:lvlJc w:val="left"/>
      <w:pPr>
        <w:ind w:left="5040" w:hanging="360"/>
      </w:pPr>
      <w:rPr>
        <w:rFonts w:hint="default" w:ascii="Symbol" w:hAnsi="Symbol" w:eastAsia="Symbol" w:cs="Symbol"/>
      </w:rPr>
    </w:lvl>
    <w:lvl w:ilvl="7">
      <w:start w:val="1"/>
      <w:numFmt w:val="bullet"/>
      <w:isLgl w:val="false"/>
      <w:suff w:val="tab"/>
      <w:lvlText w:val="&quot;&quot;o&quot;&quot;"/>
      <w:lvlJc w:val="left"/>
      <w:pPr>
        <w:ind w:left="5760" w:hanging="360"/>
      </w:pPr>
      <w:rPr>
        <w:rFonts w:hint="default" w:ascii="Courier New" w:hAnsi="Courier New" w:eastAsia="Courier New" w:cs="Courier New"/>
      </w:rPr>
    </w:lvl>
    <w:lvl w:ilvl="8">
      <w:start w:val="1"/>
      <w:numFmt w:val="bullet"/>
      <w:isLgl w:val="false"/>
      <w:suff w:val="tab"/>
      <w:lvlText w:val="&quot;&quot;§&quot;&quot;"/>
      <w:lvlJc w:val="left"/>
      <w:pPr>
        <w:ind w:left="6480" w:hanging="360"/>
      </w:pPr>
      <w:rPr>
        <w:rFonts w:hint="default" w:ascii="Wingdings" w:hAnsi="Wingdings" w:eastAsia="Wingdings" w:cs="Wingdings"/>
      </w:rPr>
    </w:lvl>
  </w:abstractNum>
  <w:num w:numId="1">
    <w:abstractNumId w:val="5"/>
  </w:num>
  <w:num w:numId="2">
    <w:abstractNumId w:val="4"/>
  </w:num>
  <w:num w:numId="3">
    <w:abstractNumId w:val="13"/>
  </w:num>
  <w:num w:numId="4">
    <w:abstractNumId w:val="2"/>
  </w:num>
  <w:num w:numId="5">
    <w:abstractNumId w:val="1"/>
  </w:num>
  <w:num w:numId="6">
    <w:abstractNumId w:val="7"/>
  </w:num>
  <w:num w:numId="7">
    <w:abstractNumId w:val="8"/>
  </w:num>
  <w:num w:numId="8">
    <w:abstractNumId w:val="15"/>
  </w:num>
  <w:num w:numId="9">
    <w:abstractNumId w:val="6"/>
  </w:num>
  <w:num w:numId="10">
    <w:abstractNumId w:val="0"/>
  </w:num>
  <w:num w:numId="11">
    <w:abstractNumId w:val="9"/>
  </w:num>
  <w:num w:numId="12">
    <w:abstractNumId w:val="14"/>
  </w:num>
  <w:num w:numId="13">
    <w:abstractNumId w:val="3"/>
  </w:num>
  <w:num w:numId="14">
    <w:abstractNumId w:val="11"/>
  </w:num>
  <w:num w:numId="15">
    <w:abstractNumId w:val="10"/>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0" w:default="1">
    <w:name w:val="Normal"/>
    <w:next w:val="722"/>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11">
    <w:name w:val="Heading 1"/>
    <w:basedOn w:val="710"/>
    <w:next w:val="710"/>
    <w:link w:val="791"/>
    <w:uiPriority w:val="9"/>
    <w:qFormat/>
    <w:pPr>
      <w:keepLines/>
      <w:keepNext/>
      <w:spacing w:before="480" w:after="200"/>
      <w:outlineLvl w:val="0"/>
    </w:pPr>
    <w:rPr>
      <w:rFonts w:ascii="Arial" w:hAnsi="Arial" w:eastAsia="黑体" w:cs="Arial"/>
      <w:sz w:val="44"/>
      <w:szCs w:val="40"/>
    </w:rPr>
  </w:style>
  <w:style w:type="paragraph" w:styleId="712">
    <w:name w:val="Heading 2"/>
    <w:basedOn w:val="710"/>
    <w:next w:val="725"/>
    <w:link w:val="792"/>
    <w:uiPriority w:val="9"/>
    <w:unhideWhenUsed/>
    <w:qFormat/>
    <w:pPr>
      <w:keepLines/>
      <w:keepNext/>
      <w:spacing w:before="360" w:after="200"/>
      <w:outlineLvl w:val="1"/>
    </w:pPr>
    <w:rPr>
      <w:rFonts w:ascii="Arial" w:hAnsi="Arial" w:eastAsia="Arial" w:cs="Arial"/>
      <w:sz w:val="34"/>
    </w:rPr>
  </w:style>
  <w:style w:type="paragraph" w:styleId="713">
    <w:name w:val="Heading 3"/>
    <w:basedOn w:val="710"/>
    <w:next w:val="710"/>
    <w:link w:val="793"/>
    <w:uiPriority w:val="9"/>
    <w:unhideWhenUsed/>
    <w:qFormat/>
    <w:pPr>
      <w:keepLines/>
      <w:keepNext/>
      <w:spacing w:before="320" w:after="200"/>
      <w:outlineLvl w:val="2"/>
    </w:pPr>
    <w:rPr>
      <w:rFonts w:ascii="Arial" w:hAnsi="Arial" w:eastAsia="Arial" w:cs="Arial"/>
      <w:sz w:val="30"/>
      <w:szCs w:val="30"/>
    </w:rPr>
  </w:style>
  <w:style w:type="paragraph" w:styleId="714">
    <w:name w:val="Heading 4"/>
    <w:basedOn w:val="710"/>
    <w:next w:val="710"/>
    <w:link w:val="794"/>
    <w:uiPriority w:val="9"/>
    <w:unhideWhenUsed/>
    <w:qFormat/>
    <w:pPr>
      <w:keepLines/>
      <w:keepNext/>
      <w:spacing w:before="320" w:after="200"/>
      <w:outlineLvl w:val="3"/>
    </w:pPr>
    <w:rPr>
      <w:rFonts w:ascii="Arial" w:hAnsi="Arial" w:eastAsia="Arial" w:cs="Arial"/>
      <w:b/>
      <w:bCs/>
      <w:sz w:val="26"/>
      <w:szCs w:val="26"/>
    </w:rPr>
  </w:style>
  <w:style w:type="paragraph" w:styleId="715">
    <w:name w:val="Heading 5"/>
    <w:basedOn w:val="710"/>
    <w:next w:val="710"/>
    <w:link w:val="795"/>
    <w:uiPriority w:val="9"/>
    <w:unhideWhenUsed/>
    <w:qFormat/>
    <w:pPr>
      <w:keepLines/>
      <w:keepNext/>
      <w:spacing w:before="320" w:after="200"/>
      <w:outlineLvl w:val="4"/>
    </w:pPr>
    <w:rPr>
      <w:rFonts w:ascii="Arial" w:hAnsi="Arial" w:eastAsia="Arial" w:cs="Arial"/>
      <w:b/>
      <w:bCs/>
      <w:sz w:val="24"/>
      <w:szCs w:val="24"/>
    </w:rPr>
  </w:style>
  <w:style w:type="paragraph" w:styleId="716">
    <w:name w:val="Heading 6"/>
    <w:basedOn w:val="710"/>
    <w:next w:val="710"/>
    <w:link w:val="796"/>
    <w:uiPriority w:val="9"/>
    <w:unhideWhenUsed/>
    <w:qFormat/>
    <w:pPr>
      <w:keepLines/>
      <w:keepNext/>
      <w:spacing w:before="320" w:after="200"/>
      <w:outlineLvl w:val="5"/>
    </w:pPr>
    <w:rPr>
      <w:rFonts w:ascii="Arial" w:hAnsi="Arial" w:eastAsia="Arial" w:cs="Arial"/>
      <w:b/>
      <w:bCs/>
      <w:sz w:val="22"/>
      <w:szCs w:val="22"/>
    </w:rPr>
  </w:style>
  <w:style w:type="paragraph" w:styleId="717">
    <w:name w:val="Heading 7"/>
    <w:basedOn w:val="710"/>
    <w:next w:val="710"/>
    <w:link w:val="797"/>
    <w:uiPriority w:val="9"/>
    <w:unhideWhenUsed/>
    <w:qFormat/>
    <w:pPr>
      <w:keepLines/>
      <w:keepNext/>
      <w:spacing w:before="320" w:after="200"/>
      <w:outlineLvl w:val="6"/>
    </w:pPr>
    <w:rPr>
      <w:rFonts w:ascii="Arial" w:hAnsi="Arial" w:eastAsia="Arial" w:cs="Arial"/>
      <w:b/>
      <w:bCs/>
      <w:i/>
      <w:iCs/>
      <w:sz w:val="22"/>
      <w:szCs w:val="22"/>
    </w:rPr>
  </w:style>
  <w:style w:type="paragraph" w:styleId="718">
    <w:name w:val="Heading 8"/>
    <w:basedOn w:val="710"/>
    <w:next w:val="710"/>
    <w:link w:val="798"/>
    <w:uiPriority w:val="9"/>
    <w:unhideWhenUsed/>
    <w:qFormat/>
    <w:pPr>
      <w:keepLines/>
      <w:keepNext/>
      <w:spacing w:before="320" w:after="200"/>
      <w:outlineLvl w:val="7"/>
    </w:pPr>
    <w:rPr>
      <w:rFonts w:ascii="Arial" w:hAnsi="Arial" w:eastAsia="Arial" w:cs="Arial"/>
      <w:i/>
      <w:iCs/>
      <w:sz w:val="22"/>
      <w:szCs w:val="22"/>
    </w:rPr>
  </w:style>
  <w:style w:type="paragraph" w:styleId="719">
    <w:name w:val="Heading 9"/>
    <w:basedOn w:val="710"/>
    <w:next w:val="710"/>
    <w:link w:val="799"/>
    <w:uiPriority w:val="9"/>
    <w:unhideWhenUsed/>
    <w:qFormat/>
    <w:pPr>
      <w:keepLines/>
      <w:keepNext/>
      <w:spacing w:before="320" w:after="200"/>
      <w:outlineLvl w:val="8"/>
    </w:pPr>
    <w:rPr>
      <w:rFonts w:ascii="Arial" w:hAnsi="Arial" w:eastAsia="Arial" w:cs="Arial"/>
      <w:i/>
      <w:iCs/>
    </w:rPr>
  </w:style>
  <w:style w:type="character" w:styleId="720" w:default="1">
    <w:name w:val="Default Paragraph Font"/>
    <w:uiPriority w:val="1"/>
    <w:semiHidden/>
    <w:unhideWhenUsed/>
    <w:qFormat/>
  </w:style>
  <w:style w:type="table" w:styleId="721" w:default="1">
    <w:name w:val="Normal Table"/>
    <w:uiPriority w:val="99"/>
    <w:semiHidden/>
    <w:unhideWhenUsed/>
    <w:qFormat/>
    <w:tblPr>
      <w:tblLayout w:type="fixed"/>
      <w:tblCellMar>
        <w:left w:w="108" w:type="dxa"/>
        <w:top w:w="0" w:type="dxa"/>
        <w:right w:w="108" w:type="dxa"/>
        <w:bottom w:w="0" w:type="dxa"/>
      </w:tblCellMar>
    </w:tblPr>
  </w:style>
  <w:style w:type="paragraph" w:styleId="722" w:customStyle="1">
    <w:name w:val="正文文本1"/>
    <w:basedOn w:val="723"/>
    <w:next w:val="724"/>
    <w:link w:val="954"/>
    <w:uiPriority w:val="0"/>
    <w:qFormat/>
    <w:rPr>
      <w:rFonts w:ascii="楷体_GB2312" w:hAnsi="Arial" w:eastAsia="楷体_GB2312"/>
      <w:sz w:val="28"/>
      <w:szCs w:val="28"/>
    </w:rPr>
  </w:style>
  <w:style w:type="paragraph" w:styleId="723" w:customStyle="1">
    <w:name w:val="正文1"/>
    <w:basedOn w:val="710"/>
    <w:next w:val="722"/>
    <w:uiPriority w:val="99"/>
    <w:qFormat/>
    <w:pPr>
      <w:ind w:firstLine="480"/>
      <w:spacing w:line="440" w:lineRule="exact"/>
    </w:pPr>
    <w:rPr>
      <w:rFonts w:ascii="微软雅黑" w:hAnsi="微软雅黑" w:eastAsia="微软雅黑"/>
      <w:sz w:val="24"/>
      <w:szCs w:val="20"/>
    </w:rPr>
  </w:style>
  <w:style w:type="paragraph" w:styleId="724" w:customStyle="1">
    <w:name w:val="正文缩进1"/>
    <w:basedOn w:val="710"/>
    <w:next w:val="710"/>
    <w:link w:val="975"/>
    <w:uiPriority w:val="0"/>
    <w:qFormat/>
    <w:pPr>
      <w:ind w:firstLine="420"/>
    </w:pPr>
  </w:style>
  <w:style w:type="paragraph" w:styleId="725">
    <w:name w:val="Normal Indent"/>
    <w:basedOn w:val="710"/>
    <w:uiPriority w:val="0"/>
    <w:unhideWhenUsed/>
    <w:qFormat/>
    <w:pPr>
      <w:ind w:firstLine="420"/>
    </w:pPr>
    <w:rPr>
      <w:rFonts w:ascii="Times New Roman" w:hAnsi="Times New Roman"/>
    </w:rPr>
  </w:style>
  <w:style w:type="paragraph" w:styleId="726">
    <w:name w:val="toc 7"/>
    <w:basedOn w:val="710"/>
    <w:next w:val="710"/>
    <w:uiPriority w:val="39"/>
    <w:unhideWhenUsed/>
    <w:qFormat/>
    <w:pPr>
      <w:ind w:left="1701"/>
      <w:spacing w:after="57"/>
    </w:pPr>
  </w:style>
  <w:style w:type="paragraph" w:styleId="727">
    <w:name w:val="Body Text First Indent"/>
    <w:basedOn w:val="728"/>
    <w:uiPriority w:val="0"/>
    <w:unhideWhenUsed/>
    <w:qFormat/>
    <w:pPr>
      <w:ind w:firstLine="420"/>
      <w:spacing w:after="120"/>
    </w:pPr>
    <w:rPr>
      <w:rFonts w:ascii="Times New Roman" w:hAnsi="Times New Roman" w:eastAsia="宋体"/>
      <w:sz w:val="21"/>
      <w:szCs w:val="21"/>
    </w:rPr>
  </w:style>
  <w:style w:type="paragraph" w:styleId="728">
    <w:name w:val="Body Text"/>
    <w:basedOn w:val="710"/>
    <w:uiPriority w:val="0"/>
    <w:qFormat/>
    <w:rPr>
      <w:rFonts w:ascii="楷体_GB2312" w:hAnsi="Arial" w:eastAsia="楷体_GB2312"/>
      <w:sz w:val="28"/>
      <w:szCs w:val="28"/>
    </w:rPr>
  </w:style>
  <w:style w:type="paragraph" w:styleId="729">
    <w:name w:val="Caption"/>
    <w:basedOn w:val="710"/>
    <w:next w:val="71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0">
    <w:name w:val="List Bullet 2"/>
    <w:basedOn w:val="710"/>
    <w:uiPriority w:val="99"/>
    <w:semiHidden/>
    <w:unhideWhenUsed/>
    <w:qFormat/>
    <w:pPr>
      <w:numPr>
        <w:ilvl w:val="0"/>
        <w:numId w:val="1"/>
      </w:numPr>
    </w:pPr>
  </w:style>
  <w:style w:type="paragraph" w:styleId="731">
    <w:name w:val="index 4"/>
    <w:basedOn w:val="710"/>
    <w:next w:val="710"/>
    <w:uiPriority w:val="0"/>
    <w:qFormat/>
    <w:pPr>
      <w:ind w:left="600" w:firstLine="200"/>
      <w:spacing w:line="360" w:lineRule="auto"/>
    </w:pPr>
    <w:rPr>
      <w:rFonts w:ascii="等线" w:hAnsi="等线" w:eastAsia="等线"/>
      <w:sz w:val="24"/>
      <w:szCs w:val="24"/>
    </w:rPr>
  </w:style>
  <w:style w:type="paragraph" w:styleId="732">
    <w:name w:val="toc 5"/>
    <w:basedOn w:val="710"/>
    <w:next w:val="710"/>
    <w:uiPriority w:val="39"/>
    <w:unhideWhenUsed/>
    <w:qFormat/>
    <w:pPr>
      <w:ind w:left="1134"/>
      <w:spacing w:after="57"/>
    </w:pPr>
  </w:style>
  <w:style w:type="paragraph" w:styleId="733">
    <w:name w:val="toc 3"/>
    <w:basedOn w:val="710"/>
    <w:next w:val="710"/>
    <w:uiPriority w:val="39"/>
    <w:unhideWhenUsed/>
    <w:qFormat/>
    <w:pPr>
      <w:ind w:left="567"/>
      <w:spacing w:after="57"/>
    </w:pPr>
  </w:style>
  <w:style w:type="paragraph" w:styleId="734">
    <w:name w:val="toc 8"/>
    <w:basedOn w:val="710"/>
    <w:next w:val="710"/>
    <w:uiPriority w:val="39"/>
    <w:unhideWhenUsed/>
    <w:qFormat/>
    <w:pPr>
      <w:ind w:left="1984"/>
      <w:spacing w:after="57"/>
    </w:pPr>
  </w:style>
  <w:style w:type="paragraph" w:styleId="735">
    <w:name w:val="endnote text"/>
    <w:basedOn w:val="710"/>
    <w:link w:val="937"/>
    <w:uiPriority w:val="99"/>
    <w:semiHidden/>
    <w:unhideWhenUsed/>
    <w:qFormat/>
    <w:rPr>
      <w:sz w:val="20"/>
    </w:rPr>
  </w:style>
  <w:style w:type="paragraph" w:styleId="736">
    <w:name w:val="Footer"/>
    <w:basedOn w:val="710"/>
    <w:link w:val="810"/>
    <w:uiPriority w:val="99"/>
    <w:unhideWhenUsed/>
    <w:qFormat/>
    <w:pPr>
      <w:tabs>
        <w:tab w:val="center" w:pos="7143" w:leader="none"/>
        <w:tab w:val="right" w:pos="14287" w:leader="none"/>
      </w:tabs>
    </w:pPr>
  </w:style>
  <w:style w:type="paragraph" w:styleId="737">
    <w:name w:val="Header"/>
    <w:basedOn w:val="710"/>
    <w:link w:val="808"/>
    <w:uiPriority w:val="99"/>
    <w:unhideWhenUsed/>
    <w:qFormat/>
    <w:pPr>
      <w:tabs>
        <w:tab w:val="center" w:pos="7143" w:leader="none"/>
        <w:tab w:val="right" w:pos="14287" w:leader="none"/>
      </w:tabs>
    </w:pPr>
  </w:style>
  <w:style w:type="paragraph" w:styleId="738">
    <w:name w:val="toc 1"/>
    <w:basedOn w:val="710"/>
    <w:next w:val="710"/>
    <w:uiPriority w:val="39"/>
    <w:unhideWhenUsed/>
    <w:qFormat/>
    <w:pPr>
      <w:spacing w:after="57"/>
    </w:pPr>
  </w:style>
  <w:style w:type="paragraph" w:styleId="739">
    <w:name w:val="toc 4"/>
    <w:basedOn w:val="710"/>
    <w:next w:val="710"/>
    <w:uiPriority w:val="39"/>
    <w:unhideWhenUsed/>
    <w:qFormat/>
    <w:pPr>
      <w:ind w:left="850"/>
      <w:spacing w:after="57"/>
    </w:pPr>
  </w:style>
  <w:style w:type="paragraph" w:styleId="740">
    <w:name w:val="Subtitle"/>
    <w:basedOn w:val="710"/>
    <w:next w:val="710"/>
    <w:link w:val="803"/>
    <w:uiPriority w:val="11"/>
    <w:qFormat/>
    <w:pPr>
      <w:spacing w:before="200" w:after="200"/>
    </w:pPr>
    <w:rPr>
      <w:sz w:val="24"/>
      <w:szCs w:val="24"/>
    </w:rPr>
  </w:style>
  <w:style w:type="paragraph" w:styleId="741">
    <w:name w:val="footnote text"/>
    <w:basedOn w:val="710"/>
    <w:link w:val="936"/>
    <w:uiPriority w:val="99"/>
    <w:semiHidden/>
    <w:unhideWhenUsed/>
    <w:qFormat/>
    <w:pPr>
      <w:spacing w:after="40"/>
    </w:pPr>
    <w:rPr>
      <w:sz w:val="18"/>
    </w:rPr>
  </w:style>
  <w:style w:type="paragraph" w:styleId="742">
    <w:name w:val="toc 6"/>
    <w:basedOn w:val="710"/>
    <w:next w:val="710"/>
    <w:uiPriority w:val="39"/>
    <w:unhideWhenUsed/>
    <w:qFormat/>
    <w:pPr>
      <w:ind w:left="1417"/>
      <w:spacing w:after="57"/>
    </w:pPr>
  </w:style>
  <w:style w:type="paragraph" w:styleId="743">
    <w:name w:val="table of figures"/>
    <w:basedOn w:val="710"/>
    <w:next w:val="710"/>
    <w:uiPriority w:val="99"/>
    <w:unhideWhenUsed/>
    <w:qFormat/>
  </w:style>
  <w:style w:type="paragraph" w:styleId="744">
    <w:name w:val="toc 2"/>
    <w:basedOn w:val="710"/>
    <w:next w:val="710"/>
    <w:uiPriority w:val="39"/>
    <w:unhideWhenUsed/>
    <w:qFormat/>
    <w:pPr>
      <w:ind w:left="283"/>
      <w:spacing w:after="57"/>
    </w:pPr>
  </w:style>
  <w:style w:type="paragraph" w:styleId="745">
    <w:name w:val="toc 9"/>
    <w:basedOn w:val="710"/>
    <w:next w:val="710"/>
    <w:uiPriority w:val="39"/>
    <w:unhideWhenUsed/>
    <w:qFormat/>
    <w:pPr>
      <w:ind w:left="2268"/>
      <w:spacing w:after="57"/>
    </w:pPr>
  </w:style>
  <w:style w:type="paragraph" w:styleId="746">
    <w:name w:val="Normal (Web)"/>
    <w:basedOn w:val="710"/>
    <w:uiPriority w:val="0"/>
    <w:qFormat/>
    <w:rPr>
      <w:sz w:val="24"/>
    </w:rPr>
  </w:style>
  <w:style w:type="paragraph" w:styleId="747">
    <w:name w:val="Title"/>
    <w:basedOn w:val="710"/>
    <w:next w:val="710"/>
    <w:link w:val="802"/>
    <w:uiPriority w:val="10"/>
    <w:qFormat/>
    <w:pPr>
      <w:contextualSpacing/>
      <w:spacing w:before="300" w:after="200"/>
    </w:pPr>
    <w:rPr>
      <w:sz w:val="48"/>
      <w:szCs w:val="48"/>
    </w:rPr>
  </w:style>
  <w:style w:type="character" w:styleId="748">
    <w:name w:val="endnote reference"/>
    <w:uiPriority w:val="99"/>
    <w:semiHidden/>
    <w:unhideWhenUsed/>
    <w:qFormat/>
    <w:rPr>
      <w:vertAlign w:val="superscript"/>
    </w:rPr>
  </w:style>
  <w:style w:type="character" w:styleId="749">
    <w:name w:val="Emphasis"/>
    <w:uiPriority w:val="0"/>
    <w:qFormat/>
    <w:rPr>
      <w:i/>
    </w:rPr>
  </w:style>
  <w:style w:type="character" w:styleId="750">
    <w:name w:val="Hyperlink"/>
    <w:uiPriority w:val="99"/>
    <w:unhideWhenUsed/>
    <w:qFormat/>
    <w:rPr>
      <w:color w:val="0000ff" w:themeColor="hyperlink"/>
      <w:u w:val="single"/>
      <w14:textFill>
        <w14:solidFill>
          <w14:schemeClr w14:val="hlink"/>
        </w14:solidFill>
      </w14:textFill>
    </w:rPr>
  </w:style>
  <w:style w:type="character" w:styleId="751">
    <w:name w:val="footnote reference"/>
    <w:uiPriority w:val="99"/>
    <w:unhideWhenUsed/>
    <w:qFormat/>
    <w:rPr>
      <w:vertAlign w:val="superscript"/>
    </w:rPr>
  </w:style>
  <w:style w:type="table" w:styleId="75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paragraph" w:styleId="753" w:customStyle="1">
    <w:name w:val="Default"/>
    <w:next w:val="710"/>
    <w:uiPriority w:val="0"/>
    <w:qFormat/>
    <w:pPr>
      <w:widowControl w:val="off"/>
    </w:pPr>
    <w:rPr>
      <w:rFonts w:hint="default" w:ascii="宋体" w:hAnsi="Times New Roman" w:eastAsia="宋体" w:cs="宋体"/>
      <w:color w:val="000000"/>
      <w:sz w:val="24"/>
      <w:szCs w:val="24"/>
      <w:lang w:val="en-US" w:eastAsia="zh-CN" w:bidi="ar-SA"/>
    </w:rPr>
  </w:style>
  <w:style w:type="character" w:styleId="754" w:customStyle="1">
    <w:name w:val="Heading 1 Char"/>
    <w:basedOn w:val="720"/>
    <w:uiPriority w:val="9"/>
    <w:qFormat/>
    <w:rPr>
      <w:rFonts w:ascii="Arial" w:hAnsi="Arial" w:eastAsia="Arial" w:cs="Arial"/>
      <w:sz w:val="40"/>
      <w:szCs w:val="40"/>
    </w:rPr>
  </w:style>
  <w:style w:type="character" w:styleId="755" w:customStyle="1">
    <w:name w:val="Heading 2 Char"/>
    <w:basedOn w:val="720"/>
    <w:uiPriority w:val="9"/>
    <w:qFormat/>
    <w:rPr>
      <w:rFonts w:ascii="Arial" w:hAnsi="Arial" w:eastAsia="Arial" w:cs="Arial"/>
      <w:sz w:val="34"/>
    </w:rPr>
  </w:style>
  <w:style w:type="character" w:styleId="756" w:customStyle="1">
    <w:name w:val="Heading 3 Char"/>
    <w:basedOn w:val="720"/>
    <w:uiPriority w:val="9"/>
    <w:qFormat/>
    <w:rPr>
      <w:rFonts w:ascii="Arial" w:hAnsi="Arial" w:eastAsia="Arial" w:cs="Arial"/>
      <w:sz w:val="30"/>
      <w:szCs w:val="30"/>
    </w:rPr>
  </w:style>
  <w:style w:type="character" w:styleId="757" w:customStyle="1">
    <w:name w:val="Heading 4 Char"/>
    <w:basedOn w:val="720"/>
    <w:uiPriority w:val="9"/>
    <w:qFormat/>
    <w:rPr>
      <w:rFonts w:ascii="Arial" w:hAnsi="Arial" w:eastAsia="Arial" w:cs="Arial"/>
      <w:b/>
      <w:bCs/>
      <w:sz w:val="26"/>
      <w:szCs w:val="26"/>
    </w:rPr>
  </w:style>
  <w:style w:type="character" w:styleId="758" w:customStyle="1">
    <w:name w:val="Heading 5 Char"/>
    <w:basedOn w:val="720"/>
    <w:uiPriority w:val="9"/>
    <w:qFormat/>
    <w:rPr>
      <w:rFonts w:ascii="Arial" w:hAnsi="Arial" w:eastAsia="Arial" w:cs="Arial"/>
      <w:b/>
      <w:bCs/>
      <w:sz w:val="24"/>
      <w:szCs w:val="24"/>
    </w:rPr>
  </w:style>
  <w:style w:type="character" w:styleId="759" w:customStyle="1">
    <w:name w:val="Heading 6 Char"/>
    <w:basedOn w:val="720"/>
    <w:uiPriority w:val="9"/>
    <w:qFormat/>
    <w:rPr>
      <w:rFonts w:ascii="Arial" w:hAnsi="Arial" w:eastAsia="Arial" w:cs="Arial"/>
      <w:b/>
      <w:bCs/>
      <w:sz w:val="22"/>
      <w:szCs w:val="22"/>
    </w:rPr>
  </w:style>
  <w:style w:type="character" w:styleId="760" w:customStyle="1">
    <w:name w:val="Heading 7 Char"/>
    <w:basedOn w:val="720"/>
    <w:uiPriority w:val="9"/>
    <w:qFormat/>
    <w:rPr>
      <w:rFonts w:ascii="Arial" w:hAnsi="Arial" w:eastAsia="Arial" w:cs="Arial"/>
      <w:b/>
      <w:bCs/>
      <w:i/>
      <w:iCs/>
      <w:sz w:val="22"/>
      <w:szCs w:val="22"/>
    </w:rPr>
  </w:style>
  <w:style w:type="character" w:styleId="761" w:customStyle="1">
    <w:name w:val="Heading 8 Char"/>
    <w:basedOn w:val="720"/>
    <w:uiPriority w:val="9"/>
    <w:qFormat/>
    <w:rPr>
      <w:rFonts w:ascii="Arial" w:hAnsi="Arial" w:eastAsia="Arial" w:cs="Arial"/>
      <w:i/>
      <w:iCs/>
      <w:sz w:val="22"/>
      <w:szCs w:val="22"/>
    </w:rPr>
  </w:style>
  <w:style w:type="character" w:styleId="762" w:customStyle="1">
    <w:name w:val="Heading 9 Char"/>
    <w:basedOn w:val="720"/>
    <w:uiPriority w:val="9"/>
    <w:qFormat/>
    <w:rPr>
      <w:rFonts w:ascii="Arial" w:hAnsi="Arial" w:eastAsia="Arial" w:cs="Arial"/>
      <w:i/>
      <w:iCs/>
      <w:sz w:val="21"/>
      <w:szCs w:val="21"/>
    </w:rPr>
  </w:style>
  <w:style w:type="character" w:styleId="763" w:customStyle="1">
    <w:name w:val="Title Char"/>
    <w:basedOn w:val="720"/>
    <w:uiPriority w:val="10"/>
    <w:qFormat/>
    <w:rPr>
      <w:sz w:val="48"/>
      <w:szCs w:val="48"/>
    </w:rPr>
  </w:style>
  <w:style w:type="character" w:styleId="764" w:customStyle="1">
    <w:name w:val="Subtitle Char"/>
    <w:basedOn w:val="720"/>
    <w:uiPriority w:val="11"/>
    <w:qFormat/>
    <w:rPr>
      <w:sz w:val="24"/>
      <w:szCs w:val="24"/>
    </w:rPr>
  </w:style>
  <w:style w:type="character" w:styleId="765" w:customStyle="1">
    <w:name w:val="Quote Char"/>
    <w:uiPriority w:val="29"/>
    <w:qFormat/>
    <w:rPr>
      <w:i/>
    </w:rPr>
  </w:style>
  <w:style w:type="character" w:styleId="766" w:customStyle="1">
    <w:name w:val="Intense Quote Char"/>
    <w:uiPriority w:val="30"/>
    <w:qFormat/>
    <w:rPr>
      <w:i/>
    </w:rPr>
  </w:style>
  <w:style w:type="character" w:styleId="767" w:customStyle="1">
    <w:name w:val="Header Char"/>
    <w:basedOn w:val="720"/>
    <w:uiPriority w:val="99"/>
    <w:qFormat/>
  </w:style>
  <w:style w:type="character" w:styleId="768" w:customStyle="1">
    <w:name w:val="Caption Char"/>
    <w:uiPriority w:val="99"/>
    <w:qFormat/>
  </w:style>
  <w:style w:type="table" w:styleId="769" w:customStyle="1">
    <w:name w:val="Plain Table 1"/>
    <w:basedOn w:val="72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0" w:customStyle="1">
    <w:name w:val="Plain Table 2"/>
    <w:basedOn w:val="72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1" w:customStyle="1">
    <w:name w:val="Plain Table 3"/>
    <w:basedOn w:val="721"/>
    <w:uiPriority w:val="99"/>
    <w:qFormat/>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2" w:customStyle="1">
    <w:name w:val="Plain Table 4"/>
    <w:basedOn w:val="721"/>
    <w:uiPriority w:val="99"/>
    <w:qFormat/>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3" w:customStyle="1">
    <w:name w:val="Plain Table 5"/>
    <w:basedOn w:val="721"/>
    <w:uiPriority w:val="99"/>
    <w:qFormat/>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4" w:customStyle="1">
    <w:name w:val="Grid Table 1 Light"/>
    <w:basedOn w:val="72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5" w:customStyle="1">
    <w:name w:val="Grid Table 2"/>
    <w:basedOn w:val="72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6" w:customStyle="1">
    <w:name w:val="Grid Table 3"/>
    <w:basedOn w:val="72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4"/>
    <w:basedOn w:val="72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8" w:customStyle="1">
    <w:name w:val="Grid Table 5 Dark"/>
    <w:basedOn w:val="72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9" w:customStyle="1">
    <w:name w:val="Grid Table 6 Colorful"/>
    <w:basedOn w:val="72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0" w:customStyle="1">
    <w:name w:val="Grid Table 7 Colorful"/>
    <w:basedOn w:val="72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1" w:customStyle="1">
    <w:name w:val="List Table 1 Light"/>
    <w:basedOn w:val="721"/>
    <w:uiPriority w:val="99"/>
    <w:qFormat/>
    <w:pPr>
      <w:spacing w:after="0" w:line="240" w:lineRule="auto"/>
    </w:pPr>
    <w:tblPr>
      <w:tblLayout w:type="fixed"/>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customStyle="1">
    <w:name w:val="List Table 2"/>
    <w:basedOn w:val="72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3" w:customStyle="1">
    <w:name w:val="List Table 3"/>
    <w:basedOn w:val="72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4" w:customStyle="1">
    <w:name w:val="List Table 4"/>
    <w:basedOn w:val="72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5" w:customStyle="1">
    <w:name w:val="List Table 5 Dark"/>
    <w:basedOn w:val="72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6" w:customStyle="1">
    <w:name w:val="List Table 6 Colorful"/>
    <w:basedOn w:val="721"/>
    <w:uiPriority w:val="99"/>
    <w:qFormat/>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7" w:customStyle="1">
    <w:name w:val="List Table 7 Colorful"/>
    <w:basedOn w:val="721"/>
    <w:uiPriority w:val="99"/>
    <w:qFormat/>
    <w:pPr>
      <w:spacing w:after="0" w:line="240" w:lineRule="auto"/>
    </w:pPr>
    <w:tblPr>
      <w:tblBorders>
        <w:right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88" w:customStyle="1">
    <w:name w:val="Footnote Text Char"/>
    <w:uiPriority w:val="99"/>
    <w:qFormat/>
    <w:rPr>
      <w:sz w:val="18"/>
    </w:rPr>
  </w:style>
  <w:style w:type="character" w:styleId="789" w:customStyle="1">
    <w:name w:val="Endnote Text Char"/>
    <w:uiPriority w:val="99"/>
    <w:qFormat/>
    <w:rPr>
      <w:sz w:val="20"/>
    </w:rPr>
  </w:style>
  <w:style w:type="paragraph" w:styleId="790" w:customStyle="1">
    <w:name w:val="TOC Heading"/>
    <w:uiPriority w:val="39"/>
    <w:unhideWhenUsed/>
    <w:qFormat/>
    <w:rPr>
      <w:rFonts w:hint="default" w:ascii="Times New Roman" w:hAnsi="Times New Roman" w:eastAsia="宋体" w:cs="Times New Roman"/>
    </w:rPr>
  </w:style>
  <w:style w:type="character" w:styleId="791" w:customStyle="1">
    <w:name w:val="标题 1 字符"/>
    <w:link w:val="711"/>
    <w:uiPriority w:val="9"/>
    <w:qFormat/>
    <w:rPr>
      <w:rFonts w:ascii="Arial" w:hAnsi="Arial" w:eastAsia="黑体" w:cs="Arial"/>
      <w:sz w:val="44"/>
      <w:szCs w:val="40"/>
    </w:rPr>
  </w:style>
  <w:style w:type="character" w:styleId="792" w:customStyle="1">
    <w:name w:val="标题 2 字符"/>
    <w:link w:val="712"/>
    <w:uiPriority w:val="9"/>
    <w:qFormat/>
    <w:rPr>
      <w:rFonts w:ascii="Arial" w:hAnsi="Arial" w:eastAsia="Arial" w:cs="Arial"/>
      <w:sz w:val="34"/>
    </w:rPr>
  </w:style>
  <w:style w:type="character" w:styleId="793" w:customStyle="1">
    <w:name w:val="标题 3 字符"/>
    <w:link w:val="713"/>
    <w:uiPriority w:val="9"/>
    <w:qFormat/>
    <w:rPr>
      <w:rFonts w:ascii="Arial" w:hAnsi="Arial" w:eastAsia="Arial" w:cs="Arial"/>
      <w:sz w:val="30"/>
      <w:szCs w:val="30"/>
    </w:rPr>
  </w:style>
  <w:style w:type="character" w:styleId="794" w:customStyle="1">
    <w:name w:val="标题 4 字符"/>
    <w:link w:val="714"/>
    <w:uiPriority w:val="9"/>
    <w:qFormat/>
    <w:rPr>
      <w:rFonts w:ascii="Arial" w:hAnsi="Arial" w:eastAsia="Arial" w:cs="Arial"/>
      <w:b/>
      <w:bCs/>
      <w:sz w:val="26"/>
      <w:szCs w:val="26"/>
    </w:rPr>
  </w:style>
  <w:style w:type="character" w:styleId="795" w:customStyle="1">
    <w:name w:val="标题 5 字符"/>
    <w:link w:val="715"/>
    <w:uiPriority w:val="9"/>
    <w:qFormat/>
    <w:rPr>
      <w:rFonts w:ascii="Arial" w:hAnsi="Arial" w:eastAsia="Arial" w:cs="Arial"/>
      <w:b/>
      <w:bCs/>
      <w:sz w:val="24"/>
      <w:szCs w:val="24"/>
    </w:rPr>
  </w:style>
  <w:style w:type="character" w:styleId="796" w:customStyle="1">
    <w:name w:val="标题 6 字符"/>
    <w:link w:val="716"/>
    <w:uiPriority w:val="9"/>
    <w:qFormat/>
    <w:rPr>
      <w:rFonts w:ascii="Arial" w:hAnsi="Arial" w:eastAsia="Arial" w:cs="Arial"/>
      <w:b/>
      <w:bCs/>
      <w:sz w:val="22"/>
      <w:szCs w:val="22"/>
    </w:rPr>
  </w:style>
  <w:style w:type="character" w:styleId="797" w:customStyle="1">
    <w:name w:val="标题 7 字符"/>
    <w:link w:val="717"/>
    <w:uiPriority w:val="9"/>
    <w:qFormat/>
    <w:rPr>
      <w:rFonts w:ascii="Arial" w:hAnsi="Arial" w:eastAsia="Arial" w:cs="Arial"/>
      <w:b/>
      <w:bCs/>
      <w:i/>
      <w:iCs/>
      <w:sz w:val="22"/>
      <w:szCs w:val="22"/>
    </w:rPr>
  </w:style>
  <w:style w:type="character" w:styleId="798" w:customStyle="1">
    <w:name w:val="标题 8 字符"/>
    <w:link w:val="718"/>
    <w:uiPriority w:val="9"/>
    <w:qFormat/>
    <w:rPr>
      <w:rFonts w:ascii="Arial" w:hAnsi="Arial" w:eastAsia="Arial" w:cs="Arial"/>
      <w:i/>
      <w:iCs/>
      <w:sz w:val="22"/>
      <w:szCs w:val="22"/>
    </w:rPr>
  </w:style>
  <w:style w:type="character" w:styleId="799" w:customStyle="1">
    <w:name w:val="标题 9 字符"/>
    <w:link w:val="719"/>
    <w:uiPriority w:val="9"/>
    <w:qFormat/>
    <w:rPr>
      <w:rFonts w:ascii="Arial" w:hAnsi="Arial" w:eastAsia="Arial" w:cs="Arial"/>
      <w:i/>
      <w:iCs/>
      <w:sz w:val="21"/>
      <w:szCs w:val="21"/>
    </w:rPr>
  </w:style>
  <w:style w:type="paragraph" w:styleId="800">
    <w:name w:val="List Paragraph"/>
    <w:basedOn w:val="710"/>
    <w:uiPriority w:val="34"/>
    <w:qFormat/>
    <w:pPr>
      <w:contextualSpacing/>
      <w:ind w:left="720"/>
    </w:pPr>
  </w:style>
  <w:style w:type="paragraph" w:styleId="801">
    <w:name w:val="No Spacing"/>
    <w:uiPriority w:val="1"/>
    <w:qFormat/>
    <w:rPr>
      <w:rFonts w:hint="default" w:ascii="Calibri" w:hAnsi="Calibri" w:eastAsia="宋体" w:cs="Times New Roman"/>
      <w:lang w:val="en-US" w:eastAsia="zh-CN" w:bidi="ar-SA"/>
    </w:rPr>
  </w:style>
  <w:style w:type="character" w:styleId="802" w:customStyle="1">
    <w:name w:val="标题 字符"/>
    <w:link w:val="747"/>
    <w:uiPriority w:val="10"/>
    <w:qFormat/>
    <w:rPr>
      <w:sz w:val="48"/>
      <w:szCs w:val="48"/>
    </w:rPr>
  </w:style>
  <w:style w:type="character" w:styleId="803" w:customStyle="1">
    <w:name w:val="副标题 字符"/>
    <w:link w:val="740"/>
    <w:uiPriority w:val="11"/>
    <w:qFormat/>
    <w:rPr>
      <w:sz w:val="24"/>
      <w:szCs w:val="24"/>
    </w:rPr>
  </w:style>
  <w:style w:type="paragraph" w:styleId="804">
    <w:name w:val="Quote"/>
    <w:basedOn w:val="710"/>
    <w:next w:val="710"/>
    <w:link w:val="805"/>
    <w:uiPriority w:val="29"/>
    <w:qFormat/>
    <w:pPr>
      <w:ind w:left="720" w:right="720"/>
    </w:pPr>
    <w:rPr>
      <w:i/>
    </w:rPr>
  </w:style>
  <w:style w:type="character" w:styleId="805" w:customStyle="1">
    <w:name w:val="引用 字符"/>
    <w:link w:val="804"/>
    <w:uiPriority w:val="29"/>
    <w:qFormat/>
    <w:rPr>
      <w:i/>
    </w:rPr>
  </w:style>
  <w:style w:type="paragraph" w:styleId="806">
    <w:name w:val="Intense Quote"/>
    <w:basedOn w:val="710"/>
    <w:next w:val="710"/>
    <w:link w:val="80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7" w:customStyle="1">
    <w:name w:val="明显引用 字符"/>
    <w:link w:val="806"/>
    <w:uiPriority w:val="30"/>
    <w:qFormat/>
    <w:rPr>
      <w:i/>
    </w:rPr>
  </w:style>
  <w:style w:type="character" w:styleId="808" w:customStyle="1">
    <w:name w:val="页眉 字符"/>
    <w:link w:val="737"/>
    <w:uiPriority w:val="99"/>
    <w:qFormat/>
  </w:style>
  <w:style w:type="character" w:styleId="809" w:customStyle="1">
    <w:name w:val="Footer Char"/>
    <w:uiPriority w:val="99"/>
    <w:qFormat/>
  </w:style>
  <w:style w:type="character" w:styleId="810" w:customStyle="1">
    <w:name w:val="页脚 字符"/>
    <w:link w:val="736"/>
    <w:uiPriority w:val="99"/>
    <w:qFormat/>
  </w:style>
  <w:style w:type="table" w:styleId="81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812"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3"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4" w:customStyle="1">
    <w:name w:val="无格式表格 3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5" w:customStyle="1">
    <w:name w:val="无格式表格 4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6" w:customStyle="1">
    <w:name w:val="无格式表格 5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7"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4"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1"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5"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2"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5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9"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6" w:customStyle="1">
    <w:name w:val="清单表 1 浅色1"/>
    <w:uiPriority w:val="99"/>
    <w:qFormat/>
    <w:tblPr>
      <w:tblLayout w:type="fixed"/>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7" w:customStyle="1">
    <w:name w:val="List Table 1 Light - Accent 1"/>
    <w:uiPriority w:val="99"/>
    <w:qFormat/>
    <w:tblPr>
      <w:tblLayout w:type="fixed"/>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8" w:customStyle="1">
    <w:name w:val="List Table 1 Light - Accent 2"/>
    <w:uiPriority w:val="99"/>
    <w:qFormat/>
    <w:tblPr>
      <w:tblLayout w:type="fixed"/>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9" w:customStyle="1">
    <w:name w:val="List Table 1 Light - Accent 3"/>
    <w:uiPriority w:val="99"/>
    <w:qFormat/>
    <w:tblPr>
      <w:tblLayout w:type="fixed"/>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0" w:customStyle="1">
    <w:name w:val="List Table 1 Light - Accent 4"/>
    <w:uiPriority w:val="99"/>
    <w:qFormat/>
    <w:tblPr>
      <w:tblLayout w:type="fixed"/>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1" w:customStyle="1">
    <w:name w:val="List Table 1 Light - Accent 5"/>
    <w:uiPriority w:val="99"/>
    <w:qFormat/>
    <w:tblPr>
      <w:tblLayout w:type="fixed"/>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2" w:customStyle="1">
    <w:name w:val="List Table 1 Light - Accent 6"/>
    <w:uiPriority w:val="99"/>
    <w:qFormat/>
    <w:tblPr>
      <w:tblLayout w:type="fixed"/>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3" w:customStyle="1">
    <w:name w:val="清单表 21"/>
    <w:uiPriority w:val="99"/>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5"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0"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1" w:customStyle="1">
    <w:name w:val="List Table 3 - Accent 1"/>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7"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4"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清单表 6 彩色1"/>
    <w:uiPriority w:val="99"/>
    <w:qFormat/>
    <w:tblPr>
      <w:tblBorders>
        <w:top w:val="single" w:color="7E7E7E" w:themeColor="text1" w:themeTint="80" w:sz="4" w:space="0"/>
        <w:bottom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2" w:customStyle="1">
    <w:name w:val="List Table 6 Colorful - Accent 1"/>
    <w:uiPriority w:val="99"/>
    <w:qFormat/>
    <w:tblPr>
      <w:tblBorders>
        <w:top w:val="single" w:color="4F81BD" w:themeColor="accent1" w:sz="4" w:space="0"/>
        <w:bottom w:val="single" w:color="4F81BD" w:themeColor="accent1" w:sz="4" w:space="0"/>
      </w:tblBorders>
      <w:tblLayout w:type="fixed"/>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3" w:customStyle="1">
    <w:name w:val="List Table 6 Colorful - Accent 2"/>
    <w:uiPriority w:val="99"/>
    <w:qFormat/>
    <w:tblPr>
      <w:tblBorders>
        <w:top w:val="single" w:color="D99795" w:themeColor="accent2" w:themeTint="97" w:sz="4" w:space="0"/>
        <w:bottom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4" w:customStyle="1">
    <w:name w:val="List Table 6 Colorful - Accent 3"/>
    <w:uiPriority w:val="99"/>
    <w:qFormat/>
    <w:tblPr>
      <w:tblBorders>
        <w:top w:val="single" w:color="C3D69C" w:themeColor="accent3" w:themeTint="98" w:sz="4" w:space="0"/>
        <w:bottom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5" w:customStyle="1">
    <w:name w:val="List Table 6 Colorful - Accent 4"/>
    <w:uiPriority w:val="99"/>
    <w:qFormat/>
    <w:tblPr>
      <w:tblBorders>
        <w:top w:val="single" w:color="B2A1C6" w:themeColor="accent4" w:themeTint="9A" w:sz="4" w:space="0"/>
        <w:bottom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6" w:customStyle="1">
    <w:name w:val="List Table 6 Colorful - Accent 5"/>
    <w:uiPriority w:val="99"/>
    <w:qFormat/>
    <w:tblPr>
      <w:tblBorders>
        <w:top w:val="single" w:color="92CCDC" w:themeColor="accent5" w:themeTint="9A" w:sz="4" w:space="0"/>
        <w:bottom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7" w:customStyle="1">
    <w:name w:val="List Table 6 Colorful - Accent 6"/>
    <w:uiPriority w:val="99"/>
    <w:qFormat/>
    <w:tblPr>
      <w:tblBorders>
        <w:top w:val="single" w:color="FAC090" w:themeColor="accent6" w:themeTint="98" w:sz="4" w:space="0"/>
        <w:bottom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8" w:customStyle="1">
    <w:name w:val="清单表 7 彩色1"/>
    <w:uiPriority w:val="99"/>
    <w:qFormat/>
    <w:tblPr>
      <w:tblBorders>
        <w:right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9" w:customStyle="1">
    <w:name w:val="List Table 7 Colorful - Accent 1"/>
    <w:uiPriority w:val="99"/>
    <w:qFormat/>
    <w:tblPr>
      <w:tblBorders>
        <w:right w:val="single" w:color="4F81BD" w:themeColor="accent1" w:sz="4" w:space="0"/>
      </w:tblBorders>
      <w:tblLayout w:type="fixed"/>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0" w:customStyle="1">
    <w:name w:val="List Table 7 Colorful - Accent 2"/>
    <w:uiPriority w:val="99"/>
    <w:qFormat/>
    <w:tblPr>
      <w:tblBorders>
        <w:right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1" w:customStyle="1">
    <w:name w:val="List Table 7 Colorful - Accent 3"/>
    <w:uiPriority w:val="99"/>
    <w:qFormat/>
    <w:tblPr>
      <w:tblBorders>
        <w:right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2" w:customStyle="1">
    <w:name w:val="List Table 7 Colorful - Accent 4"/>
    <w:uiPriority w:val="99"/>
    <w:qFormat/>
    <w:tblPr>
      <w:tblBorders>
        <w:right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3" w:customStyle="1">
    <w:name w:val="List Table 7 Colorful - Accent 5"/>
    <w:uiPriority w:val="99"/>
    <w:qFormat/>
    <w:tblPr>
      <w:tblBorders>
        <w:right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4" w:customStyle="1">
    <w:name w:val="List Table 7 Colorful - Accent 6"/>
    <w:uiPriority w:val="99"/>
    <w:qFormat/>
    <w:tblPr>
      <w:tblBorders>
        <w:right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5" w:customStyle="1">
    <w:name w:val="Lined - Accent"/>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6" w:customStyle="1">
    <w:name w:val="Lined - Accent 1"/>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7" w:customStyle="1">
    <w:name w:val="Lined - Accent 2"/>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8" w:customStyle="1">
    <w:name w:val="Lined - Accent 3"/>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9" w:customStyle="1">
    <w:name w:val="Lined - Accent 4"/>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0" w:customStyle="1">
    <w:name w:val="Lined - Accent 5"/>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1" w:customStyle="1">
    <w:name w:val="Lined - Accent 6"/>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3"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4"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5"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6" w:customStyle="1">
    <w:name w:val="脚注文本 字符"/>
    <w:link w:val="741"/>
    <w:uiPriority w:val="99"/>
    <w:qFormat/>
    <w:rPr>
      <w:sz w:val="18"/>
    </w:rPr>
  </w:style>
  <w:style w:type="character" w:styleId="937" w:customStyle="1">
    <w:name w:val="尾注文本 字符"/>
    <w:link w:val="735"/>
    <w:uiPriority w:val="99"/>
    <w:qFormat/>
    <w:rPr>
      <w:sz w:val="20"/>
    </w:rPr>
  </w:style>
  <w:style w:type="paragraph" w:styleId="938" w:customStyle="1">
    <w:name w:val="TOC 标题1"/>
    <w:uiPriority w:val="39"/>
    <w:unhideWhenUsed/>
    <w:qFormat/>
    <w:rPr>
      <w:rFonts w:hint="default" w:ascii="Calibri" w:hAnsi="Calibri" w:eastAsia="宋体" w:cs="Times New Roman"/>
      <w:lang w:val="en-US" w:eastAsia="zh-CN" w:bidi="ar-SA"/>
    </w:rPr>
  </w:style>
  <w:style w:type="paragraph" w:styleId="939" w:customStyle="1">
    <w:name w:val="标题 11"/>
    <w:basedOn w:val="710"/>
    <w:next w:val="710"/>
    <w:link w:val="990"/>
    <w:uiPriority w:val="0"/>
    <w:qFormat/>
    <w:pPr>
      <w:jc w:val="center"/>
      <w:keepNext/>
      <w:outlineLvl w:val="0"/>
    </w:pPr>
    <w:rPr>
      <w:rFonts w:ascii="楷体_GB2312" w:hAnsi="楷体_GB2312" w:eastAsia="黑体"/>
      <w:sz w:val="44"/>
      <w:szCs w:val="28"/>
    </w:rPr>
  </w:style>
  <w:style w:type="paragraph" w:styleId="940" w:customStyle="1">
    <w:name w:val="标题 21"/>
    <w:basedOn w:val="710"/>
    <w:next w:val="710"/>
    <w:link w:val="991"/>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41" w:customStyle="1">
    <w:name w:val="标题 31"/>
    <w:basedOn w:val="710"/>
    <w:next w:val="710"/>
    <w:link w:val="972"/>
    <w:uiPriority w:val="0"/>
    <w:qFormat/>
    <w:pPr>
      <w:keepLines/>
      <w:keepNext/>
      <w:spacing w:before="260" w:after="260" w:line="416" w:lineRule="auto"/>
      <w:outlineLvl w:val="2"/>
    </w:pPr>
    <w:rPr>
      <w:b/>
      <w:bCs/>
      <w:sz w:val="32"/>
      <w:szCs w:val="32"/>
    </w:rPr>
  </w:style>
  <w:style w:type="paragraph" w:styleId="942" w:customStyle="1">
    <w:name w:val="标题 41"/>
    <w:basedOn w:val="710"/>
    <w:next w:val="724"/>
    <w:link w:val="963"/>
    <w:uiPriority w:val="0"/>
    <w:qFormat/>
    <w:pPr>
      <w:keepLines/>
      <w:keepNext/>
      <w:spacing w:before="280" w:after="290" w:line="376" w:lineRule="auto"/>
      <w:outlineLvl w:val="3"/>
    </w:pPr>
    <w:rPr>
      <w:rFonts w:ascii="Arial" w:hAnsi="Arial" w:eastAsia="黑体" w:cs="Arial"/>
      <w:b/>
      <w:bCs/>
      <w:sz w:val="28"/>
      <w:szCs w:val="28"/>
    </w:rPr>
  </w:style>
  <w:style w:type="paragraph" w:styleId="943" w:customStyle="1">
    <w:name w:val="标题 51"/>
    <w:basedOn w:val="710"/>
    <w:next w:val="724"/>
    <w:link w:val="982"/>
    <w:uiPriority w:val="0"/>
    <w:qFormat/>
    <w:pPr>
      <w:keepNext/>
      <w:outlineLvl w:val="4"/>
    </w:pPr>
    <w:rPr>
      <w:rFonts w:ascii="宋体"/>
      <w:color w:val="000000"/>
      <w:sz w:val="28"/>
      <w:szCs w:val="28"/>
    </w:rPr>
  </w:style>
  <w:style w:type="paragraph" w:styleId="944" w:customStyle="1">
    <w:name w:val="标题 61"/>
    <w:basedOn w:val="710"/>
    <w:next w:val="710"/>
    <w:link w:val="961"/>
    <w:uiPriority w:val="0"/>
    <w:qFormat/>
    <w:pPr>
      <w:numPr>
        <w:ilvl w:val="5"/>
        <w:numId w:val="2"/>
      </w:numPr>
      <w:keepLines/>
      <w:keepNext/>
      <w:spacing w:before="240" w:after="64" w:line="320" w:lineRule="auto"/>
      <w:outlineLvl w:val="5"/>
    </w:pPr>
    <w:rPr>
      <w:rFonts w:ascii="Arial" w:hAnsi="Arial" w:eastAsia="黑体"/>
      <w:b/>
      <w:bCs/>
      <w:sz w:val="24"/>
      <w:szCs w:val="24"/>
    </w:rPr>
  </w:style>
  <w:style w:type="paragraph" w:styleId="945" w:customStyle="1">
    <w:name w:val="标题 71"/>
    <w:basedOn w:val="710"/>
    <w:next w:val="710"/>
    <w:link w:val="956"/>
    <w:uiPriority w:val="0"/>
    <w:qFormat/>
    <w:pPr>
      <w:numPr>
        <w:ilvl w:val="6"/>
        <w:numId w:val="2"/>
      </w:numPr>
      <w:keepLines/>
      <w:keepNext/>
      <w:spacing w:before="240" w:after="64" w:line="320" w:lineRule="auto"/>
      <w:outlineLvl w:val="6"/>
    </w:pPr>
    <w:rPr>
      <w:b/>
      <w:bCs/>
      <w:sz w:val="24"/>
      <w:szCs w:val="24"/>
    </w:rPr>
  </w:style>
  <w:style w:type="paragraph" w:styleId="946" w:customStyle="1">
    <w:name w:val="标题 81"/>
    <w:basedOn w:val="710"/>
    <w:next w:val="710"/>
    <w:link w:val="955"/>
    <w:uiPriority w:val="0"/>
    <w:qFormat/>
    <w:pPr>
      <w:numPr>
        <w:ilvl w:val="7"/>
        <w:numId w:val="2"/>
      </w:numPr>
      <w:keepLines/>
      <w:keepNext/>
      <w:spacing w:before="240" w:after="64" w:line="320" w:lineRule="auto"/>
      <w:outlineLvl w:val="7"/>
    </w:pPr>
    <w:rPr>
      <w:rFonts w:ascii="Arial" w:hAnsi="Arial" w:eastAsia="黑体"/>
      <w:sz w:val="24"/>
      <w:szCs w:val="24"/>
    </w:rPr>
  </w:style>
  <w:style w:type="paragraph" w:styleId="947" w:customStyle="1">
    <w:name w:val="标题 91"/>
    <w:basedOn w:val="710"/>
    <w:next w:val="710"/>
    <w:link w:val="992"/>
    <w:uiPriority w:val="0"/>
    <w:qFormat/>
    <w:pPr>
      <w:numPr>
        <w:ilvl w:val="8"/>
        <w:numId w:val="2"/>
      </w:numPr>
      <w:keepLines/>
      <w:keepNext/>
      <w:spacing w:before="240" w:after="64" w:line="320" w:lineRule="auto"/>
      <w:outlineLvl w:val="8"/>
    </w:pPr>
    <w:rPr>
      <w:rFonts w:ascii="Arial" w:hAnsi="Arial" w:eastAsia="黑体"/>
    </w:rPr>
  </w:style>
  <w:style w:type="character" w:styleId="948" w:customStyle="1">
    <w:name w:val="默认段落字体1"/>
    <w:uiPriority w:val="1"/>
    <w:unhideWhenUsed/>
    <w:qFormat/>
  </w:style>
  <w:style w:type="table" w:styleId="949" w:customStyle="1">
    <w:name w:val="普通表格1"/>
    <w:uiPriority w:val="99"/>
    <w:unhideWhenUsed/>
    <w:qFormat/>
    <w:tblPr>
      <w:tblLayout w:type="fixed"/>
      <w:tblCellMar>
        <w:left w:w="0" w:type="dxa"/>
        <w:top w:w="0" w:type="dxa"/>
        <w:right w:w="0" w:type="dxa"/>
        <w:bottom w:w="0" w:type="dxa"/>
      </w:tblCellMar>
    </w:tblPr>
  </w:style>
  <w:style w:type="character" w:styleId="950" w:customStyle="1">
    <w:name w:val="批注框文本 Char"/>
    <w:link w:val="951"/>
    <w:uiPriority w:val="0"/>
    <w:semiHidden/>
    <w:qFormat/>
    <w:rPr>
      <w:rFonts w:ascii="Times New Roman" w:hAnsi="Times New Roman" w:eastAsia="宋体" w:cs="Times New Roman"/>
      <w:sz w:val="18"/>
      <w:szCs w:val="18"/>
    </w:rPr>
  </w:style>
  <w:style w:type="paragraph" w:styleId="951" w:customStyle="1">
    <w:name w:val="批注框文本1"/>
    <w:basedOn w:val="710"/>
    <w:link w:val="950"/>
    <w:uiPriority w:val="0"/>
    <w:semiHidden/>
    <w:qFormat/>
    <w:rPr>
      <w:sz w:val="18"/>
      <w:szCs w:val="18"/>
    </w:rPr>
  </w:style>
  <w:style w:type="character" w:styleId="952" w:customStyle="1">
    <w:name w:val="列出段落 Char"/>
    <w:link w:val="953"/>
    <w:uiPriority w:val="0"/>
    <w:qFormat/>
    <w:rPr>
      <w:rFonts w:ascii="Calibri" w:hAnsi="Calibri"/>
      <w:sz w:val="24"/>
      <w:szCs w:val="24"/>
      <w:lang w:eastAsia="en-US" w:bidi="en-US"/>
    </w:rPr>
  </w:style>
  <w:style w:type="paragraph" w:styleId="953" w:customStyle="1">
    <w:name w:val="列出段落1"/>
    <w:basedOn w:val="710"/>
    <w:link w:val="952"/>
    <w:uiPriority w:val="0"/>
    <w:qFormat/>
    <w:pPr>
      <w:contextualSpacing/>
      <w:ind w:left="720"/>
      <w:jc w:val="left"/>
      <w:widowControl/>
    </w:pPr>
    <w:rPr>
      <w:rFonts w:ascii="Calibri" w:hAnsi="Calibri"/>
      <w:sz w:val="24"/>
      <w:szCs w:val="24"/>
      <w:lang w:eastAsia="en-US" w:bidi="en-US"/>
    </w:rPr>
  </w:style>
  <w:style w:type="character" w:styleId="954" w:customStyle="1">
    <w:name w:val="正文文本 Char"/>
    <w:link w:val="722"/>
    <w:uiPriority w:val="0"/>
    <w:qFormat/>
    <w:rPr>
      <w:rFonts w:ascii="楷体_GB2312" w:hAnsi="Arial" w:eastAsia="楷体_GB2312" w:cs="Times New Roman"/>
      <w:sz w:val="28"/>
      <w:szCs w:val="28"/>
    </w:rPr>
  </w:style>
  <w:style w:type="character" w:styleId="955" w:customStyle="1">
    <w:name w:val="标题 8 Char"/>
    <w:link w:val="946"/>
    <w:uiPriority w:val="0"/>
    <w:qFormat/>
    <w:rPr>
      <w:rFonts w:ascii="Arial" w:hAnsi="Arial" w:eastAsia="黑体" w:cs="Times New Roman"/>
      <w:sz w:val="24"/>
      <w:szCs w:val="24"/>
    </w:rPr>
  </w:style>
  <w:style w:type="character" w:styleId="956" w:customStyle="1">
    <w:name w:val="标题 7 Char"/>
    <w:link w:val="945"/>
    <w:uiPriority w:val="0"/>
    <w:qFormat/>
    <w:rPr>
      <w:rFonts w:ascii="Times New Roman" w:hAnsi="Times New Roman" w:eastAsia="宋体" w:cs="Times New Roman"/>
      <w:b/>
      <w:bCs/>
      <w:sz w:val="24"/>
      <w:szCs w:val="24"/>
    </w:rPr>
  </w:style>
  <w:style w:type="character" w:styleId="957" w:customStyle="1">
    <w:name w:val="超链接1"/>
    <w:uiPriority w:val="0"/>
    <w:qFormat/>
    <w:rPr>
      <w:color w:val="0000ff"/>
      <w:u w:val="single"/>
    </w:rPr>
  </w:style>
  <w:style w:type="character" w:styleId="958" w:customStyle="1">
    <w:name w:val="正文文本 3 Char"/>
    <w:link w:val="959"/>
    <w:uiPriority w:val="0"/>
    <w:rPr>
      <w:rFonts w:ascii="仿宋_GB2312" w:hAnsi="Arial" w:eastAsia="仿宋_GB2312" w:cs="Times New Roman"/>
      <w:sz w:val="32"/>
      <w:szCs w:val="32"/>
    </w:rPr>
  </w:style>
  <w:style w:type="paragraph" w:styleId="959" w:customStyle="1">
    <w:name w:val="正文文本 31"/>
    <w:basedOn w:val="710"/>
    <w:link w:val="958"/>
    <w:uiPriority w:val="0"/>
    <w:qFormat/>
    <w:rPr>
      <w:rFonts w:ascii="仿宋_GB2312" w:hAnsi="Arial" w:eastAsia="仿宋_GB2312"/>
      <w:sz w:val="32"/>
      <w:szCs w:val="32"/>
    </w:rPr>
  </w:style>
  <w:style w:type="character" w:styleId="960" w:customStyle="1">
    <w:name w:val="font5 Char"/>
    <w:uiPriority w:val="0"/>
    <w:rPr>
      <w:rFonts w:ascii="宋体" w:hAnsi="宋体" w:eastAsia="宋体"/>
      <w:sz w:val="28"/>
      <w:szCs w:val="28"/>
      <w:lang w:val="en-US" w:eastAsia="zh-CN" w:bidi="ar-SA"/>
    </w:rPr>
  </w:style>
  <w:style w:type="character" w:styleId="961" w:customStyle="1">
    <w:name w:val="标题 6 Char"/>
    <w:link w:val="944"/>
    <w:uiPriority w:val="0"/>
    <w:rPr>
      <w:rFonts w:ascii="Arial" w:hAnsi="Arial" w:eastAsia="黑体" w:cs="Times New Roman"/>
      <w:b/>
      <w:bCs/>
      <w:sz w:val="24"/>
      <w:szCs w:val="24"/>
    </w:rPr>
  </w:style>
  <w:style w:type="character" w:styleId="962" w:customStyle="1">
    <w:name w:val="已访问的超链接1"/>
    <w:uiPriority w:val="0"/>
    <w:qFormat/>
    <w:rPr>
      <w:color w:val="800080"/>
      <w:u w:val="single"/>
    </w:rPr>
  </w:style>
  <w:style w:type="character" w:styleId="963" w:customStyle="1">
    <w:name w:val="标题 4 Char"/>
    <w:link w:val="942"/>
    <w:uiPriority w:val="0"/>
    <w:rPr>
      <w:rFonts w:ascii="Arial" w:hAnsi="Arial" w:eastAsia="黑体" w:cs="Arial"/>
      <w:b/>
      <w:bCs/>
      <w:sz w:val="28"/>
      <w:szCs w:val="28"/>
    </w:rPr>
  </w:style>
  <w:style w:type="character" w:styleId="964" w:customStyle="1">
    <w:name w:val="二级目录 Char"/>
    <w:link w:val="965"/>
    <w:uiPriority w:val="0"/>
    <w:rPr>
      <w:b/>
      <w:sz w:val="30"/>
      <w:szCs w:val="28"/>
    </w:rPr>
  </w:style>
  <w:style w:type="paragraph" w:styleId="965" w:customStyle="1">
    <w:name w:val="二级目录"/>
    <w:next w:val="710"/>
    <w:link w:val="964"/>
    <w:uiPriority w:val="0"/>
    <w:qFormat/>
    <w:pPr>
      <w:ind w:left="907" w:hanging="907"/>
      <w:tabs>
        <w:tab w:val="left" w:pos="907" w:leader="none"/>
        <w:tab w:val="left" w:pos="1145" w:leader="none"/>
      </w:tabs>
      <w:outlineLvl w:val="1"/>
    </w:pPr>
    <w:rPr>
      <w:rFonts w:hint="default" w:ascii="Calibri" w:hAnsi="Calibri" w:eastAsia="宋体" w:cs="Times New Roman"/>
      <w:b/>
      <w:sz w:val="30"/>
      <w:szCs w:val="28"/>
      <w:lang w:val="en-US" w:eastAsia="zh-CN" w:bidi="ar-SA"/>
    </w:rPr>
  </w:style>
  <w:style w:type="character" w:styleId="966" w:customStyle="1">
    <w:name w:val="页眉 Char"/>
    <w:link w:val="967"/>
    <w:uiPriority w:val="0"/>
    <w:qFormat/>
    <w:rPr>
      <w:rFonts w:ascii="Times New Roman" w:hAnsi="Times New Roman" w:eastAsia="宋体" w:cs="Times New Roman"/>
      <w:sz w:val="18"/>
      <w:szCs w:val="18"/>
    </w:rPr>
  </w:style>
  <w:style w:type="paragraph" w:styleId="967" w:customStyle="1">
    <w:name w:val="页眉1"/>
    <w:basedOn w:val="710"/>
    <w:link w:val="966"/>
    <w:uiPriority w:val="0"/>
    <w:qFormat/>
    <w:pPr>
      <w:jc w:val="center"/>
      <w:tabs>
        <w:tab w:val="center" w:pos="4153" w:leader="none"/>
        <w:tab w:val="right" w:pos="8306" w:leader="none"/>
      </w:tabs>
      <w:pBdr>
        <w:bottom w:val="single" w:color="000000" w:sz="6" w:space="1"/>
      </w:pBdr>
    </w:pPr>
    <w:rPr>
      <w:sz w:val="18"/>
      <w:szCs w:val="18"/>
    </w:rPr>
  </w:style>
  <w:style w:type="character" w:styleId="968" w:customStyle="1">
    <w:name w:val="页码1"/>
    <w:uiPriority w:val="0"/>
    <w:qFormat/>
  </w:style>
  <w:style w:type="character" w:styleId="969" w:customStyle="1">
    <w:name w:val="正文首行缩进 2 Char"/>
    <w:link w:val="970"/>
    <w:uiPriority w:val="0"/>
    <w:rPr>
      <w:rFonts w:ascii="宋体" w:hAnsi="宋体" w:eastAsia="宋体" w:cs="Times New Roman"/>
      <w:sz w:val="32"/>
      <w:szCs w:val="20"/>
    </w:rPr>
  </w:style>
  <w:style w:type="paragraph" w:styleId="970" w:customStyle="1">
    <w:name w:val="正文首行缩进 21"/>
    <w:basedOn w:val="971"/>
    <w:link w:val="969"/>
    <w:uiPriority w:val="0"/>
    <w:qFormat/>
    <w:pPr>
      <w:ind w:firstLine="420"/>
      <w:spacing w:line="360" w:lineRule="auto"/>
    </w:pPr>
    <w:rPr>
      <w:rFonts w:ascii="宋体" w:hAnsi="宋体" w:eastAsia="宋体"/>
      <w:sz w:val="21"/>
      <w:szCs w:val="20"/>
    </w:rPr>
  </w:style>
  <w:style w:type="paragraph" w:styleId="971" w:customStyle="1">
    <w:name w:val="正文文本缩进1"/>
    <w:basedOn w:val="710"/>
    <w:link w:val="987"/>
    <w:uiPriority w:val="0"/>
    <w:qFormat/>
    <w:pPr>
      <w:ind w:firstLine="645"/>
    </w:pPr>
    <w:rPr>
      <w:rFonts w:ascii="楷体_GB2312" w:eastAsia="楷体_GB2312"/>
      <w:sz w:val="32"/>
      <w:szCs w:val="32"/>
    </w:rPr>
  </w:style>
  <w:style w:type="character" w:styleId="972" w:customStyle="1">
    <w:name w:val="标题 3 Char"/>
    <w:link w:val="941"/>
    <w:uiPriority w:val="0"/>
    <w:qFormat/>
    <w:rPr>
      <w:rFonts w:ascii="Times New Roman" w:hAnsi="Times New Roman" w:eastAsia="宋体" w:cs="Times New Roman"/>
      <w:b/>
      <w:bCs/>
      <w:sz w:val="32"/>
      <w:szCs w:val="32"/>
    </w:rPr>
  </w:style>
  <w:style w:type="character" w:styleId="973" w:customStyle="1">
    <w:name w:val="批注文字 Char"/>
    <w:link w:val="974"/>
    <w:uiPriority w:val="0"/>
    <w:semiHidden/>
    <w:rPr>
      <w:rFonts w:ascii="Times New Roman" w:hAnsi="Times New Roman" w:eastAsia="宋体" w:cs="Times New Roman"/>
      <w:szCs w:val="21"/>
    </w:rPr>
  </w:style>
  <w:style w:type="paragraph" w:styleId="974" w:customStyle="1">
    <w:name w:val="批注文字1"/>
    <w:basedOn w:val="710"/>
    <w:link w:val="973"/>
    <w:uiPriority w:val="0"/>
    <w:semiHidden/>
    <w:qFormat/>
    <w:pPr>
      <w:jc w:val="left"/>
    </w:pPr>
  </w:style>
  <w:style w:type="character" w:styleId="975" w:customStyle="1">
    <w:name w:val="正文缩进 Char"/>
    <w:link w:val="724"/>
    <w:uiPriority w:val="0"/>
    <w:rPr>
      <w:rFonts w:ascii="Times New Roman" w:hAnsi="Times New Roman" w:eastAsia="宋体" w:cs="Times New Roman"/>
      <w:szCs w:val="21"/>
    </w:rPr>
  </w:style>
  <w:style w:type="character" w:styleId="976" w:customStyle="1">
    <w:name w:val="日期 Char"/>
    <w:link w:val="977"/>
    <w:uiPriority w:val="0"/>
    <w:qFormat/>
    <w:rPr>
      <w:rFonts w:ascii="Times New Roman" w:hAnsi="Times New Roman" w:eastAsia="宋体" w:cs="Times New Roman"/>
      <w:sz w:val="24"/>
      <w:szCs w:val="24"/>
    </w:rPr>
  </w:style>
  <w:style w:type="paragraph" w:styleId="977" w:customStyle="1">
    <w:name w:val="日期1"/>
    <w:basedOn w:val="710"/>
    <w:next w:val="710"/>
    <w:link w:val="976"/>
    <w:uiPriority w:val="0"/>
    <w:qFormat/>
    <w:rPr>
      <w:sz w:val="24"/>
      <w:szCs w:val="24"/>
    </w:rPr>
  </w:style>
  <w:style w:type="character" w:styleId="978" w:customStyle="1">
    <w:name w:val="要点1"/>
    <w:uiPriority w:val="0"/>
    <w:qFormat/>
    <w:rPr>
      <w:b/>
      <w:bCs/>
    </w:rPr>
  </w:style>
  <w:style w:type="character" w:styleId="979" w:customStyle="1">
    <w:name w:val="页脚 Char"/>
    <w:link w:val="980"/>
    <w:uiPriority w:val="0"/>
    <w:qFormat/>
    <w:rPr>
      <w:rFonts w:ascii="Times New Roman" w:hAnsi="Times New Roman" w:eastAsia="宋体" w:cs="Times New Roman"/>
      <w:sz w:val="18"/>
      <w:szCs w:val="18"/>
    </w:rPr>
  </w:style>
  <w:style w:type="paragraph" w:styleId="980" w:customStyle="1">
    <w:name w:val="页脚1"/>
    <w:basedOn w:val="710"/>
    <w:link w:val="979"/>
    <w:uiPriority w:val="0"/>
    <w:qFormat/>
    <w:pPr>
      <w:jc w:val="left"/>
      <w:tabs>
        <w:tab w:val="center" w:pos="4153" w:leader="none"/>
        <w:tab w:val="right" w:pos="8306" w:leader="none"/>
      </w:tabs>
    </w:pPr>
    <w:rPr>
      <w:sz w:val="18"/>
      <w:szCs w:val="18"/>
    </w:rPr>
  </w:style>
  <w:style w:type="character" w:styleId="981" w:customStyle="1">
    <w:name w:val="批注引用1"/>
    <w:uiPriority w:val="0"/>
    <w:semiHidden/>
    <w:rPr>
      <w:sz w:val="21"/>
      <w:szCs w:val="21"/>
    </w:rPr>
  </w:style>
  <w:style w:type="character" w:styleId="982" w:customStyle="1">
    <w:name w:val="标题 5 Char"/>
    <w:link w:val="943"/>
    <w:uiPriority w:val="0"/>
    <w:qFormat/>
    <w:rPr>
      <w:rFonts w:ascii="宋体" w:hAnsi="Times New Roman" w:eastAsia="宋体" w:cs="Times New Roman"/>
      <w:color w:val="000000"/>
      <w:sz w:val="28"/>
      <w:szCs w:val="28"/>
    </w:rPr>
  </w:style>
  <w:style w:type="character" w:styleId="983" w:customStyle="1">
    <w:name w:val="文档结构图 Char"/>
    <w:link w:val="984"/>
    <w:uiPriority w:val="0"/>
    <w:semiHidden/>
    <w:rPr>
      <w:rFonts w:ascii="Times New Roman" w:hAnsi="Times New Roman" w:eastAsia="宋体" w:cs="Times New Roman"/>
      <w:szCs w:val="21"/>
      <w:shd w:val="clear" w:color="auto" w:fill="000080"/>
    </w:rPr>
  </w:style>
  <w:style w:type="paragraph" w:styleId="984" w:customStyle="1">
    <w:name w:val="文档结构图1"/>
    <w:basedOn w:val="710"/>
    <w:link w:val="983"/>
    <w:uiPriority w:val="0"/>
    <w:semiHidden/>
    <w:qFormat/>
    <w:pPr>
      <w:shd w:val="clear" w:color="auto" w:fill="000080"/>
    </w:pPr>
  </w:style>
  <w:style w:type="character" w:styleId="985" w:customStyle="1">
    <w:name w:val="正文文本缩进 3 Char"/>
    <w:link w:val="986"/>
    <w:uiPriority w:val="0"/>
    <w:qFormat/>
    <w:rPr>
      <w:rFonts w:ascii="Arial" w:hAnsi="Arial" w:eastAsia="仿宋_GB2312" w:cs="Arial"/>
      <w:color w:val="ffff00"/>
      <w:sz w:val="32"/>
      <w:szCs w:val="32"/>
    </w:rPr>
  </w:style>
  <w:style w:type="paragraph" w:styleId="986" w:customStyle="1">
    <w:name w:val="正文文本缩进 31"/>
    <w:basedOn w:val="710"/>
    <w:link w:val="985"/>
    <w:uiPriority w:val="0"/>
    <w:qFormat/>
    <w:pPr>
      <w:ind w:left="645" w:firstLine="645"/>
    </w:pPr>
    <w:rPr>
      <w:rFonts w:ascii="Arial" w:hAnsi="Arial" w:eastAsia="仿宋_GB2312" w:cs="Arial"/>
      <w:color w:val="ffff00"/>
      <w:sz w:val="32"/>
      <w:szCs w:val="32"/>
    </w:rPr>
  </w:style>
  <w:style w:type="character" w:styleId="987" w:customStyle="1">
    <w:name w:val="正文文本缩进 Char"/>
    <w:link w:val="971"/>
    <w:uiPriority w:val="0"/>
    <w:rPr>
      <w:rFonts w:ascii="楷体_GB2312" w:hAnsi="Times New Roman" w:eastAsia="楷体_GB2312" w:cs="Times New Roman"/>
      <w:sz w:val="32"/>
      <w:szCs w:val="32"/>
    </w:rPr>
  </w:style>
  <w:style w:type="character" w:styleId="988" w:customStyle="1">
    <w:name w:val="纯文本 Char"/>
    <w:link w:val="989"/>
    <w:uiPriority w:val="0"/>
    <w:rPr>
      <w:rFonts w:ascii="宋体" w:hAnsi="Courier New" w:eastAsia="宋体" w:cs="Courier New"/>
      <w:szCs w:val="21"/>
    </w:rPr>
  </w:style>
  <w:style w:type="paragraph" w:styleId="989" w:customStyle="1">
    <w:name w:val="纯文本1"/>
    <w:basedOn w:val="710"/>
    <w:link w:val="988"/>
    <w:uiPriority w:val="0"/>
    <w:qFormat/>
    <w:rPr>
      <w:rFonts w:ascii="宋体" w:hAnsi="Courier New" w:cs="Courier New"/>
    </w:rPr>
  </w:style>
  <w:style w:type="character" w:styleId="990" w:customStyle="1">
    <w:name w:val="标题 1 Char"/>
    <w:link w:val="939"/>
    <w:uiPriority w:val="0"/>
    <w:rPr>
      <w:rFonts w:ascii="楷体_GB2312" w:hAnsi="楷体_GB2312" w:eastAsia="黑体" w:cs="Times New Roman"/>
      <w:sz w:val="44"/>
      <w:szCs w:val="28"/>
    </w:rPr>
  </w:style>
  <w:style w:type="character" w:styleId="991" w:customStyle="1">
    <w:name w:val="标题 2 Char"/>
    <w:link w:val="940"/>
    <w:uiPriority w:val="0"/>
    <w:rPr>
      <w:rFonts w:ascii="Arial" w:hAnsi="Arial" w:eastAsia="幼圆" w:cs="Arial"/>
      <w:b/>
      <w:bCs/>
      <w:sz w:val="44"/>
      <w:szCs w:val="44"/>
    </w:rPr>
  </w:style>
  <w:style w:type="character" w:styleId="992" w:customStyle="1">
    <w:name w:val="标题 9 Char"/>
    <w:link w:val="947"/>
    <w:uiPriority w:val="0"/>
    <w:qFormat/>
    <w:rPr>
      <w:rFonts w:ascii="Arial" w:hAnsi="Arial" w:eastAsia="黑体" w:cs="Times New Roman"/>
      <w:szCs w:val="21"/>
    </w:rPr>
  </w:style>
  <w:style w:type="character" w:styleId="993" w:customStyle="1">
    <w:name w:val="正文文本缩进 2 Char"/>
    <w:link w:val="994"/>
    <w:uiPriority w:val="0"/>
    <w:rPr>
      <w:rFonts w:ascii="Arial" w:hAnsi="Arial" w:eastAsia="仿宋_GB2312" w:cs="Arial"/>
      <w:sz w:val="32"/>
      <w:szCs w:val="32"/>
    </w:rPr>
  </w:style>
  <w:style w:type="paragraph" w:styleId="994" w:customStyle="1">
    <w:name w:val="正文文本缩进 21"/>
    <w:basedOn w:val="710"/>
    <w:link w:val="993"/>
    <w:uiPriority w:val="0"/>
    <w:qFormat/>
    <w:pPr>
      <w:ind w:left="630" w:firstLine="645"/>
    </w:pPr>
    <w:rPr>
      <w:rFonts w:ascii="Arial" w:hAnsi="Arial" w:eastAsia="仿宋_GB2312" w:cs="Arial"/>
      <w:sz w:val="32"/>
      <w:szCs w:val="32"/>
    </w:rPr>
  </w:style>
  <w:style w:type="character" w:styleId="995" w:customStyle="1">
    <w:name w:val="正文文本 2 Char"/>
    <w:link w:val="996"/>
    <w:uiPriority w:val="0"/>
    <w:rPr>
      <w:rFonts w:ascii="楷体_GB2312" w:hAnsi="Times New Roman" w:eastAsia="楷体_GB2312" w:cs="Times New Roman"/>
      <w:sz w:val="28"/>
      <w:szCs w:val="28"/>
    </w:rPr>
  </w:style>
  <w:style w:type="paragraph" w:styleId="996" w:customStyle="1">
    <w:name w:val="正文文本 21"/>
    <w:basedOn w:val="710"/>
    <w:link w:val="995"/>
    <w:uiPriority w:val="0"/>
    <w:qFormat/>
    <w:pPr>
      <w:jc w:val="center"/>
      <w:widowControl/>
    </w:pPr>
    <w:rPr>
      <w:rFonts w:ascii="楷体_GB2312" w:eastAsia="楷体_GB2312"/>
      <w:sz w:val="28"/>
      <w:szCs w:val="28"/>
    </w:rPr>
  </w:style>
  <w:style w:type="character" w:styleId="997" w:customStyle="1">
    <w:name w:val="批注主题 Char"/>
    <w:link w:val="998"/>
    <w:uiPriority w:val="0"/>
    <w:semiHidden/>
    <w:qFormat/>
    <w:rPr>
      <w:rFonts w:ascii="Times New Roman" w:hAnsi="Times New Roman" w:eastAsia="宋体" w:cs="Times New Roman"/>
      <w:b/>
      <w:bCs/>
      <w:szCs w:val="21"/>
    </w:rPr>
  </w:style>
  <w:style w:type="paragraph" w:styleId="998" w:customStyle="1">
    <w:name w:val="批注主题1"/>
    <w:basedOn w:val="974"/>
    <w:next w:val="974"/>
    <w:link w:val="997"/>
    <w:uiPriority w:val="0"/>
    <w:semiHidden/>
    <w:qFormat/>
    <w:rPr>
      <w:b/>
      <w:bCs/>
    </w:rPr>
  </w:style>
  <w:style w:type="character" w:styleId="999" w:customStyle="1">
    <w:name w:val="正文首行缩进 Char"/>
    <w:link w:val="1000"/>
    <w:uiPriority w:val="0"/>
    <w:rPr>
      <w:rFonts w:ascii="仿宋_GB2312" w:hAnsi="Times New Roman" w:eastAsia="仿宋_GB2312" w:cs="Times New Roman"/>
      <w:sz w:val="30"/>
      <w:szCs w:val="30"/>
    </w:rPr>
  </w:style>
  <w:style w:type="paragraph" w:styleId="1000" w:customStyle="1">
    <w:name w:val="正文首行缩进1"/>
    <w:basedOn w:val="710"/>
    <w:link w:val="999"/>
    <w:uiPriority w:val="0"/>
    <w:qFormat/>
    <w:pPr>
      <w:ind w:firstLine="200"/>
      <w:spacing w:line="360" w:lineRule="auto"/>
    </w:pPr>
    <w:rPr>
      <w:rFonts w:ascii="仿宋_GB2312" w:eastAsia="仿宋_GB2312"/>
      <w:sz w:val="30"/>
      <w:szCs w:val="30"/>
    </w:rPr>
  </w:style>
  <w:style w:type="paragraph" w:styleId="1001" w:customStyle="1">
    <w:name w:val="table_lines"/>
    <w:basedOn w:val="710"/>
    <w:uiPriority w:val="0"/>
    <w:pPr>
      <w:jc w:val="left"/>
      <w:widowControl/>
    </w:pPr>
    <w:rPr>
      <w:sz w:val="20"/>
      <w:szCs w:val="20"/>
      <w:lang w:val="de-DE" w:eastAsia="de-DE"/>
    </w:rPr>
  </w:style>
  <w:style w:type="paragraph" w:styleId="1002" w:customStyle="1">
    <w:name w:val="Char"/>
    <w:basedOn w:val="984"/>
    <w:uiPriority w:val="0"/>
    <w:qFormat/>
    <w:rPr>
      <w:rFonts w:ascii="Tahoma" w:hAnsi="Tahoma"/>
      <w:sz w:val="24"/>
      <w:szCs w:val="24"/>
    </w:rPr>
  </w:style>
  <w:style w:type="paragraph" w:styleId="1003" w:customStyle="1">
    <w:name w:val="索引 11"/>
    <w:basedOn w:val="710"/>
    <w:next w:val="710"/>
    <w:uiPriority w:val="0"/>
    <w:semiHidden/>
    <w:qFormat/>
    <w:pPr>
      <w:spacing w:line="240" w:lineRule="atLeast"/>
    </w:pPr>
    <w:rPr>
      <w:b/>
      <w:bCs/>
    </w:rPr>
  </w:style>
  <w:style w:type="paragraph" w:styleId="1004" w:customStyle="1">
    <w:name w:val="目录 51"/>
    <w:basedOn w:val="710"/>
    <w:next w:val="710"/>
    <w:uiPriority w:val="0"/>
    <w:semiHidden/>
    <w:qFormat/>
    <w:pPr>
      <w:ind w:left="840"/>
      <w:jc w:val="left"/>
    </w:pPr>
  </w:style>
  <w:style w:type="paragraph" w:styleId="1005" w:customStyle="1">
    <w:name w:val="Char Char Char Char"/>
    <w:basedOn w:val="984"/>
    <w:uiPriority w:val="0"/>
    <w:qFormat/>
    <w:pPr>
      <w:spacing w:line="360" w:lineRule="auto"/>
    </w:pPr>
    <w:rPr>
      <w:rFonts w:ascii="Tahoma" w:hAnsi="Tahoma"/>
      <w:sz w:val="24"/>
      <w:szCs w:val="24"/>
    </w:rPr>
  </w:style>
  <w:style w:type="paragraph" w:styleId="1006" w:customStyle="1">
    <w:name w:val="列出段落2"/>
    <w:basedOn w:val="710"/>
    <w:uiPriority w:val="0"/>
    <w:qFormat/>
    <w:pPr>
      <w:contextualSpacing/>
      <w:ind w:left="720"/>
      <w:jc w:val="left"/>
      <w:widowControl/>
    </w:pPr>
    <w:rPr>
      <w:rFonts w:ascii="Calibri" w:hAnsi="Calibri"/>
      <w:sz w:val="24"/>
      <w:szCs w:val="24"/>
      <w:lang w:eastAsia="en-US" w:bidi="en-US"/>
    </w:rPr>
  </w:style>
  <w:style w:type="paragraph" w:styleId="1007" w:customStyle="1">
    <w:name w:val="普通(网站)1"/>
    <w:basedOn w:val="710"/>
    <w:uiPriority w:val="99"/>
    <w:qFormat/>
    <w:pPr>
      <w:jc w:val="left"/>
      <w:spacing w:before="100" w:beforeAutospacing="1" w:after="100" w:afterAutospacing="1"/>
      <w:widowControl/>
    </w:pPr>
    <w:rPr>
      <w:rFonts w:ascii="宋体" w:hAnsi="宋体" w:cs="宋体"/>
      <w:sz w:val="24"/>
      <w:szCs w:val="24"/>
    </w:rPr>
  </w:style>
  <w:style w:type="paragraph" w:styleId="1008"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09" w:customStyle="1">
    <w:name w:val="普通 (Web)"/>
    <w:basedOn w:val="710"/>
    <w:uiPriority w:val="0"/>
    <w:qFormat/>
    <w:pPr>
      <w:jc w:val="left"/>
      <w:spacing w:before="100" w:beforeAutospacing="1" w:after="100" w:afterAutospacing="1"/>
      <w:widowControl/>
    </w:pPr>
    <w:rPr>
      <w:rFonts w:ascii="宋体" w:hAnsi="宋体"/>
      <w:sz w:val="24"/>
      <w:szCs w:val="24"/>
    </w:rPr>
  </w:style>
  <w:style w:type="paragraph" w:styleId="1010" w:customStyle="1">
    <w:name w:val="xl27"/>
    <w:basedOn w:val="71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1" w:customStyle="1">
    <w:name w:val="目录 81"/>
    <w:basedOn w:val="710"/>
    <w:next w:val="710"/>
    <w:uiPriority w:val="0"/>
    <w:semiHidden/>
    <w:qFormat/>
    <w:pPr>
      <w:ind w:left="1470"/>
      <w:jc w:val="left"/>
    </w:pPr>
  </w:style>
  <w:style w:type="paragraph" w:styleId="1012" w:customStyle="1">
    <w:name w:val="目录 91"/>
    <w:basedOn w:val="710"/>
    <w:next w:val="710"/>
    <w:uiPriority w:val="0"/>
    <w:semiHidden/>
    <w:qFormat/>
    <w:pPr>
      <w:ind w:left="1680"/>
      <w:jc w:val="left"/>
    </w:pPr>
  </w:style>
  <w:style w:type="paragraph" w:styleId="1013" w:customStyle="1">
    <w:name w:val="Char1"/>
    <w:basedOn w:val="710"/>
    <w:uiPriority w:val="0"/>
    <w:qFormat/>
    <w:pPr>
      <w:ind w:firstLine="200"/>
      <w:tabs>
        <w:tab w:val="left" w:pos="360" w:leader="none"/>
      </w:tabs>
    </w:pPr>
    <w:rPr>
      <w:sz w:val="28"/>
      <w:szCs w:val="30"/>
    </w:rPr>
  </w:style>
  <w:style w:type="paragraph" w:styleId="1014" w:customStyle="1">
    <w:name w:val="Char Char Char Char Char Char Char Char"/>
    <w:basedOn w:val="710"/>
    <w:uiPriority w:val="0"/>
    <w:qFormat/>
    <w:pPr>
      <w:jc w:val="left"/>
      <w:spacing w:after="160" w:line="240" w:lineRule="exact"/>
      <w:widowControl/>
    </w:pPr>
    <w:rPr>
      <w:rFonts w:ascii="Verdana" w:hAnsi="Verdana"/>
      <w:sz w:val="20"/>
      <w:szCs w:val="20"/>
      <w:lang w:eastAsia="en-US"/>
    </w:rPr>
  </w:style>
  <w:style w:type="paragraph" w:styleId="1015" w:customStyle="1">
    <w:name w:val="font7"/>
    <w:basedOn w:val="710"/>
    <w:uiPriority w:val="0"/>
    <w:qFormat/>
    <w:pPr>
      <w:jc w:val="left"/>
      <w:spacing w:before="100" w:beforeAutospacing="1" w:after="100" w:afterAutospacing="1"/>
      <w:widowControl/>
    </w:pPr>
    <w:rPr>
      <w:rFonts w:hint="eastAsia" w:ascii="宋体" w:hAnsi="宋体"/>
      <w:sz w:val="18"/>
      <w:szCs w:val="18"/>
    </w:rPr>
  </w:style>
  <w:style w:type="paragraph" w:styleId="1016" w:customStyle="1">
    <w:name w:val="Char Char Char Char Char Char Char Char Char Char"/>
    <w:basedOn w:val="710"/>
    <w:uiPriority w:val="0"/>
    <w:qFormat/>
    <w:pPr>
      <w:spacing w:line="360" w:lineRule="auto"/>
    </w:pPr>
    <w:rPr>
      <w:sz w:val="24"/>
      <w:szCs w:val="20"/>
    </w:rPr>
  </w:style>
  <w:style w:type="paragraph" w:styleId="1017" w:customStyle="1">
    <w:name w:val="xl26"/>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18" w:customStyle="1">
    <w:name w:val="table_1stline"/>
    <w:basedOn w:val="710"/>
    <w:uiPriority w:val="0"/>
    <w:qFormat/>
    <w:pPr>
      <w:jc w:val="left"/>
      <w:spacing w:before="120"/>
      <w:widowControl/>
    </w:pPr>
    <w:rPr>
      <w:bCs/>
      <w:sz w:val="20"/>
      <w:szCs w:val="20"/>
      <w:lang w:val="de-DE" w:eastAsia="de-DE"/>
    </w:rPr>
  </w:style>
  <w:style w:type="paragraph" w:styleId="1019" w:customStyle="1">
    <w:name w:val="xl28"/>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20" w:customStyle="1">
    <w:name w:val="目录 31"/>
    <w:basedOn w:val="710"/>
    <w:next w:val="710"/>
    <w:uiPriority w:val="0"/>
    <w:semiHidden/>
    <w:qFormat/>
    <w:pPr>
      <w:ind w:left="420"/>
      <w:jc w:val="left"/>
    </w:pPr>
    <w:rPr>
      <w:i/>
      <w:iCs/>
      <w:szCs w:val="24"/>
    </w:rPr>
  </w:style>
  <w:style w:type="paragraph" w:styleId="1021" w:customStyle="1">
    <w:name w:val="目录 61"/>
    <w:basedOn w:val="710"/>
    <w:next w:val="710"/>
    <w:uiPriority w:val="0"/>
    <w:semiHidden/>
    <w:qFormat/>
    <w:pPr>
      <w:ind w:left="1050"/>
      <w:jc w:val="left"/>
    </w:pPr>
  </w:style>
  <w:style w:type="paragraph" w:styleId="1022" w:customStyle="1">
    <w:name w:val="目录 71"/>
    <w:basedOn w:val="710"/>
    <w:next w:val="710"/>
    <w:uiPriority w:val="0"/>
    <w:semiHidden/>
    <w:qFormat/>
    <w:pPr>
      <w:ind w:left="1260"/>
      <w:jc w:val="left"/>
    </w:pPr>
  </w:style>
  <w:style w:type="paragraph" w:styleId="1023" w:customStyle="1">
    <w:name w:val="附录1"/>
    <w:uiPriority w:val="0"/>
    <w:qFormat/>
    <w:pPr>
      <w:numPr>
        <w:ilvl w:val="0"/>
        <w:numId w:val="3"/>
      </w:numPr>
      <w:spacing w:before="240" w:line="600" w:lineRule="atLeast"/>
    </w:pPr>
    <w:rPr>
      <w:rFonts w:hint="default" w:ascii="Times New Roman" w:hAnsi="Times New Roman" w:eastAsia="宋体" w:cs="Times New Roman"/>
      <w:b/>
      <w:i/>
      <w:sz w:val="28"/>
      <w:lang w:val="en-US" w:eastAsia="zh-CN" w:bidi="ar-SA"/>
    </w:rPr>
  </w:style>
  <w:style w:type="paragraph" w:styleId="1024" w:customStyle="1">
    <w:name w:val="标题3"/>
    <w:basedOn w:val="710"/>
    <w:next w:val="710"/>
    <w:uiPriority w:val="0"/>
    <w:qFormat/>
    <w:pPr>
      <w:ind w:firstLine="624"/>
      <w:spacing w:line="590" w:lineRule="atLeast"/>
    </w:pPr>
    <w:rPr>
      <w:rFonts w:ascii="方正黑体_GBK" w:eastAsia="方正黑体_GBK"/>
      <w:sz w:val="32"/>
      <w:szCs w:val="32"/>
    </w:rPr>
  </w:style>
  <w:style w:type="paragraph" w:styleId="1025" w:customStyle="1">
    <w:name w:val="列表 31"/>
    <w:basedOn w:val="710"/>
    <w:uiPriority w:val="0"/>
    <w:qFormat/>
    <w:pPr>
      <w:ind w:left="100" w:hanging="200"/>
    </w:pPr>
  </w:style>
  <w:style w:type="paragraph" w:styleId="1026" w:customStyle="1">
    <w:name w:val="目录 11"/>
    <w:basedOn w:val="710"/>
    <w:next w:val="710"/>
    <w:uiPriority w:val="0"/>
    <w:semiHidden/>
    <w:qFormat/>
    <w:pPr>
      <w:jc w:val="left"/>
      <w:spacing w:before="120" w:after="120" w:line="400" w:lineRule="exact"/>
      <w:tabs>
        <w:tab w:val="right" w:pos="8720" w:leader="dot"/>
      </w:tabs>
    </w:pPr>
    <w:rPr>
      <w:rFonts w:ascii="宋体" w:hAnsi="宋体"/>
      <w:caps/>
      <w:sz w:val="24"/>
      <w:szCs w:val="24"/>
    </w:rPr>
  </w:style>
  <w:style w:type="paragraph" w:styleId="1027" w:customStyle="1">
    <w:name w:val="xl30"/>
    <w:basedOn w:val="710"/>
    <w:uiPriority w:val="0"/>
    <w:qFormat/>
    <w:pPr>
      <w:jc w:val="center"/>
      <w:spacing w:before="100" w:beforeAutospacing="1" w:after="100" w:afterAutospacing="1"/>
      <w:widowControl/>
    </w:pPr>
    <w:rPr>
      <w:rFonts w:ascii="宋体" w:hAnsi="宋体"/>
      <w:b/>
      <w:bCs/>
      <w:sz w:val="36"/>
      <w:szCs w:val="36"/>
    </w:rPr>
  </w:style>
  <w:style w:type="paragraph" w:styleId="1028" w:customStyle="1">
    <w:name w:val="目录 41"/>
    <w:basedOn w:val="710"/>
    <w:next w:val="710"/>
    <w:uiPriority w:val="0"/>
    <w:semiHidden/>
    <w:qFormat/>
    <w:pPr>
      <w:ind w:left="630"/>
      <w:jc w:val="left"/>
    </w:pPr>
  </w:style>
  <w:style w:type="paragraph" w:styleId="1029" w:customStyle="1">
    <w:name w:val="4"/>
    <w:basedOn w:val="710"/>
    <w:next w:val="986"/>
    <w:uiPriority w:val="0"/>
    <w:qFormat/>
    <w:pPr>
      <w:ind w:firstLine="420"/>
      <w:spacing w:line="360" w:lineRule="auto"/>
    </w:pPr>
    <w:rPr>
      <w:color w:val="ff0000"/>
      <w:sz w:val="24"/>
      <w:szCs w:val="24"/>
    </w:rPr>
  </w:style>
  <w:style w:type="paragraph" w:styleId="1030" w:customStyle="1">
    <w:name w:val="列表 21"/>
    <w:basedOn w:val="710"/>
    <w:uiPriority w:val="0"/>
    <w:qFormat/>
    <w:pPr>
      <w:ind w:left="100" w:hanging="200"/>
    </w:pPr>
  </w:style>
  <w:style w:type="paragraph" w:styleId="1031" w:customStyle="1">
    <w:name w:val="目录 21"/>
    <w:basedOn w:val="710"/>
    <w:next w:val="710"/>
    <w:uiPriority w:val="0"/>
    <w:semiHidden/>
    <w:qFormat/>
    <w:pPr>
      <w:ind w:left="210"/>
      <w:jc w:val="left"/>
    </w:pPr>
    <w:rPr>
      <w:smallCaps/>
      <w:szCs w:val="24"/>
    </w:rPr>
  </w:style>
  <w:style w:type="paragraph" w:styleId="1032" w:customStyle="1">
    <w:name w:val="Char Char Char Char1"/>
    <w:basedOn w:val="984"/>
    <w:uiPriority w:val="0"/>
    <w:qFormat/>
    <w:pPr>
      <w:spacing w:line="360" w:lineRule="auto"/>
    </w:pPr>
    <w:rPr>
      <w:rFonts w:ascii="Tahoma" w:hAnsi="Tahoma"/>
      <w:sz w:val="24"/>
      <w:szCs w:val="24"/>
    </w:rPr>
  </w:style>
  <w:style w:type="paragraph" w:styleId="1033" w:customStyle="1">
    <w:name w:val="普通正文"/>
    <w:basedOn w:val="710"/>
    <w:uiPriority w:val="0"/>
    <w:qFormat/>
    <w:pPr>
      <w:ind w:firstLine="480"/>
      <w:jc w:val="left"/>
      <w:spacing w:before="120" w:after="120" w:line="360" w:lineRule="auto"/>
    </w:pPr>
    <w:rPr>
      <w:rFonts w:ascii="Arial" w:hAnsi="Arial"/>
      <w:sz w:val="24"/>
      <w:szCs w:val="24"/>
    </w:rPr>
  </w:style>
  <w:style w:type="paragraph" w:styleId="1034" w:customStyle="1">
    <w:name w:val="Body Text(ch)"/>
    <w:basedOn w:val="710"/>
    <w:next w:val="722"/>
    <w:uiPriority w:val="0"/>
    <w:qFormat/>
    <w:pPr>
      <w:spacing w:after="120"/>
    </w:pPr>
    <w:rPr>
      <w:rFonts w:ascii="宋体" w:hAnsi="Arial"/>
      <w:bCs/>
      <w:iCs/>
      <w:szCs w:val="24"/>
    </w:rPr>
  </w:style>
  <w:style w:type="paragraph" w:styleId="1035" w:customStyle="1">
    <w:name w:val="列表1"/>
    <w:basedOn w:val="710"/>
    <w:uiPriority w:val="0"/>
    <w:qFormat/>
    <w:pPr>
      <w:ind w:left="200" w:hanging="200"/>
    </w:pPr>
  </w:style>
  <w:style w:type="paragraph" w:styleId="1036" w:customStyle="1">
    <w:name w:val="样式1"/>
    <w:basedOn w:val="710"/>
    <w:uiPriority w:val="0"/>
    <w:qFormat/>
    <w:pPr>
      <w:numPr>
        <w:ilvl w:val="0"/>
        <w:numId w:val="4"/>
      </w:numPr>
    </w:pPr>
    <w:rPr>
      <w:rFonts w:ascii="宋体" w:hAnsi="宋体"/>
    </w:rPr>
  </w:style>
  <w:style w:type="paragraph" w:styleId="1037" w:customStyle="1">
    <w:name w:val="xl29"/>
    <w:basedOn w:val="710"/>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38" w:customStyle="1">
    <w:name w:val="font5"/>
    <w:basedOn w:val="710"/>
    <w:uiPriority w:val="0"/>
    <w:qFormat/>
    <w:pPr>
      <w:jc w:val="left"/>
      <w:spacing w:before="100" w:beforeAutospacing="1" w:after="100" w:afterAutospacing="1"/>
      <w:widowControl/>
    </w:pPr>
    <w:rPr>
      <w:rFonts w:hint="eastAsia" w:ascii="宋体" w:hAnsi="宋体"/>
      <w:sz w:val="28"/>
      <w:szCs w:val="28"/>
    </w:rPr>
  </w:style>
  <w:style w:type="paragraph" w:styleId="1039" w:customStyle="1">
    <w:name w:val="图表目录1"/>
    <w:basedOn w:val="710"/>
    <w:next w:val="710"/>
    <w:uiPriority w:val="0"/>
    <w:semiHidden/>
    <w:qFormat/>
    <w:pPr>
      <w:ind w:left="840" w:hanging="420"/>
    </w:pPr>
  </w:style>
  <w:style w:type="paragraph" w:styleId="1040" w:customStyle="1">
    <w:name w:val="图标"/>
    <w:basedOn w:val="710"/>
    <w:next w:val="710"/>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41" w:customStyle="1">
    <w:name w:val="font6"/>
    <w:basedOn w:val="710"/>
    <w:uiPriority w:val="0"/>
    <w:qFormat/>
    <w:pPr>
      <w:jc w:val="left"/>
      <w:spacing w:before="100" w:beforeAutospacing="1" w:after="100" w:afterAutospacing="1"/>
      <w:widowControl/>
    </w:pPr>
    <w:rPr>
      <w:rFonts w:hint="eastAsia" w:ascii="宋体" w:hAnsi="宋体"/>
      <w:sz w:val="28"/>
      <w:szCs w:val="28"/>
      <w:u w:val="single"/>
    </w:rPr>
  </w:style>
  <w:style w:type="paragraph" w:styleId="1042" w:customStyle="1">
    <w:name w:val="xl25"/>
    <w:basedOn w:val="71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3" w:customStyle="1">
    <w:name w:val="xl24"/>
    <w:basedOn w:val="71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4" w:customStyle="1">
    <w:name w:val="Char Char Char Char Char Char Char Char1"/>
    <w:basedOn w:val="710"/>
    <w:uiPriority w:val="0"/>
    <w:qFormat/>
    <w:pPr>
      <w:jc w:val="left"/>
      <w:spacing w:after="160" w:line="240" w:lineRule="exact"/>
      <w:widowControl/>
    </w:pPr>
    <w:rPr>
      <w:rFonts w:ascii="Verdana" w:hAnsi="Verdana"/>
      <w:sz w:val="20"/>
      <w:szCs w:val="20"/>
      <w:lang w:eastAsia="en-US"/>
    </w:rPr>
  </w:style>
  <w:style w:type="paragraph" w:styleId="1045" w:customStyle="1">
    <w:name w:val="标题1"/>
    <w:basedOn w:val="710"/>
    <w:next w:val="71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46" w:customStyle="1">
    <w:name w:val="修订1"/>
    <w:uiPriority w:val="99"/>
    <w:semiHidden/>
    <w:qFormat/>
    <w:rPr>
      <w:rFonts w:hint="default" w:ascii="Times New Roman" w:hAnsi="Times New Roman" w:eastAsia="宋体" w:cs="Times New Roman"/>
      <w:sz w:val="21"/>
      <w:szCs w:val="21"/>
      <w:lang w:val="en-US" w:eastAsia="zh-CN" w:bidi="ar-SA"/>
    </w:rPr>
  </w:style>
  <w:style w:type="table" w:styleId="1047" w:customStyle="1">
    <w:name w:val="网格型1"/>
    <w:basedOn w:val="949"/>
    <w:uiPriority w:val="0"/>
    <w:qFormat/>
    <w:pPr>
      <w:jc w:val="both"/>
      <w:widowControl w:val="off"/>
    </w:pPr>
    <w:rPr>
      <w:rFonts w:ascii="Times New Roman" w:hAnsi="Times New Roman"/>
    </w:rPr>
    <w:tblPr/>
  </w:style>
  <w:style w:type="character" w:styleId="1048" w:customStyle="1">
    <w:name w:val="正文文本 Char1"/>
    <w:basedOn w:val="720"/>
    <w:uiPriority w:val="99"/>
    <w:semiHidden/>
    <w:qFormat/>
    <w:rPr>
      <w:rFonts w:ascii="Times New Roman" w:hAnsi="Times New Roman"/>
      <w:sz w:val="21"/>
      <w:szCs w:val="21"/>
    </w:rPr>
  </w:style>
  <w:style w:type="paragraph" w:styleId="1049" w:customStyle="1">
    <w:name w:val="正文2"/>
    <w:basedOn w:val="710"/>
    <w:uiPriority w:val="0"/>
    <w:qFormat/>
    <w:pPr>
      <w:spacing w:line="360" w:lineRule="auto"/>
      <w:tabs>
        <w:tab w:val="left" w:pos="6480" w:leader="none"/>
      </w:tabs>
    </w:pPr>
    <w:rPr>
      <w:sz w:val="24"/>
      <w:szCs w:val="24"/>
    </w:rPr>
  </w:style>
  <w:style w:type="paragraph" w:styleId="1050" w:customStyle="1">
    <w:name w:val="1 正文"/>
    <w:basedOn w:val="710"/>
    <w:uiPriority w:val="0"/>
    <w:qFormat/>
    <w:pPr>
      <w:ind w:firstLine="420"/>
      <w:spacing w:line="360" w:lineRule="auto"/>
    </w:pPr>
    <w:rPr>
      <w:rFonts w:ascii="宋体" w:hAnsi="宋体"/>
      <w:sz w:val="24"/>
      <w:szCs w:val="24"/>
    </w:rPr>
  </w:style>
  <w:style w:type="paragraph" w:styleId="1051" w:customStyle="1">
    <w:name w:val="A正文"/>
    <w:basedOn w:val="710"/>
    <w:uiPriority w:val="0"/>
    <w:qFormat/>
    <w:pPr>
      <w:ind w:firstLine="200"/>
      <w:spacing w:line="360" w:lineRule="auto"/>
    </w:pPr>
    <w:rPr>
      <w:rFonts w:cs="宋体"/>
      <w:sz w:val="24"/>
      <w:szCs w:val="28"/>
      <w:lang w:eastAsia="zh-Hans"/>
    </w:rPr>
  </w:style>
  <w:style w:type="paragraph" w:styleId="1052" w:customStyle="1">
    <w:name w:val="列出段落11"/>
    <w:uiPriority w:val="34"/>
    <w:qFormat/>
    <w:pPr>
      <w:ind w:firstLine="420"/>
      <w:jc w:val="both"/>
      <w:widowControl w:val="off"/>
    </w:pPr>
    <w:rPr>
      <w:rFonts w:hint="default" w:ascii="宋体" w:hAnsi="宋体" w:eastAsia="宋体" w:cs="Times New Roman"/>
      <w:sz w:val="24"/>
      <w:szCs w:val="24"/>
      <w:lang w:val="en-US" w:eastAsia="zh-CN" w:bidi="ar-SA"/>
    </w:rPr>
  </w:style>
  <w:style w:type="paragraph" w:styleId="1053" w:customStyle="1">
    <w:name w:val="列表段落1"/>
    <w:uiPriority w:val="34"/>
    <w:qFormat/>
    <w:pPr>
      <w:ind w:firstLine="420"/>
      <w:jc w:val="both"/>
      <w:widowControl w:val="off"/>
    </w:pPr>
    <w:rPr>
      <w:rFonts w:hint="default" w:ascii="Times New Roman" w:hAnsi="Times New Roman" w:eastAsia="宋体" w:cs="Times New Roman"/>
      <w:sz w:val="21"/>
      <w:szCs w:val="24"/>
      <w:lang w:val="en-US" w:eastAsia="zh-CN" w:bidi="ar-SA"/>
    </w:rPr>
  </w:style>
  <w:style w:type="paragraph" w:styleId="1054" w:customStyle="1">
    <w:name w:val="UserStyle_16"/>
    <w:uiPriority w:val="0"/>
    <w:qFormat/>
    <w:pPr>
      <w:ind w:firstLine="283"/>
      <w:jc w:val="both"/>
      <w:spacing w:line="360" w:lineRule="auto"/>
    </w:pPr>
    <w:rPr>
      <w:rFonts w:hint="default" w:ascii="宋体" w:hAnsi="宋体" w:eastAsia="宋体" w:cs="Times New Roman"/>
      <w:sz w:val="24"/>
      <w:szCs w:val="21"/>
      <w:lang w:val="en-US" w:eastAsia="zh-CN" w:bidi="ar-SA"/>
    </w:rPr>
  </w:style>
  <w:style w:type="character" w:styleId="1055" w:customStyle="1">
    <w:name w:val="UserStyle_11"/>
    <w:uiPriority w:val="0"/>
    <w:qFormat/>
    <w:rPr>
      <w:sz w:val="21"/>
      <w:szCs w:val="21"/>
      <w:lang w:val="en-US" w:eastAsia="zh-CN" w:bidi="ar-SA"/>
    </w:rPr>
  </w:style>
  <w:style w:type="character" w:styleId="1056" w:customStyle="1">
    <w:name w:val="NormalCharacter"/>
    <w:uiPriority w:val="0"/>
    <w:qFormat/>
  </w:style>
  <w:style w:type="numbering" w:styleId="1801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华玲</cp:lastModifiedBy>
  <cp:revision>92</cp:revision>
  <dcterms:created xsi:type="dcterms:W3CDTF">2023-12-04T02:59:00Z</dcterms:created>
  <dcterms:modified xsi:type="dcterms:W3CDTF">2026-08-20T06:25:25Z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EBA0DBB2971844FC8C0D203CB8208F18_12</vt:lpwstr>
  </property>
</Properties>
</file>