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highlight w:val="none"/>
        </w:rPr>
      </w:pPr>
      <w:r>
        <w:rPr>
          <w:rFonts w:hint="eastAsia" w:ascii="Arial" w:hAnsi="Arial" w:eastAsia="黑体"/>
          <w:b/>
          <w:bCs/>
          <w:color w:val="000000"/>
          <w:sz w:val="48"/>
          <w:szCs w:val="48"/>
          <w:highlight w:val="none"/>
        </w:rPr>
      </w:r>
      <w:r/>
    </w:p>
    <w:p>
      <w:pPr>
        <w:jc w:val="center"/>
        <w:spacing w:before="120" w:after="120" w:line="400" w:lineRule="exact"/>
        <w:rPr>
          <w:rFonts w:hint="eastAsia" w:ascii="方正小标宋_GBK" w:hAnsi="方正小标宋_GBK" w:eastAsia="方正小标宋_GBK" w:cs="方正小标宋_GBK"/>
          <w:b/>
          <w:bCs/>
          <w:color w:val="000000"/>
          <w:sz w:val="40"/>
          <w:szCs w:val="40"/>
          <w:highlight w:val="none"/>
        </w:rPr>
      </w:pPr>
      <w:r>
        <w:rPr>
          <w:rFonts w:hint="eastAsia" w:ascii="方正小标宋_GBK" w:hAnsi="方正小标宋_GBK" w:eastAsia="方正小标宋_GBK" w:cs="方正小标宋_GBK"/>
          <w:b/>
          <w:bCs/>
          <w:color w:val="000000"/>
          <w:sz w:val="40"/>
          <w:szCs w:val="40"/>
          <w:highlight w:val="none"/>
        </w:rPr>
        <w:t xml:space="preserve">招　标　文　件</w:t>
      </w:r>
      <w:r/>
    </w:p>
    <w:p>
      <w:pPr>
        <w:ind w:firstLine="560"/>
        <w:jc w:val="left"/>
        <w:spacing w:before="120" w:after="120" w:line="400" w:lineRule="exact"/>
        <w:rPr>
          <w:rFonts w:hint="eastAsia" w:ascii="Arial" w:hAnsi="Arial"/>
          <w:b/>
          <w:bCs/>
          <w:color w:val="000000"/>
          <w:sz w:val="28"/>
          <w:szCs w:val="28"/>
          <w:highlight w:val="none"/>
        </w:rPr>
      </w:pPr>
      <w:r>
        <w:rPr>
          <w:rFonts w:hint="eastAsia" w:ascii="Arial" w:hAnsi="Arial"/>
          <w:b/>
          <w:bCs/>
          <w:color w:val="000000"/>
          <w:sz w:val="28"/>
          <w:szCs w:val="28"/>
          <w:highlight w:val="none"/>
        </w:rPr>
      </w:r>
      <w:r/>
    </w:p>
    <w:p>
      <w:pPr>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项目名称：_南京中医药大学高性能GPU服务器购置_</w:t>
      </w:r>
      <w:r/>
    </w:p>
    <w:p>
      <w:pPr>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采购编号：</w:t>
      </w:r>
      <w:r>
        <w:rPr>
          <w:rFonts w:hint="eastAsia" w:eastAsia="方正黑体_GBK"/>
          <w:color w:val="000000"/>
          <w:sz w:val="28"/>
          <w:szCs w:val="28"/>
          <w:highlight w:val="none"/>
        </w:rPr>
        <w:t xml:space="preserve">JSZC-320000-SCZX-G2026-0492</w:t>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江苏省政府采购中心</w:t>
      </w:r>
      <w:r/>
    </w:p>
    <w:p>
      <w:pPr>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_2026_年_</w:t>
      </w:r>
      <w:r>
        <w:rPr>
          <w:rFonts w:hint="eastAsia" w:ascii="方正黑体_GBK" w:hAnsi="方正黑体_GBK" w:eastAsia="方正黑体_GBK" w:cs="方正黑体_GBK"/>
          <w:color w:val="000000"/>
          <w:sz w:val="28"/>
          <w:szCs w:val="28"/>
          <w:highlight w:val="none"/>
          <w:lang w:val="en-US" w:eastAsia="zh-CN"/>
        </w:rPr>
        <w:t xml:space="preserve">9</w:t>
      </w:r>
      <w:r>
        <w:rPr>
          <w:rFonts w:hint="eastAsia" w:ascii="方正黑体_GBK" w:hAnsi="方正黑体_GBK" w:eastAsia="方正黑体_GBK" w:cs="方正黑体_GBK"/>
          <w:color w:val="000000"/>
          <w:sz w:val="28"/>
          <w:szCs w:val="28"/>
          <w:highlight w:val="none"/>
        </w:rPr>
        <w:t xml:space="preserve">_月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center"/>
        <w:spacing w:line="660" w:lineRule="exact"/>
        <w:rPr>
          <w:rFonts w:hint="eastAsia" w:ascii="黑体" w:hAnsi="Arial" w:eastAsia="黑体"/>
          <w:b/>
          <w:color w:val="000000"/>
          <w:sz w:val="28"/>
          <w:szCs w:val="28"/>
          <w:highlight w:val="none"/>
        </w:rPr>
        <w:outlineLvl w:val="0"/>
      </w:pPr>
      <w:r>
        <w:rPr>
          <w:color w:val="000000"/>
          <w:szCs w:val="21"/>
          <w:highlight w:val="none"/>
        </w:rPr>
        <w:br w:type="page" w:clear="all"/>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ascii="方正黑体_GBK" w:hAnsi="方正黑体_GBK" w:eastAsia="方正黑体_GBK" w:cs="方正黑体_GBK"/>
          <w:bCs/>
          <w:color w:val="000000"/>
          <w:sz w:val="28"/>
          <w:szCs w:val="28"/>
          <w:highlight w:val="none"/>
        </w:rPr>
        <w:t xml:space="preserve">总  目  录</w:t>
      </w:r>
      <w:r/>
    </w:p>
    <w:p>
      <w:pPr>
        <w:jc w:val="center"/>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pStyle w:val="969"/>
        <w:rPr>
          <w:rFonts w:hint="eastAsia" w:ascii="等线" w:hAnsi="等线" w:eastAsia="等线"/>
          <w:caps w:val="0"/>
          <w:color w:val="000000"/>
          <w:sz w:val="22"/>
          <w:highlight w:val="none"/>
        </w:rPr>
      </w:pPr>
      <w:r>
        <w:rPr>
          <w:b/>
          <w:bCs/>
          <w:color w:val="000000"/>
          <w:sz w:val="36"/>
          <w:szCs w:val="36"/>
          <w:highlight w:val="none"/>
        </w:rPr>
        <w:fldChar w:fldCharType="begin"/>
      </w:r>
      <w:r>
        <w:rPr>
          <w:b/>
          <w:bCs/>
          <w:color w:val="000000"/>
          <w:sz w:val="36"/>
          <w:szCs w:val="36"/>
          <w:highlight w:val="none"/>
        </w:rPr>
        <w:instrText xml:space="preserve"> TOC \o "1-1" \u </w:instrText>
      </w:r>
      <w:r>
        <w:rPr>
          <w:b/>
          <w:bCs/>
          <w:color w:val="000000"/>
          <w:sz w:val="36"/>
          <w:szCs w:val="36"/>
          <w:highlight w:val="none"/>
        </w:rPr>
        <w:fldChar w:fldCharType="separate"/>
      </w:r>
      <w:r>
        <w:rPr>
          <w:rFonts w:hint="eastAsia" w:ascii="方正黑体_GBK" w:hAnsi="方正黑体_GBK" w:eastAsia="方正黑体_GBK" w:cs="方正黑体_GBK"/>
          <w:color w:val="000000"/>
          <w:highlight w:val="none"/>
        </w:rPr>
        <w:t xml:space="preserve">第一章  投标邀请</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_Toc233969277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rPr>
        <w:fldChar w:fldCharType="end"/>
      </w:r>
      <w:r/>
    </w:p>
    <w:p>
      <w:pPr>
        <w:pStyle w:val="969"/>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一、项目基本情况</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_Toc233969278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rPr>
        <w:fldChar w:fldCharType="end"/>
      </w:r>
      <w:r/>
    </w:p>
    <w:p>
      <w:pPr>
        <w:pStyle w:val="969"/>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二、申请人的资格要求</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_Toc233969279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rPr>
        <w:fldChar w:fldCharType="end"/>
      </w:r>
      <w:r/>
    </w:p>
    <w:p>
      <w:pPr>
        <w:pStyle w:val="969"/>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三、获取招标文件</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_Toc233969280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p>
    <w:p>
      <w:pPr>
        <w:pStyle w:val="969"/>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四、提交投标文件截止时间、开标时间和地点</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_Toc233969281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p>
    <w:p>
      <w:pPr>
        <w:pStyle w:val="969"/>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五、公告期限</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_Toc233969282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p>
    <w:p>
      <w:pPr>
        <w:pStyle w:val="969"/>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六、其他补充事宜</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_Toc233969283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p>
    <w:p>
      <w:pPr>
        <w:pStyle w:val="969"/>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七、本次招标联系方式</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_Toc233969284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p>
    <w:p>
      <w:pPr>
        <w:pStyle w:val="969"/>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八、其他</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_Toc233969285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3</w:t>
      </w:r>
      <w:r>
        <w:rPr>
          <w:rFonts w:hint="eastAsia"/>
          <w:color w:val="000000"/>
          <w:highlight w:val="none"/>
        </w:rPr>
        <w:fldChar w:fldCharType="end"/>
      </w:r>
      <w:r/>
    </w:p>
    <w:p>
      <w:pPr>
        <w:pStyle w:val="969"/>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第二章  投标人须知</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_Toc233969286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4</w:t>
      </w:r>
      <w:r>
        <w:rPr>
          <w:rFonts w:hint="eastAsia"/>
          <w:color w:val="000000"/>
          <w:highlight w:val="none"/>
        </w:rPr>
        <w:fldChar w:fldCharType="end"/>
      </w:r>
      <w:r/>
    </w:p>
    <w:p>
      <w:pPr>
        <w:pStyle w:val="969"/>
        <w:rPr>
          <w:rFonts w:hint="default" w:ascii="方正黑体_GBK" w:hAnsi="方正黑体_GBK" w:eastAsia="宋体" w:cs="方正黑体_GBK"/>
          <w:color w:val="000000"/>
          <w:highlight w:val="none"/>
          <w:lang w:val="en-US" w:eastAsia="zh-CN"/>
        </w:rPr>
      </w:pPr>
      <w:r>
        <w:rPr>
          <w:rFonts w:hint="eastAsia" w:ascii="方正黑体_GBK" w:hAnsi="方正黑体_GBK" w:eastAsia="方正黑体_GBK" w:cs="方正黑体_GBK"/>
          <w:color w:val="000000"/>
          <w:highlight w:val="none"/>
        </w:rPr>
        <w:t xml:space="preserve">第三章  合同文本</w:t>
      </w:r>
      <w:r>
        <w:rPr>
          <w:rFonts w:hint="eastAsia"/>
          <w:color w:val="000000"/>
          <w:highlight w:val="none"/>
        </w:rPr>
        <w:tab/>
      </w:r>
      <w:r>
        <w:rPr>
          <w:rFonts w:hint="eastAsia"/>
          <w:color w:val="000000"/>
          <w:highlight w:val="none"/>
          <w:lang w:val="en-US" w:eastAsia="zh-CN"/>
        </w:rPr>
        <w:t xml:space="preserve">16</w:t>
      </w:r>
      <w:r/>
    </w:p>
    <w:p>
      <w:pPr>
        <w:pStyle w:val="969"/>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第四章 采购需求</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_Toc233969288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43</w:t>
      </w:r>
      <w:r>
        <w:rPr>
          <w:rFonts w:hint="eastAsia"/>
          <w:color w:val="000000"/>
          <w:highlight w:val="none"/>
        </w:rPr>
        <w:fldChar w:fldCharType="end"/>
      </w:r>
      <w:r/>
    </w:p>
    <w:p>
      <w:pPr>
        <w:pStyle w:val="969"/>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第五章  评标方法与评标标准</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_Toc233969289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49</w:t>
      </w:r>
      <w:r>
        <w:rPr>
          <w:rFonts w:hint="eastAsia"/>
          <w:color w:val="000000"/>
          <w:highlight w:val="none"/>
        </w:rPr>
        <w:fldChar w:fldCharType="end"/>
      </w:r>
      <w:r/>
    </w:p>
    <w:p>
      <w:pPr>
        <w:pStyle w:val="969"/>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第六章  投标文件格式</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_Toc233969290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53</w:t>
      </w:r>
      <w:r>
        <w:rPr>
          <w:rFonts w:hint="eastAsia"/>
          <w:color w:val="000000"/>
          <w:highlight w:val="none"/>
        </w:rPr>
        <w:fldChar w:fldCharType="end"/>
      </w:r>
      <w:r/>
    </w:p>
    <w:p>
      <w:pPr>
        <w:rPr>
          <w:rFonts w:hint="eastAsia"/>
          <w:color w:val="000000"/>
          <w:szCs w:val="21"/>
          <w:highlight w:val="none"/>
        </w:rPr>
      </w:pPr>
      <w:r>
        <w:rPr>
          <w:rFonts w:hAnsi="宋体"/>
          <w:bCs/>
          <w:color w:val="000000"/>
          <w:szCs w:val="36"/>
          <w:highlight w:val="none"/>
        </w:rPr>
        <w:fldChar w:fldCharType="end"/>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jc w:val="center"/>
        <w:keepNext/>
        <w:spacing w:line="400" w:lineRule="exact"/>
        <w:rPr>
          <w:rFonts w:hint="eastAsia" w:ascii="方正黑体_GBK" w:hAnsi="方正黑体_GBK" w:eastAsia="方正黑体_GBK" w:cs="方正黑体_GBK"/>
          <w:color w:val="000000"/>
          <w:sz w:val="28"/>
          <w:szCs w:val="28"/>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rFonts w:hint="eastAsia" w:ascii="方正黑体_GBK" w:hAnsi="方正黑体_GBK" w:eastAsia="方正黑体_GBK" w:cs="方正黑体_GBK"/>
          <w:color w:val="000000"/>
          <w:sz w:val="28"/>
          <w:szCs w:val="28"/>
          <w:highlight w:val="none"/>
        </w:rPr>
      </w:r>
      <w:r/>
    </w:p>
    <w:p>
      <w:pPr>
        <w:jc w:val="center"/>
        <w:keepNext/>
        <w:spacing w:line="400" w:lineRule="exact"/>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w:t>
      </w:r>
      <w:bookmarkEnd w:id="0"/>
      <w:r>
        <w:rPr>
          <w:rFonts w:hint="eastAsia" w:ascii="方正黑体_GBK" w:hAnsi="方正黑体_GBK" w:eastAsia="方正黑体_GBK" w:cs="方正黑体_GBK"/>
          <w:color w:val="000000"/>
          <w:sz w:val="28"/>
          <w:szCs w:val="28"/>
          <w:highlight w:val="none"/>
        </w:rPr>
        <w:t xml:space="preserve">投标邀请</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受〔南京中医药大学〕的委托，江苏省政府采购中心就〔南京中医药大学高性能GPU服务器购置〕(〔JSZC-320000-SCZX-G2026-0492〕)项目进行公开招标采购，欢迎符合条件的供应商投标。</w:t>
      </w:r>
      <w:r/>
    </w:p>
    <w:p>
      <w:pPr>
        <w:ind w:firstLine="560"/>
        <w:spacing w:line="40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rPr>
        <w:t xml:space="preserve">项目概况</w:t>
      </w:r>
      <w:r/>
    </w:p>
    <w:p>
      <w:pPr>
        <w:ind w:firstLine="560"/>
        <w:spacing w:line="40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u w:val="single"/>
        </w:rPr>
        <w:t xml:space="preserve">南京中医药大学高性能GPU服务器购置</w:t>
      </w:r>
      <w:r>
        <w:rPr>
          <w:rFonts w:hint="eastAsia" w:ascii="方正仿宋_GBK" w:hAnsi="方正仿宋_GBK" w:eastAsia="方正仿宋_GBK" w:cs="方正仿宋_GBK"/>
          <w:color w:val="000000"/>
          <w:sz w:val="28"/>
          <w:szCs w:val="28"/>
          <w:highlight w:val="none"/>
        </w:rPr>
        <w:t xml:space="preserve"> 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招标文件，并于2026</w:t>
      </w:r>
      <w:r>
        <w:rPr>
          <w:rFonts w:hint="eastAsia" w:ascii="方正仿宋_GBK" w:hAnsi="方正仿宋_GBK" w:eastAsia="方正仿宋_GBK" w:cs="方正仿宋_GBK"/>
          <w:bCs/>
          <w:color w:val="000000"/>
          <w:sz w:val="28"/>
          <w:szCs w:val="28"/>
          <w:highlight w:val="none"/>
        </w:rPr>
        <w:t xml:space="preserve">年</w:t>
      </w:r>
      <w:r>
        <w:rPr>
          <w:rFonts w:hint="eastAsia" w:ascii="方正仿宋_GBK" w:hAnsi="方正仿宋_GBK" w:eastAsia="方正仿宋_GBK" w:cs="方正仿宋_GBK"/>
          <w:bCs/>
          <w:color w:val="000000"/>
          <w:sz w:val="28"/>
          <w:szCs w:val="28"/>
          <w:highlight w:val="none"/>
          <w:lang w:val="en-US" w:eastAsia="zh-CN"/>
        </w:rPr>
        <w:t xml:space="preserve">10</w:t>
      </w:r>
      <w:r>
        <w:rPr>
          <w:rFonts w:hint="eastAsia" w:eastAsia="方正仿宋_GBK"/>
          <w:color w:val="000000"/>
          <w:sz w:val="28"/>
          <w:szCs w:val="28"/>
          <w:highlight w:val="none"/>
        </w:rPr>
        <w:t xml:space="preserve">月</w:t>
      </w:r>
      <w:r>
        <w:rPr>
          <w:rFonts w:hint="eastAsia" w:eastAsia="方正仿宋_GBK"/>
          <w:color w:val="000000"/>
          <w:sz w:val="28"/>
          <w:szCs w:val="28"/>
          <w:highlight w:val="none"/>
          <w:lang w:val="en-US" w:eastAsia="zh-CN"/>
        </w:rPr>
        <w:t xml:space="preserve">22</w:t>
      </w:r>
      <w:r>
        <w:rPr>
          <w:rFonts w:hint="eastAsia" w:ascii="方正仿宋_GBK" w:hAnsi="方正仿宋_GBK" w:eastAsia="方正仿宋_GBK" w:cs="方正仿宋_GBK"/>
          <w:bCs/>
          <w:color w:val="000000"/>
          <w:sz w:val="28"/>
          <w:szCs w:val="28"/>
          <w:highlight w:val="none"/>
        </w:rPr>
        <w:t xml:space="preserve">日9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w:t>
      </w:r>
      <w:r>
        <w:rPr>
          <w:rFonts w:hint="eastAsia" w:ascii="方正仿宋_GBK" w:hAnsi="方正仿宋_GBK" w:eastAsia="方正仿宋_GBK" w:cs="方正仿宋_GBK"/>
          <w:bCs/>
          <w:color w:val="000000"/>
          <w:sz w:val="28"/>
          <w:szCs w:val="28"/>
          <w:highlight w:val="none"/>
        </w:rPr>
        <w:t xml:space="preserve">（北京时间）前递交投标文件</w:t>
      </w:r>
      <w:r>
        <w:rPr>
          <w:rFonts w:hint="eastAsia" w:ascii="方正仿宋_GBK" w:hAnsi="方正仿宋_GBK" w:eastAsia="方正仿宋_GBK" w:cs="方正仿宋_GBK"/>
          <w:color w:val="000000"/>
          <w:sz w:val="28"/>
          <w:szCs w:val="28"/>
          <w:highlight w:val="none"/>
        </w:rPr>
        <w:t xml:space="preserve">。</w:t>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
    </w:p>
    <w:p>
      <w:pPr>
        <w:ind w:firstLine="560"/>
        <w:spacing w:line="400" w:lineRule="exact"/>
        <w:rPr>
          <w:rFonts w:hint="default"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1.采购编号：</w:t>
      </w:r>
      <w:r>
        <w:rPr>
          <w:rFonts w:hint="eastAsia" w:eastAsia="方正仿宋_GBK"/>
          <w:color w:val="000000"/>
          <w:sz w:val="28"/>
          <w:szCs w:val="28"/>
          <w:highlight w:val="none"/>
        </w:rPr>
        <w:t xml:space="preserve">JSZC-320000-SCZX-G2026-0492</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w:t>
      </w:r>
      <w:r>
        <w:rPr>
          <w:rFonts w:eastAsia="方正仿宋_GBK"/>
          <w:color w:val="000000"/>
          <w:sz w:val="28"/>
          <w:szCs w:val="28"/>
          <w:highlight w:val="none"/>
        </w:rPr>
        <w:t xml:space="preserve">南京中医药大学高性能GPU服务器购置</w:t>
      </w:r>
      <w:bookmarkEnd w:id="11"/>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3.预算金额</w:t>
      </w:r>
      <w:r/>
    </w:p>
    <w:tbl>
      <w:tblPr>
        <w:tblStyle w:val="74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3312"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预算金额</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p>
        </w:tc>
      </w:tr>
      <w:tr>
        <w:trPr/>
        <w:tc>
          <w:tcPr>
            <w:tcW w:w="1092"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312" w:type="dxa"/>
            <w:textDirection w:val="lrTb"/>
            <w:noWrap w:val="false"/>
          </w:tcPr>
          <w:p>
            <w:pPr>
              <w:ind w:firstLine="1120"/>
              <w:spacing w:line="400" w:lineRule="exact"/>
              <w:rPr>
                <w:rFonts w:ascii="方正仿宋_GBK" w:hAnsi="方正仿宋_GBK" w:eastAsia="方正仿宋_GBK" w:cs="方正仿宋_GBK"/>
                <w:color w:val="000000"/>
                <w:sz w:val="28"/>
                <w:szCs w:val="28"/>
                <w:highlight w:val="none"/>
              </w:rPr>
            </w:pPr>
            <w:r>
              <w:rPr>
                <w:rFonts w:hint="eastAsia" w:eastAsia="方正仿宋_GBK"/>
                <w:color w:val="000000"/>
                <w:sz w:val="28"/>
                <w:szCs w:val="28"/>
                <w:highlight w:val="none"/>
              </w:rPr>
              <w:t xml:space="preserve">167</w:t>
            </w:r>
            <w:r/>
          </w:p>
        </w:tc>
      </w:tr>
    </w:tbl>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p>
    <w:tbl>
      <w:tblPr>
        <w:tblStyle w:val="74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3296"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p>
        </w:tc>
      </w:tr>
      <w:tr>
        <w:trPr/>
        <w:tc>
          <w:tcPr>
            <w:tcW w:w="1085"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296" w:type="dxa"/>
            <w:textDirection w:val="lrTb"/>
            <w:noWrap w:val="false"/>
          </w:tcPr>
          <w:p>
            <w:pPr>
              <w:jc w:val="center"/>
              <w:spacing w:line="400" w:lineRule="exact"/>
              <w:rPr>
                <w:rFonts w:eastAsia="方正仿宋_GBK"/>
                <w:color w:val="000000"/>
                <w:sz w:val="28"/>
                <w:szCs w:val="28"/>
                <w:highlight w:val="none"/>
              </w:rPr>
            </w:pPr>
            <w:r>
              <w:rPr>
                <w:rFonts w:hint="eastAsia" w:eastAsia="方正仿宋_GBK"/>
                <w:color w:val="000000"/>
                <w:sz w:val="28"/>
                <w:szCs w:val="28"/>
                <w:highlight w:val="none"/>
              </w:rPr>
              <w:t xml:space="preserve">167</w:t>
            </w:r>
            <w:r/>
          </w:p>
        </w:tc>
      </w:tr>
    </w:tbl>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5.采购需求(简介)：（详细内容见本招标文件第四章）</w:t>
      </w:r>
      <w:r/>
    </w:p>
    <w:p>
      <w:pPr>
        <w:ind w:firstLine="560"/>
        <w:jc w:val="left"/>
        <w:spacing w:line="378"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6.合同履行期限：乙方应在本合同签订生效后30个日历日内向甲方交付合同条款１中所列的全部货物（具体时间以甲方通知为准）。</w:t>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2" w:name="_Toc28359003"/>
      <w:r/>
      <w:bookmarkStart w:id="13" w:name="_Toc38985264"/>
      <w:r/>
      <w:bookmarkStart w:id="14" w:name="_Toc35393791"/>
      <w:r/>
      <w:bookmarkStart w:id="15" w:name="_Toc28359080"/>
      <w:r/>
      <w:bookmarkStart w:id="16" w:name="_Toc35393622"/>
      <w:r>
        <w:rPr>
          <w:rFonts w:hint="eastAsia" w:ascii="方正黑体_GBK" w:hAnsi="方正黑体_GBK" w:eastAsia="方正黑体_GBK" w:cs="方正黑体_GBK"/>
          <w:color w:val="000000"/>
          <w:sz w:val="28"/>
          <w:szCs w:val="28"/>
          <w:highlight w:val="none"/>
        </w:rPr>
        <w:t xml:space="preserve">二、申请人的资格要求</w:t>
      </w:r>
      <w:bookmarkEnd w:id="12"/>
      <w:r/>
      <w:bookmarkEnd w:id="13"/>
      <w:r/>
      <w:bookmarkEnd w:id="14"/>
      <w:r/>
      <w:bookmarkEnd w:id="15"/>
      <w:r/>
      <w:bookmarkEnd w:id="16"/>
      <w:r/>
      <w:r/>
    </w:p>
    <w:p>
      <w:pPr>
        <w:ind w:firstLine="560"/>
        <w:spacing w:line="400" w:lineRule="exact"/>
        <w:rPr>
          <w:rFonts w:hint="eastAsia" w:ascii="方正楷体_GBK" w:hAnsi="方正楷体_GBK" w:eastAsia="方正楷体_GBK" w:cs="方正楷体_GBK"/>
          <w:color w:val="000000"/>
          <w:sz w:val="28"/>
          <w:szCs w:val="28"/>
          <w:highlight w:val="none"/>
        </w:rPr>
      </w:pPr>
      <w:r/>
      <w:bookmarkStart w:id="17" w:name="_Toc35393792"/>
      <w:r/>
      <w:bookmarkStart w:id="18" w:name="_Toc35393623"/>
      <w:r/>
      <w:bookmarkStart w:id="19" w:name="_Toc28359081"/>
      <w:r/>
      <w:bookmarkStart w:id="20" w:name="_Toc38985265"/>
      <w:r/>
      <w:bookmarkStart w:id="21" w:name="_Toc28359004"/>
      <w:r>
        <w:rPr>
          <w:rFonts w:hint="eastAsia" w:ascii="方正楷体_GBK" w:hAnsi="方正楷体_GBK" w:eastAsia="方正楷体_GBK" w:cs="方正楷体_GBK"/>
          <w:color w:val="000000"/>
          <w:sz w:val="28"/>
          <w:szCs w:val="28"/>
          <w:highlight w:val="none"/>
        </w:rPr>
        <w:t xml:space="preserve">（一）通用资格要求</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color w:val="000000"/>
          <w:sz w:val="28"/>
          <w:szCs w:val="28"/>
          <w:highlight w:val="none"/>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3.落实政府采购政策需满足的资格要求：无。</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4.联合体投标</w:t>
      </w:r>
      <w:r/>
    </w:p>
    <w:tbl>
      <w:tblPr>
        <w:tblStyle w:val="74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296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是否接受联合体投标（是/否）</w:t>
            </w:r>
            <w:r/>
          </w:p>
        </w:tc>
        <w:tc>
          <w:tcPr>
            <w:tcW w:w="2967"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该采购包中联合体成员数量上限</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296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否</w:t>
            </w:r>
            <w:r/>
          </w:p>
        </w:tc>
        <w:tc>
          <w:tcPr>
            <w:tcW w:w="2967"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r>
    </w:tbl>
    <w:p>
      <w:pPr>
        <w:ind w:firstLine="560"/>
        <w:spacing w:line="400" w:lineRule="exact"/>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p>
    <w:tbl>
      <w:tblPr>
        <w:tblStyle w:val="74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592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特定资格要求</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592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r>
    </w:tbl>
    <w:p>
      <w:pPr>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1.时间：自招标文件公告发布之日起5个工作日。</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2.方式：在“江苏政府采购网”自行免费下载招标文件。</w:t>
      </w:r>
      <w:bookmarkEnd w:id="17"/>
      <w:r/>
      <w:bookmarkEnd w:id="18"/>
      <w:r/>
      <w:bookmarkEnd w:id="19"/>
      <w:r/>
      <w:bookmarkEnd w:id="20"/>
      <w:r/>
      <w:bookmarkEnd w:id="21"/>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22" w:name="_Toc28359005"/>
      <w:r/>
      <w:bookmarkStart w:id="23" w:name="_Toc28359082"/>
      <w:r/>
      <w:bookmarkStart w:id="24" w:name="_Toc38985266"/>
      <w:r/>
      <w:bookmarkStart w:id="25" w:name="_Toc35393793"/>
      <w:r/>
      <w:bookmarkStart w:id="26" w:name="_Toc35393624"/>
      <w:r>
        <w:rPr>
          <w:rFonts w:hint="eastAsia" w:ascii="方正黑体_GBK" w:hAnsi="方正黑体_GBK" w:eastAsia="方正黑体_GBK" w:cs="方正黑体_GBK"/>
          <w:color w:val="000000"/>
          <w:sz w:val="28"/>
          <w:szCs w:val="28"/>
          <w:highlight w:val="none"/>
        </w:rPr>
        <w:t xml:space="preserve">四、提交投标文件</w:t>
      </w:r>
      <w:bookmarkEnd w:id="22"/>
      <w:r/>
      <w:bookmarkEnd w:id="23"/>
      <w:r>
        <w:rPr>
          <w:rFonts w:hint="eastAsia" w:ascii="方正黑体_GBK" w:hAnsi="方正黑体_GBK" w:eastAsia="方正黑体_GBK" w:cs="方正黑体_GBK"/>
          <w:color w:val="000000"/>
          <w:sz w:val="28"/>
          <w:szCs w:val="28"/>
          <w:highlight w:val="none"/>
        </w:rPr>
        <w:t xml:space="preserve">截止时间、开标时间和地点</w:t>
      </w:r>
      <w:bookmarkEnd w:id="24"/>
      <w:r/>
      <w:bookmarkEnd w:id="25"/>
      <w:r/>
      <w:bookmarkEnd w:id="26"/>
      <w:r/>
      <w:r/>
    </w:p>
    <w:p>
      <w:pPr>
        <w:ind w:firstLine="560"/>
        <w:spacing w:line="400" w:lineRule="exact"/>
        <w:rPr>
          <w:rFonts w:ascii="宋体" w:hAnsi="宋体"/>
          <w:bCs/>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1.</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ascii="方正仿宋_GBK" w:hAnsi="方正仿宋_GBK" w:eastAsia="方正仿宋_GBK" w:cs="方正仿宋_GBK"/>
          <w:bCs/>
          <w:color w:val="000000"/>
          <w:sz w:val="28"/>
          <w:szCs w:val="28"/>
          <w:highlight w:val="none"/>
          <w:lang w:val="en-US" w:eastAsia="zh-CN"/>
        </w:rPr>
        <w:t xml:space="preserve">10</w:t>
      </w:r>
      <w:r>
        <w:rPr>
          <w:rFonts w:hint="eastAsia" w:ascii="方正仿宋_GBK" w:hAnsi="方正仿宋_GBK" w:eastAsia="方正仿宋_GBK" w:cs="方正仿宋_GBK"/>
          <w:bCs/>
          <w:color w:val="000000"/>
          <w:sz w:val="28"/>
          <w:szCs w:val="28"/>
          <w:highlight w:val="none"/>
        </w:rPr>
        <w:t xml:space="preserve">月22</w:t>
      </w:r>
      <w:r>
        <w:rPr>
          <w:rFonts w:hint="eastAsia" w:ascii="方正仿宋_GBK" w:hAnsi="方正仿宋_GBK" w:eastAsia="方正仿宋_GBK" w:cs="方正仿宋_GBK"/>
          <w:bCs/>
          <w:color w:val="000000"/>
          <w:sz w:val="28"/>
          <w:szCs w:val="28"/>
          <w:highlight w:val="none"/>
        </w:rPr>
        <w:t xml:space="preserve">日9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w:t>
      </w:r>
      <w:r>
        <w:rPr>
          <w:rFonts w:hint="eastAsia" w:ascii="方正仿宋_GBK" w:hAnsi="方正仿宋_GBK" w:eastAsia="方正仿宋_GBK" w:cs="方正仿宋_GBK"/>
          <w:color w:val="000000"/>
          <w:sz w:val="28"/>
          <w:szCs w:val="28"/>
          <w:highlight w:val="none"/>
        </w:rPr>
        <w:t xml:space="preserve">。</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2.地点：“苏采云”政府采购交易系统。</w:t>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27" w:name="_Toc38985267"/>
      <w:r/>
      <w:bookmarkStart w:id="28" w:name="_Toc28359007"/>
      <w:r/>
      <w:bookmarkStart w:id="29" w:name="_Toc35393794"/>
      <w:r/>
      <w:bookmarkStart w:id="30" w:name="_Toc35393625"/>
      <w:r/>
      <w:bookmarkStart w:id="31" w:name="_Toc28359084"/>
      <w:r>
        <w:rPr>
          <w:rFonts w:hint="eastAsia" w:ascii="方正黑体_GBK" w:hAnsi="方正黑体_GBK" w:eastAsia="方正黑体_GBK" w:cs="方正黑体_GBK"/>
          <w:color w:val="000000"/>
          <w:sz w:val="28"/>
          <w:szCs w:val="28"/>
          <w:highlight w:val="none"/>
        </w:rPr>
        <w:t xml:space="preserve">五、公告期限</w:t>
      </w:r>
      <w:bookmarkEnd w:id="27"/>
      <w:r/>
      <w:bookmarkEnd w:id="28"/>
      <w:r/>
      <w:bookmarkEnd w:id="29"/>
      <w:r/>
      <w:bookmarkEnd w:id="30"/>
      <w:r/>
      <w:bookmarkEnd w:id="31"/>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招标公告及招标文件公告期限为自本公告发布之日起5个工作日。</w:t>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32" w:name="_Toc35393626"/>
      <w:r/>
      <w:bookmarkStart w:id="33" w:name="_Toc38985268"/>
      <w:r/>
      <w:bookmarkStart w:id="34" w:name="_Toc35393795"/>
      <w:r>
        <w:rPr>
          <w:rFonts w:hint="eastAsia" w:ascii="方正黑体_GBK" w:hAnsi="方正黑体_GBK" w:eastAsia="方正黑体_GBK" w:cs="方正黑体_GBK"/>
          <w:color w:val="000000"/>
          <w:sz w:val="28"/>
          <w:szCs w:val="28"/>
          <w:highlight w:val="none"/>
        </w:rPr>
        <w:t xml:space="preserve">六、其他补充事宜</w:t>
      </w:r>
      <w:bookmarkEnd w:id="32"/>
      <w:r/>
      <w:bookmarkEnd w:id="33"/>
      <w:r/>
      <w:bookmarkEnd w:id="34"/>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无。</w:t>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35" w:name="_Toc35393796"/>
      <w:r/>
      <w:bookmarkStart w:id="36" w:name="_Toc35393627"/>
      <w:r/>
      <w:bookmarkStart w:id="37" w:name="_Toc28359008"/>
      <w:r/>
      <w:bookmarkStart w:id="38" w:name="_Toc38985269"/>
      <w:r/>
      <w:bookmarkStart w:id="39" w:name="_Toc28359085"/>
      <w:r>
        <w:rPr>
          <w:rFonts w:hint="eastAsia" w:ascii="方正黑体_GBK" w:hAnsi="方正黑体_GBK" w:eastAsia="方正黑体_GBK" w:cs="方正黑体_GBK"/>
          <w:color w:val="000000"/>
          <w:sz w:val="28"/>
          <w:szCs w:val="28"/>
          <w:highlight w:val="none"/>
        </w:rPr>
        <w:t xml:space="preserve">七、本次招标联系方式</w:t>
      </w:r>
      <w:bookmarkEnd w:id="35"/>
      <w:r/>
      <w:bookmarkEnd w:id="36"/>
      <w:r/>
      <w:bookmarkEnd w:id="37"/>
      <w:r/>
      <w:bookmarkEnd w:id="38"/>
      <w:r/>
      <w:bookmarkEnd w:id="39"/>
      <w:r/>
      <w:r/>
    </w:p>
    <w:p>
      <w:pPr>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　南京中医药大学　　　　　</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　</w:t>
      </w:r>
      <w:r>
        <w:rPr>
          <w:rFonts w:ascii="方正仿宋_GBK" w:hAnsi="方正仿宋_GBK" w:eastAsia="方正仿宋_GBK" w:cs="方正仿宋_GBK"/>
          <w:color w:val="000000"/>
          <w:sz w:val="28"/>
          <w:szCs w:val="28"/>
          <w:highlight w:val="none"/>
          <w:u w:val="single"/>
        </w:rPr>
        <w:t xml:space="preserve">江苏省南京市</w:t>
      </w:r>
      <w:r>
        <w:rPr>
          <w:rFonts w:hint="eastAsia" w:ascii="宋体" w:hAnsi="宋体" w:cs="宋体"/>
          <w:color w:val="000000"/>
          <w:sz w:val="28"/>
          <w:szCs w:val="28"/>
          <w:highlight w:val="none"/>
          <w:u w:val="single"/>
        </w:rPr>
        <w:t xml:space="preserve">栖霞</w:t>
      </w:r>
      <w:r>
        <w:rPr>
          <w:rFonts w:hint="eastAsia" w:ascii="___WRD_EMBED_SUB_47" w:hAnsi="___WRD_EMBED_SUB_47" w:eastAsia="___WRD_EMBED_SUB_47" w:cs="___WRD_EMBED_SUB_47"/>
          <w:color w:val="000000"/>
          <w:sz w:val="28"/>
          <w:szCs w:val="28"/>
          <w:highlight w:val="none"/>
          <w:u w:val="single"/>
        </w:rPr>
        <w:t xml:space="preserve">区</w:t>
      </w:r>
      <w:r>
        <w:rPr>
          <w:rFonts w:hint="eastAsia" w:ascii="宋体" w:hAnsi="宋体" w:cs="宋体"/>
          <w:color w:val="000000"/>
          <w:sz w:val="28"/>
          <w:szCs w:val="28"/>
          <w:highlight w:val="none"/>
          <w:u w:val="single"/>
        </w:rPr>
        <w:t xml:space="preserve">仙</w:t>
      </w:r>
      <w:r>
        <w:rPr>
          <w:rFonts w:hint="eastAsia" w:ascii="___WRD_EMBED_SUB_47" w:hAnsi="___WRD_EMBED_SUB_47" w:eastAsia="___WRD_EMBED_SUB_47" w:cs="___WRD_EMBED_SUB_47"/>
          <w:color w:val="000000"/>
          <w:sz w:val="28"/>
          <w:szCs w:val="28"/>
          <w:highlight w:val="none"/>
          <w:u w:val="single"/>
        </w:rPr>
        <w:t xml:space="preserve">林大道</w:t>
      </w:r>
      <w:r>
        <w:rPr>
          <w:rFonts w:ascii="方正仿宋_GBK" w:hAnsi="方正仿宋_GBK" w:eastAsia="方正仿宋_GBK" w:cs="方正仿宋_GBK"/>
          <w:color w:val="000000"/>
          <w:sz w:val="28"/>
          <w:szCs w:val="28"/>
          <w:highlight w:val="none"/>
          <w:u w:val="single"/>
        </w:rPr>
        <w:t xml:space="preserve">138号 （邮编：210023</w:t>
      </w:r>
      <w:r>
        <w:rPr>
          <w:rFonts w:hint="eastAsia" w:ascii="方正仿宋_GBK" w:hAnsi="方正仿宋_GBK" w:eastAsia="方正仿宋_GBK" w:cs="方正仿宋_GBK"/>
          <w:color w:val="000000"/>
          <w:sz w:val="28"/>
          <w:szCs w:val="28"/>
          <w:highlight w:val="none"/>
          <w:u w:val="single"/>
        </w:rPr>
        <w:t xml:space="preserve">　　　</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宋体" w:hAnsi="宋体" w:cs="宋体"/>
          <w:color w:val="000000"/>
          <w:sz w:val="28"/>
          <w:szCs w:val="28"/>
          <w:highlight w:val="none"/>
          <w:u w:val="single"/>
        </w:rPr>
        <w:t xml:space="preserve">梁老师，刘老师</w:t>
      </w:r>
      <w:r>
        <w:rPr>
          <w:rFonts w:hint="eastAsia" w:ascii="方正仿宋_GBK" w:hAnsi="方正仿宋_GBK" w:eastAsia="方正仿宋_GBK" w:cs="方正仿宋_GBK"/>
          <w:color w:val="000000"/>
          <w:sz w:val="28"/>
          <w:szCs w:val="28"/>
          <w:highlight w:val="none"/>
          <w:u w:val="single"/>
        </w:rPr>
        <w:t xml:space="preserve">            </w:t>
      </w:r>
      <w:r/>
    </w:p>
    <w:p>
      <w:pPr>
        <w:ind w:firstLine="560"/>
        <w:jc w:val="left"/>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025-85811022，15702419863　　　 </w:t>
      </w:r>
      <w:bookmarkStart w:id="40" w:name="_Toc28359086"/>
      <w:r/>
      <w:bookmarkStart w:id="41" w:name="_Toc28359009"/>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bookmarkEnd w:id="41"/>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南京市汉中门大街145号省政务中心二期3楼南区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厉彬彬、唐文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bookmarkStart w:id="42" w:name="_Toc28359087"/>
      <w:r/>
      <w:bookmarkStart w:id="43" w:name="_Toc28359010"/>
      <w:r>
        <w:rPr>
          <w:rFonts w:hint="eastAsia" w:ascii="方正仿宋_GBK" w:hAnsi="方正仿宋_GBK" w:eastAsia="方正仿宋_GBK" w:cs="方正仿宋_GBK"/>
          <w:color w:val="000000"/>
          <w:sz w:val="28"/>
          <w:szCs w:val="28"/>
          <w:highlight w:val="none"/>
          <w:u w:val="single"/>
        </w:rPr>
        <w:t xml:space="preserve">　025-83668517/83668519　　　　　　　　　　　</w:t>
      </w:r>
      <w:bookmarkEnd w:id="42"/>
      <w:r/>
      <w:bookmarkEnd w:id="43"/>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八、其他</w:t>
      </w:r>
      <w:r/>
    </w:p>
    <w:p>
      <w:pPr>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bCs/>
          <w:color w:val="000000"/>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sz w:val="28"/>
          <w:szCs w:val="28"/>
          <w:highlight w:val="none"/>
        </w:rPr>
        <w:t xml:space="preserve">“苏采云”政府采购交易系统（以下简称苏采云系统）</w:t>
      </w:r>
      <w:r>
        <w:rPr>
          <w:rFonts w:hint="eastAsia" w:ascii="方正仿宋_GBK" w:hAnsi="方正仿宋_GBK" w:eastAsia="方正仿宋_GBK" w:cs="方正仿宋_GBK"/>
          <w:bCs/>
          <w:color w:val="000000"/>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highlight w:val="none"/>
        </w:rPr>
        <w:t xml:space="preserve">http://www.ccgp-jiangsu.gov.cn/jiangsu/zlxz/ee/ee3a4bc5a3454aa2b0d9312230633ce9.html。</w:t>
      </w:r>
      <w:r/>
    </w:p>
    <w:p>
      <w:pPr>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3.本次招标不收取投标保证金。</w:t>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第二章  投标人须知</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一、总则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招标方式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合格的投标人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rPr>
        <w:t xml:space="preserve">3</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适用法律</w:t>
      </w:r>
      <w:r>
        <w:rPr>
          <w:rFonts w:hint="eastAsia" w:ascii="方正仿宋_GBK" w:hAnsi="方正仿宋_GBK" w:eastAsia="方正仿宋_GBK" w:cs="方正仿宋_GBK"/>
          <w:bCs/>
          <w:color w:val="000000"/>
          <w:sz w:val="28"/>
          <w:szCs w:val="28"/>
          <w:highlight w:val="none"/>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 投标人一旦参加本项目采购活动，即被认为接受了本招标文件的规定和约束。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二、招标文件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三、投标文件的编制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投标文件的语言及度量衡单位</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8.1 投标人提交的投标文件以及投标人与采购中心就有关投标的所有来往通知、函件和文件均应使用简体中文。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8.2 除技术性能另有规定外，投标文件所使用的度量衡单位，均须采用国家法定计量单位。</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9.2 如标书制作工具中格式和内容与“江苏政府采购网”发布的招标文件不一致，请以“江苏政府采购网”发布的招标文件为准。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证明投标人及投标标的符合招标文件规定的文件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10.1 投标人应按照招标文件要求提交证明文件，证明其及投标标的符合招标文件规定。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10.2招标文件对证明文件无明确形式要求的，证明文件可以以文字资料、图纸和数据等形式提交。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11.1 投标人按照招标文件规定格式填报投标分项报价表。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11.2投标货币。投标文件中的单价和总价无特殊规定的采用人民币报价，以元为单位标注。招标文件中另有规定的按规定执行。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技术要求响应及偏离表、商务要求响应及偏离表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zh-CN"/>
        </w:rPr>
      </w:pPr>
      <w:r>
        <w:rPr>
          <w:rFonts w:hint="eastAsia" w:ascii="方正仿宋_GBK" w:hAnsi="方正仿宋_GBK" w:eastAsia="方正仿宋_GBK" w:cs="方正仿宋_GBK"/>
          <w:bCs/>
          <w:color w:val="000000"/>
          <w:sz w:val="28"/>
          <w:szCs w:val="28"/>
          <w:highlight w:val="none"/>
          <w:lang w:val="zh-CN"/>
        </w:rPr>
        <w:t xml:space="preserve">12.1 投标人需对招标文件中的技术要求与商务要求逐项作出响应或偏离，并说明原因。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zh-CN"/>
        </w:rPr>
      </w:pPr>
      <w:r>
        <w:rPr>
          <w:rFonts w:hint="eastAsia" w:ascii="方正仿宋_GBK" w:hAnsi="方正仿宋_GBK" w:eastAsia="方正仿宋_GBK" w:cs="方正仿宋_GBK"/>
          <w:bCs/>
          <w:color w:val="000000"/>
          <w:sz w:val="28"/>
          <w:szCs w:val="28"/>
          <w:highlight w:val="none"/>
          <w:lang w:val="zh-CN"/>
        </w:rPr>
        <w:t xml:space="preserve">12.2 投标人需按照招标文件要求，在投标文件中提供与技术要求和商务要求相关的证明材料。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服务承诺、培训计划、人员安排及其他</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13.2 投标人需根据招标文件要求提供培训计划。</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13.3 投标人需根据招标文件要求提供</w:t>
      </w:r>
      <w:r>
        <w:rPr>
          <w:rFonts w:hint="eastAsia" w:ascii="方正仿宋_GBK" w:hAnsi="方正仿宋_GBK" w:eastAsia="方正仿宋_GBK" w:cs="方正仿宋_GBK"/>
          <w:bCs/>
          <w:color w:val="000000"/>
          <w:sz w:val="28"/>
          <w:szCs w:val="28"/>
          <w:highlight w:val="none"/>
          <w:lang w:val="zh-CN"/>
        </w:rPr>
        <w:t xml:space="preserve">所投标的的主要组成部分、功能设计、实现思路及关键技术等。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投标函和开标一览表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14.1 投标人应按照招标文件中提供的格式完整、正确填写投标函、开标一览表。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投标有效期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15.1投标有效期为采购中心规定的开标之日后六十（60）天。投标有效期比规定短的将被视为未实质性响应招标文件而予以拒绝。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投标有效期的延长</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四、投标文件的递交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电子投标文件的递交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17.1投标人应当按照《操作手册》规定，在投标截止时间前制作并上传电子投标文件。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投标截止日期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18.1 投标人上传电子投标文件的时间不得迟于招标公告中规定的投标截止时间。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18.2 采购中心可以按照规定，通过修改招标文件酌情延长投标截止日期，在此情况下，投标人的所有权利和义务以及投标人受制的截止日期均应以延长后新的截止日期为准。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投标文件的拒收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19.1 采购中心拒绝接收在其规定的投标截止时间后上传的任何投标文件。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投标文件的撤回和修改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20.1 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20.1.1 电子投标文件的撤回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投标人可在投标截止时间前，撤回其电子投标文件，具体操作方法见《操作手册》。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20.1.2 投标人撤回电子投标文件，则认为其不再参与本项目投标活动。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20.2 投标文件的修改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20.2.1投标人可在投标截止时间前，对其电子投标文件进行修改，具体操作方法见《操作手册》。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20.2.2 在投标截止时间之后，投标人不得对其电子投标文件作任何修改。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20.3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五、开标与评标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开标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21.1 采购中心将在招标公告中规定的时间和地点组织公开开标。投标人应当按照《操作手册》规定，参加开标活动和在苏采云系统规定的时间内对投标文件进行解密。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21.2开标仪式由采购中心组织。苏采云系统将自动对项目进行开标，并宣布各投标人名称和投标价格。</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21.3投标人在开标过程中涉及到的投标文件解密、开标结果确认等工作，应按照《操作手册》规定执行。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21.4投标人如果对开标过程和开标记录有疑义，应当根据《操作手册》规定提出，如苏采云系统中《开标记录表》宣布后5分钟内未提出的，视同认可开标结果。</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评标委员会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22.1 开标后，采购中心将立即组织评标委员会进行评标。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22.2 </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由采购人代表和有关技术、经济等方面的专家组成，且人员构成符合政府采购有关规定。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22.3</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独立工作，负责评审所有投标文件并确定中标侯选人。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评标过程的保密与公正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23.1凡是与审查、澄清、评价和比较投标的有关资料以及授标建议等，采购人、评委、采购中心均不得向投标人或与评标无关的其他人员透露。</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23.2在评标过程中，投标人不得以任何行为影响评标过程，否则其投标文件将被作为无效投标文件。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23.3 采购中心和评标委员会不向未中标的投标人解释未中标原因，也不公布评标过程中的相关细节。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23.4 采用综合评分法的项目，未中标的投标人可于中标结果公告期限届满之日起通过苏采云系统查看自己的评审得分及排序情况。</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投标文件的澄清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24.1评标期间，</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对投标文件中含义不明确、同类问题表述不一致或者有明显文字和计算错误的内容 ，有权要求投标人作出必要的澄清、说明或者补正。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投标人的澄清、说明或者补正不得超出投标文件的范围或者改变投标文件的实质性内容。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评标委员会并非对每个投标人都做澄清要求。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24.2需要供应商进行澄清、说明和补正的，</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24.3 接到</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澄清、说明和补正要求的投标人如未按规定做出澄清、说明和补正，其风险由投标人自行承担。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对投标文件的初审</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25.1投标文件初审分为资格审查和符合性审查。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进行反馈。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采购人在进行资格性审查的同时，将在“信用中国”网站（</w:t>
      </w:r>
      <w:r>
        <w:rPr>
          <w:rFonts w:hint="eastAsia" w:ascii="Times New Roman" w:hAnsi="Times New Roman" w:eastAsia="方正仿宋_GBK" w:cs="Times New Roman"/>
          <w:color w:val="000000"/>
          <w:sz w:val="28"/>
          <w:szCs w:val="28"/>
          <w:highlight w:val="none"/>
          <w:lang w:eastAsia="zh-CN"/>
        </w:rPr>
        <w:t xml:space="preserve">www.creditchina.gov.cn</w:t>
      </w:r>
      <w:r>
        <w:rPr>
          <w:rFonts w:hint="eastAsia" w:ascii="方正仿宋_GBK" w:hAnsi="方正仿宋_GBK" w:eastAsia="方正仿宋_GBK" w:cs="方正仿宋_GBK"/>
          <w:bCs/>
          <w:color w:val="000000"/>
          <w:sz w:val="28"/>
          <w:szCs w:val="28"/>
          <w:highlight w:val="none"/>
        </w:rPr>
        <w:t xml:space="preserve">）查询投标人的信用记录，以确定投标人是否具备投标资格,查询结果留存并归档。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25.1.2 符合性审查：依据招标文件的规定，由</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从投标文件的有效性、完整性和对招标文件的响应程度进行审查，以确定是否对招标文件的实质性要求作出响应。</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25.2在详细评标之前，</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以少数服从多数的原则作出结论。评委决定投标文件的响应性只根据投标文件本身的内容，而不寻求外部的证据。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25.3如果投标文件实质上没有响应招标文件的要求，</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将予以拒绝，投标人不得通过修改或撤销不</w:t>
      </w:r>
      <w:r>
        <w:rPr>
          <w:rFonts w:hint="eastAsia" w:ascii="方正仿宋_GBK" w:hAnsi="方正仿宋_GBK" w:eastAsia="方正仿宋_GBK" w:cs="方正仿宋_GBK"/>
          <w:bCs/>
          <w:color w:val="000000"/>
          <w:sz w:val="28"/>
          <w:szCs w:val="28"/>
          <w:highlight w:val="none"/>
          <w:lang w:eastAsia="zh-CN"/>
        </w:rPr>
        <w:t xml:space="preserve">符合</w:t>
      </w:r>
      <w:r>
        <w:rPr>
          <w:rFonts w:hint="eastAsia" w:ascii="方正仿宋_GBK" w:hAnsi="方正仿宋_GBK" w:eastAsia="方正仿宋_GBK" w:cs="方正仿宋_GBK"/>
          <w:bCs/>
          <w:color w:val="000000"/>
          <w:sz w:val="28"/>
          <w:szCs w:val="28"/>
          <w:highlight w:val="none"/>
        </w:rPr>
        <w:t xml:space="preserve">要求的偏离或保留而使其投标成为实质性响应的投标。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25.4</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将对确定为实质性响应的投标进行进一步审核，看其是否有计算上或累加上的算术错误，修正错误的原则如下：</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（1）投标文件中开标一览表内容与投标文件中相应内容不一致的，以开标一览表为准。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（2）大写金额和小写金额不一致的，以大写金额为准。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（3）单价金额小数点或者百分比有明显错位的，以开标一览表的总价为准，并修改单价。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（4）总价金额与按单价汇总金额不一致的，以单价金额计算结果为准。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同时出现两种以上错误的，按照前款规定的顺序修正。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25.5</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color w:val="000000"/>
          <w:sz w:val="28"/>
          <w:szCs w:val="28"/>
          <w:highlight w:val="none"/>
          <w:lang w:eastAsia="zh-CN"/>
        </w:rPr>
        <w:t xml:space="preserve">采取</w:t>
      </w:r>
      <w:r>
        <w:rPr>
          <w:rFonts w:hint="eastAsia" w:ascii="方正仿宋_GBK" w:hAnsi="方正仿宋_GBK" w:eastAsia="方正仿宋_GBK" w:cs="方正仿宋_GBK"/>
          <w:bCs/>
          <w:color w:val="000000"/>
          <w:sz w:val="28"/>
          <w:szCs w:val="28"/>
          <w:highlight w:val="none"/>
        </w:rPr>
        <w:t xml:space="preserve">随机抽取的方式）确定一个参加评标的投标人，其他投标无效。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非单一产品采购项目，招标文件中将载明其中的核心产品。多家投标人提供的核心产品品牌相同的，按前两款规定处理。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25.7投标人在开、评标全过程中应保持通讯畅通，及时登录苏采云系统查阅、答复相关信息，并安排专人与采购中心及评标委员会联系。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25.8 异常低价投标审查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25.8.1 评标过程中出现下列情形之一的，评标委员会应当启动异常低价投标审查程序：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（1）投标报价低于全部通过符合性审查供应商投标报价平均值50%的，即投标报价&lt;全部通过符合性审查供应商投标报价平均值×50%；</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（2）投标报价低于通过符合性审查的次低报价供应商投标报价50%的，即投标报价&lt;通过符合性审查的次低报价供应商投标报价×50%；</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3</w:t>
      </w:r>
      <w:r>
        <w:rPr>
          <w:rFonts w:hint="eastAsia" w:ascii="方正仿宋_GBK" w:hAnsi="方正仿宋_GBK" w:eastAsia="方正仿宋_GBK" w:cs="方正仿宋_GBK"/>
          <w:bCs/>
          <w:color w:val="000000"/>
          <w:sz w:val="28"/>
          <w:szCs w:val="28"/>
          <w:highlight w:val="none"/>
          <w:lang w:eastAsia="zh-CN"/>
        </w:rPr>
        <w:t xml:space="preserve">）投标报价低于采购项目最高限价45%的，即投标报价&lt;采购项目最高限价×45%；</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lang w:val="en-US" w:eastAsia="zh-CN"/>
        </w:rPr>
        <w:t xml:space="preserve">4</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lang w:eastAsia="zh-CN"/>
        </w:rPr>
        <w:t xml:space="preserve">评标</w:t>
      </w:r>
      <w:r>
        <w:rPr>
          <w:rFonts w:hint="eastAsia" w:ascii="方正仿宋_GBK" w:hAnsi="方正仿宋_GBK" w:eastAsia="方正仿宋_GBK" w:cs="方正仿宋_GBK"/>
          <w:bCs/>
          <w:color w:val="000000"/>
          <w:sz w:val="28"/>
          <w:szCs w:val="28"/>
          <w:highlight w:val="none"/>
        </w:rPr>
        <w:t xml:space="preserve">委员会基于专业判断，认为供应商报价过低，有可能影响产品质量或者不能诚信履约的其他情形。</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rPr>
        <w:t xml:space="preserve">25.8.2 </w:t>
      </w:r>
      <w:r>
        <w:rPr>
          <w:rFonts w:hint="eastAsia" w:ascii="方正仿宋_GBK" w:hAnsi="方正仿宋_GBK" w:eastAsia="方正仿宋_GBK" w:cs="方正仿宋_GBK"/>
          <w:bCs/>
          <w:color w:val="000000"/>
          <w:sz w:val="28"/>
          <w:szCs w:val="28"/>
          <w:highlight w:val="none"/>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keepNext/>
        <w:pageBreakBefore w:val="0"/>
        <w:spacing w:line="400" w:lineRule="exact"/>
        <w:widowControl w:val="off"/>
        <w:rPr>
          <w:rFonts w:hint="eastAsia" w:ascii="方正仿宋_GBK" w:hAnsi="方正仿宋_GBK" w:eastAsia="方正仿宋_GBK" w:cs="方正仿宋_GBK"/>
          <w:color w:val="000000"/>
          <w:sz w:val="28"/>
          <w:szCs w:val="28"/>
          <w:highlight w:val="none"/>
        </w:rPr>
        <w:outlineLvl w:val="3"/>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无效投标条款和废标条款</w:t>
      </w:r>
      <w:r/>
    </w:p>
    <w:p>
      <w:pPr>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highlight w:val="none"/>
        </w:rPr>
        <w:outlineLvl w:val="3"/>
      </w:pPr>
      <w:r>
        <w:rPr>
          <w:rFonts w:hint="eastAsia" w:ascii="方正仿宋_GBK" w:hAnsi="方正仿宋_GBK" w:eastAsia="方正仿宋_GBK" w:cs="方正仿宋_GBK"/>
          <w:bCs/>
          <w:color w:val="000000"/>
          <w:sz w:val="28"/>
          <w:szCs w:val="28"/>
          <w:highlight w:val="none"/>
        </w:rPr>
        <w:t xml:space="preserve">26.1无效投标条款</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26.1.1 投标人在</w:t>
      </w:r>
      <w:r>
        <w:rPr>
          <w:rFonts w:hint="eastAsia" w:ascii="方正仿宋_GBK" w:hAnsi="方正仿宋_GBK" w:eastAsia="方正仿宋_GBK" w:cs="方正仿宋_GBK"/>
          <w:color w:val="000000"/>
          <w:sz w:val="28"/>
          <w:szCs w:val="28"/>
          <w:highlight w:val="none"/>
        </w:rPr>
        <w:t xml:space="preserve">苏采云系统</w:t>
      </w:r>
      <w:r>
        <w:rPr>
          <w:rFonts w:hint="eastAsia" w:ascii="方正仿宋_GBK" w:hAnsi="方正仿宋_GBK" w:eastAsia="方正仿宋_GBK" w:cs="方正仿宋_GBK"/>
          <w:bCs/>
          <w:color w:val="000000"/>
          <w:sz w:val="28"/>
          <w:szCs w:val="28"/>
          <w:highlight w:val="none"/>
        </w:rPr>
        <w:t xml:space="preserve">规定的时间内未成功解密电子投标文件的。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26.1.2 投标人未按照招标文件要求上传电子投标文件的。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26.1.3 投标人同一采购包提交两个（含两个）以上不同的投标报价的。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26.1.4投标人不具备招标文件中规定资格要求的。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26.1.5投标人的报价超过了采购预算或最高限价的。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26.1.6未通过符合性审查的。</w:t>
      </w:r>
      <w:r/>
    </w:p>
    <w:p>
      <w:pPr>
        <w:ind w:firstLine="560"/>
        <w:pageBreakBefore w:val="0"/>
        <w:spacing w:line="400" w:lineRule="exact"/>
        <w:widowControl w:val="off"/>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26.1.7不符合招标文件中规定的实质性要求的</w:t>
      </w:r>
      <w:r>
        <w:rPr>
          <w:rFonts w:hint="eastAsia" w:ascii="方正仿宋_GBK" w:hAnsi="方正仿宋_GBK" w:eastAsia="方正仿宋_GBK" w:cs="方正仿宋_GBK"/>
          <w:b/>
          <w:bCs/>
          <w:color w:val="000000"/>
          <w:sz w:val="28"/>
          <w:szCs w:val="28"/>
          <w:highlight w:val="none"/>
        </w:rPr>
        <w:t xml:space="preserve">（本招标文件中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w:t>
      </w:r>
      <w:r>
        <w:rPr>
          <w:rFonts w:hint="eastAsia" w:ascii="方正仿宋_GBK" w:hAnsi="方正仿宋_GBK" w:eastAsia="方正仿宋_GBK" w:cs="方正仿宋_GBK"/>
          <w:b/>
          <w:bCs/>
          <w:color w:val="000000"/>
          <w:sz w:val="28"/>
          <w:szCs w:val="28"/>
          <w:highlight w:val="none"/>
          <w:lang w:val="en-US" w:eastAsia="zh-CN"/>
        </w:rPr>
        <w:t xml:space="preserve">*</w:t>
      </w:r>
      <w:r>
        <w:rPr>
          <w:rFonts w:hint="eastAsia" w:ascii="方正仿宋_GBK" w:hAnsi="方正仿宋_GBK" w:eastAsia="方正仿宋_GBK" w:cs="方正仿宋_GBK"/>
          <w:b/>
          <w:bCs/>
          <w:color w:val="000000"/>
          <w:sz w:val="28"/>
          <w:szCs w:val="28"/>
          <w:highlight w:val="none"/>
        </w:rPr>
        <w:t xml:space="preserve">号条款为实质性要求）</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26.1.8 投标人被 “信用中国”网站（</w:t>
      </w:r>
      <w:r>
        <w:rPr>
          <w:rFonts w:hint="eastAsia" w:ascii="Times New Roman" w:hAnsi="Times New Roman" w:eastAsia="方正仿宋_GBK" w:cs="Times New Roman"/>
          <w:color w:val="000000"/>
          <w:sz w:val="28"/>
          <w:szCs w:val="28"/>
          <w:highlight w:val="none"/>
          <w:lang w:eastAsia="zh-CN"/>
        </w:rPr>
        <w:t xml:space="preserve">www.creditchina.gov.cn</w:t>
      </w:r>
      <w:r>
        <w:rPr>
          <w:rFonts w:hint="eastAsia" w:ascii="方正仿宋_GBK" w:hAnsi="方正仿宋_GBK" w:eastAsia="方正仿宋_GBK" w:cs="方正仿宋_GBK"/>
          <w:bCs/>
          <w:color w:val="000000"/>
          <w:sz w:val="28"/>
          <w:szCs w:val="28"/>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26.1.9 投标文件含有采购人不能接受的附加条件的。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26.1.10 评标委员会按照本招标文件规定对投标人进行异常低价投标审查后，认为投标人不能证明其报价合理性的。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26.1.12 投标文件未按照招标文件要求加盖CA电子公章的。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26.1.13 投标人所投标产品不符合招标文件中所列国家强制性标准的。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26.1.1</w:t>
      </w:r>
      <w:r>
        <w:rPr>
          <w:rFonts w:hint="eastAsia" w:ascii="方正仿宋_GBK" w:hAnsi="方正仿宋_GBK" w:eastAsia="方正仿宋_GBK" w:cs="方正仿宋_GBK"/>
          <w:bCs/>
          <w:color w:val="000000"/>
          <w:sz w:val="28"/>
          <w:szCs w:val="28"/>
          <w:highlight w:val="none"/>
          <w:lang w:val="en-US" w:eastAsia="zh-CN"/>
        </w:rPr>
        <w:t xml:space="preserve">4</w:t>
      </w:r>
      <w:r>
        <w:rPr>
          <w:rFonts w:hint="eastAsia" w:ascii="方正仿宋_GBK" w:hAnsi="方正仿宋_GBK" w:eastAsia="方正仿宋_GBK" w:cs="方正仿宋_GBK"/>
          <w:bCs/>
          <w:color w:val="000000"/>
          <w:sz w:val="28"/>
          <w:szCs w:val="28"/>
          <w:highlight w:val="none"/>
        </w:rPr>
        <w:t xml:space="preserve">其他法律、法规及本招标文件规定的属无效投标的情形。</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rPr>
        <w:t xml:space="preserve">26.2废标条款</w:t>
      </w:r>
      <w:r>
        <w:rPr>
          <w:rFonts w:hint="eastAsia" w:ascii="方正仿宋_GBK" w:hAnsi="方正仿宋_GBK" w:eastAsia="方正仿宋_GBK" w:cs="方正仿宋_GBK"/>
          <w:bCs/>
          <w:color w:val="000000"/>
          <w:sz w:val="28"/>
          <w:szCs w:val="28"/>
          <w:highlight w:val="none"/>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26.2.1符合专业条件的供应商或者对招标文件作实质响应的供应商不足三家的。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26.2.2出现影响采购公正的违法、违规行为的。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26.2.3因重大变故，采购任务取消的。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26.2.4评标委员会认定招标文件存在歧义、重大缺陷导致评审工作无法进行。</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rPr>
        <w:t xml:space="preserve">26.2.5 因</w:t>
      </w:r>
      <w:r>
        <w:rPr>
          <w:rFonts w:hint="eastAsia" w:ascii="方正仿宋_GBK" w:hAnsi="方正仿宋_GBK" w:eastAsia="方正仿宋_GBK" w:cs="方正仿宋_GBK"/>
          <w:color w:val="000000"/>
          <w:sz w:val="28"/>
          <w:szCs w:val="28"/>
          <w:highlight w:val="none"/>
        </w:rPr>
        <w:t xml:space="preserve">苏采云</w:t>
      </w:r>
      <w:r>
        <w:rPr>
          <w:rFonts w:hint="eastAsia" w:ascii="方正仿宋_GBK" w:hAnsi="方正仿宋_GBK" w:eastAsia="方正仿宋_GBK" w:cs="方正仿宋_GBK"/>
          <w:bCs/>
          <w:color w:val="000000"/>
          <w:sz w:val="28"/>
          <w:szCs w:val="28"/>
          <w:highlight w:val="none"/>
        </w:rPr>
        <w:t xml:space="preserve">系统故障原因造成开标不成功的。</w:t>
      </w:r>
      <w:r>
        <w:rPr>
          <w:rFonts w:hint="eastAsia" w:ascii="方正仿宋_GBK" w:hAnsi="方正仿宋_GBK" w:eastAsia="方正仿宋_GBK" w:cs="方正仿宋_GBK"/>
          <w:bCs/>
          <w:color w:val="000000"/>
          <w:sz w:val="28"/>
          <w:szCs w:val="28"/>
          <w:highlight w:val="none"/>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26.3 投标截止时间结束后参加投标的供应商不足三家的处理：</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六、定标</w:t>
      </w:r>
      <w:r/>
    </w:p>
    <w:p>
      <w:pPr>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highlight w:val="none"/>
        </w:rPr>
        <w:outlineLvl w:val="3"/>
      </w:pPr>
      <w:r>
        <w:rPr>
          <w:rFonts w:hint="eastAsia" w:ascii="方正仿宋_GBK" w:hAnsi="方正仿宋_GBK" w:eastAsia="方正仿宋_GBK" w:cs="方正仿宋_GBK"/>
          <w:bCs/>
          <w:color w:val="000000"/>
          <w:sz w:val="28"/>
          <w:szCs w:val="28"/>
          <w:highlight w:val="none"/>
        </w:rPr>
        <w:t xml:space="preserve">27</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确定中标单位</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27.1中标候选人的选取原则和数量见招标文件第五章规定。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27.2 采购人应根据</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推荐的中标候选人确定中标供应商。</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27.3 </w:t>
      </w:r>
      <w:r>
        <w:rPr>
          <w:rFonts w:hint="eastAsia" w:ascii="方正仿宋_GBK" w:hAnsi="方正仿宋_GBK" w:eastAsia="方正仿宋_GBK" w:cs="方正仿宋_GBK"/>
          <w:color w:val="000000"/>
          <w:sz w:val="28"/>
          <w:szCs w:val="28"/>
          <w:highlight w:val="none"/>
        </w:rPr>
        <w:t xml:space="preserve">采购中心将在“江苏政府采购网”发布中标公告，公告期限为1个工作日。</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 若有充分证据证明，中标供应商出现下列情况之一的，一经查实，将被取消中标资格：</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27.4.1提供虚假材料谋取中标的。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27.4.2向采购人、采购中心行贿或者提供其他不正当利益的。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27.4.3属于本文件规定的无效条件，但在评标过程中又未被</w:t>
      </w:r>
      <w:r>
        <w:rPr>
          <w:rFonts w:hint="eastAsia" w:ascii="方正仿宋_GBK" w:hAnsi="方正仿宋_GBK" w:eastAsia="方正仿宋_GBK" w:cs="方正仿宋_GBK"/>
          <w:color w:val="000000"/>
          <w:sz w:val="28"/>
          <w:szCs w:val="28"/>
          <w:highlight w:val="none"/>
          <w:lang w:eastAsia="zh-CN"/>
        </w:rPr>
        <w:t xml:space="preserve">评标委员会</w:t>
      </w:r>
      <w:r>
        <w:rPr>
          <w:rFonts w:hint="eastAsia" w:ascii="方正仿宋_GBK" w:hAnsi="方正仿宋_GBK" w:eastAsia="方正仿宋_GBK" w:cs="方正仿宋_GBK"/>
          <w:color w:val="000000"/>
          <w:sz w:val="28"/>
          <w:szCs w:val="28"/>
          <w:highlight w:val="none"/>
        </w:rPr>
        <w:t xml:space="preserve">发现的。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27.4.4与采购人或者其他供应商恶意串通的。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27.4.5采取不正当手段诋毁、排挤其他供应商的。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 有下列情形之一的，视为投标人串通投标，投标无效：</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27.5.1不同投标人的投标文件由同一单位或者个人编制。</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27.5.2不同投标人委托同一单位或者个人办理投标事宜。</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27.5.3 不同投标人的投标文件载明的项目管理成员或者联系人员为同一人。</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27.5.4不同投标人的投标文件异常一致或者投标报价呈规律性差异。</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质疑处理</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28.1 提出质疑的供应商应当是参与所质疑项目采购活动的供应商。潜在供应商依法获取其可质疑的采购文件的，可以对采购文件提出质疑。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28.2.2对采购过程提出质疑的，为各采购程序环节结束之日；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28.2.3对中标或者成交结果提出质疑的，为中标或者成交结果公告期限届满之日。</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采购人及采购中心只接收以纸质原件形式送达的质疑,建议供应商尽量通过邮寄方式提交质疑（采购人和采购中心不接受无快递运单号的快递）。</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采购中心质疑接收部门为质疑处理科（快递运单上的收件人填写“质疑处理科”即可），联系地址：南京市汉中门大街145号省政务中心二期3楼南区3029室，联系电话：025-83668531。</w:t>
      </w:r>
      <w:r/>
    </w:p>
    <w:p>
      <w:pPr>
        <w:ind w:firstLine="560"/>
        <w:pageBreakBefore w:val="0"/>
        <w:spacing w:line="4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采购人质疑接收人及联系方式见招标文件第一章。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 以下情形的质疑不予受理</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28.5.1 内容不符合《政府采购质疑和投诉办法》第十二条规定的质疑。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28.5.2 超出政府采购法定期限的质疑。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28.5.3 以传真、电子邮件等方式递交的非原件形式的质疑。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28.5.4 未参加投标活动的供应商或在投标活动中自身权益未受到损害的供应商所提出的质疑。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28.5.5供应商组成联合体参加投标，联合体中任何一方或多方未按要求签字、盖章、加盖公章的质疑。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中标通知书</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七、授予合同</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签订合同</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30.l中标供应商应当在中标通知书发出之日起三十日内，按照招标文件确定的事项与采购人签订政府采购合同。</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30.2 招标文件、中标供应商的投标文件及招标过程中有关澄清、承诺文件均应作为合同附件。</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货物（包含与货物相关的服务）的追加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32</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政府采购履约资金扶持政策</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中标供应商可凭政府采购合同办理融资贷款，详情请见江苏政府采购网“政采贷”专栏。</w:t>
      </w:r>
      <w:bookmarkEnd w:id="1"/>
      <w:r/>
      <w:bookmarkEnd w:id="2"/>
      <w:r/>
      <w:bookmarkEnd w:id="3"/>
      <w:r/>
      <w:bookmarkEnd w:id="4"/>
      <w:r/>
      <w:bookmarkEnd w:id="5"/>
      <w:r/>
      <w:r/>
    </w:p>
    <w:p>
      <w:pPr>
        <w:ind w:firstLine="420"/>
        <w:spacing w:line="400" w:lineRule="exact"/>
        <w:rPr>
          <w:rFonts w:hint="eastAsia"/>
          <w:color w:val="000000"/>
          <w:szCs w:val="21"/>
          <w:highlight w:val="none"/>
        </w:rPr>
      </w:pPr>
      <w:r/>
      <w:bookmarkStart w:id="44" w:name="_Toc120614221"/>
      <w:r/>
      <w:bookmarkStart w:id="45" w:name="_Toc479757207"/>
      <w:r/>
      <w:bookmarkStart w:id="46" w:name="_Toc16938558"/>
      <w:r/>
      <w:bookmarkStart w:id="47" w:name="_Toc513029242"/>
      <w:r/>
      <w:bookmarkStart w:id="48" w:name="_Toc20823314"/>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keepNext/>
        <w:spacing w:line="660" w:lineRule="exact"/>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第三章  合同</w:t>
      </w:r>
      <w:bookmarkEnd w:id="44"/>
      <w:r/>
      <w:bookmarkEnd w:id="45"/>
      <w:r/>
      <w:bookmarkEnd w:id="46"/>
      <w:r/>
      <w:bookmarkEnd w:id="47"/>
      <w:r/>
      <w:bookmarkEnd w:id="48"/>
      <w:r>
        <w:rPr>
          <w:rFonts w:hint="eastAsia" w:ascii="方正黑体_GBK" w:hAnsi="方正黑体_GBK" w:eastAsia="方正黑体_GBK" w:cs="方正黑体_GBK"/>
          <w:bCs/>
          <w:color w:val="000000"/>
          <w:sz w:val="28"/>
          <w:szCs w:val="28"/>
          <w:highlight w:val="none"/>
        </w:rPr>
        <w:t xml:space="preserve">文本</w:t>
      </w:r>
      <w:r/>
    </w:p>
    <w:p>
      <w:pPr>
        <w:spacing w:line="400" w:lineRule="exact"/>
        <w:rPr>
          <w:rFonts w:ascii="宋体" w:hAnsi="宋体"/>
          <w:bCs/>
          <w:color w:val="000000"/>
          <w:sz w:val="28"/>
          <w:szCs w:val="28"/>
          <w:highlight w:val="none"/>
        </w:rPr>
      </w:pPr>
      <w:r/>
      <w:bookmarkStart w:id="49" w:name="_Toc513029243"/>
      <w:r/>
      <w:bookmarkStart w:id="50" w:name="_Toc20823315"/>
      <w:r/>
      <w:bookmarkStart w:id="51" w:name="_Toc3995"/>
      <w:r/>
      <w:bookmarkStart w:id="52" w:name="_Toc16938559"/>
      <w:r/>
      <w:bookmarkStart w:id="53" w:name="_Hlt16619350"/>
      <w:r/>
      <w:bookmarkStart w:id="54" w:name="_Toc120614244"/>
      <w:r/>
      <w:bookmarkStart w:id="55" w:name="_Toc20823346"/>
      <w:r/>
      <w:bookmarkStart w:id="56" w:name="_Toc16938590"/>
      <w:r/>
      <w:bookmarkStart w:id="57" w:name="_Toc479757211"/>
      <w:r/>
      <w:bookmarkStart w:id="58" w:name="_Toc462564139"/>
      <w:r/>
      <w:bookmarkEnd w:id="49"/>
      <w:bookmarkEnd w:id="50"/>
      <w:bookmarkEnd w:id="51"/>
      <w:bookmarkEnd w:id="52"/>
      <w:r/>
    </w:p>
    <w:p>
      <w:pPr>
        <w:spacing w:line="5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49"/>
        <w:jc w:val="center"/>
        <w:rPr>
          <w:rFonts w:ascii="宋体" w:hAnsi="宋体" w:eastAsia="宋体" w:cs="宋体"/>
          <w:b/>
          <w:bCs/>
          <w:color w:val="000000"/>
          <w:spacing w:val="-20"/>
          <w:highlight w:val="none"/>
        </w:rPr>
      </w:pPr>
      <w:r>
        <w:rPr>
          <w:rFonts w:ascii="宋体" w:hAnsi="宋体" w:eastAsia="宋体" w:cs="宋体"/>
          <w:b/>
          <w:bCs/>
          <w:color w:val="000000"/>
          <w:spacing w:val="-20"/>
          <w:highlight w:val="none"/>
        </w:rPr>
      </w:r>
      <w:r/>
    </w:p>
    <w:p>
      <w:pPr>
        <w:pStyle w:val="949"/>
        <w:jc w:val="center"/>
        <w:rPr>
          <w:rFonts w:ascii="宋体" w:hAnsi="宋体" w:eastAsia="宋体" w:cs="宋体"/>
          <w:color w:val="000000"/>
          <w:spacing w:val="-20"/>
          <w:highlight w:val="none"/>
        </w:rPr>
      </w:pPr>
      <w:r>
        <w:rPr>
          <w:rFonts w:ascii="宋体" w:hAnsi="宋体" w:eastAsia="宋体" w:cs="宋体"/>
          <w:color w:val="000000"/>
          <w:spacing w:val="-20"/>
          <w:highlight w:val="none"/>
        </w:rPr>
      </w:r>
      <w:r/>
    </w:p>
    <w:p>
      <w:pPr>
        <w:pStyle w:val="949"/>
        <w:jc w:val="center"/>
        <w:spacing w:line="660" w:lineRule="exact"/>
        <w:rPr>
          <w:rFonts w:hint="eastAsia" w:ascii="方正黑体_GBK" w:hAnsi="方正黑体_GBK" w:eastAsia="方正黑体_GBK" w:cs="方正黑体_GBK"/>
          <w:color w:val="000000"/>
          <w:spacing w:val="-20"/>
          <w:highlight w:val="none"/>
        </w:rPr>
      </w:pPr>
      <w:r>
        <w:rPr>
          <w:rFonts w:hint="eastAsia" w:ascii="方正黑体_GBK" w:hAnsi="方正黑体_GBK" w:eastAsia="方正黑体_GBK" w:cs="方正黑体_GBK"/>
          <w:color w:val="000000"/>
          <w:spacing w:val="-20"/>
          <w:highlight w:val="none"/>
        </w:rPr>
        <w:t xml:space="preserve">财政部 政府采购货物买卖合同（试行）</w:t>
      </w:r>
      <w:r/>
    </w:p>
    <w:p>
      <w:pPr>
        <w:pStyle w:val="949"/>
        <w:jc w:val="center"/>
        <w:spacing w:line="660" w:lineRule="exact"/>
        <w:rPr>
          <w:rFonts w:hint="eastAsia" w:ascii="方正黑体_GBK" w:hAnsi="方正黑体_GBK" w:eastAsia="方正黑体_GBK" w:cs="方正黑体_GBK"/>
          <w:color w:val="000000"/>
          <w:spacing w:val="-20"/>
          <w:highlight w:val="none"/>
        </w:rPr>
      </w:pPr>
      <w:r>
        <w:rPr>
          <w:rFonts w:hint="eastAsia" w:ascii="方正黑体_GBK" w:hAnsi="方正黑体_GBK" w:eastAsia="方正黑体_GBK" w:cs="方正黑体_GBK"/>
          <w:color w:val="000000"/>
          <w:spacing w:val="-20"/>
          <w:highlight w:val="none"/>
        </w:rPr>
        <w:t xml:space="preserve">范    本</w:t>
      </w:r>
      <w:r/>
    </w:p>
    <w:p>
      <w:pPr>
        <w:spacing w:line="660" w:lineRule="exact"/>
        <w:rPr>
          <w:rFonts w:ascii="宋体" w:hAnsi="宋体" w:cs="宋体"/>
          <w:b/>
          <w:bCs/>
          <w:color w:val="000000"/>
          <w:spacing w:val="-20"/>
          <w:sz w:val="28"/>
          <w:szCs w:val="28"/>
          <w:highlight w:val="none"/>
        </w:rPr>
      </w:pPr>
      <w:r>
        <w:rPr>
          <w:rFonts w:ascii="宋体" w:hAnsi="宋体" w:cs="宋体"/>
          <w:b/>
          <w:bCs/>
          <w:color w:val="000000"/>
          <w:spacing w:val="-20"/>
          <w:sz w:val="28"/>
          <w:szCs w:val="28"/>
          <w:highlight w:val="none"/>
        </w:rPr>
      </w:r>
      <w:r/>
    </w:p>
    <w:p>
      <w:pPr>
        <w:spacing w:line="660" w:lineRule="exact"/>
        <w:rPr>
          <w:rFonts w:ascii="宋体" w:hAnsi="宋体" w:cs="宋体"/>
          <w:b/>
          <w:bCs/>
          <w:color w:val="000000"/>
          <w:spacing w:val="-20"/>
          <w:sz w:val="28"/>
          <w:szCs w:val="28"/>
          <w:highlight w:val="none"/>
        </w:rPr>
      </w:pPr>
      <w:r>
        <w:rPr>
          <w:rFonts w:ascii="宋体" w:hAnsi="宋体" w:cs="宋体"/>
          <w:b/>
          <w:bCs/>
          <w:color w:val="000000"/>
          <w:spacing w:val="-20"/>
          <w:sz w:val="28"/>
          <w:szCs w:val="28"/>
          <w:highlight w:val="none"/>
        </w:rPr>
      </w:r>
      <w:r/>
    </w:p>
    <w:p>
      <w:pPr>
        <w:spacing w:line="660" w:lineRule="exact"/>
        <w:rPr>
          <w:rFonts w:ascii="宋体" w:hAnsi="宋体" w:cs="宋体"/>
          <w:b/>
          <w:bCs/>
          <w:color w:val="000000"/>
          <w:spacing w:val="-20"/>
          <w:sz w:val="28"/>
          <w:szCs w:val="28"/>
          <w:highlight w:val="none"/>
        </w:rPr>
      </w:pPr>
      <w:r>
        <w:rPr>
          <w:rFonts w:ascii="宋体" w:hAnsi="宋体" w:cs="宋体"/>
          <w:b/>
          <w:bCs/>
          <w:color w:val="000000"/>
          <w:spacing w:val="-20"/>
          <w:sz w:val="28"/>
          <w:szCs w:val="28"/>
          <w:highlight w:val="none"/>
        </w:rPr>
      </w:r>
      <w:r/>
    </w:p>
    <w:p>
      <w:pPr>
        <w:ind w:left="420"/>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w:t>
      </w:r>
      <w:r>
        <w:rPr>
          <w:rFonts w:hint="eastAsia" w:ascii="方正黑体_GBK" w:hAnsi="方正黑体_GBK" w:eastAsia="方正黑体_GBK" w:cs="方正黑体_GBK"/>
          <w:color w:val="000000"/>
          <w:sz w:val="28"/>
          <w:szCs w:val="28"/>
          <w:highlight w:val="none"/>
          <w:u w:val="single"/>
        </w:rPr>
        <w:t xml:space="preserve">                             </w:t>
      </w:r>
      <w:r/>
    </w:p>
    <w:p>
      <w:pPr>
        <w:ind w:left="420"/>
        <w:spacing w:line="660" w:lineRule="exact"/>
        <w:rPr>
          <w:rFonts w:hint="eastAsia" w:ascii="方正黑体_GBK" w:hAnsi="方正黑体_GBK" w:eastAsia="方正黑体_GBK" w:cs="方正黑体_GBK"/>
          <w:color w:val="000000"/>
          <w:sz w:val="28"/>
          <w:szCs w:val="28"/>
          <w:highlight w:val="none"/>
          <w:u w:val="single"/>
        </w:rPr>
      </w:pPr>
      <w:r>
        <w:rPr>
          <w:rFonts w:hint="eastAsia" w:ascii="方正黑体_GBK" w:hAnsi="方正黑体_GBK" w:eastAsia="方正黑体_GBK" w:cs="方正黑体_GBK"/>
          <w:color w:val="000000"/>
          <w:sz w:val="28"/>
          <w:szCs w:val="28"/>
          <w:highlight w:val="none"/>
        </w:rPr>
        <w:t xml:space="preserve">合同编号：</w:t>
      </w:r>
      <w:r>
        <w:rPr>
          <w:rFonts w:hint="eastAsia" w:ascii="方正黑体_GBK" w:hAnsi="方正黑体_GBK" w:eastAsia="方正黑体_GBK" w:cs="方正黑体_GBK"/>
          <w:color w:val="000000"/>
          <w:sz w:val="28"/>
          <w:szCs w:val="28"/>
          <w:highlight w:val="none"/>
          <w:u w:val="single"/>
        </w:rPr>
        <w:t xml:space="preserve">                             </w:t>
      </w:r>
      <w:r/>
    </w:p>
    <w:p>
      <w:pPr>
        <w:ind w:left="420"/>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甲    方：</w:t>
      </w:r>
      <w:r>
        <w:rPr>
          <w:rFonts w:hint="eastAsia" w:ascii="方正黑体_GBK" w:hAnsi="方正黑体_GBK" w:eastAsia="方正黑体_GBK" w:cs="方正黑体_GBK"/>
          <w:color w:val="000000"/>
          <w:sz w:val="28"/>
          <w:szCs w:val="28"/>
          <w:highlight w:val="none"/>
          <w:u w:val="single"/>
        </w:rPr>
        <w:t xml:space="preserve">                             </w:t>
      </w:r>
      <w:r/>
    </w:p>
    <w:p>
      <w:pPr>
        <w:ind w:left="420"/>
        <w:spacing w:line="660" w:lineRule="exact"/>
        <w:rPr>
          <w:rFonts w:hint="eastAsia" w:ascii="方正黑体_GBK" w:hAnsi="方正黑体_GBK" w:eastAsia="方正黑体_GBK" w:cs="方正黑体_GBK"/>
          <w:color w:val="000000"/>
          <w:sz w:val="28"/>
          <w:szCs w:val="28"/>
          <w:highlight w:val="none"/>
          <w:u w:val="single"/>
        </w:rPr>
      </w:pPr>
      <w:r>
        <w:rPr>
          <w:rFonts w:hint="eastAsia" w:ascii="方正黑体_GBK" w:hAnsi="方正黑体_GBK" w:eastAsia="方正黑体_GBK" w:cs="方正黑体_GBK"/>
          <w:color w:val="000000"/>
          <w:sz w:val="28"/>
          <w:szCs w:val="28"/>
          <w:highlight w:val="none"/>
        </w:rPr>
        <w:t xml:space="preserve">乙    方：</w:t>
      </w:r>
      <w:r>
        <w:rPr>
          <w:rFonts w:hint="eastAsia" w:ascii="方正黑体_GBK" w:hAnsi="方正黑体_GBK" w:eastAsia="方正黑体_GBK" w:cs="方正黑体_GBK"/>
          <w:color w:val="000000"/>
          <w:sz w:val="28"/>
          <w:szCs w:val="28"/>
          <w:highlight w:val="none"/>
          <w:u w:val="single"/>
        </w:rPr>
        <w:t xml:space="preserve">                             </w:t>
      </w:r>
      <w:r/>
    </w:p>
    <w:p>
      <w:pPr>
        <w:ind w:left="420"/>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签订时间：</w:t>
      </w:r>
      <w:r>
        <w:rPr>
          <w:rFonts w:hint="eastAsia" w:ascii="方正黑体_GBK" w:hAnsi="方正黑体_GBK" w:eastAsia="方正黑体_GBK" w:cs="方正黑体_GBK"/>
          <w:color w:val="000000"/>
          <w:sz w:val="28"/>
          <w:szCs w:val="28"/>
          <w:highlight w:val="none"/>
          <w:u w:val="single"/>
        </w:rPr>
        <w:t xml:space="preserve">                             </w:t>
      </w:r>
      <w:r/>
    </w:p>
    <w:p>
      <w:pPr>
        <w:rPr>
          <w:color w:val="000000"/>
          <w:sz w:val="28"/>
          <w:szCs w:val="28"/>
          <w:highlight w:val="none"/>
        </w:rPr>
      </w:pPr>
      <w:r>
        <w:rPr>
          <w:color w:val="000000"/>
          <w:sz w:val="28"/>
          <w:szCs w:val="28"/>
          <w:highlight w:val="none"/>
        </w:rPr>
      </w:r>
      <w:r/>
    </w:p>
    <w:p>
      <w:pPr>
        <w:rPr>
          <w:rFonts w:eastAsia="黑体"/>
          <w:color w:val="000000"/>
          <w:sz w:val="28"/>
          <w:szCs w:val="28"/>
          <w:highlight w:val="none"/>
        </w:rPr>
      </w:pPr>
      <w:r>
        <w:rPr>
          <w:rFonts w:eastAsia="黑体"/>
          <w:color w:val="000000"/>
          <w:sz w:val="28"/>
          <w:szCs w:val="28"/>
          <w:highlight w:val="none"/>
        </w:rPr>
      </w:r>
      <w:r/>
    </w:p>
    <w:p>
      <w:pPr>
        <w:rPr>
          <w:rFonts w:eastAsia="黑体"/>
          <w:color w:val="000000"/>
          <w:sz w:val="28"/>
          <w:szCs w:val="28"/>
          <w:highlight w:val="none"/>
        </w:rPr>
      </w:pPr>
      <w:r>
        <w:rPr>
          <w:rFonts w:eastAsia="黑体"/>
          <w:color w:val="000000"/>
          <w:sz w:val="28"/>
          <w:szCs w:val="28"/>
          <w:highlight w:val="none"/>
        </w:rPr>
      </w:r>
      <w:r/>
    </w:p>
    <w:p>
      <w:pPr>
        <w:rPr>
          <w:rFonts w:eastAsia="黑体"/>
          <w:color w:val="000000"/>
          <w:sz w:val="28"/>
          <w:szCs w:val="28"/>
          <w:highlight w:val="none"/>
        </w:rPr>
      </w:pPr>
      <w:r>
        <w:rPr>
          <w:rFonts w:eastAsia="黑体"/>
          <w:color w:val="000000"/>
          <w:sz w:val="28"/>
          <w:szCs w:val="28"/>
          <w:highlight w:val="none"/>
        </w:rPr>
      </w:r>
      <w:r/>
    </w:p>
    <w:p>
      <w:pPr>
        <w:rPr>
          <w:rFonts w:eastAsia="黑体"/>
          <w:color w:val="000000"/>
          <w:sz w:val="28"/>
          <w:szCs w:val="28"/>
          <w:highlight w:val="none"/>
        </w:rPr>
      </w:pPr>
      <w:r>
        <w:rPr>
          <w:rFonts w:eastAsia="黑体"/>
          <w:color w:val="000000"/>
          <w:sz w:val="28"/>
          <w:szCs w:val="28"/>
          <w:highlight w:val="none"/>
        </w:rPr>
      </w:r>
      <w:r/>
    </w:p>
    <w:p>
      <w:pPr>
        <w:rPr>
          <w:rFonts w:eastAsia="黑体"/>
          <w:color w:val="000000"/>
          <w:sz w:val="28"/>
          <w:szCs w:val="28"/>
          <w:highlight w:val="none"/>
        </w:rPr>
      </w:pPr>
      <w:r>
        <w:rPr>
          <w:rFonts w:eastAsia="黑体"/>
          <w:color w:val="000000"/>
          <w:sz w:val="28"/>
          <w:szCs w:val="28"/>
          <w:highlight w:val="none"/>
        </w:rPr>
      </w:r>
      <w:r/>
    </w:p>
    <w:p>
      <w:pPr>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使 用 说 明</w:t>
      </w:r>
      <w:r/>
    </w:p>
    <w:p>
      <w:pPr>
        <w:ind w:firstLine="560"/>
        <w:spacing w:line="400" w:lineRule="exact"/>
        <w:rPr>
          <w:rFonts w:ascii="仿宋_GB2312" w:hAnsi="仿宋_GB2312" w:eastAsia="仿宋_GB2312" w:cs="仿宋_GB2312"/>
          <w:color w:val="000000"/>
          <w:sz w:val="28"/>
          <w:szCs w:val="28"/>
          <w:highlight w:val="none"/>
        </w:rPr>
      </w:pPr>
      <w:r>
        <w:rPr>
          <w:rFonts w:ascii="仿宋_GB2312" w:hAnsi="仿宋_GB2312" w:eastAsia="仿宋_GB2312" w:cs="仿宋_GB2312"/>
          <w:color w:val="000000"/>
          <w:sz w:val="28"/>
          <w:szCs w:val="28"/>
          <w:highlight w:val="none"/>
        </w:rPr>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1.本合同标准文本适用于购买现成货物的采购项目，不包括需要供应商定制开发、创新研发的货物采购项目。</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2.本合同标准文本为政府采购货物买卖合同编制提供参考，可以结合采购项目具体情况，对文本作必要的调整修订后使用。</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3.本合同标准文本各条款中，如涉及填写多家供应商、制造商，多种采购标的、分包主要内容等信息的，可根据采购项目具体情况添加信息项。</w:t>
      </w:r>
      <w:r/>
    </w:p>
    <w:p>
      <w:pPr>
        <w:ind w:firstLine="560"/>
        <w:rPr>
          <w:rFonts w:eastAsia="黑体"/>
          <w:color w:val="000000"/>
          <w:sz w:val="28"/>
          <w:szCs w:val="28"/>
          <w:highlight w:val="none"/>
        </w:rPr>
        <w:sectPr>
          <w:footerReference w:type="default" r:id="rId11"/>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28"/>
          <w:szCs w:val="28"/>
          <w:highlight w:val="none"/>
        </w:rPr>
      </w:r>
      <w:r/>
    </w:p>
    <w:p>
      <w:pPr>
        <w:pStyle w:val="920"/>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（采购人、受采购人委托签订合同的单位或采购文件约定的合同甲方）</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乙方1（全称）: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（供应商）</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乙方2（全称）: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（联合体成员供应商或其他合同主体）（如有）</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乙方3（全称）: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（联合体成员供应商或其他合同主体）（如有）</w:t>
      </w:r>
      <w:r/>
    </w:p>
    <w:p>
      <w:pPr>
        <w:pStyle w:val="951"/>
        <w:ind w:left="0" w:firstLine="560"/>
        <w:spacing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1.项目信息</w:t>
      </w:r>
      <w:r/>
    </w:p>
    <w:p>
      <w:pPr>
        <w:pStyle w:val="951"/>
        <w:numPr>
          <w:ilvl w:val="0"/>
          <w:numId w:val="4"/>
        </w:numPr>
        <w:ind w:left="0" w:firstLine="560"/>
        <w:spacing w:after="0"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采购项目名称：</w:t>
      </w:r>
      <w:r>
        <w:rPr>
          <w:rFonts w:hint="eastAsia" w:ascii="方正仿宋_GBK" w:hAnsi="方正仿宋_GBK" w:eastAsia="方正仿宋_GBK" w:cs="方正仿宋_GBK"/>
          <w:color w:val="000000"/>
          <w:sz w:val="28"/>
          <w:szCs w:val="28"/>
          <w:highlight w:val="none"/>
          <w:u w:val="single"/>
        </w:rPr>
        <w:t xml:space="preserve">                                          </w:t>
      </w:r>
      <w:r/>
    </w:p>
    <w:p>
      <w:pPr>
        <w:pStyle w:val="951"/>
        <w:ind w:left="0" w:firstLine="560"/>
        <w:spacing w:after="0" w:line="400" w:lineRule="exact"/>
        <w:tabs>
          <w:tab w:val="left" w:pos="999"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采购项目编号：</w:t>
      </w:r>
      <w:r>
        <w:rPr>
          <w:rFonts w:hint="eastAsia" w:ascii="方正仿宋_GBK" w:hAnsi="方正仿宋_GBK" w:eastAsia="方正仿宋_GBK" w:cs="方正仿宋_GBK"/>
          <w:color w:val="000000"/>
          <w:sz w:val="28"/>
          <w:szCs w:val="28"/>
          <w:highlight w:val="none"/>
          <w:u w:val="single"/>
        </w:rPr>
        <w:t xml:space="preserve">                                          </w:t>
      </w:r>
      <w:r/>
    </w:p>
    <w:p>
      <w:pPr>
        <w:pStyle w:val="951"/>
        <w:ind w:left="0" w:firstLine="560"/>
        <w:spacing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（2）采购计划编号：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（3）项目内容：</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采购标的及数量（台/套/个/架/组等）：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规格型号：</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采购标的的技术要求、商务要求具体见附件。</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①涉及信息类产品，请填写该产品关键部件的品牌、型号：</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关键部件：</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关键部件：</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关键部件：</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型号：</w:t>
      </w:r>
      <w:r>
        <w:rPr>
          <w:rFonts w:hint="eastAsia" w:ascii="方正仿宋_GBK" w:hAnsi="方正仿宋_GBK" w:eastAsia="方正仿宋_GBK" w:cs="方正仿宋_GBK"/>
          <w:color w:val="000000"/>
          <w:sz w:val="28"/>
          <w:szCs w:val="28"/>
          <w:highlight w:val="none"/>
          <w:u w:val="single"/>
        </w:rPr>
        <w:t xml:space="preserve">       </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②涉及车辆采购，请填写是否属于新能源汽车：</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是，《政府采购品目分类目录》底级品目名称：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数量：</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金额：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（4）政府采购组织形式：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政府集中采购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部门集中采购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分散采购</w:t>
      </w:r>
      <w:r/>
    </w:p>
    <w:p>
      <w:pPr>
        <w:pStyle w:val="1031"/>
        <w:ind w:firstLine="560"/>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（5）政府采购方式：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公开招标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邀请招标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竞争性谈判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竞争性磋商</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询价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单一来源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框架协议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其他：</w:t>
      </w:r>
      <w:r>
        <w:rPr>
          <w:rFonts w:hint="eastAsia" w:ascii="方正仿宋_GBK" w:hAnsi="方正仿宋_GBK" w:eastAsia="方正仿宋_GBK" w:cs="方正仿宋_GBK"/>
          <w:color w:val="000000"/>
          <w:sz w:val="28"/>
          <w:szCs w:val="28"/>
          <w:highlight w:val="none"/>
          <w:u w:val="single"/>
        </w:rPr>
        <w:t xml:space="preserve">          </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（注：在框架协议采购的第二阶段，可选择使用该合同文本）</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（6）中标（成交）采购标的制造商是否为中小企业：</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本合同是否为专门面向中小企业的采购合同（中小企业预留合同）：</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若本项目不专门面向中小企业采购，是否给予小微企业评审优惠：</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中标（成交）采购标的制造商是否为残疾人福利性单位：</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中标（成交）采购标的制造商是否为监狱企业：</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（7）合同是否分包：</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分包主要内容：</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分包供应商/制造商名称（如供应商和制造商不同，请分别填写）：</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分包供应商/制造商类型（如果供应商和制造商不同，只填写制造商类型）：</w:t>
      </w:r>
      <w:r/>
    </w:p>
    <w:p>
      <w:pPr>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大型企业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中型企业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小微型企业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残疾人福利性单位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监狱企业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其他</w:t>
      </w:r>
      <w:r/>
    </w:p>
    <w:p>
      <w:pPr>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（8）中标（成交）供应商是否为外商投资企业：</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p>
    <w:p>
      <w:pPr>
        <w:pStyle w:val="1031"/>
        <w:ind w:firstLine="560"/>
        <w:tabs>
          <w:tab w:val="left" w:pos="134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外商投资企业类型：</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全部由外国投资者投资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部分由外国投资者投资</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（9）是否涉及进口产品：</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是，《政府采购品目分类目录》底级品目名称：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金额：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国别：</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规格型号：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（10）是否涉及节能产品：</w:t>
      </w:r>
      <w:r/>
    </w:p>
    <w:p>
      <w:pPr>
        <w:ind w:firstLine="560"/>
        <w:spacing w:line="400" w:lineRule="exact"/>
        <w:tabs>
          <w:tab w:val="left" w:pos="740" w:leader="none"/>
        </w:tabs>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是，《节能产品政府采购品目清单》的底级品目名称：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iCs/>
          <w:color w:val="000000"/>
          <w:sz w:val="28"/>
          <w:szCs w:val="28"/>
          <w:highlight w:val="none"/>
        </w:rPr>
        <w:t xml:space="preserve">     </w:t>
      </w:r>
      <w:r/>
    </w:p>
    <w:p>
      <w:pPr>
        <w:ind w:firstLine="560"/>
        <w:spacing w:line="400" w:lineRule="exact"/>
        <w:tabs>
          <w:tab w:val="left" w:pos="740" w:leader="none"/>
        </w:tabs>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强制采购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优先采购    </w:t>
      </w:r>
      <w:r/>
    </w:p>
    <w:p>
      <w:pPr>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是否涉及环境标志产品：</w:t>
      </w:r>
      <w:r/>
    </w:p>
    <w:p>
      <w:pPr>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是，《环境标志产品政府采购品目清单》的底级品目名称：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iCs/>
          <w:color w:val="000000"/>
          <w:sz w:val="28"/>
          <w:szCs w:val="28"/>
          <w:highlight w:val="none"/>
        </w:rPr>
        <w:t xml:space="preserve"> </w:t>
      </w:r>
      <w:r/>
    </w:p>
    <w:p>
      <w:pPr>
        <w:ind w:firstLine="560"/>
        <w:spacing w:line="400" w:lineRule="exact"/>
        <w:tabs>
          <w:tab w:val="left" w:pos="740" w:leader="none"/>
        </w:tabs>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强制采购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优先采购    </w:t>
      </w:r>
      <w:r/>
    </w:p>
    <w:p>
      <w:pPr>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是否涉及绿色产品： </w:t>
      </w:r>
      <w:r/>
    </w:p>
    <w:p>
      <w:pPr>
        <w:pStyle w:val="1031"/>
        <w:ind w:firstLine="560"/>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是，绿色产品政府采购相关政策确定的底级品目名称：</w:t>
      </w:r>
      <w:r>
        <w:rPr>
          <w:rFonts w:hint="eastAsia" w:ascii="方正仿宋_GBK" w:hAnsi="方正仿宋_GBK" w:eastAsia="方正仿宋_GBK" w:cs="方正仿宋_GBK"/>
          <w:color w:val="000000"/>
          <w:sz w:val="28"/>
          <w:szCs w:val="28"/>
          <w:highlight w:val="none"/>
          <w:u w:val="single"/>
        </w:rPr>
        <w:t xml:space="preserve">         </w:t>
      </w:r>
      <w:r/>
    </w:p>
    <w:p>
      <w:pPr>
        <w:pStyle w:val="1031"/>
        <w:ind w:firstLine="560"/>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强制采购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优先采购    </w:t>
      </w:r>
      <w:r/>
    </w:p>
    <w:p>
      <w:pPr>
        <w:pStyle w:val="1031"/>
        <w:ind w:firstLine="840"/>
        <w:rPr>
          <w:rFonts w:hint="eastAsia" w:ascii="方正仿宋_GBK" w:hAnsi="方正仿宋_GBK" w:eastAsia="方正仿宋_GBK" w:cs="方正仿宋_GBK"/>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（11）涉及商品包装和快递包装的，是否参考《商品包装政府采购需求标准（试行）》、《快递包装政府采购需求标准（试行）》明确产品及相关快递服务的具体包装要求：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方正仿宋_GBK" w:hAnsi="方正仿宋_GBK" w:eastAsia="方正仿宋_GBK" w:cs="方正仿宋_GBK"/>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不涉及</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2.合同金额</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（1）合同金额小写：</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大写：</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分包金额（如有）小写：</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大写：</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（注：固定单价合同应填写单价和最高限价）</w:t>
      </w:r>
      <w:r/>
    </w:p>
    <w:p>
      <w:pPr>
        <w:ind w:left="42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合同定价方式（采用组合定价方式的，可以勾选多项）：</w:t>
      </w:r>
      <w:r/>
    </w:p>
    <w:p>
      <w:pPr>
        <w:ind w:firstLine="560"/>
        <w:spacing w:line="400" w:lineRule="exact"/>
        <w:rPr>
          <w:rFonts w:hint="eastAsia"/>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固定总价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固定单价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固定费率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成本补偿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绩效激励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其他     </w:t>
      </w:r>
      <w:r>
        <w:rPr>
          <w:rFonts w:hint="eastAsia"/>
          <w:color w:val="000000"/>
          <w:sz w:val="28"/>
          <w:szCs w:val="28"/>
          <w:highlight w:val="non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（3）付款方式（按项目实际勾选填写）：</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ascii="Wingdings" w:hAnsi="Wingdings" w:eastAsia="Wingdings" w:cs="Wingdings"/>
          <w:color w:val="000000"/>
          <w:sz w:val="28"/>
          <w:szCs w:val="28"/>
          <w:highlight w:val="none"/>
        </w:rPr>
        <w:t xml:space="preserve">þ</w:t>
      </w:r>
      <w:r>
        <w:rPr>
          <w:rFonts w:hint="eastAsia" w:ascii="方正仿宋_GBK" w:hAnsi="方正仿宋_GBK" w:eastAsia="方正仿宋_GBK" w:cs="方正仿宋_GBK"/>
          <w:color w:val="000000"/>
          <w:sz w:val="28"/>
          <w:szCs w:val="28"/>
          <w:highlight w:val="none"/>
        </w:rPr>
        <w:t xml:space="preserve">全额付款：</w:t>
      </w:r>
      <w:r>
        <w:rPr>
          <w:rFonts w:hint="eastAsia" w:ascii="方正仿宋_GBK" w:hAnsi="方正仿宋_GBK" w:eastAsia="方正仿宋_GBK" w:cs="方正仿宋_GBK"/>
          <w:color w:val="000000"/>
          <w:sz w:val="28"/>
          <w:szCs w:val="28"/>
          <w:highlight w:val="none"/>
          <w:u w:val="single"/>
        </w:rPr>
        <w:t xml:space="preserve">  乙方将全部货物运到甲方指定的交货地点，并按照招标文件、本合同约定及甲方的要求安装调试结束，经甲方最终书面确认验收合格无误后，乙方向甲方提供合法有效的正规增值税发票，甲方在收到发票后10个工作日内向乙方付清应付款项。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分期付款：</w:t>
      </w:r>
      <w:r>
        <w:rPr>
          <w:rFonts w:hint="eastAsia" w:ascii="方正仿宋_GBK" w:hAnsi="方正仿宋_GBK" w:eastAsia="方正仿宋_GBK" w:cs="方正仿宋_GBK"/>
          <w:color w:val="000000"/>
          <w:sz w:val="28"/>
          <w:szCs w:val="28"/>
          <w:highlight w:val="none"/>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color w:val="000000"/>
          <w:sz w:val="28"/>
          <w:szCs w:val="28"/>
          <w:highlight w:val="none"/>
        </w:rPr>
        <w:t xml:space="preserve">，其中涉及预付款的：</w:t>
      </w:r>
      <w:r>
        <w:rPr>
          <w:rFonts w:hint="eastAsia" w:ascii="方正仿宋_GBK" w:hAnsi="方正仿宋_GBK" w:eastAsia="方正仿宋_GBK" w:cs="方正仿宋_GBK"/>
          <w:color w:val="000000"/>
          <w:sz w:val="28"/>
          <w:szCs w:val="28"/>
          <w:highlight w:val="none"/>
          <w:u w:val="single"/>
        </w:rPr>
        <w:t xml:space="preserve"> （应明确预付款的支付比例和支付条件） </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ascii="Wingdings" w:hAnsi="Wingdings" w:eastAsia="Wingdings" w:cs="Wingdings"/>
          <w:color w:val="000000"/>
          <w:sz w:val="28"/>
          <w:szCs w:val="28"/>
          <w:highlight w:val="none"/>
          <w:u w:val="single"/>
        </w:rPr>
        <w:t xml:space="preserve">¨</w:t>
      </w:r>
      <w:r>
        <w:rPr>
          <w:rFonts w:hint="eastAsia" w:ascii="方正仿宋_GBK" w:hAnsi="方正仿宋_GBK" w:eastAsia="方正仿宋_GBK" w:cs="方正仿宋_GBK"/>
          <w:color w:val="000000"/>
          <w:sz w:val="28"/>
          <w:szCs w:val="28"/>
          <w:highlight w:val="none"/>
          <w:u w:val="single"/>
        </w:rPr>
        <w:t xml:space="preserve">成本补偿： （应明确按照成本补偿方式的支付方式和支付条件）   </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ascii="Wingdings" w:hAnsi="Wingdings" w:eastAsia="Wingdings" w:cs="Wingdings"/>
          <w:color w:val="000000"/>
          <w:sz w:val="28"/>
          <w:szCs w:val="28"/>
          <w:highlight w:val="none"/>
          <w:u w:val="single"/>
        </w:rPr>
        <w:t xml:space="preserve">¨</w:t>
      </w:r>
      <w:r>
        <w:rPr>
          <w:rFonts w:hint="eastAsia" w:ascii="方正仿宋_GBK" w:hAnsi="方正仿宋_GBK" w:eastAsia="方正仿宋_GBK" w:cs="方正仿宋_GBK"/>
          <w:color w:val="000000"/>
          <w:sz w:val="28"/>
          <w:szCs w:val="28"/>
          <w:highlight w:val="none"/>
          <w:u w:val="single"/>
        </w:rPr>
        <w:t xml:space="preserve">绩效激励： （应明确按照绩效激励方式的支付方式和支付条件）   </w:t>
      </w:r>
      <w:r/>
    </w:p>
    <w:p>
      <w:pPr>
        <w:ind w:firstLine="560"/>
        <w:spacing w:line="400" w:lineRule="exact"/>
        <w:rPr>
          <w:rFonts w:hint="eastAsia" w:ascii="方正仿宋_GBK" w:hAnsi="方正仿宋_GBK" w:eastAsia="方正仿宋_GBK" w:cs="方正仿宋_GBK"/>
          <w:b/>
          <w:color w:val="000000"/>
          <w:sz w:val="28"/>
          <w:szCs w:val="28"/>
          <w:highlight w:val="none"/>
          <w:u w:val="single"/>
        </w:rPr>
      </w:pPr>
      <w:r>
        <w:rPr>
          <w:rFonts w:hint="eastAsia" w:ascii="方正仿宋_GBK" w:hAnsi="方正仿宋_GBK" w:eastAsia="方正仿宋_GBK" w:cs="方正仿宋_GBK"/>
          <w:b/>
          <w:color w:val="000000"/>
          <w:sz w:val="28"/>
          <w:szCs w:val="28"/>
          <w:highlight w:val="none"/>
        </w:rPr>
        <w:t xml:space="preserve">3.合同履行</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（1）起始日期：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日，完成日期：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（2）履约地点</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（3）履约担保：</w:t>
      </w:r>
      <w:r>
        <w:rPr>
          <w:rFonts w:hint="eastAsia" w:ascii="方正仿宋_GBK" w:hAnsi="方正仿宋_GBK" w:eastAsia="方正仿宋_GBK" w:cs="方正仿宋_GBK"/>
          <w:color w:val="000000"/>
          <w:sz w:val="28"/>
          <w:szCs w:val="28"/>
          <w:highlight w:val="none"/>
        </w:rPr>
        <w:t xml:space="preserve">是否收取履约保证金：</w:t>
      </w:r>
      <w:r>
        <w:rPr>
          <w:rFonts w:ascii="Wingdings" w:hAnsi="Wingdings" w:eastAsia="Wingdings" w:cs="Wingdings"/>
          <w:color w:val="000000"/>
          <w:sz w:val="28"/>
          <w:szCs w:val="28"/>
          <w:highlight w:val="none"/>
        </w:rPr>
        <w:t xml:space="preserve">þ</w:t>
      </w:r>
      <w:r>
        <w:rPr>
          <w:rFonts w:hint="eastAsia" w:ascii="方正仿宋_GBK" w:hAnsi="方正仿宋_GBK" w:eastAsia="方正仿宋_GBK" w:cs="方正仿宋_GBK"/>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收取履约保证金形式：</w:t>
      </w:r>
      <w:r>
        <w:rPr>
          <w:rFonts w:hint="eastAsia" w:ascii="方正仿宋_GBK" w:hAnsi="方正仿宋_GBK" w:eastAsia="方正仿宋_GBK" w:cs="方正仿宋_GBK"/>
          <w:bCs/>
          <w:color w:val="000000"/>
          <w:sz w:val="28"/>
          <w:szCs w:val="28"/>
          <w:highlight w:val="none"/>
          <w:u w:val="single"/>
        </w:rPr>
        <w:t xml:space="preserve">银行汇款、现金形式，乙方需将合同总金额的10％作为履约保证金通过银行转账提交至南京中医药大学指定账户，账户名称：南京中医药大学，账号：4301010109001027264，开户行：工商银行汉中门支行，备注：项目名称+履约保证金。</w:t>
      </w:r>
      <w:r>
        <w:rPr>
          <w:rFonts w:ascii="方正仿宋_GBK" w:hAnsi="方正仿宋_GBK" w:eastAsia="方正仿宋_GBK" w:cs="方正仿宋_GBK"/>
          <w:bCs/>
          <w:color w:val="000000"/>
          <w:sz w:val="28"/>
          <w:szCs w:val="28"/>
          <w:highlight w:val="none"/>
          <w:u w:val="single"/>
        </w:rPr>
        <w:t xml:space="preserve">支持和鼓励中标供应商自愿使用履约保函（保险）代替缴纳履约保证金</w:t>
      </w:r>
      <w:r>
        <w:rPr>
          <w:rFonts w:hint="eastAsia" w:ascii="方正仿宋_GBK" w:hAnsi="方正仿宋_GBK" w:eastAsia="方正仿宋_GBK" w:cs="方正仿宋_GBK"/>
          <w:bCs/>
          <w:color w:val="000000"/>
          <w:sz w:val="28"/>
          <w:szCs w:val="28"/>
          <w:highlight w:val="none"/>
          <w:u w:val="single"/>
        </w:rPr>
        <w:t xml:space="preserve">。 </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收取履约保证金金额：</w:t>
      </w:r>
      <w:r>
        <w:rPr>
          <w:rFonts w:hint="eastAsia" w:ascii="方正仿宋_GBK" w:hAnsi="方正仿宋_GBK" w:eastAsia="方正仿宋_GBK" w:cs="方正仿宋_GBK"/>
          <w:bCs/>
          <w:color w:val="000000"/>
          <w:sz w:val="28"/>
          <w:szCs w:val="28"/>
          <w:highlight w:val="none"/>
          <w:u w:val="single"/>
        </w:rPr>
        <w:t xml:space="preserve">  合同金额的10%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履约担保期限：</w:t>
      </w:r>
      <w:r>
        <w:rPr>
          <w:rFonts w:hint="eastAsia" w:ascii="方正仿宋_GBK" w:hAnsi="方正仿宋_GBK" w:eastAsia="方正仿宋_GBK" w:cs="方正仿宋_GBK"/>
          <w:bCs/>
          <w:color w:val="000000"/>
          <w:sz w:val="28"/>
          <w:szCs w:val="28"/>
          <w:highlight w:val="none"/>
          <w:u w:val="single"/>
        </w:rPr>
        <w:t xml:space="preserve">自甲方最终书面确认验收合格之日起算【12】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（4）分期履行要求：</w:t>
      </w:r>
      <w:r>
        <w:rPr>
          <w:rFonts w:hint="eastAsia" w:ascii="方正仿宋_GBK" w:hAnsi="方正仿宋_GBK" w:eastAsia="方正仿宋_GBK" w:cs="方正仿宋_GBK"/>
          <w:bCs/>
          <w:color w:val="000000"/>
          <w:sz w:val="28"/>
          <w:szCs w:val="28"/>
          <w:highlight w:val="none"/>
          <w:u w:val="single"/>
        </w:rPr>
        <w:t xml:space="preserve">                                                        </w:t>
      </w:r>
      <w:r/>
    </w:p>
    <w:p>
      <w:pPr>
        <w:ind w:firstLine="560"/>
        <w:spacing w:line="400" w:lineRule="exact"/>
        <w:rPr>
          <w:rFonts w:ascii="宋体" w:hAnsi="宋体" w:cs="宋体"/>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（5）风险处置措施和替代方案：</w:t>
      </w:r>
      <w:r>
        <w:rPr>
          <w:rFonts w:hint="eastAsia" w:ascii="方正仿宋_GBK" w:hAnsi="方正仿宋_GBK" w:eastAsia="方正仿宋_GBK" w:cs="方正仿宋_GBK"/>
          <w:color w:val="000000"/>
          <w:sz w:val="28"/>
          <w:szCs w:val="28"/>
          <w:highlight w:val="none"/>
          <w:u w:val="single"/>
        </w:rPr>
        <w:t xml:space="preserve">                                               </w:t>
      </w:r>
      <w:r>
        <w:rPr>
          <w:rFonts w:hint="eastAsia" w:ascii="宋体" w:hAnsi="宋体" w:cs="宋体"/>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4.合同验收</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（1）验收组织方式：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自行组织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委托第三方组织</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验收主体：</w:t>
      </w:r>
      <w:r>
        <w:rPr>
          <w:rFonts w:hint="eastAsia" w:ascii="方正仿宋_GBK" w:hAnsi="方正仿宋_GBK" w:eastAsia="方正仿宋_GBK" w:cs="方正仿宋_GBK"/>
          <w:bCs/>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是否邀请本项目的其他供应商参加验收：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是否邀请专家参加验收：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是否邀请服务对象参加验收：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是否邀请第三方检测机构参加验收：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是否进行抽查检测：</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是，抽查比例：</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是否存在破坏性检测：</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w:t>
      </w:r>
      <w:r>
        <w:rPr>
          <w:rFonts w:hint="eastAsia" w:ascii="方正仿宋_GBK" w:hAnsi="方正仿宋_GBK" w:eastAsia="方正仿宋_GBK" w:cs="方正仿宋_GBK"/>
          <w:bCs/>
          <w:color w:val="000000"/>
          <w:sz w:val="28"/>
          <w:szCs w:val="28"/>
          <w:highlight w:val="none"/>
          <w:u w:val="single"/>
        </w:rPr>
        <w:t xml:space="preserve">（应明确对被破坏的检测产品的处理方式）</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验收组织的其他事项：</w:t>
      </w:r>
      <w:r>
        <w:rPr>
          <w:rFonts w:hint="eastAsia" w:ascii="方正仿宋_GBK" w:hAnsi="方正仿宋_GBK" w:eastAsia="方正仿宋_GBK" w:cs="方正仿宋_GBK"/>
          <w:bCs/>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（2）履约验收时间：</w:t>
      </w:r>
      <w:r>
        <w:rPr>
          <w:rFonts w:hint="eastAsia" w:ascii="方正仿宋_GBK" w:hAnsi="方正仿宋_GBK" w:eastAsia="方正仿宋_GBK" w:cs="方正仿宋_GBK"/>
          <w:bCs/>
          <w:color w:val="000000"/>
          <w:sz w:val="28"/>
          <w:szCs w:val="28"/>
          <w:highlight w:val="none"/>
          <w:u w:val="single"/>
        </w:rPr>
        <w:t xml:space="preserve">（计划于何时验收/供应商提出验收申请之日起   日内组织验收） </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（3）履约验收方式：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一次性验收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分期/分项验收：</w:t>
      </w:r>
      <w:r>
        <w:rPr>
          <w:rFonts w:hint="eastAsia" w:ascii="方正仿宋_GBK" w:hAnsi="方正仿宋_GBK" w:eastAsia="方正仿宋_GBK" w:cs="方正仿宋_GBK"/>
          <w:bCs/>
          <w:color w:val="000000"/>
          <w:sz w:val="28"/>
          <w:szCs w:val="28"/>
          <w:highlight w:val="none"/>
          <w:u w:val="single"/>
        </w:rPr>
        <w:t xml:space="preserve"> （应明确分期/分项验收的工作安排）  </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（4）履约验收程序：</w:t>
      </w:r>
      <w:r>
        <w:rPr>
          <w:rFonts w:hint="eastAsia" w:ascii="方正仿宋_GBK" w:hAnsi="方正仿宋_GBK" w:eastAsia="方正仿宋_GBK" w:cs="方正仿宋_GBK"/>
          <w:bCs/>
          <w:color w:val="000000"/>
          <w:sz w:val="28"/>
          <w:szCs w:val="28"/>
          <w:highlight w:val="none"/>
          <w:u w:val="single"/>
        </w:rPr>
        <w:t xml:space="preserve"> 详见招标文件第四章项目需求内容进行验收 </w:t>
      </w:r>
      <w:r/>
    </w:p>
    <w:p>
      <w:pPr>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（5）履约验收的内容：</w:t>
      </w:r>
      <w:r>
        <w:rPr>
          <w:rFonts w:hint="eastAsia" w:ascii="方正仿宋_GBK" w:hAnsi="方正仿宋_GBK" w:eastAsia="方正仿宋_GBK" w:cs="方正仿宋_GBK"/>
          <w:bCs/>
          <w:color w:val="000000"/>
          <w:sz w:val="28"/>
          <w:szCs w:val="28"/>
          <w:highlight w:val="none"/>
          <w:u w:val="single"/>
        </w:rPr>
        <w:t xml:space="preserve"> （应当包括每一项技术和商务要求的履约情况，特别是落实政府采购扶持中小企业，支持绿色发展和乡村振兴等政策情况）                                      </w:t>
      </w:r>
      <w:r/>
    </w:p>
    <w:p>
      <w:pPr>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（6）履约验收标准：</w:t>
      </w:r>
      <w:r>
        <w:rPr>
          <w:rFonts w:hint="eastAsia" w:ascii="方正仿宋_GBK" w:hAnsi="方正仿宋_GBK" w:eastAsia="方正仿宋_GBK" w:cs="方正仿宋_GBK"/>
          <w:bCs/>
          <w:color w:val="000000"/>
          <w:sz w:val="28"/>
          <w:szCs w:val="28"/>
          <w:highlight w:val="none"/>
          <w:u w:val="single"/>
        </w:rPr>
        <w:t xml:space="preserve"> （招投标文件技术标准）                </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（7）是否以采购活动中供应商提供的样品作为参考：</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（8）履约验收其他事项：</w:t>
      </w:r>
      <w:r>
        <w:rPr>
          <w:rFonts w:hint="eastAsia" w:ascii="方正仿宋_GBK" w:hAnsi="方正仿宋_GBK" w:eastAsia="方正仿宋_GBK" w:cs="方正仿宋_GBK"/>
          <w:bCs/>
          <w:color w:val="000000"/>
          <w:sz w:val="28"/>
          <w:szCs w:val="28"/>
          <w:highlight w:val="none"/>
          <w:u w:val="single"/>
        </w:rPr>
        <w:t xml:space="preserve">      （产权过户登记等）          </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5.组成合同的文件</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本协议书与下列文件一起构成合同文件，如下述文件之间有任何抵触、矛盾或歧义，应按以下顺序解释：</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（1）政府采购合同协议书及其变更、补充协议</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（2）政府采购合同专用条款</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（3）政府采购合同通用条款</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（4）中标（成交）通知书</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（5）投标（响应）文件</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（6）采购文件</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（7）有关技术文件，图纸</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（8）国家法律、行政法规和规章制度规定或合同约定的作为合同组成部分的其他文件</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6.合同生效</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本合同自</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生效。</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7.合同份数</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本合同一式</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份，甲方执</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份，乙方执</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份，均具有同等法律效力。</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合同订立时间：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合同订立地点：</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附件：具体标的及其技术要求和商务要求、联合协议、分包意向协议等   </w:t>
      </w:r>
      <w:r/>
    </w:p>
    <w:tbl>
      <w:tblPr>
        <w:tblStyle w:val="748"/>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858"/>
        <w:gridCol w:w="944"/>
        <w:gridCol w:w="3001"/>
      </w:tblGrid>
      <w:tr>
        <w:trPr>
          <w:trHeight w:val="490"/>
        </w:trPr>
        <w:tc>
          <w:tcPr>
            <w:gridSpan w:val="2"/>
            <w:tcW w:w="4983"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甲方（采购人、受采购人委托签订合同的单位或采购文件约定的合同甲方）</w:t>
            </w:r>
            <w:r/>
          </w:p>
        </w:tc>
        <w:tc>
          <w:tcPr>
            <w:gridSpan w:val="2"/>
            <w:tcW w:w="39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乙方（供应商）</w:t>
            </w:r>
            <w:r/>
          </w:p>
        </w:tc>
      </w:tr>
      <w:tr>
        <w:trPr>
          <w:trHeight w:val="917"/>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单位名称（公章或合同章）</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单位名称（公章或合同章）</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1171"/>
        </w:trPr>
        <w:tc>
          <w:tcPr>
            <w:tcW w:w="1125" w:type="dxa"/>
            <w:vAlign w:val="center"/>
            <w:vMerge w:val="restart"/>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法定代表人</w:t>
            </w:r>
            <w:r/>
          </w:p>
          <w:p>
            <w:pPr>
              <w:ind w:firstLine="134"/>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或其委托代理人（签章）</w:t>
            </w:r>
            <w:r/>
          </w:p>
        </w:tc>
        <w:tc>
          <w:tcPr>
            <w:tcW w:w="1666" w:type="dxa"/>
            <w:vAlign w:val="center"/>
            <w:vMerge w:val="restart"/>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法定代表人</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或其委托代理人（签章）</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rHeight w:val="483"/>
        </w:trPr>
        <w:tc>
          <w:tcPr>
            <w:tcW w:w="1125" w:type="dxa"/>
            <w:vAlign w:val="center"/>
            <w:vMerge w:val="continue"/>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vMerge w:val="continue"/>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拥有者性别</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住  所</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住  所</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 系 人</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 系 人</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通信地址</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通信地址</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邮政编码</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邮政编码</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电子邮箱</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电子邮箱</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统一社会信用代码</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统一社会信用代码</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开户名称</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开户银行</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银行账号</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586"/>
        </w:trPr>
        <w:tc>
          <w:tcPr>
            <w:gridSpan w:val="4"/>
            <w:tcW w:w="8928" w:type="dxa"/>
            <w:vAlign w:val="center"/>
            <w:textDirection w:val="lrTb"/>
            <w:noWrap w:val="false"/>
          </w:tcPr>
          <w:p>
            <w:pPr>
              <w:pStyle w:val="951"/>
              <w:ind w:left="0"/>
              <w:jc w:val="left"/>
              <w:spacing w:before="156" w:after="0"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z w:val="28"/>
                <w:szCs w:val="28"/>
                <w:highlight w:val="none"/>
              </w:rPr>
              <w:t xml:space="preserve">注：涉及联合体或其他合同主体的信息应按上表格式加列。</w:t>
            </w:r>
            <w:r/>
          </w:p>
        </w:tc>
      </w:tr>
    </w:tbl>
    <w:p>
      <w:pPr>
        <w:pStyle w:val="920"/>
        <w:spacing w:line="400" w:lineRule="exact"/>
        <w:rPr>
          <w:rFonts w:ascii="黑体" w:hAnsi="黑体" w:eastAsia="黑体"/>
          <w:color w:val="000000"/>
          <w:sz w:val="28"/>
          <w:szCs w:val="28"/>
          <w:highlight w:val="none"/>
        </w:rPr>
      </w:pPr>
      <w:r>
        <w:rPr>
          <w:rFonts w:ascii="宋体" w:hAnsi="宋体"/>
          <w:color w:val="000000"/>
          <w:sz w:val="28"/>
          <w:szCs w:val="28"/>
          <w:highlight w:val="none"/>
          <w:u w:val="single"/>
        </w:rPr>
        <w:br w:type="page" w:clear="all"/>
      </w:r>
      <w:r>
        <w:rPr>
          <w:rFonts w:hint="eastAsia" w:ascii="黑体" w:hAnsi="黑体" w:eastAsia="黑体"/>
          <w:b w:val="0"/>
          <w:bCs w:val="0"/>
          <w:color w:val="000000"/>
          <w:sz w:val="28"/>
          <w:szCs w:val="28"/>
          <w:highlight w:val="none"/>
        </w:rPr>
        <w:t xml:space="preserve">第二节 政府采购合同通用条款</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定义</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1.1合同当事人</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（1）采购人（以下称甲方）是指使用财政性资金，通过政府采购方式向供应商购买货物及其相关服务的国家机关、事业单位、团体组织。</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（2）供应商（以下称乙方）是指参加政府采购活动并且中标（成交），向采购人提供合同约定的货物及其相关服务的法人、非法人组织或者自然人。</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（3）其他合同主体是指除采购人和供应商以外，依法参与合同缔结或履行，享有权利、承担义务的合同当事人。</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1.2本合同下列术语应解释为：</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（2）“合同价款”系指根据本合同规定乙方在全面履行合同义务后甲方应支付给乙方的价款。</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（3）“货物”系指乙方根据本合同规定须向甲方提供的各种形态和种类的物品，包括原材料、设备、产品（包括软件）及相关的备品备件、工具、手册及其他技术资料和材料等。</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（5）“分包”系指中标（成交）供应商按采购文件、投标（响应）文件的规定，根据分包意向协议，将中标（成交）项目中的部分履约内容，分给具有相应资质条件的供应商履行合同的行为。</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（7）其他术语解释，见【政府采购合同专用条款】。</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合同标的及金额</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 合同标的及金额应与中标（成交）结果一致。乙方为履行本合同而发生的所有费用均应包含在合同价款中，甲方不再另行支付其他任何费用。</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履行合同的时间、地点和方式</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 乙方应当在约定的时间、地点，按照约定方式履行合同。</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 甲方的权利和义务</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4.2 甲方有权要求乙方按时提交各阶段有关安排计划，并有权定期核对乙方提供货物数量、规格、质量等内容。甲方有权督促乙方工作并要求乙方更换不符合要求的货物。</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4.3 甲方有权要求乙方对缺陷部分予以修复，并按合同约定享有货物保修及其他合同约定的权利。</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4.4 甲方应当按照合同约定及时对交付的货物进行验收，未在【政府采购合同专用条款】约定的期限内对乙方履约提出任何异议或者向乙方作出任何说明的，视为验收通过。</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4.5 甲方应当根据合同约定及时向乙方支付合同价款，不得以内部人员变更、履行内部付款流程等为由，拒绝或迟延支付。</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4.6 国家法律法规规定及【政府采购合同专用条款】约定应由甲方承担的其他义务和责任。</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 乙方的权利和义务</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5.1 签署合同后，乙方应确定项目负责人（或项目联系人），负责与本合同有关的事务。</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5.3乙方有权根据合同约定向甲方收取合同价款。</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5.4国家法律法规规定及【政府采购合同专用条款】约定应由乙方承担的其他义务和责任。</w:t>
      </w:r>
      <w:r/>
    </w:p>
    <w:p>
      <w:pPr>
        <w:pStyle w:val="1031"/>
        <w:numPr>
          <w:ilvl w:val="0"/>
          <w:numId w:val="5"/>
        </w:numPr>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合同履行</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 甲乙双方应当按照【政府采购合同专用条款】约定顺序履行合同义务；如果没有先后顺序的，应当同时履行。</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 货物包装、运输、保险和交付要求</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 除【政府采购合同专用条款】另有约定外，乙方负责办理将货物运抵本合同规定的交货地点，并装卸、交付至甲方的一切运输事项，相关费用应包含在合同价款中。</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 货物保险要求按【政府采购合同专用条款】规定执行。</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7.5 乙方在运输到达之前应提前通知甲方，并提示货物运输装卸的注意事项，甲方配合乙方做好货物的接收工作。</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7.6 如因包装、运输问题导致货物损毁、丢失或者品质下降，甲方有权要求降价、换货、拒收部分或整批货物，由此产生的费用和损失，均由乙方承担。</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 质量标准和保证</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8.1 质量标准</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（2）采用中华人民共和国法定计量单位。</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（3）乙方所提供的货物应符合国家有关安全、环保、卫生的规定。</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8.2 保证</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（2）在质量保证期内所发现的缺陷，甲方应尽快以书面形式通知乙方。</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（3）乙方收到通知后，应在【政府采购合同专用条款】规定的响应时间内以合理的速度免费维修或更换有缺陷的货物或部件。</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（5）乙方在约定的时间内未能弥补缺陷，甲方可采取必要的补救措施，但其风险和费用将由乙方承担，甲方根据合同约定对乙方行使的其他权利不受影响。</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 权利瑕疵担保</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9.1 乙方保证对其出售的货物享有合法的权利。</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9.2 乙方保证在交付的货物上不存在抵押权等担保物权。</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9.3 如甲方使用上述货物构成对第三人侵权的，则由乙方承担全部责任。</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 知识产权保护</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保密义务</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 合同价款支付</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12.1 合同价款支付按照国库集中支付制度及财政管理相关规定执行。</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 履约保证金</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13.1 乙方应当以支票、汇票、本票或者金融机构、担保机构出具的保函等非现金形式提交。</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 售后服务</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14.1 除项目不涉及或采购活动中明确约定无须承担外，乙方还应提供下列服务：</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（1）货物的现场移动、安装、调试、启动监督及技术支持；</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（2）提供货物组装和维修所需的专用工具和辅助材料；</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（3）在【政府采购合同专用条款】约定的期限内对所有的货物实施运行监督、维修，但前提条件是该服务并不能免除乙方在质量保证期内所承担的义务；</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（4）在制造商所在地或指定现场就货物的安装、启动、运营、维护、废弃处置等对甲方操作人员进行培训；</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（5）依照法律、行政法规的规定或者按照【政府采购合同专用条款】约定，货物在有效使用年限届满后应予回收的，乙方负有自行或者委托第三人对货物予以回收的义务；</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（6）【政府采购合同专用条款】规定由乙方提供的其他服务。</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14.2 乙方提供的售后服务的费用已包含在合同价款中，甲方不再另行支付。</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 违约责任</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15.1质量瑕疵的违约责任</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乙方提供的产品不符合合同约定的质量标准或存在产品质量缺陷，甲方有权要求乙方根据【政府采购合同专用条款】要求及时修理、重作、更换，并承担由此给甲方造成的损失。</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15.2 迟延交货的违约责任</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15.3 迟延支付的违约责任</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甲方存在迟延支付乙方合同款项的，应当承担【政府采购合同专用条款】规定的逾期付款利息。</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15.4其他违约责任根据项目实际需要按【政府采购合同专用条款】规定执行。</w:t>
      </w:r>
      <w:r/>
    </w:p>
    <w:p>
      <w:pPr>
        <w:pStyle w:val="1031"/>
        <w:numPr>
          <w:ilvl w:val="0"/>
          <w:numId w:val="6"/>
        </w:numPr>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合同变更、中止与终止</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16.1合同的变更</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政府采购合同履行中，在不改变合同其他条款的前提下，甲方可以在合同价款10%的范围内追加与合同标的相同的货物，并就此与乙方协商一致后签订补充协议。</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16.2合同的中止</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（1）合同履行过程中因供应商就采购文件、采购过程或结果提起投诉的，甲方认为有必要的，可以中止合同的履行。</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（4）甲方不得以行政区划调整、政府换届、机构或者职能调整以及相关责任人更替为由中止合同。</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16.3合同的终止</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（1）合同因有效期限届满而终止；</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（2）乙方未按合同约定履行，构成根本性违约的，甲方有权终止合同，并追究乙方的违约责任。</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16.4 涉及国家利益、社会公共利益的情形</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1031"/>
        <w:numPr>
          <w:ilvl w:val="0"/>
          <w:numId w:val="7"/>
        </w:numPr>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合同分包</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17.1 乙方不得将合同转包给其他供应商。涉及合同分包的，乙方应根据采购文件和投标（响应）文件规定进行合同分包。</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17.2 乙方执行政府采购政策向中小企业依法分包的，乙方应当按采购文件和投标（响应）文件签订分包意向协议，分包意向协议属于本合同组成部分。</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 不可抗力</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18.1 不可抗力是指合同双方不能预见、不能避免且不能克服的客观情况。</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18.2 任何一方对由于不可抗力造成的部分或全部不能履行合同不承担违约责任。但迟延履行后发生不可抗力的，不能免除责任。</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 解决争议的方法</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19.3 如甲乙双方有争议的事项不影响合同其他部分的履行，在争议解决期间，合同其他部分应当继续履行。</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 政府采购政策</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20.1 </w:t>
      </w:r>
      <w:r>
        <w:rPr>
          <w:rFonts w:hint="eastAsia" w:ascii="方正仿宋_GBK" w:hAnsi="方正仿宋_GBK" w:eastAsia="方正仿宋_GBK" w:cs="方正仿宋_GBK"/>
          <w:color w:val="000000"/>
          <w:sz w:val="28"/>
          <w:szCs w:val="28"/>
          <w:highlight w:val="none"/>
          <w:lang w:val="en-GB"/>
        </w:rPr>
        <w:t xml:space="preserve">本合同应当按照规定执行政府采购政策。</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20.2 本合同依法执行政府采购政策的方式和内容，属于合同履约验收的范围。甲乙双方</w:t>
      </w:r>
      <w:r>
        <w:rPr>
          <w:rFonts w:hint="eastAsia" w:ascii="方正仿宋_GBK" w:hAnsi="方正仿宋_GBK" w:eastAsia="方正仿宋_GBK" w:cs="方正仿宋_GBK"/>
          <w:color w:val="000000"/>
          <w:sz w:val="28"/>
          <w:szCs w:val="28"/>
          <w:highlight w:val="none"/>
          <w:lang w:val="en-GB"/>
        </w:rPr>
        <w:t xml:space="preserve">未按规定要求执行政府采购政策造成损失的</w:t>
      </w:r>
      <w:r>
        <w:rPr>
          <w:rFonts w:hint="eastAsia" w:ascii="方正仿宋_GBK" w:hAnsi="方正仿宋_GBK" w:eastAsia="方正仿宋_GBK" w:cs="方正仿宋_GBK"/>
          <w:color w:val="000000"/>
          <w:sz w:val="28"/>
          <w:szCs w:val="28"/>
          <w:highlight w:val="none"/>
        </w:rPr>
        <w:t xml:space="preserve">，有过错的一方应当承担赔偿责任，双方都有过错的，各自承担相应的责任。</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 法律适用</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21.1 本合同的订立、生效、解释、履行及与本合同有关的争议解决，均适用法律、行政法规。</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21.2 本合同条款与法律、行政法规的强制性规定不一致的，双方当事人应按照法律、行政法规的强制性规定修改本合同的相关条款。</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 通知</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22.1 本合同任何一方向对方发出的通知、信件、数据电文等，应当发送至本合同第一部分《政府采购合同协议书》所约定的通讯地址、联系人、联系电话或电子邮箱。</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22.2 一方当事人变更名称、住所、联系人、联系电话或电子邮箱等信息的，应当在变更后3日内及时书面通知对方，对方实际收到变更通知前的送达仍为有效送达。</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22.3本合同一方给另一方的通知均应采用书面形式，传真或快递送到本合同中规定的对方的地址和办理签收手续。</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22.4通知以送达之日或通知书中规定的生效之日起生效，两者中以较迟之日为准。</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 合同未尽事项</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23.1合同未尽事项见【政府采购合同专用条款】。</w:t>
      </w:r>
      <w:r/>
    </w:p>
    <w:p>
      <w:pPr>
        <w:pStyle w:val="1031"/>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23.2合同附件与合同正文具有同等的法律效力。</w:t>
      </w:r>
      <w:r/>
    </w:p>
    <w:p>
      <w:pPr>
        <w:pStyle w:val="920"/>
        <w:spacing w:line="400" w:lineRule="exact"/>
        <w:rPr>
          <w:rFonts w:ascii="黑体" w:hAnsi="华文中宋" w:eastAsia="黑体"/>
          <w:b w:val="0"/>
          <w:bCs w:val="0"/>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黑体" w:eastAsia="黑体"/>
          <w:b w:val="0"/>
          <w:bCs w:val="0"/>
          <w:color w:val="000000"/>
          <w:sz w:val="28"/>
          <w:szCs w:val="28"/>
          <w:highlight w:val="none"/>
        </w:rPr>
        <w:t xml:space="preserve">第三节 政府采购合同专用条款</w:t>
      </w:r>
      <w:r/>
    </w:p>
    <w:tbl>
      <w:tblPr>
        <w:tblStyle w:val="748"/>
        <w:tblW w:w="8627"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23"/>
        <w:gridCol w:w="2686"/>
        <w:gridCol w:w="4318"/>
      </w:tblGrid>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第1.2（6）项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联合体具体要求</w:t>
            </w:r>
            <w:r/>
          </w:p>
        </w:tc>
        <w:tc>
          <w:tcPr>
            <w:tcW w:w="4318" w:type="dxa"/>
            <w:vAlign w:val="center"/>
            <w:textDirection w:val="lrTb"/>
            <w:noWrap w:val="false"/>
          </w:tcPr>
          <w:p>
            <w:pPr>
              <w:jc w:val="left"/>
              <w:widowControl/>
              <w:rPr>
                <w:color w:val="000000"/>
                <w:szCs w:val="21"/>
                <w:highlight w:val="none"/>
              </w:rPr>
            </w:pPr>
            <w:r>
              <w:rPr>
                <w:color w:val="000000"/>
                <w:szCs w:val="21"/>
                <w:highlight w:val="none"/>
              </w:rPr>
            </w:r>
            <w:r/>
          </w:p>
        </w:tc>
      </w:tr>
      <w:tr>
        <w:trPr>
          <w:trHeight w:val="604"/>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第1.2（7）项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其他术语解释</w:t>
            </w:r>
            <w:r/>
          </w:p>
        </w:tc>
        <w:tc>
          <w:tcPr>
            <w:tcW w:w="4318" w:type="dxa"/>
            <w:vAlign w:val="center"/>
            <w:textDirection w:val="lrTb"/>
            <w:noWrap w:val="false"/>
          </w:tcPr>
          <w:p>
            <w:pPr>
              <w:jc w:val="left"/>
              <w:widowControl/>
              <w:rPr>
                <w:color w:val="000000"/>
                <w:szCs w:val="21"/>
                <w:highlight w:val="none"/>
              </w:rPr>
            </w:pPr>
            <w:r>
              <w:rPr>
                <w:color w:val="000000"/>
                <w:szCs w:val="21"/>
                <w:highlight w:val="none"/>
              </w:rPr>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第4.4款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履约验收中甲方提出异议或作出说明的期限</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自乙方交付之日起30天</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第4.6款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约定甲方承担的其他义务和责任</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为乙方履行合同提供必要且合理的配合和协助</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rFonts w:ascii="Calibri" w:hAnsi="Calibri"/>
                <w:color w:val="000000"/>
                <w:szCs w:val="21"/>
                <w:highlight w:val="none"/>
              </w:rPr>
            </w:pPr>
            <w:r>
              <w:rPr>
                <w:rFonts w:hint="eastAsia"/>
                <w:color w:val="000000"/>
                <w:szCs w:val="21"/>
                <w:highlight w:val="none"/>
              </w:rPr>
              <w:t xml:space="preserve">第5.4款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约定乙方承担的其他义务和责任</w:t>
            </w:r>
            <w:r/>
          </w:p>
        </w:tc>
        <w:tc>
          <w:tcPr>
            <w:tcW w:w="4318" w:type="dxa"/>
            <w:vAlign w:val="center"/>
            <w:textDirection w:val="lrTb"/>
            <w:noWrap w:val="false"/>
          </w:tcPr>
          <w:p>
            <w:pPr>
              <w:numPr>
                <w:ilvl w:val="0"/>
                <w:numId w:val="8"/>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物</w:t>
            </w:r>
            <w:r>
              <w:rPr>
                <w:rFonts w:hint="eastAsia" w:ascii="宋体" w:hAnsi="宋体" w:cs="宋体"/>
                <w:color w:val="000000"/>
                <w:szCs w:val="21"/>
                <w:highlight w:val="none"/>
              </w:rPr>
              <w:t xml:space="preserve">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p>
          <w:p>
            <w:pPr>
              <w:numPr>
                <w:ilvl w:val="0"/>
                <w:numId w:val="8"/>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应根据甲方的要求（包括招标文件和本合同约定的要求），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w:t>
            </w:r>
            <w:r>
              <w:rPr>
                <w:rFonts w:hint="eastAsia" w:ascii="宋体" w:hAnsi="宋体" w:cs="宋体"/>
                <w:color w:val="000000"/>
                <w:szCs w:val="21"/>
                <w:highlight w:val="none"/>
              </w:rPr>
              <w:t xml:space="preserve">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如因乙方运输、安装、后期维保或产品质量问题而发生事故造成甲方或第三方的人身伤害或财产损失，包括出现质量责任事故导致甲方被第三方索赔或遭受国家有关部门处罚情形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违约金。</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的违约金。若乙方支付的违约金不足以弥补甲方损失的，乙方还须继续承担损失赔偿责任。  </w:t>
            </w:r>
            <w:r/>
          </w:p>
          <w:p>
            <w:pPr>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以上条款中乙方的责任承担期限不受甲方已收货且出具验收确认书的限制。</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p>
          <w:p>
            <w:pPr>
              <w:jc w:val="left"/>
              <w:widowControl/>
              <w:rPr>
                <w:color w:val="000000"/>
                <w:szCs w:val="21"/>
                <w:highlight w:val="none"/>
              </w:rPr>
            </w:pPr>
            <w:r>
              <w:rPr>
                <w:color w:val="000000"/>
                <w:szCs w:val="21"/>
                <w:highlight w:val="none"/>
              </w:rPr>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第6.1款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履行合同义务的顺序</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乙方履行合同义务在先，甲方履行合同义务在后。</w:t>
            </w:r>
            <w:r/>
          </w:p>
        </w:tc>
      </w:tr>
      <w:tr>
        <w:trPr>
          <w:cantSplit/>
          <w:trHeight w:val="667"/>
        </w:trPr>
        <w:tc>
          <w:tcPr>
            <w:tcW w:w="1623" w:type="dxa"/>
            <w:vAlign w:val="center"/>
            <w:vMerge w:val="restart"/>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第7.1款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包装特殊要求</w:t>
            </w:r>
            <w:r/>
          </w:p>
        </w:tc>
        <w:tc>
          <w:tcPr>
            <w:tcW w:w="4318" w:type="dxa"/>
            <w:vAlign w:val="center"/>
            <w:textDirection w:val="lrTb"/>
            <w:noWrap w:val="false"/>
          </w:tcPr>
          <w:p>
            <w:pPr>
              <w:jc w:val="left"/>
              <w:widowControl/>
              <w:rPr>
                <w:rFonts w:ascii="Calibri" w:hAnsi="Calibri"/>
                <w:color w:val="000000"/>
                <w:szCs w:val="21"/>
                <w:highlight w:val="none"/>
              </w:rPr>
            </w:pPr>
            <w:r>
              <w:rPr>
                <w:rFonts w:ascii="Calibri" w:hAnsi="Calibri"/>
                <w:color w:val="000000"/>
                <w:szCs w:val="21"/>
                <w:highlight w:val="none"/>
              </w:rPr>
            </w:r>
            <w:r/>
          </w:p>
        </w:tc>
      </w:tr>
      <w:tr>
        <w:trPr>
          <w:cantSplit/>
          <w:trHeight w:val="667"/>
        </w:trPr>
        <w:tc>
          <w:tcPr>
            <w:tcW w:w="1623" w:type="dxa"/>
            <w:vAlign w:val="center"/>
            <w:vMerge w:val="continue"/>
            <w:textDirection w:val="lrTb"/>
            <w:noWrap w:val="false"/>
          </w:tcPr>
          <w:p>
            <w:pPr>
              <w:jc w:val="center"/>
              <w:widowControl/>
              <w:rPr>
                <w:color w:val="000000"/>
                <w:szCs w:val="21"/>
                <w:highlight w:val="none"/>
              </w:rPr>
            </w:pPr>
            <w:r>
              <w:rPr>
                <w:color w:val="000000"/>
                <w:szCs w:val="21"/>
                <w:highlight w:val="none"/>
              </w:rPr>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指定现场</w:t>
            </w:r>
            <w:r/>
          </w:p>
        </w:tc>
        <w:tc>
          <w:tcPr>
            <w:tcW w:w="4318" w:type="dxa"/>
            <w:vAlign w:val="center"/>
            <w:textDirection w:val="lrTb"/>
            <w:noWrap w:val="false"/>
          </w:tcPr>
          <w:p>
            <w:pPr>
              <w:jc w:val="left"/>
              <w:widowControl/>
              <w:rPr>
                <w:rFonts w:ascii="Calibri" w:hAnsi="Calibri"/>
                <w:color w:val="000000"/>
                <w:szCs w:val="21"/>
                <w:highlight w:val="none"/>
              </w:rPr>
            </w:pPr>
            <w:r>
              <w:rPr>
                <w:rFonts w:hint="eastAsia" w:ascii="Calibri" w:hAnsi="Calibri"/>
                <w:color w:val="000000"/>
                <w:szCs w:val="21"/>
                <w:highlight w:val="none"/>
              </w:rPr>
              <w:t xml:space="preserve">以甲方书面指定地点为准</w:t>
            </w:r>
            <w:r/>
          </w:p>
        </w:tc>
      </w:tr>
      <w:tr>
        <w:trPr>
          <w:trHeight w:val="772"/>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第7.2款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运输特殊要求</w:t>
            </w:r>
            <w:r/>
          </w:p>
        </w:tc>
        <w:tc>
          <w:tcPr>
            <w:tcW w:w="4318" w:type="dxa"/>
            <w:vAlign w:val="center"/>
            <w:textDirection w:val="lrTb"/>
            <w:noWrap w:val="false"/>
          </w:tcPr>
          <w:p>
            <w:pPr>
              <w:jc w:val="left"/>
              <w:widowControl/>
              <w:rPr>
                <w:rFonts w:ascii="Calibri" w:hAnsi="Calibri"/>
                <w:color w:val="000000"/>
                <w:szCs w:val="21"/>
                <w:highlight w:val="none"/>
              </w:rPr>
            </w:pPr>
            <w:r>
              <w:rPr>
                <w:rFonts w:ascii="Calibri" w:hAnsi="Calibri"/>
                <w:color w:val="000000"/>
                <w:szCs w:val="21"/>
                <w:highlight w:val="none"/>
              </w:rPr>
            </w:r>
            <w:r/>
          </w:p>
        </w:tc>
      </w:tr>
      <w:tr>
        <w:trPr>
          <w:trHeight w:val="667"/>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第7.3款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保险要求</w:t>
            </w:r>
            <w:r/>
          </w:p>
        </w:tc>
        <w:tc>
          <w:tcPr>
            <w:tcW w:w="4318" w:type="dxa"/>
            <w:vAlign w:val="center"/>
            <w:textDirection w:val="lrTb"/>
            <w:noWrap w:val="false"/>
          </w:tcPr>
          <w:p>
            <w:pPr>
              <w:jc w:val="left"/>
              <w:widowControl/>
              <w:rPr>
                <w:rFonts w:ascii="Calibri" w:hAnsi="Calibri"/>
                <w:color w:val="000000"/>
                <w:szCs w:val="21"/>
                <w:highlight w:val="none"/>
              </w:rPr>
            </w:pPr>
            <w:r>
              <w:rPr>
                <w:rFonts w:hint="eastAsia"/>
                <w:color w:val="000000"/>
                <w:szCs w:val="21"/>
                <w:highlight w:val="none"/>
              </w:rPr>
              <w:t xml:space="preserve">由乙方自行承担，已包含在合同价款中，甲方不再另行支付。</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第8.2（1）项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质量保证期</w:t>
            </w:r>
            <w:r/>
          </w:p>
        </w:tc>
        <w:tc>
          <w:tcPr>
            <w:tcW w:w="4318" w:type="dxa"/>
            <w:vAlign w:val="center"/>
            <w:textDirection w:val="lrTb"/>
            <w:noWrap w:val="false"/>
          </w:tcPr>
          <w:p>
            <w:pPr>
              <w:jc w:val="left"/>
              <w:widowControl/>
              <w:rPr>
                <w:rFonts w:hint="eastAsia"/>
                <w:color w:val="000000"/>
                <w:szCs w:val="21"/>
                <w:highlight w:val="none"/>
              </w:rPr>
            </w:pPr>
            <w:r>
              <w:rPr>
                <w:rFonts w:ascii="宋体" w:hAnsi="宋体" w:cs="宋体"/>
                <w:color w:val="000000"/>
                <w:szCs w:val="21"/>
                <w:highlight w:val="none"/>
              </w:rPr>
              <w:t xml:space="preserve">自项目验收合格之日起，</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个月</w:t>
            </w:r>
            <w:r>
              <w:rPr>
                <w:rFonts w:hint="eastAsia" w:ascii="宋体" w:hAnsi="宋体" w:cs="宋体"/>
                <w:color w:val="000000"/>
                <w:szCs w:val="21"/>
                <w:highlight w:val="none"/>
              </w:rPr>
              <w:t xml:space="preserve">（招标要求不少于6</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个月）</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第8.2（3）项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货物质量缺陷</w:t>
            </w:r>
            <w:r/>
          </w:p>
          <w:p>
            <w:pPr>
              <w:jc w:val="left"/>
              <w:widowControl/>
              <w:rPr>
                <w:color w:val="000000"/>
                <w:szCs w:val="21"/>
                <w:highlight w:val="none"/>
              </w:rPr>
            </w:pPr>
            <w:r>
              <w:rPr>
                <w:rFonts w:hint="eastAsia"/>
                <w:color w:val="000000"/>
                <w:szCs w:val="21"/>
                <w:highlight w:val="none"/>
              </w:rPr>
              <w:t xml:space="preserve">响应时间</w:t>
            </w:r>
            <w:r/>
          </w:p>
        </w:tc>
        <w:tc>
          <w:tcPr>
            <w:tcW w:w="4318" w:type="dxa"/>
            <w:vAlign w:val="center"/>
            <w:textDirection w:val="lrTb"/>
            <w:noWrap w:val="false"/>
          </w:tcPr>
          <w:p>
            <w:pPr>
              <w:jc w:val="left"/>
              <w:widowControl/>
              <w:rPr>
                <w:rFonts w:hint="eastAsia"/>
                <w:color w:val="000000"/>
                <w:szCs w:val="21"/>
                <w:highlight w:val="none"/>
              </w:rPr>
            </w:pPr>
            <w:r>
              <w:rPr>
                <w:rFonts w:hint="eastAsia" w:ascii="宋体" w:hAnsi="宋体" w:cs="宋体"/>
                <w:color w:val="000000"/>
                <w:szCs w:val="21"/>
                <w:highlight w:val="none"/>
              </w:rPr>
              <w:t xml:space="preserve">质保期内，如在使用过程中发生问题等，则乙方在接到甲方提出的维修维保要求通知后，应于2小时电话响应，对甲方的服务要求提出解决方案，经确认如有需要，技术人员须在24小时内到达甲方现场，并于【2】日内完成维修维保工作；重大问题或其他无法迅速解决的问题应在一周内解决或提出明确解决方案，否则乙方应赔偿甲方相应损失。</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spacing w:line="400" w:lineRule="exact"/>
              <w:widowControl/>
              <w:rPr>
                <w:rFonts w:ascii="华文楷体" w:hAnsi="华文楷体" w:eastAsia="华文楷体" w:cs="华文楷体"/>
                <w:color w:val="000000"/>
                <w:sz w:val="22"/>
                <w:szCs w:val="21"/>
                <w:highlight w:val="none"/>
              </w:rPr>
            </w:pPr>
            <w:r>
              <w:rPr>
                <w:rFonts w:hint="eastAsia"/>
                <w:color w:val="000000"/>
                <w:sz w:val="22"/>
                <w:szCs w:val="21"/>
                <w:highlight w:val="none"/>
              </w:rPr>
              <w:t xml:space="preserve">第11.1款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其他应当保密的信息</w:t>
            </w:r>
            <w:r/>
          </w:p>
        </w:tc>
        <w:tc>
          <w:tcPr>
            <w:tcW w:w="4318" w:type="dxa"/>
            <w:vAlign w:val="center"/>
            <w:textDirection w:val="lrTb"/>
            <w:noWrap w:val="false"/>
          </w:tcPr>
          <w:p>
            <w:pPr>
              <w:jc w:val="left"/>
              <w:widowControl/>
              <w:rPr>
                <w:color w:val="000000"/>
                <w:szCs w:val="21"/>
                <w:highlight w:val="none"/>
              </w:rPr>
            </w:pPr>
            <w:r>
              <w:rPr>
                <w:color w:val="000000"/>
                <w:szCs w:val="21"/>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第12.2款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合同价款支付时间</w:t>
            </w:r>
            <w:r/>
          </w:p>
        </w:tc>
        <w:tc>
          <w:tcPr>
            <w:tcW w:w="4318" w:type="dxa"/>
            <w:vAlign w:val="center"/>
            <w:textDirection w:val="lrTb"/>
            <w:noWrap w:val="false"/>
          </w:tcPr>
          <w:p>
            <w:pPr>
              <w:jc w:val="left"/>
              <w:spacing w:line="378" w:lineRule="exact"/>
              <w:widowControl/>
              <w:rPr>
                <w:rFonts w:hint="eastAsia" w:ascii="宋体" w:hAnsi="宋体" w:cs="宋体"/>
                <w:color w:val="000000"/>
                <w:szCs w:val="21"/>
                <w:highlight w:val="none"/>
              </w:rPr>
            </w:pPr>
            <w:r>
              <w:rPr>
                <w:rFonts w:ascii="宋体" w:hAnsi="宋体" w:cs="宋体"/>
                <w:color w:val="000000"/>
                <w:szCs w:val="21"/>
                <w:highlight w:val="none"/>
              </w:rPr>
              <w:t xml:space="preserve">乙方将全部货物运到甲方指定的交货地点，并按照招标文件、本合同约定及甲方的要求安装调试结束，经甲方最终书面确认验收合格无误后，乙方向甲方提供合法有效的正规增值税发票，甲方在收到发票后1</w:t>
            </w:r>
            <w:r>
              <w:rPr>
                <w:rFonts w:hint="eastAsia" w:ascii="宋体" w:hAnsi="宋体" w:cs="宋体"/>
                <w:color w:val="000000"/>
                <w:szCs w:val="21"/>
                <w:highlight w:val="none"/>
              </w:rPr>
              <w:t xml:space="preserve">0</w:t>
            </w:r>
            <w:r>
              <w:rPr>
                <w:rFonts w:ascii="宋体" w:hAnsi="宋体" w:cs="宋体"/>
                <w:color w:val="000000"/>
                <w:szCs w:val="21"/>
                <w:highlight w:val="none"/>
              </w:rPr>
              <w:t xml:space="preserve">个工作日内向乙方付清应付款项。</w:t>
            </w:r>
            <w:r/>
          </w:p>
          <w:p>
            <w:pPr>
              <w:jc w:val="left"/>
              <w:widowControl/>
              <w:rPr>
                <w:color w:val="000000"/>
                <w:szCs w:val="21"/>
                <w:highlight w:val="none"/>
              </w:rPr>
            </w:pPr>
            <w:r>
              <w:rPr>
                <w:color w:val="000000"/>
                <w:szCs w:val="21"/>
                <w:highlight w:val="none"/>
              </w:rPr>
            </w:r>
            <w:r/>
          </w:p>
        </w:tc>
      </w:tr>
      <w:tr>
        <w:trPr>
          <w:trHeight w:val="697"/>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第13.2款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履约保证金不予退还的情形</w:t>
            </w:r>
            <w:r/>
          </w:p>
        </w:tc>
        <w:tc>
          <w:tcPr>
            <w:tcW w:w="4318" w:type="dxa"/>
            <w:vAlign w:val="center"/>
            <w:textDirection w:val="lrTb"/>
            <w:noWrap w:val="false"/>
          </w:tcPr>
          <w:p>
            <w:pPr>
              <w:jc w:val="left"/>
              <w:widowControl/>
              <w:rPr>
                <w:rFonts w:hint="eastAsia"/>
                <w:color w:val="000000"/>
                <w:szCs w:val="21"/>
                <w:highlight w:val="none"/>
              </w:rPr>
            </w:pPr>
            <w:r>
              <w:rPr>
                <w:rFonts w:hint="eastAsia"/>
                <w:color w:val="000000"/>
                <w:szCs w:val="21"/>
                <w:highlight w:val="none"/>
              </w:rPr>
              <w:t xml:space="preserve">1.未经甲方书面认可，逾期交货；</w:t>
            </w:r>
            <w:r/>
          </w:p>
          <w:p>
            <w:pPr>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2.乙方未能遵守甲方有关管理制度和规定，在货物运输、安装调试、维修维保等过程中未服从甲方管理，给甲方或第三人造成伤害或财产损失，如履约保证金不足以弥补甲方和第三人的损失，乙方承担继续赔偿责任。</w:t>
            </w:r>
            <w:r/>
          </w:p>
          <w:p>
            <w:pPr>
              <w:jc w:val="left"/>
              <w:widowControl/>
              <w:rPr>
                <w:color w:val="000000"/>
                <w:szCs w:val="21"/>
                <w:highlight w:val="none"/>
              </w:rPr>
            </w:pPr>
            <w:r>
              <w:rPr>
                <w:rFonts w:hint="eastAsia"/>
                <w:color w:val="000000"/>
                <w:szCs w:val="21"/>
                <w:highlight w:val="none"/>
              </w:rPr>
              <w:t xml:space="preserve">3.乙方不参与验收、故意拖延验收，货物验收不合格。</w:t>
            </w:r>
            <w:r/>
          </w:p>
          <w:p>
            <w:pPr>
              <w:jc w:val="left"/>
              <w:widowControl/>
              <w:rPr>
                <w:color w:val="000000"/>
                <w:szCs w:val="21"/>
                <w:highlight w:val="none"/>
              </w:rPr>
            </w:pPr>
            <w:r>
              <w:rPr>
                <w:rFonts w:hint="eastAsia"/>
                <w:color w:val="000000"/>
                <w:szCs w:val="21"/>
                <w:highlight w:val="none"/>
              </w:rPr>
              <w:t xml:space="preserve">4.乙方未及时按招标文件、投标文件和合同约定提供货物质保服务。</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第13.3款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履约保证金退还时间及逾期退还的违约金</w:t>
            </w:r>
            <w:r/>
          </w:p>
        </w:tc>
        <w:tc>
          <w:tcPr>
            <w:tcW w:w="4318" w:type="dxa"/>
            <w:vAlign w:val="center"/>
            <w:textDirection w:val="lrTb"/>
            <w:noWrap w:val="false"/>
          </w:tcPr>
          <w:p>
            <w:pPr>
              <w:jc w:val="left"/>
              <w:widowControl/>
              <w:rPr>
                <w:rFonts w:hint="eastAsia"/>
                <w:color w:val="000000"/>
                <w:szCs w:val="21"/>
                <w:highlight w:val="none"/>
              </w:rPr>
            </w:pPr>
            <w:r>
              <w:rPr>
                <w:rFonts w:hint="eastAsia"/>
                <w:color w:val="000000"/>
                <w:szCs w:val="21"/>
                <w:highlight w:val="none"/>
              </w:rPr>
              <w:t xml:space="preserve">1.</w:t>
            </w:r>
            <w:r>
              <w:rPr>
                <w:color w:val="000000"/>
                <w:szCs w:val="21"/>
                <w:highlight w:val="none"/>
              </w:rPr>
              <w:t xml:space="preserve">自甲方最终书面确认验收合格之日起算【12】个月后，甲方确认无质量问题且乙方无违约情形后将履约保证金无息退还给乙方。</w:t>
            </w:r>
            <w:r>
              <w:rPr>
                <w:rFonts w:hint="eastAsia"/>
                <w:color w:val="000000"/>
                <w:szCs w:val="21"/>
                <w:highlight w:val="none"/>
              </w:rPr>
              <w:t xml:space="preserve">具体退还时间以甲方内部审批流程通过后实际退还的时间为准。</w:t>
            </w:r>
            <w:r/>
          </w:p>
          <w:p>
            <w:pPr>
              <w:rPr>
                <w:color w:val="000000"/>
                <w:szCs w:val="21"/>
                <w:highlight w:val="none"/>
              </w:rPr>
            </w:pPr>
            <w:r>
              <w:rPr>
                <w:rFonts w:hint="eastAsia"/>
                <w:color w:val="000000"/>
                <w:szCs w:val="21"/>
                <w:highlight w:val="none"/>
              </w:rPr>
              <w:t xml:space="preserve">2.无逾期退还履约保证金的违约金。</w:t>
            </w:r>
            <w:r/>
          </w:p>
        </w:tc>
      </w:tr>
      <w:tr>
        <w:trPr>
          <w:trHeight w:val="784"/>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第14.1（3）项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运行监督、维修期限</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按招标文件的要求和乙方投标响应执行，具体如下：</w:t>
            </w:r>
            <w:r/>
          </w:p>
          <w:p>
            <w:pPr>
              <w:jc w:val="left"/>
              <w:widowControl/>
              <w:rPr>
                <w:color w:val="000000"/>
                <w:szCs w:val="21"/>
                <w:highlight w:val="none"/>
              </w:rPr>
            </w:pPr>
            <w:r>
              <w:rPr>
                <w:rFonts w:hint="eastAsia"/>
                <w:color w:val="000000"/>
                <w:szCs w:val="21"/>
                <w:highlight w:val="none"/>
              </w:rPr>
              <w:t xml:space="preserve">【     】</w:t>
            </w:r>
            <w:r/>
          </w:p>
        </w:tc>
      </w:tr>
      <w:tr>
        <w:trPr>
          <w:trHeight w:val="784"/>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第14.1（5）项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货物回收的约定</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按相关法律法规执行。</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第14.1（6）项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乙方提供的其他服务</w:t>
            </w:r>
            <w:r/>
          </w:p>
        </w:tc>
        <w:tc>
          <w:tcPr>
            <w:tcW w:w="4318" w:type="dxa"/>
            <w:vAlign w:val="center"/>
            <w:textDirection w:val="lrTb"/>
            <w:noWrap w:val="false"/>
          </w:tcPr>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2.质保和售后服务：乙方保证按本合同约定以及投标响应文件的服务承诺履行质保和售后服务义务，其中免费质保期为【  5 】年，自甲方最终书面确认验收合</w:t>
            </w:r>
            <w:r>
              <w:rPr>
                <w:rFonts w:hint="eastAsia" w:ascii="宋体" w:hAnsi="宋体" w:cs="宋体"/>
                <w:color w:val="000000"/>
                <w:szCs w:val="21"/>
                <w:highlight w:val="none"/>
              </w:rPr>
              <w:t xml:space="preserve">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售后服务响应时间：乙方应在国内有专门负责的维修工程师或技术支持工程师。质保期内，如在使用过程中发生问题等，则乙方在接到甲方提出的维修维保要求通知后，应于2小时电话响应，对甲方的服务要求提出解决方案，经确认如有需要，技术人员须在24小时内到达甲方现场，并于【  】日内完成维修维保工作；重大问题或其他无法迅速</w:t>
            </w:r>
            <w:r>
              <w:rPr>
                <w:rFonts w:hint="eastAsia" w:ascii="宋体" w:hAnsi="宋体" w:cs="宋体"/>
                <w:color w:val="000000"/>
                <w:szCs w:val="21"/>
                <w:highlight w:val="none"/>
              </w:rPr>
              <w:t xml:space="preserve">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r/>
          </w:p>
          <w:p>
            <w:pPr>
              <w:jc w:val="left"/>
              <w:spacing w:line="360" w:lineRule="auto"/>
              <w:rPr>
                <w:rFonts w:hint="eastAsia" w:ascii="宋体" w:hAnsi="宋体" w:cs="宋体"/>
                <w:color w:val="000000"/>
                <w:szCs w:val="21"/>
                <w:highlight w:val="none"/>
              </w:rPr>
            </w:pPr>
            <w:r>
              <w:rPr>
                <w:rFonts w:hint="eastAsia"/>
                <w:b/>
                <w:bCs/>
                <w:color w:val="000000"/>
                <w:szCs w:val="21"/>
                <w:highlight w:val="none"/>
              </w:rPr>
              <w:t xml:space="preserve">4.乙方应按投标响应文件的售后服务响应和承诺提供售后服务、维修保养服务等。</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第15.1款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修理、重作、更换相关具体规定</w:t>
            </w:r>
            <w:r/>
          </w:p>
        </w:tc>
        <w:tc>
          <w:tcPr>
            <w:tcW w:w="4318" w:type="dxa"/>
            <w:vAlign w:val="center"/>
            <w:textDirection w:val="lrTb"/>
            <w:noWrap w:val="false"/>
          </w:tcPr>
          <w:p>
            <w:pPr>
              <w:jc w:val="left"/>
              <w:widowControl/>
              <w:rPr>
                <w:color w:val="000000"/>
                <w:szCs w:val="21"/>
                <w:highlight w:val="none"/>
              </w:rPr>
            </w:pPr>
            <w:r>
              <w:rPr>
                <w:color w:val="000000"/>
                <w:szCs w:val="21"/>
                <w:highlight w:val="none"/>
              </w:rPr>
              <w:t xml:space="preserve">乙方提供的货物在质量期内因货物本身的质量问题发生故障，乙方应负责免费更换。对达不到技术要求者，根据实际情况，经双方协商，可按以下办法处理：</w:t>
            </w:r>
            <w:r/>
          </w:p>
          <w:p>
            <w:pPr>
              <w:jc w:val="left"/>
              <w:widowControl/>
              <w:rPr>
                <w:color w:val="000000"/>
                <w:szCs w:val="21"/>
                <w:highlight w:val="none"/>
              </w:rPr>
            </w:pPr>
            <w:r>
              <w:rPr>
                <w:rFonts w:hint="eastAsia"/>
                <w:color w:val="000000"/>
                <w:szCs w:val="21"/>
                <w:highlight w:val="none"/>
              </w:rPr>
              <w:t xml:space="preserve">（1）</w:t>
            </w:r>
            <w:r>
              <w:rPr>
                <w:color w:val="000000"/>
                <w:szCs w:val="21"/>
                <w:highlight w:val="none"/>
              </w:rPr>
              <w:t xml:space="preserve">更换：由乙方承担所发生的全部费用。</w:t>
            </w:r>
            <w:r/>
          </w:p>
          <w:p>
            <w:pPr>
              <w:jc w:val="left"/>
              <w:widowControl/>
              <w:rPr>
                <w:color w:val="000000"/>
                <w:szCs w:val="21"/>
                <w:highlight w:val="none"/>
              </w:rPr>
            </w:pPr>
            <w:r>
              <w:rPr>
                <w:rFonts w:hint="eastAsia"/>
                <w:color w:val="000000"/>
                <w:szCs w:val="21"/>
                <w:highlight w:val="none"/>
              </w:rPr>
              <w:t xml:space="preserve">（2）</w:t>
            </w:r>
            <w:r>
              <w:rPr>
                <w:color w:val="000000"/>
                <w:szCs w:val="21"/>
                <w:highlight w:val="none"/>
              </w:rPr>
              <w:t xml:space="preserve">贬值处理：由甲乙双方合议定价。</w:t>
            </w:r>
            <w:r/>
          </w:p>
          <w:p>
            <w:pPr>
              <w:jc w:val="left"/>
              <w:widowControl/>
              <w:rPr>
                <w:color w:val="000000"/>
                <w:szCs w:val="21"/>
                <w:highlight w:val="none"/>
              </w:rPr>
            </w:pPr>
            <w:r>
              <w:rPr>
                <w:rFonts w:hint="eastAsia"/>
                <w:color w:val="000000"/>
                <w:szCs w:val="21"/>
                <w:highlight w:val="none"/>
              </w:rPr>
              <w:t xml:space="preserve">（3）</w:t>
            </w:r>
            <w:r>
              <w:rPr>
                <w:color w:val="000000"/>
                <w:szCs w:val="21"/>
                <w:highlight w:val="none"/>
              </w:rPr>
              <w:t xml:space="preserve">退货处理：乙方应退还甲方支付的合同款，同时应承担该货物的直接费用（运输、保险、检验、货款利息及银行手续费等）。</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第15.2（2）项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迟延交货赔偿费</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（1）</w:t>
            </w:r>
            <w:r>
              <w:rPr>
                <w:color w:val="000000"/>
                <w:szCs w:val="21"/>
                <w:highlight w:val="none"/>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15%的违约金，如造成甲方损失超过违约金的，超出部分由乙方继续承担赔偿责任。 </w:t>
            </w:r>
            <w:r/>
          </w:p>
          <w:p>
            <w:pPr>
              <w:jc w:val="left"/>
              <w:widowControl/>
              <w:rPr>
                <w:color w:val="000000"/>
                <w:szCs w:val="21"/>
                <w:highlight w:val="none"/>
                <w:u w:val="single"/>
              </w:rPr>
            </w:pPr>
            <w:r>
              <w:rPr>
                <w:rFonts w:hint="eastAsia"/>
                <w:color w:val="000000"/>
                <w:szCs w:val="21"/>
                <w:highlight w:val="none"/>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第15.3款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逾期付款利息</w:t>
            </w:r>
            <w:r/>
          </w:p>
        </w:tc>
        <w:tc>
          <w:tcPr>
            <w:tcW w:w="4318" w:type="dxa"/>
            <w:vAlign w:val="center"/>
            <w:textDirection w:val="lrTb"/>
            <w:noWrap w:val="false"/>
          </w:tcPr>
          <w:p>
            <w:pPr>
              <w:jc w:val="left"/>
              <w:widowControl/>
              <w:rPr>
                <w:color w:val="000000"/>
                <w:szCs w:val="21"/>
                <w:highlight w:val="none"/>
                <w:u w:val="single"/>
              </w:rPr>
            </w:pPr>
            <w:r>
              <w:rPr>
                <w:rFonts w:hint="eastAsia"/>
                <w:color w:val="000000"/>
                <w:szCs w:val="21"/>
                <w:highlight w:val="none"/>
              </w:rPr>
              <w:t xml:space="preserve">乙方</w:t>
            </w:r>
            <w:r>
              <w:rPr>
                <w:color w:val="000000"/>
                <w:szCs w:val="21"/>
                <w:highlight w:val="none"/>
              </w:rPr>
              <w:t xml:space="preserve">理解</w:t>
            </w:r>
            <w:r>
              <w:rPr>
                <w:rFonts w:hint="eastAsia"/>
                <w:color w:val="000000"/>
                <w:szCs w:val="21"/>
                <w:highlight w:val="none"/>
              </w:rPr>
              <w:t xml:space="preserve">甲方</w:t>
            </w:r>
            <w:r>
              <w:rPr>
                <w:color w:val="000000"/>
                <w:szCs w:val="21"/>
                <w:highlight w:val="none"/>
              </w:rPr>
              <w:t xml:space="preserve">高校</w:t>
            </w:r>
            <w:r>
              <w:rPr>
                <w:rFonts w:hint="eastAsia"/>
                <w:color w:val="000000"/>
                <w:szCs w:val="21"/>
                <w:highlight w:val="none"/>
              </w:rPr>
              <w:t xml:space="preserve">财务制度</w:t>
            </w:r>
            <w:r>
              <w:rPr>
                <w:color w:val="000000"/>
                <w:szCs w:val="21"/>
                <w:highlight w:val="none"/>
              </w:rPr>
              <w:t xml:space="preserve">的特殊性，自愿放弃</w:t>
            </w:r>
            <w:r>
              <w:rPr>
                <w:rFonts w:hint="eastAsia"/>
                <w:color w:val="000000"/>
                <w:szCs w:val="21"/>
                <w:highlight w:val="none"/>
              </w:rPr>
              <w:t xml:space="preserve">向甲方主张逾期付款利息</w:t>
            </w:r>
            <w:r>
              <w:rPr>
                <w:color w:val="000000"/>
                <w:szCs w:val="21"/>
                <w:highlight w:val="none"/>
              </w:rPr>
              <w:t xml:space="preserve">。</w:t>
            </w:r>
            <w:r/>
          </w:p>
        </w:tc>
      </w:tr>
      <w:tr>
        <w:trPr>
          <w:trHeight w:val="87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第15.4款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其他违约责任</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（1）</w:t>
            </w:r>
            <w:r>
              <w:rPr>
                <w:color w:val="000000"/>
                <w:szCs w:val="21"/>
                <w:highlight w:val="none"/>
              </w:rPr>
              <w:t xml:space="preserve">乙方如有转包或未经甲方同意的分包行为</w:t>
            </w:r>
            <w:r>
              <w:rPr>
                <w:rFonts w:hint="eastAsia"/>
                <w:color w:val="000000"/>
                <w:szCs w:val="21"/>
                <w:highlight w:val="none"/>
              </w:rPr>
              <w:t xml:space="preserve">，则构成乙方违约，甲方有权单方解除合同，并没收乙方履约保证金。</w:t>
            </w:r>
            <w:r/>
          </w:p>
          <w:p>
            <w:pPr>
              <w:jc w:val="left"/>
              <w:widowControl/>
              <w:rPr>
                <w:color w:val="000000"/>
                <w:szCs w:val="21"/>
                <w:highlight w:val="none"/>
              </w:rPr>
            </w:pPr>
            <w:r>
              <w:rPr>
                <w:rFonts w:hint="eastAsia"/>
                <w:color w:val="000000"/>
                <w:szCs w:val="21"/>
                <w:highlight w:val="none"/>
              </w:rPr>
              <w:t xml:space="preserve">（2）如因乙方运输、安装、后期维保或产品质量问题而发生事故造成甲方或第三方的人身伤害或财产损失的，包括质量责任事故导致甲方被第三方索赔或遭受国家有关部门处罚，凡经国家认可的技术监督部门或专业检测机构认定是乙方责任的，则构成乙方违约，乙方应承担全部赔偿责任，包括对甲方及第三方因此蒙受的所有直接或者间接的损失；同时，造成本合同项下及甲方物品损毁的，乙方负责恢复原样，如无法复原则按被损坏物品市场价格向甲方进行赔偿，并向甲方支付合同价10%的违约金。</w:t>
            </w:r>
            <w:r/>
          </w:p>
          <w:p>
            <w:pPr>
              <w:jc w:val="left"/>
              <w:widowControl/>
              <w:rPr>
                <w:color w:val="000000"/>
                <w:szCs w:val="21"/>
                <w:highlight w:val="none"/>
              </w:rPr>
            </w:pPr>
            <w:r>
              <w:rPr>
                <w:rFonts w:hint="eastAsia"/>
                <w:color w:val="000000"/>
                <w:szCs w:val="21"/>
                <w:highlight w:val="none"/>
              </w:rPr>
              <w:t xml:space="preserve">（3）产品因质量问题、产品故障或可归责于乙方的其他原因给甲方的使用造成不便的或任何不足的，包括乙方或乙方委托的维保机构不能及时进行提供质保服务、或维修维保服务等方面存在欠缺等情形，则构成乙方违约，除由乙方或乙方委托的维保机构根据甲方的具体要求对相关产品进行免费维修或更换、提供维保服务外，每发生一次，乙方还应向甲方支付2000.00元违约金，甲方有权从履约保证金中扣除前述违约金，履约保证金不足扣除或已退还乙方的，甲方有权要求乙方继续支付。</w:t>
            </w:r>
            <w:r/>
          </w:p>
          <w:p>
            <w:pPr>
              <w:jc w:val="left"/>
              <w:widowControl/>
              <w:rPr>
                <w:color w:val="000000"/>
                <w:szCs w:val="21"/>
                <w:highlight w:val="none"/>
              </w:rPr>
            </w:pPr>
            <w:r>
              <w:rPr>
                <w:rFonts w:hint="eastAsia"/>
                <w:color w:val="000000"/>
                <w:szCs w:val="21"/>
                <w:highlight w:val="none"/>
              </w:rPr>
              <w:t xml:space="preserve">（4）如因产品质量问题，致使设备不能有效使用运转时长超过48小时，则构成乙方违约，乙方自自设备不能有效使用运转之日起，乙方应按每日2000.00元向甲方支付违约金，直至设备恢复正常使用之日。</w:t>
            </w:r>
            <w:r/>
          </w:p>
          <w:p>
            <w:pPr>
              <w:jc w:val="left"/>
              <w:widowControl/>
              <w:rPr>
                <w:color w:val="000000"/>
                <w:szCs w:val="21"/>
                <w:highlight w:val="none"/>
                <w:u w:val="single"/>
              </w:rPr>
            </w:pPr>
            <w:r>
              <w:rPr>
                <w:rFonts w:hint="eastAsia"/>
                <w:color w:val="000000"/>
                <w:szCs w:val="21"/>
                <w:highlight w:val="none"/>
              </w:rPr>
              <w:t xml:space="preserve">（5）乙方未能按照本合同要求提供相应质保服务的，甲方有权将乙方列入采购黑名单，以后将不予合作。</w:t>
            </w:r>
            <w:r/>
          </w:p>
        </w:tc>
      </w:tr>
      <w:tr>
        <w:trPr>
          <w:trHeight w:val="90"/>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第19.2款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解决争议的方法</w:t>
            </w:r>
            <w:r/>
          </w:p>
        </w:tc>
        <w:tc>
          <w:tcPr>
            <w:tcW w:w="4318" w:type="dxa"/>
            <w:vAlign w:val="center"/>
            <w:textDirection w:val="lrTb"/>
            <w:noWrap w:val="false"/>
          </w:tcPr>
          <w:p>
            <w:pPr>
              <w:jc w:val="left"/>
              <w:spacing w:line="400" w:lineRule="exact"/>
              <w:widowControl/>
              <w:rPr>
                <w:iCs/>
                <w:color w:val="000000"/>
                <w:szCs w:val="21"/>
                <w:highlight w:val="none"/>
              </w:rPr>
            </w:pPr>
            <w:r>
              <w:rPr>
                <w:rFonts w:hint="eastAsia"/>
                <w:iCs/>
                <w:color w:val="000000"/>
                <w:szCs w:val="21"/>
                <w:highlight w:val="none"/>
              </w:rPr>
              <w:t xml:space="preserve">因本合同及合同有关事项发生的争议，按下列第</w:t>
            </w:r>
            <w:r>
              <w:rPr>
                <w:rFonts w:hint="eastAsia"/>
                <w:iCs/>
                <w:color w:val="000000"/>
                <w:szCs w:val="21"/>
                <w:highlight w:val="none"/>
                <w:u w:val="single"/>
              </w:rPr>
              <w:t xml:space="preserve"> （2） </w:t>
            </w:r>
            <w:r>
              <w:rPr>
                <w:rFonts w:hint="eastAsia"/>
                <w:iCs/>
                <w:color w:val="000000"/>
                <w:szCs w:val="21"/>
                <w:highlight w:val="none"/>
              </w:rPr>
              <w:t xml:space="preserve">种方式解决：</w:t>
            </w:r>
            <w:r/>
          </w:p>
          <w:p>
            <w:pPr>
              <w:jc w:val="left"/>
              <w:spacing w:line="400" w:lineRule="exact"/>
              <w:widowControl/>
              <w:rPr>
                <w:iCs/>
                <w:color w:val="000000"/>
                <w:szCs w:val="21"/>
                <w:highlight w:val="none"/>
              </w:rPr>
            </w:pPr>
            <w:r>
              <w:rPr>
                <w:rFonts w:hint="eastAsia"/>
                <w:iCs/>
                <w:color w:val="000000"/>
                <w:szCs w:val="21"/>
                <w:highlight w:val="none"/>
              </w:rPr>
              <w:t xml:space="preserve">（1）向仲裁委员会申请仲裁，仲裁地点为</w:t>
            </w:r>
            <w:r>
              <w:rPr>
                <w:rFonts w:hint="eastAsia"/>
                <w:iCs/>
                <w:color w:val="000000"/>
                <w:szCs w:val="21"/>
                <w:highlight w:val="none"/>
                <w:u w:val="single"/>
              </w:rPr>
              <w:t xml:space="preserve"> </w:t>
            </w:r>
            <w:r>
              <w:rPr>
                <w:rFonts w:hint="eastAsia"/>
                <w:iCs/>
                <w:color w:val="000000"/>
                <w:szCs w:val="21"/>
                <w:highlight w:val="none"/>
              </w:rPr>
              <w:t xml:space="preserve">；</w:t>
            </w:r>
            <w:r/>
          </w:p>
          <w:p>
            <w:pPr>
              <w:jc w:val="left"/>
              <w:widowControl/>
              <w:rPr>
                <w:color w:val="000000"/>
                <w:szCs w:val="21"/>
                <w:highlight w:val="none"/>
                <w:u w:val="single"/>
              </w:rPr>
            </w:pPr>
            <w:r>
              <w:rPr>
                <w:rFonts w:hint="eastAsia"/>
                <w:iCs/>
                <w:color w:val="000000"/>
                <w:szCs w:val="21"/>
                <w:highlight w:val="none"/>
              </w:rPr>
              <w:t xml:space="preserve">（2）向</w:t>
            </w:r>
            <w:r>
              <w:rPr>
                <w:rFonts w:hint="eastAsia"/>
                <w:iCs/>
                <w:color w:val="000000"/>
                <w:szCs w:val="21"/>
                <w:highlight w:val="none"/>
                <w:u w:val="single"/>
              </w:rPr>
              <w:t xml:space="preserve">甲方所在地</w:t>
            </w:r>
            <w:r>
              <w:rPr>
                <w:rFonts w:hint="eastAsia"/>
                <w:iCs/>
                <w:color w:val="000000"/>
                <w:szCs w:val="21"/>
                <w:highlight w:val="none"/>
              </w:rPr>
              <w:t xml:space="preserve">人民法院起诉。</w:t>
            </w:r>
            <w:r/>
          </w:p>
        </w:tc>
      </w:tr>
      <w:tr>
        <w:trPr>
          <w:trHeight w:val="770"/>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第23.1款</w:t>
            </w:r>
            <w:r/>
          </w:p>
        </w:tc>
        <w:tc>
          <w:tcPr>
            <w:tcW w:w="2686" w:type="dxa"/>
            <w:vAlign w:val="center"/>
            <w:textDirection w:val="lrTb"/>
            <w:noWrap w:val="false"/>
          </w:tcPr>
          <w:p>
            <w:pPr>
              <w:jc w:val="left"/>
              <w:widowControl/>
              <w:rPr>
                <w:color w:val="000000"/>
                <w:szCs w:val="21"/>
                <w:highlight w:val="none"/>
              </w:rPr>
            </w:pPr>
            <w:r>
              <w:rPr>
                <w:rFonts w:hint="eastAsia"/>
                <w:bCs/>
                <w:color w:val="000000"/>
                <w:szCs w:val="21"/>
                <w:highlight w:val="none"/>
              </w:rPr>
              <w:t xml:space="preserve">其他专用条款</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1</w:t>
            </w:r>
            <w:r>
              <w:rPr>
                <w:rFonts w:hint="eastAsia"/>
                <w:b/>
                <w:bCs/>
                <w:color w:val="000000"/>
                <w:szCs w:val="21"/>
                <w:highlight w:val="none"/>
              </w:rPr>
              <w:t xml:space="preserve">.</w:t>
            </w:r>
            <w:r>
              <w:rPr>
                <w:rFonts w:hint="eastAsia"/>
                <w:color w:val="000000"/>
                <w:szCs w:val="21"/>
                <w:highlight w:val="none"/>
              </w:rPr>
              <w:t xml:space="preserve">乙方应于签订合同之日起【  】个日历天内完成供货、安装、调试、交付甲方。</w:t>
            </w:r>
            <w:r/>
          </w:p>
          <w:p>
            <w:pPr>
              <w:jc w:val="left"/>
              <w:spacing w:line="378" w:lineRule="exact"/>
              <w:widowControl/>
              <w:rPr>
                <w:color w:val="000000"/>
                <w:szCs w:val="21"/>
                <w:highlight w:val="none"/>
              </w:rPr>
            </w:pPr>
            <w:r>
              <w:rPr>
                <w:rFonts w:hint="eastAsia" w:ascii="宋体" w:hAnsi="宋体" w:cs="宋体"/>
                <w:color w:val="000000"/>
                <w:szCs w:val="21"/>
                <w:highlight w:val="none"/>
              </w:rPr>
              <w:t xml:space="preserve">2.【         】</w:t>
            </w:r>
            <w:r>
              <w:rPr>
                <w:rFonts w:ascii="宋体" w:hAnsi="宋体" w:cs="宋体"/>
                <w:color w:val="000000"/>
                <w:szCs w:val="21"/>
                <w:highlight w:val="none"/>
              </w:rPr>
              <w:t xml:space="preserve">。</w:t>
            </w:r>
            <w:r/>
          </w:p>
          <w:p>
            <w:pPr>
              <w:jc w:val="left"/>
              <w:widowControl/>
              <w:rPr>
                <w:color w:val="000000"/>
                <w:szCs w:val="21"/>
                <w:highlight w:val="none"/>
              </w:rPr>
            </w:pPr>
            <w:r>
              <w:rPr>
                <w:color w:val="000000"/>
                <w:szCs w:val="21"/>
                <w:highlight w:val="none"/>
              </w:rPr>
            </w:r>
            <w:r/>
          </w:p>
        </w:tc>
      </w:tr>
    </w:tbl>
    <w:p>
      <w:pPr>
        <w:pStyle w:val="920"/>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br w:type="page" w:clear="all"/>
      </w:r>
      <w:r>
        <w:rPr>
          <w:rFonts w:hint="eastAsia" w:ascii="黑体" w:hAnsi="黑体" w:eastAsia="黑体"/>
          <w:b w:val="0"/>
          <w:bCs w:val="0"/>
          <w:color w:val="000000"/>
          <w:sz w:val="28"/>
          <w:szCs w:val="28"/>
          <w:highlight w:val="none"/>
        </w:rPr>
        <w:t xml:space="preserve">第</w:t>
      </w:r>
      <w:bookmarkEnd w:id="53"/>
      <w:r>
        <w:rPr>
          <w:rFonts w:hint="eastAsia" w:ascii="黑体" w:hAnsi="黑体" w:eastAsia="黑体"/>
          <w:b w:val="0"/>
          <w:bCs w:val="0"/>
          <w:color w:val="000000"/>
          <w:sz w:val="28"/>
          <w:szCs w:val="28"/>
          <w:highlight w:val="none"/>
        </w:rPr>
        <w:t xml:space="preserve">四章 采购需求</w:t>
      </w:r>
      <w:bookmarkEnd w:id="54"/>
      <w:r/>
      <w:bookmarkEnd w:id="55"/>
      <w:r/>
      <w:bookmarkEnd w:id="56"/>
      <w:r/>
      <w:r/>
    </w:p>
    <w:p>
      <w:pPr>
        <w:pStyle w:val="920"/>
        <w:jc w:val="left"/>
        <w:spacing w:line="400" w:lineRule="exact"/>
        <w:rPr>
          <w:rFonts w:hint="eastAsia" w:ascii="黑体" w:hAnsi="黑体" w:eastAsia="黑体"/>
          <w:b w:val="0"/>
          <w:bCs w:val="0"/>
          <w:color w:val="000000"/>
          <w:sz w:val="28"/>
          <w:szCs w:val="28"/>
          <w:highlight w:val="none"/>
        </w:rPr>
      </w:pPr>
      <w:r/>
      <w:bookmarkStart w:id="59" w:name="_Toc26554093"/>
      <w:r/>
      <w:bookmarkStart w:id="60" w:name="_Toc49090575"/>
      <w:r>
        <w:rPr>
          <w:rFonts w:hint="eastAsia" w:ascii="黑体" w:hAnsi="黑体" w:eastAsia="黑体"/>
          <w:b w:val="0"/>
          <w:bCs w:val="0"/>
          <w:color w:val="000000"/>
          <w:sz w:val="28"/>
          <w:szCs w:val="28"/>
          <w:highlight w:val="none"/>
        </w:rPr>
        <w:t xml:space="preserve">一、采购标的清单</w:t>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jc w:val="center"/>
          <w:trHeight w:val="701"/>
        </w:trPr>
        <w:tc>
          <w:tcPr>
            <w:tcW w:w="790"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132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292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采购标的</w:t>
            </w:r>
            <w:r/>
          </w:p>
        </w:tc>
        <w:tc>
          <w:tcPr>
            <w:tcW w:w="2677"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对应中小企业划分标准所属行业</w:t>
            </w:r>
            <w:r/>
          </w:p>
        </w:tc>
      </w:tr>
      <w:tr>
        <w:trPr>
          <w:cantSplit/>
          <w:jc w:val="center"/>
          <w:trHeight w:val="291"/>
        </w:trPr>
        <w:tc>
          <w:tcPr>
            <w:tcW w:w="790"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eastAsia="方正仿宋_GBK"/>
                <w:color w:val="000000"/>
                <w:sz w:val="28"/>
                <w:szCs w:val="28"/>
                <w:highlight w:val="none"/>
              </w:rPr>
              <w:t xml:space="preserve">XX</w:t>
            </w:r>
            <w:r/>
          </w:p>
        </w:tc>
        <w:tc>
          <w:tcPr>
            <w:tcW w:w="132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2929"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高性能GPU服务器</w:t>
            </w:r>
            <w:r/>
          </w:p>
        </w:tc>
        <w:tc>
          <w:tcPr>
            <w:tcW w:w="2677" w:type="dxa"/>
            <w:textDirection w:val="lrTb"/>
            <w:noWrap w:val="false"/>
          </w:tcPr>
          <w:p>
            <w:pPr>
              <w:jc w:val="center"/>
              <w:spacing w:line="4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工业</w:t>
            </w:r>
            <w:r/>
          </w:p>
        </w:tc>
      </w:tr>
    </w:tbl>
    <w:p>
      <w:pPr>
        <w:pStyle w:val="920"/>
        <w:jc w:val="left"/>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二、政府采购中实施本国产品标准及相关政策</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0"/>
        <w:jc w:val="left"/>
        <w:spacing w:before="0" w:after="0"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三、技术要求</w:t>
      </w:r>
      <w:r/>
    </w:p>
    <w:p>
      <w:pPr>
        <w:ind w:firstLine="560"/>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为实质性要求。</w:t>
      </w:r>
      <w:r/>
    </w:p>
    <w:p>
      <w:pPr>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包括但不限于：主要用途、技术方案（配置）、工艺要求、技术指标、技术规格以及相关图纸等。</w:t>
      </w:r>
      <w:r/>
    </w:p>
    <w:p>
      <w:pPr>
        <w:ind w:firstLine="280"/>
        <w:jc w:val="left"/>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（一）硬件配置</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1、机架式GPU服务器，采用单路X86服务器处理器与多GPU异构计算架构。配置不少于</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颗X86系列服务器CPU，单颗核心数不低于48核，主频不低于2.1GHz；支持DDR5 ECC REG RDIMM内存，内存插槽不少于</w:t>
      </w:r>
      <w:r>
        <w:rPr>
          <w:rFonts w:hint="eastAsia" w:ascii="方正仿宋_GBK" w:hAnsi="方正仿宋_GBK" w:eastAsia="方正仿宋_GBK" w:cs="方正仿宋_GBK"/>
          <w:color w:val="000000"/>
          <w:sz w:val="28"/>
          <w:szCs w:val="28"/>
          <w:highlight w:val="none"/>
          <w:lang w:val="en-US" w:eastAsia="zh-CN"/>
        </w:rPr>
        <w:t xml:space="preserve">8</w:t>
      </w:r>
      <w:r>
        <w:rPr>
          <w:rFonts w:hint="eastAsia" w:ascii="方正仿宋_GBK" w:hAnsi="方正仿宋_GBK" w:eastAsia="方正仿宋_GBK" w:cs="方正仿宋_GBK"/>
          <w:color w:val="000000"/>
          <w:sz w:val="28"/>
          <w:szCs w:val="28"/>
          <w:highlight w:val="none"/>
        </w:rPr>
        <w:t xml:space="preserve">个，实配内存容量不低于</w:t>
      </w:r>
      <w:r>
        <w:rPr>
          <w:rFonts w:hint="eastAsia" w:ascii="方正仿宋_GBK" w:hAnsi="方正仿宋_GBK" w:eastAsia="方正仿宋_GBK" w:cs="方正仿宋_GBK"/>
          <w:color w:val="000000"/>
          <w:sz w:val="28"/>
          <w:szCs w:val="28"/>
          <w:highlight w:val="none"/>
          <w:lang w:val="en-US" w:eastAsia="zh-CN"/>
        </w:rPr>
        <w:t xml:space="preserve">512GB</w:t>
      </w:r>
      <w:r>
        <w:rPr>
          <w:rFonts w:hint="eastAsia" w:ascii="方正仿宋_GBK" w:hAnsi="方正仿宋_GBK" w:eastAsia="方正仿宋_GBK" w:cs="方正仿宋_GBK"/>
          <w:color w:val="000000"/>
          <w:sz w:val="28"/>
          <w:szCs w:val="28"/>
          <w:highlight w:val="none"/>
        </w:rPr>
        <w:t xml:space="preserve">。整机支持不少于</w:t>
      </w:r>
      <w:r>
        <w:rPr>
          <w:rFonts w:hint="eastAsia" w:ascii="方正仿宋_GBK" w:hAnsi="方正仿宋_GBK" w:eastAsia="方正仿宋_GBK" w:cs="方正仿宋_GBK"/>
          <w:b w:val="0"/>
          <w:bCs w:val="0"/>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张双宽高性能GPU，支持PCIe 5.0高速扩展，满足8卡GPU满载稳定运行要求。支持不少于8个2.5英寸硬盘位或U.2 NVMe SSD硬盘位，实配不少于2块7.68TB企业级U.2 NVMe SSD。配置独立IPMI/BMC管理接口，支持远程管理、硬件状态监控及故障告警；配置不少于1块高速以太网卡。整机配置冗余高效电源，无光驱，含导轨，电源功率、散热设计及机箱空间应满足本项目所配置GPU、CPU、内存、存储及扩展部件长期稳定运行要求；</w:t>
      </w:r>
      <w:r/>
    </w:p>
    <w:p>
      <w:pPr>
        <w:ind w:left="0" w:right="0" w:firstLine="560"/>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sz w:val="28"/>
          <w:highlight w:val="none"/>
          <w:u w:val="single"/>
        </w:rPr>
        <w:t xml:space="preserve">2、GPU模组①：高性能GPU服务器采购，用于多agent体系training与inference，GPU单卡峰值算力FP16/BF16不低于0.9 PFLOPS，FP8不低于1.8 PFLOPS、FP4不低于3.2PFLOPS、FP32不低于110 TFLOPS；核心/计算单元不低于24,000个，单卡显存不低于96GB GDDR7，显存带宽不低于1500 GB/s 带宽；实配</w:t>
      </w:r>
      <w:r>
        <w:rPr>
          <w:rFonts w:ascii="仿宋" w:hAnsi="仿宋" w:eastAsia="仿宋" w:cs="仿宋"/>
          <w:b/>
          <w:i/>
          <w:color w:val="000000"/>
          <w:sz w:val="32"/>
          <w:highlight w:val="none"/>
          <w:u w:val="single"/>
        </w:rPr>
        <w:t xml:space="preserve">数量为上述算力型号不少于</w:t>
      </w:r>
      <w:r>
        <w:rPr>
          <w:rFonts w:hint="eastAsia" w:ascii="仿宋" w:hAnsi="仿宋" w:eastAsia="仿宋" w:cs="仿宋"/>
          <w:b/>
          <w:i/>
          <w:color w:val="000000"/>
          <w:sz w:val="32"/>
          <w:highlight w:val="none"/>
          <w:u w:val="single"/>
          <w:lang w:val="en-US" w:eastAsia="zh-CN"/>
        </w:rPr>
        <w:t xml:space="preserve">4</w:t>
      </w:r>
      <w:r>
        <w:rPr>
          <w:rFonts w:ascii="仿宋" w:hAnsi="仿宋" w:eastAsia="仿宋" w:cs="仿宋"/>
          <w:b/>
          <w:i/>
          <w:color w:val="000000"/>
          <w:sz w:val="32"/>
          <w:highlight w:val="none"/>
          <w:u w:val="single"/>
        </w:rPr>
        <w:t xml:space="preserve">张。</w:t>
      </w:r>
      <w:r>
        <w:rPr>
          <w:rFonts w:ascii="仿宋" w:hAnsi="仿宋" w:eastAsia="仿宋" w:cs="仿宋"/>
          <w:b/>
          <w:i/>
          <w:color w:val="000000"/>
          <w:sz w:val="28"/>
          <w:highlight w:val="none"/>
          <w:u w:val="single"/>
        </w:rPr>
        <w:t xml:space="preserve">整机平台须支持不少于8张同规格双宽GPU扩展，且主板PCIe槽位、GPU安装空间、供电接口、电源容量、散热风道、风扇配置、机箱结构及相关线缆应按8卡满配条件配置或预留。后续扩展至8张同型号GPU时，不得更换服务器机箱、主板、电源、散热系统等核心部件。</w:t>
      </w:r>
      <w:r/>
    </w:p>
    <w:p>
      <w:pPr>
        <w:ind w:left="0" w:right="0" w:firstLine="560"/>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sz w:val="28"/>
          <w:highlight w:val="none"/>
          <w:u w:val="single"/>
        </w:rPr>
        <w:t xml:space="preserve">3、CPU：配置≥</w:t>
      </w:r>
      <w:r>
        <w:rPr>
          <w:rFonts w:hint="eastAsia" w:ascii="仿宋" w:hAnsi="仿宋" w:eastAsia="仿宋" w:cs="仿宋"/>
          <w:b/>
          <w:i/>
          <w:color w:val="000000"/>
          <w:sz w:val="28"/>
          <w:highlight w:val="none"/>
          <w:u w:val="single"/>
          <w:lang w:val="en-US" w:eastAsia="zh-CN"/>
        </w:rPr>
        <w:t xml:space="preserve">2</w:t>
      </w:r>
      <w:r>
        <w:rPr>
          <w:rFonts w:ascii="仿宋" w:hAnsi="仿宋" w:eastAsia="仿宋" w:cs="仿宋"/>
          <w:b/>
          <w:i/>
          <w:color w:val="000000"/>
          <w:sz w:val="28"/>
          <w:highlight w:val="none"/>
          <w:u w:val="single"/>
        </w:rPr>
        <w:t xml:space="preserve">颗，单颗核心数≥48核，主频≥2.1Ghz</w:t>
      </w:r>
      <w:r>
        <w:rPr>
          <w:rFonts w:ascii="仿宋" w:hAnsi="仿宋" w:eastAsia="仿宋" w:cs="仿宋"/>
          <w:b/>
          <w:i/>
          <w:color w:val="000000"/>
          <w:sz w:val="28"/>
          <w:highlight w:val="none"/>
          <w:u w:val="single"/>
        </w:rPr>
        <w:t xml:space="preserve"> X86系列处理器；</w:t>
      </w:r>
      <w:r/>
    </w:p>
    <w:p>
      <w:pPr>
        <w:ind w:firstLine="560"/>
        <w:jc w:val="left"/>
        <w:spacing w:line="460" w:lineRule="exact"/>
        <w:rPr>
          <w:rFonts w:hint="eastAsia" w:ascii="方正仿宋_GBK" w:hAnsi="方正仿宋_GBK" w:eastAsia="方正仿宋_GBK" w:cs="方正仿宋_GBK"/>
          <w:b/>
          <w:bCs/>
          <w:i/>
          <w:iCs/>
          <w:color w:val="000000"/>
          <w:sz w:val="28"/>
          <w:szCs w:val="28"/>
          <w:highlight w:val="none"/>
          <w:u w:val="single"/>
        </w:rPr>
      </w:pPr>
      <w:r>
        <w:rPr>
          <w:rFonts w:hint="eastAsia" w:ascii="方正仿宋_GBK" w:hAnsi="方正仿宋_GBK" w:eastAsia="方正仿宋_GBK" w:cs="方正仿宋_GBK"/>
          <w:b/>
          <w:bCs/>
          <w:i/>
          <w:iCs/>
          <w:color w:val="000000"/>
          <w:sz w:val="28"/>
          <w:szCs w:val="28"/>
          <w:highlight w:val="none"/>
          <w:u w:val="single"/>
        </w:rPr>
        <w:t xml:space="preserve">4、内存：配置不少于</w:t>
      </w:r>
      <w:r>
        <w:rPr>
          <w:rFonts w:hint="eastAsia" w:ascii="方正仿宋_GBK" w:hAnsi="方正仿宋_GBK" w:eastAsia="方正仿宋_GBK" w:cs="方正仿宋_GBK"/>
          <w:b/>
          <w:bCs/>
          <w:i/>
          <w:iCs/>
          <w:color w:val="000000"/>
          <w:sz w:val="28"/>
          <w:szCs w:val="28"/>
          <w:highlight w:val="none"/>
          <w:u w:val="single"/>
          <w:lang w:val="en-US" w:eastAsia="zh-CN"/>
        </w:rPr>
        <w:t xml:space="preserve">8</w:t>
      </w:r>
      <w:r>
        <w:rPr>
          <w:rFonts w:hint="eastAsia" w:ascii="方正仿宋_GBK" w:hAnsi="方正仿宋_GBK" w:eastAsia="方正仿宋_GBK" w:cs="方正仿宋_GBK"/>
          <w:b/>
          <w:bCs/>
          <w:i/>
          <w:iCs/>
          <w:color w:val="000000"/>
          <w:sz w:val="28"/>
          <w:szCs w:val="28"/>
          <w:highlight w:val="none"/>
          <w:u w:val="single"/>
        </w:rPr>
        <w:t xml:space="preserve">块64GB DDR5 ECC REG RDIMM，总容量不少于</w:t>
      </w:r>
      <w:r>
        <w:rPr>
          <w:rFonts w:hint="eastAsia" w:ascii="方正仿宋_GBK" w:hAnsi="方正仿宋_GBK" w:eastAsia="方正仿宋_GBK" w:cs="方正仿宋_GBK"/>
          <w:b/>
          <w:bCs/>
          <w:i/>
          <w:iCs/>
          <w:color w:val="000000"/>
          <w:sz w:val="28"/>
          <w:szCs w:val="28"/>
          <w:highlight w:val="none"/>
          <w:u w:val="single"/>
          <w:lang w:val="en-US" w:eastAsia="zh-CN"/>
        </w:rPr>
        <w:t xml:space="preserve">512G</w:t>
      </w:r>
      <w:r>
        <w:rPr>
          <w:rFonts w:hint="eastAsia" w:ascii="方正仿宋_GBK" w:hAnsi="方正仿宋_GBK" w:eastAsia="方正仿宋_GBK" w:cs="方正仿宋_GBK"/>
          <w:b/>
          <w:bCs/>
          <w:i/>
          <w:iCs/>
          <w:color w:val="000000"/>
          <w:sz w:val="28"/>
          <w:szCs w:val="28"/>
          <w:highlight w:val="none"/>
          <w:u w:val="single"/>
        </w:rPr>
        <w:t xml:space="preserve">B；服务器应支持扩展至32个内存插槽，后续可扩展至2TB或以上。</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5、NVMe SSD硬盘</w:t>
      </w:r>
      <w:r>
        <w:rPr>
          <w:rFonts w:hint="eastAsia" w:ascii="方正仿宋_GBK" w:hAnsi="方正仿宋_GBK" w:eastAsia="方正仿宋_GBK" w:cs="方正仿宋_GBK"/>
          <w:color w:val="000000"/>
          <w:sz w:val="28"/>
          <w:szCs w:val="28"/>
          <w:highlight w:val="none"/>
        </w:rPr>
        <w:tab/>
      </w:r>
      <w:r>
        <w:rPr>
          <w:rFonts w:ascii="宋体" w:hAnsi="宋体" w:eastAsia="宋体" w:cs="宋体"/>
          <w:sz w:val="24"/>
          <w:szCs w:val="24"/>
          <w:highlight w:val="none"/>
        </w:rPr>
        <w:t xml:space="preserve">配置不少于2块7.68TB U.2 NVMe Gen4企业级读密集型SSD；支持不少于8个2.5英寸硬盘位或U.2 NVMe硬盘位；支持后续扩展。</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6、2.5寸 SSD硬盘：配置≥2块2.5" 960G  SATA 读取密集 SSD</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7、网卡：</w:t>
      </w:r>
      <w:r>
        <w:rPr>
          <w:rFonts w:ascii="宋体" w:hAnsi="宋体" w:eastAsia="宋体" w:cs="宋体"/>
          <w:sz w:val="24"/>
          <w:szCs w:val="24"/>
          <w:highlight w:val="none"/>
        </w:rPr>
        <w:t xml:space="preserve">配置不少于1块25G双口以太网卡或更高规格高速网卡，含相应光模块；配置独立IPMI/BMC管理接口。</w:t>
      </w:r>
      <w:r/>
    </w:p>
    <w:p>
      <w:pPr>
        <w:ind w:firstLine="280"/>
        <w:jc w:val="left"/>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（二）软件配置</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1、操作系统：ubuntu</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2、推理引擎：vLLm</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3、开源模型：DeepSeek系列模型： V3 671B、R1 671B 、R1-70B、R1-32B、R1-14B、R1-8B、R1-7B；Qwen：70B；llama 405B</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4、数据集管理：平台支持从文件管理选取文件作为数据集进行统一管理，支持用户在基础数据集或者其他数据集版本的基础上创建自定义的数据集版本，支持从数据集导入数据到数据标注工具。</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、开发环境：平台支持快速构建交互式 AI 开发环境，支持使用 Jupyter Notebook、WebShell 等在线交互式开发工具。支持在 0 卡（仅使用 CPU）、单卡、多卡，以及单机/多机等多种算力资源配置下灵活创建开发环境。</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、分布式任务：支持AI模型的多机分布式训练，可提交Tensorflow、Caffe、pytorch、PaddlePaddle框架的分布式训练作业，并支持MPI、PS/Worker、Master/Worker等分布式类型；</w:t>
      </w:r>
      <w:r/>
    </w:p>
    <w:p>
      <w:pPr>
        <w:pStyle w:val="920"/>
        <w:jc w:val="left"/>
        <w:spacing w:before="0" w:after="0"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四、商务要求</w:t>
      </w:r>
      <w:r/>
    </w:p>
    <w:p>
      <w:pPr>
        <w:ind w:firstLine="560"/>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或加*号条款为实质性要求。</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为保障项目采购的 GPU 算力设备顺利部署并投入实际使用，供应商应提供与设备配套的咨询、安装、调试、培训和维保等服务。</w:t>
      </w:r>
      <w:r/>
    </w:p>
    <w:p>
      <w:pPr>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（一）实施要求</w:t>
      </w:r>
      <w:r/>
    </w:p>
    <w:p>
      <w:pPr>
        <w:ind w:firstLine="560"/>
        <w:spacing w:line="460" w:lineRule="exact"/>
        <w:rPr>
          <w:rFonts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1、项目实施方案</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现场勘察与计划：合同生效后7个工作日内，乙方应完成机房承重、电力、制冷、网络、存储、机柜空间和信息安全条件核查，向甲方提交实施进度表、设备上架及布线方案、网络与管理地址规划、停机影响控制方案和联系人清单，经甲方确认后实施。</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项目团队：乙方应配置不少于1名项目经理和2名技术工程师，负责设备到货、上架、连线、加电、操作系统与驱动部署、GPU运行环境配置、AI训练与推理框架安装、模型及数据工具部署和多卡联调。项目经理和技术工程师名单、职责及联系方式应在进场前书面报甲方。</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（3）进度与交付：乙方应在合同生效后30个日历日内完成全部设备到货、安装和基础环境部署；试运行及最终验收按照本章相关要求执行。</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质量与安全：乙方应制定到货核验、安装质量检查、配置复核、数据与账号安全、现场施工安全、故障回退和应急处置措施。实施不得影响甲方正常教学、科研和办公秩序；如需中断网络或停机，应事先取得甲方书面同意。</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（5）实施交付物：至少包括实施方案、设备及序列号清单、网络拓扑图、软硬件配置清单、账号权限交接表、安装部署文档、测试方案与测试记录、问题闭环清单、培训材料和售后服务信息。</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用于评分的可量化优于项：①合同生效后5个工作日内完成现场勘察并提交实施方案；②合同生效后25个日历日内完成全部设备到货、安装和基础环境部署；③现场实施团队不少于1名项目经理和3名技术工程师。</w:t>
      </w:r>
      <w:r/>
    </w:p>
    <w:p>
      <w:pPr>
        <w:ind w:firstLine="560"/>
        <w:spacing w:line="46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2、售后服务方案</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（1）服务范围：乙方应提供不少于60个月的原厂质保服务，并承担质保期内硬件故障诊断、维修、更换、系统恢复、驱动及配套软件适配和技术支持所需的全部费用；人为不当操作或不可抗力造成的损坏除外。</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最低响应要求：乙方接到故障通知后12小时内作出有效响应；需要现场处理的，技术人员应在24小时内到达现场；一般故障应在2日内完成修复；重大故障应在7日内解决或提交经甲方认可的明确解决方案。设备连续48小时无法恢复正常运行的，乙方应免费提供性能不低于原设备的备用部件或临时替代设备。</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（3）服务保障：乙方应明确项目售后负责人、技术支持渠道、故障分级和升级机制，提供备品备件保障；质保期内每年至少开展1次设备健康检查，提交检查记录和整改建议。</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（4）用于评分的可量化优于项：①故障通知后6小时内有效响应；②需要现场处理的，12小时内到达现场；③一般故障24小时内完成修复或提供性能不低于原设备的替代设备。</w:t>
      </w:r>
      <w:r/>
    </w:p>
    <w:p>
      <w:pPr>
        <w:ind w:firstLine="560"/>
        <w:spacing w:line="46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3、培训方案</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培训对象与内容：分别面向平台管理人员和科研使用人员开展培训，内容应覆盖服务器与BMC管理、GPU与驱动环境、开发与推理平台使用、资源调度、模型部署、日常巡检、日志分析、数据与账号安全以及常见故障处理。</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（2）最低培训要求：培训总时长不少于1个工作日、现场培训不少于2场次；乙方应提供中文培训课件、操作手册和常见问题清单，组织实机操作并进行培训效果确认。培训时间和参加人员由甲方确定。</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（3）用于评分的可量化优于项：①培训总时长不少于2个工作日；②现场培训不少于4场次；③项目验收后6个月内再提供不少于2次远程或现场专项培训。</w:t>
      </w:r>
      <w:r/>
    </w:p>
    <w:p>
      <w:pPr>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（二）试运行要求</w:t>
      </w:r>
      <w:r/>
    </w:p>
    <w:p>
      <w:pPr>
        <w:ind w:firstLine="560"/>
        <w:spacing w:line="460" w:lineRule="exact"/>
        <w:rPr>
          <w:rFonts w:hint="eastAsia" w:ascii="方正仿宋_GBK" w:hAnsi="方正仿宋_GBK" w:eastAsia="方正仿宋_GBK"/>
          <w:color w:val="000000"/>
          <w:sz w:val="28"/>
          <w:highlight w:val="none"/>
        </w:rPr>
      </w:pPr>
      <w:r>
        <w:rPr>
          <w:rFonts w:ascii="方正仿宋_GBK" w:hAnsi="方正仿宋_GBK" w:eastAsia="方正仿宋_GBK"/>
          <w:color w:val="000000"/>
          <w:sz w:val="28"/>
          <w:highlight w:val="none"/>
        </w:rPr>
        <w:t xml:space="preserve">合同签订后，乙方</w:t>
      </w:r>
      <w:r>
        <w:rPr>
          <w:rFonts w:hint="eastAsia" w:ascii="方正仿宋_GBK" w:hAnsi="方正仿宋_GBK" w:eastAsia="方正仿宋_GBK"/>
          <w:color w:val="000000"/>
          <w:sz w:val="28"/>
          <w:highlight w:val="none"/>
          <w:lang w:val="en-US" w:eastAsia="zh-CN"/>
        </w:rPr>
        <w:t xml:space="preserve">应尽快</w:t>
      </w:r>
      <w:r>
        <w:rPr>
          <w:rFonts w:ascii="方正仿宋_GBK" w:hAnsi="方正仿宋_GBK" w:eastAsia="方正仿宋_GBK"/>
          <w:color w:val="000000"/>
          <w:sz w:val="28"/>
          <w:highlight w:val="none"/>
        </w:rPr>
        <w:t xml:space="preserve">完成整机全配置交付，并配合甲方开展硬件一致性核验、系统功能测试、GPU单卡和多卡性能测试、指定模型或任务运行验证以及不少于14×24小时的整机满载稳定性测试。发现问题时，乙方应完成整改并重新测试，直至连续测试达到要求。乙方应提交测试方案、测试脚本及参数、原始日志、测试报告和问题闭环记录</w:t>
      </w:r>
      <w:r>
        <w:rPr>
          <w:rFonts w:hint="eastAsia" w:ascii="方正仿宋_GBK" w:hAnsi="方正仿宋_GBK" w:eastAsia="方正仿宋_GBK"/>
          <w:color w:val="000000"/>
          <w:sz w:val="28"/>
          <w:highlight w:val="none"/>
        </w:rPr>
        <w:t xml:space="preserve">。</w:t>
      </w:r>
      <w:r/>
    </w:p>
    <w:p>
      <w:pPr>
        <w:ind w:firstLine="560"/>
        <w:spacing w:line="460" w:lineRule="exact"/>
        <w:rPr>
          <w:rFonts w:hint="eastAsia" w:ascii="方正仿宋_GBK" w:hAnsi="方正仿宋_GBK" w:eastAsia="方正仿宋_GBK"/>
          <w:color w:val="000000"/>
          <w:sz w:val="28"/>
          <w:highlight w:val="none"/>
        </w:rPr>
      </w:pPr>
      <w:r>
        <w:rPr>
          <w:rFonts w:hint="eastAsia" w:ascii="方正仿宋_GBK" w:hAnsi="方正仿宋_GBK" w:eastAsia="方正仿宋_GBK"/>
          <w:color w:val="000000"/>
          <w:sz w:val="28"/>
          <w:highlight w:val="none"/>
        </w:rPr>
        <w:t xml:space="preserve">用于评分的可量化优于项：①在试运行开始前不少于3个工作日，提交专项试运行及验收计划，明确测试项目、测试方法、进度安排、责任人员及验收材料清单；②在不少于14×24小时的连续试运行期间，每24小时提交不少于1份运行状态汇总报告，至少包括设备运行状态、测试进度、异常情况及处理进展；③对试运行或验收过程中发现的问题，自发现之日起1个工作日内提交书面问题分析及整改计划，明确整改措施、责任人员、预计完成时间和复测安排。</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（三）培训要求：</w:t>
      </w:r>
      <w:r>
        <w:rPr>
          <w:rFonts w:ascii="方正仿宋_GBK" w:hAnsi="方正仿宋_GBK" w:eastAsia="方正仿宋_GBK"/>
          <w:color w:val="000000"/>
          <w:sz w:val="28"/>
          <w:highlight w:val="none"/>
        </w:rPr>
        <w:t xml:space="preserve">培训应符合本章“（一）实施要求”第3项约定。培训完成后，乙方应提交签到记录、培训材料、实机操作记录和培训效果确认材料，作为履约验收内容。</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（四）质保要求：</w:t>
      </w:r>
      <w:r>
        <w:rPr>
          <w:rFonts w:hint="eastAsia" w:ascii="方正仿宋_GBK" w:hAnsi="方正仿宋_GBK" w:eastAsia="方正仿宋_GBK" w:cs="方正仿宋_GBK"/>
          <w:bCs/>
          <w:color w:val="000000"/>
          <w:sz w:val="28"/>
          <w:szCs w:val="28"/>
          <w:highlight w:val="none"/>
        </w:rPr>
        <w:t xml:space="preserve">供应商须提供不少于</w:t>
      </w:r>
      <w:r>
        <w:rPr>
          <w:rFonts w:hint="default" w:ascii="方正仿宋_GBK" w:hAnsi="方正仿宋_GBK" w:eastAsia="方正仿宋_GBK" w:cs="方正仿宋_GBK"/>
          <w:bCs/>
          <w:color w:val="000000"/>
          <w:sz w:val="28"/>
          <w:szCs w:val="28"/>
          <w:highlight w:val="none"/>
          <w:lang w:val="en-US"/>
        </w:rPr>
        <w:t xml:space="preserve">5</w:t>
      </w:r>
      <w:r>
        <w:rPr>
          <w:rFonts w:hint="eastAsia" w:ascii="方正仿宋_GBK" w:hAnsi="方正仿宋_GBK" w:eastAsia="方正仿宋_GBK" w:cs="方正仿宋_GBK"/>
          <w:bCs/>
          <w:color w:val="000000"/>
          <w:sz w:val="28"/>
          <w:szCs w:val="28"/>
          <w:highlight w:val="none"/>
        </w:rPr>
        <w:t xml:space="preserve">年原厂质保服务，保障设备故障处理、维修更换和技术支持。项目交付应以设备能够支撑采购方指定训练、推理或科研任务正常运行作为标准，不得仅以设备到货或开机作为交付完成依据。</w:t>
      </w:r>
      <w:r/>
    </w:p>
    <w:p>
      <w:pPr>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（五）验收标准</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 硬件一致性验收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供货方交付的GPU服务器品</w:t>
      </w:r>
      <w:r>
        <w:rPr>
          <w:rFonts w:hint="eastAsia" w:ascii="方正仿宋_GBK" w:hAnsi="方正仿宋_GBK" w:eastAsia="方正仿宋_GBK" w:cs="方正仿宋_GBK"/>
          <w:bCs/>
          <w:color w:val="000000"/>
          <w:sz w:val="28"/>
          <w:szCs w:val="28"/>
          <w:highlight w:val="none"/>
        </w:rPr>
        <w:t xml:space="preserve">牌、型号、CPU、内存、硬盘、GPU型号、GPU数量、显存容量、网卡、电源、导轨及配件应与合同、技术规格书及投标响应文件完全一致。投标人须提供服务器平台支持8张同型号GPU满配运行的产品规格说明、供电与散热能力说明或原厂证明材料。验收时应检查整机GPU安装位、PCIe槽位/转接板、GPU供电线缆、电源容量、风扇模组及散热风道是否已按8卡扩展条件配置或预留。若后续扩展至8张GPU需更换机箱、主板、电源、散热系统或主要结构件，则视为不满足本项技术要求。若存在型号不一致、配置缩水、翻新件或二手件，采购方有权拒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 基础功能验收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服务器应能够正常开机、进入操作系统，所有CPU、内存、硬盘、网卡、GPU均能被系统正确识别。BMC远程管理功能、系统日志、硬件监控、风扇、电源冗余、温度传感器应运行正常。</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 GPU性能验收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每张GPU应通过单卡计算测试、显存测试、显存带宽测试、多卡通信测试及压力测试。GPU理论算力、显存容量、互联能力应不低于合同约定。实测性能应达到双方确认基准值的合理比例，一般建议不低于参考基准的95％。</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 稳定性验收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整机应在所有GPU满载状态下连续稳定运行不少于14x24小时，运行期间不得出现宕机、重启、GPU掉卡、程序因GPU卡自身问题崩溃、驱动崩溃、不可纠正ECC错误、严重温度告警或电源异常。</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 AI框架验收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供货方应完成指定AI框架和运行环境部署，包括但不限于PyTorch、TensorFlow、CUDA/cuDNN/TensorRT或国产卡对应的CANN、MACA、NeuWare、MUSA等。应至少完成一个指定大模型或深度学习模型的推理、训练样例运行。</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 文档与服务验收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供货方应提交完整的设备清单、安装部署文档、测试报告、网络拓扑图、账号密码交接文件、保修承诺及售后服务联系人。未提交完整文档的，视为交付不完整。</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上述验收必须全部通过才能视为验收完成。</w:t>
      </w:r>
      <w:r/>
    </w:p>
    <w:p>
      <w:pPr>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（六）质保期及履约保证金</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1、免费质保期</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自项目验收合格之日起，不少于60个月。(无质保要求的“/”表示)</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2、履约保证金</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乙方于本合同签订前向甲方交纳人民币</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元（合同价的10%）作为本合同的履约保证金。</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自甲方最终书面确认验收合格之日起算【12】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 </w:t>
      </w:r>
      <w:r/>
    </w:p>
    <w:p>
      <w:pPr>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（七）付款方式</w:t>
      </w:r>
      <w:r/>
    </w:p>
    <w:p>
      <w:pPr>
        <w:ind w:firstLine="560"/>
        <w:spacing w:line="460" w:lineRule="exact"/>
        <w:rPr>
          <w:rFonts w:hint="eastAsia" w:ascii="方正仿宋_GBK" w:hAnsi="方正仿宋_GBK" w:eastAsia="方正仿宋_GBK" w:cs="方正仿宋_GBK"/>
          <w:bCs/>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乙方将全部货物运到甲方指定的交货地点，并按照招标文件、本合同约定及甲方的要求安装调试结束，经甲方最终书面确认验收合格无误后，乙方向甲方提供合法有效的正规增值税发票，甲方在收到发票后10个工作日内向乙方付清应付款项。</w:t>
      </w:r>
      <w:r/>
    </w:p>
    <w:p>
      <w:pPr>
        <w:ind w:firstLine="560"/>
        <w:spacing w:line="460" w:lineRule="exact"/>
        <w:rPr>
          <w:rFonts w:ascii="方正仿宋_GBK" w:hAnsi="方正仿宋_GBK" w:eastAsia="方正仿宋_GBK" w:cs="方正仿宋_GBK"/>
          <w:b/>
          <w:bCs w:val="0"/>
          <w:color w:val="000000"/>
          <w:sz w:val="28"/>
          <w:szCs w:val="28"/>
          <w:highlight w:val="none"/>
          <w:lang w:val="en-US" w:eastAsia="zh-CN"/>
        </w:rPr>
      </w:pPr>
      <w:r>
        <w:rPr>
          <w:rFonts w:hint="eastAsia" w:ascii="方正仿宋_GBK" w:hAnsi="方正仿宋_GBK" w:eastAsia="方正仿宋_GBK" w:cs="方正仿宋_GBK"/>
          <w:b/>
          <w:bCs w:val="0"/>
          <w:color w:val="000000"/>
          <w:sz w:val="28"/>
          <w:szCs w:val="28"/>
          <w:highlight w:val="none"/>
          <w:lang w:eastAsia="zh-CN"/>
        </w:rPr>
        <w:t xml:space="preserve">（</w:t>
      </w:r>
      <w:r>
        <w:rPr>
          <w:rFonts w:hint="eastAsia" w:ascii="方正仿宋_GBK" w:hAnsi="方正仿宋_GBK" w:eastAsia="方正仿宋_GBK" w:cs="方正仿宋_GBK"/>
          <w:b/>
          <w:bCs w:val="0"/>
          <w:color w:val="000000"/>
          <w:sz w:val="28"/>
          <w:szCs w:val="28"/>
          <w:highlight w:val="none"/>
          <w:lang w:val="en-US" w:eastAsia="zh-CN"/>
        </w:rPr>
        <w:t xml:space="preserve">八</w:t>
      </w:r>
      <w:r>
        <w:rPr>
          <w:rFonts w:hint="eastAsia" w:ascii="方正仿宋_GBK" w:hAnsi="方正仿宋_GBK" w:eastAsia="方正仿宋_GBK" w:cs="方正仿宋_GBK"/>
          <w:b/>
          <w:bCs w:val="0"/>
          <w:color w:val="000000"/>
          <w:sz w:val="28"/>
          <w:szCs w:val="28"/>
          <w:highlight w:val="none"/>
          <w:lang w:eastAsia="zh-CN"/>
        </w:rPr>
        <w:t xml:space="preserve">）</w:t>
      </w:r>
      <w:r>
        <w:rPr>
          <w:rFonts w:hint="eastAsia" w:ascii="方正仿宋_GBK" w:hAnsi="方正仿宋_GBK" w:eastAsia="方正仿宋_GBK" w:cs="方正仿宋_GBK"/>
          <w:b/>
          <w:bCs w:val="0"/>
          <w:color w:val="000000"/>
          <w:sz w:val="28"/>
          <w:szCs w:val="28"/>
          <w:highlight w:val="none"/>
          <w:lang w:val="en-US" w:eastAsia="zh-CN"/>
        </w:rPr>
        <w:t xml:space="preserve">业绩</w:t>
      </w:r>
      <w:r/>
    </w:p>
    <w:p>
      <w:pPr>
        <w:ind w:firstLine="560"/>
        <w:spacing w:line="460" w:lineRule="exact"/>
        <w:rPr>
          <w:rFonts w:hint="eastAsia" w:ascii="方正仿宋_GBK" w:hAnsi="方正仿宋_GBK" w:eastAsia="方正仿宋_GBK" w:cs="方正仿宋_GBK"/>
          <w:bCs/>
          <w:color w:val="000000"/>
          <w:sz w:val="28"/>
          <w:szCs w:val="28"/>
          <w:highlight w:val="none"/>
          <w:lang w:eastAsia="zh-CN"/>
        </w:rPr>
      </w:pPr>
      <w:r>
        <w:rPr>
          <w:rFonts w:ascii="方正仿宋_GBK" w:hAnsi="方正仿宋_GBK" w:eastAsia="方正仿宋_GBK"/>
          <w:color w:val="000000"/>
          <w:sz w:val="28"/>
          <w:highlight w:val="none"/>
        </w:rPr>
        <w:t xml:space="preserve">投标人</w:t>
      </w:r>
      <w:r>
        <w:rPr>
          <w:rFonts w:hint="eastAsia" w:ascii="方正仿宋_GBK" w:hAnsi="方正仿宋_GBK" w:eastAsia="方正仿宋_GBK"/>
          <w:color w:val="000000"/>
          <w:sz w:val="28"/>
          <w:highlight w:val="none"/>
          <w:lang w:val="en-US" w:eastAsia="zh-CN"/>
        </w:rPr>
        <w:t xml:space="preserve">承担过</w:t>
      </w:r>
      <w:r>
        <w:rPr>
          <w:rFonts w:ascii="方正仿宋_GBK" w:hAnsi="方正仿宋_GBK" w:eastAsia="方正仿宋_GBK"/>
          <w:color w:val="000000"/>
          <w:sz w:val="28"/>
          <w:highlight w:val="none"/>
        </w:rPr>
        <w:t xml:space="preserve">自2023年1月1日以来（以合同签订时间为准）承担过</w:t>
      </w:r>
      <w:r>
        <w:rPr>
          <w:rFonts w:hint="eastAsia" w:ascii="方正仿宋_GBK" w:hAnsi="方正仿宋_GBK" w:eastAsia="方正仿宋_GBK"/>
          <w:color w:val="000000"/>
          <w:sz w:val="28"/>
          <w:highlight w:val="none"/>
          <w:lang w:val="en-US" w:eastAsia="zh-CN"/>
        </w:rPr>
        <w:t xml:space="preserve">与本项目类似的业绩</w:t>
      </w:r>
      <w:r>
        <w:rPr>
          <w:rFonts w:hint="eastAsia" w:ascii="方正仿宋_GBK" w:hAnsi="方正仿宋_GBK" w:eastAsia="方正仿宋_GBK"/>
          <w:color w:val="000000"/>
          <w:sz w:val="28"/>
          <w:highlight w:val="none"/>
          <w:lang w:eastAsia="zh-CN"/>
        </w:rPr>
        <w:t xml:space="preserve">。</w:t>
      </w:r>
      <w:r/>
    </w:p>
    <w:p>
      <w:pPr>
        <w:pStyle w:val="920"/>
        <w:jc w:val="left"/>
        <w:spacing w:before="0" w:after="0"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五、其他要求</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1.项目属性:货物类项目。</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2.核心产品</w:t>
      </w:r>
      <w:r/>
    </w:p>
    <w:tbl>
      <w:tblPr>
        <w:tblStyle w:val="74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p>
        </w:tc>
        <w:tc>
          <w:tcPr>
            <w:tcW w:w="3369"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核心产品</w:t>
            </w:r>
            <w:r/>
          </w:p>
        </w:tc>
      </w:tr>
      <w:tr>
        <w:trPr/>
        <w:tc>
          <w:tcPr>
            <w:tcW w:w="168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369" w:type="dxa"/>
            <w:textDirection w:val="lrTb"/>
            <w:noWrap w:val="false"/>
          </w:tcPr>
          <w:p>
            <w:pPr>
              <w:jc w:val="cente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服务器</w:t>
            </w:r>
            <w:r/>
          </w:p>
        </w:tc>
      </w:tr>
    </w:tbl>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3.进口产品投标</w:t>
      </w:r>
      <w:r/>
    </w:p>
    <w:tbl>
      <w:tblPr>
        <w:tblStyle w:val="74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3762"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是否接受进口产品投标</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（是/否）</w:t>
            </w:r>
            <w:r/>
          </w:p>
        </w:tc>
      </w:tr>
      <w:tr>
        <w:trPr/>
        <w:tc>
          <w:tcPr>
            <w:tcW w:w="1300"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762"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w:t>
            </w:r>
            <w:r/>
          </w:p>
        </w:tc>
      </w:tr>
    </w:tbl>
    <w:p>
      <w:pPr>
        <w:spacing w:line="400" w:lineRule="exact"/>
        <w:rPr>
          <w:rFonts w:hint="eastAsia" w:ascii="宋体" w:hAnsi="宋体"/>
          <w:color w:val="000000"/>
          <w:sz w:val="24"/>
          <w:szCs w:val="24"/>
          <w:highlight w:val="none"/>
        </w:rPr>
      </w:pPr>
      <w:r/>
      <w:bookmarkStart w:id="61" w:name="_Toc120614281"/>
      <w:r/>
      <w:r/>
    </w:p>
    <w:p>
      <w:pPr>
        <w:spacing w:line="400" w:lineRule="exact"/>
        <w:rPr>
          <w:color w:val="000000"/>
          <w:highlight w:val="none"/>
        </w:rPr>
      </w:pPr>
      <w:r>
        <w:rPr>
          <w:color w:val="000000"/>
          <w:highlight w:val="none"/>
        </w:rPr>
      </w:r>
      <w:r/>
    </w:p>
    <w:p>
      <w:pPr>
        <w:spacing w:line="400" w:lineRule="exact"/>
        <w:rPr>
          <w:color w:val="000000"/>
          <w:highlight w:val="none"/>
        </w:rPr>
      </w:pPr>
      <w:r>
        <w:rPr>
          <w:color w:val="000000"/>
          <w:highlight w:val="none"/>
        </w:rPr>
      </w:r>
      <w:r/>
    </w:p>
    <w:p>
      <w:pPr>
        <w:pStyle w:val="920"/>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br w:type="page" w:clear="all"/>
      </w:r>
      <w:r>
        <w:rPr>
          <w:rFonts w:hint="eastAsia" w:ascii="黑体" w:hAnsi="黑体" w:eastAsia="黑体"/>
          <w:b w:val="0"/>
          <w:bCs w:val="0"/>
          <w:color w:val="000000"/>
          <w:sz w:val="28"/>
          <w:szCs w:val="28"/>
          <w:highlight w:val="none"/>
        </w:rPr>
        <w:t xml:space="preserve">第五章  评标方法与评标标准</w:t>
      </w:r>
      <w:r/>
    </w:p>
    <w:p>
      <w:pPr>
        <w:ind w:firstLine="560"/>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采用综合评分法的，评标结果按评审后得分由高到低顺序排列。得分相同的，按投标报价由低到高顺序排列。得分且投标报价相同的并列。</w:t>
      </w:r>
      <w:r/>
    </w:p>
    <w:tbl>
      <w:tblPr>
        <w:tblStyle w:val="748"/>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p>
        </w:tc>
        <w:tc>
          <w:tcPr>
            <w:tcW w:w="2183"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选取中标候选人数量</w:t>
            </w:r>
            <w:r/>
          </w:p>
        </w:tc>
        <w:tc>
          <w:tcPr>
            <w:tcW w:w="5063"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选取中标候选人的原则</w:t>
            </w:r>
            <w:r/>
          </w:p>
        </w:tc>
      </w:tr>
      <w:tr>
        <w:trPr/>
        <w:tc>
          <w:tcPr>
            <w:tcW w:w="167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2183"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5063" w:type="dxa"/>
            <w:textDirection w:val="lrTb"/>
            <w:noWrap w:val="false"/>
          </w:tcPr>
          <w:p>
            <w:pPr>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满足招标文件全部实质性要求，且按照评审因素的量化指标评审得分最高的投标人为中标候选人。</w:t>
            </w:r>
            <w:r/>
          </w:p>
        </w:tc>
      </w:tr>
    </w:tbl>
    <w:p>
      <w:pPr>
        <w:ind w:firstLine="560"/>
        <w:jc w:val="left"/>
        <w:spacing w:before="120" w:after="12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政府采购政策功能落实</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1.小微型企业价格扣除</w:t>
      </w:r>
      <w:r/>
    </w:p>
    <w:p>
      <w:pPr>
        <w:ind w:firstLine="420"/>
        <w:jc w:val="left"/>
        <w:spacing w:before="120" w:after="120"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（1）本项目对小型和微型企业产品给予10%的扣除价格，用扣除后的价格参与评审。</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（2）供应商需按照采购文件的要求提供相应的《中小微企业声明函》。</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2.残疾人福利单位价格扣除</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（1）本项目对残疾人福利性单位视同小型、微型企业，给予10%的价格扣除，用扣除后的价格参与评审。</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（2）残疾人福利单位需按照采购文件的要求提供《残疾人福利性单位声明函》。</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（3）残疾人福利单位标准请参照《关于促进残疾人就业政府采购政策的通知》（财库〔2017〕141号）。</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3.监狱和戒毒企业价格扣除</w:t>
      </w:r>
      <w:r/>
    </w:p>
    <w:p>
      <w:pPr>
        <w:ind w:firstLine="560"/>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（1）本项目对监狱和戒毒企业（简称监狱企业）视同小型、微型企业，给予10%的价格扣除，用扣除后的价格参与评审。</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（3）监狱企业标准请参照《关于政府采购支持监狱企业发展有关问题的通知》（财库〔2014〕68号）。</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4.残疾人福利单位、监狱企业属于小型、微型企业的，不重复享受政策。</w:t>
      </w:r>
      <w:r/>
    </w:p>
    <w:p>
      <w:pPr>
        <w:ind w:firstLine="560"/>
        <w:spacing w:line="400" w:lineRule="exact"/>
        <w:rPr>
          <w:rFonts w:hint="eastAsia" w:ascii="华文新魏" w:hAnsi="宋体" w:eastAsia="华文新魏"/>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560"/>
        <w:jc w:val="left"/>
        <w:spacing w:before="120" w:after="120"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6.联合体各方均为小型、微型企业（残疾人福利单位、监狱企业）的，联合体享受10%价格扣除，用扣除后的价格参与评审。</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7.采购本国产品的支持政策</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 供应商需按照招标文件的要求提供《关于符合本国产品标准的声明函》（以下简称《声明函》），如不提供将不享受本国产品价格评审优惠。</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28"/>
          <w:szCs w:val="28"/>
          <w:highlight w:val="none"/>
          <w:u w:val="single"/>
        </w:rPr>
        <w:t xml:space="preserve"> / </w:t>
      </w:r>
      <w:r>
        <w:rPr>
          <w:rFonts w:hint="eastAsia" w:ascii="方正仿宋_GBK" w:hAnsi="方正仿宋_GBK" w:eastAsia="方正仿宋_GBK" w:cs="方正仿宋_GBK"/>
          <w:color w:val="000000"/>
          <w:sz w:val="28"/>
          <w:szCs w:val="28"/>
          <w:highlight w:val="none"/>
        </w:rPr>
        <w:t xml:space="preserve"> ”的地方无需填写），三项信息中任意一项未填写的视为该项产品不符合本国产品标准，不享受本国产品价格评审优惠。</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r>
      <w:r/>
    </w:p>
    <w:p>
      <w:pPr>
        <w:ind w:firstLine="560"/>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评标方法与评标标准</w:t>
      </w:r>
      <w:r/>
    </w:p>
    <w:tbl>
      <w:tblPr>
        <w:tblStyle w:val="748"/>
        <w:tblW w:w="9408" w:type="dxa"/>
        <w:jc w:val="center"/>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979"/>
        <w:gridCol w:w="1334"/>
        <w:gridCol w:w="886"/>
        <w:gridCol w:w="6209"/>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hint="eastAsia" w:ascii="方正仿宋_GBK" w:hAnsi="方正仿宋_GBK" w:eastAsia="方正仿宋_GBK" w:cs="方正仿宋_GBK"/>
                <w:b/>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分值</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评分标准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60</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textDirection w:val="lrTb"/>
            <w:noWrap w:val="false"/>
          </w:tcPr>
          <w:p>
            <w:pPr>
              <w:jc w:val="left"/>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投标最低报价为评标基准价</w:t>
            </w:r>
            <w:r>
              <w:rPr>
                <w:rFonts w:hint="eastAsia" w:ascii="方正仿宋_GBK" w:hAnsi="方正仿宋_GBK" w:eastAsia="方正仿宋_GBK" w:cs="方正仿宋_GBK"/>
                <w:color w:val="000000"/>
                <w:sz w:val="28"/>
                <w:szCs w:val="32"/>
                <w:highlight w:val="none"/>
              </w:rPr>
              <w:t xml:space="preserve">：满足招标文件要求且投标价格最低的投标报价为评标基准价，其价格分为满分。其他投标人的价格分统一按照下列公式计算：投标报价得分=(评标基准价/投标报价)×60。</w:t>
            </w:r>
            <w:r/>
          </w:p>
        </w:tc>
      </w:tr>
      <w:tr>
        <w:trPr>
          <w:jc w:val="center"/>
          <w:trHeight w:val="378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技术响应</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textDirection w:val="lrTb"/>
            <w:noWrap w:val="false"/>
          </w:tcPr>
          <w:p>
            <w:pPr>
              <w:jc w:val="left"/>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rPr>
              <w:t xml:space="preserve">2.1</w:t>
            </w:r>
            <w:r>
              <w:rPr>
                <w:rFonts w:hint="eastAsia" w:ascii="方正仿宋_GBK" w:hAnsi="方正仿宋_GBK" w:eastAsia="方正仿宋_GBK" w:cs="方正仿宋_GBK"/>
                <w:color w:val="000000"/>
                <w:sz w:val="28"/>
                <w:szCs w:val="32"/>
                <w:highlight w:val="none"/>
                <w:lang w:eastAsia="zh-CN"/>
              </w:rPr>
              <w:t xml:space="preserve">（</w:t>
            </w:r>
            <w:r>
              <w:rPr>
                <w:rFonts w:hint="eastAsia" w:ascii="方正仿宋_GBK" w:hAnsi="方正仿宋_GBK" w:eastAsia="方正仿宋_GBK" w:cs="方正仿宋_GBK"/>
                <w:color w:val="000000"/>
                <w:sz w:val="28"/>
                <w:szCs w:val="32"/>
                <w:highlight w:val="none"/>
                <w:lang w:val="en-US" w:eastAsia="zh-CN"/>
              </w:rPr>
              <w:t xml:space="preserve">20分</w:t>
            </w:r>
            <w:r>
              <w:rPr>
                <w:rFonts w:hint="eastAsia" w:ascii="方正仿宋_GBK" w:hAnsi="方正仿宋_GBK" w:eastAsia="方正仿宋_GBK" w:cs="方正仿宋_GBK"/>
                <w:color w:val="000000"/>
                <w:sz w:val="28"/>
                <w:szCs w:val="32"/>
                <w:highlight w:val="none"/>
                <w:lang w:eastAsia="zh-CN"/>
              </w:rPr>
              <w:t xml:space="preserve">）</w:t>
            </w:r>
            <w:r>
              <w:rPr>
                <w:rFonts w:hint="eastAsia" w:ascii="方正仿宋_GBK" w:hAnsi="方正仿宋_GBK" w:eastAsia="方正仿宋_GBK" w:cs="方正仿宋_GBK"/>
                <w:color w:val="000000"/>
                <w:sz w:val="28"/>
                <w:szCs w:val="32"/>
                <w:highlight w:val="none"/>
                <w:lang w:val="en-US" w:eastAsia="zh-CN"/>
              </w:rPr>
              <w:t xml:space="preserve">根据“第四章 采购需求 三、技术要求”中未加斜体下划线部分的技术参数要求进行打分</w:t>
            </w:r>
            <w:r>
              <w:rPr>
                <w:rFonts w:hint="eastAsia" w:ascii="方正仿宋_GBK" w:hAnsi="方正仿宋_GBK" w:eastAsia="方正仿宋_GBK" w:cs="方正仿宋_GBK"/>
                <w:color w:val="000000"/>
                <w:sz w:val="28"/>
                <w:szCs w:val="32"/>
                <w:highlight w:val="none"/>
              </w:rPr>
              <w:t xml:space="preserve">，</w:t>
            </w:r>
            <w:r>
              <w:rPr>
                <w:rFonts w:hint="eastAsia" w:ascii="方正仿宋_GBK" w:hAnsi="方正仿宋_GBK" w:eastAsia="方正仿宋_GBK" w:cs="方正仿宋_GBK"/>
                <w:color w:val="000000"/>
                <w:sz w:val="28"/>
                <w:szCs w:val="32"/>
                <w:highlight w:val="none"/>
                <w:u w:val="single"/>
              </w:rPr>
              <w:t xml:space="preserve">共</w:t>
            </w:r>
            <w:r>
              <w:rPr>
                <w:rFonts w:hint="eastAsia" w:ascii="方正仿宋_GBK" w:hAnsi="方正仿宋_GBK" w:eastAsia="方正仿宋_GBK" w:cs="方正仿宋_GBK"/>
                <w:color w:val="000000"/>
                <w:sz w:val="28"/>
                <w:szCs w:val="32"/>
                <w:highlight w:val="none"/>
                <w:u w:val="single"/>
                <w:lang w:val="en-US" w:eastAsia="zh-CN"/>
              </w:rPr>
              <w:t xml:space="preserve">1</w:t>
            </w:r>
            <w:r>
              <w:rPr>
                <w:rFonts w:hint="eastAsia" w:ascii="方正仿宋_GBK" w:hAnsi="方正仿宋_GBK" w:eastAsia="方正仿宋_GBK" w:cs="方正仿宋_GBK"/>
                <w:color w:val="000000"/>
                <w:sz w:val="28"/>
                <w:szCs w:val="32"/>
                <w:highlight w:val="none"/>
                <w:u w:val="single"/>
              </w:rPr>
              <w:t xml:space="preserve">0项</w:t>
            </w:r>
            <w:r>
              <w:rPr>
                <w:rFonts w:hint="eastAsia" w:ascii="方正仿宋_GBK" w:hAnsi="方正仿宋_GBK" w:eastAsia="方正仿宋_GBK" w:cs="方正仿宋_GBK"/>
                <w:color w:val="000000"/>
                <w:sz w:val="28"/>
                <w:szCs w:val="32"/>
                <w:highlight w:val="none"/>
                <w:lang w:eastAsia="zh-CN"/>
              </w:rPr>
              <w:t xml:space="preserve">（</w:t>
            </w:r>
            <w:r>
              <w:rPr>
                <w:rFonts w:ascii="方正仿宋_GBK" w:hAnsi="方正仿宋_GBK" w:eastAsia="方正仿宋_GBK"/>
                <w:color w:val="000000"/>
                <w:sz w:val="28"/>
                <w:highlight w:val="none"/>
              </w:rPr>
              <w:t xml:space="preserve">硬件配置第1、5、6、7项，软件配置第1至</w:t>
            </w:r>
            <w:r>
              <w:rPr>
                <w:rFonts w:hint="eastAsia" w:ascii="方正仿宋_GBK" w:hAnsi="方正仿宋_GBK" w:eastAsia="方正仿宋_GBK"/>
                <w:color w:val="000000"/>
                <w:sz w:val="28"/>
                <w:highlight w:val="none"/>
              </w:rPr>
              <w:t xml:space="preserve">6</w:t>
            </w:r>
            <w:r>
              <w:rPr>
                <w:rFonts w:ascii="方正仿宋_GBK" w:hAnsi="方正仿宋_GBK" w:eastAsia="方正仿宋_GBK"/>
                <w:color w:val="000000"/>
                <w:sz w:val="28"/>
                <w:highlight w:val="none"/>
              </w:rPr>
              <w:t xml:space="preserve">项</w:t>
            </w:r>
            <w:r>
              <w:rPr>
                <w:rFonts w:hint="eastAsia" w:ascii="方正仿宋_GBK" w:hAnsi="方正仿宋_GBK" w:eastAsia="方正仿宋_GBK" w:cs="方正仿宋_GBK"/>
                <w:color w:val="000000"/>
                <w:sz w:val="28"/>
                <w:szCs w:val="32"/>
                <w:highlight w:val="none"/>
                <w:lang w:eastAsia="zh-CN"/>
              </w:rPr>
              <w:t xml:space="preserve">），</w:t>
            </w:r>
            <w:r>
              <w:rPr>
                <w:rFonts w:hint="eastAsia" w:ascii="方正仿宋_GBK" w:hAnsi="方正仿宋_GBK" w:eastAsia="方正仿宋_GBK" w:cs="方正仿宋_GBK"/>
                <w:color w:val="000000"/>
                <w:sz w:val="28"/>
                <w:szCs w:val="32"/>
                <w:highlight w:val="none"/>
              </w:rPr>
              <w:t xml:space="preserve">每一条不满足或负偏离的扣</w:t>
            </w:r>
            <w:r>
              <w:rPr>
                <w:rFonts w:hint="eastAsia" w:ascii="方正仿宋_GBK" w:hAnsi="方正仿宋_GBK" w:eastAsia="方正仿宋_GBK" w:cs="方正仿宋_GBK"/>
                <w:color w:val="000000"/>
                <w:sz w:val="28"/>
                <w:szCs w:val="32"/>
                <w:highlight w:val="none"/>
                <w:lang w:val="en-US" w:eastAsia="zh-CN"/>
              </w:rPr>
              <w:t xml:space="preserve">2</w:t>
            </w:r>
            <w:r>
              <w:rPr>
                <w:rFonts w:hint="eastAsia" w:ascii="方正仿宋_GBK" w:hAnsi="方正仿宋_GBK" w:eastAsia="方正仿宋_GBK" w:cs="方正仿宋_GBK"/>
                <w:color w:val="000000"/>
                <w:sz w:val="28"/>
                <w:szCs w:val="32"/>
                <w:highlight w:val="none"/>
              </w:rPr>
              <w:t xml:space="preserve">分，满分20分，扣完为止</w:t>
            </w:r>
            <w:r>
              <w:rPr>
                <w:rFonts w:hint="eastAsia" w:ascii="方正仿宋_GBK" w:hAnsi="方正仿宋_GBK" w:eastAsia="方正仿宋_GBK" w:cs="方正仿宋_GBK"/>
                <w:color w:val="000000"/>
                <w:sz w:val="28"/>
                <w:szCs w:val="32"/>
                <w:highlight w:val="none"/>
                <w:lang w:eastAsia="zh-CN"/>
              </w:rPr>
              <w:t xml:space="preserve">。</w:t>
            </w:r>
            <w:r/>
          </w:p>
          <w:p>
            <w:pPr>
              <w:jc w:val="left"/>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lang w:val="en-US" w:eastAsia="zh-CN"/>
              </w:rPr>
              <w:t xml:space="preserve">注：</w:t>
            </w:r>
            <w:r>
              <w:rPr>
                <w:rFonts w:hint="eastAsia" w:ascii="方正仿宋_GBK" w:hAnsi="方正仿宋_GBK" w:eastAsia="方正仿宋_GBK" w:cs="方正仿宋_GBK"/>
                <w:color w:val="000000"/>
                <w:sz w:val="28"/>
                <w:szCs w:val="32"/>
                <w:highlight w:val="none"/>
              </w:rPr>
              <w:t xml:space="preserve">投标人应在《技术要求响应及偏离表》中逐一响应，若投标人未按照要求提供所投设备的技术支持资料，评标委员会有权不予认可，并在评分中扣除相应的分值。（佐证材料以产品制造商出具的技术说明书或产品制造商公开发布的产品彩页或彩页复印件、产品官方网站、产品标准、技术白皮书、使用说明书、有资质的第三方出具的检验报告等材料为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项目实施方案</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textDirection w:val="lrTb"/>
            <w:noWrap w:val="false"/>
          </w:tcPr>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3.1项目实施方案（4分） </w:t>
            </w:r>
            <w:r/>
          </w:p>
          <w:p>
            <w:pPr>
              <w:jc w:val="left"/>
              <w:keepLines w:val="0"/>
              <w:keepNext w:val="0"/>
              <w:pageBreakBefore w:val="0"/>
              <w:spacing w:line="360" w:lineRule="exact"/>
              <w:widowControl w:val="off"/>
              <w:rPr>
                <w:color w:val="000000"/>
                <w:highlight w:val="none"/>
              </w:rPr>
            </w:pPr>
            <w:r>
              <w:rPr>
                <w:rFonts w:hint="eastAsia" w:ascii="方正仿宋_GBK" w:hAnsi="方正仿宋_GBK" w:eastAsia="方正仿宋_GBK" w:cs="方正仿宋_GBK"/>
                <w:color w:val="000000"/>
                <w:sz w:val="28"/>
                <w:szCs w:val="32"/>
                <w:highlight w:val="none"/>
              </w:rPr>
              <w:t xml:space="preserve">投标人应根据招标文件的采购内容，提供具体、可行的项目实施方案。</w:t>
            </w:r>
            <w:r>
              <w:rPr>
                <w:rFonts w:ascii="方正仿宋_GBK" w:hAnsi="方正仿宋_GBK" w:eastAsia="方正仿宋_GBK"/>
                <w:color w:val="000000"/>
                <w:sz w:val="28"/>
                <w:highlight w:val="none"/>
              </w:rPr>
              <w:t xml:space="preserve">评委根据投标文件对第四章“采购需求”中“项目实施方案”的响应情况进行评审。</w:t>
            </w:r>
            <w:r/>
          </w:p>
          <w:p>
            <w:pPr>
              <w:jc w:val="left"/>
              <w:keepLines w:val="0"/>
              <w:keepNext w:val="0"/>
              <w:pageBreakBefore w:val="0"/>
              <w:spacing w:line="360" w:lineRule="exact"/>
              <w:widowControl w:val="off"/>
              <w:rPr>
                <w:rFonts w:ascii="方正仿宋_GBK" w:hAnsi="方正仿宋_GBK" w:eastAsia="方正仿宋_GBK" w:cs="Times New Roman"/>
                <w:color w:val="000000"/>
                <w:sz w:val="28"/>
                <w:highlight w:val="none"/>
              </w:rPr>
            </w:pPr>
            <w:r>
              <w:rPr>
                <w:rFonts w:ascii="方正仿宋_GBK" w:hAnsi="方正仿宋_GBK" w:eastAsia="方正仿宋_GBK"/>
                <w:color w:val="000000"/>
                <w:sz w:val="28"/>
                <w:highlight w:val="none"/>
              </w:rPr>
              <w:t xml:space="preserve">（1）经评委认定，投标文件对“项目实施方案”中以下三项响应全部</w:t>
            </w:r>
            <w:r>
              <w:rPr>
                <w:rFonts w:hint="eastAsia" w:ascii="方正仿宋_GBK" w:hAnsi="方正仿宋_GBK" w:eastAsia="方正仿宋_GBK"/>
                <w:color w:val="000000"/>
                <w:sz w:val="28"/>
                <w:highlight w:val="none"/>
                <w:lang w:val="en-US" w:eastAsia="zh-CN"/>
              </w:rPr>
              <w:t xml:space="preserve">优于招标文件要求</w:t>
            </w:r>
            <w:r>
              <w:rPr>
                <w:rFonts w:ascii="方正仿宋_GBK" w:hAnsi="方正仿宋_GBK" w:eastAsia="方正仿宋_GBK"/>
                <w:color w:val="000000"/>
                <w:sz w:val="28"/>
                <w:highlight w:val="none"/>
              </w:rPr>
              <w:t xml:space="preserve">，且其他要求全部符合的，得</w:t>
            </w:r>
            <w:r>
              <w:rPr>
                <w:rFonts w:hint="eastAsia" w:ascii="方正仿宋_GBK" w:hAnsi="方正仿宋_GBK" w:eastAsia="方正仿宋_GBK"/>
                <w:color w:val="000000"/>
                <w:sz w:val="28"/>
                <w:highlight w:val="none"/>
                <w:lang w:val="en-US" w:eastAsia="zh-CN"/>
              </w:rPr>
              <w:t xml:space="preserve">4</w:t>
            </w:r>
            <w:r>
              <w:rPr>
                <w:rFonts w:ascii="方正仿宋_GBK" w:hAnsi="方正仿宋_GBK" w:eastAsia="方正仿宋_GBK" w:cs="Times New Roman"/>
                <w:color w:val="000000"/>
                <w:sz w:val="28"/>
                <w:highlight w:val="none"/>
              </w:rPr>
              <w:t xml:space="preserve">分：①合同生效后</w:t>
            </w:r>
            <w:r>
              <w:rPr>
                <w:rFonts w:hint="eastAsia" w:ascii="方正仿宋_GBK" w:hAnsi="方正仿宋_GBK" w:eastAsia="方正仿宋_GBK" w:cs="Times New Roman"/>
                <w:color w:val="000000"/>
                <w:sz w:val="28"/>
                <w:highlight w:val="none"/>
                <w:lang w:val="en-US" w:eastAsia="zh-CN"/>
              </w:rPr>
              <w:t xml:space="preserve">5</w:t>
            </w:r>
            <w:r>
              <w:rPr>
                <w:rFonts w:ascii="方正仿宋_GBK" w:hAnsi="方正仿宋_GBK" w:eastAsia="方正仿宋_GBK" w:cs="Times New Roman"/>
                <w:color w:val="000000"/>
                <w:sz w:val="28"/>
                <w:highlight w:val="none"/>
              </w:rPr>
              <w:t xml:space="preserve">个工作日内完成现场勘察</w:t>
            </w:r>
            <w:r>
              <w:rPr>
                <w:rFonts w:hint="default" w:ascii="方正仿宋_GBK" w:hAnsi="方正仿宋_GBK" w:eastAsia="方正仿宋_GBK" w:cs="Times New Roman"/>
                <w:color w:val="000000"/>
                <w:sz w:val="28"/>
                <w:highlight w:val="none"/>
              </w:rPr>
              <w:t xml:space="preserve">并提交实施方案</w:t>
            </w:r>
            <w:r>
              <w:rPr>
                <w:rFonts w:hint="eastAsia" w:ascii="方正仿宋_GBK" w:hAnsi="方正仿宋_GBK" w:eastAsia="方正仿宋_GBK" w:cs="Times New Roman"/>
                <w:color w:val="000000"/>
                <w:sz w:val="28"/>
                <w:highlight w:val="none"/>
              </w:rPr>
              <w:t xml:space="preserve">；</w:t>
            </w:r>
            <w:r>
              <w:rPr>
                <w:rFonts w:ascii="方正仿宋_GBK" w:hAnsi="方正仿宋_GBK" w:eastAsia="方正仿宋_GBK" w:cs="Times New Roman"/>
                <w:color w:val="000000"/>
                <w:sz w:val="28"/>
                <w:highlight w:val="none"/>
              </w:rPr>
              <w:t xml:space="preserve">②合同生效后25个日历日内完成全部设备到货、安装和基础环境部署；③现场实施团队</w:t>
            </w:r>
            <w:r>
              <w:rPr>
                <w:rFonts w:hint="default" w:ascii="方正仿宋_GBK" w:hAnsi="方正仿宋_GBK" w:eastAsia="方正仿宋_GBK" w:cs="Times New Roman"/>
                <w:color w:val="000000"/>
                <w:sz w:val="28"/>
                <w:highlight w:val="none"/>
              </w:rPr>
              <w:t xml:space="preserve">不少于</w:t>
            </w:r>
            <w:r>
              <w:rPr>
                <w:rFonts w:ascii="方正仿宋_GBK" w:hAnsi="方正仿宋_GBK" w:eastAsia="方正仿宋_GBK" w:cs="Times New Roman"/>
                <w:color w:val="000000"/>
                <w:sz w:val="28"/>
                <w:highlight w:val="none"/>
              </w:rPr>
              <w:t xml:space="preserve">1名项目经理和3名技术工程师。</w:t>
            </w:r>
            <w:r/>
          </w:p>
          <w:p>
            <w:pPr>
              <w:jc w:val="left"/>
              <w:keepLines w:val="0"/>
              <w:keepNext w:val="0"/>
              <w:pageBreakBefore w:val="0"/>
              <w:spacing w:line="360" w:lineRule="exact"/>
              <w:widowControl w:val="off"/>
              <w:rPr>
                <w:rFonts w:ascii="方正仿宋_GBK" w:hAnsi="方正仿宋_GBK" w:eastAsia="方正仿宋_GBK" w:cs="Times New Roman"/>
                <w:color w:val="000000"/>
                <w:sz w:val="28"/>
                <w:highlight w:val="none"/>
              </w:rPr>
            </w:pPr>
            <w:r>
              <w:rPr>
                <w:rFonts w:ascii="方正仿宋_GBK" w:hAnsi="方正仿宋_GBK" w:eastAsia="方正仿宋_GBK"/>
                <w:color w:val="000000"/>
                <w:sz w:val="28"/>
                <w:highlight w:val="none"/>
              </w:rPr>
              <w:t xml:space="preserve">（2）投标文件符合“项目实施方案”全部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s="Times New Roman"/>
                <w:color w:val="000000"/>
                <w:sz w:val="28"/>
                <w:highlight w:val="none"/>
              </w:rPr>
              <w:t xml:space="preserve">要求的</w:t>
            </w:r>
            <w:r>
              <w:rPr>
                <w:rFonts w:hint="eastAsia" w:ascii="方正仿宋_GBK" w:hAnsi="方正仿宋_GBK" w:eastAsia="方正仿宋_GBK" w:cs="Times New Roman"/>
                <w:color w:val="000000"/>
                <w:sz w:val="28"/>
                <w:highlight w:val="none"/>
                <w:lang w:val="en-US" w:eastAsia="zh-CN"/>
              </w:rPr>
              <w:t xml:space="preserve">，</w:t>
            </w:r>
            <w:r>
              <w:rPr>
                <w:rFonts w:hint="eastAsia" w:ascii="方正仿宋_GBK" w:hAnsi="方正仿宋_GBK" w:eastAsia="方正仿宋_GBK" w:cs="Times New Roman"/>
                <w:color w:val="000000"/>
                <w:sz w:val="28"/>
                <w:highlight w:val="none"/>
              </w:rPr>
              <w:t xml:space="preserve">视为符合招标文件，本项得3分。</w:t>
            </w: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（3）投标文件未符合“项目实施方案”全部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color w:val="000000"/>
                <w:highlight w:val="none"/>
              </w:rPr>
              <w:t xml:space="preserve">，</w:t>
            </w:r>
            <w:r>
              <w:rPr>
                <w:rFonts w:hint="eastAsia" w:ascii="方正仿宋_GBK" w:hAnsi="方正仿宋_GBK" w:eastAsia="方正仿宋_GBK" w:cs="Times New Roman"/>
                <w:color w:val="000000"/>
                <w:sz w:val="28"/>
                <w:highlight w:val="none"/>
              </w:rPr>
              <w:t xml:space="preserve">视为不符合招标文件，本项得0分。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售后服务及培训方案</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textDirection w:val="lrTb"/>
            <w:noWrap w:val="false"/>
          </w:tcPr>
          <w:p>
            <w:pPr>
              <w:jc w:val="left"/>
              <w:keepLines w:val="0"/>
              <w:keepNext w:val="0"/>
              <w:pageBreakBefore w:val="0"/>
              <w:spacing w:line="360" w:lineRule="exact"/>
              <w:widowControl w:val="off"/>
              <w:rPr>
                <w:rFonts w:hint="eastAsia" w:ascii="方正仿宋_GBK" w:hAnsi="方正仿宋_GBK" w:eastAsia="方正仿宋_GBK" w:cs="方正仿宋_GBK"/>
                <w:b/>
                <w:bCs/>
                <w:color w:val="000000"/>
                <w:sz w:val="28"/>
                <w:szCs w:val="32"/>
                <w:highlight w:val="none"/>
              </w:rPr>
            </w:pPr>
            <w:r>
              <w:rPr>
                <w:rFonts w:hint="eastAsia" w:ascii="方正仿宋_GBK" w:hAnsi="方正仿宋_GBK" w:eastAsia="方正仿宋_GBK" w:cs="方正仿宋_GBK"/>
                <w:b/>
                <w:bCs/>
                <w:color w:val="000000"/>
                <w:sz w:val="28"/>
                <w:szCs w:val="32"/>
                <w:highlight w:val="none"/>
              </w:rPr>
              <w:t xml:space="preserve">4.1售后服务方案（3分） </w:t>
            </w:r>
            <w:r/>
          </w:p>
          <w:p>
            <w:pPr>
              <w:jc w:val="left"/>
              <w:keepLines w:val="0"/>
              <w:keepNext w:val="0"/>
              <w:pageBreakBefore w:val="0"/>
              <w:spacing w:line="360" w:lineRule="exact"/>
              <w:widowControl w:val="off"/>
              <w:rPr>
                <w:color w:val="000000"/>
                <w:highlight w:val="none"/>
              </w:rPr>
            </w:pPr>
            <w:r>
              <w:rPr>
                <w:rFonts w:hint="eastAsia" w:ascii="方正仿宋_GBK" w:hAnsi="方正仿宋_GBK" w:eastAsia="方正仿宋_GBK" w:cs="方正仿宋_GBK"/>
                <w:color w:val="000000"/>
                <w:sz w:val="28"/>
                <w:szCs w:val="32"/>
                <w:highlight w:val="none"/>
              </w:rPr>
              <w:t xml:space="preserve">投标人应根据本项目特点，提供完整、可操作的售后服务及培训方案。</w:t>
            </w:r>
            <w:r>
              <w:rPr>
                <w:rFonts w:ascii="方正仿宋_GBK" w:hAnsi="方正仿宋_GBK" w:eastAsia="方正仿宋_GBK"/>
                <w:color w:val="000000"/>
                <w:sz w:val="28"/>
                <w:highlight w:val="none"/>
              </w:rPr>
              <w:t xml:space="preserve">评委根据投标文件对第四章“采购需求”中“售后服务方案”的响应情况进行评审。</w:t>
            </w:r>
            <w:r/>
          </w:p>
          <w:p>
            <w:pPr>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（1）经评委认定，投标文件对以下三项响应全部</w:t>
            </w:r>
            <w:r>
              <w:rPr>
                <w:rFonts w:hint="eastAsia" w:ascii="方正仿宋_GBK" w:hAnsi="方正仿宋_GBK" w:eastAsia="方正仿宋_GBK"/>
                <w:color w:val="000000"/>
                <w:sz w:val="28"/>
                <w:highlight w:val="none"/>
                <w:lang w:val="en-US" w:eastAsia="zh-CN"/>
              </w:rPr>
              <w:t xml:space="preserve">优于招标文件要求</w:t>
            </w:r>
            <w:r>
              <w:rPr>
                <w:rFonts w:ascii="方正仿宋_GBK" w:hAnsi="方正仿宋_GBK" w:eastAsia="方正仿宋_GBK"/>
                <w:color w:val="000000"/>
                <w:sz w:val="28"/>
                <w:highlight w:val="none"/>
              </w:rPr>
              <w:t xml:space="preserve">，且售后服务方案其他要求全部符合的，得3分：①故障通知后</w:t>
            </w:r>
            <w:r>
              <w:rPr>
                <w:rFonts w:hint="default" w:ascii="方正仿宋_GBK" w:hAnsi="方正仿宋_GBK" w:eastAsia="方正仿宋_GBK"/>
                <w:color w:val="000000"/>
                <w:sz w:val="28"/>
                <w:highlight w:val="none"/>
              </w:rPr>
              <w:t xml:space="preserve">6小时内</w:t>
            </w:r>
            <w:r>
              <w:rPr>
                <w:rFonts w:ascii="方正仿宋_GBK" w:hAnsi="方正仿宋_GBK" w:eastAsia="方正仿宋_GBK"/>
                <w:color w:val="000000"/>
                <w:sz w:val="28"/>
                <w:highlight w:val="none"/>
              </w:rPr>
              <w:t xml:space="preserve">有效响应；②需要现场处理的，</w:t>
            </w:r>
            <w:r>
              <w:rPr>
                <w:rFonts w:hint="default" w:ascii="方正仿宋_GBK" w:hAnsi="方正仿宋_GBK" w:eastAsia="方正仿宋_GBK"/>
                <w:color w:val="000000"/>
                <w:sz w:val="28"/>
                <w:highlight w:val="none"/>
              </w:rPr>
              <w:t xml:space="preserve">12小时内</w:t>
            </w:r>
            <w:r>
              <w:rPr>
                <w:rFonts w:ascii="方正仿宋_GBK" w:hAnsi="方正仿宋_GBK" w:eastAsia="方正仿宋_GBK"/>
                <w:color w:val="000000"/>
                <w:sz w:val="28"/>
                <w:highlight w:val="none"/>
              </w:rPr>
              <w:t xml:space="preserve">到达现场；③一般故障24小时内完成修复或提供性能不低于原设备的替代设备。</w:t>
            </w:r>
            <w:r/>
          </w:p>
          <w:p>
            <w:pPr>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（2）投标文件符合“售后服务方案”全部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，视为符合招标文件要求，</w:t>
            </w:r>
            <w:r>
              <w:rPr>
                <w:rFonts w:ascii="方正仿宋_GBK" w:hAnsi="方正仿宋_GBK" w:eastAsia="方正仿宋_GBK"/>
                <w:color w:val="000000"/>
                <w:sz w:val="28"/>
                <w:highlight w:val="none"/>
              </w:rPr>
              <w:t xml:space="preserve">得2分。</w:t>
            </w: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（3）投标文件未符合“售后服务方案”全部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视为不符合招标文件要求，</w:t>
            </w:r>
            <w:r>
              <w:rPr>
                <w:rFonts w:ascii="方正仿宋_GBK" w:hAnsi="方正仿宋_GBK" w:eastAsia="方正仿宋_GBK"/>
                <w:color w:val="000000"/>
                <w:sz w:val="28"/>
                <w:highlight w:val="none"/>
              </w:rPr>
              <w:t xml:space="preserve">得0分。</w:t>
            </w:r>
            <w:r/>
          </w:p>
          <w:p>
            <w:pPr>
              <w:jc w:val="left"/>
              <w:keepLines w:val="0"/>
              <w:keepNext w:val="0"/>
              <w:pageBreakBefore w:val="0"/>
              <w:spacing w:line="360" w:lineRule="exact"/>
              <w:widowControl w:val="off"/>
              <w:rPr>
                <w:rFonts w:ascii="方正仿宋_GBK" w:hAnsi="方正仿宋_GBK" w:eastAsia="方正仿宋_GBK" w:cs="方正仿宋_GBK"/>
                <w:b/>
                <w:bCs/>
                <w:color w:val="000000"/>
                <w:sz w:val="28"/>
                <w:szCs w:val="32"/>
                <w:highlight w:val="none"/>
              </w:rPr>
            </w:pPr>
            <w:r>
              <w:rPr>
                <w:rFonts w:hint="eastAsia" w:ascii="方正仿宋_GBK" w:hAnsi="方正仿宋_GBK" w:eastAsia="方正仿宋_GBK" w:cs="方正仿宋_GBK"/>
                <w:b/>
                <w:bCs/>
                <w:color w:val="000000"/>
                <w:sz w:val="28"/>
                <w:szCs w:val="32"/>
                <w:highlight w:val="none"/>
              </w:rPr>
              <w:t xml:space="preserve">4.2培训方案（3分）</w:t>
            </w:r>
            <w:r/>
          </w:p>
          <w:p>
            <w:pPr>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评委根据投标文件对第四章“采购需求”中“培训方案”的响应情况进行评审。</w:t>
            </w:r>
            <w:r/>
          </w:p>
          <w:p>
            <w:pPr>
              <w:numPr>
                <w:ilvl w:val="-1"/>
                <w:numId w:val="0"/>
              </w:numPr>
              <w:jc w:val="left"/>
              <w:keepLines w:val="0"/>
              <w:keepNext w:val="0"/>
              <w:pageBreakBefore w:val="0"/>
              <w:spacing w:line="360" w:lineRule="exact"/>
              <w:widowControl w:val="off"/>
              <w:rPr>
                <w:color w:val="000000"/>
                <w:highlight w:val="none"/>
              </w:rPr>
            </w:pPr>
            <w:r>
              <w:rPr>
                <w:rFonts w:hint="default" w:ascii="方正仿宋_GBK" w:hAnsi="方正仿宋_GBK" w:eastAsia="方正仿宋_GBK"/>
                <w:color w:val="000000"/>
                <w:sz w:val="28"/>
                <w:highlight w:val="none"/>
                <w:lang w:val="en-US" w:eastAsia="zh-CN"/>
              </w:rPr>
              <w:t xml:space="preserve">（1）</w:t>
            </w:r>
            <w:r>
              <w:rPr>
                <w:rFonts w:ascii="方正仿宋_GBK" w:hAnsi="方正仿宋_GBK" w:eastAsia="方正仿宋_GBK"/>
                <w:color w:val="000000"/>
                <w:sz w:val="28"/>
                <w:highlight w:val="none"/>
              </w:rPr>
              <w:t xml:space="preserve">经评委认定，投标文件对以下三项响应全部</w:t>
            </w:r>
            <w:r>
              <w:rPr>
                <w:rFonts w:hint="eastAsia" w:ascii="方正仿宋_GBK" w:hAnsi="方正仿宋_GBK" w:eastAsia="方正仿宋_GBK"/>
                <w:color w:val="000000"/>
                <w:sz w:val="28"/>
                <w:highlight w:val="none"/>
                <w:lang w:val="en-US" w:eastAsia="zh-CN"/>
              </w:rPr>
              <w:t xml:space="preserve">优于招标文件要求</w:t>
            </w:r>
            <w:r>
              <w:rPr>
                <w:rFonts w:ascii="方正仿宋_GBK" w:hAnsi="方正仿宋_GBK" w:eastAsia="方正仿宋_GBK"/>
                <w:color w:val="000000"/>
                <w:sz w:val="28"/>
                <w:highlight w:val="none"/>
              </w:rPr>
              <w:t xml:space="preserve">，且培训方案其他要求全部符合的，得3分：①培训总时长不少于2个工作日；②现场培训不少于4场次；③项目验收后6个月内再提供不少于2次远程或现场专项培训。</w:t>
            </w:r>
            <w:r/>
          </w:p>
          <w:p>
            <w:pPr>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（2）投标文件符合“培训方案”全部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，视为符合招标文件要求，</w:t>
            </w:r>
            <w:r>
              <w:rPr>
                <w:rFonts w:ascii="方正仿宋_GBK" w:hAnsi="方正仿宋_GBK" w:eastAsia="方正仿宋_GBK"/>
                <w:color w:val="000000"/>
                <w:sz w:val="28"/>
                <w:highlight w:val="none"/>
              </w:rPr>
              <w:t xml:space="preserve">得2分。</w:t>
            </w: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（3）投标文件未符合“培训方案”全部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视为不符合招标文件要求，</w:t>
            </w:r>
            <w:r>
              <w:rPr>
                <w:rFonts w:ascii="方正仿宋_GBK" w:hAnsi="方正仿宋_GBK" w:eastAsia="方正仿宋_GBK"/>
                <w:color w:val="000000"/>
                <w:sz w:val="28"/>
                <w:highlight w:val="none"/>
              </w:rPr>
              <w:t xml:space="preserve">得0分。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试运行及验收保障方案</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textDirection w:val="lrTb"/>
            <w:noWrap w:val="false"/>
          </w:tcPr>
          <w:p>
            <w:pPr>
              <w:jc w:val="left"/>
              <w:keepLines w:val="0"/>
              <w:keepNext w:val="0"/>
              <w:pageBreakBefore w:val="0"/>
              <w:spacing w:line="360" w:lineRule="exact"/>
              <w:widowControl w:val="off"/>
              <w:rPr>
                <w:rFonts w:hint="eastAsia" w:ascii="方正仿宋_GBK" w:hAnsi="方正仿宋_GBK" w:eastAsia="方正仿宋_GBK"/>
                <w:color w:val="000000"/>
                <w:sz w:val="28"/>
                <w:highlight w:val="none"/>
                <w:lang w:eastAsia="zh-CN"/>
              </w:rPr>
            </w:pPr>
            <w:r>
              <w:rPr>
                <w:rFonts w:hint="eastAsia" w:ascii="方正仿宋_GBK" w:hAnsi="方正仿宋_GBK" w:eastAsia="方正仿宋_GBK"/>
                <w:color w:val="000000"/>
                <w:sz w:val="28"/>
                <w:highlight w:val="none"/>
                <w:lang w:val="en-US" w:eastAsia="zh-CN"/>
              </w:rPr>
              <w:t xml:space="preserve">5.1</w:t>
            </w:r>
            <w:r>
              <w:rPr>
                <w:rFonts w:ascii="方正仿宋_GBK" w:hAnsi="方正仿宋_GBK" w:eastAsia="方正仿宋_GBK"/>
                <w:color w:val="000000"/>
                <w:sz w:val="28"/>
                <w:highlight w:val="none"/>
              </w:rPr>
              <w:t xml:space="preserve">试运行及验收保障方案</w:t>
            </w:r>
            <w:r>
              <w:rPr>
                <w:rFonts w:hint="eastAsia" w:ascii="方正仿宋_GBK" w:hAnsi="方正仿宋_GBK" w:eastAsia="方正仿宋_GBK"/>
                <w:color w:val="000000"/>
                <w:sz w:val="28"/>
                <w:highlight w:val="none"/>
                <w:lang w:eastAsia="zh-CN"/>
              </w:rPr>
              <w:t xml:space="preserve">（</w:t>
            </w:r>
            <w:r>
              <w:rPr>
                <w:rFonts w:hint="eastAsia" w:ascii="方正仿宋_GBK" w:hAnsi="方正仿宋_GBK" w:eastAsia="方正仿宋_GBK"/>
                <w:color w:val="000000"/>
                <w:sz w:val="28"/>
                <w:highlight w:val="none"/>
                <w:lang w:val="en-US" w:eastAsia="zh-CN"/>
              </w:rPr>
              <w:t xml:space="preserve">4分</w:t>
            </w:r>
            <w:r>
              <w:rPr>
                <w:rFonts w:hint="eastAsia" w:ascii="方正仿宋_GBK" w:hAnsi="方正仿宋_GBK" w:eastAsia="方正仿宋_GBK"/>
                <w:color w:val="000000"/>
                <w:sz w:val="28"/>
                <w:highlight w:val="none"/>
                <w:lang w:eastAsia="zh-CN"/>
              </w:rPr>
              <w:t xml:space="preserve">）</w:t>
            </w:r>
            <w:r/>
          </w:p>
          <w:p>
            <w:pPr>
              <w:jc w:val="left"/>
              <w:keepLines w:val="0"/>
              <w:keepNext w:val="0"/>
              <w:pageBreakBefore w:val="0"/>
              <w:spacing w:line="360" w:lineRule="exact"/>
              <w:widowControl w:val="off"/>
              <w:rPr>
                <w:rFonts w:ascii="方正仿宋_GBK" w:hAnsi="方正仿宋_GBK" w:eastAsia="方正仿宋_GBK"/>
                <w:color w:val="000000"/>
                <w:sz w:val="28"/>
                <w:highlight w:val="none"/>
              </w:rPr>
            </w:pPr>
            <w:r>
              <w:rPr>
                <w:rFonts w:ascii="方正仿宋_GBK" w:hAnsi="方正仿宋_GBK" w:eastAsia="方正仿宋_GBK"/>
                <w:color w:val="000000"/>
                <w:sz w:val="28"/>
                <w:highlight w:val="none"/>
              </w:rPr>
              <w:t xml:space="preserve">评委根据投标文件对第四章“采购需求”中“（二）试运行要求”和“（五）验收标准”的响应情况进行评审。</w:t>
            </w:r>
            <w:r/>
          </w:p>
          <w:p>
            <w:pPr>
              <w:jc w:val="left"/>
              <w:keepLines w:val="0"/>
              <w:keepNext w:val="0"/>
              <w:pageBreakBefore w:val="0"/>
              <w:spacing w:line="360" w:lineRule="exact"/>
              <w:widowControl w:val="off"/>
              <w:rPr>
                <w:rFonts w:ascii="方正仿宋_GBK" w:hAnsi="方正仿宋_GBK" w:eastAsia="方正仿宋_GBK"/>
                <w:color w:val="000000"/>
                <w:sz w:val="28"/>
                <w:highlight w:val="none"/>
              </w:rPr>
            </w:pPr>
            <w:r>
              <w:rPr>
                <w:rFonts w:ascii="方正仿宋_GBK" w:hAnsi="方正仿宋_GBK" w:eastAsia="方正仿宋_GBK"/>
                <w:color w:val="000000"/>
                <w:sz w:val="28"/>
                <w:highlight w:val="none"/>
              </w:rPr>
              <w:t xml:space="preserve">（1）经评委认定，投标文件（二）试运行要求”和“（五）验收标准”</w:t>
            </w:r>
            <w:r>
              <w:rPr>
                <w:rFonts w:hint="eastAsia" w:ascii="方正仿宋_GBK" w:hAnsi="方正仿宋_GBK" w:eastAsia="方正仿宋_GBK"/>
                <w:color w:val="000000"/>
                <w:sz w:val="28"/>
                <w:highlight w:val="none"/>
                <w:lang w:val="en-US" w:eastAsia="zh-CN"/>
              </w:rPr>
              <w:t xml:space="preserve">中的以下</w:t>
            </w:r>
            <w:r>
              <w:rPr>
                <w:rFonts w:ascii="方正仿宋_GBK" w:hAnsi="方正仿宋_GBK" w:eastAsia="方正仿宋_GBK"/>
                <w:color w:val="000000"/>
                <w:sz w:val="28"/>
                <w:highlight w:val="none"/>
              </w:rPr>
              <w:t xml:space="preserve">三项</w:t>
            </w:r>
            <w:r>
              <w:rPr>
                <w:rFonts w:hint="eastAsia" w:ascii="方正仿宋_GBK" w:hAnsi="方正仿宋_GBK" w:eastAsia="方正仿宋_GBK"/>
                <w:color w:val="000000"/>
                <w:sz w:val="28"/>
                <w:highlight w:val="none"/>
                <w:lang w:val="en-US" w:eastAsia="zh-CN"/>
              </w:rPr>
              <w:t xml:space="preserve">全部</w:t>
            </w:r>
            <w:r>
              <w:rPr>
                <w:rFonts w:ascii="方正仿宋_GBK" w:hAnsi="方正仿宋_GBK" w:eastAsia="方正仿宋_GBK"/>
                <w:color w:val="000000"/>
                <w:sz w:val="28"/>
                <w:highlight w:val="none"/>
              </w:rPr>
              <w:t xml:space="preserve">优于</w:t>
            </w:r>
            <w:r>
              <w:rPr>
                <w:rFonts w:hint="eastAsia" w:ascii="方正仿宋_GBK" w:hAnsi="方正仿宋_GBK" w:eastAsia="方正仿宋_GBK"/>
                <w:color w:val="000000"/>
                <w:sz w:val="28"/>
                <w:highlight w:val="none"/>
                <w:lang w:val="en-US" w:eastAsia="zh-CN"/>
              </w:rPr>
              <w:t xml:space="preserve">招标文件要求，</w:t>
            </w:r>
            <w:r>
              <w:rPr>
                <w:rFonts w:ascii="方正仿宋_GBK" w:hAnsi="方正仿宋_GBK" w:eastAsia="方正仿宋_GBK" w:cs="Times New Roman"/>
                <w:color w:val="000000"/>
                <w:sz w:val="28"/>
                <w:szCs w:val="22"/>
                <w:highlight w:val="none"/>
                <w:lang w:val="en-US" w:eastAsia="zh-CN" w:bidi="ar-SA"/>
              </w:rPr>
              <w:t xml:space="preserve">且</w:t>
            </w:r>
            <w:r>
              <w:rPr>
                <w:rFonts w:hint="eastAsia" w:ascii="方正仿宋_GBK" w:hAnsi="方正仿宋_GBK" w:eastAsia="方正仿宋_GBK" w:cs="Times New Roman"/>
                <w:color w:val="000000"/>
                <w:sz w:val="28"/>
                <w:szCs w:val="22"/>
                <w:highlight w:val="none"/>
                <w:lang w:val="en-US" w:eastAsia="zh-CN" w:bidi="ar-SA"/>
              </w:rPr>
              <w:t xml:space="preserve">“</w:t>
            </w:r>
            <w:r>
              <w:rPr>
                <w:rFonts w:ascii="方正仿宋_GBK" w:hAnsi="方正仿宋_GBK" w:eastAsia="方正仿宋_GBK"/>
                <w:color w:val="000000"/>
                <w:sz w:val="28"/>
                <w:highlight w:val="none"/>
              </w:rPr>
              <w:t xml:space="preserve">（二）试运行要求”和“（五）验收标准”</w:t>
            </w:r>
            <w:r>
              <w:rPr>
                <w:rFonts w:ascii="方正仿宋_GBK" w:hAnsi="方正仿宋_GBK" w:eastAsia="方正仿宋_GBK" w:cs="Times New Roman"/>
                <w:color w:val="000000"/>
                <w:sz w:val="28"/>
                <w:szCs w:val="22"/>
                <w:highlight w:val="none"/>
                <w:lang w:val="en-US" w:eastAsia="zh-CN" w:bidi="ar-SA"/>
              </w:rPr>
              <w:t xml:space="preserve">其他要求全部符合的</w:t>
            </w:r>
            <w:r>
              <w:rPr>
                <w:rFonts w:ascii="方正仿宋_GBK" w:hAnsi="方正仿宋_GBK" w:eastAsia="方正仿宋_GBK"/>
                <w:color w:val="000000"/>
                <w:sz w:val="28"/>
                <w:highlight w:val="none"/>
              </w:rPr>
              <w:t xml:space="preserve">，得4分：①在试运行开始前不少于3个工作日，提交专项试运行及验收计划，明确测试项目、测试方法、进度安排、责任人员及验收材料清单；②在不少于14×24小时的连续试运行期间，每24小时提交不少于1份运行状态汇总报告，至少包括设备运行状态、测试进度、异常情况及处理进展；③对试运行或验收过程中发现的问题，自发现之日起1个工作日内提交书面问题分析及整改计划，明确整改措施、责任人员、预计完成时间和复测安排。</w:t>
            </w:r>
            <w:r/>
          </w:p>
          <w:p>
            <w:pPr>
              <w:jc w:val="left"/>
              <w:keepLines w:val="0"/>
              <w:keepNext w:val="0"/>
              <w:pageBreakBefore w:val="0"/>
              <w:spacing w:line="360" w:lineRule="exact"/>
              <w:widowControl w:val="off"/>
              <w:rPr>
                <w:rFonts w:ascii="方正仿宋_GBK" w:hAnsi="方正仿宋_GBK" w:eastAsia="方正仿宋_GBK"/>
                <w:color w:val="000000"/>
                <w:sz w:val="28"/>
                <w:highlight w:val="none"/>
              </w:rPr>
            </w:pPr>
            <w:r>
              <w:rPr>
                <w:rFonts w:ascii="方正仿宋_GBK" w:hAnsi="方正仿宋_GBK" w:eastAsia="方正仿宋_GBK"/>
                <w:color w:val="000000"/>
                <w:sz w:val="28"/>
                <w:highlight w:val="none"/>
              </w:rPr>
              <w:t xml:space="preserve">（2）投标文件符合上述试运行及验收的全部</w:t>
            </w:r>
            <w:r>
              <w:rPr>
                <w:rFonts w:hint="eastAsia" w:ascii="方正仿宋_GBK" w:hAnsi="方正仿宋_GBK" w:eastAsia="方正仿宋_GBK"/>
                <w:color w:val="000000"/>
                <w:sz w:val="28"/>
                <w:highlight w:val="none"/>
                <w:lang w:val="en-US" w:eastAsia="zh-CN"/>
              </w:rPr>
              <w:t xml:space="preserve">符合招标文件要求</w:t>
            </w:r>
            <w:r>
              <w:rPr>
                <w:rFonts w:ascii="方正仿宋_GBK" w:hAnsi="方正仿宋_GBK" w:eastAsia="方正仿宋_GBK"/>
                <w:color w:val="000000"/>
                <w:sz w:val="28"/>
                <w:highlight w:val="none"/>
              </w:rPr>
              <w:t xml:space="preserve">的，得2分。</w:t>
            </w: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（3）投标文件未符合上述试运行及验收的全部基本要求的，本项得0分。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类似项目</w:t>
            </w:r>
            <w:r>
              <w:rPr>
                <w:rFonts w:hint="eastAsia" w:ascii="方正仿宋_GBK" w:hAnsi="方正仿宋_GBK" w:eastAsia="方正仿宋_GBK" w:cs="方正仿宋_GBK"/>
                <w:color w:val="000000"/>
                <w:sz w:val="28"/>
                <w:szCs w:val="32"/>
                <w:highlight w:val="none"/>
              </w:rPr>
              <w:t xml:space="preserve">业绩</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textDirection w:val="lrTb"/>
            <w:noWrap w:val="false"/>
          </w:tcPr>
          <w:p>
            <w:pPr>
              <w:jc w:val="left"/>
              <w:keepLines w:val="0"/>
              <w:keepNext w:val="0"/>
              <w:pageBreakBefore w:val="0"/>
              <w:spacing w:line="360" w:lineRule="exact"/>
              <w:widowControl w:val="off"/>
              <w:rPr>
                <w:rFonts w:hint="eastAsia" w:ascii="方正仿宋_GBK" w:hAnsi="方正仿宋_GBK" w:eastAsia="方正仿宋_GBK"/>
                <w:color w:val="000000"/>
                <w:sz w:val="28"/>
                <w:highlight w:val="none"/>
                <w:lang w:val="en-US" w:eastAsia="zh-CN"/>
              </w:rPr>
            </w:pPr>
            <w:r>
              <w:rPr>
                <w:rFonts w:hint="eastAsia" w:ascii="方正仿宋_GBK" w:hAnsi="方正仿宋_GBK" w:eastAsia="方正仿宋_GBK"/>
                <w:color w:val="000000"/>
                <w:sz w:val="28"/>
                <w:highlight w:val="none"/>
                <w:lang w:val="en-US" w:eastAsia="zh-CN"/>
              </w:rPr>
              <w:t xml:space="preserve">6.1业绩（4分）</w:t>
            </w:r>
            <w:r/>
          </w:p>
          <w:p>
            <w:pPr>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投标人自2023年1月1日以来（以合同签订时间为准）承担过</w:t>
            </w:r>
            <w:r>
              <w:rPr>
                <w:rFonts w:hint="eastAsia" w:ascii="方正仿宋_GBK" w:hAnsi="方正仿宋_GBK" w:eastAsia="方正仿宋_GBK"/>
                <w:color w:val="000000"/>
                <w:sz w:val="28"/>
                <w:highlight w:val="none"/>
                <w:lang w:val="en-US" w:eastAsia="zh-CN"/>
              </w:rPr>
              <w:t xml:space="preserve">与本项目类似的业绩</w:t>
            </w:r>
            <w:r>
              <w:rPr>
                <w:rFonts w:ascii="方正仿宋_GBK" w:hAnsi="方正仿宋_GBK" w:eastAsia="方正仿宋_GBK"/>
                <w:color w:val="000000"/>
                <w:sz w:val="28"/>
                <w:highlight w:val="none"/>
              </w:rPr>
              <w:t xml:space="preserve">，每提供1份有效业绩得</w:t>
            </w:r>
            <w:r>
              <w:rPr>
                <w:rFonts w:hint="eastAsia" w:ascii="方正仿宋_GBK" w:hAnsi="方正仿宋_GBK" w:eastAsia="方正仿宋_GBK"/>
                <w:color w:val="000000"/>
                <w:sz w:val="28"/>
                <w:highlight w:val="none"/>
              </w:rPr>
              <w:t xml:space="preserve">1</w:t>
            </w:r>
            <w:r>
              <w:rPr>
                <w:rFonts w:ascii="方正仿宋_GBK" w:hAnsi="方正仿宋_GBK" w:eastAsia="方正仿宋_GBK"/>
                <w:color w:val="000000"/>
                <w:sz w:val="28"/>
                <w:highlight w:val="none"/>
              </w:rPr>
              <w:t xml:space="preserve">分，最高得4分。</w:t>
            </w:r>
            <w:r/>
          </w:p>
          <w:p>
            <w:pPr>
              <w:jc w:val="left"/>
              <w:spacing w:line="360" w:lineRule="exact"/>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证明材料：提供合同关键页复印件或扫描件并加盖投标人公章，至少应能反映合同双方、项目名称或标的内容、合同金额、签订日期及签章页；材料无法反映评审要素的不得分。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28"/>
                <w:highlight w:val="none"/>
              </w:rPr>
              <w:t xml:space="preserve">节能环保</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lang w:val="en-US" w:eastAsia="zh-CN"/>
              </w:rPr>
            </w:pPr>
            <w:r>
              <w:rPr>
                <w:rFonts w:hint="eastAsia" w:ascii="方正仿宋_GBK" w:hAnsi="方正仿宋_GBK" w:eastAsia="方正仿宋_GBK" w:cs="方正仿宋_GBK"/>
                <w:color w:val="000000"/>
                <w:sz w:val="28"/>
                <w:szCs w:val="3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textDirection w:val="lrTb"/>
            <w:noWrap w:val="false"/>
          </w:tcPr>
          <w:p>
            <w:pPr>
              <w:jc w:val="left"/>
              <w:keepLines w:val="0"/>
              <w:keepNext w:val="0"/>
              <w:pageBreakBefore w:val="0"/>
              <w:spacing w:line="360" w:lineRule="exact"/>
              <w:widowControl w:val="off"/>
              <w:rPr>
                <w:rFonts w:hint="eastAsia" w:eastAsia="方正仿宋_GBK"/>
                <w:color w:val="000000"/>
                <w:highlight w:val="none"/>
                <w:lang w:eastAsia="zh-CN"/>
              </w:rPr>
            </w:pPr>
            <w:r>
              <w:rPr>
                <w:rFonts w:hint="eastAsia" w:ascii="方正仿宋_GBK" w:hAnsi="方正仿宋_GBK" w:eastAsia="方正仿宋_GBK"/>
                <w:color w:val="000000"/>
                <w:sz w:val="28"/>
                <w:highlight w:val="none"/>
              </w:rPr>
              <w:t xml:space="preserve">7.1</w:t>
            </w:r>
            <w:r>
              <w:rPr>
                <w:rFonts w:hint="eastAsia" w:ascii="方正仿宋_GBK" w:hAnsi="方正仿宋_GBK" w:eastAsia="方正仿宋_GBK"/>
                <w:color w:val="000000"/>
                <w:sz w:val="28"/>
                <w:highlight w:val="none"/>
                <w:lang w:eastAsia="zh-CN"/>
              </w:rPr>
              <w:t xml:space="preserve">（</w:t>
            </w:r>
            <w:r>
              <w:rPr>
                <w:rFonts w:hint="eastAsia" w:ascii="方正仿宋_GBK" w:hAnsi="方正仿宋_GBK" w:eastAsia="方正仿宋_GBK"/>
                <w:color w:val="000000"/>
                <w:sz w:val="28"/>
                <w:highlight w:val="none"/>
                <w:lang w:val="en-US" w:eastAsia="zh-CN"/>
              </w:rPr>
              <w:t xml:space="preserve">1分</w:t>
            </w:r>
            <w:r>
              <w:rPr>
                <w:rFonts w:hint="eastAsia" w:ascii="方正仿宋_GBK" w:hAnsi="方正仿宋_GBK" w:eastAsia="方正仿宋_GBK"/>
                <w:color w:val="000000"/>
                <w:sz w:val="28"/>
                <w:highlight w:val="none"/>
                <w:lang w:eastAsia="zh-CN"/>
              </w:rPr>
              <w:t xml:space="preserve">）</w:t>
            </w:r>
            <w:r>
              <w:rPr>
                <w:rFonts w:ascii="方正仿宋_GBK" w:hAnsi="方正仿宋_GBK" w:eastAsia="方正仿宋_GBK"/>
                <w:color w:val="000000"/>
                <w:sz w:val="28"/>
                <w:highlight w:val="none"/>
              </w:rPr>
              <w:t xml:space="preserve">投标产品属于财政部、国家发展改革委公布的《节能产品政府采购品目清单》范围，且投标人提供国家确定的认证机构出具的有效节能产品认证证书的，每提供1项得0.5分，最高得1分</w:t>
            </w:r>
            <w:r>
              <w:rPr>
                <w:rFonts w:hint="eastAsia" w:ascii="方正仿宋_GBK" w:hAnsi="方正仿宋_GBK" w:eastAsia="方正仿宋_GBK"/>
                <w:color w:val="000000"/>
                <w:sz w:val="28"/>
                <w:highlight w:val="none"/>
                <w:lang w:eastAsia="zh-CN"/>
              </w:rPr>
              <w:t xml:space="preserve">。</w:t>
            </w:r>
            <w:r/>
          </w:p>
          <w:p>
            <w:pPr>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olor w:val="000000"/>
                <w:sz w:val="28"/>
                <w:highlight w:val="none"/>
              </w:rPr>
              <w:t xml:space="preserve">7.2</w:t>
            </w:r>
            <w:r>
              <w:rPr>
                <w:rFonts w:hint="eastAsia" w:ascii="方正仿宋_GBK" w:hAnsi="方正仿宋_GBK" w:eastAsia="方正仿宋_GBK"/>
                <w:color w:val="000000"/>
                <w:sz w:val="28"/>
                <w:highlight w:val="none"/>
                <w:lang w:eastAsia="zh-CN"/>
              </w:rPr>
              <w:t xml:space="preserve">（</w:t>
            </w:r>
            <w:r>
              <w:rPr>
                <w:rFonts w:hint="eastAsia" w:ascii="方正仿宋_GBK" w:hAnsi="方正仿宋_GBK" w:eastAsia="方正仿宋_GBK"/>
                <w:color w:val="000000"/>
                <w:sz w:val="28"/>
                <w:highlight w:val="none"/>
                <w:lang w:val="en-US" w:eastAsia="zh-CN"/>
              </w:rPr>
              <w:t xml:space="preserve">1分</w:t>
            </w:r>
            <w:r>
              <w:rPr>
                <w:rFonts w:hint="eastAsia" w:ascii="方正仿宋_GBK" w:hAnsi="方正仿宋_GBK" w:eastAsia="方正仿宋_GBK"/>
                <w:color w:val="000000"/>
                <w:sz w:val="28"/>
                <w:highlight w:val="none"/>
                <w:lang w:eastAsia="zh-CN"/>
              </w:rPr>
              <w:t xml:space="preserve">）</w:t>
            </w:r>
            <w:r>
              <w:rPr>
                <w:rFonts w:ascii="方正仿宋_GBK" w:hAnsi="方正仿宋_GBK" w:eastAsia="方正仿宋_GBK"/>
                <w:color w:val="000000"/>
                <w:sz w:val="28"/>
                <w:highlight w:val="none"/>
              </w:rPr>
              <w:t xml:space="preserve">投标产品属于财政部、生态环境部公布的《环境标志产品政府采购品目清单》范围，且投标人提供国家确定的认证机构出具的有效环境标志产品认证证书的，每提供1项得0.5分，最高得1分。</w:t>
            </w:r>
            <w:r/>
          </w:p>
        </w:tc>
      </w:tr>
    </w:tbl>
    <w:p>
      <w:pPr>
        <w:pStyle w:val="920"/>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br w:type="page" w:clear="all"/>
      </w:r>
      <w:r>
        <w:rPr>
          <w:rFonts w:hint="eastAsia" w:ascii="黑体" w:hAnsi="黑体" w:eastAsia="黑体"/>
          <w:b w:val="0"/>
          <w:bCs w:val="0"/>
          <w:color w:val="000000"/>
          <w:sz w:val="28"/>
          <w:szCs w:val="28"/>
          <w:highlight w:val="none"/>
        </w:rPr>
        <w:t xml:space="preserve">第六章  投标</w:t>
      </w:r>
      <w:bookmarkEnd w:id="59"/>
      <w:r/>
      <w:bookmarkEnd w:id="60"/>
      <w:r/>
      <w:bookmarkEnd w:id="61"/>
      <w:r>
        <w:rPr>
          <w:rFonts w:hint="eastAsia" w:ascii="黑体" w:hAnsi="黑体" w:eastAsia="黑体"/>
          <w:b w:val="0"/>
          <w:bCs w:val="0"/>
          <w:color w:val="000000"/>
          <w:sz w:val="28"/>
          <w:szCs w:val="28"/>
          <w:highlight w:val="none"/>
        </w:rPr>
        <w:t xml:space="preserve">文件格式</w:t>
      </w:r>
      <w:r/>
    </w:p>
    <w:p>
      <w:pPr>
        <w:jc w:val="center"/>
        <w:spacing w:line="400" w:lineRule="exact"/>
        <w:rPr>
          <w:rFonts w:hint="eastAsia" w:ascii="宋体" w:hAnsi="宋体"/>
          <w:b/>
          <w:color w:val="000000"/>
          <w:sz w:val="28"/>
          <w:szCs w:val="28"/>
          <w:highlight w:val="none"/>
        </w:rPr>
      </w:pPr>
      <w:r/>
      <w:bookmarkStart w:id="62" w:name="_Hlt26671244"/>
      <w:r/>
      <w:bookmarkEnd w:id="62"/>
      <w:r/>
      <w:bookmarkStart w:id="63" w:name="_Hlt26955039"/>
      <w:r/>
      <w:bookmarkEnd w:id="63"/>
      <w:r/>
      <w:bookmarkStart w:id="64" w:name="_Toc26554094"/>
      <w:r/>
      <w:bookmarkStart w:id="65" w:name="_Toc49090576"/>
      <w:r/>
      <w:bookmarkStart w:id="66" w:name="_Toc120614282"/>
      <w:r/>
      <w:r/>
    </w:p>
    <w:p>
      <w:pPr>
        <w:jc w:val="center"/>
        <w:spacing w:line="400" w:lineRule="exact"/>
        <w:rPr>
          <w:rFonts w:hint="eastAsia" w:ascii="方正小标宋_GBK" w:hAnsi="方正小标宋_GBK" w:eastAsia="方正小标宋_GBK" w:cs="方正小标宋_GBK"/>
          <w:bCs/>
          <w:color w:val="000000"/>
          <w:sz w:val="32"/>
          <w:szCs w:val="32"/>
          <w:highlight w:val="none"/>
        </w:rPr>
      </w:pPr>
      <w:r>
        <w:rPr>
          <w:rFonts w:hint="eastAsia" w:ascii="方正小标宋_GBK" w:hAnsi="方正小标宋_GBK" w:eastAsia="方正小标宋_GBK" w:cs="方正小标宋_GBK"/>
          <w:bCs/>
          <w:color w:val="000000"/>
          <w:sz w:val="32"/>
          <w:szCs w:val="32"/>
          <w:highlight w:val="none"/>
        </w:rPr>
        <w:t xml:space="preserve">投  标  文  件</w:t>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      项 目 名 称：</w:t>
      </w:r>
      <w:r>
        <w:rPr>
          <w:rFonts w:hint="eastAsia" w:ascii="方正黑体_GBK" w:hAnsi="方正黑体_GBK" w:eastAsia="方正黑体_GBK" w:cs="方正黑体_GBK"/>
          <w:bCs/>
          <w:color w:val="000000"/>
          <w:sz w:val="28"/>
          <w:szCs w:val="28"/>
          <w:highlight w:val="none"/>
          <w:u w:val="single"/>
        </w:rPr>
        <w:t xml:space="preserve">               </w:t>
      </w:r>
      <w:r/>
    </w:p>
    <w:p>
      <w:pPr>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采 购 编 号：</w:t>
      </w:r>
      <w:r>
        <w:rPr>
          <w:rFonts w:hint="eastAsia" w:ascii="方正黑体_GBK" w:hAnsi="方正黑体_GBK" w:eastAsia="方正黑体_GBK" w:cs="方正黑体_GBK"/>
          <w:bCs/>
          <w:color w:val="000000"/>
          <w:sz w:val="28"/>
          <w:szCs w:val="28"/>
          <w:highlight w:val="none"/>
          <w:u w:val="single"/>
        </w:rPr>
        <w:t xml:space="preserve">               </w:t>
      </w:r>
      <w:r/>
    </w:p>
    <w:p>
      <w:pPr>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投标人名称 ：</w:t>
      </w:r>
      <w:r>
        <w:rPr>
          <w:rFonts w:hint="eastAsia" w:ascii="方正黑体_GBK" w:hAnsi="方正黑体_GBK" w:eastAsia="方正黑体_GBK" w:cs="方正黑体_GBK"/>
          <w:bCs/>
          <w:color w:val="000000"/>
          <w:sz w:val="28"/>
          <w:szCs w:val="28"/>
          <w:highlight w:val="none"/>
          <w:u w:val="single"/>
        </w:rPr>
        <w:t xml:space="preserve">（加盖CA电子公章）</w:t>
      </w:r>
      <w:r/>
    </w:p>
    <w:p>
      <w:pPr>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日      期 ：</w:t>
      </w:r>
      <w:r>
        <w:rPr>
          <w:rFonts w:hint="eastAsia" w:ascii="方正黑体_GBK" w:hAnsi="方正黑体_GBK" w:eastAsia="方正黑体_GBK" w:cs="方正黑体_GBK"/>
          <w:bCs/>
          <w:color w:val="000000"/>
          <w:sz w:val="28"/>
          <w:szCs w:val="28"/>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投标文件的组成</w:t>
      </w:r>
      <w:r/>
    </w:p>
    <w:p>
      <w:pPr>
        <w:jc w:val="center"/>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一、基本目录</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eastAsia="方正仿宋_GBK"/>
          <w:color w:val="000000"/>
          <w:sz w:val="28"/>
          <w:szCs w:val="28"/>
          <w:highlight w:val="none"/>
        </w:rPr>
        <w:t xml:space="preserve">XXXX</w:t>
      </w:r>
      <w:r>
        <w:rPr>
          <w:rFonts w:hint="eastAsia" w:ascii="方正仿宋_GBK" w:hAnsi="方正仿宋_GBK" w:eastAsia="方正仿宋_GBK" w:cs="方正仿宋_GBK"/>
          <w:color w:val="000000"/>
          <w:sz w:val="28"/>
          <w:szCs w:val="28"/>
          <w:highlight w:val="none"/>
        </w:rPr>
        <w:t xml:space="preserve">（格式见附件</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w:t>
      </w:r>
      <w:r/>
    </w:p>
    <w:p>
      <w:pPr>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二、资格审查内容</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1.法人或者其他组织的营业执照等证明文件，自然人的身份证明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2.上一年度的财务状况报告（投标人成立不满一年无需提供）</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3.依法缴纳税收和社会保障资金的相关材料（提供提交投标文件截止时间</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4.具备履行合同所必需的设备和专业技术能力的书面声明（格式见附件5）</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5.参加政府采购活动前 3 年内在经营活动中没有重大违法记录的书面声明（格式见附件6）</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6.特定资格要求的证明文件（如果本项目对投标人做出特定资格要求的，必须提供）</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7.在“信用中国”网站</w:t>
      </w:r>
      <w:r>
        <w:rPr>
          <w:rFonts w:eastAsia="方正仿宋_GBK"/>
          <w:color w:val="000000"/>
          <w:sz w:val="28"/>
          <w:szCs w:val="28"/>
          <w:highlight w:val="none"/>
        </w:rPr>
        <w:t xml:space="preserve">（www.creditchina.gov.cn）</w:t>
      </w:r>
      <w:r>
        <w:rPr>
          <w:rFonts w:hint="eastAsia" w:ascii="方正仿宋_GBK" w:hAnsi="方正仿宋_GBK" w:eastAsia="方正仿宋_GBK" w:cs="方正仿宋_GBK"/>
          <w:color w:val="000000"/>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8.法人授权书（格式见附件7）</w:t>
      </w:r>
      <w:r/>
    </w:p>
    <w:p>
      <w:pPr>
        <w:ind w:firstLine="560"/>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9.投标函（格式见附件8）</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总备注：上述“资格审查内容”中1-6条、8、9条投标人必须在投标文件中提供相关材料，否则作无效投标处理。</w:t>
      </w:r>
      <w:r/>
    </w:p>
    <w:p>
      <w:pPr>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三、符合性审查内容</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投标人必须对招标文件（含技术要求和商务要求）中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rPr>
          <w:rFonts w:hint="eastAsia" w:ascii="方正仿宋_GBK" w:hAnsi="方正仿宋_GBK" w:eastAsia="方正仿宋_GBK" w:cs="方正仿宋_GBK"/>
          <w:color w:val="000000"/>
          <w:sz w:val="28"/>
          <w:szCs w:val="28"/>
          <w:highlight w:val="none"/>
        </w:rPr>
        <w:t xml:space="preserve">的实质性要求逐条做出响应，并按照招标文件要求提供证明材料，否则作无效投标处理。（格式见附件11）</w:t>
      </w:r>
      <w:r/>
    </w:p>
    <w:p>
      <w:pPr>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四、价格扣除证明文件</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1.中小微企业声明函（格式见附件9）</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2.残疾人福利性单位声明函（格式见附件10）</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3.关于符合本国产品标准的声明函（格式见附件12）</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附件1 开标一览表</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投标人全称（加盖CA电子签章）：</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hint="eastAsia" w:eastAsia="方正仿宋_GBK"/>
          <w:color w:val="000000"/>
          <w:sz w:val="28"/>
          <w:szCs w:val="28"/>
          <w:highlight w:val="none"/>
        </w:rPr>
        <w:t xml:space="preserve">XXXX</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采购编号：</w:t>
      </w:r>
      <w:r>
        <w:rPr>
          <w:rFonts w:hint="eastAsia" w:eastAsia="方正仿宋_GBK"/>
          <w:color w:val="000000"/>
          <w:sz w:val="28"/>
          <w:szCs w:val="28"/>
          <w:highlight w:val="none"/>
        </w:rPr>
        <w:t xml:space="preserve">JSZC-320000-SCZX-G20XX-XXXX  </w:t>
      </w:r>
      <w:r>
        <w:rPr>
          <w:rFonts w:hint="eastAsia" w:ascii="方正仿宋_GBK" w:hAnsi="方正仿宋_GBK" w:eastAsia="方正仿宋_GBK" w:cs="方正仿宋_GBK"/>
          <w:color w:val="000000"/>
          <w:sz w:val="28"/>
          <w:szCs w:val="28"/>
          <w:highlight w:val="none"/>
        </w:rPr>
        <w:t xml:space="preserve">                                 </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eastAsia="方正仿宋_GBK"/>
          <w:color w:val="000000"/>
          <w:sz w:val="28"/>
          <w:szCs w:val="28"/>
          <w:highlight w:val="none"/>
        </w:rPr>
        <w:t xml:space="preserve">XX</w:t>
      </w:r>
      <w:r/>
    </w:p>
    <w:tbl>
      <w:tblPr>
        <w:tblStyle w:val="7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投标总报价</w:t>
            </w:r>
            <w:r/>
          </w:p>
        </w:tc>
      </w:tr>
      <w:tr>
        <w:trPr>
          <w:cantSplit/>
          <w:trHeight w:val="612"/>
        </w:trPr>
        <w:tc>
          <w:tcPr>
            <w:gridSpan w:val="2"/>
            <w:tcW w:w="8886" w:type="dxa"/>
            <w:vAlign w:val="center"/>
            <w:textDirection w:val="lrTb"/>
            <w:noWrap w:val="false"/>
          </w:tcPr>
          <w:p>
            <w:pPr>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小写：                             （人民币：元）</w:t>
            </w:r>
            <w:r/>
          </w:p>
        </w:tc>
      </w:tr>
      <w:tr>
        <w:trPr>
          <w:cantSplit/>
          <w:trHeight w:val="505"/>
        </w:trPr>
        <w:tc>
          <w:tcPr>
            <w:tcW w:w="248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核心产品品牌</w:t>
            </w:r>
            <w:r/>
          </w:p>
        </w:tc>
        <w:tc>
          <w:tcPr>
            <w:tcW w:w="6405" w:type="dxa"/>
            <w:vAlign w:val="center"/>
            <w:textDirection w:val="lrTb"/>
            <w:noWrap w:val="false"/>
          </w:tcPr>
          <w:p>
            <w:pPr>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附件2 投标分项报价表（采购包号：XX）</w:t>
      </w:r>
      <w:r/>
    </w:p>
    <w:tbl>
      <w:tblPr>
        <w:tblStyle w:val="748"/>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w:t>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w:t>
            </w:r>
            <w:r/>
          </w:p>
        </w:tc>
      </w:tr>
      <w:tr>
        <w:trPr>
          <w:cantSplit/>
          <w:trHeight w:val="294"/>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产品</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名称</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品牌</w:t>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规格</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型号</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制造商名称</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产地</w:t>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交付期</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数量</w:t>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单价</w:t>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总价</w:t>
            </w:r>
            <w:r/>
          </w:p>
        </w:tc>
      </w:tr>
      <w:tr>
        <w:trPr>
          <w:cantSplit/>
          <w:trHeight w:val="696"/>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合同签订后</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724"/>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580"/>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434"/>
        </w:trPr>
        <w:tc>
          <w:tcPr>
            <w:gridSpan w:val="10"/>
            <w:tcW w:w="9514" w:type="dxa"/>
            <w:textDirection w:val="lrTb"/>
            <w:noWrap w:val="false"/>
          </w:tcPr>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投标总报价（人民币：元）</w:t>
            </w:r>
            <w:r>
              <w:rPr>
                <w:rFonts w:hint="eastAsia" w:ascii="方正仿宋_GBK" w:hAnsi="方正仿宋_GBK" w:eastAsia="方正仿宋_GBK" w:cs="方正仿宋_GBK"/>
                <w:color w:val="000000"/>
                <w:sz w:val="28"/>
                <w:szCs w:val="28"/>
                <w:highlight w:val="none"/>
                <w:u w:val="single"/>
              </w:rPr>
              <w:t xml:space="preserve">                             </w:t>
            </w:r>
            <w:r/>
          </w:p>
        </w:tc>
      </w:tr>
      <w:tr>
        <w:trPr>
          <w:cantSplit/>
          <w:trHeight w:val="767"/>
        </w:trPr>
        <w:tc>
          <w:tcPr>
            <w:gridSpan w:val="10"/>
            <w:tcW w:w="9514" w:type="dxa"/>
            <w:textDirection w:val="lrTb"/>
            <w:noWrap w:val="false"/>
          </w:tcPr>
          <w:p>
            <w:pPr>
              <w:pStyle w:val="980"/>
              <w:spacing w:before="0" w:beforeAutospacing="0" w:after="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w:t>
            </w:r>
            <w:r/>
          </w:p>
        </w:tc>
      </w:tr>
    </w:tbl>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2.“投标分项报价表”中“投标总报价”数额应当与“开标一览表”中“投标总报价”数额一致。</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4.投标人需认真填写本报价表，尤其注意规格型号的准确填写。</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5.项目经办人可以根据项目实际需要对表格结构进行调整。</w:t>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附件3 技术要求响应及偏离表（采购包号：</w:t>
      </w:r>
      <w:r>
        <w:rPr>
          <w:rFonts w:hint="eastAsia" w:eastAsia="方正仿宋_GBK"/>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p>
    <w:tbl>
      <w:tblPr>
        <w:tblStyle w:val="7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技术要求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19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063"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附件3-1  证明材料1，证明材料2，……</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或未加*号条款</w:t>
      </w:r>
      <w:r>
        <w:rPr>
          <w:rFonts w:hint="eastAsia" w:ascii="方正仿宋_GBK" w:hAnsi="方正仿宋_GBK" w:eastAsia="方正仿宋_GBK" w:cs="方正仿宋_GBK"/>
          <w:color w:val="000000"/>
          <w:sz w:val="28"/>
          <w:szCs w:val="28"/>
          <w:highlight w:val="none"/>
        </w:rPr>
        <w:t xml:space="preserve">）逐条做出明确响应。</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2.如果招标文件要求提供证明材料，投标人需将证明材料列于该表之下。</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jc w:val="center"/>
        <w:spacing w:line="400" w:lineRule="exact"/>
        <w:rPr>
          <w:rFonts w:hint="eastAsia" w:ascii="方正黑体_GBK" w:hAnsi="方正黑体_GBK" w:eastAsia="方正黑体_GBK" w:cs="方正黑体_GBK"/>
          <w:b/>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附件4 商务要求响应及偏离表（采购包号：</w:t>
      </w:r>
      <w:r>
        <w:rPr>
          <w:rFonts w:hint="eastAsia" w:eastAsia="方正仿宋_GBK"/>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p>
    <w:tbl>
      <w:tblPr>
        <w:tblStyle w:val="7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商务要求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19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063"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ind w:firstLine="482"/>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附件4-1  证明材料1，证明材料2，……</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1.投标人需对招标文件商务要求中非实质性要求（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或未加*号条款</w:t>
      </w:r>
      <w:r>
        <w:rPr>
          <w:rFonts w:hint="eastAsia" w:ascii="方正仿宋_GBK" w:hAnsi="方正仿宋_GBK" w:eastAsia="方正仿宋_GBK" w:cs="方正仿宋_GBK"/>
          <w:color w:val="000000"/>
          <w:sz w:val="28"/>
          <w:szCs w:val="28"/>
          <w:highlight w:val="none"/>
        </w:rPr>
        <w:t xml:space="preserve">）逐条做出明确响应。</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2.如果招标文件要求提供证明材料，投标人需将证明材料列于该表之下。</w:t>
      </w:r>
      <w:r/>
    </w:p>
    <w:p>
      <w:pP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附件5 具备履行合同所必需的设备和专业技术能力的书面声明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主要设备有：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主要专业技术能力有：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p>
    <w:p>
      <w:pP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                                     </w:t>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附件6 参加政府采购活动前 3 年内在经营活动中没有重大违法记录的书面声明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64"/>
      <w:r/>
      <w:bookmarkEnd w:id="65"/>
      <w:r/>
      <w:bookmarkEnd w:id="66"/>
      <w:r/>
      <w:bookmarkStart w:id="67" w:name="_Toc120614284"/>
      <w:r/>
      <w:r/>
    </w:p>
    <w:p>
      <w:pP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附件7                   法人授权书</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（投标人名称）授权</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年</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月</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日起生效，特此声明。</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被授权人电子邮箱：</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w:t>
      </w:r>
      <w:bookmarkStart w:id="68" w:name="_Hlt26955070"/>
      <w:r/>
      <w:bookmarkEnd w:id="68"/>
      <w:r/>
      <w:bookmarkStart w:id="69" w:name="_格式3__银行出具的资信证明"/>
      <w:r/>
      <w:bookmarkEnd w:id="69"/>
      <w:r/>
      <w:bookmarkStart w:id="70" w:name="_Hlt26671380"/>
      <w:r/>
      <w:bookmarkEnd w:id="70"/>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420"/>
        <w:spacing w:line="400" w:lineRule="exact"/>
        <w:rPr>
          <w:color w:val="000000"/>
          <w:sz w:val="28"/>
          <w:szCs w:val="28"/>
          <w:highlight w:val="none"/>
        </w:rPr>
      </w:pPr>
      <w:r>
        <w:rPr>
          <w:color w:val="000000"/>
          <w:sz w:val="28"/>
          <w:szCs w:val="28"/>
          <w:highlight w:val="none"/>
        </w:rPr>
      </w:r>
      <w:r/>
    </w:p>
    <w:p>
      <w:pPr>
        <w:spacing w:line="400" w:lineRule="exact"/>
        <w:rPr>
          <w:rFonts w:ascii="黑体" w:hAnsi="黑体" w:eastAsia="黑体"/>
          <w:b/>
          <w:i/>
          <w:color w:val="000000"/>
          <w:sz w:val="28"/>
          <w:szCs w:val="28"/>
          <w:highlight w:val="none"/>
          <w:u w:val="single"/>
        </w:rPr>
      </w:pPr>
      <w:r>
        <w:rPr>
          <w:rFonts w:ascii="宋体" w:hAnsi="宋体" w:eastAsia="幼圆" w:cs="Arial"/>
          <w:b/>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附件8                    投标函</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根据贵方采购编号为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项目（项目名称）的招标文件，正式授权下述签字人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(姓名)代表我方</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（投标人的名称），全权处理本次项目投标的有关事宜。</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据此函，</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签字人兹宣布同意如下：</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1.按招标文件规定的各项要求，向买方提供所需货物（包含与货物相关的服务）。</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2.我们完全理解贵方不一定将合同授予最低报价的投标人。</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3.我们已详细审核全部招标文件及其有效补充文件。</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4.我们同意从规定的开标日期起遵循本投标文件，并在规定的投标有效期期满之前均具有约束力。</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5.同意向贵方提供贵方可能另外要求的与投标有关的任何证据或资料，并保证我方已提供和将要提供的文件是真实的、准确的。</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6.一旦我方中标,我方将根据招标文件的规定，严格履行合同的责任和义务,并保证在招标文件规定的时间内完成项目，交付买方验收、使用。</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7.与本投标有关的正式通讯地址为：</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          编：</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          话：</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传          真：</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投标人开户行：</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账          号： </w:t>
      </w:r>
      <w:r/>
    </w:p>
    <w:p>
      <w:pPr>
        <w:ind w:left="420" w:firstLine="560"/>
        <w:jc w:val="left"/>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left="383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供应商全称（加盖CA电子公章）：</w:t>
      </w:r>
      <w:r/>
    </w:p>
    <w:p>
      <w:pPr>
        <w:ind w:left="3830"/>
        <w:jc w:val="left"/>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附件9  中小微企业声明函（货物类项目）（采购包号：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本公司（联合体）郑重声明，根据《政府采购促进中小企业发展管理办法》(财库〔2020〕46号)的规定，本公司（联合体）参加江苏省政府采购中心组织的</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（采购单位名称）采购编号为</w:t>
      </w:r>
      <w:r>
        <w:rPr>
          <w:rFonts w:eastAsia="方正仿宋_GBK"/>
          <w:color w:val="000000"/>
          <w:sz w:val="28"/>
          <w:szCs w:val="28"/>
          <w:highlight w:val="none"/>
        </w:rPr>
        <w:t xml:space="preserve">JSZC-320000-SCZX-G20XX-XXXX，</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）的采购活动，提供的货物全部由符合政策要求的中小微企业制造。相关企业（含联合体中的中小微企业、签订采购包意向协议的中小微企业）的具体情况如下：</w:t>
      </w:r>
      <w:r/>
    </w:p>
    <w:p>
      <w:pPr>
        <w:ind w:firstLine="560"/>
        <w:spacing w:line="400" w:lineRule="exact"/>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1.</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i/>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属于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（供应商填写招标文件中明确的所属行业）行业；产品制造商为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（企业名称），从业人员</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人，营业收入为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万元，资产总额为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万元，属于</w:t>
      </w:r>
      <w:r>
        <w:rPr>
          <w:rFonts w:hint="eastAsia" w:ascii="方正仿宋_GBK" w:hAnsi="方正仿宋_GBK" w:eastAsia="方正仿宋_GBK" w:cs="方正仿宋_GBK"/>
          <w:color w:val="000000"/>
          <w:sz w:val="28"/>
          <w:szCs w:val="28"/>
          <w:highlight w:val="none"/>
          <w:u w:val="single"/>
        </w:rPr>
        <w:t xml:space="preserve">（□中型企业 □小型企业 □微型企业）；</w:t>
      </w:r>
      <w:r/>
    </w:p>
    <w:p>
      <w:pPr>
        <w:ind w:firstLine="560"/>
        <w:spacing w:line="400" w:lineRule="exact"/>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2.</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i/>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属于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（供应商填写招标文件中明确的所属行业）行业；产品制造商为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（企业名称），从业人员</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人，营业收入为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万元，资产总额为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万元，属于</w:t>
      </w:r>
      <w:r>
        <w:rPr>
          <w:rFonts w:hint="eastAsia" w:ascii="方正仿宋_GBK" w:hAnsi="方正仿宋_GBK" w:eastAsia="方正仿宋_GBK" w:cs="方正仿宋_GBK"/>
          <w:color w:val="000000"/>
          <w:sz w:val="28"/>
          <w:szCs w:val="28"/>
          <w:highlight w:val="none"/>
          <w:u w:val="single"/>
        </w:rPr>
        <w:t xml:space="preserve">（□中型企业 □小型企业 □微型企业）；</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以上企业，不属于大企业的分支机构，不存在控股股东为大企业的情形，也不存在与大企业的负责人为同一人的情形。</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本企业对上述声明内容的真实性负责。如有虚假，将依法承担相应责任</w:t>
      </w:r>
      <w:r/>
    </w:p>
    <w:p>
      <w:pPr>
        <w:ind w:right="180" w:firstLine="560"/>
        <w:jc w:val="righ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企业名称（加盖CA电子公章）：</w:t>
      </w:r>
      <w:r/>
    </w:p>
    <w:p>
      <w:pPr>
        <w:ind w:right="480" w:firstLine="364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1.从业人员、营业收入、资产总额填报上一年度数据，无上一年度数据的新成立企业可不填报。</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left"/>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000000"/>
          <w:sz w:val="28"/>
          <w:szCs w:val="28"/>
          <w:highlight w:val="none"/>
        </w:rPr>
        <w:t xml:space="preserve">        </w:t>
      </w:r>
      <w:r/>
    </w:p>
    <w:p>
      <w:pPr>
        <w:ind w:firstLine="560"/>
        <w:jc w:val="left"/>
        <w:spacing w:line="400" w:lineRule="exact"/>
        <w:rPr>
          <w:rFonts w:ascii="宋体" w:hAnsi="宋体"/>
          <w:color w:val="000000"/>
          <w:sz w:val="28"/>
          <w:szCs w:val="28"/>
          <w:highlight w:val="none"/>
        </w:rPr>
      </w:pPr>
      <w:r>
        <w:rPr>
          <w:rFonts w:ascii="宋体" w:hAnsi="宋体"/>
          <w:color w:val="000000"/>
          <w:sz w:val="28"/>
          <w:szCs w:val="28"/>
          <w:highlight w:val="none"/>
        </w:rPr>
      </w:r>
      <w:r/>
    </w:p>
    <w:p>
      <w:pPr>
        <w:ind w:firstLine="560"/>
        <w:jc w:val="left"/>
        <w:spacing w:line="400" w:lineRule="exact"/>
        <w:rPr>
          <w:rFonts w:ascii="宋体" w:hAnsi="宋体"/>
          <w:color w:val="000000"/>
          <w:sz w:val="28"/>
          <w:szCs w:val="28"/>
          <w:highlight w:val="none"/>
        </w:rPr>
      </w:pPr>
      <w:r>
        <w:rPr>
          <w:rFonts w:ascii="宋体" w:hAnsi="宋体"/>
          <w:color w:val="000000"/>
          <w:sz w:val="28"/>
          <w:szCs w:val="28"/>
          <w:highlight w:val="none"/>
        </w:rPr>
      </w:r>
      <w:r/>
    </w:p>
    <w:p>
      <w:pPr>
        <w:jc w:val="left"/>
        <w:spacing w:line="400" w:lineRule="exact"/>
        <w:rPr>
          <w:rFonts w:hint="eastAsia" w:ascii="宋体" w:hAnsi="宋体"/>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附件10残疾人福利性单位声明函（货物类项目）（采购包号：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单位采购编号为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u w:val="single"/>
        </w:rPr>
        <w:t xml:space="preserve">      </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）采购活动提供本单位制造的货物，或者提供其他残疾人福利性单位制造的货物（不包括使用非残疾人福利性单位注册商标的货物）。</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本单位对上述声明的真实性负责。如有虚假，将依法承担相应责任。</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3.中标/成交供应商为残疾人福利性单位的，此声明函将随中标/成交结果同时公告，接受社会监督。</w:t>
      </w:r>
      <w:r/>
    </w:p>
    <w:p>
      <w:pPr>
        <w:ind w:firstLine="584"/>
        <w:spacing w:line="400" w:lineRule="exact"/>
        <w:rPr>
          <w:rFonts w:ascii="仿宋_GB2312" w:eastAsia="仿宋_GB2312"/>
          <w:color w:val="000000"/>
          <w:spacing w:val="6"/>
          <w:sz w:val="28"/>
          <w:szCs w:val="28"/>
          <w:highlight w:val="none"/>
        </w:rPr>
      </w:pPr>
      <w:r>
        <w:rPr>
          <w:rFonts w:ascii="仿宋_GB2312" w:eastAsia="仿宋_GB2312"/>
          <w:color w:val="000000"/>
          <w:spacing w:val="6"/>
          <w:sz w:val="28"/>
          <w:szCs w:val="28"/>
          <w:highlight w:val="none"/>
        </w:rPr>
      </w:r>
      <w:r/>
    </w:p>
    <w:p>
      <w:pPr>
        <w:ind w:right="180" w:firstLine="584"/>
        <w:jc w:val="right"/>
        <w:spacing w:line="400" w:lineRule="exact"/>
        <w:rPr>
          <w:rFonts w:hint="eastAsia" w:ascii="方正仿宋_GBK" w:hAnsi="方正仿宋_GBK" w:eastAsia="方正仿宋_GBK" w:cs="方正仿宋_GBK"/>
          <w:color w:val="000000"/>
          <w:sz w:val="28"/>
          <w:szCs w:val="28"/>
          <w:highlight w:val="none"/>
        </w:rPr>
      </w:pPr>
      <w:r>
        <w:rPr>
          <w:rFonts w:hint="eastAsia" w:ascii="仿宋_GB2312" w:eastAsia="仿宋_GB2312"/>
          <w:color w:val="000000"/>
          <w:spacing w:val="6"/>
          <w:sz w:val="28"/>
          <w:szCs w:val="28"/>
          <w:highlight w:val="none"/>
        </w:rPr>
        <w:t xml:space="preserve">             </w:t>
      </w:r>
      <w:r>
        <w:rPr>
          <w:rFonts w:hint="eastAsia" w:ascii="宋体" w:hAnsi="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供应商全称（加盖CA电子公章）：</w:t>
      </w:r>
      <w:r/>
    </w:p>
    <w:p>
      <w:pPr>
        <w:ind w:right="180" w:firstLine="560"/>
        <w:jc w:val="righ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日  期：___年____月____日 </w:t>
      </w:r>
      <w:r/>
    </w:p>
    <w:p>
      <w:pPr>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ind w:firstLine="645"/>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400" w:lineRule="exact"/>
        <w:rPr>
          <w:rFonts w:hint="eastAsia" w:ascii="方正黑体_GBK" w:hAnsi="方正黑体_GBK" w:eastAsia="方正黑体_GBK" w:cs="方正黑体_GBK"/>
          <w:b/>
          <w:color w:val="000000"/>
          <w:sz w:val="28"/>
          <w:szCs w:val="28"/>
          <w:highlight w:val="none"/>
        </w:rPr>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附件11实质性要求响应及偏离表（采购包号：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p>
    <w:tbl>
      <w:tblPr>
        <w:tblStyle w:val="7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609"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3609"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609"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3317"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附件1</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-1 证明材料1，证明材料2，……</w:t>
      </w:r>
      <w:r/>
    </w:p>
    <w:p>
      <w:pPr>
        <w:spacing w:line="400" w:lineRule="exact"/>
        <w:rPr>
          <w:rFonts w:ascii="宋体" w:hAnsi="宋体"/>
          <w:color w:val="000000"/>
          <w:sz w:val="28"/>
          <w:szCs w:val="28"/>
          <w:highlight w:val="none"/>
        </w:rPr>
      </w:pPr>
      <w:r>
        <w:rPr>
          <w:rFonts w:ascii="宋体" w:hAnsi="宋体"/>
          <w:color w:val="000000"/>
          <w:sz w:val="28"/>
          <w:szCs w:val="28"/>
          <w:highlight w:val="none"/>
        </w:rPr>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rPr>
          <w:rFonts w:hint="eastAsia" w:ascii="方正仿宋_GBK" w:hAnsi="方正仿宋_GBK" w:eastAsia="方正仿宋_GBK" w:cs="方正仿宋_GBK"/>
          <w:color w:val="000000"/>
          <w:sz w:val="28"/>
          <w:szCs w:val="28"/>
          <w:highlight w:val="none"/>
        </w:rPr>
        <w:t xml:space="preserve">逐条做出明确响应。</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2.如果招标文件要求提供证明材料，投标人必须将证明材料列于该表之下。</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附件12  关于符合本国产品标准的声明函（采购包号：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p>
    <w:p>
      <w:pPr>
        <w:pStyle w:val="980"/>
        <w:ind w:firstLine="560"/>
        <w:spacing w:before="0" w:beforeAutospacing="0" w:after="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0"/>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1.</w:t>
      </w:r>
      <w:r>
        <w:rPr>
          <w:rStyle w:val="992"/>
          <w:rFonts w:hint="eastAsia" w:ascii="方正仿宋_GBK" w:hAnsi="方正仿宋_GBK" w:eastAsia="方正仿宋_GBK" w:cs="方正仿宋_GBK"/>
          <w:i w:val="0"/>
          <w:color w:val="000000"/>
          <w:sz w:val="28"/>
          <w:szCs w:val="28"/>
          <w:highlight w:val="none"/>
          <w:u w:val="single"/>
          <w:shd w:val="clear" w:color="auto" w:fill="ffffff"/>
        </w:rPr>
        <w:t xml:space="preserve">（产品名称1）</w:t>
      </w:r>
      <w:r>
        <w:rPr>
          <w:rStyle w:val="992"/>
          <w:rFonts w:hint="eastAsia" w:ascii="方正仿宋_GBK" w:hAnsi="方正仿宋_GBK" w:eastAsia="方正仿宋_GBK" w:cs="方正仿宋_GBK"/>
          <w:i w:val="0"/>
          <w:color w:val="000000"/>
          <w:sz w:val="28"/>
          <w:szCs w:val="28"/>
          <w:highlight w:val="none"/>
          <w:shd w:val="clear" w:color="auto" w:fill="ffffff"/>
          <w:vertAlign w:val="superscript"/>
        </w:rPr>
        <w:t xml:space="preserve">1</w:t>
      </w:r>
      <w:r>
        <w:rPr>
          <w:rFonts w:hint="eastAsia" w:ascii="方正仿宋_GBK" w:hAnsi="方正仿宋_GBK" w:eastAsia="方正仿宋_GBK" w:cs="方正仿宋_GBK"/>
          <w:color w:val="000000"/>
          <w:sz w:val="28"/>
          <w:szCs w:val="28"/>
          <w:highlight w:val="none"/>
          <w:shd w:val="clear" w:color="auto" w:fill="ffffff"/>
        </w:rPr>
        <w:t xml:space="preserve">，生产厂为</w:t>
      </w:r>
      <w:r>
        <w:rPr>
          <w:rStyle w:val="992"/>
          <w:rFonts w:hint="eastAsia" w:ascii="方正仿宋_GBK" w:hAnsi="方正仿宋_GBK" w:eastAsia="方正仿宋_GBK" w:cs="方正仿宋_GBK"/>
          <w:i w:val="0"/>
          <w:color w:val="000000"/>
          <w:sz w:val="28"/>
          <w:szCs w:val="28"/>
          <w:highlight w:val="none"/>
          <w:u w:val="single"/>
          <w:shd w:val="clear" w:color="auto" w:fill="ffffff"/>
        </w:rPr>
        <w:t xml:space="preserve">（厂名）</w:t>
      </w:r>
      <w:r>
        <w:rPr>
          <w:rStyle w:val="992"/>
          <w:rFonts w:hint="eastAsia" w:ascii="方正仿宋_GBK" w:hAnsi="方正仿宋_GBK" w:eastAsia="方正仿宋_GBK" w:cs="方正仿宋_GBK"/>
          <w:i w:val="0"/>
          <w:color w:val="000000"/>
          <w:sz w:val="28"/>
          <w:szCs w:val="28"/>
          <w:highlight w:val="none"/>
          <w:shd w:val="clear" w:color="auto" w:fill="ffffff"/>
          <w:vertAlign w:val="superscript"/>
        </w:rPr>
        <w:t xml:space="preserve">2</w:t>
      </w:r>
      <w:r>
        <w:rPr>
          <w:rFonts w:hint="eastAsia" w:ascii="方正仿宋_GBK" w:hAnsi="方正仿宋_GBK" w:eastAsia="方正仿宋_GBK" w:cs="方正仿宋_GBK"/>
          <w:color w:val="000000"/>
          <w:sz w:val="28"/>
          <w:szCs w:val="28"/>
          <w:highlight w:val="none"/>
          <w:shd w:val="clear" w:color="auto" w:fill="ffffff"/>
        </w:rPr>
        <w:t xml:space="preserve">，厂址为</w:t>
      </w:r>
      <w:r>
        <w:rPr>
          <w:rStyle w:val="992"/>
          <w:rFonts w:hint="eastAsia" w:ascii="方正仿宋_GBK" w:hAnsi="方正仿宋_GBK" w:eastAsia="方正仿宋_GBK" w:cs="方正仿宋_GBK"/>
          <w:i w:val="0"/>
          <w:color w:val="000000"/>
          <w:sz w:val="28"/>
          <w:szCs w:val="28"/>
          <w:highlight w:val="none"/>
          <w:u w:val="single"/>
          <w:shd w:val="clear" w:color="auto" w:fill="ffffff"/>
        </w:rPr>
        <w:t xml:space="preserve">（生产厂址）</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92"/>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的中国境内生产的组件成本占比≥</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92"/>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992"/>
          <w:rFonts w:hint="eastAsia" w:ascii="方正仿宋_GBK" w:hAnsi="方正仿宋_GBK" w:eastAsia="方正仿宋_GBK" w:cs="方正仿宋_GBK"/>
          <w:i w:val="0"/>
          <w:color w:val="000000"/>
          <w:sz w:val="28"/>
          <w:szCs w:val="28"/>
          <w:highlight w:val="none"/>
          <w:shd w:val="clear" w:color="auto" w:fill="ffffff"/>
          <w:vertAlign w:val="superscript"/>
        </w:rPr>
        <w:t xml:space="preserve">3</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92"/>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92"/>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992"/>
          <w:rFonts w:hint="eastAsia" w:ascii="方正仿宋_GBK" w:hAnsi="方正仿宋_GBK" w:eastAsia="方正仿宋_GBK" w:cs="方正仿宋_GBK"/>
          <w:i w:val="0"/>
          <w:color w:val="000000"/>
          <w:sz w:val="28"/>
          <w:szCs w:val="28"/>
          <w:highlight w:val="none"/>
          <w:shd w:val="clear" w:color="auto" w:fill="ffffff"/>
          <w:vertAlign w:val="superscript"/>
        </w:rPr>
        <w:t xml:space="preserve">4</w:t>
      </w:r>
      <w:r>
        <w:rPr>
          <w:rFonts w:hint="eastAsia" w:ascii="方正仿宋_GBK" w:hAnsi="方正仿宋_GBK" w:eastAsia="方正仿宋_GBK" w:cs="方正仿宋_GBK"/>
          <w:color w:val="000000"/>
          <w:sz w:val="28"/>
          <w:szCs w:val="28"/>
          <w:highlight w:val="none"/>
          <w:shd w:val="clear" w:color="auto" w:fill="ffffff"/>
        </w:rPr>
        <w:t xml:space="preserve">在中国境内生产。</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92"/>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92"/>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992"/>
          <w:rFonts w:hint="eastAsia" w:ascii="方正仿宋_GBK" w:hAnsi="方正仿宋_GBK" w:eastAsia="方正仿宋_GBK" w:cs="方正仿宋_GBK"/>
          <w:i w:val="0"/>
          <w:color w:val="000000"/>
          <w:sz w:val="28"/>
          <w:szCs w:val="28"/>
          <w:highlight w:val="none"/>
          <w:shd w:val="clear" w:color="auto" w:fill="ffffff"/>
          <w:vertAlign w:val="superscript"/>
        </w:rPr>
        <w:t xml:space="preserve">5</w:t>
      </w:r>
      <w:r>
        <w:rPr>
          <w:rFonts w:hint="eastAsia" w:ascii="方正仿宋_GBK" w:hAnsi="方正仿宋_GBK" w:eastAsia="方正仿宋_GBK" w:cs="方正仿宋_GBK"/>
          <w:color w:val="000000"/>
          <w:sz w:val="28"/>
          <w:szCs w:val="28"/>
          <w:highlight w:val="none"/>
          <w:shd w:val="clear" w:color="auto" w:fill="ffffff"/>
        </w:rPr>
        <w:t xml:space="preserve">在中国境内完成。</w:t>
      </w:r>
      <w:r/>
    </w:p>
    <w:p>
      <w:pPr>
        <w:pStyle w:val="980"/>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2.</w:t>
      </w:r>
      <w:r>
        <w:rPr>
          <w:rStyle w:val="992"/>
          <w:rFonts w:hint="eastAsia" w:ascii="方正仿宋_GBK" w:hAnsi="方正仿宋_GBK" w:eastAsia="方正仿宋_GBK" w:cs="方正仿宋_GBK"/>
          <w:i w:val="0"/>
          <w:color w:val="000000"/>
          <w:sz w:val="28"/>
          <w:szCs w:val="28"/>
          <w:highlight w:val="none"/>
          <w:u w:val="single"/>
          <w:shd w:val="clear" w:color="auto" w:fill="ffffff"/>
        </w:rPr>
        <w:t xml:space="preserve">（产品名称2）</w:t>
      </w:r>
      <w:r>
        <w:rPr>
          <w:rFonts w:hint="eastAsia" w:ascii="方正仿宋_GBK" w:hAnsi="方正仿宋_GBK" w:eastAsia="方正仿宋_GBK" w:cs="方正仿宋_GBK"/>
          <w:color w:val="000000"/>
          <w:sz w:val="28"/>
          <w:szCs w:val="28"/>
          <w:highlight w:val="none"/>
          <w:shd w:val="clear" w:color="auto" w:fill="ffffff"/>
        </w:rPr>
        <w:t xml:space="preserve">，生产厂为</w:t>
      </w:r>
      <w:r>
        <w:rPr>
          <w:rStyle w:val="992"/>
          <w:rFonts w:hint="eastAsia" w:ascii="方正仿宋_GBK" w:hAnsi="方正仿宋_GBK" w:eastAsia="方正仿宋_GBK" w:cs="方正仿宋_GBK"/>
          <w:i w:val="0"/>
          <w:color w:val="000000"/>
          <w:sz w:val="28"/>
          <w:szCs w:val="28"/>
          <w:highlight w:val="none"/>
          <w:u w:val="single"/>
          <w:shd w:val="clear" w:color="auto" w:fill="ffffff"/>
        </w:rPr>
        <w:t xml:space="preserve">（厂名）</w:t>
      </w:r>
      <w:r>
        <w:rPr>
          <w:rFonts w:hint="eastAsia" w:ascii="方正仿宋_GBK" w:hAnsi="方正仿宋_GBK" w:eastAsia="方正仿宋_GBK" w:cs="方正仿宋_GBK"/>
          <w:color w:val="000000"/>
          <w:sz w:val="28"/>
          <w:szCs w:val="28"/>
          <w:highlight w:val="none"/>
          <w:shd w:val="clear" w:color="auto" w:fill="ffffff"/>
        </w:rPr>
        <w:t xml:space="preserve">，厂址为</w:t>
      </w:r>
      <w:r>
        <w:rPr>
          <w:rStyle w:val="992"/>
          <w:rFonts w:hint="eastAsia" w:ascii="方正仿宋_GBK" w:hAnsi="方正仿宋_GBK" w:eastAsia="方正仿宋_GBK" w:cs="方正仿宋_GBK"/>
          <w:i w:val="0"/>
          <w:color w:val="000000"/>
          <w:sz w:val="28"/>
          <w:szCs w:val="28"/>
          <w:highlight w:val="none"/>
          <w:u w:val="single"/>
          <w:shd w:val="clear" w:color="auto" w:fill="ffffff"/>
        </w:rPr>
        <w:t xml:space="preserve">（生产厂址）</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92"/>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的中国境内生产的组件成本占比≥</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92"/>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92"/>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92"/>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在中国境内生产。</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92"/>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92"/>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在中国境内完成。</w:t>
      </w:r>
      <w:r/>
    </w:p>
    <w:p>
      <w:pPr>
        <w:pStyle w:val="980"/>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w:t>
      </w:r>
      <w:r/>
    </w:p>
    <w:p>
      <w:pPr>
        <w:pStyle w:val="980"/>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本公司（单位）对上述声明内容的真实性负责。如有虚假，愿承担相应法律责任。</w:t>
      </w:r>
      <w:r/>
    </w:p>
    <w:p>
      <w:pPr>
        <w:pStyle w:val="980"/>
        <w:spacing w:before="30" w:beforeAutospacing="0" w:after="30" w:afterAutospacing="0" w:line="400" w:lineRule="exact"/>
        <w:rPr>
          <w:rFonts w:hint="eastAsia"/>
          <w:color w:val="000000"/>
          <w:sz w:val="28"/>
          <w:szCs w:val="28"/>
          <w:highlight w:val="none"/>
        </w:rPr>
      </w:pPr>
      <w:r>
        <w:rPr>
          <w:rFonts w:hint="eastAsia"/>
          <w:color w:val="000000"/>
          <w:sz w:val="28"/>
          <w:szCs w:val="28"/>
          <w:highlight w:val="none"/>
        </w:rPr>
      </w:r>
      <w:r/>
    </w:p>
    <w:p>
      <w:pPr>
        <w:pStyle w:val="980"/>
        <w:ind w:firstLine="560"/>
        <w:jc w:val="right"/>
        <w:spacing w:before="30" w:beforeAutospacing="0" w:after="30" w:afterAutospacing="0" w:line="400" w:lineRule="exact"/>
        <w:rPr>
          <w:rFonts w:hint="eastAsia"/>
          <w:color w:val="000000"/>
          <w:sz w:val="28"/>
          <w:szCs w:val="28"/>
          <w:highlight w:val="none"/>
        </w:rPr>
      </w:pPr>
      <w:r>
        <w:rPr>
          <w:rFonts w:hint="eastAsia"/>
          <w:color w:val="000000"/>
          <w:sz w:val="28"/>
          <w:szCs w:val="28"/>
          <w:highlight w:val="non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                   公司（单位）名称（加盖CA电子公章）：　  日期：___年____月____日   </w:t>
      </w:r>
      <w:r>
        <w:rPr>
          <w:rFonts w:hint="eastAsia"/>
          <w:color w:val="000000"/>
          <w:sz w:val="28"/>
          <w:szCs w:val="28"/>
          <w:highlight w:val="none"/>
          <w:shd w:val="clear" w:color="auto" w:fill="ffffff"/>
        </w:rPr>
        <w:t xml:space="preserve">     </w:t>
      </w:r>
      <w:r/>
    </w:p>
    <w:p>
      <w:pPr>
        <w:pStyle w:val="980"/>
        <w:spacing w:before="30" w:beforeAutospacing="0" w:after="30" w:afterAutospacing="0" w:line="400" w:lineRule="exact"/>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p>
    <w:p>
      <w:pPr>
        <w:pStyle w:val="98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1.产品如有型号，请在“产品名称”栏一并填写。</w:t>
      </w:r>
      <w:r/>
    </w:p>
    <w:p>
      <w:pPr>
        <w:pStyle w:val="98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2.生产厂名与厂址应与生产厂营业执照载明的相关信息保持一致。</w:t>
      </w:r>
      <w:r/>
    </w:p>
    <w:p>
      <w:pPr>
        <w:pStyle w:val="98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3.该产品的中国境内生产的组件成本占比相关要求实施前，“规定比例”栏可不填，下同。</w:t>
      </w:r>
      <w:r/>
    </w:p>
    <w:p>
      <w:pPr>
        <w:pStyle w:val="98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4.该产品的关键组件要求实施前，“关键组件”栏可不填，下同。</w:t>
      </w:r>
      <w:r/>
    </w:p>
    <w:p>
      <w:pPr>
        <w:pStyle w:val="980"/>
        <w:spacing w:before="30" w:beforeAutospacing="0" w:after="30" w:afterAutospacing="0" w:line="400" w:lineRule="exact"/>
        <w:rPr>
          <w:rFonts w:hint="eastAsia" w:ascii="方正仿宋_GBK" w:hAnsi="方正仿宋_GBK" w:eastAsia="方正仿宋_GBK" w:cs="方正仿宋_GBK"/>
          <w:color w:val="000000"/>
          <w:sz w:val="28"/>
          <w:szCs w:val="28"/>
          <w:highlight w:val="none"/>
          <w:shd w:val="clear" w:color="auto" w:fill="ffffff"/>
        </w:rPr>
      </w:pPr>
      <w:r>
        <w:rPr>
          <w:rFonts w:hint="eastAsia" w:ascii="方正仿宋_GBK" w:hAnsi="方正仿宋_GBK" w:eastAsia="方正仿宋_GBK" w:cs="方正仿宋_GBK"/>
          <w:color w:val="000000"/>
          <w:sz w:val="28"/>
          <w:szCs w:val="28"/>
          <w:highlight w:val="none"/>
          <w:shd w:val="clear" w:color="auto" w:fill="ffffff"/>
        </w:rPr>
        <w:t xml:space="preserve">5.该产品的关键工序要求实施前，“关键工序”栏可不填，下同。</w:t>
      </w:r>
      <w:r/>
    </w:p>
    <w:p>
      <w:pPr>
        <w:pStyle w:val="980"/>
        <w:spacing w:before="30" w:beforeAutospacing="0" w:after="30" w:afterAutospacing="0" w:line="400" w:lineRule="exact"/>
        <w:rPr>
          <w:rFonts w:hint="eastAsia" w:ascii="方正仿宋_GBK" w:hAnsi="方正仿宋_GBK" w:eastAsia="方正仿宋_GBK" w:cs="方正仿宋_GBK"/>
          <w:color w:val="000000"/>
          <w:sz w:val="28"/>
          <w:szCs w:val="28"/>
          <w:highlight w:val="none"/>
          <w:shd w:val="clear" w:color="auto" w:fill="ffffff"/>
        </w:rPr>
      </w:pPr>
      <w:r>
        <w:rPr>
          <w:rFonts w:hint="eastAsia" w:ascii="方正仿宋_GBK" w:hAnsi="方正仿宋_GBK" w:eastAsia="方正仿宋_GBK" w:cs="方正仿宋_GBK"/>
          <w:color w:val="000000"/>
          <w:sz w:val="28"/>
          <w:szCs w:val="28"/>
          <w:highlight w:val="none"/>
          <w:shd w:val="clear" w:color="auto" w:fill="ffffff"/>
        </w:rPr>
        <w:t xml:space="preserve">6.《声明函》中标注“</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992"/>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”的地方无需填写。</w:t>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bookmarkEnd w:id="57"/>
      <w:bookmarkEnd w:id="58"/>
      <w:bookmarkEnd w:id="67"/>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质疑函范本</w:t>
      </w:r>
      <w:r/>
    </w:p>
    <w:p>
      <w:pPr>
        <w:spacing w:before="312"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一、质疑供应商基本信息</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质疑供应商：</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授权代表：</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二、质疑项目基本情况</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质疑项目的名称：</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采购人名称：</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采购文件获取日期：</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三、质疑事项具体内容</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质疑事项1：</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事实依据：</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法律依据：</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质疑事项2</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四、与质疑事项相关的质疑请求</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请求：</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签字(签章)：                   公章：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日期：    </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质疑函制作说明：</w:t>
      </w: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1.供应商提出质疑时，应提交质疑函和必要的证明材料。</w:t>
      </w: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3.质疑供应商若对项目的某一采购包进行质疑，质疑函中应列明具体采购包号。</w:t>
      </w: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4.质疑函的质疑事项应具体、明确，并有必要的事实依据和法律依据。</w:t>
      </w: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5.质疑函的质疑请求应与质疑事项相关。</w:t>
      </w: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400" w:lineRule="exact"/>
        <w:widowControl/>
        <w:rPr>
          <w:rFonts w:ascii="宋体" w:hAnsi="宋体"/>
          <w:color w:val="000000"/>
          <w:sz w:val="28"/>
          <w:szCs w:val="28"/>
          <w:highlight w:val="none"/>
        </w:rPr>
      </w:pPr>
      <w:r>
        <w:rPr>
          <w:rFonts w:ascii="宋体" w:hAnsi="宋体"/>
          <w:color w:val="000000"/>
          <w:sz w:val="28"/>
          <w:szCs w:val="28"/>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2"/>
      <w:footerReference w:type="even" r:id="rId13"/>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___WRD_EMBED_SUB_47">
    <w:panose1 w:val="020B0503020202020204"/>
  </w:font>
  <w:font w:name="方正楷体_GBK">
    <w:panose1 w:val="020B050302020202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pPr>
    <w:r/>
    <w:r/>
  </w:p>
  <w:p>
    <w:pPr>
      <w:pStyle w:val="9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posOffset>3048635</wp:posOffset>
              </wp:positionH>
              <wp:positionV relativeFrom="paragraph">
                <wp:posOffset>-21590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799" cy="1828800"/>
                      </a:xfrm>
                      <a:prstGeom prst="rect">
                        <a:avLst/>
                      </a:prstGeom>
                      <a:ln>
                        <a:noFill/>
                      </a:ln>
                    </wps:spPr>
                    <wps:txbx>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argin-left:240.0pt;mso-position-horizontal:absolute;mso-position-vertical-relative:text;margin-top:-1.7pt;mso-position-vertical:absolute;width:144.0pt;height:144.0pt;mso-wrap-distance-left:0.0pt;mso-wrap-distance-top:0.0pt;mso-wrap-distance-right:0.0pt;mso-wrap-distance-bottom:0.0pt;visibility:visible;" filled="f" stroked="f">
              <v:textbox inset="0,0,0,0">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9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posOffset>2351405</wp:posOffset>
              </wp:positionH>
              <wp:positionV relativeFrom="paragraph">
                <wp:posOffset>-186690</wp:posOffset>
              </wp:positionV>
              <wp:extent cx="733425" cy="379095"/>
              <wp:effectExtent l="6350" t="6350" r="6350" b="6350"/>
              <wp:wrapNone/>
              <wp:docPr id="2" name="文本框 2"/>
              <wp:cNvGraphicFramePr/>
              <a:graphic xmlns:a="http://schemas.openxmlformats.org/drawingml/2006/main">
                <a:graphicData uri="http://schemas.microsoft.com/office/word/2010/wordprocessingShape">
                  <wps:wsp>
                    <wps:cNvPr id="0" name=""/>
                    <wps:cNvSpPr/>
                    <wps:spPr bwMode="auto">
                      <a:xfrm>
                        <a:off x="0" y="0"/>
                        <a:ext cx="733424" cy="379095"/>
                      </a:xfrm>
                      <a:prstGeom prst="rect">
                        <a:avLst/>
                      </a:prstGeom>
                      <a:ln>
                        <a:noFill/>
                      </a:ln>
                    </wps:spPr>
                    <wps:txbx>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wps:txbx>
                    <wps:bodyPr wrap="square" lIns="0" tIns="0" rIns="0" bIns="0" upright="1">
                      <a:noAutofit/>
                    </wps:bodyPr>
                  </wps:wsp>
                </a:graphicData>
              </a:graphic>
            </wp:anchor>
          </w:drawing>
        </mc:Choice>
        <mc:Fallback>
          <w:pict>
            <v:shape id="shape 1" o:spid="_x0000_s1" o:spt="1" type="#_x0000_t1" style="position:absolute;z-index:251659264;o:allowoverlap:true;o:allowincell:true;mso-position-horizontal-relative:margin;margin-left:185.1pt;mso-position-horizontal:absolute;mso-position-vertical-relative:text;margin-top:-14.7pt;mso-position-vertical:absolute;width:57.8pt;height:29.8pt;mso-wrap-distance-left:0.0pt;mso-wrap-distance-top:0.0pt;mso-wrap-distance-right:0.0pt;mso-wrap-distance-bottom:0.0pt;visibility:visible;" filled="f" stroked="f">
              <v:textbox inset="0,0,0,0">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90"/>
      </w:rPr>
      <w:framePr w:wrap="around" w:vAnchor="text" w:hAnchor="margin" w:xAlign="center" w:y="1"/>
    </w:pPr>
    <w:r>
      <w:fldChar w:fldCharType="begin"/>
    </w:r>
    <w:r>
      <w:rPr>
        <w:rStyle w:val="990"/>
      </w:rPr>
      <w:instrText xml:space="preserve">PAGE  </w:instrText>
    </w:r>
    <w:r>
      <w:fldChar w:fldCharType="separate"/>
    </w:r>
    <w:r>
      <w:rPr>
        <w:rStyle w:val="990"/>
      </w:rPr>
      <w:t xml:space="preserve">1</w:t>
    </w:r>
    <w:r>
      <w:fldChar w:fldCharType="end"/>
    </w:r>
    <w:r/>
  </w:p>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5"/>
      <w:isLgl w:val="false"/>
      <w:suff w:val="nothing"/>
      <w:lvlText w:val=""/>
      <w:lvlJc w:val="left"/>
      <w:pPr>
        <w:ind w:left="0" w:firstLine="0"/>
      </w:pPr>
      <w:rPr>
        <w:rFonts w:hint="eastAsia"/>
      </w:rPr>
    </w:lvl>
    <w:lvl w:ilvl="6">
      <w:start w:val="1"/>
      <w:numFmt w:val="decimal"/>
      <w:pStyle w:val="926"/>
      <w:isLgl w:val="false"/>
      <w:suff w:val="nothing"/>
      <w:lvlText w:val=""/>
      <w:lvlJc w:val="left"/>
      <w:pPr>
        <w:ind w:left="0" w:firstLine="0"/>
      </w:pPr>
      <w:rPr>
        <w:rFonts w:hint="eastAsia"/>
      </w:rPr>
    </w:lvl>
    <w:lvl w:ilvl="7">
      <w:start w:val="1"/>
      <w:numFmt w:val="decimal"/>
      <w:pStyle w:val="927"/>
      <w:isLgl w:val="false"/>
      <w:suff w:val="nothing"/>
      <w:lvlText w:val=""/>
      <w:lvlJc w:val="left"/>
      <w:pPr>
        <w:ind w:left="0" w:firstLine="0"/>
      </w:pPr>
      <w:rPr>
        <w:rFonts w:hint="eastAsia"/>
      </w:rPr>
    </w:lvl>
    <w:lvl w:ilvl="8">
      <w:start w:val="1"/>
      <w:numFmt w:val="decimal"/>
      <w:pStyle w:val="928"/>
      <w:isLgl w:val="false"/>
      <w:suff w:val="nothing"/>
      <w:lvlText w:val=""/>
      <w:lvlJc w:val="left"/>
      <w:pPr>
        <w:ind w:left="0" w:firstLine="0"/>
      </w:pPr>
      <w:rPr>
        <w:rFonts w:hint="eastAsia"/>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1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7"/>
    <w:link w:val="738"/>
    <w:uiPriority w:val="9"/>
    <w:rPr>
      <w:rFonts w:ascii="Arial" w:hAnsi="Arial" w:eastAsia="Arial" w:cs="Arial"/>
      <w:sz w:val="40"/>
      <w:szCs w:val="40"/>
    </w:rPr>
  </w:style>
  <w:style w:type="character" w:styleId="15">
    <w:name w:val="Heading 2 Char"/>
    <w:basedOn w:val="747"/>
    <w:link w:val="739"/>
    <w:uiPriority w:val="9"/>
    <w:rPr>
      <w:rFonts w:ascii="Arial" w:hAnsi="Arial" w:eastAsia="Arial" w:cs="Arial"/>
      <w:sz w:val="34"/>
    </w:rPr>
  </w:style>
  <w:style w:type="character" w:styleId="17">
    <w:name w:val="Heading 3 Char"/>
    <w:basedOn w:val="747"/>
    <w:link w:val="740"/>
    <w:uiPriority w:val="9"/>
    <w:rPr>
      <w:rFonts w:ascii="Arial" w:hAnsi="Arial" w:eastAsia="Arial" w:cs="Arial"/>
      <w:sz w:val="30"/>
      <w:szCs w:val="30"/>
    </w:rPr>
  </w:style>
  <w:style w:type="character" w:styleId="19">
    <w:name w:val="Heading 4 Char"/>
    <w:basedOn w:val="747"/>
    <w:link w:val="741"/>
    <w:uiPriority w:val="9"/>
    <w:rPr>
      <w:rFonts w:ascii="Arial" w:hAnsi="Arial" w:eastAsia="Arial" w:cs="Arial"/>
      <w:b/>
      <w:bCs/>
      <w:sz w:val="26"/>
      <w:szCs w:val="26"/>
    </w:rPr>
  </w:style>
  <w:style w:type="character" w:styleId="21">
    <w:name w:val="Heading 5 Char"/>
    <w:basedOn w:val="747"/>
    <w:link w:val="742"/>
    <w:uiPriority w:val="9"/>
    <w:rPr>
      <w:rFonts w:ascii="Arial" w:hAnsi="Arial" w:eastAsia="Arial" w:cs="Arial"/>
      <w:b/>
      <w:bCs/>
      <w:sz w:val="24"/>
      <w:szCs w:val="24"/>
    </w:rPr>
  </w:style>
  <w:style w:type="character" w:styleId="23">
    <w:name w:val="Heading 6 Char"/>
    <w:basedOn w:val="747"/>
    <w:link w:val="743"/>
    <w:uiPriority w:val="9"/>
    <w:rPr>
      <w:rFonts w:ascii="Arial" w:hAnsi="Arial" w:eastAsia="Arial" w:cs="Arial"/>
      <w:b/>
      <w:bCs/>
      <w:sz w:val="22"/>
      <w:szCs w:val="22"/>
    </w:rPr>
  </w:style>
  <w:style w:type="character" w:styleId="25">
    <w:name w:val="Heading 7 Char"/>
    <w:basedOn w:val="747"/>
    <w:link w:val="744"/>
    <w:uiPriority w:val="9"/>
    <w:rPr>
      <w:rFonts w:ascii="Arial" w:hAnsi="Arial" w:eastAsia="Arial" w:cs="Arial"/>
      <w:b/>
      <w:bCs/>
      <w:i/>
      <w:iCs/>
      <w:sz w:val="22"/>
      <w:szCs w:val="22"/>
    </w:rPr>
  </w:style>
  <w:style w:type="character" w:styleId="27">
    <w:name w:val="Heading 8 Char"/>
    <w:basedOn w:val="747"/>
    <w:link w:val="745"/>
    <w:uiPriority w:val="9"/>
    <w:rPr>
      <w:rFonts w:ascii="Arial" w:hAnsi="Arial" w:eastAsia="Arial" w:cs="Arial"/>
      <w:i/>
      <w:iCs/>
      <w:sz w:val="22"/>
      <w:szCs w:val="22"/>
    </w:rPr>
  </w:style>
  <w:style w:type="character" w:styleId="29">
    <w:name w:val="Heading 9 Char"/>
    <w:basedOn w:val="747"/>
    <w:link w:val="746"/>
    <w:uiPriority w:val="9"/>
    <w:rPr>
      <w:rFonts w:ascii="Arial" w:hAnsi="Arial" w:eastAsia="Arial" w:cs="Arial"/>
      <w:i/>
      <w:iCs/>
      <w:sz w:val="21"/>
      <w:szCs w:val="21"/>
    </w:rPr>
  </w:style>
  <w:style w:type="character" w:styleId="34">
    <w:name w:val="Title Char"/>
    <w:basedOn w:val="747"/>
    <w:link w:val="766"/>
    <w:uiPriority w:val="10"/>
    <w:rPr>
      <w:sz w:val="48"/>
      <w:szCs w:val="48"/>
    </w:rPr>
  </w:style>
  <w:style w:type="character" w:styleId="38">
    <w:name w:val="Quote Char"/>
    <w:link w:val="784"/>
    <w:uiPriority w:val="29"/>
    <w:rPr>
      <w:i/>
    </w:rPr>
  </w:style>
  <w:style w:type="character" w:styleId="40">
    <w:name w:val="Intense Quote Char"/>
    <w:link w:val="786"/>
    <w:uiPriority w:val="30"/>
    <w:rPr>
      <w:i/>
    </w:rPr>
  </w:style>
  <w:style w:type="character" w:styleId="42">
    <w:name w:val="Header Char"/>
    <w:basedOn w:val="747"/>
    <w:link w:val="756"/>
    <w:uiPriority w:val="99"/>
  </w:style>
  <w:style w:type="character" w:styleId="44">
    <w:name w:val="Footer Char"/>
    <w:basedOn w:val="747"/>
    <w:link w:val="755"/>
    <w:uiPriority w:val="99"/>
  </w:style>
  <w:style w:type="paragraph" w:styleId="189">
    <w:name w:val="TOC Heading"/>
    <w:uiPriority w:val="39"/>
    <w:unhideWhenUsed/>
  </w:style>
  <w:style w:type="paragraph" w:styleId="737"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8">
    <w:name w:val="Heading 1"/>
    <w:basedOn w:val="737"/>
    <w:next w:val="737"/>
    <w:link w:val="771"/>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37"/>
    <w:link w:val="772"/>
    <w:uiPriority w:val="9"/>
    <w:qFormat/>
    <w:pPr>
      <w:keepLines/>
      <w:keepNext/>
      <w:spacing w:before="360" w:after="200"/>
      <w:outlineLvl w:val="1"/>
    </w:pPr>
    <w:rPr>
      <w:rFonts w:ascii="Arial" w:hAnsi="Arial" w:eastAsia="Arial" w:cs="Arial"/>
      <w:sz w:val="34"/>
    </w:rPr>
  </w:style>
  <w:style w:type="paragraph" w:styleId="740">
    <w:name w:val="Heading 3"/>
    <w:basedOn w:val="737"/>
    <w:next w:val="737"/>
    <w:link w:val="773"/>
    <w:uiPriority w:val="9"/>
    <w:qFormat/>
    <w:pPr>
      <w:keepLines/>
      <w:keepNext/>
      <w:spacing w:before="320" w:after="200"/>
      <w:outlineLvl w:val="2"/>
    </w:pPr>
    <w:rPr>
      <w:rFonts w:ascii="Arial" w:hAnsi="Arial" w:eastAsia="Arial" w:cs="Arial"/>
      <w:sz w:val="30"/>
      <w:szCs w:val="30"/>
    </w:rPr>
  </w:style>
  <w:style w:type="paragraph" w:styleId="741">
    <w:name w:val="Heading 4"/>
    <w:basedOn w:val="737"/>
    <w:next w:val="737"/>
    <w:link w:val="774"/>
    <w:uiPriority w:val="9"/>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link w:val="775"/>
    <w:uiPriority w:val="9"/>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776"/>
    <w:uiPriority w:val="9"/>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link w:val="777"/>
    <w:uiPriority w:val="9"/>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link w:val="778"/>
    <w:uiPriority w:val="9"/>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link w:val="779"/>
    <w:uiPriority w:val="9"/>
    <w:qFormat/>
    <w:pPr>
      <w:keepLines/>
      <w:keepNext/>
      <w:spacing w:before="320" w:after="200"/>
      <w:outlineLvl w:val="8"/>
    </w:pPr>
    <w:rPr>
      <w:rFonts w:ascii="Arial" w:hAnsi="Arial" w:eastAsia="Arial" w:cs="Arial"/>
      <w:i/>
      <w:iCs/>
      <w:sz w:val="21"/>
      <w:szCs w:val="21"/>
    </w:rPr>
  </w:style>
  <w:style w:type="character" w:styleId="747" w:default="1">
    <w:name w:val="Default Paragraph Font"/>
    <w:uiPriority w:val="1"/>
    <w:qFormat/>
  </w:style>
  <w:style w:type="table" w:styleId="748" w:default="1">
    <w:name w:val="Normal Table"/>
    <w:uiPriority w:val="99"/>
    <w:qFormat/>
    <w:tblPr>
      <w:tblCellMar>
        <w:left w:w="108" w:type="dxa"/>
        <w:top w:w="0" w:type="dxa"/>
        <w:right w:w="108" w:type="dxa"/>
        <w:bottom w:w="0" w:type="dxa"/>
      </w:tblCellMar>
    </w:tblPr>
  </w:style>
  <w:style w:type="paragraph" w:styleId="749">
    <w:name w:val="toc 7"/>
    <w:basedOn w:val="737"/>
    <w:next w:val="737"/>
    <w:uiPriority w:val="39"/>
    <w:qFormat/>
    <w:pPr>
      <w:ind w:left="1701" w:right="0" w:firstLine="0"/>
      <w:spacing w:after="57"/>
    </w:pPr>
  </w:style>
  <w:style w:type="paragraph" w:styleId="750">
    <w:name w:val="Caption"/>
    <w:basedOn w:val="737"/>
    <w:next w:val="737"/>
    <w:uiPriority w:val="35"/>
    <w:qFormat/>
    <w:pPr>
      <w:spacing w:line="276" w:lineRule="auto"/>
    </w:pPr>
    <w:rPr>
      <w:b/>
      <w:bCs/>
      <w:color w:val="4f81bd"/>
      <w:sz w:val="18"/>
      <w:szCs w:val="18"/>
    </w:rPr>
  </w:style>
  <w:style w:type="paragraph" w:styleId="751">
    <w:name w:val="toc 5"/>
    <w:basedOn w:val="737"/>
    <w:next w:val="737"/>
    <w:uiPriority w:val="39"/>
    <w:qFormat/>
    <w:pPr>
      <w:ind w:left="1134" w:right="0" w:firstLine="0"/>
      <w:spacing w:after="57"/>
    </w:pPr>
  </w:style>
  <w:style w:type="paragraph" w:styleId="752">
    <w:name w:val="toc 3"/>
    <w:basedOn w:val="737"/>
    <w:next w:val="737"/>
    <w:uiPriority w:val="39"/>
    <w:qFormat/>
    <w:pPr>
      <w:ind w:left="567" w:right="0" w:firstLine="0"/>
      <w:spacing w:after="57"/>
    </w:pPr>
  </w:style>
  <w:style w:type="paragraph" w:styleId="753">
    <w:name w:val="toc 8"/>
    <w:basedOn w:val="737"/>
    <w:next w:val="737"/>
    <w:uiPriority w:val="39"/>
    <w:qFormat/>
    <w:pPr>
      <w:ind w:left="1984" w:right="0" w:firstLine="0"/>
      <w:spacing w:after="57"/>
    </w:pPr>
  </w:style>
  <w:style w:type="paragraph" w:styleId="754">
    <w:name w:val="endnote text"/>
    <w:basedOn w:val="737"/>
    <w:link w:val="917"/>
    <w:uiPriority w:val="99"/>
    <w:qFormat/>
    <w:pPr>
      <w:spacing w:after="0" w:line="240" w:lineRule="auto"/>
    </w:pPr>
    <w:rPr>
      <w:sz w:val="20"/>
    </w:rPr>
  </w:style>
  <w:style w:type="paragraph" w:styleId="755">
    <w:name w:val="Footer"/>
    <w:basedOn w:val="737"/>
    <w:link w:val="790"/>
    <w:uiPriority w:val="99"/>
    <w:qFormat/>
    <w:pPr>
      <w:spacing w:after="0" w:line="240" w:lineRule="auto"/>
      <w:tabs>
        <w:tab w:val="center" w:pos="7143" w:leader="none"/>
        <w:tab w:val="right" w:pos="14287" w:leader="none"/>
      </w:tabs>
    </w:pPr>
  </w:style>
  <w:style w:type="paragraph" w:styleId="756">
    <w:name w:val="Header"/>
    <w:basedOn w:val="737"/>
    <w:link w:val="788"/>
    <w:uiPriority w:val="99"/>
    <w:qFormat/>
    <w:pPr>
      <w:spacing w:after="0" w:line="240" w:lineRule="auto"/>
      <w:tabs>
        <w:tab w:val="center" w:pos="7143" w:leader="none"/>
        <w:tab w:val="right" w:pos="14287" w:leader="none"/>
      </w:tabs>
    </w:pPr>
  </w:style>
  <w:style w:type="paragraph" w:styleId="757">
    <w:name w:val="toc 1"/>
    <w:basedOn w:val="737"/>
    <w:next w:val="737"/>
    <w:uiPriority w:val="39"/>
    <w:qFormat/>
    <w:pPr>
      <w:ind w:left="0" w:right="0" w:firstLine="0"/>
      <w:spacing w:after="57"/>
    </w:pPr>
  </w:style>
  <w:style w:type="paragraph" w:styleId="758">
    <w:name w:val="toc 4"/>
    <w:basedOn w:val="737"/>
    <w:next w:val="737"/>
    <w:uiPriority w:val="39"/>
    <w:qFormat/>
    <w:pPr>
      <w:ind w:left="850" w:right="0" w:firstLine="0"/>
      <w:spacing w:after="57"/>
    </w:pPr>
  </w:style>
  <w:style w:type="paragraph" w:styleId="759">
    <w:name w:val="Subtitle"/>
    <w:basedOn w:val="737"/>
    <w:next w:val="737"/>
    <w:link w:val="783"/>
    <w:uiPriority w:val="11"/>
    <w:qFormat/>
    <w:pPr>
      <w:spacing w:before="200" w:after="200"/>
    </w:pPr>
    <w:rPr>
      <w:sz w:val="24"/>
      <w:szCs w:val="24"/>
    </w:rPr>
  </w:style>
  <w:style w:type="paragraph" w:styleId="760">
    <w:name w:val="footnote text"/>
    <w:basedOn w:val="737"/>
    <w:link w:val="916"/>
    <w:uiPriority w:val="99"/>
    <w:qFormat/>
    <w:pPr>
      <w:spacing w:after="40" w:line="240" w:lineRule="auto"/>
    </w:pPr>
    <w:rPr>
      <w:sz w:val="18"/>
    </w:rPr>
  </w:style>
  <w:style w:type="paragraph" w:styleId="761">
    <w:name w:val="toc 6"/>
    <w:basedOn w:val="737"/>
    <w:next w:val="737"/>
    <w:uiPriority w:val="39"/>
    <w:qFormat/>
    <w:pPr>
      <w:ind w:left="1417" w:right="0" w:firstLine="0"/>
      <w:spacing w:after="57"/>
    </w:pPr>
  </w:style>
  <w:style w:type="paragraph" w:styleId="762">
    <w:name w:val="table of figures"/>
    <w:basedOn w:val="737"/>
    <w:next w:val="737"/>
    <w:uiPriority w:val="99"/>
    <w:qFormat/>
    <w:pPr>
      <w:spacing w:after="0" w:afterAutospacing="0"/>
    </w:pPr>
  </w:style>
  <w:style w:type="paragraph" w:styleId="763">
    <w:name w:val="toc 2"/>
    <w:basedOn w:val="737"/>
    <w:next w:val="737"/>
    <w:uiPriority w:val="39"/>
    <w:qFormat/>
    <w:pPr>
      <w:ind w:left="283" w:right="0" w:firstLine="0"/>
      <w:spacing w:after="57"/>
    </w:pPr>
  </w:style>
  <w:style w:type="paragraph" w:styleId="764">
    <w:name w:val="toc 9"/>
    <w:basedOn w:val="737"/>
    <w:next w:val="737"/>
    <w:uiPriority w:val="39"/>
    <w:qFormat/>
    <w:pPr>
      <w:ind w:left="2268" w:right="0" w:firstLine="0"/>
      <w:spacing w:after="57"/>
    </w:pPr>
  </w:style>
  <w:style w:type="paragraph" w:styleId="765">
    <w:name w:val="Normal (Web)"/>
    <w:basedOn w:val="737"/>
    <w:uiPriority w:val="99"/>
    <w:qFormat/>
    <w:pPr>
      <w:ind w:left="0" w:right="0"/>
      <w:jc w:val="left"/>
      <w:spacing w:before="0" w:beforeAutospacing="1" w:after="0" w:afterAutospacing="1"/>
    </w:pPr>
    <w:rPr>
      <w:sz w:val="24"/>
      <w:lang w:val="en-US" w:eastAsia="zh-CN"/>
    </w:rPr>
  </w:style>
  <w:style w:type="paragraph" w:styleId="766">
    <w:name w:val="Title"/>
    <w:basedOn w:val="737"/>
    <w:next w:val="737"/>
    <w:link w:val="782"/>
    <w:uiPriority w:val="10"/>
    <w:qFormat/>
    <w:pPr>
      <w:contextualSpacing/>
      <w:spacing w:before="300" w:after="200"/>
    </w:pPr>
    <w:rPr>
      <w:sz w:val="48"/>
      <w:szCs w:val="48"/>
    </w:rPr>
  </w:style>
  <w:style w:type="table" w:styleId="7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qFormat/>
    <w:rPr>
      <w:vertAlign w:val="superscript"/>
    </w:rPr>
  </w:style>
  <w:style w:type="character" w:styleId="769">
    <w:name w:val="Hyperlink"/>
    <w:uiPriority w:val="99"/>
    <w:qFormat/>
    <w:rPr>
      <w:color w:val="0000ff"/>
      <w:u w:val="single"/>
    </w:rPr>
  </w:style>
  <w:style w:type="character" w:styleId="770">
    <w:name w:val="footnote reference"/>
    <w:uiPriority w:val="99"/>
    <w:qFormat/>
    <w:rPr>
      <w:vertAlign w:val="superscript"/>
    </w:rPr>
  </w:style>
  <w:style w:type="character" w:styleId="771" w:customStyle="1">
    <w:name w:val="Heading 1 Char_d5b835b6-98c5-46f5-ad5f-85804710238f"/>
    <w:link w:val="738"/>
    <w:uiPriority w:val="9"/>
    <w:qFormat/>
    <w:rPr>
      <w:rFonts w:ascii="Arial" w:hAnsi="Arial" w:eastAsia="Arial" w:cs="Arial"/>
      <w:sz w:val="40"/>
      <w:szCs w:val="40"/>
    </w:rPr>
  </w:style>
  <w:style w:type="character" w:styleId="772" w:customStyle="1">
    <w:name w:val="Heading 2 Char_99763d3d-e9be-4641-80d8-18819fbbf44c"/>
    <w:link w:val="739"/>
    <w:uiPriority w:val="9"/>
    <w:qFormat/>
    <w:rPr>
      <w:rFonts w:ascii="Arial" w:hAnsi="Arial" w:eastAsia="Arial" w:cs="Arial"/>
      <w:sz w:val="34"/>
    </w:rPr>
  </w:style>
  <w:style w:type="character" w:styleId="773" w:customStyle="1">
    <w:name w:val="Heading 3 Char_4d9a7706-ac14-4dae-a56a-8cd0d583ba13"/>
    <w:link w:val="740"/>
    <w:uiPriority w:val="9"/>
    <w:qFormat/>
    <w:rPr>
      <w:rFonts w:ascii="Arial" w:hAnsi="Arial" w:eastAsia="Arial" w:cs="Arial"/>
      <w:sz w:val="30"/>
      <w:szCs w:val="30"/>
    </w:rPr>
  </w:style>
  <w:style w:type="character" w:styleId="774" w:customStyle="1">
    <w:name w:val="Heading 4 Char_58e1d890-b28b-40eb-a7b5-eb2394b9cd5a"/>
    <w:link w:val="741"/>
    <w:uiPriority w:val="9"/>
    <w:qFormat/>
    <w:rPr>
      <w:rFonts w:ascii="Arial" w:hAnsi="Arial" w:eastAsia="Arial" w:cs="Arial"/>
      <w:b/>
      <w:bCs/>
      <w:sz w:val="26"/>
      <w:szCs w:val="26"/>
    </w:rPr>
  </w:style>
  <w:style w:type="character" w:styleId="775" w:customStyle="1">
    <w:name w:val="Heading 5 Char_0bfe616e-77a4-4000-b7f8-fab495af6c08"/>
    <w:link w:val="742"/>
    <w:uiPriority w:val="9"/>
    <w:qFormat/>
    <w:rPr>
      <w:rFonts w:ascii="Arial" w:hAnsi="Arial" w:eastAsia="Arial" w:cs="Arial"/>
      <w:b/>
      <w:bCs/>
      <w:sz w:val="24"/>
      <w:szCs w:val="24"/>
    </w:rPr>
  </w:style>
  <w:style w:type="character" w:styleId="776" w:customStyle="1">
    <w:name w:val="Heading 6 Char_2d78a6af-00da-4955-8591-5f627db5fee7"/>
    <w:link w:val="743"/>
    <w:uiPriority w:val="9"/>
    <w:qFormat/>
    <w:rPr>
      <w:rFonts w:ascii="Arial" w:hAnsi="Arial" w:eastAsia="Arial" w:cs="Arial"/>
      <w:b/>
      <w:bCs/>
      <w:sz w:val="22"/>
      <w:szCs w:val="22"/>
    </w:rPr>
  </w:style>
  <w:style w:type="character" w:styleId="777" w:customStyle="1">
    <w:name w:val="Heading 7 Char_81e61fd0-5086-48dc-ae96-33c0e83feec9"/>
    <w:link w:val="744"/>
    <w:uiPriority w:val="9"/>
    <w:qFormat/>
    <w:rPr>
      <w:rFonts w:ascii="Arial" w:hAnsi="Arial" w:eastAsia="Arial" w:cs="Arial"/>
      <w:b/>
      <w:bCs/>
      <w:i/>
      <w:iCs/>
      <w:sz w:val="22"/>
      <w:szCs w:val="22"/>
    </w:rPr>
  </w:style>
  <w:style w:type="character" w:styleId="778" w:customStyle="1">
    <w:name w:val="Heading 8 Char_fb8aa71f-4748-4148-af63-ab6deab648d4"/>
    <w:link w:val="745"/>
    <w:uiPriority w:val="9"/>
    <w:qFormat/>
    <w:rPr>
      <w:rFonts w:ascii="Arial" w:hAnsi="Arial" w:eastAsia="Arial" w:cs="Arial"/>
      <w:i/>
      <w:iCs/>
      <w:sz w:val="22"/>
      <w:szCs w:val="22"/>
    </w:rPr>
  </w:style>
  <w:style w:type="character" w:styleId="779" w:customStyle="1">
    <w:name w:val="Heading 9 Char_b0cc6617-e4c5-4f48-846e-a2dff3299fd8"/>
    <w:link w:val="746"/>
    <w:uiPriority w:val="9"/>
    <w:qFormat/>
    <w:rPr>
      <w:rFonts w:ascii="Arial" w:hAnsi="Arial" w:eastAsia="Arial" w:cs="Arial"/>
      <w:i/>
      <w:iCs/>
      <w:sz w:val="21"/>
      <w:szCs w:val="21"/>
    </w:rPr>
  </w:style>
  <w:style w:type="paragraph" w:styleId="780">
    <w:name w:val="List Paragraph"/>
    <w:basedOn w:val="737"/>
    <w:uiPriority w:val="34"/>
    <w:qFormat/>
    <w:pPr>
      <w:contextualSpacing/>
      <w:ind w:left="720"/>
    </w:p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character" w:styleId="782" w:customStyle="1">
    <w:name w:val="Title Char_c3dfa150-cc73-4740-b3c7-8ec0e389265f"/>
    <w:link w:val="766"/>
    <w:uiPriority w:val="10"/>
    <w:qFormat/>
    <w:rPr>
      <w:sz w:val="48"/>
      <w:szCs w:val="48"/>
    </w:rPr>
  </w:style>
  <w:style w:type="character" w:styleId="783" w:customStyle="1">
    <w:name w:val="Subtitle Char"/>
    <w:link w:val="759"/>
    <w:uiPriority w:val="11"/>
    <w:qFormat/>
    <w:rPr>
      <w:sz w:val="24"/>
      <w:szCs w:val="24"/>
    </w:rPr>
  </w:style>
  <w:style w:type="paragraph" w:styleId="784">
    <w:name w:val="Quote"/>
    <w:basedOn w:val="737"/>
    <w:next w:val="737"/>
    <w:link w:val="785"/>
    <w:uiPriority w:val="29"/>
    <w:qFormat/>
    <w:pPr>
      <w:ind w:left="720" w:right="720"/>
    </w:pPr>
    <w:rPr>
      <w:i/>
    </w:rPr>
  </w:style>
  <w:style w:type="character" w:styleId="785" w:customStyle="1">
    <w:name w:val="Quote Char_5e140876-ae33-4e57-9d68-637f8c06245e"/>
    <w:link w:val="784"/>
    <w:uiPriority w:val="29"/>
    <w:qFormat/>
    <w:rPr>
      <w:i/>
    </w:rPr>
  </w:style>
  <w:style w:type="paragraph" w:styleId="786">
    <w:name w:val="Intense Quote"/>
    <w:basedOn w:val="737"/>
    <w:next w:val="737"/>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_be63a31a-dae7-4a12-af98-6f843d5d763c"/>
    <w:link w:val="786"/>
    <w:uiPriority w:val="30"/>
    <w:qFormat/>
    <w:rPr>
      <w:i/>
    </w:rPr>
  </w:style>
  <w:style w:type="character" w:styleId="788" w:customStyle="1">
    <w:name w:val="Header Char_ca4a457c-5f5d-4aea-a417-9ad63e265caa"/>
    <w:link w:val="756"/>
    <w:uiPriority w:val="99"/>
    <w:qFormat/>
  </w:style>
  <w:style w:type="character" w:styleId="789" w:customStyle="1">
    <w:name w:val="Footer Char_0260b1c2-2f5c-4f4a-a45a-03107d8de359"/>
    <w:link w:val="755"/>
    <w:uiPriority w:val="99"/>
    <w:qFormat/>
  </w:style>
  <w:style w:type="character" w:styleId="790" w:customStyle="1">
    <w:name w:val="Caption Char"/>
    <w:link w:val="755"/>
    <w:uiPriority w:val="99"/>
    <w:qFormat/>
  </w:style>
  <w:style w:type="table" w:styleId="791"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92"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11"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9"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20"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21"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22"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23"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24"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25"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6"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27"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28"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29"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30"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31"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32"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33"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34"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35"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36"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37"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38"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39"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46"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53"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54"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55"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56"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57"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58"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59"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60"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1"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2"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63"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64"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65"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66"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67"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8"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9"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70"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71"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72"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73"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75"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76"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77"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78"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79"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80"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81"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82"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83"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84"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85"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86"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87"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88" w:customStyle="1">
    <w:name w:val="List Table 7 Colorful"/>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pPr>
      <w:spacing w:after="0" w:line="240" w:lineRule="auto"/>
    </w:pPr>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pPr>
      <w:spacing w:after="0" w:line="240" w:lineRule="auto"/>
    </w:pPr>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pPr>
      <w:spacing w:after="0" w:line="240" w:lineRule="auto"/>
    </w:pPr>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pPr>
      <w:spacing w:after="0" w:line="240" w:lineRule="auto"/>
    </w:pPr>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pPr>
      <w:spacing w:after="0" w:line="240" w:lineRule="auto"/>
    </w:pPr>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9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2"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3"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4"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5"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6"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7"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8"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9"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10"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11"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12"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13"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14"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15"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16" w:customStyle="1">
    <w:name w:val="Footnote Text Char"/>
    <w:link w:val="760"/>
    <w:uiPriority w:val="99"/>
    <w:qFormat/>
    <w:rPr>
      <w:sz w:val="18"/>
    </w:rPr>
  </w:style>
  <w:style w:type="character" w:styleId="917" w:customStyle="1">
    <w:name w:val="Endnote Text Char"/>
    <w:link w:val="754"/>
    <w:uiPriority w:val="99"/>
    <w:qFormat/>
    <w:rPr>
      <w:sz w:val="20"/>
    </w:rPr>
  </w:style>
  <w:style w:type="paragraph" w:styleId="918" w:customStyle="1">
    <w:name w:val="TOC Heading_ab7588a6-ce6b-4215-ad8c-99df0ee2314d"/>
    <w:uiPriority w:val="39"/>
    <w:qFormat/>
    <w:rPr>
      <w:rFonts w:hint="default" w:ascii="Times New Roman" w:hAnsi="Times New Roman" w:eastAsia="宋体" w:cs="Times New Roman"/>
    </w:rPr>
  </w:style>
  <w:style w:type="paragraph" w:styleId="919" w:customStyle="1">
    <w:name w:val="标题 11"/>
    <w:basedOn w:val="737"/>
    <w:next w:val="737"/>
    <w:link w:val="931"/>
    <w:uiPriority w:val="0"/>
    <w:qFormat/>
    <w:pPr>
      <w:jc w:val="center"/>
      <w:keepNext/>
      <w:outlineLvl w:val="0"/>
    </w:pPr>
    <w:rPr>
      <w:rFonts w:ascii="楷体_GB2312" w:hAnsi="Times New Roman" w:eastAsia="楷体_GB2312" w:cs="Times New Roman"/>
      <w:sz w:val="28"/>
      <w:szCs w:val="28"/>
    </w:rPr>
  </w:style>
  <w:style w:type="paragraph" w:styleId="920" w:customStyle="1">
    <w:name w:val="标题 21"/>
    <w:basedOn w:val="737"/>
    <w:next w:val="921"/>
    <w:link w:val="93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1" w:customStyle="1">
    <w:name w:val="正文缩进1"/>
    <w:basedOn w:val="737"/>
    <w:link w:val="933"/>
    <w:uiPriority w:val="0"/>
    <w:qFormat/>
    <w:pPr>
      <w:ind w:firstLine="420"/>
    </w:pPr>
    <w:rPr>
      <w:szCs w:val="21"/>
    </w:rPr>
  </w:style>
  <w:style w:type="paragraph" w:styleId="922" w:customStyle="1">
    <w:name w:val="标题 31"/>
    <w:basedOn w:val="737"/>
    <w:next w:val="921"/>
    <w:link w:val="93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3" w:customStyle="1">
    <w:name w:val="标题 41"/>
    <w:basedOn w:val="737"/>
    <w:next w:val="921"/>
    <w:link w:val="935"/>
    <w:uiPriority w:val="0"/>
    <w:qFormat/>
    <w:pPr>
      <w:keepLines/>
      <w:keepNext/>
      <w:spacing w:before="280" w:after="290" w:line="376" w:lineRule="auto"/>
      <w:outlineLvl w:val="3"/>
    </w:pPr>
    <w:rPr>
      <w:rFonts w:ascii="Arial" w:hAnsi="Arial" w:eastAsia="黑体" w:cs="Arial"/>
      <w:b/>
      <w:bCs/>
      <w:sz w:val="28"/>
      <w:szCs w:val="28"/>
    </w:rPr>
  </w:style>
  <w:style w:type="paragraph" w:styleId="924" w:customStyle="1">
    <w:name w:val="标题 51"/>
    <w:basedOn w:val="737"/>
    <w:next w:val="921"/>
    <w:link w:val="936"/>
    <w:uiPriority w:val="0"/>
    <w:qFormat/>
    <w:pPr>
      <w:keepNext/>
      <w:outlineLvl w:val="4"/>
    </w:pPr>
    <w:rPr>
      <w:rFonts w:ascii="宋体" w:hAnsi="Times New Roman" w:eastAsia="宋体" w:cs="Times New Roman"/>
      <w:color w:val="000000"/>
      <w:sz w:val="28"/>
      <w:szCs w:val="28"/>
    </w:rPr>
  </w:style>
  <w:style w:type="paragraph" w:styleId="925" w:customStyle="1">
    <w:name w:val="标题 61"/>
    <w:basedOn w:val="737"/>
    <w:next w:val="737"/>
    <w:link w:val="93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6" w:customStyle="1">
    <w:name w:val="标题 71"/>
    <w:basedOn w:val="737"/>
    <w:next w:val="737"/>
    <w:link w:val="93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7" w:customStyle="1">
    <w:name w:val="标题 81"/>
    <w:basedOn w:val="737"/>
    <w:next w:val="737"/>
    <w:link w:val="93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8" w:customStyle="1">
    <w:name w:val="标题 91"/>
    <w:basedOn w:val="737"/>
    <w:next w:val="737"/>
    <w:link w:val="94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9" w:customStyle="1">
    <w:name w:val="默认段落字体1"/>
    <w:uiPriority w:val="1"/>
    <w:qFormat/>
  </w:style>
  <w:style w:type="table" w:styleId="930" w:customStyle="1">
    <w:name w:val="普通表格1"/>
    <w:uiPriority w:val="99"/>
    <w:qFormat/>
    <w:tblPr/>
  </w:style>
  <w:style w:type="character" w:styleId="931" w:customStyle="1">
    <w:name w:val="标题 1 字符"/>
    <w:link w:val="919"/>
    <w:uiPriority w:val="0"/>
    <w:qFormat/>
    <w:rPr>
      <w:rFonts w:ascii="楷体_GB2312" w:hAnsi="Times New Roman" w:eastAsia="楷体_GB2312" w:cs="Times New Roman"/>
      <w:sz w:val="28"/>
      <w:szCs w:val="28"/>
    </w:rPr>
  </w:style>
  <w:style w:type="character" w:styleId="932" w:customStyle="1">
    <w:name w:val="标题 2 字符"/>
    <w:link w:val="920"/>
    <w:uiPriority w:val="0"/>
    <w:qFormat/>
    <w:rPr>
      <w:rFonts w:ascii="Arial" w:hAnsi="Arial" w:eastAsia="幼圆" w:cs="Arial"/>
      <w:b/>
      <w:bCs/>
      <w:sz w:val="44"/>
      <w:szCs w:val="44"/>
    </w:rPr>
  </w:style>
  <w:style w:type="character" w:styleId="933" w:customStyle="1">
    <w:name w:val="正文缩进 字符"/>
    <w:link w:val="921"/>
    <w:uiPriority w:val="0"/>
    <w:qFormat/>
    <w:rPr>
      <w:szCs w:val="21"/>
    </w:rPr>
  </w:style>
  <w:style w:type="character" w:styleId="934" w:customStyle="1">
    <w:name w:val="标题 3 字符"/>
    <w:link w:val="922"/>
    <w:uiPriority w:val="0"/>
    <w:qFormat/>
    <w:rPr>
      <w:rFonts w:ascii="Times New Roman" w:hAnsi="Times New Roman" w:eastAsia="宋体" w:cs="Times New Roman"/>
      <w:b/>
      <w:bCs/>
      <w:sz w:val="32"/>
      <w:szCs w:val="32"/>
    </w:rPr>
  </w:style>
  <w:style w:type="character" w:styleId="935" w:customStyle="1">
    <w:name w:val="标题 4 字符"/>
    <w:link w:val="923"/>
    <w:uiPriority w:val="0"/>
    <w:qFormat/>
    <w:rPr>
      <w:rFonts w:ascii="Arial" w:hAnsi="Arial" w:eastAsia="黑体" w:cs="Arial"/>
      <w:b/>
      <w:bCs/>
      <w:sz w:val="28"/>
      <w:szCs w:val="28"/>
    </w:rPr>
  </w:style>
  <w:style w:type="character" w:styleId="936" w:customStyle="1">
    <w:name w:val="标题 5 字符"/>
    <w:link w:val="924"/>
    <w:uiPriority w:val="0"/>
    <w:qFormat/>
    <w:rPr>
      <w:rFonts w:ascii="宋体" w:hAnsi="Times New Roman" w:eastAsia="宋体" w:cs="Times New Roman"/>
      <w:color w:val="000000"/>
      <w:sz w:val="28"/>
      <w:szCs w:val="28"/>
    </w:rPr>
  </w:style>
  <w:style w:type="character" w:styleId="937" w:customStyle="1">
    <w:name w:val="标题 6 字符"/>
    <w:link w:val="925"/>
    <w:uiPriority w:val="0"/>
    <w:qFormat/>
    <w:rPr>
      <w:rFonts w:ascii="Arial" w:hAnsi="Arial" w:eastAsia="黑体" w:cs="Times New Roman"/>
      <w:b/>
      <w:bCs/>
      <w:sz w:val="24"/>
      <w:szCs w:val="24"/>
    </w:rPr>
  </w:style>
  <w:style w:type="character" w:styleId="938" w:customStyle="1">
    <w:name w:val="标题 7 字符"/>
    <w:link w:val="926"/>
    <w:uiPriority w:val="0"/>
    <w:qFormat/>
    <w:rPr>
      <w:rFonts w:ascii="Times New Roman" w:hAnsi="Times New Roman" w:eastAsia="宋体" w:cs="Times New Roman"/>
      <w:b/>
      <w:bCs/>
      <w:sz w:val="24"/>
      <w:szCs w:val="24"/>
    </w:rPr>
  </w:style>
  <w:style w:type="character" w:styleId="939" w:customStyle="1">
    <w:name w:val="标题 8 字符"/>
    <w:link w:val="927"/>
    <w:uiPriority w:val="0"/>
    <w:qFormat/>
    <w:rPr>
      <w:rFonts w:ascii="Arial" w:hAnsi="Arial" w:eastAsia="黑体" w:cs="Times New Roman"/>
      <w:sz w:val="24"/>
      <w:szCs w:val="24"/>
    </w:rPr>
  </w:style>
  <w:style w:type="character" w:styleId="940" w:customStyle="1">
    <w:name w:val="标题 9 字符"/>
    <w:link w:val="928"/>
    <w:uiPriority w:val="0"/>
    <w:qFormat/>
    <w:rPr>
      <w:rFonts w:ascii="Arial" w:hAnsi="Arial" w:eastAsia="黑体" w:cs="Times New Roman"/>
      <w:szCs w:val="21"/>
    </w:rPr>
  </w:style>
  <w:style w:type="paragraph" w:styleId="941" w:customStyle="1">
    <w:name w:val="列表 31"/>
    <w:basedOn w:val="737"/>
    <w:uiPriority w:val="0"/>
    <w:qFormat/>
    <w:pPr>
      <w:ind w:left="100" w:hanging="200"/>
    </w:pPr>
    <w:rPr>
      <w:rFonts w:ascii="Times New Roman" w:hAnsi="Times New Roman" w:eastAsia="宋体" w:cs="Times New Roman"/>
      <w:szCs w:val="21"/>
    </w:rPr>
  </w:style>
  <w:style w:type="paragraph" w:styleId="942" w:customStyle="1">
    <w:name w:val="目录 71"/>
    <w:basedOn w:val="737"/>
    <w:next w:val="737"/>
    <w:uiPriority w:val="0"/>
    <w:qFormat/>
    <w:pPr>
      <w:ind w:left="1260"/>
      <w:jc w:val="left"/>
    </w:pPr>
    <w:rPr>
      <w:rFonts w:ascii="Times New Roman" w:hAnsi="Times New Roman" w:eastAsia="宋体" w:cs="Times New Roman"/>
      <w:szCs w:val="21"/>
    </w:rPr>
  </w:style>
  <w:style w:type="paragraph" w:styleId="943" w:customStyle="1">
    <w:name w:val="文档结构图1"/>
    <w:basedOn w:val="737"/>
    <w:link w:val="944"/>
    <w:uiPriority w:val="0"/>
    <w:qFormat/>
    <w:pPr>
      <w:shd w:val="clear" w:color="auto" w:fill="000080"/>
    </w:pPr>
    <w:rPr>
      <w:rFonts w:ascii="Times New Roman" w:hAnsi="Times New Roman" w:eastAsia="宋体" w:cs="Times New Roman"/>
      <w:szCs w:val="21"/>
    </w:rPr>
  </w:style>
  <w:style w:type="character" w:styleId="944" w:customStyle="1">
    <w:name w:val="文档结构图 字符"/>
    <w:link w:val="943"/>
    <w:uiPriority w:val="0"/>
    <w:qFormat/>
    <w:rPr>
      <w:rFonts w:ascii="Times New Roman" w:hAnsi="Times New Roman" w:eastAsia="宋体" w:cs="Times New Roman"/>
      <w:szCs w:val="21"/>
      <w:shd w:val="clear" w:color="auto" w:fill="000080"/>
    </w:rPr>
  </w:style>
  <w:style w:type="paragraph" w:styleId="945" w:customStyle="1">
    <w:name w:val="批注文字1"/>
    <w:basedOn w:val="737"/>
    <w:link w:val="946"/>
    <w:uiPriority w:val="0"/>
    <w:qFormat/>
    <w:pPr>
      <w:jc w:val="left"/>
    </w:pPr>
  </w:style>
  <w:style w:type="character" w:styleId="946" w:customStyle="1">
    <w:name w:val="批注文字 字符"/>
    <w:link w:val="945"/>
    <w:uiPriority w:val="99"/>
    <w:qFormat/>
  </w:style>
  <w:style w:type="paragraph" w:styleId="947" w:customStyle="1">
    <w:name w:val="正文文本 31"/>
    <w:basedOn w:val="737"/>
    <w:link w:val="948"/>
    <w:uiPriority w:val="0"/>
    <w:qFormat/>
    <w:rPr>
      <w:rFonts w:ascii="仿宋_GB2312" w:hAnsi="Arial" w:eastAsia="仿宋_GB2312" w:cs="Times New Roman"/>
      <w:sz w:val="32"/>
      <w:szCs w:val="32"/>
    </w:rPr>
  </w:style>
  <w:style w:type="character" w:styleId="948" w:customStyle="1">
    <w:name w:val="正文文本 3 字符"/>
    <w:link w:val="947"/>
    <w:uiPriority w:val="0"/>
    <w:qFormat/>
    <w:rPr>
      <w:rFonts w:ascii="仿宋_GB2312" w:hAnsi="Arial" w:eastAsia="仿宋_GB2312" w:cs="Times New Roman"/>
      <w:sz w:val="32"/>
      <w:szCs w:val="32"/>
    </w:rPr>
  </w:style>
  <w:style w:type="paragraph" w:styleId="949" w:customStyle="1">
    <w:name w:val="正文文本1"/>
    <w:basedOn w:val="737"/>
    <w:link w:val="950"/>
    <w:uiPriority w:val="0"/>
    <w:qFormat/>
    <w:rPr>
      <w:rFonts w:ascii="楷体_GB2312" w:hAnsi="Arial" w:eastAsia="楷体_GB2312" w:cs="Times New Roman"/>
      <w:sz w:val="28"/>
      <w:szCs w:val="28"/>
    </w:rPr>
  </w:style>
  <w:style w:type="character" w:styleId="950" w:customStyle="1">
    <w:name w:val="正文文本 字符"/>
    <w:link w:val="949"/>
    <w:uiPriority w:val="0"/>
    <w:qFormat/>
    <w:rPr>
      <w:rFonts w:ascii="楷体_GB2312" w:hAnsi="Arial" w:eastAsia="楷体_GB2312" w:cs="Times New Roman"/>
      <w:sz w:val="28"/>
      <w:szCs w:val="28"/>
    </w:rPr>
  </w:style>
  <w:style w:type="paragraph" w:styleId="951" w:customStyle="1">
    <w:name w:val="正文文本缩进1"/>
    <w:basedOn w:val="737"/>
    <w:link w:val="952"/>
    <w:uiPriority w:val="0"/>
    <w:qFormat/>
    <w:pPr>
      <w:ind w:left="420"/>
      <w:spacing w:after="120"/>
    </w:pPr>
  </w:style>
  <w:style w:type="character" w:styleId="952" w:customStyle="1">
    <w:name w:val="正文文本缩进 字符"/>
    <w:link w:val="951"/>
    <w:uiPriority w:val="99"/>
    <w:qFormat/>
  </w:style>
  <w:style w:type="paragraph" w:styleId="953" w:customStyle="1">
    <w:name w:val="列表 21"/>
    <w:basedOn w:val="737"/>
    <w:uiPriority w:val="0"/>
    <w:qFormat/>
    <w:pPr>
      <w:ind w:left="100" w:hanging="200"/>
    </w:pPr>
    <w:rPr>
      <w:rFonts w:ascii="Times New Roman" w:hAnsi="Times New Roman" w:eastAsia="宋体" w:cs="Times New Roman"/>
      <w:szCs w:val="21"/>
    </w:rPr>
  </w:style>
  <w:style w:type="paragraph" w:styleId="954" w:customStyle="1">
    <w:name w:val="目录 51"/>
    <w:basedOn w:val="737"/>
    <w:next w:val="737"/>
    <w:uiPriority w:val="0"/>
    <w:qFormat/>
    <w:pPr>
      <w:ind w:left="840"/>
      <w:jc w:val="left"/>
    </w:pPr>
    <w:rPr>
      <w:rFonts w:ascii="Times New Roman" w:hAnsi="Times New Roman" w:eastAsia="宋体" w:cs="Times New Roman"/>
      <w:szCs w:val="21"/>
    </w:rPr>
  </w:style>
  <w:style w:type="paragraph" w:styleId="955" w:customStyle="1">
    <w:name w:val="目录 31"/>
    <w:basedOn w:val="737"/>
    <w:next w:val="737"/>
    <w:uiPriority w:val="0"/>
    <w:qFormat/>
    <w:pPr>
      <w:ind w:left="420"/>
      <w:jc w:val="left"/>
    </w:pPr>
    <w:rPr>
      <w:rFonts w:ascii="Times New Roman" w:hAnsi="Times New Roman" w:eastAsia="宋体" w:cs="Times New Roman"/>
      <w:i/>
      <w:iCs/>
      <w:szCs w:val="24"/>
    </w:rPr>
  </w:style>
  <w:style w:type="paragraph" w:styleId="956" w:customStyle="1">
    <w:name w:val="纯文本1"/>
    <w:basedOn w:val="737"/>
    <w:link w:val="957"/>
    <w:uiPriority w:val="0"/>
    <w:qFormat/>
    <w:rPr>
      <w:rFonts w:ascii="宋体" w:hAnsi="Courier New" w:eastAsia="宋体" w:cs="Courier New"/>
      <w:szCs w:val="21"/>
    </w:rPr>
  </w:style>
  <w:style w:type="character" w:styleId="957" w:customStyle="1">
    <w:name w:val="纯文本 字符"/>
    <w:link w:val="956"/>
    <w:uiPriority w:val="0"/>
    <w:qFormat/>
    <w:rPr>
      <w:rFonts w:ascii="宋体" w:hAnsi="Courier New" w:eastAsia="宋体" w:cs="Courier New"/>
      <w:szCs w:val="21"/>
    </w:rPr>
  </w:style>
  <w:style w:type="paragraph" w:styleId="958" w:customStyle="1">
    <w:name w:val="目录 81"/>
    <w:basedOn w:val="737"/>
    <w:next w:val="737"/>
    <w:uiPriority w:val="0"/>
    <w:qFormat/>
    <w:pPr>
      <w:ind w:left="1470"/>
      <w:jc w:val="left"/>
    </w:pPr>
    <w:rPr>
      <w:rFonts w:ascii="Times New Roman" w:hAnsi="Times New Roman" w:eastAsia="宋体" w:cs="Times New Roman"/>
      <w:szCs w:val="21"/>
    </w:rPr>
  </w:style>
  <w:style w:type="paragraph" w:styleId="959" w:customStyle="1">
    <w:name w:val="日期1"/>
    <w:basedOn w:val="737"/>
    <w:next w:val="737"/>
    <w:link w:val="960"/>
    <w:uiPriority w:val="0"/>
    <w:qFormat/>
    <w:rPr>
      <w:rFonts w:ascii="Times New Roman" w:hAnsi="Times New Roman" w:eastAsia="宋体" w:cs="Times New Roman"/>
      <w:sz w:val="24"/>
      <w:szCs w:val="24"/>
    </w:rPr>
  </w:style>
  <w:style w:type="character" w:styleId="960" w:customStyle="1">
    <w:name w:val="日期 字符"/>
    <w:link w:val="959"/>
    <w:uiPriority w:val="0"/>
    <w:qFormat/>
    <w:rPr>
      <w:rFonts w:ascii="Times New Roman" w:hAnsi="Times New Roman" w:eastAsia="宋体" w:cs="Times New Roman"/>
      <w:sz w:val="24"/>
      <w:szCs w:val="24"/>
    </w:rPr>
  </w:style>
  <w:style w:type="paragraph" w:styleId="961" w:customStyle="1">
    <w:name w:val="正文文本缩进 21"/>
    <w:basedOn w:val="737"/>
    <w:link w:val="962"/>
    <w:uiPriority w:val="0"/>
    <w:qFormat/>
    <w:pPr>
      <w:ind w:left="630" w:firstLine="645"/>
    </w:pPr>
    <w:rPr>
      <w:rFonts w:ascii="Arial" w:hAnsi="Arial" w:eastAsia="仿宋_GB2312" w:cs="Arial"/>
      <w:sz w:val="32"/>
      <w:szCs w:val="32"/>
    </w:rPr>
  </w:style>
  <w:style w:type="character" w:styleId="962" w:customStyle="1">
    <w:name w:val="正文文本缩进 2 字符"/>
    <w:link w:val="961"/>
    <w:uiPriority w:val="0"/>
    <w:qFormat/>
    <w:rPr>
      <w:rFonts w:ascii="Arial" w:hAnsi="Arial" w:eastAsia="仿宋_GB2312" w:cs="Arial"/>
      <w:sz w:val="32"/>
      <w:szCs w:val="32"/>
    </w:rPr>
  </w:style>
  <w:style w:type="paragraph" w:styleId="963" w:customStyle="1">
    <w:name w:val="批注框文本1"/>
    <w:basedOn w:val="737"/>
    <w:link w:val="964"/>
    <w:uiPriority w:val="0"/>
    <w:qFormat/>
    <w:rPr>
      <w:rFonts w:ascii="Times New Roman" w:hAnsi="Times New Roman" w:eastAsia="宋体" w:cs="Times New Roman"/>
      <w:sz w:val="18"/>
      <w:szCs w:val="18"/>
    </w:rPr>
  </w:style>
  <w:style w:type="character" w:styleId="964" w:customStyle="1">
    <w:name w:val="批注框文本 字符"/>
    <w:link w:val="963"/>
    <w:uiPriority w:val="0"/>
    <w:qFormat/>
    <w:rPr>
      <w:rFonts w:ascii="Times New Roman" w:hAnsi="Times New Roman" w:eastAsia="宋体" w:cs="Times New Roman"/>
      <w:sz w:val="18"/>
      <w:szCs w:val="18"/>
    </w:rPr>
  </w:style>
  <w:style w:type="paragraph" w:styleId="965" w:customStyle="1">
    <w:name w:val="页脚1"/>
    <w:basedOn w:val="737"/>
    <w:link w:val="966"/>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66" w:customStyle="1">
    <w:name w:val="页脚 字符"/>
    <w:link w:val="965"/>
    <w:uiPriority w:val="99"/>
    <w:qFormat/>
    <w:rPr>
      <w:rFonts w:ascii="Times New Roman" w:hAnsi="Times New Roman" w:eastAsia="宋体" w:cs="Times New Roman"/>
      <w:sz w:val="18"/>
      <w:szCs w:val="18"/>
    </w:rPr>
  </w:style>
  <w:style w:type="paragraph" w:styleId="967" w:customStyle="1">
    <w:name w:val="页眉1"/>
    <w:basedOn w:val="737"/>
    <w:link w:val="96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8" w:customStyle="1">
    <w:name w:val="页眉 字符"/>
    <w:link w:val="967"/>
    <w:uiPriority w:val="0"/>
    <w:qFormat/>
    <w:rPr>
      <w:rFonts w:ascii="Times New Roman" w:hAnsi="Times New Roman" w:eastAsia="宋体" w:cs="Times New Roman"/>
      <w:sz w:val="18"/>
      <w:szCs w:val="18"/>
    </w:rPr>
  </w:style>
  <w:style w:type="paragraph" w:styleId="969" w:customStyle="1">
    <w:name w:val="目录 11"/>
    <w:basedOn w:val="737"/>
    <w:next w:val="737"/>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70" w:customStyle="1">
    <w:name w:val="目录 41"/>
    <w:basedOn w:val="737"/>
    <w:next w:val="737"/>
    <w:uiPriority w:val="0"/>
    <w:qFormat/>
    <w:pPr>
      <w:ind w:left="630"/>
      <w:jc w:val="left"/>
    </w:pPr>
    <w:rPr>
      <w:rFonts w:ascii="Times New Roman" w:hAnsi="Times New Roman" w:eastAsia="宋体" w:cs="Times New Roman"/>
      <w:szCs w:val="21"/>
    </w:rPr>
  </w:style>
  <w:style w:type="paragraph" w:styleId="971" w:customStyle="1">
    <w:name w:val="列表1"/>
    <w:basedOn w:val="737"/>
    <w:uiPriority w:val="0"/>
    <w:qFormat/>
    <w:pPr>
      <w:ind w:left="200" w:hanging="200"/>
    </w:pPr>
    <w:rPr>
      <w:rFonts w:ascii="Times New Roman" w:hAnsi="Times New Roman" w:eastAsia="宋体" w:cs="Times New Roman"/>
      <w:szCs w:val="21"/>
    </w:rPr>
  </w:style>
  <w:style w:type="paragraph" w:styleId="972" w:customStyle="1">
    <w:name w:val="目录 61"/>
    <w:basedOn w:val="737"/>
    <w:next w:val="737"/>
    <w:uiPriority w:val="0"/>
    <w:qFormat/>
    <w:pPr>
      <w:ind w:left="1050"/>
      <w:jc w:val="left"/>
    </w:pPr>
    <w:rPr>
      <w:rFonts w:ascii="Times New Roman" w:hAnsi="Times New Roman" w:eastAsia="宋体" w:cs="Times New Roman"/>
      <w:szCs w:val="21"/>
    </w:rPr>
  </w:style>
  <w:style w:type="paragraph" w:styleId="973" w:customStyle="1">
    <w:name w:val="正文文本缩进 31"/>
    <w:basedOn w:val="737"/>
    <w:link w:val="974"/>
    <w:uiPriority w:val="0"/>
    <w:qFormat/>
    <w:pPr>
      <w:ind w:left="645" w:firstLine="645"/>
    </w:pPr>
    <w:rPr>
      <w:rFonts w:ascii="Arial" w:hAnsi="Arial" w:eastAsia="仿宋_GB2312" w:cs="Arial"/>
      <w:color w:val="ffff00"/>
      <w:sz w:val="32"/>
      <w:szCs w:val="32"/>
    </w:rPr>
  </w:style>
  <w:style w:type="character" w:styleId="974" w:customStyle="1">
    <w:name w:val="正文文本缩进 3 字符"/>
    <w:link w:val="973"/>
    <w:uiPriority w:val="0"/>
    <w:qFormat/>
    <w:rPr>
      <w:rFonts w:ascii="Arial" w:hAnsi="Arial" w:eastAsia="仿宋_GB2312" w:cs="Arial"/>
      <w:color w:val="ffff00"/>
      <w:sz w:val="32"/>
      <w:szCs w:val="32"/>
    </w:rPr>
  </w:style>
  <w:style w:type="paragraph" w:styleId="975" w:customStyle="1">
    <w:name w:val="图表目录1"/>
    <w:basedOn w:val="737"/>
    <w:next w:val="737"/>
    <w:uiPriority w:val="0"/>
    <w:qFormat/>
    <w:pPr>
      <w:ind w:left="840" w:hanging="420"/>
    </w:pPr>
    <w:rPr>
      <w:rFonts w:ascii="Times New Roman" w:hAnsi="Times New Roman" w:eastAsia="宋体" w:cs="Times New Roman"/>
      <w:szCs w:val="21"/>
    </w:rPr>
  </w:style>
  <w:style w:type="paragraph" w:styleId="976" w:customStyle="1">
    <w:name w:val="目录 21"/>
    <w:basedOn w:val="737"/>
    <w:next w:val="737"/>
    <w:uiPriority w:val="0"/>
    <w:qFormat/>
    <w:pPr>
      <w:ind w:left="210"/>
      <w:jc w:val="left"/>
    </w:pPr>
    <w:rPr>
      <w:rFonts w:ascii="Times New Roman" w:hAnsi="Times New Roman" w:eastAsia="宋体" w:cs="Times New Roman"/>
      <w:smallCaps/>
      <w:szCs w:val="24"/>
    </w:rPr>
  </w:style>
  <w:style w:type="paragraph" w:styleId="977" w:customStyle="1">
    <w:name w:val="目录 91"/>
    <w:basedOn w:val="737"/>
    <w:next w:val="737"/>
    <w:uiPriority w:val="0"/>
    <w:qFormat/>
    <w:pPr>
      <w:ind w:left="1680"/>
      <w:jc w:val="left"/>
    </w:pPr>
    <w:rPr>
      <w:rFonts w:ascii="Times New Roman" w:hAnsi="Times New Roman" w:eastAsia="宋体" w:cs="Times New Roman"/>
      <w:szCs w:val="21"/>
    </w:rPr>
  </w:style>
  <w:style w:type="paragraph" w:styleId="978" w:customStyle="1">
    <w:name w:val="正文文本 21"/>
    <w:basedOn w:val="737"/>
    <w:link w:val="979"/>
    <w:uiPriority w:val="0"/>
    <w:qFormat/>
    <w:pPr>
      <w:jc w:val="center"/>
      <w:widowControl/>
    </w:pPr>
    <w:rPr>
      <w:rFonts w:ascii="楷体_GB2312" w:hAnsi="Times New Roman" w:eastAsia="楷体_GB2312" w:cs="Times New Roman"/>
      <w:sz w:val="28"/>
      <w:szCs w:val="28"/>
    </w:rPr>
  </w:style>
  <w:style w:type="character" w:styleId="979" w:customStyle="1">
    <w:name w:val="正文文本 2 字符"/>
    <w:link w:val="978"/>
    <w:uiPriority w:val="0"/>
    <w:qFormat/>
    <w:rPr>
      <w:rFonts w:ascii="楷体_GB2312" w:hAnsi="Times New Roman" w:eastAsia="楷体_GB2312" w:cs="Times New Roman"/>
      <w:sz w:val="28"/>
      <w:szCs w:val="28"/>
    </w:rPr>
  </w:style>
  <w:style w:type="paragraph" w:styleId="980" w:customStyle="1">
    <w:name w:val="普通(网站)1"/>
    <w:basedOn w:val="737"/>
    <w:uiPriority w:val="99"/>
    <w:qFormat/>
    <w:pPr>
      <w:jc w:val="left"/>
      <w:spacing w:before="100" w:beforeAutospacing="1" w:after="100" w:afterAutospacing="1"/>
      <w:widowControl/>
    </w:pPr>
    <w:rPr>
      <w:rFonts w:ascii="宋体" w:hAnsi="宋体" w:eastAsia="宋体" w:cs="宋体"/>
      <w:sz w:val="24"/>
      <w:szCs w:val="24"/>
    </w:rPr>
  </w:style>
  <w:style w:type="paragraph" w:styleId="981" w:customStyle="1">
    <w:name w:val="索引 11"/>
    <w:basedOn w:val="737"/>
    <w:next w:val="737"/>
    <w:uiPriority w:val="0"/>
    <w:qFormat/>
    <w:pPr>
      <w:spacing w:line="240" w:lineRule="atLeast"/>
    </w:pPr>
    <w:rPr>
      <w:rFonts w:ascii="Times New Roman" w:hAnsi="Times New Roman" w:eastAsia="宋体" w:cs="Times New Roman"/>
      <w:b/>
      <w:bCs/>
      <w:szCs w:val="21"/>
    </w:rPr>
  </w:style>
  <w:style w:type="paragraph" w:styleId="982" w:customStyle="1">
    <w:name w:val="批注主题1"/>
    <w:basedOn w:val="945"/>
    <w:next w:val="945"/>
    <w:link w:val="983"/>
    <w:uiPriority w:val="0"/>
    <w:qFormat/>
    <w:rPr>
      <w:rFonts w:ascii="Times New Roman" w:hAnsi="Times New Roman" w:eastAsia="宋体" w:cs="Times New Roman"/>
      <w:b/>
      <w:bCs/>
      <w:szCs w:val="21"/>
    </w:rPr>
  </w:style>
  <w:style w:type="character" w:styleId="983" w:customStyle="1">
    <w:name w:val="批注主题 字符"/>
    <w:link w:val="982"/>
    <w:uiPriority w:val="0"/>
    <w:qFormat/>
    <w:rPr>
      <w:rFonts w:ascii="Times New Roman" w:hAnsi="Times New Roman" w:eastAsia="宋体" w:cs="Times New Roman"/>
      <w:b/>
      <w:bCs/>
      <w:szCs w:val="21"/>
    </w:rPr>
  </w:style>
  <w:style w:type="paragraph" w:styleId="984" w:customStyle="1">
    <w:name w:val="正文首行缩进1"/>
    <w:basedOn w:val="737"/>
    <w:link w:val="985"/>
    <w:uiPriority w:val="0"/>
    <w:qFormat/>
    <w:pPr>
      <w:ind w:firstLine="200"/>
      <w:spacing w:line="360" w:lineRule="auto"/>
    </w:pPr>
    <w:rPr>
      <w:rFonts w:ascii="仿宋_GB2312" w:hAnsi="Times New Roman" w:eastAsia="仿宋_GB2312" w:cs="Times New Roman"/>
      <w:sz w:val="30"/>
      <w:szCs w:val="30"/>
    </w:rPr>
  </w:style>
  <w:style w:type="character" w:styleId="985" w:customStyle="1">
    <w:name w:val="正文文本首行缩进 字符"/>
    <w:link w:val="984"/>
    <w:uiPriority w:val="0"/>
    <w:qFormat/>
    <w:rPr>
      <w:rFonts w:ascii="仿宋_GB2312" w:hAnsi="Times New Roman" w:eastAsia="仿宋_GB2312" w:cs="Times New Roman"/>
      <w:sz w:val="30"/>
      <w:szCs w:val="30"/>
    </w:rPr>
  </w:style>
  <w:style w:type="paragraph" w:styleId="986" w:customStyle="1">
    <w:name w:val="正文首行缩进 21"/>
    <w:basedOn w:val="951"/>
    <w:link w:val="987"/>
    <w:uiPriority w:val="0"/>
    <w:qFormat/>
    <w:pPr>
      <w:ind w:left="0" w:firstLine="420"/>
      <w:spacing w:after="0" w:line="360" w:lineRule="auto"/>
    </w:pPr>
    <w:rPr>
      <w:rFonts w:ascii="宋体" w:hAnsi="宋体" w:eastAsia="宋体" w:cs="Times New Roman"/>
      <w:szCs w:val="20"/>
    </w:rPr>
  </w:style>
  <w:style w:type="character" w:styleId="987" w:customStyle="1">
    <w:name w:val="正文文本首行缩进 2 字符"/>
    <w:link w:val="986"/>
    <w:uiPriority w:val="0"/>
    <w:qFormat/>
    <w:rPr>
      <w:rFonts w:ascii="宋体" w:hAnsi="宋体" w:eastAsia="宋体" w:cs="Times New Roman"/>
      <w:szCs w:val="20"/>
    </w:rPr>
  </w:style>
  <w:style w:type="table" w:styleId="988" w:customStyle="1">
    <w:name w:val="网格型1"/>
    <w:basedOn w:val="930"/>
    <w:uiPriority w:val="0"/>
    <w:qFormat/>
    <w:pPr>
      <w:jc w:val="both"/>
      <w:widowControl w:val="off"/>
    </w:pPr>
    <w:rPr>
      <w:rFonts w:ascii="Times New Roman" w:hAnsi="Times New Roman" w:eastAsia="宋体" w:cs="Times New Roman"/>
      <w:sz w:val="20"/>
      <w:szCs w:val="20"/>
    </w:rPr>
    <w:tblPr/>
  </w:style>
  <w:style w:type="character" w:styleId="989" w:customStyle="1">
    <w:name w:val="要点1"/>
    <w:uiPriority w:val="0"/>
    <w:qFormat/>
    <w:rPr>
      <w:b/>
      <w:bCs/>
    </w:rPr>
  </w:style>
  <w:style w:type="character" w:styleId="990" w:customStyle="1">
    <w:name w:val="页码1"/>
    <w:uiPriority w:val="0"/>
    <w:qFormat/>
  </w:style>
  <w:style w:type="character" w:styleId="991" w:customStyle="1">
    <w:name w:val="已访问的超链接1"/>
    <w:uiPriority w:val="0"/>
    <w:qFormat/>
    <w:rPr>
      <w:color w:val="800080"/>
      <w:u w:val="single"/>
    </w:rPr>
  </w:style>
  <w:style w:type="character" w:styleId="992" w:customStyle="1">
    <w:name w:val="强调1"/>
    <w:uiPriority w:val="0"/>
    <w:qFormat/>
    <w:rPr>
      <w:i/>
    </w:rPr>
  </w:style>
  <w:style w:type="character" w:styleId="993" w:customStyle="1">
    <w:name w:val="超链接1"/>
    <w:uiPriority w:val="0"/>
    <w:qFormat/>
    <w:rPr>
      <w:color w:val="0000ff"/>
      <w:u w:val="single"/>
    </w:rPr>
  </w:style>
  <w:style w:type="character" w:styleId="994" w:customStyle="1">
    <w:name w:val="批注引用1"/>
    <w:uiPriority w:val="0"/>
    <w:qFormat/>
    <w:rPr>
      <w:sz w:val="21"/>
      <w:szCs w:val="21"/>
    </w:rPr>
  </w:style>
  <w:style w:type="character" w:styleId="995" w:customStyle="1">
    <w:name w:val="font5 Char"/>
    <w:uiPriority w:val="0"/>
    <w:qFormat/>
    <w:rPr>
      <w:rFonts w:ascii="宋体" w:hAnsi="宋体" w:eastAsia="宋体"/>
      <w:sz w:val="28"/>
      <w:szCs w:val="28"/>
      <w:lang w:val="en-US" w:eastAsia="zh-CN" w:bidi="ar-SA"/>
    </w:rPr>
  </w:style>
  <w:style w:type="character" w:styleId="996" w:customStyle="1">
    <w:name w:val="二级目录 Char"/>
    <w:link w:val="997"/>
    <w:uiPriority w:val="0"/>
    <w:qFormat/>
    <w:rPr>
      <w:b/>
      <w:sz w:val="30"/>
      <w:szCs w:val="28"/>
    </w:rPr>
  </w:style>
  <w:style w:type="paragraph" w:styleId="997" w:customStyle="1">
    <w:name w:val="二级目录"/>
    <w:next w:val="737"/>
    <w:link w:val="99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8" w:customStyle="1">
    <w:name w:val="列出段落 Char"/>
    <w:link w:val="999"/>
    <w:uiPriority w:val="0"/>
    <w:qFormat/>
    <w:rPr>
      <w:rFonts w:ascii="Calibri" w:hAnsi="Calibri"/>
      <w:sz w:val="24"/>
      <w:szCs w:val="24"/>
      <w:lang w:eastAsia="en-US" w:bidi="en-US"/>
    </w:rPr>
  </w:style>
  <w:style w:type="paragraph" w:styleId="999" w:customStyle="1">
    <w:name w:val="列出段落1"/>
    <w:basedOn w:val="737"/>
    <w:link w:val="998"/>
    <w:uiPriority w:val="0"/>
    <w:qFormat/>
    <w:pPr>
      <w:contextualSpacing/>
      <w:ind w:left="720"/>
      <w:jc w:val="left"/>
      <w:widowControl/>
    </w:pPr>
    <w:rPr>
      <w:rFonts w:ascii="Calibri" w:hAnsi="Calibri"/>
      <w:sz w:val="24"/>
      <w:szCs w:val="24"/>
      <w:lang w:eastAsia="en-US" w:bidi="en-US"/>
    </w:rPr>
  </w:style>
  <w:style w:type="paragraph" w:styleId="1000" w:customStyle="1">
    <w:name w:val="Body Text(ch)"/>
    <w:basedOn w:val="737"/>
    <w:next w:val="949"/>
    <w:uiPriority w:val="0"/>
    <w:qFormat/>
    <w:pPr>
      <w:spacing w:after="120"/>
    </w:pPr>
    <w:rPr>
      <w:rFonts w:ascii="宋体" w:hAnsi="Arial" w:eastAsia="宋体" w:cs="Times New Roman"/>
      <w:bCs/>
      <w:iCs/>
      <w:szCs w:val="24"/>
    </w:rPr>
  </w:style>
  <w:style w:type="paragraph" w:styleId="1001" w:customStyle="1">
    <w:name w:val="xl27"/>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2" w:customStyle="1">
    <w:name w:val="xl26"/>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3" w:customStyle="1">
    <w:name w:val="Char"/>
    <w:basedOn w:val="737"/>
    <w:uiPriority w:val="0"/>
    <w:qFormat/>
    <w:pPr>
      <w:ind w:firstLine="200"/>
      <w:tabs>
        <w:tab w:val="left" w:pos="360" w:leader="none"/>
      </w:tabs>
    </w:pPr>
    <w:rPr>
      <w:rFonts w:ascii="Times New Roman" w:hAnsi="Times New Roman" w:eastAsia="宋体" w:cs="Times New Roman"/>
      <w:sz w:val="28"/>
      <w:szCs w:val="30"/>
    </w:rPr>
  </w:style>
  <w:style w:type="paragraph" w:styleId="1004" w:customStyle="1">
    <w:name w:val=" Char"/>
    <w:basedOn w:val="943"/>
    <w:uiPriority w:val="0"/>
    <w:qFormat/>
    <w:rPr>
      <w:rFonts w:ascii="Tahoma" w:hAnsi="Tahoma"/>
      <w:sz w:val="24"/>
      <w:szCs w:val="24"/>
    </w:rPr>
  </w:style>
  <w:style w:type="paragraph" w:styleId="1005" w:customStyle="1">
    <w:name w:val="普通正文"/>
    <w:basedOn w:val="737"/>
    <w:uiPriority w:val="0"/>
    <w:qFormat/>
    <w:pPr>
      <w:ind w:firstLine="480"/>
      <w:jc w:val="left"/>
      <w:spacing w:before="120" w:after="120" w:line="360" w:lineRule="auto"/>
    </w:pPr>
    <w:rPr>
      <w:rFonts w:ascii="Arial" w:hAnsi="Arial" w:eastAsia="宋体" w:cs="Times New Roman"/>
      <w:sz w:val="24"/>
      <w:szCs w:val="24"/>
    </w:rPr>
  </w:style>
  <w:style w:type="paragraph" w:styleId="1006" w:customStyle="1">
    <w:name w:val="table_lines"/>
    <w:basedOn w:val="737"/>
    <w:uiPriority w:val="0"/>
    <w:qFormat/>
    <w:pPr>
      <w:jc w:val="left"/>
      <w:widowControl/>
    </w:pPr>
    <w:rPr>
      <w:rFonts w:ascii="Times New Roman" w:hAnsi="Times New Roman" w:eastAsia="宋体" w:cs="Times New Roman"/>
      <w:sz w:val="20"/>
      <w:szCs w:val="20"/>
      <w:lang w:val="de-DE" w:eastAsia="de-DE"/>
    </w:rPr>
  </w:style>
  <w:style w:type="paragraph" w:styleId="100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8" w:customStyle="1">
    <w:name w:val="font7"/>
    <w:basedOn w:val="73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09" w:customStyle="1">
    <w:name w:val=" Char Char Char Char"/>
    <w:basedOn w:val="943"/>
    <w:uiPriority w:val="0"/>
    <w:qFormat/>
    <w:pPr>
      <w:spacing w:line="360" w:lineRule="auto"/>
    </w:pPr>
    <w:rPr>
      <w:rFonts w:ascii="Tahoma" w:hAnsi="Tahoma"/>
      <w:sz w:val="24"/>
      <w:szCs w:val="24"/>
    </w:rPr>
  </w:style>
  <w:style w:type="paragraph" w:styleId="1010" w:customStyle="1">
    <w:name w:val="列表段落"/>
    <w:basedOn w:val="737"/>
    <w:uiPriority w:val="0"/>
    <w:qFormat/>
    <w:pPr>
      <w:contextualSpacing/>
      <w:ind w:left="720"/>
      <w:jc w:val="left"/>
      <w:widowControl/>
    </w:pPr>
    <w:rPr>
      <w:rFonts w:ascii="Calibri" w:hAnsi="Calibri" w:eastAsia="宋体" w:cs="Times New Roman"/>
      <w:sz w:val="24"/>
      <w:szCs w:val="24"/>
      <w:lang w:eastAsia="en-US" w:bidi="en-US"/>
    </w:rPr>
  </w:style>
  <w:style w:type="paragraph" w:styleId="1011" w:customStyle="1">
    <w:name w:val="4"/>
    <w:basedOn w:val="737"/>
    <w:next w:val="973"/>
    <w:uiPriority w:val="0"/>
    <w:qFormat/>
    <w:pPr>
      <w:ind w:firstLine="420"/>
      <w:spacing w:line="360" w:lineRule="auto"/>
    </w:pPr>
    <w:rPr>
      <w:rFonts w:ascii="Times New Roman" w:hAnsi="Times New Roman" w:eastAsia="宋体" w:cs="Times New Roman"/>
      <w:color w:val="ff0000"/>
      <w:sz w:val="24"/>
      <w:szCs w:val="24"/>
    </w:rPr>
  </w:style>
  <w:style w:type="paragraph" w:styleId="1012" w:customStyle="1">
    <w:name w:val="普通 (Web)"/>
    <w:basedOn w:val="737"/>
    <w:uiPriority w:val="0"/>
    <w:qFormat/>
    <w:pPr>
      <w:jc w:val="left"/>
      <w:spacing w:before="100" w:beforeAutospacing="1" w:after="100" w:afterAutospacing="1"/>
      <w:widowControl/>
    </w:pPr>
    <w:rPr>
      <w:rFonts w:ascii="宋体" w:hAnsi="宋体" w:eastAsia="宋体" w:cs="Times New Roman"/>
      <w:sz w:val="24"/>
      <w:szCs w:val="24"/>
    </w:rPr>
  </w:style>
  <w:style w:type="paragraph" w:styleId="1013" w:customStyle="1">
    <w:name w:val=" Char Char Char Char Char Char Char Char Char Char"/>
    <w:basedOn w:val="737"/>
    <w:uiPriority w:val="0"/>
    <w:qFormat/>
    <w:pPr>
      <w:spacing w:line="360" w:lineRule="auto"/>
    </w:pPr>
    <w:rPr>
      <w:rFonts w:ascii="Times New Roman" w:hAnsi="Times New Roman" w:eastAsia="宋体" w:cs="Times New Roman"/>
      <w:sz w:val="24"/>
      <w:szCs w:val="20"/>
    </w:rPr>
  </w:style>
  <w:style w:type="paragraph" w:styleId="1014" w:customStyle="1">
    <w:name w:val="样式1"/>
    <w:basedOn w:val="737"/>
    <w:uiPriority w:val="0"/>
    <w:qFormat/>
    <w:pPr>
      <w:numPr>
        <w:ilvl w:val="0"/>
        <w:numId w:val="3"/>
      </w:numPr>
    </w:pPr>
    <w:rPr>
      <w:rFonts w:ascii="宋体" w:hAnsi="宋体" w:eastAsia="宋体" w:cs="Times New Roman"/>
      <w:szCs w:val="21"/>
    </w:rPr>
  </w:style>
  <w:style w:type="paragraph" w:styleId="1015" w:customStyle="1">
    <w:name w:val="font6"/>
    <w:basedOn w:val="73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16" w:customStyle="1">
    <w:name w:val="xl25"/>
    <w:basedOn w:val="73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customStyle="1">
    <w:name w:val="图标"/>
    <w:basedOn w:val="737"/>
    <w:next w:val="73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8" w:customStyle="1">
    <w:name w:val="标题3"/>
    <w:basedOn w:val="737"/>
    <w:next w:val="737"/>
    <w:uiPriority w:val="0"/>
    <w:qFormat/>
    <w:pPr>
      <w:ind w:firstLine="624"/>
      <w:spacing w:line="590" w:lineRule="atLeast"/>
    </w:pPr>
    <w:rPr>
      <w:rFonts w:ascii="方正黑体_GBK" w:hAnsi="Times New Roman" w:eastAsia="方正黑体_GBK" w:cs="Times New Roman"/>
      <w:sz w:val="32"/>
      <w:szCs w:val="32"/>
    </w:rPr>
  </w:style>
  <w:style w:type="paragraph" w:styleId="1019" w:customStyle="1">
    <w:name w:val="xl24"/>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0" w:customStyle="1">
    <w:name w:val="xl29"/>
    <w:basedOn w:val="73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1" w:customStyle="1">
    <w:name w:val="Char Char Char Char Char Char Char Char"/>
    <w:basedOn w:val="737"/>
    <w:uiPriority w:val="0"/>
    <w:qFormat/>
    <w:pPr>
      <w:jc w:val="left"/>
      <w:spacing w:after="160" w:line="240" w:lineRule="exact"/>
      <w:widowControl/>
    </w:pPr>
    <w:rPr>
      <w:rFonts w:ascii="Verdana" w:hAnsi="Verdana" w:eastAsia="宋体" w:cs="Times New Roman"/>
      <w:sz w:val="20"/>
      <w:szCs w:val="20"/>
      <w:lang w:eastAsia="en-US"/>
    </w:rPr>
  </w:style>
  <w:style w:type="paragraph" w:styleId="1022" w:customStyle="1">
    <w:name w:val="xl2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3" w:customStyle="1">
    <w:name w:val=" Char Char Char Char Char Char Char Char"/>
    <w:basedOn w:val="737"/>
    <w:uiPriority w:val="0"/>
    <w:qFormat/>
    <w:pPr>
      <w:jc w:val="left"/>
      <w:spacing w:after="160" w:line="240" w:lineRule="exact"/>
      <w:widowControl/>
    </w:pPr>
    <w:rPr>
      <w:rFonts w:ascii="Verdana" w:hAnsi="Verdana" w:eastAsia="宋体" w:cs="Times New Roman"/>
      <w:sz w:val="20"/>
      <w:szCs w:val="20"/>
      <w:lang w:eastAsia="en-US"/>
    </w:rPr>
  </w:style>
  <w:style w:type="paragraph" w:styleId="1024" w:customStyle="1">
    <w:name w:val="xl30"/>
    <w:basedOn w:val="73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25" w:customStyle="1">
    <w:name w:val="Char Char Char Char"/>
    <w:basedOn w:val="943"/>
    <w:uiPriority w:val="0"/>
    <w:qFormat/>
    <w:pPr>
      <w:spacing w:line="360" w:lineRule="auto"/>
    </w:pPr>
    <w:rPr>
      <w:rFonts w:ascii="Tahoma" w:hAnsi="Tahoma"/>
      <w:sz w:val="24"/>
      <w:szCs w:val="24"/>
    </w:rPr>
  </w:style>
  <w:style w:type="paragraph" w:styleId="1026" w:customStyle="1">
    <w:name w:val="table_1stline"/>
    <w:basedOn w:val="737"/>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7" w:customStyle="1">
    <w:name w:val="font5"/>
    <w:basedOn w:val="73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28" w:customStyle="1">
    <w:name w:val="标题1"/>
    <w:basedOn w:val="737"/>
    <w:next w:val="73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9" w:customStyle="1">
    <w:name w:val="修订"/>
    <w:uiPriority w:val="99"/>
    <w:qFormat/>
    <w:rPr>
      <w:rFonts w:hint="default" w:ascii="Times New Roman" w:hAnsi="Times New Roman" w:eastAsia="宋体" w:cs="Times New Roman"/>
      <w:sz w:val="21"/>
      <w:szCs w:val="21"/>
      <w:lang w:val="en-US" w:eastAsia="zh-CN" w:bidi="ar-SA"/>
    </w:rPr>
  </w:style>
  <w:style w:type="paragraph" w:styleId="103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95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11</cp:revision>
  <dcterms:created xsi:type="dcterms:W3CDTF">2023-03-16T02:13:00Z</dcterms:created>
  <dcterms:modified xsi:type="dcterms:W3CDTF">2026-09-30T02:05:41Z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eyJoZGlkIjoiMDM0Y2M0ZTczYmFlYjhlN2YxMzFiYTVmZWUyZjdiYzAiLCJ1c2VySWQiOiIxNTU2NjUzNzUzIn0=</vt:lpwstr>
  </property>
  <property fmtid="{D5CDD505-2E9C-101B-9397-08002B2CF9AE}" pid="3" name="KSOProductBuildVer">
    <vt:lpwstr>2052-12.1.0.28505</vt:lpwstr>
  </property>
  <property fmtid="{D5CDD505-2E9C-101B-9397-08002B2CF9AE}" pid="4" name="ICV">
    <vt:lpwstr>43D35E7F1B8B48AABD31BC185209CF1D_13</vt:lpwstr>
  </property>
</Properties>
</file>