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AE02B">
      <w:pPr>
        <w:ind w:left="2165" w:leftChars="128" w:hanging="1807" w:hangingChars="500"/>
        <w:rPr>
          <w:rFonts w:hint="eastAsia" w:ascii="仿宋" w:hAnsi="仿宋" w:eastAsia="仿宋" w:cs="仿宋"/>
          <w:b/>
          <w:bCs/>
          <w:sz w:val="36"/>
          <w:szCs w:val="36"/>
        </w:rPr>
      </w:pPr>
      <w:r>
        <w:rPr>
          <w:rFonts w:hint="eastAsia" w:ascii="仿宋" w:hAnsi="仿宋" w:eastAsia="仿宋" w:cs="仿宋"/>
          <w:b/>
          <w:bCs/>
          <w:sz w:val="36"/>
          <w:szCs w:val="36"/>
          <w:lang w:val="en-US" w:eastAsia="zh-CN"/>
        </w:rPr>
        <w:t>宿城区2026年骆马湖搬迁群众生产生活困难扶持项目施工清单编制说明</w:t>
      </w:r>
    </w:p>
    <w:p w14:paraId="4DEC9DF5">
      <w:pPr>
        <w:snapToGrid w:val="0"/>
        <w:spacing w:line="360" w:lineRule="auto"/>
        <w:ind w:firstLine="562" w:firstLineChars="200"/>
        <w:rPr>
          <w:rFonts w:hint="eastAsia" w:ascii="仿宋_GB2312" w:hAnsi="宋体" w:eastAsia="仿宋_GB2312"/>
          <w:b/>
          <w:szCs w:val="28"/>
        </w:rPr>
      </w:pPr>
      <w:r>
        <w:rPr>
          <w:rFonts w:hint="eastAsia" w:ascii="仿宋_GB2312" w:hAnsi="宋体" w:eastAsia="仿宋_GB2312"/>
          <w:b/>
          <w:szCs w:val="28"/>
        </w:rPr>
        <w:t>一、工程概况：宿城区2026年骆马湖搬迁群众生产生活困难扶持项目施工</w:t>
      </w:r>
    </w:p>
    <w:p w14:paraId="54067960">
      <w:pPr>
        <w:snapToGrid w:val="0"/>
        <w:spacing w:line="360" w:lineRule="auto"/>
        <w:ind w:firstLine="560" w:firstLineChars="200"/>
        <w:rPr>
          <w:rFonts w:hint="eastAsia" w:ascii="仿宋_GB2312" w:hAnsi="宋体" w:eastAsia="仿宋_GB2312"/>
          <w:szCs w:val="28"/>
        </w:rPr>
      </w:pPr>
      <w:r>
        <w:rPr>
          <w:rFonts w:hint="eastAsia" w:ascii="仿宋_GB2312" w:hAnsi="宋体" w:eastAsia="仿宋_GB2312"/>
          <w:szCs w:val="28"/>
        </w:rPr>
        <w:t>本次工程位于</w:t>
      </w:r>
      <w:r>
        <w:rPr>
          <w:rFonts w:hint="eastAsia" w:ascii="仿宋_GB2312" w:hAnsi="宋体" w:eastAsia="仿宋_GB2312"/>
          <w:szCs w:val="28"/>
          <w:lang w:val="en-US" w:eastAsia="zh-CN"/>
        </w:rPr>
        <w:t>宿迁市蔡集镇、洋北街道、龙河镇</w:t>
      </w:r>
      <w:r>
        <w:rPr>
          <w:rFonts w:hint="eastAsia" w:ascii="仿宋_GB2312" w:hAnsi="宋体" w:eastAsia="仿宋_GB2312"/>
          <w:szCs w:val="28"/>
        </w:rPr>
        <w:t>境内，主要建设内容包括</w:t>
      </w:r>
      <w:r>
        <w:rPr>
          <w:rFonts w:hint="eastAsia" w:ascii="仿宋_GB2312" w:hAnsi="宋体" w:eastAsia="仿宋_GB2312"/>
          <w:szCs w:val="28"/>
          <w:lang w:val="en-US" w:eastAsia="zh-CN"/>
        </w:rPr>
        <w:t>泵站维修、渠道、疏浚、分水闸、桥梁</w:t>
      </w:r>
      <w:bookmarkStart w:id="0" w:name="_GoBack"/>
      <w:bookmarkEnd w:id="0"/>
      <w:r>
        <w:rPr>
          <w:rFonts w:hint="eastAsia" w:ascii="仿宋_GB2312" w:hAnsi="宋体" w:eastAsia="仿宋_GB2312"/>
          <w:szCs w:val="28"/>
          <w:lang w:val="en-US" w:eastAsia="zh-CN"/>
        </w:rPr>
        <w:t>、桥涵、过路涵洞、道路等配套建构筑物工程及安装工程等。</w:t>
      </w:r>
    </w:p>
    <w:p w14:paraId="24616FAD">
      <w:pPr>
        <w:snapToGrid w:val="0"/>
        <w:spacing w:line="360" w:lineRule="auto"/>
        <w:ind w:firstLine="562" w:firstLineChars="200"/>
        <w:rPr>
          <w:rFonts w:hint="eastAsia" w:ascii="仿宋_GB2312" w:hAnsi="宋体" w:eastAsia="仿宋_GB2312"/>
          <w:b/>
          <w:szCs w:val="28"/>
        </w:rPr>
      </w:pPr>
      <w:r>
        <w:rPr>
          <w:rFonts w:hint="eastAsia" w:ascii="仿宋_GB2312" w:hAnsi="宋体" w:eastAsia="仿宋_GB2312"/>
          <w:b/>
          <w:szCs w:val="28"/>
        </w:rPr>
        <w:t>二、</w:t>
      </w:r>
      <w:r>
        <w:rPr>
          <w:rFonts w:hint="eastAsia" w:ascii="仿宋_GB2312" w:hAnsi="宋体" w:eastAsia="仿宋_GB2312"/>
          <w:b/>
          <w:szCs w:val="28"/>
          <w:lang w:val="en-US" w:eastAsia="zh-CN"/>
        </w:rPr>
        <w:t>清单</w:t>
      </w:r>
      <w:r>
        <w:rPr>
          <w:rFonts w:hint="eastAsia" w:ascii="仿宋_GB2312" w:hAnsi="宋体" w:eastAsia="仿宋_GB2312"/>
          <w:b/>
          <w:szCs w:val="28"/>
        </w:rPr>
        <w:t>编制范围：</w:t>
      </w:r>
    </w:p>
    <w:p w14:paraId="73E94D00">
      <w:pPr>
        <w:snapToGrid w:val="0"/>
        <w:spacing w:line="360" w:lineRule="auto"/>
        <w:ind w:firstLine="560" w:firstLineChars="200"/>
        <w:rPr>
          <w:rFonts w:hint="eastAsia" w:ascii="仿宋_GB2312" w:hAnsi="宋体" w:eastAsia="仿宋_GB2312"/>
          <w:szCs w:val="28"/>
        </w:rPr>
      </w:pPr>
      <w:r>
        <w:rPr>
          <w:rFonts w:hint="eastAsia" w:ascii="仿宋_GB2312" w:hAnsi="宋体" w:eastAsia="仿宋_GB2312"/>
          <w:szCs w:val="28"/>
        </w:rPr>
        <w:t>工程施工图纸所示的工作内容。</w:t>
      </w:r>
    </w:p>
    <w:p w14:paraId="69944DD9">
      <w:pPr>
        <w:snapToGrid w:val="0"/>
        <w:spacing w:line="360" w:lineRule="auto"/>
        <w:ind w:firstLine="562" w:firstLineChars="200"/>
        <w:rPr>
          <w:rFonts w:hint="eastAsia" w:ascii="仿宋_GB2312" w:hAnsi="宋体" w:eastAsia="仿宋_GB2312"/>
          <w:b/>
          <w:szCs w:val="28"/>
        </w:rPr>
      </w:pPr>
      <w:r>
        <w:rPr>
          <w:rFonts w:hint="eastAsia" w:ascii="仿宋_GB2312" w:hAnsi="宋体" w:eastAsia="仿宋_GB2312"/>
          <w:b/>
          <w:szCs w:val="28"/>
        </w:rPr>
        <w:t>三、</w:t>
      </w:r>
      <w:r>
        <w:rPr>
          <w:rFonts w:hint="eastAsia" w:ascii="仿宋_GB2312" w:hAnsi="宋体" w:eastAsia="仿宋_GB2312"/>
          <w:b/>
          <w:szCs w:val="28"/>
          <w:lang w:val="en-US" w:eastAsia="zh-CN"/>
        </w:rPr>
        <w:t>清单</w:t>
      </w:r>
      <w:r>
        <w:rPr>
          <w:rFonts w:hint="eastAsia" w:ascii="仿宋_GB2312" w:hAnsi="宋体" w:eastAsia="仿宋_GB2312"/>
          <w:b/>
          <w:szCs w:val="28"/>
        </w:rPr>
        <w:t>编制依据：</w:t>
      </w:r>
    </w:p>
    <w:p w14:paraId="7BDD5A0E">
      <w:pPr>
        <w:snapToGrid w:val="0"/>
        <w:spacing w:line="360" w:lineRule="auto"/>
        <w:ind w:firstLine="560" w:firstLineChars="200"/>
        <w:rPr>
          <w:rFonts w:hint="eastAsia" w:ascii="仿宋_GB2312" w:hAnsi="宋体" w:eastAsia="仿宋_GB2312"/>
          <w:szCs w:val="28"/>
        </w:rPr>
      </w:pPr>
      <w:r>
        <w:rPr>
          <w:rFonts w:hint="eastAsia" w:ascii="仿宋_GB2312" w:hAnsi="宋体" w:eastAsia="仿宋_GB2312"/>
          <w:szCs w:val="28"/>
        </w:rPr>
        <w:t>1、</w:t>
      </w:r>
      <w:r>
        <w:rPr>
          <w:rFonts w:hint="eastAsia" w:ascii="仿宋_GB2312" w:hAnsi="宋体" w:eastAsia="仿宋_GB2312"/>
          <w:szCs w:val="28"/>
          <w:lang w:val="en-US" w:eastAsia="zh-CN"/>
        </w:rPr>
        <w:t>南通市水利勘测设计研究院有限公司</w:t>
      </w:r>
      <w:r>
        <w:rPr>
          <w:rFonts w:hint="eastAsia" w:ascii="仿宋_GB2312" w:hAnsi="宋体" w:eastAsia="仿宋_GB2312"/>
          <w:szCs w:val="28"/>
        </w:rPr>
        <w:t>设计的</w:t>
      </w:r>
      <w:r>
        <w:rPr>
          <w:rFonts w:hint="eastAsia" w:ascii="仿宋_GB2312" w:hAnsi="宋体" w:eastAsia="仿宋_GB2312"/>
          <w:szCs w:val="28"/>
          <w:lang w:val="en-US" w:eastAsia="zh-CN"/>
        </w:rPr>
        <w:t>宿城区2026年骆马湖搬迁群众生产生活困难扶持项目施工图设计图纸</w:t>
      </w:r>
      <w:r>
        <w:rPr>
          <w:rFonts w:hint="eastAsia" w:ascii="仿宋_GB2312" w:hAnsi="宋体" w:eastAsia="仿宋_GB2312"/>
          <w:szCs w:val="28"/>
        </w:rPr>
        <w:t>；</w:t>
      </w:r>
    </w:p>
    <w:p w14:paraId="03D7CF19">
      <w:pPr>
        <w:snapToGrid w:val="0"/>
        <w:spacing w:line="360" w:lineRule="auto"/>
        <w:ind w:firstLine="560" w:firstLineChars="200"/>
        <w:rPr>
          <w:rFonts w:hint="eastAsia" w:ascii="仿宋_GB2312" w:hAnsi="宋体" w:eastAsia="仿宋_GB2312"/>
          <w:szCs w:val="28"/>
        </w:rPr>
      </w:pPr>
      <w:r>
        <w:rPr>
          <w:rFonts w:hint="eastAsia" w:ascii="仿宋_GB2312" w:hAnsi="宋体" w:eastAsia="仿宋_GB2312"/>
          <w:szCs w:val="28"/>
          <w:lang w:val="en-US" w:eastAsia="zh-CN"/>
        </w:rPr>
        <w:t>2</w:t>
      </w:r>
      <w:r>
        <w:rPr>
          <w:rFonts w:hint="eastAsia" w:ascii="仿宋_GB2312" w:hAnsi="宋体" w:eastAsia="仿宋_GB2312"/>
          <w:szCs w:val="28"/>
        </w:rPr>
        <w:t>、《江苏省水利工程预算定额》（2010版）；</w:t>
      </w:r>
    </w:p>
    <w:p w14:paraId="1FF1D7B5">
      <w:pPr>
        <w:snapToGrid w:val="0"/>
        <w:spacing w:line="360" w:lineRule="auto"/>
        <w:ind w:firstLine="560" w:firstLineChars="200"/>
        <w:rPr>
          <w:rFonts w:hint="eastAsia" w:ascii="仿宋_GB2312" w:hAnsi="宋体" w:eastAsia="仿宋_GB2312"/>
          <w:szCs w:val="28"/>
        </w:rPr>
      </w:pPr>
      <w:r>
        <w:rPr>
          <w:rFonts w:hint="eastAsia" w:ascii="仿宋_GB2312" w:hAnsi="宋体" w:eastAsia="仿宋_GB2312"/>
          <w:szCs w:val="28"/>
          <w:lang w:val="en-US" w:eastAsia="zh-CN"/>
        </w:rPr>
        <w:t>3</w:t>
      </w:r>
      <w:r>
        <w:rPr>
          <w:rFonts w:hint="eastAsia" w:ascii="仿宋_GB2312" w:hAnsi="宋体" w:eastAsia="仿宋_GB2312"/>
          <w:szCs w:val="28"/>
        </w:rPr>
        <w:t>、水利部办公厅关于印发《水利工程营业税改征增值税计价依据调整办法》的通知(办水总[2016]</w:t>
      </w:r>
      <w:r>
        <w:rPr>
          <w:rFonts w:ascii="仿宋_GB2312" w:hAnsi="宋体" w:eastAsia="仿宋_GB2312"/>
          <w:szCs w:val="28"/>
        </w:rPr>
        <w:t>132</w:t>
      </w:r>
      <w:r>
        <w:rPr>
          <w:rFonts w:hint="eastAsia" w:ascii="仿宋_GB2312" w:hAnsi="宋体" w:eastAsia="仿宋_GB2312"/>
          <w:szCs w:val="28"/>
        </w:rPr>
        <w:t>号)；</w:t>
      </w:r>
    </w:p>
    <w:p w14:paraId="68FB975B">
      <w:pPr>
        <w:snapToGrid w:val="0"/>
        <w:spacing w:line="360" w:lineRule="auto"/>
        <w:ind w:firstLine="560" w:firstLineChars="200"/>
        <w:rPr>
          <w:rFonts w:hint="eastAsia" w:ascii="仿宋_GB2312" w:hAnsi="宋体" w:eastAsia="仿宋_GB2312"/>
          <w:szCs w:val="28"/>
        </w:rPr>
      </w:pPr>
      <w:r>
        <w:rPr>
          <w:rFonts w:hint="eastAsia" w:ascii="仿宋_GB2312" w:hAnsi="宋体" w:eastAsia="仿宋_GB2312"/>
          <w:szCs w:val="28"/>
          <w:lang w:val="en-US" w:eastAsia="zh-CN"/>
        </w:rPr>
        <w:t>4</w:t>
      </w:r>
      <w:r>
        <w:rPr>
          <w:rFonts w:hint="eastAsia" w:ascii="仿宋_GB2312" w:hAnsi="宋体" w:eastAsia="仿宋_GB2312"/>
          <w:szCs w:val="28"/>
        </w:rPr>
        <w:t>、省水利厅关于印发《江苏省水利建设工程安全文明措施费使用管理办法》的通知(苏水规[2017]2号)；</w:t>
      </w:r>
    </w:p>
    <w:p w14:paraId="148C09EE">
      <w:pPr>
        <w:snapToGrid w:val="0"/>
        <w:spacing w:line="360" w:lineRule="auto"/>
        <w:ind w:firstLine="560" w:firstLineChars="200"/>
        <w:rPr>
          <w:rFonts w:hint="eastAsia" w:ascii="仿宋_GB2312" w:hAnsi="宋体" w:eastAsia="仿宋_GB2312"/>
          <w:szCs w:val="28"/>
          <w:lang w:val="en-US" w:eastAsia="zh-CN"/>
        </w:rPr>
      </w:pPr>
      <w:r>
        <w:rPr>
          <w:rFonts w:hint="eastAsia" w:ascii="仿宋_GB2312" w:hAnsi="宋体" w:eastAsia="仿宋_GB2312"/>
          <w:szCs w:val="28"/>
          <w:lang w:val="en-US" w:eastAsia="zh-CN"/>
        </w:rPr>
        <w:t>5、</w:t>
      </w:r>
      <w:r>
        <w:rPr>
          <w:rFonts w:hint="eastAsia" w:ascii="仿宋_GB2312" w:hAnsi="宋体" w:eastAsia="仿宋_GB2312"/>
          <w:szCs w:val="28"/>
        </w:rPr>
        <w:t>《水利工程工程量清单计价规范》（GB 50501-2007）</w:t>
      </w:r>
      <w:r>
        <w:rPr>
          <w:rFonts w:hint="eastAsia" w:ascii="仿宋_GB2312" w:hAnsi="宋体" w:eastAsia="仿宋_GB2312"/>
          <w:szCs w:val="28"/>
          <w:lang w:val="en-US" w:eastAsia="zh-CN"/>
        </w:rPr>
        <w:t>；</w:t>
      </w:r>
    </w:p>
    <w:p w14:paraId="7DACF7E0">
      <w:pPr>
        <w:snapToGrid w:val="0"/>
        <w:spacing w:line="360" w:lineRule="auto"/>
        <w:ind w:firstLine="560" w:firstLineChars="200"/>
        <w:rPr>
          <w:rFonts w:hint="eastAsia" w:ascii="仿宋_GB2312" w:hAnsi="宋体" w:eastAsia="仿宋_GB2312"/>
          <w:szCs w:val="28"/>
        </w:rPr>
      </w:pPr>
      <w:r>
        <w:rPr>
          <w:rFonts w:hint="eastAsia" w:ascii="仿宋_GB2312" w:hAnsi="宋体" w:eastAsia="仿宋_GB2312"/>
          <w:szCs w:val="28"/>
          <w:lang w:val="en-US" w:eastAsia="zh-CN"/>
        </w:rPr>
        <w:t>6、根据国家相关机关发布的通知及公告；</w:t>
      </w:r>
    </w:p>
    <w:p w14:paraId="58FE60D4">
      <w:pPr>
        <w:snapToGrid w:val="0"/>
        <w:spacing w:line="360" w:lineRule="auto"/>
        <w:ind w:firstLine="560" w:firstLineChars="200"/>
        <w:rPr>
          <w:rFonts w:hint="eastAsia" w:ascii="仿宋_GB2312" w:hAnsi="宋体" w:eastAsia="仿宋_GB2312"/>
          <w:szCs w:val="28"/>
        </w:rPr>
      </w:pPr>
      <w:r>
        <w:rPr>
          <w:rFonts w:hint="eastAsia" w:ascii="仿宋_GB2312" w:hAnsi="宋体" w:eastAsia="仿宋_GB2312"/>
          <w:szCs w:val="28"/>
          <w:lang w:val="en-US" w:eastAsia="zh-CN"/>
        </w:rPr>
        <w:t>7</w:t>
      </w:r>
      <w:r>
        <w:rPr>
          <w:rFonts w:hint="eastAsia" w:ascii="仿宋_GB2312" w:hAnsi="宋体" w:eastAsia="仿宋_GB2312"/>
          <w:szCs w:val="28"/>
        </w:rPr>
        <w:t>、拟定的招标文件及招标工程量清单；</w:t>
      </w:r>
    </w:p>
    <w:p w14:paraId="3C7B174A">
      <w:pPr>
        <w:snapToGrid w:val="0"/>
        <w:spacing w:line="360" w:lineRule="auto"/>
        <w:ind w:firstLine="560" w:firstLineChars="200"/>
        <w:rPr>
          <w:rFonts w:ascii="仿宋_GB2312" w:hAnsi="宋体" w:eastAsia="仿宋_GB2312"/>
        </w:rPr>
      </w:pPr>
      <w:r>
        <w:rPr>
          <w:rFonts w:hint="eastAsia" w:ascii="仿宋_GB2312" w:hAnsi="宋体" w:eastAsia="仿宋_GB2312"/>
          <w:lang w:val="en-US" w:eastAsia="zh-CN"/>
        </w:rPr>
        <w:t>8</w:t>
      </w:r>
      <w:r>
        <w:rPr>
          <w:rFonts w:hint="eastAsia" w:ascii="仿宋_GB2312" w:hAnsi="宋体" w:eastAsia="仿宋_GB2312"/>
        </w:rPr>
        <w:t>、与工程建设有关的标准、规范、技术资料；</w:t>
      </w:r>
    </w:p>
    <w:p w14:paraId="02BCD2FC">
      <w:pPr>
        <w:snapToGrid w:val="0"/>
        <w:spacing w:line="360" w:lineRule="auto"/>
        <w:ind w:firstLine="560" w:firstLineChars="200"/>
        <w:rPr>
          <w:rFonts w:hint="eastAsia" w:ascii="仿宋_GB2312" w:hAnsi="宋体" w:eastAsia="仿宋_GB2312"/>
        </w:rPr>
      </w:pPr>
      <w:r>
        <w:rPr>
          <w:rFonts w:hint="eastAsia" w:ascii="仿宋_GB2312" w:hAnsi="宋体" w:eastAsia="仿宋_GB2312"/>
          <w:lang w:val="en-US" w:eastAsia="zh-CN"/>
        </w:rPr>
        <w:t>9</w:t>
      </w:r>
      <w:r>
        <w:rPr>
          <w:rFonts w:hint="eastAsia" w:ascii="仿宋_GB2312" w:hAnsi="宋体" w:eastAsia="仿宋_GB2312"/>
        </w:rPr>
        <w:t>、 施工现场情况、工程特点及常规施工方案。</w:t>
      </w:r>
    </w:p>
    <w:p w14:paraId="2EE59DE8">
      <w:pPr>
        <w:snapToGrid w:val="0"/>
        <w:spacing w:line="360" w:lineRule="auto"/>
        <w:ind w:firstLine="562" w:firstLineChars="200"/>
        <w:rPr>
          <w:rFonts w:hint="eastAsia" w:ascii="仿宋_GB2312" w:hAnsi="宋体" w:eastAsia="仿宋_GB2312"/>
          <w:b/>
          <w:szCs w:val="28"/>
        </w:rPr>
      </w:pPr>
      <w:r>
        <w:rPr>
          <w:rFonts w:hint="eastAsia" w:ascii="仿宋_GB2312" w:hAnsi="宋体" w:eastAsia="仿宋_GB2312"/>
          <w:b/>
          <w:szCs w:val="28"/>
        </w:rPr>
        <w:t>四、其他说明</w:t>
      </w:r>
    </w:p>
    <w:p w14:paraId="471EF8BB">
      <w:pPr>
        <w:snapToGrid w:val="0"/>
        <w:spacing w:line="360" w:lineRule="auto"/>
        <w:ind w:firstLine="560" w:firstLineChars="200"/>
        <w:rPr>
          <w:rFonts w:hint="eastAsia" w:ascii="仿宋_GB2312" w:hAnsi="宋体" w:eastAsia="仿宋_GB2312"/>
          <w:szCs w:val="28"/>
        </w:rPr>
      </w:pPr>
      <w:r>
        <w:rPr>
          <w:rFonts w:hint="eastAsia" w:ascii="仿宋_GB2312" w:hAnsi="宋体" w:eastAsia="仿宋_GB2312"/>
          <w:szCs w:val="28"/>
        </w:rPr>
        <w:t>根据建设单位要求以及结合工程具体情况，本</w:t>
      </w:r>
      <w:r>
        <w:rPr>
          <w:rFonts w:hint="eastAsia" w:ascii="仿宋_GB2312" w:hAnsi="宋体" w:eastAsia="仿宋_GB2312"/>
          <w:szCs w:val="28"/>
          <w:lang w:val="en-US" w:eastAsia="zh-CN"/>
        </w:rPr>
        <w:t>清单</w:t>
      </w:r>
      <w:r>
        <w:rPr>
          <w:rFonts w:hint="eastAsia" w:ascii="仿宋_GB2312" w:hAnsi="宋体" w:eastAsia="仿宋_GB2312"/>
          <w:szCs w:val="28"/>
          <w:lang w:eastAsia="zh-CN"/>
        </w:rPr>
        <w:t>做</w:t>
      </w:r>
      <w:r>
        <w:rPr>
          <w:rFonts w:hint="eastAsia" w:ascii="仿宋_GB2312" w:hAnsi="宋体" w:eastAsia="仿宋_GB2312"/>
          <w:szCs w:val="28"/>
        </w:rPr>
        <w:t>如下说明：</w:t>
      </w:r>
    </w:p>
    <w:p w14:paraId="558E5A18">
      <w:pPr>
        <w:numPr>
          <w:ilvl w:val="0"/>
          <w:numId w:val="1"/>
        </w:numPr>
        <w:ind w:firstLine="560" w:firstLineChars="200"/>
        <w:rPr>
          <w:rFonts w:hint="eastAsia" w:ascii="仿宋_GB2312" w:hAnsi="宋体" w:eastAsia="仿宋_GB2312"/>
          <w:szCs w:val="28"/>
          <w:lang w:val="en-US" w:eastAsia="zh-CN"/>
        </w:rPr>
      </w:pPr>
      <w:r>
        <w:rPr>
          <w:rFonts w:hint="eastAsia" w:ascii="仿宋_GB2312" w:hAnsi="宋体" w:eastAsia="仿宋_GB2312"/>
          <w:szCs w:val="28"/>
          <w:lang w:val="en-US" w:eastAsia="zh-CN"/>
        </w:rPr>
        <w:t>混凝土生产系统（渠道采用机制自拌混凝土必须使用带电子配料的强制拌和系统）。采用商品混凝土，施工单位必须选用有资质等级的单位提供材料，同时综合考虑是否采用泵送与非泵送。模板优先采用钢模板，如使用木模板需采用新的黑色木模板；</w:t>
      </w:r>
    </w:p>
    <w:p w14:paraId="31E3CA8B">
      <w:pPr>
        <w:snapToGrid w:val="0"/>
        <w:spacing w:line="360" w:lineRule="auto"/>
        <w:ind w:firstLine="560" w:firstLineChars="200"/>
        <w:rPr>
          <w:rFonts w:hint="eastAsia" w:ascii="仿宋_GB2312" w:hAnsi="宋体" w:eastAsia="仿宋_GB2312"/>
          <w:szCs w:val="28"/>
          <w:lang w:val="en-US" w:eastAsia="zh-CN"/>
        </w:rPr>
      </w:pPr>
      <w:r>
        <w:rPr>
          <w:rFonts w:hint="eastAsia" w:ascii="仿宋_GB2312" w:hAnsi="宋体" w:eastAsia="仿宋_GB2312"/>
          <w:szCs w:val="28"/>
          <w:lang w:val="en-US" w:eastAsia="zh-CN"/>
        </w:rPr>
        <w:t>2、围堰、降排水、脚手架由投标人勘察现场后自行考虑，未列项的综合考虑在单价内，结算时不再计取增加费用；</w:t>
      </w:r>
    </w:p>
    <w:p w14:paraId="10108391">
      <w:pPr>
        <w:snapToGrid w:val="0"/>
        <w:spacing w:line="360" w:lineRule="auto"/>
        <w:ind w:firstLine="560" w:firstLineChars="200"/>
        <w:rPr>
          <w:rFonts w:hint="eastAsia" w:ascii="仿宋_GB2312" w:hAnsi="宋体" w:eastAsia="仿宋_GB2312"/>
          <w:szCs w:val="28"/>
          <w:lang w:val="en-US" w:eastAsia="zh-CN"/>
        </w:rPr>
      </w:pPr>
      <w:r>
        <w:rPr>
          <w:rFonts w:hint="eastAsia" w:ascii="仿宋_GB2312" w:hAnsi="宋体" w:eastAsia="仿宋_GB2312"/>
          <w:szCs w:val="28"/>
          <w:lang w:val="en-US" w:eastAsia="zh-CN"/>
        </w:rPr>
        <w:t>3、投标人在投标报价时，需将止水、防水、伸缩缝、预埋件、抗震锚栓、墙孔及封堵、养护等工作内容考虑到投标报价内，结算时不予调整；</w:t>
      </w:r>
    </w:p>
    <w:p w14:paraId="0A420EB8">
      <w:pPr>
        <w:snapToGrid w:val="0"/>
        <w:spacing w:line="360" w:lineRule="auto"/>
        <w:ind w:firstLine="560" w:firstLineChars="200"/>
        <w:rPr>
          <w:rFonts w:hint="default" w:ascii="仿宋_GB2312" w:hAnsi="宋体" w:eastAsia="仿宋_GB2312"/>
          <w:szCs w:val="28"/>
          <w:lang w:val="en-US" w:eastAsia="zh-CN"/>
        </w:rPr>
      </w:pPr>
      <w:r>
        <w:rPr>
          <w:rFonts w:hint="eastAsia" w:ascii="仿宋_GB2312" w:hAnsi="宋体" w:eastAsia="仿宋_GB2312"/>
          <w:szCs w:val="28"/>
          <w:lang w:val="en-US" w:eastAsia="zh-CN"/>
        </w:rPr>
        <w:t>4、闸门、启闭机及相应附属构件采用符合江苏省地方标准的产品，设备安装可能涉及的土建费用自行考虑在报价内；</w:t>
      </w:r>
    </w:p>
    <w:p w14:paraId="0B1ADE0A">
      <w:pPr>
        <w:spacing w:line="57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投标人应填写工程量清单中所有工程细目的价格，凡技术规范和图纸中注明的工作内容，如在清单中未列项，均应视为已包含在其他相关项目中；投标人应充分考虑施工工艺及技术规范要求，且在投标报价中考虑其一切安装相关费用，并可对其材料费、措施费明细自行补充，中标后不得以分析表中某项不含或与实际不符为由拒绝施工或提出增加费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清单描述如有不明确的部分，以施工图设计文件和相关验收规范、图集为准；清单与图纸技术标准不一致的，以标准和要求更高的技术标准为准； </w:t>
      </w:r>
    </w:p>
    <w:p w14:paraId="732403AB">
      <w:pPr>
        <w:spacing w:line="570" w:lineRule="exact"/>
        <w:ind w:firstLine="560" w:firstLineChars="200"/>
        <w:rPr>
          <w:rFonts w:hint="default" w:ascii="仿宋_GB2312" w:hAnsi="仿宋_GB2312" w:eastAsia="仿宋_GB2312" w:cs="仿宋_GB2312"/>
          <w:color w:val="FF0000"/>
          <w:sz w:val="28"/>
          <w:szCs w:val="28"/>
          <w:lang w:val="en-US"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、投标人所供应材料用料及施工质量在符合本合同要求的同时，必须符合国家现行有关施工及验收规范要</w:t>
      </w:r>
      <w:r>
        <w:rPr>
          <w:rFonts w:hint="eastAsia" w:ascii="仿宋_GB2312" w:hAnsi="仿宋_GB2312" w:eastAsia="仿宋_GB2312" w:cs="仿宋_GB2312"/>
          <w:sz w:val="28"/>
          <w:szCs w:val="28"/>
          <w:lang w:val="en-US" w:eastAsia="zh-CN"/>
        </w:rPr>
        <w:t>求，相关检测费用已包含在内；</w:t>
      </w:r>
    </w:p>
    <w:p w14:paraId="5EAC6114">
      <w:pPr>
        <w:snapToGrid w:val="0"/>
        <w:spacing w:line="360" w:lineRule="auto"/>
        <w:ind w:firstLine="60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、投标前不组织统一勘察现场，如确需踏勘现场的，可自行前往，但需符合发包方及相关法律法规要求。踏勘</w:t>
      </w:r>
      <w:r>
        <w:rPr>
          <w:rFonts w:hint="eastAsia" w:ascii="仿宋_GB2312" w:hAnsi="仿宋_GB2312" w:eastAsia="仿宋_GB2312" w:cs="仿宋_GB2312"/>
          <w:sz w:val="28"/>
          <w:szCs w:val="28"/>
        </w:rPr>
        <w:t>现场应充分考虑本工程特点，分析涉及到的因施工条件须增加投入的因素，对现场已完工成品的保护、以及二次搬运、二次加工、现场安装等因素，本项目涉及到的</w:t>
      </w:r>
      <w:r>
        <w:rPr>
          <w:rFonts w:hint="eastAsia" w:ascii="仿宋_GB2312" w:hAnsi="仿宋_GB2312" w:eastAsia="仿宋_GB2312" w:cs="仿宋_GB2312"/>
          <w:sz w:val="28"/>
          <w:szCs w:val="28"/>
          <w:lang w:val="en-US" w:eastAsia="zh-CN"/>
        </w:rPr>
        <w:t>拆除、</w:t>
      </w:r>
      <w:r>
        <w:rPr>
          <w:rFonts w:hint="eastAsia" w:ascii="仿宋_GB2312" w:hAnsi="仿宋_GB2312" w:eastAsia="仿宋_GB2312" w:cs="仿宋_GB2312"/>
          <w:sz w:val="28"/>
          <w:szCs w:val="28"/>
        </w:rPr>
        <w:t>垃圾外运、渣土运输手续费、弃土场</w:t>
      </w:r>
      <w:r>
        <w:rPr>
          <w:rFonts w:hint="eastAsia" w:ascii="仿宋_GB2312" w:hAnsi="仿宋_GB2312" w:eastAsia="仿宋_GB2312" w:cs="仿宋_GB2312"/>
          <w:sz w:val="28"/>
          <w:szCs w:val="28"/>
          <w:lang w:val="en-US" w:eastAsia="zh-CN"/>
        </w:rPr>
        <w:t>地</w:t>
      </w:r>
      <w:r>
        <w:rPr>
          <w:rFonts w:hint="eastAsia" w:ascii="仿宋_GB2312" w:hAnsi="仿宋_GB2312" w:eastAsia="仿宋_GB2312" w:cs="仿宋_GB2312"/>
          <w:sz w:val="28"/>
          <w:szCs w:val="28"/>
        </w:rPr>
        <w:t>等费用由投标人勘察现场自行考虑，所需费用综合考虑在报价内；</w:t>
      </w:r>
    </w:p>
    <w:p w14:paraId="366B6D5C">
      <w:pPr>
        <w:snapToGrid w:val="0"/>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工伤保险、工程一切险、第三者责任险等一切保险以发包人和承包人的共同名义投保。凭保险公司保单按实支付，支付总价以《工程量清单》所列项目的总价进行控制，超出部分费用应被认为已包括在总的合价中，发包人不再另行支付；</w:t>
      </w:r>
    </w:p>
    <w:p w14:paraId="75EC8EB8">
      <w:pPr>
        <w:snapToGrid w:val="0"/>
        <w:spacing w:line="360" w:lineRule="auto"/>
        <w:ind w:firstLine="562" w:firstLineChars="200"/>
        <w:rPr>
          <w:rFonts w:hint="eastAsia" w:ascii="仿宋_GB2312" w:hAnsi="宋体" w:eastAsia="仿宋_GB2312"/>
          <w:b/>
          <w:bCs/>
          <w:color w:val="0000FF"/>
          <w:sz w:val="28"/>
          <w:szCs w:val="28"/>
          <w:lang w:val="en-US" w:eastAsia="zh-CN"/>
        </w:rPr>
      </w:pPr>
      <w:r>
        <w:rPr>
          <w:rFonts w:hint="eastAsia" w:ascii="仿宋_GB2312" w:hAnsi="宋体" w:eastAsia="仿宋_GB2312"/>
          <w:b/>
          <w:bCs/>
          <w:color w:val="0000FF"/>
          <w:sz w:val="28"/>
          <w:szCs w:val="28"/>
          <w:lang w:val="en-US" w:eastAsia="zh-CN"/>
        </w:rPr>
        <w:t>9、安全文明措施费为不可竞争费用，金额为60388.79元。</w:t>
      </w:r>
    </w:p>
    <w:p w14:paraId="68639721">
      <w:pPr>
        <w:snapToGrid w:val="0"/>
        <w:spacing w:line="360" w:lineRule="auto"/>
        <w:ind w:firstLine="562" w:firstLineChars="200"/>
        <w:rPr>
          <w:rFonts w:hint="eastAsia" w:ascii="仿宋_GB2312" w:hAnsi="宋体" w:eastAsia="仿宋_GB2312"/>
          <w:b/>
          <w:bCs/>
          <w:color w:val="0000FF"/>
          <w:sz w:val="28"/>
          <w:szCs w:val="28"/>
          <w:lang w:val="en-US" w:eastAsia="zh-CN"/>
        </w:rPr>
      </w:pPr>
    </w:p>
    <w:p w14:paraId="78D8D582">
      <w:pPr>
        <w:snapToGrid w:val="0"/>
        <w:spacing w:line="360" w:lineRule="auto"/>
        <w:ind w:firstLine="562" w:firstLineChars="200"/>
        <w:rPr>
          <w:rFonts w:hint="eastAsia" w:ascii="仿宋_GB2312" w:hAnsi="宋体" w:eastAsia="仿宋_GB2312"/>
          <w:b/>
          <w:bCs/>
          <w:color w:val="0000FF"/>
          <w:sz w:val="28"/>
          <w:szCs w:val="28"/>
          <w:lang w:val="en-US" w:eastAsia="zh-CN"/>
        </w:rPr>
      </w:pPr>
    </w:p>
    <w:p w14:paraId="211EC919">
      <w:pPr>
        <w:spacing w:line="360" w:lineRule="auto"/>
        <w:ind w:firstLine="4480" w:firstLineChars="1600"/>
        <w:jc w:val="both"/>
        <w:rPr>
          <w:rFonts w:hint="eastAsia" w:ascii="仿宋" w:hAnsi="仿宋" w:eastAsia="仿宋" w:cs="仿宋"/>
          <w:bCs/>
          <w:sz w:val="28"/>
          <w:szCs w:val="28"/>
        </w:rPr>
      </w:pPr>
      <w:r>
        <w:rPr>
          <w:rFonts w:hint="eastAsia" w:ascii="仿宋" w:hAnsi="仿宋" w:eastAsia="仿宋" w:cs="仿宋"/>
          <w:bCs/>
          <w:sz w:val="28"/>
          <w:szCs w:val="28"/>
        </w:rPr>
        <w:t>宿迁</w:t>
      </w:r>
      <w:r>
        <w:rPr>
          <w:rFonts w:hint="eastAsia" w:ascii="仿宋" w:hAnsi="仿宋" w:eastAsia="仿宋" w:cs="仿宋"/>
          <w:bCs/>
          <w:sz w:val="28"/>
          <w:szCs w:val="28"/>
          <w:lang w:val="en-US" w:eastAsia="zh-CN"/>
        </w:rPr>
        <w:t>金优程</w:t>
      </w:r>
      <w:r>
        <w:rPr>
          <w:rFonts w:hint="eastAsia" w:ascii="仿宋" w:hAnsi="仿宋" w:eastAsia="仿宋" w:cs="仿宋"/>
          <w:bCs/>
          <w:sz w:val="28"/>
          <w:szCs w:val="28"/>
        </w:rPr>
        <w:t>工程咨询有限公司</w:t>
      </w:r>
    </w:p>
    <w:p w14:paraId="7072B8DB">
      <w:pPr>
        <w:snapToGrid w:val="0"/>
        <w:spacing w:line="360" w:lineRule="auto"/>
        <w:ind w:firstLine="5320" w:firstLineChars="1900"/>
        <w:rPr>
          <w:rFonts w:hint="eastAsia" w:ascii="仿宋_GB2312" w:hAnsi="宋体" w:eastAsia="仿宋_GB2312"/>
          <w:b/>
          <w:bCs/>
          <w:color w:val="0000FF"/>
          <w:sz w:val="28"/>
          <w:szCs w:val="28"/>
          <w:lang w:val="en-US" w:eastAsia="zh-CN"/>
        </w:rPr>
      </w:pPr>
      <w:r>
        <w:rPr>
          <w:rFonts w:hint="eastAsia" w:ascii="仿宋" w:hAnsi="仿宋" w:eastAsia="仿宋" w:cs="仿宋"/>
          <w:bCs/>
          <w:sz w:val="28"/>
          <w:szCs w:val="28"/>
          <w:lang w:val="en-US" w:eastAsia="zh-CN"/>
        </w:rPr>
        <w:t>2026</w:t>
      </w:r>
      <w:r>
        <w:rPr>
          <w:rFonts w:hint="eastAsia" w:ascii="仿宋" w:hAnsi="仿宋" w:eastAsia="仿宋" w:cs="仿宋"/>
          <w:bCs/>
          <w:sz w:val="28"/>
          <w:szCs w:val="28"/>
        </w:rPr>
        <w:t>年</w:t>
      </w:r>
      <w:r>
        <w:rPr>
          <w:rFonts w:hint="eastAsia" w:ascii="仿宋" w:hAnsi="仿宋" w:eastAsia="仿宋" w:cs="仿宋"/>
          <w:bCs/>
          <w:sz w:val="28"/>
          <w:szCs w:val="28"/>
          <w:lang w:val="en-US" w:eastAsia="zh-CN"/>
        </w:rPr>
        <w:t>9</w:t>
      </w:r>
      <w:r>
        <w:rPr>
          <w:rFonts w:hint="eastAsia" w:ascii="仿宋" w:hAnsi="仿宋" w:eastAsia="仿宋" w:cs="仿宋"/>
          <w:bCs/>
          <w:sz w:val="28"/>
          <w:szCs w:val="28"/>
        </w:rPr>
        <w:t>月</w:t>
      </w:r>
      <w:r>
        <w:rPr>
          <w:rFonts w:hint="eastAsia" w:ascii="仿宋" w:hAnsi="仿宋" w:eastAsia="仿宋" w:cs="仿宋"/>
          <w:bCs/>
          <w:sz w:val="28"/>
          <w:szCs w:val="28"/>
          <w:lang w:val="en-US" w:eastAsia="zh-CN"/>
        </w:rPr>
        <w:t>1</w:t>
      </w:r>
      <w:r>
        <w:rPr>
          <w:rFonts w:hint="eastAsia" w:ascii="仿宋" w:hAnsi="仿宋" w:eastAsia="仿宋" w:cs="仿宋"/>
          <w:bCs/>
          <w:sz w:val="28"/>
          <w:szCs w:val="28"/>
        </w:rPr>
        <w:t>日</w:t>
      </w:r>
      <w:r>
        <w:rPr>
          <w:rFonts w:hint="eastAsia" w:ascii="宋体" w:hAnsi="宋体" w:eastAsia="宋体" w:cs="宋体"/>
          <w:bCs/>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F65EEC"/>
    <w:multiLevelType w:val="singleLevel"/>
    <w:tmpl w:val="21F65EE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F136F5"/>
    <w:rsid w:val="2E9509CC"/>
    <w:rsid w:val="345C452D"/>
    <w:rsid w:val="545505FD"/>
    <w:rsid w:val="56C57BDC"/>
    <w:rsid w:val="5AE60D72"/>
    <w:rsid w:val="5C992CD2"/>
    <w:rsid w:val="5EE42128"/>
    <w:rsid w:val="74AC5FB0"/>
    <w:rsid w:val="7A4D62B5"/>
    <w:rsid w:val="7DE24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8"/>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1340</Words>
  <Characters>1386</Characters>
  <Lines>0</Lines>
  <Paragraphs>0</Paragraphs>
  <TotalTime>45</TotalTime>
  <ScaleCrop>false</ScaleCrop>
  <LinksUpToDate>false</LinksUpToDate>
  <CharactersWithSpaces>1390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2026-08-31T06:54:00Z</dcterms:created>
  <dc:creator>fp</dc:creator>
  <cp:lastModifiedBy>fpyoyo</cp:lastModifiedBy>
  <dcterms:modified xsi:type="dcterms:W3CDTF">2026-09-07T08:36:23Z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eyJoZGlkIjoiMmI5NTRkZTM1Mjk0ZjRmOGU3YWI0MmU2MzM5M2MxYzYiLCJ1c2VySWQiOiI3NDI4MTEyNTcifQ==</vt:lpwstr>
  </property>
  <property fmtid="{D5CDD505-2E9C-101B-9397-08002B2CF9AE}" pid="4" name="ICV">
    <vt:lpwstr>132D2DA305ED4D7EBA341307FBA5FCBD_12</vt:lpwstr>
  </property>
</Properties>
</file>