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6"/>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p>
    <w:p>
      <w:pPr>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cs="Times New Roman"/>
          <w:b/>
          <w:bCs w:val="0"/>
          <w:color w:val="000000"/>
          <w:sz w:val="32"/>
          <w:szCs w:val="32"/>
          <w:u w:val="none"/>
          <w:lang w:val="en-US" w:eastAsia="zh-CN"/>
        </w:rPr>
        <w:t xml:space="preserve">南京江北新区人民法院信息化设备运维及网络安全驻场运维项目</w:t>
      </w:r>
      <w:r>
        <w:rPr>
          <w:rFonts w:hint="eastAsia" w:ascii="Times New Roman" w:hAnsi="Times New Roman" w:eastAsia="宋体" w:cs="Times New Roman"/>
          <w:b/>
          <w:bCs w:val="0"/>
          <w:color w:val="000000"/>
          <w:sz w:val="32"/>
          <w:szCs w:val="32"/>
          <w:u w:val="none"/>
          <w:lang w:val="en-US" w:eastAsia="zh-CN"/>
        </w:rPr>
        <w:t xml:space="preserve"> </w:t>
      </w:r>
      <w:r/>
    </w:p>
    <w:p>
      <w:pPr>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JSZC-320192-JZCG-C2026-0047</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cs="Times New Roman"/>
          <w:b/>
          <w:color w:val="000000"/>
          <w:sz w:val="30"/>
          <w:szCs w:val="30"/>
          <w:lang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bookmarkStart w:id="104" w:name="_GoBack"/>
      <w:r/>
      <w:bookmarkEnd w:id="104"/>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6"/>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9</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sz w:val="28"/>
          <w:szCs w:val="21"/>
          <w:highlight w:val="none"/>
        </w:rPr>
      </w:pPr>
      <w:r/>
      <w:bookmarkStart w:id="0" w:name="_Toc513029200"/>
      <w:r/>
      <w:bookmarkStart w:id="1" w:name="_Toc20823272"/>
      <w:r/>
      <w:bookmarkStart w:id="2" w:name="_Toc479757206"/>
      <w:r/>
      <w:bookmarkStart w:id="3" w:name="_Toc120614210"/>
      <w:r/>
      <w:bookmarkStart w:id="4" w:name="_Toc16938516"/>
      <w:r/>
      <w:bookmarkStart w:id="5" w:name="_Toc523127445"/>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p>
    <w:p>
      <w:pPr>
        <w:ind w:firstLine="482"/>
        <w:keepLines w:val="0"/>
        <w:keepNext w:val="0"/>
        <w:pageBreakBefore w:val="0"/>
        <w:spacing w:line="264" w:lineRule="auto"/>
        <w:widowControl w:val="off"/>
        <w:rPr>
          <w:rFonts w:ascii="宋体" w:hAnsi="宋体"/>
          <w:color w:val="000000"/>
          <w:sz w:val="24"/>
          <w:szCs w:val="24"/>
        </w:rPr>
      </w:pPr>
      <w:r>
        <w:rPr>
          <w:rFonts w:hint="eastAsia" w:ascii="宋体" w:hAnsi="宋体"/>
          <w:sz w:val="24"/>
          <w:szCs w:val="24"/>
        </w:rPr>
        <w:t xml:space="preserve">1.项目</w:t>
      </w:r>
      <w:r>
        <w:rPr>
          <w:rFonts w:hint="eastAsia" w:ascii="宋体" w:hAnsi="宋体"/>
          <w:color w:val="000000"/>
          <w:sz w:val="24"/>
          <w:szCs w:val="24"/>
        </w:rPr>
        <w:t xml:space="preserve">编号：</w:t>
      </w:r>
      <w:r>
        <w:rPr>
          <w:rFonts w:hint="eastAsia" w:ascii="宋体" w:hAnsi="宋体" w:cs="Times New Roman"/>
          <w:b w:val="0"/>
          <w:bCs w:val="0"/>
          <w:color w:val="000000"/>
          <w:sz w:val="24"/>
          <w:szCs w:val="24"/>
          <w:u w:val="none"/>
          <w:lang w:val="en-US" w:eastAsia="zh-CN"/>
        </w:rPr>
        <w:t xml:space="preserve">JSZC-320192-JZCG-C2026-0047</w:t>
      </w:r>
      <w:r/>
    </w:p>
    <w:p>
      <w:pPr>
        <w:ind w:firstLine="482"/>
        <w:keepLines w:val="0"/>
        <w:keepNext w:val="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南京江北新区人民法院信息化设备运维及网络安全驻场运维项目</w:t>
      </w:r>
      <w:r/>
    </w:p>
    <w:p>
      <w:pPr>
        <w:ind w:firstLine="482"/>
        <w:keepLines w:val="0"/>
        <w:keepNext w:val="0"/>
        <w:pageBreakBefore w:val="0"/>
        <w:spacing w:line="264" w:lineRule="auto"/>
        <w:widowControl w:val="off"/>
        <w:rPr>
          <w:rFonts w:ascii="宋体" w:hAnsi="宋体"/>
          <w:sz w:val="24"/>
          <w:szCs w:val="24"/>
        </w:rPr>
      </w:pPr>
      <w:r>
        <w:rPr>
          <w:rFonts w:hint="eastAsia" w:ascii="宋体" w:hAnsi="宋体"/>
          <w:color w:val="000000"/>
          <w:sz w:val="24"/>
          <w:szCs w:val="24"/>
        </w:rPr>
        <w:t xml:space="preserve">3.预算金额：</w:t>
      </w:r>
      <w:r>
        <w:rPr>
          <w:rFonts w:hint="eastAsia" w:ascii="宋体" w:hAnsi="宋体" w:cs="Times New Roman"/>
          <w:color w:val="000000"/>
          <w:sz w:val="24"/>
          <w:szCs w:val="24"/>
          <w:lang w:val="en-US" w:eastAsia="zh-CN"/>
        </w:rPr>
        <w:t xml:space="preserve">129</w:t>
      </w:r>
      <w:r>
        <w:rPr>
          <w:rFonts w:hint="eastAsia" w:ascii="宋体" w:hAnsi="宋体" w:eastAsia="宋体" w:cs="Times New Roman"/>
          <w:color w:val="000000"/>
          <w:sz w:val="24"/>
          <w:szCs w:val="24"/>
          <w:lang w:val="en-US" w:eastAsia="zh-CN"/>
        </w:rPr>
        <w:t xml:space="preserve">万元</w:t>
      </w:r>
      <w:r/>
    </w:p>
    <w:p>
      <w:pPr>
        <w:ind w:firstLine="482"/>
        <w:keepLines w:val="0"/>
        <w:keepNext w:val="0"/>
        <w:pageBreakBefore w:val="0"/>
        <w:spacing w:line="264" w:lineRule="auto"/>
        <w:widowControl w:val="off"/>
        <w:rPr>
          <w:rFonts w:hint="eastAsia" w:ascii="宋体" w:hAnsi="宋体"/>
          <w:color w:val="000000"/>
          <w:sz w:val="24"/>
          <w:szCs w:val="24"/>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最高限价：129</w:t>
      </w:r>
      <w:r>
        <w:rPr>
          <w:rFonts w:hint="eastAsia" w:ascii="宋体" w:hAnsi="宋体" w:eastAsia="宋体" w:cs="Times New Roman"/>
          <w:color w:val="000000"/>
          <w:sz w:val="24"/>
          <w:szCs w:val="24"/>
          <w:lang w:val="en-US" w:eastAsia="zh-CN"/>
        </w:rPr>
        <w:t xml:space="preserve">万元</w:t>
      </w:r>
      <w:r/>
    </w:p>
    <w:p>
      <w:pPr>
        <w:pStyle w:val="991"/>
        <w:ind w:firstLine="480"/>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highlight w:val="none"/>
          <w:lang w:val="en-US" w:eastAsia="zh-CN" w:bidi="ar-SA"/>
        </w:rPr>
        <w:t xml:space="preserve">本项目通过引入专业信息化维护服务团队，提供全面、可靠的运维保障服务。技术团队负责信息化存量设备维护服务和弱电系统运维服务，实现专人对各项信息系统、弱电系统、安防系统和信息化存量设备进行检查，保障法院信息网络及弱电系统运行安全可靠。并提供资产梳理、存量设备维保、安全特征库更新、技术咨询和培训、应急演练服务等工作内容。</w:t>
      </w:r>
      <w:r>
        <w:rPr>
          <w:rFonts w:hint="eastAsia" w:ascii="宋体" w:hAnsi="宋体" w:eastAsia="宋体" w:cs="Times New Roman"/>
          <w:color w:val="000000"/>
          <w:sz w:val="24"/>
          <w:szCs w:val="24"/>
          <w:highlight w:val="none"/>
        </w:rPr>
        <w:t xml:space="preserve">（详</w:t>
      </w:r>
      <w:r>
        <w:rPr>
          <w:rFonts w:hint="eastAsia" w:ascii="宋体" w:hAnsi="宋体" w:eastAsia="宋体" w:cs="Times New Roman"/>
          <w:color w:val="000000"/>
          <w:sz w:val="24"/>
          <w:szCs w:val="24"/>
        </w:rPr>
        <w:t xml:space="preserve">细内容见本</w:t>
      </w:r>
      <w:r>
        <w:rPr>
          <w:rFonts w:hint="eastAsia" w:ascii="宋体" w:hAnsi="宋体" w:cs="Times New Roman"/>
          <w:color w:val="000000"/>
          <w:sz w:val="24"/>
          <w:szCs w:val="24"/>
          <w:lang w:eastAsia="zh-CN"/>
        </w:rPr>
        <w:t xml:space="preserve">磋商</w:t>
      </w:r>
      <w:r>
        <w:rPr>
          <w:rFonts w:hint="eastAsia" w:ascii="宋体" w:hAnsi="宋体" w:eastAsia="宋体" w:cs="Times New Roman"/>
          <w:color w:val="000000"/>
          <w:sz w:val="24"/>
          <w:szCs w:val="24"/>
        </w:rPr>
        <w:t xml:space="preserve">文件第四</w:t>
      </w:r>
      <w:r>
        <w:rPr>
          <w:rFonts w:hint="eastAsia" w:ascii="宋体" w:hAnsi="宋体" w:eastAsia="宋体" w:cs="宋体"/>
          <w:color w:val="000000"/>
          <w:sz w:val="24"/>
          <w:szCs w:val="24"/>
          <w:highlight w:val="none"/>
          <w:lang w:val="en-US" w:eastAsia="zh-CN"/>
        </w:rPr>
        <w:t xml:space="preserve">章） </w:t>
      </w:r>
      <w:r/>
    </w:p>
    <w:p>
      <w:pPr>
        <w:ind w:firstLine="482"/>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6.合同履行期限：合同签订后365日内完成服务并验收合格。</w:t>
      </w:r>
      <w:r/>
    </w:p>
    <w:p>
      <w:pPr>
        <w:ind w:firstLine="482"/>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7.本项目不接受联合体参加磋商。</w:t>
      </w:r>
      <w:r/>
    </w:p>
    <w:p>
      <w:pPr>
        <w:ind w:firstLine="482"/>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8.本项目不接受进口产品。</w:t>
      </w:r>
      <w:r/>
    </w:p>
    <w:p>
      <w:pPr>
        <w:ind w:firstLine="482"/>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9.本项目不允许分包。</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p>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s="Times New Roman"/>
          <w:color w:val="0000ff"/>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cs="Times New Roman"/>
          <w:b w:val="0"/>
          <w:bCs w:val="0"/>
          <w:color w:val="000000"/>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p>
    <w:p>
      <w:pPr>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p>
    <w:p>
      <w:pPr>
        <w:spacing w:line="240" w:lineRule="auto"/>
        <w:rPr>
          <w:rFonts w:hint="eastAsia" w:ascii="宋体" w:hAnsi="宋体" w:eastAsia="宋体"/>
          <w:b/>
          <w:bCs/>
          <w:color w:val="000000"/>
          <w:sz w:val="24"/>
          <w:szCs w:val="24"/>
          <w:highlight w:val="none"/>
          <w:lang w:eastAsia="zh-CN"/>
        </w:rPr>
        <w:outlineLvl w:val="9"/>
      </w:pPr>
      <w:r>
        <w:rPr>
          <w:rFonts w:hint="eastAsia" w:ascii="宋体" w:hAnsi="宋体" w:eastAsia="宋体" w:cs="宋体"/>
          <w:b/>
          <w:bCs/>
          <w:color w:val="000000"/>
          <w:sz w:val="24"/>
          <w:szCs w:val="24"/>
          <w:highlight w:val="none"/>
          <w:u w:val="none"/>
        </w:rPr>
        <w:t xml:space="preserve"> </w:t>
      </w:r>
      <w:r>
        <w:rPr>
          <w:rFonts w:hint="eastAsia" w:ascii="宋体" w:hAnsi="宋体" w:cs="宋体"/>
          <w:b/>
          <w:bCs/>
          <w:color w:val="000000"/>
          <w:sz w:val="24"/>
          <w:szCs w:val="24"/>
          <w:highlight w:val="none"/>
          <w:u w:val="none"/>
          <w:lang w:val="en-US" w:eastAsia="zh-CN"/>
        </w:rPr>
        <w:t xml:space="preserve">   </w:t>
      </w:r>
      <w:r>
        <w:rPr>
          <w:rFonts w:hint="eastAsia" w:ascii="宋体" w:hAnsi="宋体" w:eastAsia="宋体" w:cs="宋体"/>
          <w:b/>
          <w:bCs/>
          <w:color w:val="000000"/>
          <w:sz w:val="24"/>
          <w:szCs w:val="24"/>
          <w:highlight w:val="none"/>
          <w:u w:val="none"/>
          <w:lang w:val="en-US" w:eastAsia="zh-CN"/>
        </w:rPr>
        <w:t xml:space="preserve">202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highlight w:val="none"/>
          <w:u w:val="none"/>
        </w:rPr>
        <w:t xml:space="preserve">年</w:t>
      </w:r>
      <w:r>
        <w:rPr>
          <w:rFonts w:hint="eastAsia" w:ascii="宋体" w:hAnsi="宋体"/>
          <w:b/>
          <w:bCs/>
          <w:color w:val="000000"/>
          <w:sz w:val="24"/>
          <w:szCs w:val="24"/>
          <w:highlight w:val="none"/>
          <w:u w:val="none"/>
          <w:lang w:val="en-US" w:eastAsia="zh-CN"/>
        </w:rPr>
        <w:t xml:space="preserve">9</w:t>
      </w:r>
      <w:r>
        <w:rPr>
          <w:rFonts w:hint="eastAsia" w:ascii="宋体" w:hAnsi="宋体"/>
          <w:b/>
          <w:bCs/>
          <w:color w:val="000000"/>
          <w:sz w:val="24"/>
          <w:szCs w:val="24"/>
          <w:highlight w:val="none"/>
          <w:u w:val="none"/>
        </w:rPr>
        <w:t xml:space="preserve">月</w:t>
      </w:r>
      <w:r>
        <w:rPr>
          <w:rFonts w:hint="eastAsia" w:ascii="宋体" w:hAnsi="宋体"/>
          <w:b/>
          <w:bCs/>
          <w:color w:val="000000"/>
          <w:sz w:val="24"/>
          <w:szCs w:val="24"/>
          <w:highlight w:val="none"/>
          <w:u w:val="none"/>
          <w:lang w:val="en-US" w:eastAsia="zh-CN"/>
        </w:rPr>
        <w:t xml:space="preserve">29</w:t>
      </w:r>
      <w:r>
        <w:rPr>
          <w:rFonts w:hint="eastAsia" w:ascii="宋体" w:hAnsi="宋体"/>
          <w:b/>
          <w:bCs/>
          <w:color w:val="000000"/>
          <w:sz w:val="24"/>
          <w:szCs w:val="24"/>
          <w:highlight w:val="none"/>
          <w:u w:val="none"/>
        </w:rPr>
        <w:t xml:space="preserve">日</w:t>
      </w:r>
      <w:r>
        <w:rPr>
          <w:rFonts w:hint="eastAsia" w:ascii="宋体" w:hAnsi="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b/>
          <w:bCs/>
          <w:color w:val="000000"/>
          <w:sz w:val="24"/>
          <w:szCs w:val="24"/>
          <w:highlight w:val="none"/>
        </w:rPr>
        <w:t xml:space="preserve">北京时间）</w:t>
      </w:r>
      <w:r>
        <w:rPr>
          <w:rFonts w:hint="eastAsia" w:ascii="宋体" w:hAnsi="宋体"/>
          <w:b/>
          <w:bCs/>
          <w:color w:val="000000"/>
          <w:sz w:val="24"/>
          <w:szCs w:val="24"/>
          <w:highlight w:val="none"/>
          <w:lang w:eastAsia="zh-CN"/>
        </w:rPr>
        <w:t xml:space="preserve">。</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p>
    <w:p>
      <w:pPr>
        <w:ind w:firstLine="48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p>
    <w:p>
      <w:pPr>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r/>
    </w:p>
    <w:p>
      <w:pPr>
        <w:ind w:firstLine="480"/>
        <w:pageBreakBefore w:val="0"/>
        <w:spacing w:line="240"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22"/>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val="en-US" w:eastAsia="zh-CN"/>
        </w:rPr>
        <w:t xml:space="preserve">对本项目有关</w:t>
      </w:r>
      <w:r>
        <w:rPr>
          <w:rFonts w:hint="eastAsia" w:ascii="宋体" w:hAnsi="宋体" w:eastAsia="宋体" w:cs="Times New Roman"/>
          <w:b/>
          <w:bCs/>
          <w:color w:val="auto"/>
          <w:sz w:val="24"/>
          <w:highlight w:val="none"/>
          <w:lang w:val="zh-CN"/>
        </w:rPr>
        <w:t xml:space="preserve">的</w:t>
      </w:r>
      <w:r>
        <w:rPr>
          <w:rFonts w:hint="eastAsia" w:ascii="宋体" w:hAnsi="宋体" w:eastAsia="宋体" w:cs="Times New Roman"/>
          <w:b/>
          <w:bCs/>
          <w:color w:val="auto"/>
          <w:sz w:val="24"/>
          <w:highlight w:val="none"/>
          <w:lang w:val="en-US" w:eastAsia="zh-CN"/>
        </w:rPr>
        <w:t xml:space="preserve">所有</w:t>
      </w:r>
      <w:r>
        <w:rPr>
          <w:rFonts w:hint="eastAsia" w:ascii="宋体" w:hAnsi="宋体" w:eastAsia="宋体" w:cs="Times New Roman"/>
          <w:b/>
          <w:bCs/>
          <w:color w:val="auto"/>
          <w:sz w:val="24"/>
          <w:highlight w:val="none"/>
          <w:lang w:val="zh-CN"/>
        </w:rPr>
        <w:t xml:space="preserve">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p>
    <w:p>
      <w:pPr>
        <w:ind w:firstLine="480"/>
        <w:spacing w:line="252" w:lineRule="auto"/>
        <w:rPr>
          <w:color w:val="auto"/>
          <w:highlight w:val="none"/>
        </w:rPr>
      </w:pPr>
      <w:r>
        <w:rPr>
          <w:rFonts w:hint="eastAsia" w:ascii="宋体" w:hAnsi="宋体" w:eastAsia="宋体" w:cs="Times New Roman"/>
          <w:b w:val="0"/>
          <w:bCs w:val="0"/>
          <w:color w:val="auto"/>
          <w:sz w:val="24"/>
          <w:highlight w:val="none"/>
          <w:lang w:val="en-US" w:eastAsia="zh-CN"/>
        </w:rPr>
        <w:t xml:space="preserve">采购人《质疑函》收件人：</w:t>
      </w:r>
      <w:r>
        <w:rPr>
          <w:rFonts w:hint="eastAsia" w:ascii="宋体" w:hAnsi="宋体" w:cs="Times New Roman"/>
          <w:b w:val="0"/>
          <w:bCs w:val="0"/>
          <w:color w:val="auto"/>
          <w:sz w:val="24"/>
          <w:highlight w:val="none"/>
          <w:lang w:val="en-US" w:eastAsia="zh-CN"/>
        </w:rPr>
        <w:t xml:space="preserve">郇贝贝</w:t>
      </w:r>
      <w:r>
        <w:rPr>
          <w:rFonts w:hint="eastAsia" w:ascii="宋体" w:hAnsi="宋体" w:eastAsia="宋体" w:cs="Times New Roman"/>
          <w:b w:val="0"/>
          <w:bCs w:val="0"/>
          <w:color w:val="auto"/>
          <w:sz w:val="24"/>
          <w:highlight w:val="none"/>
          <w:lang w:val="en-US" w:eastAsia="zh-CN"/>
        </w:rPr>
        <w:t xml:space="preserve">，收件地址：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highlight w:val="none"/>
          <w:u w:val="none"/>
          <w:lang w:val="en-US" w:eastAsia="zh-CN"/>
        </w:rPr>
        <w:t xml:space="preserve">浦口</w:t>
      </w:r>
      <w:r>
        <w:rPr>
          <w:rFonts w:hint="eastAsia" w:ascii="宋体" w:hAnsi="宋体" w:eastAsia="宋体" w:cs="宋体"/>
          <w:color w:val="auto"/>
          <w:sz w:val="24"/>
          <w:szCs w:val="24"/>
          <w:highlight w:val="none"/>
          <w:u w:val="none"/>
          <w:lang w:val="en-US" w:eastAsia="zh-CN"/>
        </w:rPr>
        <w:t xml:space="preserve">区</w:t>
      </w:r>
      <w:r>
        <w:rPr>
          <w:rFonts w:hint="eastAsia" w:ascii="宋体" w:hAnsi="宋体" w:cs="Times New Roman"/>
          <w:color w:val="auto"/>
          <w:sz w:val="24"/>
          <w:szCs w:val="24"/>
          <w:highlight w:val="none"/>
          <w:u w:val="none"/>
          <w:lang w:val="en-US" w:eastAsia="zh-CN"/>
        </w:rPr>
        <w:t xml:space="preserve">珍珠</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Times New Roman"/>
          <w:color w:val="auto"/>
          <w:sz w:val="24"/>
          <w:szCs w:val="24"/>
          <w:highlight w:val="none"/>
          <w:u w:val="none"/>
          <w:lang w:val="en-US" w:eastAsia="zh-CN"/>
        </w:rPr>
        <w:t xml:space="preserve">18</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b w:val="0"/>
          <w:bCs w:val="0"/>
          <w:color w:val="auto"/>
          <w:sz w:val="24"/>
          <w:highlight w:val="none"/>
          <w:lang w:val="en-US" w:eastAsia="zh-CN"/>
        </w:rPr>
        <w:t xml:space="preserve">联系电话：</w:t>
      </w:r>
      <w:r>
        <w:rPr>
          <w:rFonts w:hint="eastAsia" w:ascii="宋体" w:hAnsi="宋体" w:cs="Times New Roman"/>
          <w:b w:val="0"/>
          <w:bCs w:val="0"/>
          <w:color w:val="auto"/>
          <w:sz w:val="24"/>
          <w:highlight w:val="none"/>
          <w:lang w:val="en-US" w:eastAsia="zh-CN"/>
        </w:rPr>
        <w:t xml:space="preserve">025-58935573</w:t>
      </w:r>
      <w:r>
        <w:rPr>
          <w:rFonts w:hint="eastAsia" w:ascii="宋体" w:hAnsi="宋体" w:eastAsia="宋体" w:cs="Times New Roman"/>
          <w:b w:val="0"/>
          <w:bCs w:val="0"/>
          <w:color w:val="auto"/>
          <w:sz w:val="24"/>
          <w:highlight w:val="none"/>
          <w:lang w:val="en-US" w:eastAsia="zh-CN"/>
        </w:rPr>
        <w:t xml:space="preserve">。</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称：南京江北新区人民法院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sz w:val="24"/>
          <w:szCs w:val="24"/>
          <w:highlight w:val="none"/>
          <w:u w:val="none"/>
          <w:lang w:val="en-US" w:eastAsia="zh-CN"/>
        </w:rPr>
        <w:t xml:space="preserve">南京市浦口区珍珠路18号</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陈工</w:t>
      </w:r>
      <w:r/>
    </w:p>
    <w:p>
      <w:pPr>
        <w:ind w:firstLine="480"/>
        <w:pageBreakBefore w:val="0"/>
        <w:spacing w:line="264" w:lineRule="auto"/>
        <w:widowControl w:val="off"/>
        <w:rPr>
          <w:rFonts w:hint="default"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bookmarkStart w:id="6" w:name="_Toc28359086"/>
      <w:r/>
      <w:bookmarkStart w:id="7" w:name="_Toc28359009"/>
      <w:r>
        <w:rPr>
          <w:rFonts w:hint="eastAsia" w:ascii="宋体" w:hAnsi="宋体"/>
          <w:color w:val="000000"/>
          <w:sz w:val="24"/>
          <w:szCs w:val="24"/>
          <w:highlight w:val="none"/>
        </w:rPr>
        <w:t xml:space="preserve">025-</w:t>
      </w:r>
      <w:r>
        <w:rPr>
          <w:rFonts w:hint="eastAsia" w:ascii="宋体" w:hAnsi="宋体"/>
          <w:color w:val="000000"/>
          <w:sz w:val="24"/>
          <w:szCs w:val="24"/>
          <w:highlight w:val="none"/>
          <w:lang w:val="en-US" w:eastAsia="zh-CN"/>
        </w:rPr>
        <w:t xml:space="preserve">58935577</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p>
    <w:p>
      <w:pPr>
        <w:ind w:firstLine="480"/>
        <w:pageBreakBefore w:val="0"/>
        <w:spacing w:line="240" w:lineRule="auto"/>
        <w:widowControl w:val="off"/>
        <w:rPr>
          <w:rFonts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联系电话：025-58150957</w:t>
      </w:r>
      <w:r/>
    </w:p>
    <w:p>
      <w:pPr>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 w:name="_Hlt16619475"/>
      <w:r/>
      <w:bookmarkEnd w:id="8"/>
      <w:r/>
      <w:bookmarkStart w:id="9" w:name="_Toc458694821"/>
      <w:r/>
      <w:bookmarkStart w:id="10" w:name="_Toc16938520"/>
      <w:r/>
      <w:bookmarkStart w:id="11" w:name="_Toc513029204"/>
      <w:r/>
      <w:bookmarkStart w:id="12" w:name="_Toc20823276"/>
      <w:r>
        <w:rPr>
          <w:rFonts w:hint="eastAsia" w:ascii="方正楷体_GBK" w:hAnsi="方正楷体_GBK" w:eastAsia="方正楷体_GBK" w:cs="方正楷体_GBK"/>
          <w:b/>
          <w:bCs/>
          <w:sz w:val="28"/>
          <w:szCs w:val="28"/>
          <w:highlight w:val="none"/>
          <w:lang w:val="en-US" w:eastAsia="zh-CN"/>
        </w:rPr>
        <w:t xml:space="preserve">1</w:t>
      </w:r>
      <w:bookmarkEnd w:id="9"/>
      <w:r>
        <w:rPr>
          <w:rFonts w:hint="eastAsia" w:ascii="方正楷体_GBK" w:hAnsi="方正楷体_GBK" w:eastAsia="方正楷体_GBK" w:cs="方正楷体_GBK"/>
          <w:b/>
          <w:bCs/>
          <w:sz w:val="28"/>
          <w:szCs w:val="28"/>
          <w:highlight w:val="none"/>
          <w:lang w:val="en-US" w:eastAsia="zh-CN"/>
        </w:rPr>
        <w:t xml:space="preserve">.采购方式</w:t>
      </w:r>
      <w:bookmarkEnd w:id="10"/>
      <w:r/>
      <w:bookmarkEnd w:id="11"/>
      <w:r/>
      <w:bookmarkEnd w:id="1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Toc513029205"/>
      <w:r/>
      <w:bookmarkStart w:id="14" w:name="_Toc20823277"/>
      <w:r/>
      <w:bookmarkStart w:id="15" w:name="_Toc16938521"/>
      <w:r>
        <w:rPr>
          <w:rFonts w:hint="eastAsia" w:ascii="方正楷体_GBK" w:hAnsi="方正楷体_GBK" w:eastAsia="方正楷体_GBK" w:cs="方正楷体_GBK"/>
          <w:b/>
          <w:bCs/>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6" w:name="_Toc20823278"/>
      <w:r/>
      <w:bookmarkStart w:id="17" w:name="_Toc513029206"/>
      <w:r/>
      <w:bookmarkStart w:id="18" w:name="_Toc16938522"/>
      <w:r>
        <w:rPr>
          <w:rFonts w:hint="eastAsia" w:ascii="方正楷体_GBK" w:hAnsi="方正楷体_GBK" w:eastAsia="方正楷体_GBK" w:cs="方正楷体_GBK"/>
          <w:b/>
          <w:bCs/>
          <w:sz w:val="28"/>
          <w:szCs w:val="28"/>
          <w:highlight w:val="none"/>
          <w:lang w:val="en-US" w:eastAsia="zh-CN"/>
        </w:rPr>
        <w:t xml:space="preserve">3.适用法律</w:t>
      </w:r>
      <w:bookmarkEnd w:id="16"/>
      <w:r/>
      <w:bookmarkEnd w:id="17"/>
      <w:r/>
      <w:bookmarkEnd w:id="18"/>
      <w:r/>
      <w:r/>
    </w:p>
    <w:p>
      <w:pPr>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9" w:name="_Toc462564067"/>
      <w:r/>
      <w:bookmarkStart w:id="20" w:name="_Toc513029207"/>
      <w:r/>
      <w:bookmarkStart w:id="21" w:name="_Toc20823279"/>
      <w:r/>
      <w:bookmarkStart w:id="22" w:name="_Toc16938523"/>
      <w:r>
        <w:rPr>
          <w:rFonts w:hint="eastAsia" w:ascii="方正楷体_GBK" w:hAnsi="方正楷体_GBK" w:eastAsia="方正楷体_GBK" w:cs="方正楷体_GBK"/>
          <w:b/>
          <w:bCs/>
          <w:sz w:val="28"/>
          <w:szCs w:val="28"/>
          <w:highlight w:val="none"/>
          <w:lang w:val="en-US" w:eastAsia="zh-CN"/>
        </w:rPr>
        <w:t xml:space="preserve">4.磋商费用</w:t>
      </w:r>
      <w:bookmarkEnd w:id="19"/>
      <w:r/>
      <w:bookmarkEnd w:id="20"/>
      <w:r/>
      <w:bookmarkEnd w:id="21"/>
      <w:r/>
      <w:bookmarkEnd w:id="2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120614215"/>
      <w:r/>
      <w:bookmarkStart w:id="24" w:name="_Toc20823281"/>
      <w:r/>
      <w:bookmarkStart w:id="25" w:name="_Toc513029209"/>
      <w:r/>
      <w:bookmarkStart w:id="26" w:name="_Toc16938525"/>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7" w:name="_Toc20823282"/>
      <w:r/>
      <w:bookmarkStart w:id="28" w:name="_Toc513029210"/>
      <w:r/>
      <w:bookmarkStart w:id="29" w:name="_Toc16938526"/>
      <w:r>
        <w:rPr>
          <w:rFonts w:hint="eastAsia" w:ascii="方正楷体_GBK" w:hAnsi="方正楷体_GBK" w:eastAsia="方正楷体_GBK" w:cs="方正楷体_GBK"/>
          <w:b/>
          <w:bCs/>
          <w:sz w:val="28"/>
          <w:szCs w:val="28"/>
          <w:highlight w:val="none"/>
          <w:lang w:val="en-US" w:eastAsia="zh-CN"/>
        </w:rPr>
        <w:t xml:space="preserve">6.磋商文件构成</w:t>
      </w:r>
      <w:bookmarkEnd w:id="27"/>
      <w:r/>
      <w:bookmarkEnd w:id="28"/>
      <w:r/>
      <w:bookmarkEnd w:id="2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0" w:name="_Toc20823283"/>
      <w:r/>
      <w:bookmarkStart w:id="31" w:name="_Toc16938527"/>
      <w:r/>
      <w:bookmarkStart w:id="32" w:name="_Toc513029211"/>
      <w:r/>
      <w:bookmarkStart w:id="33" w:name="_Toc462564070"/>
      <w:r>
        <w:rPr>
          <w:rFonts w:hint="eastAsia" w:ascii="方正楷体_GBK" w:hAnsi="方正楷体_GBK" w:eastAsia="方正楷体_GBK" w:cs="方正楷体_GBK"/>
          <w:b/>
          <w:bCs/>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sz w:val="28"/>
          <w:szCs w:val="28"/>
          <w:highlight w:val="none"/>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4" w:name="_Hlt26954838"/>
      <w:r/>
      <w:bookmarkEnd w:id="34"/>
      <w:r/>
      <w:bookmarkStart w:id="35" w:name="_Hlt26670360"/>
      <w:r/>
      <w:bookmarkEnd w:id="35"/>
      <w:r/>
      <w:bookmarkStart w:id="36" w:name="_Hlt26668975"/>
      <w:r/>
      <w:bookmarkEnd w:id="36"/>
      <w:r>
        <w:rPr>
          <w:rFonts w:hint="eastAsia" w:ascii="方正楷体_GBK" w:hAnsi="方正楷体_GBK" w:eastAsia="方正楷体_GBK" w:cs="方正楷体_GBK"/>
          <w:b/>
          <w:bCs/>
          <w:sz w:val="28"/>
          <w:szCs w:val="28"/>
          <w:highlight w:val="none"/>
          <w:lang w:val="en-US" w:eastAsia="zh-CN"/>
        </w:rPr>
        <w:t xml:space="preserve">10.磋商报价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p>
    <w:p>
      <w:pPr>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7" w:name="_Hlt26670482"/>
      <w:r/>
      <w:bookmarkEnd w:id="37"/>
      <w:r/>
      <w:bookmarkStart w:id="38" w:name="_Hlt26954848"/>
      <w:r/>
      <w:bookmarkEnd w:id="38"/>
      <w:r/>
      <w:bookmarkStart w:id="39" w:name="_Hlt26954731"/>
      <w:r/>
      <w:bookmarkEnd w:id="39"/>
      <w:r/>
      <w:bookmarkStart w:id="40" w:name="_Hlt26954846"/>
      <w:r/>
      <w:bookmarkEnd w:id="40"/>
      <w:r/>
      <w:bookmarkStart w:id="41" w:name="_Hlt26670486"/>
      <w:r/>
      <w:bookmarkEnd w:id="41"/>
      <w:r>
        <w:rPr>
          <w:rFonts w:hint="eastAsia" w:ascii="方正楷体_GBK" w:hAnsi="方正楷体_GBK" w:eastAsia="方正楷体_GBK" w:cs="方正楷体_GBK"/>
          <w:b/>
          <w:bCs/>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p>
    <w:p>
      <w:pPr>
        <w:pStyle w:val="879"/>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p>
    <w:p>
      <w:pPr>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和法定代表人授权委托书，否则作为无效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sz w:val="28"/>
          <w:szCs w:val="28"/>
          <w:highlight w:val="none"/>
          <w:lang w:val="en-US" w:eastAsia="zh-CN"/>
        </w:rPr>
        <w:t xml:space="preserve">13.磋商有效期</w:t>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852"/>
      <w:r/>
      <w:bookmarkEnd w:id="44"/>
      <w:r/>
      <w:bookmarkStart w:id="45" w:name="_Hlt26954739"/>
      <w:r/>
      <w:bookmarkEnd w:id="45"/>
      <w:r/>
      <w:bookmarkStart w:id="46" w:name="_Toc120614217"/>
      <w:r/>
      <w:bookmarkStart w:id="47" w:name="_Toc513029224"/>
      <w:r/>
      <w:bookmarkStart w:id="48" w:name="_Toc20823296"/>
      <w:r/>
      <w:bookmarkStart w:id="49"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0" w:name="_Toc16938541"/>
      <w:r/>
      <w:bookmarkStart w:id="51" w:name="_Toc513029225"/>
      <w:r/>
      <w:bookmarkStart w:id="52" w:name="_Toc20823297"/>
      <w:r/>
      <w:bookmarkStart w:id="53" w:name="_Toc462564084"/>
      <w:r>
        <w:rPr>
          <w:rFonts w:hint="eastAsia" w:ascii="方正楷体_GBK" w:hAnsi="方正楷体_GBK" w:eastAsia="方正楷体_GBK" w:cs="方正楷体_GBK"/>
          <w:b/>
          <w:bCs/>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20823298"/>
      <w:r/>
      <w:bookmarkStart w:id="55" w:name="_Toc513029226"/>
      <w:r/>
      <w:bookmarkStart w:id="56" w:name="_Toc16938542"/>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bookmarkEnd w:id="54"/>
      <w:bookmarkEnd w:id="55"/>
      <w:bookmarkEnd w:id="56"/>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7" w:name="_Toc513029228"/>
      <w:r/>
      <w:bookmarkStart w:id="58" w:name="_Toc16938544"/>
      <w:r/>
      <w:bookmarkStart w:id="59" w:name="_Toc20823300"/>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513029229"/>
      <w:r/>
      <w:bookmarkStart w:id="61" w:name="_Toc120614218"/>
      <w:r/>
      <w:bookmarkStart w:id="62" w:name="_Toc16938545"/>
      <w:r/>
      <w:bookmarkStart w:id="63"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4" w:name="_Toc513029232"/>
      <w:r/>
      <w:bookmarkStart w:id="65" w:name="_Toc20823304"/>
      <w:r/>
      <w:bookmarkStart w:id="66" w:name="_Toc16938548"/>
      <w:r>
        <w:rPr>
          <w:rFonts w:hint="eastAsia" w:ascii="方正楷体_GBK" w:hAnsi="方正楷体_GBK" w:eastAsia="方正楷体_GBK" w:cs="方正楷体_GBK"/>
          <w:b/>
          <w:bCs/>
          <w:sz w:val="28"/>
          <w:szCs w:val="28"/>
          <w:highlight w:val="none"/>
          <w:lang w:val="en-US" w:eastAsia="zh-CN"/>
        </w:rPr>
        <w:t xml:space="preserve">20.评审过程中的澄清</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7" w:name="_Toc20823305"/>
      <w:r/>
      <w:bookmarkStart w:id="68" w:name="_Toc16938549"/>
      <w:r/>
      <w:bookmarkStart w:id="69" w:name="_Toc513029233"/>
      <w:r>
        <w:rPr>
          <w:rFonts w:hint="eastAsia" w:ascii="方正楷体_GBK" w:hAnsi="方正楷体_GBK" w:eastAsia="方正楷体_GBK" w:cs="方正楷体_GBK"/>
          <w:b/>
          <w:bCs/>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eastAsia="宋体" w:cs="Times New Roman"/>
          <w:color w:val="auto"/>
          <w:sz w:val="24"/>
          <w:szCs w:val="22"/>
          <w:highlight w:val="none"/>
          <w:lang w:val="en-US" w:eastAsia="zh-CN"/>
        </w:rPr>
        <w:t xml:space="preserve">报价</w:t>
      </w:r>
      <w:r>
        <w:rPr>
          <w:rFonts w:hint="eastAsia" w:ascii="宋体" w:hAnsi="宋体" w:eastAsia="宋体" w:cs="Times New Roman"/>
          <w:color w:val="auto"/>
          <w:sz w:val="24"/>
          <w:szCs w:val="22"/>
          <w:highlight w:val="none"/>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p>
    <w:p>
      <w:pPr>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pStyle w:val="879"/>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513029235"/>
      <w:r/>
      <w:bookmarkStart w:id="71" w:name="_Toc16938551"/>
      <w:r/>
      <w:bookmarkStart w:id="72" w:name="_Toc120614219"/>
      <w:r/>
      <w:bookmarkStart w:id="73" w:name="_Toc20823307"/>
      <w:r>
        <w:rPr>
          <w:rFonts w:hint="eastAsia" w:ascii="宋体" w:hAnsi="宋体" w:eastAsia="宋体" w:cs="Times New Roman"/>
          <w:color w:val="000000"/>
          <w:sz w:val="24"/>
          <w:szCs w:val="21"/>
          <w:highlight w:val="none"/>
          <w:lang w:val="en-US" w:eastAsia="zh-CN"/>
        </w:rPr>
        <w:t xml:space="preserve">23.1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w:t>
      </w:r>
      <w:r>
        <w:rPr>
          <w:rFonts w:hint="eastAsia" w:ascii="宋体" w:hAnsi="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en-US" w:eastAsia="zh-CN"/>
        </w:rPr>
        <w:t xml:space="preserve">.1.2条第三款规定的情形外，磋商过程中符合要求的供应商或者提交最后报价且未超过采购预算或最高限价的供应商不足三家。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4" w:name="_Toc513029238"/>
      <w:r/>
      <w:bookmarkStart w:id="75" w:name="_Toc16938554"/>
      <w:r/>
      <w:bookmarkStart w:id="76" w:name="_Toc20823310"/>
      <w:r>
        <w:rPr>
          <w:rFonts w:hint="eastAsia" w:ascii="方正楷体_GBK" w:hAnsi="方正楷体_GBK" w:eastAsia="方正楷体_GBK" w:cs="方正楷体_GBK"/>
          <w:b/>
          <w:bCs/>
          <w:sz w:val="28"/>
          <w:szCs w:val="28"/>
          <w:highlight w:val="none"/>
          <w:lang w:val="en-US" w:eastAsia="zh-CN"/>
        </w:rPr>
        <w:t xml:space="preserve">2</w:t>
      </w:r>
      <w:bookmarkEnd w:id="74"/>
      <w:r>
        <w:rPr>
          <w:rFonts w:hint="eastAsia" w:ascii="方正楷体_GBK" w:hAnsi="方正楷体_GBK" w:eastAsia="方正楷体_GBK" w:cs="方正楷体_GBK"/>
          <w:b/>
          <w:bCs/>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Toc200451960"/>
      <w:r>
        <w:rPr>
          <w:rFonts w:hint="eastAsia" w:ascii="方正楷体_GBK" w:hAnsi="方正楷体_GBK" w:eastAsia="方正楷体_GBK" w:cs="方正楷体_GBK"/>
          <w:b/>
          <w:bCs/>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p>
    <w:p>
      <w:pPr>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bookmarkEnd w:id="77"/>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color w:val="000000"/>
          <w:sz w:val="24"/>
          <w:highlight w:val="none"/>
          <w:lang w:val="en-US" w:eastAsia="zh-CN"/>
        </w:rPr>
        <w:t xml:space="preserve">南京江北新区管理委员会财政局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79"/>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p>
    <w:p>
      <w:pPr>
        <w:pStyle w:val="879"/>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p>
    <w:p>
      <w:pPr>
        <w:pStyle w:val="879"/>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p>
    <w:p>
      <w:pPr>
        <w:pStyle w:val="879"/>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879"/>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79"/>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p>
    <w:p>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p>
    <w:p>
      <w:pPr>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pStyle w:val="879"/>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4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953"/>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bookmarkEnd w:id="0"/>
      <w:bookmarkEnd w:id="1"/>
      <w:bookmarkEnd w:id="2"/>
      <w:bookmarkEnd w:id="3"/>
      <w:bookmarkEnd w:id="4"/>
      <w:bookmarkEnd w:id="5"/>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bookmarkStart w:id="78" w:name="_Toc49090575"/>
      <w:r/>
      <w:bookmarkStart w:id="79" w:name="_Toc26554093"/>
      <w:r/>
      <w:bookmarkStart w:id="80" w:name="_Toc462564139"/>
      <w:r/>
      <w:bookmarkStart w:id="81" w:name="_Toc479757211"/>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7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w:t>
      </w:r>
      <w:r>
        <w:rPr>
          <w:rFonts w:hint="eastAsia" w:ascii="方正黑体_GBK" w:hAnsi="方正黑体_GBK" w:eastAsia="方正黑体_GBK" w:cs="方正黑体_GBK"/>
          <w:b w:val="0"/>
          <w:bCs/>
          <w:color w:val="auto"/>
          <w:sz w:val="24"/>
          <w:szCs w:val="24"/>
          <w:highlight w:val="none"/>
        </w:rPr>
        <w:t xml:space="preserve">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710"/>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2"/>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p>
    <w:p>
      <w:pPr>
        <w:rPr>
          <w:rFonts w:ascii="宋体" w:hAnsi="宋体" w:cs="Courier New"/>
          <w:color w:val="auto"/>
          <w:sz w:val="24"/>
          <w:szCs w:val="24"/>
        </w:rPr>
      </w:pPr>
      <w:r>
        <w:rPr>
          <w:rFonts w:hint="eastAsia" w:ascii="宋体" w:hAnsi="宋体" w:cs="Courier New"/>
          <w:sz w:val="24"/>
          <w:szCs w:val="24"/>
        </w:rPr>
        <w:t xml:space="preserve">8.</w:t>
      </w:r>
      <w:r>
        <w:rPr>
          <w:rFonts w:hint="eastAsia" w:ascii="宋体" w:hAnsi="宋体" w:cs="Courier New"/>
          <w:color w:val="auto"/>
          <w:sz w:val="24"/>
          <w:szCs w:val="24"/>
        </w:rPr>
        <w:t xml:space="preserve">1.1 预付款支付：合同签订生效后，甲方向乙方支付合同金额</w:t>
      </w:r>
      <w:r>
        <w:rPr>
          <w:rFonts w:hint="eastAsia" w:ascii="宋体" w:hAnsi="宋体" w:cs="Courier New"/>
          <w:color w:val="auto"/>
          <w:sz w:val="24"/>
          <w:szCs w:val="24"/>
          <w:lang w:eastAsia="zh-CN"/>
        </w:rPr>
        <w:t xml:space="preserve">的</w:t>
      </w:r>
      <w:r>
        <w:rPr>
          <w:rFonts w:hint="eastAsia" w:ascii="宋体" w:hAnsi="宋体" w:cs="Courier New"/>
          <w:color w:val="auto"/>
          <w:sz w:val="24"/>
          <w:szCs w:val="24"/>
        </w:rPr>
        <w:t xml:space="preserve">30%。</w:t>
      </w:r>
      <w:r/>
    </w:p>
    <w:p>
      <w:pPr>
        <w:rPr>
          <w:rFonts w:ascii="宋体" w:hAnsi="宋体" w:cs="Courier New"/>
          <w:color w:val="auto"/>
          <w:sz w:val="24"/>
          <w:szCs w:val="24"/>
        </w:rPr>
      </w:pPr>
      <w:r>
        <w:rPr>
          <w:rFonts w:ascii="宋体" w:hAnsi="宋体" w:cs="Courier New"/>
          <w:color w:val="auto"/>
          <w:sz w:val="24"/>
          <w:szCs w:val="24"/>
        </w:rPr>
        <w:t xml:space="preserve">8.1.</w:t>
      </w:r>
      <w:r>
        <w:rPr>
          <w:rFonts w:hint="eastAsia" w:ascii="宋体" w:hAnsi="宋体" w:cs="Courier New"/>
          <w:color w:val="auto"/>
          <w:sz w:val="24"/>
          <w:szCs w:val="24"/>
        </w:rPr>
        <w:t xml:space="preserve">2 剩余款项支付：每季度末，甲方收到乙方提交的服务报告并确认后，向乙方支付剩余合同金额的25%，共计四次。</w:t>
      </w:r>
      <w:r/>
    </w:p>
    <w:p>
      <w:pPr>
        <w:rPr>
          <w:rFonts w:hint="eastAsia" w:ascii="宋体" w:hAnsi="宋体" w:cs="Courier New"/>
          <w:color w:val="auto"/>
          <w:sz w:val="24"/>
          <w:szCs w:val="24"/>
        </w:rPr>
      </w:pPr>
      <w:r>
        <w:rPr>
          <w:rFonts w:ascii="宋体" w:hAnsi="宋体" w:cs="Courier New"/>
          <w:color w:val="auto"/>
          <w:sz w:val="24"/>
          <w:szCs w:val="24"/>
        </w:rPr>
        <w:t xml:space="preserve">8.1.</w:t>
      </w:r>
      <w:r>
        <w:rPr>
          <w:rFonts w:hint="eastAsia" w:ascii="宋体" w:hAnsi="宋体" w:cs="Courier New"/>
          <w:color w:val="auto"/>
          <w:sz w:val="24"/>
          <w:szCs w:val="24"/>
          <w:lang w:val="en-US" w:eastAsia="zh-CN"/>
        </w:rPr>
        <w:t xml:space="preserve">3</w:t>
      </w:r>
      <w:r>
        <w:rPr>
          <w:rFonts w:hint="eastAsia" w:ascii="宋体" w:hAnsi="宋体" w:cs="Courier New"/>
          <w:color w:val="auto"/>
          <w:sz w:val="24"/>
          <w:szCs w:val="24"/>
        </w:rPr>
        <w:t xml:space="preserve"> 最后一次季度付款前，乙方除了需要提交服务报告外，还需提交维保设备运行状况清单，并经甲方确认实地确认设备状况良好、无安全隐患后，完成款项支付。</w:t>
      </w:r>
      <w:r/>
    </w:p>
    <w:p>
      <w:pPr>
        <w:pStyle w:val="710"/>
        <w:rPr>
          <w:rFonts w:hint="eastAsia" w:hAnsi="宋体"/>
          <w:sz w:val="24"/>
          <w:szCs w:val="24"/>
        </w:rPr>
      </w:pPr>
      <w:r>
        <w:rPr>
          <w:rFonts w:hint="eastAsia" w:hAnsi="宋体"/>
          <w:sz w:val="24"/>
          <w:szCs w:val="24"/>
        </w:rPr>
        <w:t xml:space="preserve">8.1.4 满足合同约定支付条件的，甲方收到乙方发票后10个工作日内，将资金支付到合同约定的乙方账户。</w:t>
      </w:r>
      <w:r/>
    </w:p>
    <w:p>
      <w:pPr>
        <w:pStyle w:val="710"/>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
        <w:rPr>
          <w:rFonts w:hint="eastAsia" w:ascii="宋体" w:hAnsi="宋体" w:eastAsia="宋体" w:cs="Courier New"/>
          <w:color w:val="auto"/>
          <w:sz w:val="24"/>
          <w:szCs w:val="24"/>
          <w:highlight w:val="none"/>
          <w:lang w:val="zh-CN" w:eastAsia="zh-CN"/>
        </w:rPr>
      </w:r>
      <w:r/>
      <w:r>
        <w:rPr>
          <w:rFonts w:hint="eastAsia" w:ascii="宋体" w:hAnsi="宋体" w:eastAsia="宋体" w:cs="Courier New"/>
          <w:color w:val="000000"/>
          <w:sz w:val="24"/>
          <w:szCs w:val="24"/>
          <w:highlight w:val="none"/>
        </w:rP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hint="eastAsia"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auto"/>
          <w:sz w:val="24"/>
          <w:szCs w:val="24"/>
          <w:u w:val="single"/>
        </w:rPr>
        <w:t xml:space="preserve">10%</w:t>
      </w:r>
      <w:r>
        <w:rPr>
          <w:rFonts w:hint="eastAsia" w:ascii="宋体" w:hAnsi="宋体" w:cs="Courier New"/>
          <w:color w:val="auto"/>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w:t>
      </w:r>
      <w:r>
        <w:rPr>
          <w:rFonts w:hint="eastAsia" w:ascii="宋体" w:hAnsi="宋体" w:cs="Courier New"/>
          <w:color w:val="auto"/>
          <w:sz w:val="24"/>
          <w:szCs w:val="24"/>
        </w:rPr>
        <w:t xml:space="preserve">日</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10 </w:t>
      </w:r>
      <w:r>
        <w:rPr>
          <w:rFonts w:ascii="宋体" w:hAnsi="宋体" w:cs="宋体"/>
          <w:color w:val="auto"/>
          <w:sz w:val="24"/>
          <w:szCs w:val="24"/>
        </w:rPr>
        <w:t xml:space="preserve">%。</w:t>
      </w:r>
      <w:r/>
    </w:p>
    <w:p>
      <w:pPr>
        <w:keepLines w:val="0"/>
        <w:keepNext w:val="0"/>
        <w:pageBreakBefore w:val="0"/>
        <w:spacing w:before="0" w:after="0" w:line="240" w:lineRule="auto"/>
        <w:widowControl w:val="off"/>
        <w:rPr>
          <w:rStyle w:val="727"/>
          <w:color w:val="auto"/>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w:t>
      </w:r>
      <w:r>
        <w:rPr>
          <w:rFonts w:hint="eastAsia" w:ascii="宋体" w:hAnsi="宋体" w:cs="Courier New"/>
          <w:color w:val="auto"/>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10% </w:t>
      </w:r>
      <w:r>
        <w:rPr>
          <w:rFonts w:hint="eastAsia" w:ascii="宋体" w:hAnsi="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p>
    <w:p>
      <w:pPr>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7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710"/>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p>
    <w:p>
      <w:pPr>
        <w:pStyle w:val="7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10"/>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710"/>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p>
    <w:p>
      <w:pPr>
        <w:pStyle w:val="710"/>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p>
    <w:p>
      <w:pPr>
        <w:pStyle w:val="996"/>
        <w:jc w:val="center"/>
        <w:keepLines w:val="0"/>
        <w:keepNext w:val="0"/>
        <w:pageBreakBefore w:val="0"/>
        <w:spacing w:before="120" w:after="120" w:line="0" w:lineRule="atLeast"/>
        <w:widowControl w:val="off"/>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82" w:name="_Toc20823346"/>
      <w:r/>
      <w:bookmarkStart w:id="83" w:name="_Hlt16619350"/>
      <w:r/>
      <w:bookmarkStart w:id="84" w:name="_Toc120614244"/>
      <w:r/>
      <w:bookmarkStart w:id="85" w:name="_Toc16938590"/>
      <w:r>
        <w:rPr>
          <w:rFonts w:hint="eastAsia" w:ascii="宋体" w:hAnsi="宋体" w:eastAsia="宋体" w:cs="Courier New"/>
          <w:color w:val="000000"/>
          <w:sz w:val="24"/>
          <w:szCs w:val="24"/>
          <w:highlight w:val="none"/>
          <w:lang w:val="en-US" w:eastAsia="zh-CN" w:bidi="ar-SA"/>
        </w:rPr>
        <w:br w:type="page" w:clear="all"/>
      </w:r>
      <w:bookmarkEnd w:id="82"/>
      <w:r/>
      <w:bookmarkEnd w:id="83"/>
      <w:r/>
      <w:bookmarkEnd w:id="84"/>
      <w:r/>
      <w:bookmarkEnd w:id="85"/>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p>
    <w:p>
      <w:pPr>
        <w:ind w:firstLine="480"/>
        <w:keepLines w:val="0"/>
        <w:keepNext w:val="0"/>
        <w:pageBreakBefore w:val="0"/>
        <w:spacing w:line="240" w:lineRule="auto"/>
        <w:widowControl w:val="off"/>
        <w:rPr>
          <w:rFonts w:hint="eastAsia" w:ascii="宋体" w:hAnsi="宋体"/>
          <w:color w:val="000000"/>
          <w:sz w:val="24"/>
          <w:szCs w:val="24"/>
        </w:rPr>
      </w:pPr>
      <w:r/>
      <w:bookmarkStart w:id="86" w:name="OLE_LINK1"/>
      <w:r/>
      <w:bookmarkStart w:id="87"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（一）项目背景</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随着司法体制改革的不断深化和智慧法院建设的全面推进，信息化已成为支撑审判执行工作、提升司法公信力的重要基石。江北新区人民法院作为区域司法体系的核心枢纽，其日常业务的高度数字化与网络化，对信息基础设施的稳定性、安全性和高效性提出了前所未有的严苛要求。在当前的司法环境下，确保审判流程的连续性与数据资产的绝对安全，不仅是技术层面的需求，更是维护法律尊严与社会公平正义的政治责任。</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然而，随着信息化存量的不断增加以及弱电系统架构的日益复杂，设备老化、系统漏洞及网络安全隐患等潜在风险也随之累积。单纯依靠内部行政力量已难以满足当前高标准、全天候的运维保障需求。信息化存量设备与弱电系统的健康运行，直接关系到法院指挥调度、庭审直播、安防监控等关键业务的开展。一旦核心网络或安防系统出现故障，将严重阻碍司法工作的正常进行，甚至可能引发不可预估的安全责任事故。</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基于此，江北新区人民法院亟需引入具备专业资质的第三方信息化维护服务团队。通过构建“专人专管、全面覆盖”的运维保障体系，对现有信息系统、弱电设施及安防设备进行全方位的资产梳理与深度体检。本项目旨在通过常态化的巡检维保、及时的安全特征库更新以及实战化的应急演练，消除安全盲区，提升响应速度。</w:t>
      </w:r>
      <w:r/>
    </w:p>
    <w:p>
      <w:pPr>
        <w:ind w:firstLine="480"/>
        <w:keepLines w:val="0"/>
        <w:keepNext w:val="0"/>
        <w:pageBreakBefore w:val="0"/>
        <w:spacing w:line="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（二）项目建设遵循标准</w:t>
      </w:r>
      <w:r/>
    </w:p>
    <w:p>
      <w:pPr>
        <w:pStyle w:val="887"/>
        <w:ind w:firstLine="480"/>
        <w:keepLines w:val="0"/>
        <w:keepNext w:val="0"/>
        <w:pageBreakBefore w:val="0"/>
        <w:widowControl w:val="off"/>
        <w:rPr>
          <w:rFonts w:hint="eastAsia"/>
        </w:rPr>
      </w:pPr>
      <w:r>
        <w:rPr>
          <w:rFonts w:hint="eastAsia" w:ascii="宋体" w:hAnsi="宋体" w:eastAsia="宋体" w:cs="宋体"/>
          <w:bCs/>
          <w:sz w:val="24"/>
          <w:szCs w:val="24"/>
        </w:rPr>
        <w:t xml:space="preserve">遵循国家、行业及地方现行的规范和标准。</w:t>
      </w:r>
      <w:r/>
    </w:p>
    <w:p>
      <w:pPr>
        <w:numPr>
          <w:ilvl w:val="0"/>
          <w:numId w:val="5"/>
        </w:numPr>
        <w:ind w:left="0" w:firstLine="480"/>
        <w:keepLines w:val="0"/>
        <w:keepNext w:val="0"/>
        <w:pageBreakBefore w:val="0"/>
        <w:spacing w:line="0" w:lineRule="atLeast"/>
        <w:widowControl/>
        <w:rPr>
          <w:rFonts w:hint="eastAsia" w:ascii="黑体" w:hAnsi="黑体" w:eastAsia="黑体" w:cs="黑体"/>
          <w:color w:val="000000"/>
          <w:sz w:val="24"/>
          <w:szCs w:val="24"/>
          <w:lang w:eastAsia="zh-CN"/>
        </w:rPr>
        <w:outlineLvl w:val="9"/>
      </w:pPr>
      <w:r>
        <w:rPr>
          <w:rFonts w:hint="eastAsia" w:ascii="黑体" w:hAnsi="黑体" w:eastAsia="黑体" w:cs="黑体"/>
          <w:color w:val="000000"/>
          <w:sz w:val="24"/>
          <w:szCs w:val="24"/>
          <w:lang w:eastAsia="zh-CN"/>
        </w:rPr>
        <w:t xml:space="preserve">项目清单</w:t>
      </w:r>
      <w:r/>
    </w:p>
    <w:tbl>
      <w:tblPr>
        <w:tblStyle w:val="992"/>
        <w:tblW w:w="518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3"/>
        <w:gridCol w:w="1368"/>
        <w:gridCol w:w="760"/>
        <w:gridCol w:w="722"/>
        <w:gridCol w:w="1060"/>
        <w:gridCol w:w="1072"/>
        <w:gridCol w:w="1334"/>
        <w:gridCol w:w="953"/>
        <w:gridCol w:w="1026"/>
        <w:gridCol w:w="1277"/>
      </w:tblGrid>
      <w:tr>
        <w:trPr>
          <w:trHeight w:val="470"/>
        </w:trPr>
        <w:tc>
          <w:tcPr>
            <w:tcBorders>
              <w:top w:val="single" w:color="000000" w:sz="2" w:space="0"/>
              <w:bottom w:val="single" w:color="000000" w:sz="2" w:space="0"/>
            </w:tcBorders>
            <w:tcW w:w="273" w:type="pct"/>
            <w:vAlign w:val="center"/>
            <w:textDirection w:val="lrTb"/>
            <w:noWrap w:val="false"/>
          </w:tcPr>
          <w:p>
            <w:pPr>
              <w:jc w:val="center"/>
              <w:rPr>
                <w:b/>
                <w:szCs w:val="20"/>
              </w:rPr>
            </w:pPr>
            <w:r>
              <w:rPr>
                <w:rFonts w:hint="eastAsia"/>
                <w:b/>
                <w:szCs w:val="20"/>
              </w:rPr>
              <w:t xml:space="preserve">序号</w:t>
            </w:r>
            <w:r/>
          </w:p>
        </w:tc>
        <w:tc>
          <w:tcPr>
            <w:tcBorders>
              <w:top w:val="single" w:color="000000" w:sz="2" w:space="0"/>
              <w:bottom w:val="single" w:color="000000" w:sz="2" w:space="0"/>
            </w:tcBorders>
            <w:tcW w:w="675" w:type="pct"/>
            <w:vAlign w:val="center"/>
            <w:textDirection w:val="lrTb"/>
            <w:noWrap w:val="false"/>
          </w:tcPr>
          <w:p>
            <w:pPr>
              <w:jc w:val="center"/>
              <w:rPr>
                <w:b/>
                <w:szCs w:val="20"/>
              </w:rPr>
            </w:pPr>
            <w:r>
              <w:rPr>
                <w:rFonts w:hint="eastAsia"/>
                <w:b/>
                <w:szCs w:val="20"/>
              </w:rPr>
              <w:t xml:space="preserve">分项名称</w:t>
            </w:r>
            <w:r/>
          </w:p>
        </w:tc>
        <w:tc>
          <w:tcPr>
            <w:tcBorders>
              <w:top w:val="single" w:color="000000" w:sz="2" w:space="0"/>
              <w:bottom w:val="single" w:color="000000" w:sz="2" w:space="0"/>
            </w:tcBorders>
            <w:tcW w:w="375" w:type="pct"/>
            <w:vAlign w:val="center"/>
            <w:textDirection w:val="lrTb"/>
            <w:noWrap w:val="false"/>
          </w:tcPr>
          <w:p>
            <w:pPr>
              <w:jc w:val="center"/>
              <w:rPr>
                <w:b/>
                <w:szCs w:val="20"/>
              </w:rPr>
            </w:pPr>
            <w:r>
              <w:rPr>
                <w:rFonts w:hint="eastAsia"/>
                <w:b/>
                <w:szCs w:val="20"/>
              </w:rPr>
              <w:t xml:space="preserve">数量</w:t>
            </w:r>
            <w:r/>
          </w:p>
        </w:tc>
        <w:tc>
          <w:tcPr>
            <w:tcBorders>
              <w:top w:val="single" w:color="000000" w:sz="2" w:space="0"/>
              <w:bottom w:val="single" w:color="000000" w:sz="2" w:space="0"/>
            </w:tcBorders>
            <w:tcW w:w="356" w:type="pct"/>
            <w:vAlign w:val="center"/>
            <w:textDirection w:val="lrTb"/>
            <w:noWrap w:val="false"/>
          </w:tcPr>
          <w:p>
            <w:pPr>
              <w:jc w:val="center"/>
              <w:rPr>
                <w:b/>
                <w:szCs w:val="20"/>
              </w:rPr>
            </w:pPr>
            <w:r>
              <w:rPr>
                <w:rFonts w:hint="eastAsia"/>
                <w:b/>
                <w:szCs w:val="20"/>
              </w:rPr>
              <w:t xml:space="preserve">单位</w:t>
            </w:r>
            <w:r/>
          </w:p>
        </w:tc>
        <w:tc>
          <w:tcPr>
            <w:tcBorders>
              <w:top w:val="single" w:color="000000" w:sz="2" w:space="0"/>
              <w:bottom w:val="single" w:color="000000" w:sz="2" w:space="0"/>
            </w:tcBorders>
            <w:tcW w:w="523" w:type="pct"/>
            <w:vAlign w:val="center"/>
            <w:textDirection w:val="lrTb"/>
            <w:noWrap w:val="false"/>
          </w:tcPr>
          <w:p>
            <w:pPr>
              <w:jc w:val="center"/>
              <w:rPr>
                <w:b/>
                <w:szCs w:val="20"/>
              </w:rPr>
            </w:pPr>
            <w:r>
              <w:rPr>
                <w:rFonts w:hint="eastAsia"/>
                <w:b/>
                <w:szCs w:val="20"/>
              </w:rPr>
              <w:t xml:space="preserve">产品类型</w:t>
            </w:r>
            <w:r/>
          </w:p>
        </w:tc>
        <w:tc>
          <w:tcPr>
            <w:tcBorders>
              <w:top w:val="single" w:color="000000" w:sz="2" w:space="0"/>
              <w:bottom w:val="single" w:color="000000" w:sz="2" w:space="0"/>
            </w:tcBorders>
            <w:tcW w:w="529" w:type="pct"/>
            <w:vAlign w:val="center"/>
            <w:textDirection w:val="lrTb"/>
            <w:noWrap w:val="false"/>
          </w:tcPr>
          <w:p>
            <w:pPr>
              <w:jc w:val="center"/>
              <w:rPr>
                <w:b/>
                <w:szCs w:val="20"/>
              </w:rPr>
            </w:pPr>
            <w:r>
              <w:rPr>
                <w:rFonts w:hint="eastAsia"/>
                <w:b/>
                <w:szCs w:val="20"/>
              </w:rPr>
              <w:t xml:space="preserve">单价上限</w:t>
            </w:r>
            <w:r/>
          </w:p>
          <w:p>
            <w:pPr>
              <w:jc w:val="center"/>
              <w:rPr>
                <w:b/>
                <w:szCs w:val="20"/>
              </w:rPr>
            </w:pPr>
            <w:r>
              <w:rPr>
                <w:rFonts w:hint="eastAsia"/>
                <w:b/>
                <w:szCs w:val="20"/>
              </w:rPr>
              <w:t xml:space="preserve">（元）</w:t>
            </w:r>
            <w:r/>
          </w:p>
        </w:tc>
        <w:tc>
          <w:tcPr>
            <w:tcBorders>
              <w:top w:val="single" w:color="000000" w:sz="2" w:space="0"/>
              <w:bottom w:val="single" w:color="000000" w:sz="2" w:space="0"/>
            </w:tcBorders>
            <w:tcW w:w="658" w:type="pct"/>
            <w:vAlign w:val="center"/>
            <w:textDirection w:val="lrTb"/>
            <w:noWrap w:val="false"/>
          </w:tcPr>
          <w:p>
            <w:pPr>
              <w:jc w:val="center"/>
              <w:rPr>
                <w:b/>
                <w:szCs w:val="20"/>
              </w:rPr>
            </w:pPr>
            <w:r>
              <w:rPr>
                <w:rFonts w:hint="eastAsia"/>
                <w:b/>
                <w:szCs w:val="20"/>
              </w:rPr>
              <w:t xml:space="preserve">所属行业</w:t>
            </w:r>
            <w:r/>
          </w:p>
        </w:tc>
        <w:tc>
          <w:tcPr>
            <w:tcBorders>
              <w:top w:val="single" w:color="000000" w:sz="2" w:space="0"/>
              <w:bottom w:val="single" w:color="000000" w:sz="2" w:space="0"/>
            </w:tcBorders>
            <w:tcW w:w="470" w:type="pct"/>
            <w:vAlign w:val="center"/>
            <w:textDirection w:val="lrTb"/>
            <w:noWrap w:val="false"/>
          </w:tcPr>
          <w:p>
            <w:pPr>
              <w:jc w:val="center"/>
              <w:rPr>
                <w:b/>
                <w:szCs w:val="20"/>
              </w:rPr>
            </w:pPr>
            <w:r>
              <w:rPr>
                <w:rFonts w:hint="eastAsia"/>
                <w:b/>
                <w:szCs w:val="20"/>
              </w:rPr>
              <w:t xml:space="preserve">属性</w:t>
            </w:r>
            <w:r/>
          </w:p>
        </w:tc>
        <w:tc>
          <w:tcPr>
            <w:tcBorders>
              <w:top w:val="single" w:color="000000" w:sz="2" w:space="0"/>
              <w:bottom w:val="single" w:color="000000" w:sz="2" w:space="0"/>
            </w:tcBorders>
            <w:tcW w:w="506" w:type="pct"/>
            <w:vAlign w:val="center"/>
            <w:textDirection w:val="lrTb"/>
            <w:noWrap w:val="false"/>
          </w:tcPr>
          <w:p>
            <w:pPr>
              <w:jc w:val="center"/>
              <w:rPr>
                <w:b/>
                <w:szCs w:val="20"/>
              </w:rPr>
            </w:pPr>
            <w:r>
              <w:rPr>
                <w:rFonts w:hint="eastAsia"/>
                <w:b/>
                <w:szCs w:val="20"/>
              </w:rPr>
              <w:t xml:space="preserve">数据交易类型（如有）</w:t>
            </w:r>
            <w:r/>
          </w:p>
        </w:tc>
        <w:tc>
          <w:tcPr>
            <w:tcBorders>
              <w:top w:val="single" w:color="000000" w:sz="2" w:space="0"/>
              <w:bottom w:val="single" w:color="000000" w:sz="2" w:space="0"/>
            </w:tcBorders>
            <w:tcW w:w="630" w:type="pct"/>
            <w:vAlign w:val="center"/>
            <w:textDirection w:val="lrTb"/>
            <w:noWrap w:val="false"/>
          </w:tcPr>
          <w:p>
            <w:pPr>
              <w:jc w:val="center"/>
              <w:rPr>
                <w:b/>
                <w:szCs w:val="20"/>
              </w:rPr>
            </w:pPr>
            <w:r>
              <w:rPr>
                <w:rFonts w:hint="eastAsia" w:ascii="宋体" w:hAnsi="宋体" w:cs="宋体"/>
                <w:bCs/>
                <w:sz w:val="24"/>
                <w:szCs w:val="24"/>
                <w:lang w:val="en-US" w:eastAsia="zh-CN"/>
              </w:rPr>
              <w:t xml:space="preserve">备注</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67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sz w:val="24"/>
                <w:szCs w:val="24"/>
              </w:rPr>
              <w:t xml:space="preserve">园区信息化弱电及安防设备维保</w:t>
            </w:r>
            <w:r/>
          </w:p>
        </w:tc>
        <w:tc>
          <w:tcPr>
            <w:tcBorders>
              <w:top w:val="single" w:color="000000" w:sz="2" w:space="0"/>
              <w:bottom w:val="single" w:color="000000" w:sz="2" w:space="0"/>
            </w:tcBorders>
            <w:tcW w:w="37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Borders>
              <w:top w:val="single" w:color="000000" w:sz="2" w:space="0"/>
              <w:bottom w:val="single" w:color="000000" w:sz="2" w:space="0"/>
            </w:tcBorders>
            <w:tcW w:w="523"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主要产品</w:t>
            </w:r>
            <w:r/>
          </w:p>
        </w:tc>
        <w:tc>
          <w:tcPr>
            <w:tcBorders>
              <w:top w:val="single" w:color="000000" w:sz="2" w:space="0"/>
              <w:bottom w:val="single" w:color="000000" w:sz="2" w:space="0"/>
            </w:tcBorders>
            <w:tcW w:w="529"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000000" w:sz="2" w:space="0"/>
              <w:bottom w:val="single" w:color="000000" w:sz="2" w:space="0"/>
            </w:tcBorders>
            <w:tcW w:w="65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软件和信息技术服务业</w:t>
            </w:r>
            <w:r/>
          </w:p>
        </w:tc>
        <w:tc>
          <w:tcPr>
            <w:tcBorders>
              <w:top w:val="single" w:color="000000" w:sz="2" w:space="0"/>
              <w:bottom w:val="single" w:color="000000" w:sz="2" w:space="0"/>
            </w:tcBorders>
            <w:tcW w:w="470"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服务</w:t>
            </w:r>
            <w:r/>
          </w:p>
        </w:tc>
        <w:tc>
          <w:tcPr>
            <w:tcBorders>
              <w:top w:val="single" w:color="000000" w:sz="2" w:space="0"/>
              <w:bottom w:val="single" w:color="000000" w:sz="2" w:space="0"/>
            </w:tcBorders>
            <w:tcW w:w="50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000000" w:sz="2" w:space="0"/>
              <w:bottom w:val="single" w:color="000000" w:sz="2" w:space="0"/>
            </w:tcBorders>
            <w:tcW w:w="630"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trHeight w:val="772"/>
        </w:trPr>
        <w:tc>
          <w:tcPr>
            <w:tcBorders>
              <w:top w:val="single" w:color="000000" w:sz="2" w:space="0"/>
              <w:bottom w:val="single" w:color="000000" w:sz="2" w:space="0"/>
            </w:tcBorders>
            <w:tcW w:w="273"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000000" w:sz="2" w:space="0"/>
              <w:bottom w:val="single" w:color="000000" w:sz="2" w:space="0"/>
            </w:tcBorders>
            <w:tcW w:w="67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数据中心存量设备维保服务</w:t>
            </w:r>
            <w:r/>
          </w:p>
        </w:tc>
        <w:tc>
          <w:tcPr>
            <w:tcBorders>
              <w:top w:val="single" w:color="000000" w:sz="2" w:space="0"/>
              <w:bottom w:val="single" w:color="000000" w:sz="2" w:space="0"/>
            </w:tcBorders>
            <w:tcW w:w="37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Borders>
              <w:top w:val="single" w:color="000000" w:sz="2" w:space="0"/>
              <w:bottom w:val="single" w:color="000000" w:sz="2" w:space="0"/>
            </w:tcBorders>
            <w:tcW w:w="523"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主要产品</w:t>
            </w:r>
            <w:r/>
          </w:p>
        </w:tc>
        <w:tc>
          <w:tcPr>
            <w:tcBorders>
              <w:top w:val="single" w:color="000000" w:sz="2" w:space="0"/>
              <w:bottom w:val="single" w:color="000000" w:sz="2" w:space="0"/>
            </w:tcBorders>
            <w:tcW w:w="529"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shd w:val="clear" w:color="auto" w:fill="auto"/>
            <w:tcBorders>
              <w:top w:val="single" w:color="000000" w:sz="2" w:space="0"/>
              <w:bottom w:val="single" w:color="000000" w:sz="2" w:space="0"/>
            </w:tcBorders>
            <w:tcW w:w="65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软件和信息技术服务业</w:t>
            </w:r>
            <w:r/>
          </w:p>
        </w:tc>
        <w:tc>
          <w:tcPr>
            <w:shd w:val="clear" w:color="auto" w:fill="auto"/>
            <w:tcBorders>
              <w:top w:val="single" w:color="000000" w:sz="2" w:space="0"/>
              <w:bottom w:val="single" w:color="000000" w:sz="2" w:space="0"/>
            </w:tcBorders>
            <w:tcW w:w="470"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服务</w:t>
            </w:r>
            <w:r/>
          </w:p>
        </w:tc>
        <w:tc>
          <w:tcPr>
            <w:tcBorders>
              <w:top w:val="single" w:color="000000" w:sz="2" w:space="0"/>
              <w:bottom w:val="single" w:color="000000" w:sz="2" w:space="0"/>
            </w:tcBorders>
            <w:tcW w:w="50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000000" w:sz="2" w:space="0"/>
              <w:bottom w:val="single" w:color="000000" w:sz="2" w:space="0"/>
            </w:tcBorders>
            <w:tcW w:w="630"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p>
        </w:tc>
      </w:tr>
    </w:tbl>
    <w:p>
      <w:pPr>
        <w:pStyle w:val="702"/>
        <w:rPr>
          <w:rFonts w:hint="eastAsia"/>
          <w:lang w:eastAsia="zh-CN"/>
        </w:rPr>
      </w:pPr>
      <w:r>
        <w:rPr>
          <w:rFonts w:hint="eastAsia"/>
          <w:lang w:eastAsia="zh-CN"/>
        </w:rPr>
      </w:r>
      <w:r/>
    </w:p>
    <w:p>
      <w:pPr>
        <w:numPr>
          <w:ilvl w:val="0"/>
          <w:numId w:val="0"/>
        </w:numPr>
        <w:ind w:firstLine="482"/>
        <w:keepLines w:val="0"/>
        <w:keepNext w:val="0"/>
        <w:pageBreakBefore w:val="0"/>
        <w:spacing w:line="240" w:lineRule="auto"/>
        <w:widowControl w:val="off"/>
        <w:rPr>
          <w:rFonts w:hint="eastAsia" w:ascii="黑体" w:hAnsi="黑体" w:eastAsia="黑体" w:cs="黑体"/>
          <w:bCs w:val="0"/>
          <w:color w:val="000000"/>
          <w:sz w:val="24"/>
          <w:szCs w:val="24"/>
          <w:highlight w:val="none"/>
        </w:rPr>
        <w:outlineLvl w:val="1"/>
      </w:pPr>
      <w:r>
        <w:rPr>
          <w:rFonts w:hint="eastAsia" w:ascii="黑体" w:hAnsi="黑体" w:eastAsia="黑体" w:cs="黑体"/>
          <w:bCs w:val="0"/>
          <w:color w:val="000000"/>
          <w:sz w:val="24"/>
          <w:szCs w:val="24"/>
          <w:highlight w:val="none"/>
          <w:lang w:val="en-US" w:eastAsia="zh-CN" w:bidi="ar-SA"/>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2"/>
        <w:keepLines w:val="0"/>
        <w:keepNext w:val="0"/>
        <w:pageBreakBefore w:val="0"/>
        <w:spacing w:line="240" w:lineRule="auto"/>
        <w:widowControl w:val="off"/>
        <w:rPr>
          <w:rFonts w:hint="eastAsia" w:ascii="宋体" w:hAnsi="宋体" w:cs="宋体"/>
          <w:bCs/>
          <w:sz w:val="24"/>
          <w:szCs w:val="24"/>
          <w:highlight w:val="none"/>
        </w:rPr>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（一）技术要求</w:t>
      </w:r>
      <w:r/>
    </w:p>
    <w:p>
      <w:pPr>
        <w:pStyle w:val="1004"/>
      </w:pPr>
      <w:r>
        <w:rPr>
          <w:rFonts w:hint="eastAsia"/>
        </w:rPr>
        <w:t xml:space="preserve">1.整体维保服务要求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供应商负责对南京江北新区法院所在园区的信息化相关软硬件配套设施进行专业维保，涉及的软硬件故障应及时定位、排除、修复，更换所损部件，提供技术支持、性能调优（本项目所涉维保清单详见附件），服务具体工作主要包括但不限于：</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（1）提供园区信息化配套的弱电系统、电动环系统、安防监控系统、门禁系统、不间断电源系统主机、电池组等设备的故障的诊断、排除等工作，其中过保设备提供故障备件更换。</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（2）提供数据中心机房的服务器、存储、网络、安全等设备的故障的诊断、排除等工作，其中过保设备提供故障备件更换。</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（3）提供园区与数据中心信息化相关软硬件设备的系统维护服务。包括性能监测、故障处理等技术支持服务，提供服务器、存储、网络和安全设备的维护工作，包括配置更改、版本升级和固件更新等支持服务。</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（4）提供园区与数据中心信息化相关软件系统的维护服务。包括虚拟化、超融合平台维护工作，包括性能监测、故障处理、配置更新等支持服务。</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（5）提供基础业务平台的维护工作。包括一站审判管理平台、融合云法庭、智慧警务管理平台的系统日常维护、平台故障处理、系统功能更新和第三方平台对接的接口开发和调试工作。</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（6）在相关软硬件的更新或升级过程中必须保证业务稳定。如因升级导致业务中断、宕机情况，由投标人负全部责任。</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2.驻场人员服务要求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人员要求：不少于2人的驻场运维工程师，提供服务内容中所要求的运维服务，并确保岗位具有随时可替代的不低于采购文件要求的技术人员，如供应商驻场人员调整，需征得采购人同意，相关调整人员应在一周内到岗。</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日常辅助：针对用户日常使用系统过程中遇到的问题，提供必要的讲解、指导或现场帮助，保证用户在最短的时间内解决操作问题。驻场人员负责处理服务内容的所有项目，从接到报修和服务要求起，应立即响应，以尽可能短的时间内解决问题，并做好登记。</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（3）工单处置：驻场人员需在用户规定时间内处理响应工单，对于无法处置或涉及到数据修改等方面的工单，及时通过工单系统上报上级法院或相关厂商处置，并跟踪处置全流程，及时向用户反馈处置结果。</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（4）台账维护：驻场负责对所有维护、修改记录进行登记，建立维护服务台帐，每月向采购人管理部门汇报。</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（5）问题处理：驻场人员无法解决的问题，供应商运维团队需协助采购人积极处理并协调相关资源，直至问题解决。</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（6）其他要求：供应商必须按岗位及服务要求，配备人员，并保证及时到岗。供应商在组织、安排用工时，应符合国家相关法规，维护用工的正当权益。</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3.设备巡检服务要求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供应商负责对园区信息化弱电及安防设备和数据中心存量设备提供月度巡检，并提供巡检报告。对比每一次巡检记录，进行故障趋势分析，提出优化建议并协助落实；提供相关设备和系统的故障诊断、性能优化等技术服务；</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在运维期间，原系统或设备出现故障，维修所需单一主材或配件价值低于5000元（含），由供应商免费维修或更换；维修所需单一主材或配件价值超出5000元，其维修或更换主材或配件产生的相关费用由采购人承担，人工费用由供应商免费承担。</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（3）供应商按照采购人要求对数据中心指定的重要系统在采购人提供的环境中建立容灾，并定期对容灾环境进行可用性验证。每年至少提供2次容灾演练并形成演练报告。</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4.技术服务响应要求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（1）供应商提供7×24小时应急响应服务，在重大节日、特殊时期或突发状况发生的情况下，安排人员现场进行技术支持。</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（2）对于采购人系统的突发运行故障，供应商提供7×24小时响应及现场技术支持服务。</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3）故障响应时间不超过半小时，工作时间故障响应后1小时内工程师到达现场，非工作时间故障响应后2小时内工程师到达现场，最长故障解决时间不超过24小时；如果对故障原因不确定或确定有多种故障原因，且不能在短时间内解决的，维保方须在48小时内提供备机服务，并及时恢复业务运行。</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（4）在重大项目、重大问题以及上级检查考核中需要相关技术人员辅助解决时，供应商的技术团队应</w:t>
      </w:r>
      <w:r>
        <w:rPr>
          <w:rFonts w:hint="eastAsia" w:ascii="宋体" w:hAnsi="宋体" w:cs="宋体"/>
          <w:sz w:val="24"/>
          <w:szCs w:val="24"/>
          <w:lang w:eastAsia="zh-CN"/>
        </w:rPr>
        <w:t xml:space="preserve">在</w:t>
      </w:r>
      <w:r>
        <w:rPr>
          <w:rFonts w:hint="eastAsia" w:ascii="宋体" w:hAnsi="宋体" w:eastAsia="宋体" w:cs="宋体"/>
          <w:sz w:val="24"/>
          <w:szCs w:val="24"/>
        </w:rPr>
        <w:t xml:space="preserve">2小时内提供响应支持，并在规定的时限内解决问题，重大问题解决后，应评估对现有系统是否有长远影响，并出具评估报告或合理整改方案。</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5）服务期内若出现故障且成交供应商的技术能力或备件能力不能满足其工作需要，采购人有权立即请原厂商或第三方公司提供服务，由此而产生的所有费用由成交供应商支付。如果出现因成交供应商原因导致重大责任事故或成交供应商的服务达不到采购人要求的，采购人有权终止合同并向成交供应商索赔。</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5.资产梳理要求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供应商应对采购人提供所有设备和系统的梳理</w:t>
      </w:r>
      <w:r>
        <w:rPr>
          <w:rFonts w:hint="eastAsia" w:ascii="宋体" w:hAnsi="宋体" w:cs="宋体"/>
          <w:sz w:val="24"/>
          <w:szCs w:val="24"/>
          <w:lang w:eastAsia="zh-CN"/>
        </w:rPr>
        <w:t xml:space="preserve">，</w:t>
      </w:r>
      <w:r>
        <w:rPr>
          <w:rFonts w:hint="eastAsia" w:ascii="宋体" w:hAnsi="宋体" w:eastAsia="宋体" w:cs="宋体"/>
          <w:sz w:val="24"/>
          <w:szCs w:val="24"/>
        </w:rPr>
        <w:t xml:space="preserve">并与现有资产清单进行核对，最终为设备和系统建立档案资料（包括硬件配置清单、系统版本清单，平台软件系统版本及功能，当前使用状况，当前主要配置参数等）。</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对数据中心安全设备提供安全设备特征库升级等服务（详见安全特征库更新清单）。</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6.服务质量要求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供应商应确保通过维保服务，确保维保范围内的设备和系统的年可用率（年正常运行时间/年总时间）不低于99.5%；确保维保范围内的设备或系统的年故障数不超过100次；确保维保范围内的设备或系统的年故障平均恢复时间不超过2个小时。</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如供应商的服务未能完成采购文件、响应文件以及合同的约定，采购人将依据《江北新区人民法院技术服务考核评估办法》扣除部分合同款额，具体如下：90分以上全额支付当考核周期合同款，80-90分扣除当考核周期合同款的5%，70-80分扣除当考核周期合同款的10%，60-70分扣除当考核周期合同款的15%，60分以下解除合同。</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7.其他服务要求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（1）项目服务期内，为提升运维保障能力，团队架构和人员组成应在响应文件中明确，且供应商应具备健全的网络和数据安全保护机制，团队人员为正式员工。</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成交供应商及其安排的人员须和采购人签订保密协议。成交供应商对采购人提供的业务资料、技术资料应严格保密，不得扩散。成交供应商不得将任何平台存储管理的规划资源数据用于本项目以外的工作，不得以商业目的使用上述数据或者开发和生产其他产品。未经采购人主管部门的书面许可，不得以任何形式向第三方提供数据成果，不得将数据成果在互联网上传输、登载。</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（3）如果发生因成交供应商安全措施不力造成的事故责任、或者其他工作失误，由此所产生的一切责任由成交供应商承担。</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（4）如因成交供应商投入人员过少原因，造成无法在承诺工期内完成服务，由此产生的一切责任由成交供应商承担。</w:t>
      </w:r>
      <w:r/>
    </w:p>
    <w:p>
      <w:pPr>
        <w:pStyle w:val="1004"/>
        <w:rPr>
          <w:rFonts w:hint="eastAsia" w:ascii="宋体" w:hAnsi="宋体" w:eastAsia="宋体" w:cs="宋体"/>
          <w:sz w:val="24"/>
          <w:szCs w:val="24"/>
        </w:rPr>
      </w:pPr>
      <w:r>
        <w:rPr>
          <w:rFonts w:hint="eastAsia" w:ascii="宋体" w:hAnsi="宋体" w:eastAsia="宋体" w:cs="宋体"/>
          <w:sz w:val="24"/>
          <w:szCs w:val="24"/>
        </w:rPr>
        <w:t xml:space="preserve">8.人员要求</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（1）项目经理：1人，具有至少5年及以上信息化维保项目工作经验。</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（2）技术负责人：1人，</w:t>
      </w:r>
      <w:bookmarkStart w:id="88" w:name="_Hlk236734099"/>
      <w:r>
        <w:rPr>
          <w:rFonts w:hint="eastAsia" w:ascii="宋体" w:hAnsi="宋体" w:eastAsia="宋体" w:cs="宋体"/>
          <w:sz w:val="24"/>
          <w:szCs w:val="24"/>
        </w:rPr>
        <w:t xml:space="preserve">具有至少3年及以上</w:t>
      </w:r>
      <w:bookmarkEnd w:id="88"/>
      <w:r>
        <w:rPr>
          <w:rFonts w:hint="eastAsia" w:ascii="宋体" w:hAnsi="宋体" w:eastAsia="宋体" w:cs="宋体"/>
          <w:sz w:val="24"/>
          <w:szCs w:val="24"/>
        </w:rPr>
        <w:t xml:space="preserve">信息化维保项目工作经验。</w:t>
      </w:r>
      <w:r/>
    </w:p>
    <w:p>
      <w:pPr>
        <w:ind w:firstLine="480"/>
        <w:rPr>
          <w:rFonts w:hint="eastAsia"/>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运维团队成员</w:t>
      </w:r>
      <w:r>
        <w:rPr>
          <w:rFonts w:hint="eastAsia" w:ascii="宋体" w:hAnsi="宋体" w:eastAsia="宋体" w:cs="宋体"/>
          <w:sz w:val="24"/>
          <w:szCs w:val="24"/>
          <w:highlight w:val="none"/>
        </w:rPr>
        <w:t xml:space="preserve">不少于</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人，具有信息化维保项目工作经验。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p>
    <w:p>
      <w:pPr>
        <w:pStyle w:val="991"/>
        <w:ind w:firstLine="480"/>
        <w:rPr>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报价应包含与本次采购项目有关的所有费用。包含但不限于人员、设备、安装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调试、验收、</w:t>
      </w:r>
      <w:r>
        <w:rPr>
          <w:rFonts w:hint="eastAsia" w:ascii="宋体" w:hAnsi="宋体" w:eastAsia="宋体" w:cs="宋体"/>
          <w:sz w:val="24"/>
          <w:szCs w:val="24"/>
          <w:highlight w:val="none"/>
          <w:lang w:eastAsia="zh-CN"/>
        </w:rPr>
        <w:t xml:space="preserve">配套</w:t>
      </w:r>
      <w:r>
        <w:rPr>
          <w:rFonts w:hint="eastAsia" w:ascii="宋体" w:hAnsi="宋体" w:eastAsia="宋体" w:cs="宋体"/>
          <w:sz w:val="24"/>
          <w:szCs w:val="24"/>
          <w:highlight w:val="none"/>
        </w:rPr>
        <w:t xml:space="preserve">服务等所有含税费用。同时，还应包含支付给员工的工资和国家强制缴纳的各种社会保障资金，以及供应商认为需要的其他费用等。</w:t>
      </w:r>
      <w:r>
        <w:rPr>
          <w:rFonts w:hint="eastAsia"/>
          <w:sz w:val="24"/>
          <w:szCs w:val="24"/>
        </w:rPr>
        <w:t xml:space="preserve">除合同另有规定之外，伴随服务的费用均已含在合同价款中，采购人不再另行支付。</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供应商报价除包含</w:t>
      </w:r>
      <w:r>
        <w:rPr>
          <w:rFonts w:hint="eastAsia" w:ascii="宋体" w:hAnsi="宋体" w:eastAsia="宋体" w:cs="宋体"/>
          <w:sz w:val="24"/>
          <w:szCs w:val="24"/>
          <w:highlight w:val="none"/>
          <w:lang w:val="en-US" w:eastAsia="zh-CN"/>
        </w:rPr>
        <w:t xml:space="preserve">磋商文件</w:t>
      </w:r>
      <w:r>
        <w:rPr>
          <w:rFonts w:hint="eastAsia" w:ascii="宋体" w:hAnsi="宋体" w:eastAsia="宋体" w:cs="宋体"/>
          <w:sz w:val="24"/>
          <w:szCs w:val="24"/>
          <w:highlight w:val="none"/>
        </w:rPr>
        <w:t xml:space="preserve">中列明的项目外还应包括保障服务正常运行应当具有的物资和服务，对服务正常运行应当具有的物资和服务理解不一致的以采购单位理解为准。</w:t>
      </w:r>
      <w:r/>
    </w:p>
    <w:p>
      <w:pPr>
        <w:pStyle w:val="1004"/>
        <w:rPr>
          <w:rFonts w:hint="eastAsia" w:ascii="宋体" w:hAnsi="宋体" w:eastAsia="宋体" w:cs="宋体"/>
          <w:b w:val="0"/>
          <w:bCs/>
          <w:sz w:val="24"/>
          <w:szCs w:val="24"/>
        </w:rPr>
      </w:pPr>
      <w:r>
        <w:rPr>
          <w:rFonts w:hint="eastAsia" w:ascii="宋体" w:hAnsi="宋体" w:eastAsia="宋体" w:cs="宋体"/>
          <w:b w:val="0"/>
          <w:bCs/>
          <w:sz w:val="24"/>
          <w:szCs w:val="24"/>
        </w:rPr>
        <w:t xml:space="preserve">2.验收方式</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按照本项目的采购文件、响应文件和合同的要求进行验收。</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3.付款条件</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以第三章合同文本内容为准。</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4.交付时间及地点</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（1）交付时间：</w:t>
      </w:r>
      <w:r>
        <w:rPr>
          <w:rFonts w:hint="eastAsia" w:ascii="宋体" w:hAnsi="宋体" w:eastAsia="宋体" w:cs="宋体"/>
          <w:sz w:val="24"/>
          <w:szCs w:val="24"/>
        </w:rPr>
        <w:t xml:space="preserve">合同签订后365日内完成服务并验收合格。</w:t>
      </w:r>
      <w:r/>
    </w:p>
    <w:p>
      <w:pPr>
        <w:ind w:firstLine="480"/>
        <w:keepLines w:val="0"/>
        <w:keepNext w:val="0"/>
        <w:pageBreakBefore w:val="0"/>
        <w:spacing w:line="264" w:lineRule="auto"/>
        <w:widowControl w:val="off"/>
        <w:rPr>
          <w:rFonts w:ascii="宋体" w:hAnsi="宋体" w:cs="宋体"/>
          <w:sz w:val="24"/>
          <w:szCs w:val="24"/>
          <w:highlight w:val="none"/>
        </w:rPr>
      </w:pPr>
      <w:r>
        <w:rPr>
          <w:rFonts w:ascii="宋体" w:hAnsi="宋体" w:cs="宋体"/>
          <w:sz w:val="24"/>
          <w:szCs w:val="24"/>
          <w:highlight w:val="none"/>
        </w:rPr>
        <w:t xml:space="preserve">（2）交付地点：采购人指定地点</w:t>
      </w:r>
      <w:r>
        <w:rPr>
          <w:rFonts w:hint="eastAsia" w:ascii="宋体" w:hAnsi="宋体" w:cs="宋体"/>
          <w:sz w:val="24"/>
          <w:szCs w:val="24"/>
          <w:highlight w:val="none"/>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.履约保证金</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bookmarkEnd w:id="86"/>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rPr>
          <w:rFonts w:hint="eastAsia"/>
          <w:highlight w:val="none"/>
          <w:lang w:val="en-US" w:eastAsia="zh-CN"/>
        </w:rPr>
      </w:pPr>
      <w:r>
        <w:rPr>
          <w:rFonts w:hint="eastAsia"/>
          <w:highlight w:val="none"/>
          <w:lang w:val="en-US" w:eastAsia="zh-CN"/>
        </w:rPr>
      </w:r>
      <w:r/>
    </w:p>
    <w:p>
      <w:pPr>
        <w:pStyle w:val="944"/>
        <w:rPr>
          <w:rFonts w:hint="eastAsia"/>
          <w:highlight w:val="none"/>
          <w:lang w:val="en-US" w:eastAsia="zh-CN"/>
        </w:rPr>
      </w:pPr>
      <w:r>
        <w:rPr>
          <w:rFonts w:hint="eastAsia"/>
          <w:highlight w:val="none"/>
          <w:lang w:val="en-US" w:eastAsia="zh-CN"/>
        </w:rPr>
      </w:r>
      <w:r/>
    </w:p>
    <w:p>
      <w:pPr>
        <w:rPr>
          <w:rFonts w:hint="eastAsia"/>
          <w:b/>
          <w:bCs/>
          <w:highlight w:val="none"/>
          <w:lang w:val="en-US" w:eastAsia="zh-CN"/>
        </w:rPr>
      </w:pPr>
      <w:r>
        <w:rPr>
          <w:rFonts w:hint="eastAsia"/>
          <w:b/>
          <w:bCs/>
          <w:highlight w:val="none"/>
          <w:lang w:val="en-US" w:eastAsia="zh-CN"/>
        </w:rPr>
        <w:t xml:space="preserve">附件：</w:t>
      </w:r>
      <w:r/>
    </w:p>
    <w:p>
      <w:pPr>
        <w:pStyle w:val="692"/>
        <w:ind w:firstLine="241"/>
        <w:keepLines/>
        <w:keepNext/>
        <w:pageBreakBefore w:val="0"/>
        <w:spacing w:before="0" w:after="0"/>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园区信息化弱电及安防设备维保清单</w:t>
      </w:r>
      <w:r/>
    </w:p>
    <w:tbl>
      <w:tblPr>
        <w:tblStyle w:val="701"/>
        <w:tblW w:w="4612" w:type="pct"/>
        <w:jc w:val="center"/>
        <w:tblLayout w:type="fixed"/>
        <w:tblCellMar>
          <w:left w:w="108" w:type="dxa"/>
          <w:top w:w="0" w:type="dxa"/>
          <w:right w:w="108" w:type="dxa"/>
          <w:bottom w:w="0" w:type="dxa"/>
        </w:tblCellMar>
        <w:tblLook w:val="04A0" w:firstRow="1" w:lastRow="0" w:firstColumn="1" w:lastColumn="0" w:noHBand="0" w:noVBand="1"/>
      </w:tblPr>
      <w:tblGrid>
        <w:gridCol w:w="1217"/>
        <w:gridCol w:w="4484"/>
        <w:gridCol w:w="1616"/>
        <w:gridCol w:w="1872"/>
      </w:tblGrid>
      <w:tr>
        <w:trPr>
          <w:jc w:val="center"/>
          <w:tblHeader/>
        </w:trPr>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662" w:type="pct"/>
            <w:vAlign w:val="bottom"/>
            <w:textDirection w:val="lrTb"/>
            <w:noWrap/>
          </w:tcPr>
          <w:p>
            <w:pPr>
              <w:rPr>
                <w:b/>
                <w:bCs/>
              </w:rPr>
            </w:pPr>
            <w:r>
              <w:rPr>
                <w:rFonts w:hint="eastAsia"/>
                <w:b/>
                <w:bCs/>
              </w:rPr>
              <w:t xml:space="preserve">序号</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2439" w:type="pct"/>
            <w:vAlign w:val="bottom"/>
            <w:textDirection w:val="lrTb"/>
            <w:noWrap/>
          </w:tcPr>
          <w:p>
            <w:pPr>
              <w:rPr>
                <w:b/>
                <w:bCs/>
              </w:rPr>
            </w:pPr>
            <w:r>
              <w:rPr>
                <w:rFonts w:hint="eastAsia"/>
                <w:b/>
                <w:bCs/>
              </w:rPr>
              <w:t xml:space="preserve">设备名称</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879" w:type="pct"/>
            <w:vAlign w:val="bottom"/>
            <w:textDirection w:val="lrTb"/>
            <w:noWrap/>
          </w:tcPr>
          <w:p>
            <w:pPr>
              <w:rPr>
                <w:b/>
                <w:bCs/>
              </w:rPr>
            </w:pPr>
            <w:r>
              <w:rPr>
                <w:rFonts w:hint="eastAsia"/>
                <w:b/>
                <w:bCs/>
              </w:rPr>
              <w:t xml:space="preserve">单位</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1018" w:type="pct"/>
            <w:vAlign w:val="bottom"/>
            <w:textDirection w:val="lrTb"/>
            <w:noWrap/>
          </w:tcPr>
          <w:p>
            <w:pPr>
              <w:rPr>
                <w:b/>
                <w:bCs/>
              </w:rPr>
            </w:pPr>
            <w:r>
              <w:rPr>
                <w:rFonts w:hint="eastAsia"/>
                <w:b/>
                <w:bCs/>
              </w:rPr>
              <w:t xml:space="preserve">数量</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1、综合布线系统工程</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单口面板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双口面板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1326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地面插座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151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桌面插座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六类非屏蔽模块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3417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光纤面板、地插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257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光纤适配器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1877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24口六类非屏蔽配线架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290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352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跳线架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144芯ODF架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光纤配线架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多媒体墙插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45</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2、网络安全</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内网漏洞扫描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外网日志审计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外网堡垒机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桌面人证比对终端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指纹签名板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RFID读写器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普通材质RFID标签</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金属或液体类RFID标签</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50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无黏贴位置类RFID标签</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50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全景摄像机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拾音器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201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温湿度显示屏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烟雾传感器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漏水监测传感器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通用物联网关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便携式电源</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平台服务器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视频云存储运维服务器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视频云存储（法院多媒体材料音视频中心）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16路4K高清解码器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55" 0.88mm液晶拼接单元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单元</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8路4K高清解码器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55" 1.8mm液晶拼接单元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单元</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4路4K高清解码器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65寸4K监视器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AR全景式球型鹰眼摄像机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全景式球型鹰眼摄像机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高清半球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199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高清网络半球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高清网络半球摄像机-电梯专用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高清网络半球摄像机-羁押室专用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高清网络枪型摄像机-羁押室专用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高清网络半球摄像机-人脸识别RL</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168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高清网络枪式摄像机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高清网络枪式摄像机-防油污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高清网络枪式摄像机-广角G</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高清网络枪式摄像机-人脸识别RL</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高清网络枪式摄像机-室外W</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室内高清网络球机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高清鱼眼相机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羁押车库抓拍机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无线网桥</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壁挂式信息发布屏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网络避雷器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摄像机立杆</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有线紧急按钮</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总线报警主机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红外微波双鉴探测器IR/M</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总线扩展模块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109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警灯警号</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可视化紧急救助对讲机（主）</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可视化紧急救助对讲机（分机）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29</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3</w:t>
            </w:r>
            <w:r>
              <w:rPr>
                <w:rFonts w:hint="eastAsia"/>
                <w:b/>
                <w:bCs/>
              </w:rPr>
              <w:t xml:space="preserve">、机房建设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市电配电柜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UPS1输出配电柜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UPS2输出配电柜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01栋主楼UPS间市电配电箱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01栋主楼UPS输出配电箱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01栋主楼弱电间总配电箱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功率模块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200KVA模块化UPS主机框</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80KVA塔式UPS主机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电池架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精密列头配电柜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46KW行级精密空调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12.5KW房间级精密空调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提升泵</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服务器机柜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机柜侧板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配电排（PDU）</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理线托盘</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微模块监控采集器主机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智能ETH插座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天窗磁力锁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天窗执行器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交流执行器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门禁系统</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多功能传感器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温湿度传感器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网络型数字化温、湿度传感器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蓄电池采集主机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单电池内阻监控模块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160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电池电流互感器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电池温度电流采集模块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漏水检测控制模块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红外双鉴探测器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新风机协议解析器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星光级高清半球摄像机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视频专用电源</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网络硬盘录像机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大容量硬盘</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嵌入式监控采集主机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24口六类非屏蔽配线架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144芯ODF架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光纤配线架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双口LC适配器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948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安防控制室UPS输出配电柜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控制箱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40</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4</w:t>
            </w:r>
            <w:r>
              <w:rPr>
                <w:rFonts w:hint="eastAsia"/>
                <w:b/>
                <w:bCs/>
              </w:rPr>
              <w:t xml:space="preserve">、多媒体建设系统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液晶电视</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HDMI1进8出分配器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超高清KVM发送、接收器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双镀金电容式桌面话筒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会议主机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主席单元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代表单元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标准话筒杆</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会议专用地插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16路调音台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12路调音台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14路调音台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24路专业调音台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网络音频处理器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6寸吸顶音箱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功率放大器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8路电源时序器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多媒体桌插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激光投影机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高清画框120寸幕布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传屏盒子</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背景音乐控制器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OPS电脑</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摄像联动主机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高清会议摄像机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天线放大器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天线分配器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4U机箱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SDI输入板卡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HDMI输入板卡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HDMI输出板卡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分布式4K输入节点</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分布式4K输出节点</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分布式4kKVM输出节点</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分布式拼接模块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无线路由器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中控触摸控制终端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会议平板65"</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会议平板55"</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私有云会议平台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私有云会议网关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私有云会议直播服务器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会议电视终端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高清摄像机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网络音频卡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均衡器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22寸液晶监视器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联网扩展模块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12</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5</w:t>
            </w:r>
            <w:r>
              <w:rPr>
                <w:rFonts w:hint="eastAsia"/>
                <w:b/>
                <w:bCs/>
              </w:rPr>
              <w:t xml:space="preserve">、LED大屏显示系统</w:t>
            </w:r>
            <w:r>
              <w:rPr>
                <w:rFonts w:hint="eastAsia"/>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LED显示屏（P2)</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18.43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LED显示屏(P1.538)</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18.43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室外LED显示屏（P4)</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25.8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电源接收卡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视频处理器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智能配电柜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控制电脑</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信息发布控制器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独立主控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LED视频控制器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通风设备</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6</w:t>
            </w:r>
            <w:r>
              <w:rPr>
                <w:rFonts w:hint="eastAsia"/>
                <w:b/>
                <w:bCs/>
              </w:rPr>
              <w:t xml:space="preserve">、时间同步系统　</w:t>
            </w:r>
            <w:r>
              <w:rPr>
                <w:rFonts w:hint="eastAsia"/>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多路输出接口模块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单面数字子钟</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大型单面日历数字子钟</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7</w:t>
            </w:r>
            <w:r>
              <w:rPr>
                <w:rFonts w:hint="eastAsia"/>
                <w:b/>
                <w:bCs/>
              </w:rPr>
              <w:t xml:space="preserve">、智慧法庭</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内网超融合云主机机箱（内）</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内网超融合云主机解码板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内网超融合云主机录像单元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内网超融合云主机录像处理单元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互联网超融合云主机机箱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互联网超融合云主机解码板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单向光闸</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庭审存储设备</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双模一体化摄像机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133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电源适配器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133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智能交互终端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101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8路电源时序器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旁听席显示屏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90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播放控制盒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106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书记员电脑</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单路高清视频编码器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专业数字功放</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小型音柱扬声器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60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宽屏显示器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双面电动升降器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视频分配器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庭审显示屏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65寸双面显示屏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全能演示中控主机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485信号转换器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42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桌面触控终端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串口扩展模块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Poe电源模块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空气质量传感器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红外转换模块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双开强电智能面板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26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三开强电智能面板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31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center"/>
            <w:textDirection w:val="lrTb"/>
            <w:noWrap/>
          </w:tcPr>
          <w:p>
            <w:pPr>
              <w:numPr>
                <w:ilvl w:val="0"/>
                <w:numId w:val="1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center"/>
            <w:textDirection w:val="lrTb"/>
            <w:noWrap/>
          </w:tcPr>
          <w:p>
            <w:r>
              <w:rPr>
                <w:rFonts w:hint="eastAsia"/>
              </w:rPr>
              <w:t xml:space="preserve">四开强电智能面板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center"/>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center"/>
            <w:textDirection w:val="lrTb"/>
            <w:noWrap/>
          </w:tcPr>
          <w:p>
            <w:r>
              <w:rPr>
                <w:rFonts w:hint="eastAsia"/>
              </w:rPr>
              <w:t xml:space="preserve">1</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8</w:t>
            </w:r>
            <w:r>
              <w:rPr>
                <w:rFonts w:hint="eastAsia"/>
                <w:b/>
                <w:bCs/>
              </w:rPr>
              <w:t xml:space="preserve">、智慧诉讼服务中心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立案终端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扫描模块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打印模块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窗口屏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综合显示屏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10.1寸显示屏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65寸液晶电视</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调解室摄像机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播放控制盒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55寸液晶电视</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多媒体桌插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4"/>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视频切换器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lang w:val="en-US" w:eastAsia="zh-CN"/>
              </w:rPr>
              <w:t xml:space="preserve">9</w:t>
            </w:r>
            <w:r>
              <w:rPr>
                <w:rFonts w:hint="eastAsia"/>
                <w:b/>
                <w:bCs/>
              </w:rPr>
              <w:t xml:space="preserve">、全真智审系统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智真主机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超窄缝全高清显示屏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共光心摄像机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智真编解码器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机架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4U机箱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HDMI输入板卡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HDMI输出板卡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智能电源监测管理器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无线路由器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5"/>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中控触摸控制终端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1</w:t>
            </w:r>
            <w:r>
              <w:rPr>
                <w:rFonts w:hint="eastAsia"/>
                <w:b/>
                <w:bCs/>
                <w:lang w:val="en-US" w:eastAsia="zh-CN"/>
              </w:rPr>
              <w:t xml:space="preserve">0</w:t>
            </w:r>
            <w:r>
              <w:rPr>
                <w:rFonts w:hint="eastAsia"/>
                <w:b/>
                <w:bCs/>
              </w:rPr>
              <w:t xml:space="preserve">、执行指挥中心建设</w:t>
            </w:r>
            <w:r>
              <w:rPr>
                <w:rFonts w:hint="eastAsia"/>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双口面板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墙面电源插座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工位电源防雷PDU</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六类非屏蔽模块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24口六类非屏蔽配线架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LED显示屏（P1.25）</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18.43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独立主控设备</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视频处理器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功率放大器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6寸吸顶音箱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网络音频处理器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电源时序器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无线话筒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话筒天线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天线分配器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会议系统主机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会议话筒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会议专用插座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分布式4K输入节点</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分布式4K输出节点</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联网扩展模块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无线路由器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中控触摸控制终端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高清半球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人脸门禁一体机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双门磁力锁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门禁-开门按钮</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6"/>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门禁开关电源</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1</w:t>
            </w:r>
            <w:r>
              <w:rPr>
                <w:rFonts w:hint="eastAsia"/>
                <w:b/>
                <w:bCs/>
                <w:lang w:val="en-US" w:eastAsia="zh-CN"/>
              </w:rPr>
              <w:t xml:space="preserve">1</w:t>
            </w:r>
            <w:r>
              <w:rPr>
                <w:rFonts w:hint="eastAsia"/>
                <w:b/>
                <w:bCs/>
              </w:rPr>
              <w:t xml:space="preserve">、广播级大法庭建设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LED显示屏主屏（P1.86）</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30.41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独立主控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视频处理器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智能配电柜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辅助显示器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双10线阵扬声器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双15超低扬声器（配套双10线阵)</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数字功放</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阵列音柱扬声器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10寸二分频扬声器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数字功放</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数字调音台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舞台接口箱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16进16出音频矩阵</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网络音频卡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8路电源时序器（带滤波）</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手拉葫芦</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返听音箱插座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5寸返听音箱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立式双杆演讲话筒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桌面鹅颈话筒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音频矩阵</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鹅颈话筒插座</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立式话筒支架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无线手持麦克风一拖二（手持）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同声传译主机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发射板</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译员机(含耳机)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接收单元(含耳机)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4K超高清混合矩阵主机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超高清无缝输入卡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超高清无缝输出卡</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无线路由器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中控触摸控制终端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8路继电器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4K摄像机（手持式）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广播级智能遥控云台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4K一体化遥控摄像机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4K转换器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光端机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4K切换台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摄像机控制器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通信分配器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广播级多功能控制器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摄像机轨道车</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 SDI转HDMI盒子</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LCD单元屏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音频光端机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音频分配</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音频延时器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4K全媒体双屏导播台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流媒体服务器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网络硬盘录像机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专用硬盘</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7"/>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专用机柜</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1</w:t>
            </w:r>
            <w:r>
              <w:rPr>
                <w:rFonts w:hint="eastAsia"/>
                <w:b/>
                <w:bCs/>
                <w:lang w:val="en-US" w:eastAsia="zh-CN"/>
              </w:rPr>
              <w:t xml:space="preserve">2</w:t>
            </w:r>
            <w:r>
              <w:rPr>
                <w:rFonts w:hint="eastAsia"/>
                <w:b/>
                <w:bCs/>
              </w:rPr>
              <w:t xml:space="preserve">、文印系统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A3幅面彩色复印机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文印设备（彩色复印+网络打印+网络扫描）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文印设备（彩色复印+彩色打印+彩色扫描）</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8"/>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复印机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1</w:t>
            </w:r>
            <w:r>
              <w:rPr>
                <w:rFonts w:hint="eastAsia"/>
                <w:b/>
                <w:bCs/>
                <w:lang w:val="en-US" w:eastAsia="zh-CN"/>
              </w:rPr>
              <w:t xml:space="preserve">3</w:t>
            </w:r>
            <w:r>
              <w:rPr>
                <w:rFonts w:hint="eastAsia"/>
                <w:b/>
                <w:bCs/>
              </w:rPr>
              <w:t xml:space="preserve">、云桌面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云桌面一体机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瘦终端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平板终端(12.4寸）</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平板终端(14.6寸）</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15、数据中心</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超融合资源池</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ARM资源池</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ARM存储池</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16、背景音乐系统</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控制主机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六路调音台</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IP音频采集器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CD播放器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寻呼话筒</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IP网络音箱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网络节目定时器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IP网络功放终端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IP网络功放终端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19"/>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无线吸顶音箱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41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江北新区法治园区07地块工程【法院公区】　</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1、信息网络系统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路由器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内网核心交换机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外网核心交换机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政务网核心交换机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设备网核心交换机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24口接入交换机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139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48口接入交换机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8口POE接入交换机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万兆单模光模块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千兆单模光模块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190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0"/>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普通放装AP</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10</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2、UWB人员定位系统</w:t>
            </w:r>
            <w:r>
              <w:rPr>
                <w:rFonts w:hint="eastAsia"/>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室内型UWB定位基站</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308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UWB定位胸卡（含IC卡功能）</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UWB定位手环（含IC卡功能）</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卡片发卡器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服务器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1"/>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UWB定位引擎</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3、安防门禁系统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单门磁力锁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双门磁力锁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灵性锁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门磁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不关门报警装置</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液压(自动)闭门器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阴极锁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177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电插锁</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门禁-开门按钮</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126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梯控读卡器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梯控主机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梯控联动模块</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公告门禁一体机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刷卡读卡器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445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人脸门禁一体机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单门门禁主机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四门门禁主机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102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门禁开关电源</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人员通道（左）</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人员通道（中）</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人员通道（右）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人脸测温组件</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二维码读头</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读卡器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人证比对终端</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测温安检门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多能双视角6550智能安检机</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手持金属探测器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鞋底金属探测器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2"/>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液体检测器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gridSpan w:val="4"/>
            <w:shd w:val="clear" w:color="auto" w:fill="auto"/>
            <w:tcBorders>
              <w:top w:val="none" w:color="000000" w:sz="4" w:space="0"/>
              <w:left w:val="single" w:color="auto" w:sz="4" w:space="0"/>
              <w:bottom w:val="single" w:color="auto" w:sz="4" w:space="0"/>
              <w:right w:val="single" w:color="auto" w:sz="4" w:space="0"/>
            </w:tcBorders>
            <w:tcW w:w="5000" w:type="pct"/>
            <w:vAlign w:val="bottom"/>
            <w:textDirection w:val="lrTb"/>
            <w:noWrap/>
          </w:tcPr>
          <w:p>
            <w:r>
              <w:rPr>
                <w:rFonts w:hint="eastAsia"/>
                <w:b/>
                <w:bCs/>
              </w:rPr>
              <w:t xml:space="preserve">4、法院建筑设备监控与管理系统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建筑能耗监管系统网关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电梯集控系统网关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智能照明系统网关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太阳能光伏发电系统网关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变制冷剂流量多联空调系统网关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VRV空调网关采集器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通用控制箱</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恒温恒湿空调网关采集器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热回收空调机组网关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热回收空调网关采集器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17</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楼宇级网络控制器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DDC控制器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空气质量传感器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中控协议转换网关</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能耗数据采集器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62" w:type="pct"/>
            <w:vAlign w:val="bottom"/>
            <w:textDirection w:val="lrTb"/>
            <w:noWrap/>
          </w:tcPr>
          <w:p>
            <w:pPr>
              <w:numPr>
                <w:ilvl w:val="0"/>
                <w:numId w:val="23"/>
              </w:numPr>
              <w:tabs>
                <w:tab w:val="clear" w:pos="0" w:leader="none"/>
              </w:tabs>
            </w:pPr>
            <w:r/>
            <w:r/>
          </w:p>
        </w:tc>
        <w:tc>
          <w:tcPr>
            <w:shd w:val="clear" w:color="auto" w:fill="auto"/>
            <w:tcBorders>
              <w:top w:val="none" w:color="000000" w:sz="4" w:space="0"/>
              <w:left w:val="none" w:color="000000" w:sz="4" w:space="0"/>
              <w:bottom w:val="single" w:color="auto" w:sz="4" w:space="0"/>
              <w:right w:val="single" w:color="auto" w:sz="4" w:space="0"/>
            </w:tcBorders>
            <w:tcW w:w="2439" w:type="pct"/>
            <w:vAlign w:val="bottom"/>
            <w:textDirection w:val="lrTb"/>
            <w:noWrap/>
          </w:tcPr>
          <w:p>
            <w:r>
              <w:rPr>
                <w:rFonts w:hint="eastAsia"/>
              </w:rPr>
              <w:t xml:space="preserve">运维管理服务器</w:t>
            </w:r>
            <w:r/>
          </w:p>
        </w:tc>
        <w:tc>
          <w:tcPr>
            <w:shd w:val="clear" w:color="auto" w:fill="auto"/>
            <w:tcBorders>
              <w:top w:val="none" w:color="000000" w:sz="4" w:space="0"/>
              <w:left w:val="none" w:color="000000" w:sz="4" w:space="0"/>
              <w:bottom w:val="single" w:color="auto" w:sz="4" w:space="0"/>
              <w:right w:val="single" w:color="auto" w:sz="4" w:space="0"/>
            </w:tcBorders>
            <w:tcW w:w="879" w:type="pct"/>
            <w:vAlign w:val="bottom"/>
            <w:textDirection w:val="lrTb"/>
            <w:noWrap/>
          </w:tcPr>
          <w:p>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8" w:type="pct"/>
            <w:vAlign w:val="bottom"/>
            <w:textDirection w:val="lrTb"/>
            <w:noWrap/>
          </w:tcPr>
          <w:p>
            <w:r>
              <w:rPr>
                <w:rFonts w:hint="eastAsia"/>
              </w:rPr>
              <w:t xml:space="preserve">1</w:t>
            </w:r>
            <w:r/>
          </w:p>
        </w:tc>
      </w:tr>
    </w:tbl>
    <w:p>
      <w:pPr>
        <w:pStyle w:val="692"/>
        <w:ind w:firstLine="241"/>
        <w:keepLines/>
        <w:keepNext/>
        <w:pageBreakBefore w:val="0"/>
        <w:spacing w:before="0" w:after="0"/>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数据中心存量设备维保清单</w:t>
      </w:r>
      <w:r/>
    </w:p>
    <w:p>
      <w:pPr>
        <w:pStyle w:val="693"/>
        <w:ind w:firstLine="240"/>
        <w:keepLines/>
        <w:keepNext/>
        <w:pageBreakBefore w:val="0"/>
        <w:spacing w:before="0" w:after="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数据中心设备清单</w:t>
      </w:r>
      <w:r/>
    </w:p>
    <w:tbl>
      <w:tblPr>
        <w:tblStyle w:val="701"/>
        <w:tblW w:w="4599" w:type="pct"/>
        <w:tblInd w:w="357" w:type="dxa"/>
        <w:tblLayout w:type="fixed"/>
        <w:tblCellMar>
          <w:left w:w="108" w:type="dxa"/>
          <w:top w:w="0" w:type="dxa"/>
          <w:right w:w="108" w:type="dxa"/>
          <w:bottom w:w="0" w:type="dxa"/>
        </w:tblCellMar>
        <w:tblLook w:val="04A0" w:firstRow="1" w:lastRow="0" w:firstColumn="1" w:lastColumn="0" w:noHBand="0" w:noVBand="1"/>
      </w:tblPr>
      <w:tblGrid>
        <w:gridCol w:w="1202"/>
        <w:gridCol w:w="4496"/>
        <w:gridCol w:w="2407"/>
        <w:gridCol w:w="1058"/>
      </w:tblGrid>
      <w:tr>
        <w:trPr>
          <w:tblHeader/>
        </w:trPr>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656" w:type="pct"/>
            <w:vAlign w:val="bottom"/>
            <w:textDirection w:val="lrTb"/>
            <w:noWrap/>
          </w:tcPr>
          <w:p>
            <w:pPr>
              <w:rPr>
                <w:b/>
                <w:bCs/>
              </w:rPr>
            </w:pPr>
            <w:r>
              <w:rPr>
                <w:b/>
                <w:bCs/>
              </w:rPr>
              <w:t xml:space="preserve">序号</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2454" w:type="pct"/>
            <w:vAlign w:val="bottom"/>
            <w:textDirection w:val="lrTb"/>
            <w:noWrap/>
          </w:tcPr>
          <w:p>
            <w:pPr>
              <w:rPr>
                <w:b/>
                <w:bCs/>
              </w:rPr>
            </w:pPr>
            <w:r>
              <w:rPr>
                <w:b/>
                <w:bCs/>
              </w:rPr>
              <w:t xml:space="preserve">设备名称</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1313" w:type="pct"/>
            <w:vAlign w:val="bottom"/>
            <w:textDirection w:val="lrTb"/>
            <w:noWrap/>
          </w:tcPr>
          <w:p>
            <w:pPr>
              <w:rPr>
                <w:b/>
                <w:bCs/>
              </w:rPr>
            </w:pPr>
            <w:r>
              <w:rPr>
                <w:b/>
                <w:bCs/>
              </w:rPr>
              <w:t xml:space="preserve">单位</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576" w:type="pct"/>
            <w:vAlign w:val="bottom"/>
            <w:textDirection w:val="lrTb"/>
            <w:noWrap/>
          </w:tcPr>
          <w:p>
            <w:pPr>
              <w:rPr>
                <w:b/>
                <w:bCs/>
              </w:rPr>
            </w:pPr>
            <w:r>
              <w:rPr>
                <w:b/>
                <w:bCs/>
              </w:rPr>
              <w:t xml:space="preserve">数量</w:t>
            </w:r>
            <w:r/>
          </w:p>
        </w:tc>
      </w:tr>
      <w:tr>
        <w:trPr/>
        <w:tc>
          <w:tcPr>
            <w:gridSpan w:val="4"/>
            <w:shd w:val="clear" w:color="000000" w:fill="auto"/>
            <w:tcBorders>
              <w:top w:val="none" w:color="000000" w:sz="4" w:space="0"/>
              <w:left w:val="single" w:color="auto" w:sz="4" w:space="0"/>
              <w:bottom w:val="single" w:color="auto" w:sz="4" w:space="0"/>
              <w:right w:val="single" w:color="auto" w:sz="4" w:space="0"/>
            </w:tcBorders>
            <w:tcW w:w="5000" w:type="pct"/>
            <w:vAlign w:val="center"/>
            <w:textDirection w:val="lrTb"/>
            <w:noWrap/>
          </w:tcPr>
          <w:p>
            <w:pPr>
              <w:pageBreakBefore w:val="0"/>
              <w:widowControl w:val="off"/>
            </w:pPr>
            <w:r>
              <w:rPr>
                <w:rFonts w:hint="eastAsia"/>
                <w:b/>
                <w:bCs/>
              </w:rPr>
              <w:t xml:space="preserve">1、内网（从政务网调整到内网）</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路由器</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2</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核心交换机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3</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24口接入交换机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17</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4</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48口接入交换机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50</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5</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万兆单模光模块</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个</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4</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6</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千兆单模光模块</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个</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67</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7</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运维管理平台</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套</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gridSpan w:val="4"/>
            <w:shd w:val="clear" w:color="000000" w:fill="auto"/>
            <w:tcBorders>
              <w:top w:val="none" w:color="000000" w:sz="4" w:space="0"/>
              <w:left w:val="single" w:color="auto" w:sz="4" w:space="0"/>
              <w:bottom w:val="single" w:color="auto" w:sz="4" w:space="0"/>
              <w:right w:val="single" w:color="auto" w:sz="4" w:space="0"/>
            </w:tcBorders>
            <w:tcW w:w="5000" w:type="pct"/>
            <w:vAlign w:val="center"/>
            <w:textDirection w:val="lrTb"/>
            <w:noWrap/>
          </w:tcPr>
          <w:p>
            <w:pPr>
              <w:pageBreakBefore w:val="0"/>
              <w:widowControl w:val="off"/>
              <w:rPr>
                <w:b/>
                <w:bCs/>
              </w:rPr>
            </w:pPr>
            <w:r>
              <w:rPr>
                <w:rFonts w:hint="eastAsia"/>
                <w:b/>
                <w:bCs/>
              </w:rPr>
              <w:t xml:space="preserve">2、互联网</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核心交换机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2</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24口接入交换机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3</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48口接入交换机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13</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4</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8口POE交换机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5</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万兆单模光模块</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个</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4</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6</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千兆单模光模块</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个</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26</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7</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普通放装AP</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套</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10</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8</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互联网运维管理平台</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套</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gridSpan w:val="4"/>
            <w:shd w:val="clear" w:color="000000" w:fill="auto"/>
            <w:tcBorders>
              <w:top w:val="none" w:color="000000" w:sz="4" w:space="0"/>
              <w:left w:val="single" w:color="auto" w:sz="4" w:space="0"/>
              <w:bottom w:val="single" w:color="auto" w:sz="4" w:space="0"/>
              <w:right w:val="single" w:color="auto" w:sz="4" w:space="0"/>
            </w:tcBorders>
            <w:tcW w:w="5000" w:type="pct"/>
            <w:vAlign w:val="center"/>
            <w:textDirection w:val="lrTb"/>
            <w:noWrap/>
          </w:tcPr>
          <w:p>
            <w:pPr>
              <w:pageBreakBefore w:val="0"/>
              <w:widowControl w:val="off"/>
              <w:rPr>
                <w:b/>
                <w:bCs/>
              </w:rPr>
            </w:pPr>
            <w:r>
              <w:rPr>
                <w:rFonts w:hint="eastAsia"/>
                <w:b/>
                <w:bCs/>
              </w:rPr>
              <w:t xml:space="preserve">3、政务网</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核心交换机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2</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24口接入交换机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15</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3</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48口接入交换机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4</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千兆单模光模块</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个</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21</w:t>
            </w:r>
            <w:r/>
          </w:p>
        </w:tc>
      </w:tr>
      <w:tr>
        <w:trPr/>
        <w:tc>
          <w:tcPr>
            <w:gridSpan w:val="4"/>
            <w:shd w:val="clear" w:color="000000" w:fill="auto"/>
            <w:tcBorders>
              <w:top w:val="none" w:color="000000" w:sz="4" w:space="0"/>
              <w:left w:val="single" w:color="auto" w:sz="4" w:space="0"/>
              <w:bottom w:val="single" w:color="auto" w:sz="4" w:space="0"/>
              <w:right w:val="single" w:color="auto" w:sz="4" w:space="0"/>
            </w:tcBorders>
            <w:tcW w:w="5000" w:type="pct"/>
            <w:vAlign w:val="center"/>
            <w:textDirection w:val="lrTb"/>
            <w:noWrap/>
          </w:tcPr>
          <w:p>
            <w:pPr>
              <w:pageBreakBefore w:val="0"/>
              <w:widowControl w:val="off"/>
              <w:rPr>
                <w:b/>
                <w:bCs/>
              </w:rPr>
            </w:pPr>
            <w:r>
              <w:rPr>
                <w:rFonts w:hint="eastAsia"/>
                <w:b/>
                <w:bCs/>
              </w:rPr>
              <w:t xml:space="preserve">4、设备网</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核心交换机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2</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48口接入交换机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3</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24口POE交换机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21</w:t>
            </w:r>
            <w:r/>
          </w:p>
        </w:tc>
      </w:tr>
      <w:tr>
        <w:trPr/>
        <w:tc>
          <w:tcPr>
            <w:shd w:val="clear" w:color="000000" w:fill="auto"/>
            <w:tcBorders>
              <w:top w:val="none" w:color="000000"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4</w:t>
            </w:r>
            <w:r/>
          </w:p>
        </w:tc>
        <w:tc>
          <w:tcPr>
            <w:shd w:val="clear" w:color="000000" w:fill="auto"/>
            <w:tcBorders>
              <w:top w:val="none" w:color="000000"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48口POE交换机</w:t>
            </w:r>
            <w:r/>
          </w:p>
        </w:tc>
        <w:tc>
          <w:tcPr>
            <w:shd w:val="clear" w:color="000000" w:fill="auto"/>
            <w:tcBorders>
              <w:top w:val="none" w:color="000000"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25</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5</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千兆单模光模块</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个</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73</w:t>
            </w:r>
            <w:r/>
          </w:p>
        </w:tc>
      </w:tr>
      <w:tr>
        <w:trPr/>
        <w:tc>
          <w:tcPr>
            <w:gridSpan w:val="4"/>
            <w:shd w:val="clear" w:color="000000"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ageBreakBefore w:val="0"/>
              <w:widowControl w:val="off"/>
              <w:rPr>
                <w:b/>
                <w:bCs/>
              </w:rPr>
            </w:pPr>
            <w:r>
              <w:rPr>
                <w:rFonts w:hint="eastAsia"/>
                <w:b/>
                <w:bCs/>
              </w:rPr>
              <w:t xml:space="preserve">5、机房设备</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戴尔 PowerEdge R740XD</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3</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2</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华为 Oceanstor 5110 V5</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3</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天融信 NGFW4000-VF</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4</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天融信 TOPIDP-3000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5</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天融信 TOPFilter8000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6</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天融信 TOPNTA5000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7</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天融信 TOPAudit </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8</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天融信 TSM-21128-TopNAC</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9</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亚信 E1500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10</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亚信 TDA EE2300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11</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齐治 SHTERM-TJ3</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12</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网御星云 UDGAP-311G</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13</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网御星云 AS231G</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14</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网御星云 AS231G</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15</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深信服WAF1000-B1400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16</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深信服AF-1000-B2100</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17</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rPr>
                <w:rFonts w:hint="eastAsia"/>
              </w:rPr>
              <w:t xml:space="preserve">北联国芯</w:t>
            </w:r>
            <w:r>
              <w:t xml:space="preserve">BLK-2280RV2</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4</w:t>
            </w:r>
            <w:r/>
          </w:p>
        </w:tc>
      </w:tr>
      <w:tr>
        <w:trPr/>
        <w:tc>
          <w:tcPr>
            <w:shd w:val="clear" w:color="000000"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pageBreakBefore w:val="0"/>
              <w:widowControl w:val="off"/>
            </w:pPr>
            <w:r>
              <w:rPr>
                <w:rFonts w:hint="eastAsia"/>
              </w:rPr>
              <w:t xml:space="preserve">18</w:t>
            </w:r>
            <w:r/>
          </w:p>
        </w:tc>
        <w:tc>
          <w:tcPr>
            <w:shd w:val="clear" w:color="000000" w:fill="auto"/>
            <w:tcBorders>
              <w:top w:val="single" w:color="auto" w:sz="4" w:space="0"/>
              <w:left w:val="none" w:color="000000" w:sz="4" w:space="0"/>
              <w:bottom w:val="single" w:color="auto" w:sz="4" w:space="0"/>
              <w:right w:val="single" w:color="auto" w:sz="4" w:space="0"/>
            </w:tcBorders>
            <w:tcW w:w="2454" w:type="pct"/>
            <w:vAlign w:val="center"/>
            <w:textDirection w:val="lrTb"/>
            <w:noWrap w:val="false"/>
          </w:tcPr>
          <w:p>
            <w:pPr>
              <w:pageBreakBefore w:val="0"/>
              <w:widowControl w:val="off"/>
            </w:pPr>
            <w:r>
              <w:t xml:space="preserve">Dell EMC DS-6610B</w:t>
            </w:r>
            <w:r/>
          </w:p>
        </w:tc>
        <w:tc>
          <w:tcPr>
            <w:shd w:val="clear" w:color="000000" w:fill="auto"/>
            <w:tcBorders>
              <w:top w:val="single" w:color="auto" w:sz="4" w:space="0"/>
              <w:left w:val="none" w:color="000000" w:sz="4" w:space="0"/>
              <w:bottom w:val="single" w:color="auto" w:sz="4" w:space="0"/>
              <w:right w:val="single" w:color="auto" w:sz="4" w:space="0"/>
            </w:tcBorders>
            <w:tcW w:w="1313"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76" w:type="pct"/>
            <w:vAlign w:val="center"/>
            <w:textDirection w:val="lrTb"/>
            <w:noWrap w:val="false"/>
          </w:tcPr>
          <w:p>
            <w:pPr>
              <w:pageBreakBefore w:val="0"/>
              <w:widowControl w:val="off"/>
            </w:pPr>
            <w:r>
              <w:rPr>
                <w:rFonts w:hint="eastAsia"/>
              </w:rPr>
              <w:t xml:space="preserve">2</w:t>
            </w:r>
            <w:r/>
          </w:p>
        </w:tc>
      </w:tr>
    </w:tbl>
    <w:p>
      <w:pPr>
        <w:pStyle w:val="693"/>
        <w:ind w:firstLine="240"/>
        <w:keepLines/>
        <w:keepNext/>
        <w:pageBreakBefore w:val="0"/>
        <w:spacing w:before="0" w:after="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3"/>
        <w:ind w:firstLine="240"/>
        <w:keepLines/>
        <w:keepNext/>
        <w:pageBreakBefore w:val="0"/>
        <w:spacing w:before="0" w:after="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安全特征库更新清单</w:t>
      </w:r>
      <w:r/>
    </w:p>
    <w:tbl>
      <w:tblPr>
        <w:tblStyle w:val="701"/>
        <w:tblW w:w="4605" w:type="pct"/>
        <w:tblInd w:w="337" w:type="dxa"/>
        <w:tblLayout w:type="fixed"/>
        <w:tblCellMar>
          <w:left w:w="108" w:type="dxa"/>
          <w:top w:w="0" w:type="dxa"/>
          <w:right w:w="108" w:type="dxa"/>
          <w:bottom w:w="0" w:type="dxa"/>
        </w:tblCellMar>
        <w:tblLook w:val="04A0" w:firstRow="1" w:lastRow="0" w:firstColumn="1" w:lastColumn="0" w:noHBand="0" w:noVBand="1"/>
      </w:tblPr>
      <w:tblGrid>
        <w:gridCol w:w="1211"/>
        <w:gridCol w:w="4534"/>
        <w:gridCol w:w="2386"/>
        <w:gridCol w:w="1045"/>
      </w:tblGrid>
      <w:tr>
        <w:trPr>
          <w:tblHeader/>
        </w:trPr>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rPr>
                <w:b/>
                <w:bCs/>
              </w:rPr>
            </w:pPr>
            <w:r>
              <w:rPr>
                <w:rFonts w:hint="eastAsia"/>
                <w:b/>
                <w:bCs/>
              </w:rPr>
              <w:t xml:space="preserve">序号</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rPr>
                <w:b/>
                <w:bCs/>
              </w:rPr>
            </w:pPr>
            <w:r>
              <w:rPr>
                <w:rFonts w:hint="eastAsia"/>
                <w:b/>
                <w:bCs/>
              </w:rPr>
              <w:t xml:space="preserve">设备名称</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rPr>
                <w:b/>
                <w:bCs/>
              </w:rPr>
            </w:pPr>
            <w:r>
              <w:rPr>
                <w:rFonts w:hint="eastAsia"/>
                <w:b/>
                <w:bCs/>
              </w:rPr>
              <w:t xml:space="preserve">单位</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rPr>
                <w:b/>
                <w:bCs/>
              </w:rPr>
            </w:pPr>
            <w:r>
              <w:rPr>
                <w:rFonts w:hint="eastAsia"/>
                <w:b/>
                <w:bCs/>
              </w:rPr>
              <w:t xml:space="preserve">数量</w:t>
            </w:r>
            <w:r/>
          </w:p>
        </w:tc>
      </w:tr>
      <w:tr>
        <w:trPr/>
        <w:tc>
          <w:tcPr>
            <w:shd w:val="clear" w:color="000000" w:fill="auto"/>
            <w:tcBorders>
              <w:top w:val="none" w:color="000000"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1</w:t>
            </w:r>
            <w:r/>
          </w:p>
        </w:tc>
        <w:tc>
          <w:tcPr>
            <w:shd w:val="clear" w:color="000000" w:fill="auto"/>
            <w:tcBorders>
              <w:top w:val="none" w:color="000000"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天融信防火墙(外网)</w:t>
            </w:r>
            <w:r/>
          </w:p>
        </w:tc>
        <w:tc>
          <w:tcPr>
            <w:shd w:val="clear" w:color="000000" w:fill="auto"/>
            <w:tcBorders>
              <w:top w:val="none" w:color="000000"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none" w:color="000000"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2</w:t>
            </w:r>
            <w:r/>
          </w:p>
        </w:tc>
        <w:tc>
          <w:tcPr>
            <w:shd w:val="clear" w:color="000000" w:fill="auto"/>
            <w:tcBorders>
              <w:top w:val="none" w:color="000000"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天融信入侵防御(外网)</w:t>
            </w:r>
            <w:r/>
          </w:p>
        </w:tc>
        <w:tc>
          <w:tcPr>
            <w:shd w:val="clear" w:color="000000" w:fill="auto"/>
            <w:tcBorders>
              <w:top w:val="none" w:color="000000"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none" w:color="000000"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3</w:t>
            </w:r>
            <w:r/>
          </w:p>
        </w:tc>
        <w:tc>
          <w:tcPr>
            <w:shd w:val="clear" w:color="000000" w:fill="auto"/>
            <w:tcBorders>
              <w:top w:val="none" w:color="000000"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深信服防火墙(外网)</w:t>
            </w:r>
            <w:r/>
          </w:p>
        </w:tc>
        <w:tc>
          <w:tcPr>
            <w:shd w:val="clear" w:color="000000" w:fill="auto"/>
            <w:tcBorders>
              <w:top w:val="none" w:color="000000"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none" w:color="000000"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4</w:t>
            </w:r>
            <w:r/>
          </w:p>
        </w:tc>
        <w:tc>
          <w:tcPr>
            <w:shd w:val="clear" w:color="000000" w:fill="auto"/>
            <w:tcBorders>
              <w:top w:val="none" w:color="000000"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深信服WAF(外网)</w:t>
            </w:r>
            <w:r/>
          </w:p>
        </w:tc>
        <w:tc>
          <w:tcPr>
            <w:shd w:val="clear" w:color="000000" w:fill="auto"/>
            <w:tcBorders>
              <w:top w:val="none" w:color="000000"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none" w:color="000000"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5</w:t>
            </w:r>
            <w:r/>
          </w:p>
        </w:tc>
        <w:tc>
          <w:tcPr>
            <w:shd w:val="clear" w:color="000000" w:fill="auto"/>
            <w:tcBorders>
              <w:top w:val="none" w:color="000000"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亚信威胁发现设备TDA(内网)</w:t>
            </w:r>
            <w:r/>
          </w:p>
        </w:tc>
        <w:tc>
          <w:tcPr>
            <w:shd w:val="clear" w:color="000000" w:fill="auto"/>
            <w:tcBorders>
              <w:top w:val="none" w:color="000000"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none" w:color="000000"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6</w:t>
            </w:r>
            <w:r/>
          </w:p>
        </w:tc>
        <w:tc>
          <w:tcPr>
            <w:shd w:val="clear" w:color="000000" w:fill="auto"/>
            <w:tcBorders>
              <w:top w:val="none" w:color="000000"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亚信AE(内网）</w:t>
            </w:r>
            <w:r/>
          </w:p>
        </w:tc>
        <w:tc>
          <w:tcPr>
            <w:shd w:val="clear" w:color="000000" w:fill="auto"/>
            <w:tcBorders>
              <w:top w:val="none" w:color="000000"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r>
        <w:trPr/>
        <w:tc>
          <w:tcPr>
            <w:shd w:val="clear" w:color="000000" w:fill="auto"/>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pageBreakBefore w:val="0"/>
              <w:widowControl w:val="off"/>
            </w:pPr>
            <w:r>
              <w:rPr>
                <w:rFonts w:hint="eastAsia"/>
              </w:rPr>
              <w:t xml:space="preserve">7</w:t>
            </w:r>
            <w:r/>
          </w:p>
        </w:tc>
        <w:tc>
          <w:tcPr>
            <w:shd w:val="clear" w:color="000000" w:fill="auto"/>
            <w:tcBorders>
              <w:top w:val="single" w:color="auto" w:sz="4" w:space="0"/>
              <w:left w:val="none" w:color="000000" w:sz="4" w:space="0"/>
              <w:bottom w:val="single" w:color="auto" w:sz="4" w:space="0"/>
              <w:right w:val="single" w:color="auto" w:sz="4" w:space="0"/>
            </w:tcBorders>
            <w:tcW w:w="2469" w:type="pct"/>
            <w:vAlign w:val="center"/>
            <w:textDirection w:val="lrTb"/>
            <w:noWrap w:val="false"/>
          </w:tcPr>
          <w:p>
            <w:pPr>
              <w:pageBreakBefore w:val="0"/>
              <w:widowControl w:val="off"/>
            </w:pPr>
            <w:r>
              <w:rPr>
                <w:rFonts w:hint="eastAsia"/>
              </w:rPr>
              <w:t xml:space="preserve">奇安信漏洞扫描</w:t>
            </w:r>
            <w:r/>
          </w:p>
        </w:tc>
        <w:tc>
          <w:tcPr>
            <w:shd w:val="clear" w:color="000000" w:fill="auto"/>
            <w:tcBorders>
              <w:top w:val="single" w:color="auto" w:sz="4" w:space="0"/>
              <w:left w:val="none" w:color="000000" w:sz="4" w:space="0"/>
              <w:bottom w:val="single" w:color="auto" w:sz="4" w:space="0"/>
              <w:right w:val="single" w:color="auto" w:sz="4" w:space="0"/>
            </w:tcBorders>
            <w:tcW w:w="1299" w:type="pct"/>
            <w:vAlign w:val="center"/>
            <w:textDirection w:val="lrTb"/>
            <w:noWrap w:val="false"/>
          </w:tcPr>
          <w:p>
            <w:pPr>
              <w:pageBreakBefore w:val="0"/>
              <w:widowControl w:val="off"/>
            </w:pPr>
            <w:r>
              <w:rPr>
                <w:rFonts w:hint="eastAsia"/>
              </w:rPr>
              <w:t xml:space="preserve">台</w:t>
            </w:r>
            <w:r/>
          </w:p>
        </w:tc>
        <w:tc>
          <w:tcPr>
            <w:shd w:val="clear" w:color="000000"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pageBreakBefore w:val="0"/>
              <w:widowControl w:val="off"/>
            </w:pPr>
            <w:r>
              <w:rPr>
                <w:rFonts w:hint="eastAsia"/>
              </w:rPr>
              <w:t xml:space="preserve">1</w:t>
            </w:r>
            <w:r/>
          </w:p>
        </w:tc>
      </w:tr>
    </w:tbl>
    <w:p>
      <w:r/>
      <w:r/>
    </w:p>
    <w:p>
      <w:pPr>
        <w:pStyle w:val="702"/>
        <w:ind w:left="0" w:firstLine="0"/>
        <w:rPr>
          <w:rFonts w:hint="eastAsia"/>
          <w:lang w:val="en-US" w:eastAsia="zh-CN"/>
        </w:rPr>
      </w:pPr>
      <w:r>
        <w:rPr>
          <w:rFonts w:hint="eastAsia"/>
          <w:lang w:val="en-US" w:eastAsia="zh-CN"/>
        </w:rPr>
      </w:r>
      <w:r/>
    </w:p>
    <w:p>
      <w:pPr>
        <w:pStyle w:val="944"/>
        <w:ind w:left="0" w:firstLine="0"/>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4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9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eastAsia="宋体" w:cs="宋体"/>
          <w:sz w:val="24"/>
          <w:szCs w:val="24"/>
          <w:highlight w:val="none"/>
        </w:rPr>
        <w:t xml:space="preserve">的扣除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p>
      <w:pPr>
        <w:pStyle w:val="702"/>
        <w:rPr>
          <w:rFonts w:hint="eastAsia"/>
          <w:lang w:eastAsia="zh-CN"/>
        </w:rPr>
      </w:pPr>
      <w:r>
        <w:rPr>
          <w:rFonts w:hint="eastAsia"/>
          <w:lang w:eastAsia="zh-CN"/>
        </w:rPr>
      </w:r>
      <w:r/>
    </w:p>
    <w:tbl>
      <w:tblPr>
        <w:tblStyle w:val="99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74"/>
        <w:gridCol w:w="503"/>
        <w:gridCol w:w="900"/>
      </w:tblGrid>
      <w:tr>
        <w:trPr>
          <w:jc w:val="center"/>
          <w:trHeight w:val="501"/>
          <w:tblHeader/>
        </w:trPr>
        <w:tc>
          <w:tcPr>
            <w:tcW w:w="51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474"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503"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p>
        </w:tc>
        <w:tc>
          <w:tcPr>
            <w:tcW w:w="6474" w:type="dxa"/>
            <w:vAlign w:val="center"/>
            <w:textDirection w:val="lrTb"/>
            <w:noWrap w:val="false"/>
          </w:tcPr>
          <w:p>
            <w:pPr>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cs="宋体"/>
                <w:szCs w:val="22"/>
                <w:lang w:val="en-US" w:eastAsia="zh-CN"/>
              </w:rPr>
              <w:t xml:space="preserve">10</w:t>
            </w:r>
            <w:r>
              <w:rPr>
                <w:rFonts w:hint="eastAsia" w:ascii="宋体" w:hAnsi="宋体" w:eastAsia="宋体" w:cs="宋体"/>
                <w:szCs w:val="22"/>
                <w:lang w:val="en-US" w:eastAsia="zh-CN"/>
              </w:rPr>
              <w:t xml:space="preserve">（小数点保留两位）</w:t>
            </w:r>
            <w:r/>
          </w:p>
        </w:tc>
        <w:tc>
          <w:tcPr>
            <w:tcW w:w="50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cs="宋体"/>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2518"/>
        </w:trPr>
        <w:tc>
          <w:tcPr>
            <w:tcW w:w="519" w:type="dxa"/>
            <w:vAlign w:val="center"/>
            <w:textDirection w:val="lrTb"/>
            <w:noWrap w:val="false"/>
          </w:tcPr>
          <w:p>
            <w:pPr>
              <w:jc w:val="center"/>
              <w:rPr>
                <w:rFonts w:ascii="宋体" w:hAnsi="宋体" w:eastAsia="宋体" w:cs="宋体"/>
                <w:spacing w:val="-2"/>
                <w:highlight w:val="none"/>
              </w:rPr>
            </w:pPr>
            <w:r>
              <w:t xml:space="preserve">2.1</w:t>
            </w:r>
            <w:r/>
          </w:p>
        </w:tc>
        <w:tc>
          <w:tcPr>
            <w:tcW w:w="1179" w:type="dxa"/>
            <w:vAlign w:val="center"/>
            <w:textDirection w:val="lrTb"/>
            <w:noWrap w:val="false"/>
          </w:tcPr>
          <w:p>
            <w:pPr>
              <w:jc w:val="center"/>
              <w:rPr>
                <w:rFonts w:hint="eastAsia"/>
              </w:rPr>
            </w:pPr>
            <w:r>
              <w:rPr>
                <w:rFonts w:hint="eastAsia"/>
              </w:rPr>
              <w:t xml:space="preserve">需求分析</w:t>
            </w:r>
            <w:r/>
          </w:p>
          <w:p>
            <w:pPr>
              <w:jc w:val="center"/>
              <w:rPr>
                <w:rFonts w:hint="eastAsia" w:ascii="宋体" w:hAnsi="宋体" w:eastAsia="宋体" w:cs="宋体"/>
                <w:spacing w:val="-2"/>
                <w:highlight w:val="none"/>
                <w:lang w:eastAsia="zh-CN"/>
              </w:rPr>
            </w:pPr>
            <w:r>
              <w:rPr>
                <w:rFonts w:hint="eastAsia"/>
              </w:rPr>
              <w:t xml:space="preserve">方案</w:t>
            </w:r>
            <w:r/>
          </w:p>
        </w:tc>
        <w:tc>
          <w:tcPr>
            <w:tcW w:w="6474" w:type="dxa"/>
            <w:vAlign w:val="center"/>
            <w:textDirection w:val="lrTb"/>
            <w:noWrap w:val="false"/>
          </w:tcPr>
          <w:p>
            <w:pPr>
              <w:rPr>
                <w:rFonts w:hint="eastAsia"/>
                <w:highlight w:val="none"/>
              </w:rPr>
            </w:pPr>
            <w:r>
              <w:rPr>
                <w:rFonts w:hint="eastAsia"/>
                <w:highlight w:val="none"/>
              </w:rPr>
              <w:t xml:space="preserve">根据本项目采购需求编制需求分析方案，内容包含：1.系统部署；2.拓扑架构；3.维保服务重点；4.服务应对措施。以上每项内容逐项评分：</w:t>
            </w:r>
            <w:r/>
          </w:p>
          <w:p>
            <w:pPr>
              <w:rPr>
                <w:rFonts w:hint="eastAsia"/>
                <w:highlight w:val="none"/>
              </w:rPr>
            </w:pPr>
            <w:r>
              <w:rPr>
                <w:rFonts w:hint="eastAsia"/>
                <w:highlight w:val="none"/>
              </w:rPr>
              <w:t xml:space="preserve">方案内容需求理解充分、分析透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highlight w:val="none"/>
              </w:rPr>
            </w:pPr>
            <w:r>
              <w:rPr>
                <w:rFonts w:hint="eastAsia"/>
                <w:highlight w:val="none"/>
              </w:rPr>
              <w:t xml:space="preserve">上述每项内容符合得2分；部分符合得1分；不符合或不提供不得分。</w:t>
            </w:r>
            <w:r/>
          </w:p>
        </w:tc>
        <w:tc>
          <w:tcPr>
            <w:tcW w:w="503" w:type="dxa"/>
            <w:vAlign w:val="center"/>
            <w:textDirection w:val="lrTb"/>
            <w:noWrap w:val="false"/>
          </w:tcPr>
          <w:p>
            <w:pPr>
              <w:jc w:val="center"/>
              <w:rPr>
                <w:rFonts w:ascii="宋体" w:hAnsi="宋体" w:eastAsia="宋体" w:cs="宋体"/>
                <w:highlight w:val="none"/>
                <w:lang w:val="en-US" w:eastAsia="zh-CN"/>
              </w:rPr>
            </w:pPr>
            <w:r>
              <w:rPr>
                <w:rFonts w:hint="eastAsia"/>
              </w:rPr>
              <w:t xml:space="preserve">8</w:t>
            </w:r>
            <w:r/>
          </w:p>
        </w:tc>
        <w:tc>
          <w:tcPr>
            <w:tcW w:w="900" w:type="dxa"/>
            <w:vAlign w:val="center"/>
            <w:textDirection w:val="lrTb"/>
            <w:noWrap w:val="false"/>
          </w:tcPr>
          <w:p>
            <w:pPr>
              <w:jc w:val="center"/>
              <w:rPr>
                <w:rFonts w:hint="eastAsia" w:ascii="宋体" w:hAnsi="宋体" w:eastAsia="宋体" w:cs="宋体"/>
                <w:highlight w:val="none"/>
                <w:lang w:eastAsia="zh-CN"/>
              </w:rPr>
            </w:pPr>
            <w:r>
              <w:rPr>
                <w:rFonts w:hint="eastAsia"/>
              </w:rPr>
              <w:t xml:space="preserve">主</w:t>
            </w:r>
            <w:r>
              <w:t xml:space="preserve">观</w:t>
            </w:r>
            <w:r>
              <w:rPr>
                <w:rFonts w:hint="eastAsia"/>
              </w:rPr>
              <w:t xml:space="preserve">分</w:t>
            </w:r>
            <w:r/>
          </w:p>
        </w:tc>
      </w:tr>
      <w:tr>
        <w:trPr>
          <w:jc w:val="center"/>
          <w:trHeight w:val="315"/>
        </w:trPr>
        <w:tc>
          <w:tcPr>
            <w:tcW w:w="519" w:type="dxa"/>
            <w:vAlign w:val="center"/>
            <w:textDirection w:val="lrTb"/>
            <w:noWrap w:val="false"/>
          </w:tcPr>
          <w:p>
            <w:pPr>
              <w:jc w:val="center"/>
              <w:rPr>
                <w:rFonts w:ascii="宋体" w:hAnsi="宋体" w:eastAsia="宋体" w:cs="宋体"/>
                <w:spacing w:val="-2"/>
                <w:highlight w:val="none"/>
              </w:rPr>
            </w:pPr>
            <w:r>
              <w:rPr>
                <w:rFonts w:hint="eastAsia"/>
              </w:rPr>
              <w:t xml:space="preserve">2</w:t>
            </w:r>
            <w:r>
              <w:t xml:space="preserve">.2</w:t>
            </w:r>
            <w:r/>
          </w:p>
        </w:tc>
        <w:tc>
          <w:tcPr>
            <w:tcW w:w="1179" w:type="dxa"/>
            <w:vAlign w:val="center"/>
            <w:textDirection w:val="lrTb"/>
            <w:noWrap w:val="false"/>
          </w:tcPr>
          <w:p>
            <w:pPr>
              <w:jc w:val="center"/>
              <w:rPr>
                <w:rFonts w:hint="eastAsia"/>
              </w:rPr>
            </w:pPr>
            <w:r>
              <w:rPr>
                <w:rFonts w:hint="eastAsia"/>
              </w:rPr>
              <w:t xml:space="preserve">总体技术</w:t>
            </w:r>
            <w:r/>
          </w:p>
          <w:p>
            <w:pPr>
              <w:jc w:val="center"/>
              <w:rPr>
                <w:rFonts w:hint="eastAsia"/>
                <w:highlight w:val="none"/>
              </w:rPr>
            </w:pPr>
            <w:r>
              <w:rPr>
                <w:rFonts w:hint="eastAsia"/>
              </w:rPr>
              <w:t xml:space="preserve">方案</w:t>
            </w:r>
            <w:r/>
          </w:p>
        </w:tc>
        <w:tc>
          <w:tcPr>
            <w:tcW w:w="6474" w:type="dxa"/>
            <w:vAlign w:val="center"/>
            <w:textDirection w:val="lrTb"/>
            <w:noWrap w:val="false"/>
          </w:tcPr>
          <w:p>
            <w:pPr>
              <w:rPr>
                <w:rFonts w:hint="eastAsia" w:eastAsia="宋体"/>
                <w:highlight w:val="none"/>
                <w:lang w:eastAsia="zh-CN"/>
              </w:rPr>
            </w:pPr>
            <w:r>
              <w:rPr>
                <w:rFonts w:hint="eastAsia"/>
                <w:highlight w:val="none"/>
              </w:rPr>
              <w:t xml:space="preserve">根据本项目采购需求编制总体技术方案，内容包含：1.服务内容理解；2.总体服务流程；3.优化措施；4.技术保障</w:t>
            </w:r>
            <w:r>
              <w:rPr>
                <w:rFonts w:hint="eastAsia"/>
                <w:highlight w:val="none"/>
                <w:lang w:eastAsia="zh-CN"/>
              </w:rPr>
              <w:t xml:space="preserve">。</w:t>
            </w:r>
            <w:r>
              <w:rPr>
                <w:rFonts w:hint="eastAsia"/>
                <w:highlight w:val="none"/>
              </w:rPr>
              <w:t xml:space="preserve">以上每项内容逐项评分：</w:t>
            </w:r>
            <w:r/>
          </w:p>
          <w:p>
            <w:pPr>
              <w:rPr>
                <w:rFonts w:hint="eastAsia"/>
                <w:highlight w:val="none"/>
              </w:rPr>
            </w:pPr>
            <w:r>
              <w:rPr>
                <w:rFonts w:hint="eastAsia"/>
                <w:highlight w:val="none"/>
              </w:rPr>
              <w:t xml:space="preserve">方案内容科学全面、措施到位，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eastAsia"/>
                <w:highlight w:val="none"/>
                <w:lang w:val="en-US" w:eastAsia="zh-CN"/>
              </w:rPr>
            </w:pPr>
            <w:r>
              <w:rPr>
                <w:rFonts w:hint="eastAsia"/>
                <w:highlight w:val="none"/>
              </w:rPr>
              <w:t xml:space="preserve">上述每项内容符合得</w:t>
            </w:r>
            <w:r>
              <w:rPr>
                <w:rFonts w:hint="eastAsia"/>
                <w:highlight w:val="none"/>
                <w:lang w:val="en-US" w:eastAsia="zh-CN"/>
              </w:rPr>
              <w:t xml:space="preserve">2</w:t>
            </w:r>
            <w:r>
              <w:rPr>
                <w:rFonts w:hint="eastAsia"/>
                <w:highlight w:val="none"/>
              </w:rPr>
              <w:t xml:space="preserve">分；部分符合得1分；不符合或不提供不得分。</w:t>
            </w:r>
            <w:r/>
          </w:p>
        </w:tc>
        <w:tc>
          <w:tcPr>
            <w:tcW w:w="503" w:type="dxa"/>
            <w:vAlign w:val="center"/>
            <w:textDirection w:val="lrTb"/>
            <w:noWrap w:val="false"/>
          </w:tcPr>
          <w:p>
            <w:pPr>
              <w:jc w:val="center"/>
              <w:rPr>
                <w:rFonts w:hint="default" w:ascii="宋体" w:hAnsi="宋体" w:eastAsia="宋体" w:cs="宋体"/>
                <w:highlight w:val="none"/>
                <w:lang w:val="en-US" w:eastAsia="zh-CN"/>
              </w:rPr>
            </w:pPr>
            <w:r>
              <w:rPr>
                <w:rFonts w:hint="eastAsia"/>
                <w:lang w:val="en-US" w:eastAsia="zh-CN"/>
              </w:rPr>
              <w:t xml:space="preserve">8</w:t>
            </w:r>
            <w:r/>
          </w:p>
        </w:tc>
        <w:tc>
          <w:tcPr>
            <w:tcW w:w="900" w:type="dxa"/>
            <w:vAlign w:val="center"/>
            <w:textDirection w:val="lrTb"/>
            <w:noWrap w:val="false"/>
          </w:tcPr>
          <w:p>
            <w:pPr>
              <w:jc w:val="center"/>
              <w:rPr>
                <w:rFonts w:ascii="宋体" w:hAnsi="宋体" w:eastAsia="宋体" w:cs="宋体"/>
                <w:highlight w:val="none"/>
              </w:rPr>
            </w:pPr>
            <w:r>
              <w:rPr>
                <w:rFonts w:hint="eastAsia"/>
              </w:rPr>
              <w:t xml:space="preserve">主</w:t>
            </w:r>
            <w:r>
              <w:t xml:space="preserve">观</w:t>
            </w:r>
            <w:r>
              <w:rPr>
                <w:rFonts w:hint="eastAsia"/>
              </w:rPr>
              <w:t xml:space="preserve">分</w:t>
            </w:r>
            <w:r/>
          </w:p>
        </w:tc>
      </w:tr>
      <w:tr>
        <w:trPr>
          <w:jc w:val="center"/>
          <w:trHeight w:val="315"/>
        </w:trPr>
        <w:tc>
          <w:tcPr>
            <w:tcW w:w="519"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rPr>
              <w:t xml:space="preserve">2</w:t>
            </w:r>
            <w:r>
              <w:t xml:space="preserve">.3</w:t>
            </w:r>
            <w:r/>
          </w:p>
        </w:tc>
        <w:tc>
          <w:tcPr>
            <w:tcW w:w="1179" w:type="dxa"/>
            <w:vAlign w:val="center"/>
            <w:textDirection w:val="lrTb"/>
            <w:noWrap w:val="false"/>
          </w:tcPr>
          <w:p>
            <w:pPr>
              <w:jc w:val="center"/>
              <w:rPr>
                <w:rFonts w:hint="eastAsia"/>
              </w:rPr>
            </w:pPr>
            <w:r>
              <w:rPr>
                <w:rFonts w:hint="eastAsia"/>
              </w:rPr>
              <w:t xml:space="preserve">项目组织</w:t>
            </w:r>
            <w:r/>
          </w:p>
          <w:p>
            <w:pPr>
              <w:jc w:val="center"/>
              <w:rPr>
                <w:rFonts w:hint="eastAsia" w:ascii="宋体" w:hAnsi="宋体" w:eastAsia="宋体" w:cs="宋体"/>
                <w:color w:val="000000"/>
                <w:sz w:val="21"/>
                <w:szCs w:val="21"/>
                <w:highlight w:val="none"/>
                <w:lang w:val="en-US" w:eastAsia="zh-CN" w:bidi="ar-SA"/>
              </w:rPr>
            </w:pPr>
            <w:r>
              <w:rPr>
                <w:rFonts w:hint="eastAsia"/>
              </w:rPr>
              <w:t xml:space="preserve">实施方案</w:t>
            </w:r>
            <w:r/>
          </w:p>
        </w:tc>
        <w:tc>
          <w:tcPr>
            <w:tcW w:w="6474" w:type="dxa"/>
            <w:vAlign w:val="center"/>
            <w:textDirection w:val="lrTb"/>
            <w:noWrap w:val="false"/>
          </w:tcPr>
          <w:p>
            <w:pPr>
              <w:rPr>
                <w:rFonts w:hint="eastAsia" w:eastAsia="宋体"/>
                <w:lang w:eastAsia="zh-CN"/>
              </w:rPr>
            </w:pPr>
            <w:r>
              <w:rPr>
                <w:rFonts w:hint="eastAsia"/>
              </w:rPr>
              <w:t xml:space="preserve">根据本项目采购需求编制项目组织实施方案，内容包含：1.组织架构；2.职责分工；3.人员安排；4.管理措施</w:t>
            </w:r>
            <w:r>
              <w:rPr>
                <w:rFonts w:hint="eastAsia"/>
                <w:lang w:eastAsia="zh-CN"/>
              </w:rPr>
              <w:t xml:space="preserve">。</w:t>
            </w:r>
            <w:r>
              <w:rPr>
                <w:rFonts w:hint="eastAsia"/>
              </w:rPr>
              <w:t xml:space="preserve">以上每项内容逐项评分：</w:t>
            </w:r>
            <w:r/>
          </w:p>
          <w:p>
            <w:pPr>
              <w:rPr>
                <w:rFonts w:hint="eastAsia"/>
              </w:rPr>
            </w:pPr>
            <w:r>
              <w:rPr>
                <w:rFonts w:hint="eastAsia"/>
              </w:rPr>
              <w:t xml:space="preserve">方案内容合理全面，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eastAsia" w:ascii="宋体" w:hAnsi="宋体" w:eastAsia="宋体" w:cs="宋体"/>
                <w:color w:val="000000"/>
                <w:sz w:val="21"/>
                <w:szCs w:val="21"/>
                <w:highlight w:val="none"/>
                <w:lang w:val="en-US" w:eastAsia="zh-CN" w:bidi="ar-SA"/>
              </w:rPr>
            </w:pPr>
            <w:r>
              <w:rPr>
                <w:rFonts w:hint="eastAsia"/>
              </w:rPr>
              <w:t xml:space="preserve">上述每项内容符合得2分；部分符合得1分；不符合或不提供不得分。</w:t>
            </w:r>
            <w:r/>
          </w:p>
        </w:tc>
        <w:tc>
          <w:tcPr>
            <w:tcW w:w="503" w:type="dxa"/>
            <w:vAlign w:val="center"/>
            <w:textDirection w:val="lrTb"/>
            <w:noWrap w:val="false"/>
          </w:tcPr>
          <w:p>
            <w:pPr>
              <w:jc w:val="center"/>
              <w:rPr>
                <w:rFonts w:hint="eastAsia" w:ascii="宋体" w:hAnsi="宋体" w:eastAsia="宋体" w:cs="宋体"/>
                <w:color w:val="000000"/>
                <w:sz w:val="18"/>
                <w:szCs w:val="18"/>
                <w:highlight w:val="none"/>
                <w:lang w:val="en-US" w:eastAsia="zh-CN" w:bidi="ar-SA"/>
              </w:rPr>
            </w:pPr>
            <w:r>
              <w:rPr>
                <w:rFonts w:hint="eastAsia"/>
              </w:rPr>
              <w:t xml:space="preserve">8</w:t>
            </w:r>
            <w:r/>
          </w:p>
        </w:tc>
        <w:tc>
          <w:tcPr>
            <w:tcW w:w="900" w:type="dxa"/>
            <w:vAlign w:val="center"/>
            <w:textDirection w:val="lrTb"/>
            <w:noWrap w:val="false"/>
          </w:tcPr>
          <w:p>
            <w:pPr>
              <w:jc w:val="center"/>
              <w:rPr>
                <w:rFonts w:hint="eastAsia" w:ascii="宋体" w:hAnsi="宋体" w:eastAsia="宋体" w:cs="宋体"/>
                <w:sz w:val="21"/>
                <w:szCs w:val="21"/>
                <w:highlight w:val="none"/>
                <w:lang w:val="en-US" w:eastAsia="zh-CN" w:bidi="ar-SA"/>
              </w:rPr>
            </w:pPr>
            <w:r>
              <w:t xml:space="preserve">主观</w:t>
            </w:r>
            <w:r>
              <w:rPr>
                <w:rFonts w:hint="eastAsia"/>
              </w:rPr>
              <w:t xml:space="preserve">分</w:t>
            </w:r>
            <w:r/>
          </w:p>
        </w:tc>
      </w:tr>
      <w:tr>
        <w:trPr>
          <w:jc w:val="center"/>
          <w:trHeight w:val="889"/>
        </w:trPr>
        <w:tc>
          <w:tcPr>
            <w:tcW w:w="519" w:type="dxa"/>
            <w:vAlign w:val="center"/>
            <w:textDirection w:val="lrTb"/>
            <w:noWrap w:val="false"/>
          </w:tcPr>
          <w:p>
            <w:pPr>
              <w:jc w:val="center"/>
              <w:rPr>
                <w:rFonts w:ascii="宋体" w:hAnsi="宋体" w:eastAsia="宋体" w:cs="宋体"/>
                <w:color w:val="000000"/>
                <w:sz w:val="21"/>
                <w:szCs w:val="21"/>
                <w:highlight w:val="none"/>
                <w:lang w:val="en-US" w:eastAsia="zh-CN" w:bidi="ar-SA"/>
              </w:rPr>
            </w:pPr>
            <w:r>
              <w:rPr>
                <w:rFonts w:hint="eastAsia"/>
              </w:rPr>
              <w:t xml:space="preserve">2.4</w:t>
            </w:r>
            <w:r/>
          </w:p>
        </w:tc>
        <w:tc>
          <w:tcPr>
            <w:tcW w:w="1179" w:type="dxa"/>
            <w:vAlign w:val="center"/>
            <w:textDirection w:val="lrTb"/>
            <w:noWrap w:val="false"/>
          </w:tcPr>
          <w:p>
            <w:pPr>
              <w:jc w:val="center"/>
              <w:rPr>
                <w:rFonts w:hint="eastAsia"/>
              </w:rPr>
            </w:pPr>
            <w:r>
              <w:rPr>
                <w:rFonts w:hint="eastAsia"/>
              </w:rPr>
              <w:t xml:space="preserve">应急响应</w:t>
            </w:r>
            <w:r/>
          </w:p>
          <w:p>
            <w:pPr>
              <w:jc w:val="center"/>
              <w:rPr>
                <w:rFonts w:hint="eastAsia" w:ascii="宋体" w:hAnsi="宋体" w:eastAsia="宋体" w:cs="宋体"/>
                <w:spacing w:val="-2"/>
                <w:sz w:val="21"/>
                <w:szCs w:val="22"/>
                <w:highlight w:val="none"/>
                <w:lang w:val="en-US" w:eastAsia="zh-CN" w:bidi="ar-SA"/>
              </w:rPr>
            </w:pPr>
            <w:r>
              <w:rPr>
                <w:rFonts w:hint="eastAsia"/>
              </w:rPr>
              <w:t xml:space="preserve">预案</w:t>
            </w:r>
            <w:r/>
          </w:p>
        </w:tc>
        <w:tc>
          <w:tcPr>
            <w:tcW w:w="6474" w:type="dxa"/>
            <w:vAlign w:val="center"/>
            <w:textDirection w:val="lrTb"/>
            <w:noWrap w:val="false"/>
          </w:tcPr>
          <w:p>
            <w:pPr>
              <w:jc w:val="both"/>
              <w:rPr>
                <w:rFonts w:hint="eastAsia" w:eastAsia="宋体"/>
                <w:highlight w:val="none"/>
                <w:lang w:eastAsia="zh-CN"/>
              </w:rPr>
            </w:pPr>
            <w:r>
              <w:rPr>
                <w:rFonts w:hint="eastAsia"/>
                <w:highlight w:val="none"/>
              </w:rPr>
              <w:t xml:space="preserve">根据本项目采购需求编制应急响应</w:t>
            </w:r>
            <w:r>
              <w:rPr>
                <w:rFonts w:hint="eastAsia"/>
                <w:highlight w:val="none"/>
                <w:lang w:eastAsia="zh-CN"/>
              </w:rPr>
              <w:t xml:space="preserve">预</w:t>
            </w:r>
            <w:r>
              <w:rPr>
                <w:rFonts w:hint="eastAsia"/>
                <w:highlight w:val="none"/>
              </w:rPr>
              <w:t xml:space="preserve">案，内容包含：1.应急原则；2.事件分级；3.响应时效；4.事件记录</w:t>
            </w:r>
            <w:r>
              <w:rPr>
                <w:rFonts w:hint="eastAsia"/>
                <w:highlight w:val="none"/>
                <w:lang w:eastAsia="zh-CN"/>
              </w:rPr>
              <w:t xml:space="preserve">。</w:t>
            </w:r>
            <w:r>
              <w:rPr>
                <w:rFonts w:hint="eastAsia"/>
                <w:highlight w:val="none"/>
              </w:rPr>
              <w:t xml:space="preserve">以上每项内容逐项评分：</w:t>
            </w:r>
            <w:r/>
          </w:p>
          <w:p>
            <w:pPr>
              <w:rPr>
                <w:rFonts w:hint="eastAsia"/>
                <w:highlight w:val="none"/>
              </w:rPr>
            </w:pPr>
            <w:r>
              <w:rPr>
                <w:rFonts w:hint="eastAsia"/>
                <w:highlight w:val="none"/>
              </w:rPr>
              <w:t xml:space="preserve">方案内容科学全面，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ascii="Times New Roman" w:hAnsi="Times New Roman" w:eastAsia="宋体" w:cs="Times New Roman"/>
                <w:sz w:val="21"/>
                <w:szCs w:val="22"/>
                <w:highlight w:val="none"/>
                <w:lang w:val="en-US" w:eastAsia="zh-CN" w:bidi="ar-SA"/>
              </w:rPr>
            </w:pPr>
            <w:r>
              <w:rPr>
                <w:rFonts w:hint="eastAsia"/>
                <w:highlight w:val="none"/>
              </w:rPr>
              <w:t xml:space="preserve">上述每项内容符合得2分；部分符合得1分；不符合或不提供不得分。</w:t>
            </w:r>
            <w:r/>
          </w:p>
        </w:tc>
        <w:tc>
          <w:tcPr>
            <w:tcW w:w="503" w:type="dxa"/>
            <w:vAlign w:val="center"/>
            <w:textDirection w:val="lrTb"/>
            <w:noWrap w:val="false"/>
          </w:tcPr>
          <w:p>
            <w:pPr>
              <w:jc w:val="center"/>
              <w:rPr>
                <w:rFonts w:ascii="宋体" w:hAnsi="宋体" w:eastAsia="宋体" w:cs="宋体"/>
                <w:color w:val="000000"/>
                <w:sz w:val="21"/>
                <w:szCs w:val="21"/>
                <w:highlight w:val="none"/>
                <w:lang w:val="en-US" w:eastAsia="zh-CN" w:bidi="ar-SA"/>
              </w:rPr>
            </w:pPr>
            <w:r>
              <w:rPr>
                <w:rFonts w:hint="eastAsia"/>
              </w:rPr>
              <w:t xml:space="preserve">8</w:t>
            </w:r>
            <w:r/>
          </w:p>
        </w:tc>
        <w:tc>
          <w:tcPr>
            <w:tcW w:w="900" w:type="dxa"/>
            <w:vAlign w:val="center"/>
            <w:textDirection w:val="lrTb"/>
            <w:noWrap w:val="false"/>
          </w:tcPr>
          <w:p>
            <w:pPr>
              <w:jc w:val="center"/>
              <w:rPr>
                <w:rFonts w:hint="eastAsia" w:ascii="宋体" w:hAnsi="宋体" w:eastAsia="宋体" w:cs="宋体"/>
                <w:spacing w:val="-6"/>
                <w:highlight w:val="none"/>
                <w:lang w:eastAsia="zh-CN"/>
              </w:rPr>
            </w:pPr>
            <w:r>
              <w:t xml:space="preserve">主观</w:t>
            </w:r>
            <w:r>
              <w:rPr>
                <w:rFonts w:hint="eastAsia"/>
              </w:rPr>
              <w:t xml:space="preserve">分</w:t>
            </w:r>
            <w:r/>
          </w:p>
        </w:tc>
      </w:tr>
      <w:tr>
        <w:trPr>
          <w:jc w:val="center"/>
          <w:trHeight w:val="889"/>
        </w:trPr>
        <w:tc>
          <w:tcPr>
            <w:tcW w:w="519"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rPr>
              <w:t xml:space="preserve">2.5</w:t>
            </w:r>
            <w:r/>
          </w:p>
        </w:tc>
        <w:tc>
          <w:tcPr>
            <w:tcW w:w="1179" w:type="dxa"/>
            <w:vAlign w:val="center"/>
            <w:textDirection w:val="lrTb"/>
            <w:noWrap w:val="false"/>
          </w:tcPr>
          <w:p>
            <w:pPr>
              <w:jc w:val="center"/>
              <w:rPr>
                <w:rFonts w:hint="eastAsia"/>
              </w:rPr>
            </w:pPr>
            <w:r>
              <w:rPr>
                <w:rFonts w:hint="eastAsia"/>
              </w:rPr>
              <w:t xml:space="preserve">运维服务</w:t>
            </w:r>
            <w:r/>
          </w:p>
          <w:p>
            <w:pPr>
              <w:jc w:val="center"/>
              <w:rPr>
                <w:rFonts w:hint="eastAsia" w:ascii="宋体" w:hAnsi="宋体" w:eastAsia="宋体" w:cs="Times New Roman"/>
                <w:sz w:val="21"/>
                <w:szCs w:val="22"/>
                <w:highlight w:val="none"/>
                <w:lang w:val="en-US" w:eastAsia="zh-CN" w:bidi="ar-SA"/>
              </w:rPr>
            </w:pPr>
            <w:r>
              <w:rPr>
                <w:rFonts w:hint="eastAsia"/>
              </w:rPr>
              <w:t xml:space="preserve">方案</w:t>
            </w:r>
            <w:r/>
          </w:p>
        </w:tc>
        <w:tc>
          <w:tcPr>
            <w:tcW w:w="6474" w:type="dxa"/>
            <w:vAlign w:val="center"/>
            <w:textDirection w:val="lrTb"/>
            <w:noWrap w:val="false"/>
          </w:tcPr>
          <w:p>
            <w:pPr>
              <w:jc w:val="both"/>
              <w:rPr>
                <w:rFonts w:hint="eastAsia" w:eastAsia="宋体"/>
                <w:highlight w:val="none"/>
                <w:lang w:eastAsia="zh-CN"/>
              </w:rPr>
            </w:pPr>
            <w:r>
              <w:rPr>
                <w:rFonts w:hint="eastAsia"/>
                <w:highlight w:val="none"/>
              </w:rPr>
              <w:t xml:space="preserve">根据本项目采购需求编制运维服务方案，内容包含：1.服务流程管理；2.服务质量管理；3.服务响应时间；4.服务人员配备</w:t>
            </w:r>
            <w:r>
              <w:rPr>
                <w:rFonts w:hint="eastAsia"/>
                <w:highlight w:val="none"/>
                <w:lang w:eastAsia="zh-CN"/>
              </w:rPr>
              <w:t xml:space="preserve">。</w:t>
            </w:r>
            <w:r>
              <w:rPr>
                <w:rFonts w:hint="eastAsia"/>
                <w:highlight w:val="none"/>
              </w:rPr>
              <w:t xml:space="preserve">以上每项内容逐项评分：</w:t>
            </w:r>
            <w:r/>
          </w:p>
          <w:p>
            <w:pPr>
              <w:rPr>
                <w:rFonts w:hint="eastAsia"/>
                <w:highlight w:val="none"/>
              </w:rPr>
            </w:pPr>
            <w:r>
              <w:rPr>
                <w:rFonts w:hint="eastAsia"/>
                <w:highlight w:val="none"/>
              </w:rPr>
              <w:t xml:space="preserve">方案内容科学全面，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eastAsia" w:ascii="Times New Roman" w:hAnsi="Times New Roman" w:eastAsia="宋体" w:cs="Times New Roman"/>
                <w:sz w:val="21"/>
                <w:szCs w:val="22"/>
                <w:highlight w:val="none"/>
                <w:lang w:val="en-US" w:eastAsia="zh-CN" w:bidi="ar-SA"/>
              </w:rPr>
            </w:pPr>
            <w:r>
              <w:rPr>
                <w:rFonts w:hint="eastAsia"/>
                <w:highlight w:val="none"/>
              </w:rPr>
              <w:t xml:space="preserve">上述每项内容符合得2分；部分符合得1分；不符合或不提供不得分。</w:t>
            </w:r>
            <w:r/>
          </w:p>
        </w:tc>
        <w:tc>
          <w:tcPr>
            <w:tcW w:w="503"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rPr>
              <w:t xml:space="preserve">8</w:t>
            </w:r>
            <w:r/>
          </w:p>
        </w:tc>
        <w:tc>
          <w:tcPr>
            <w:tcW w:w="900" w:type="dxa"/>
            <w:vAlign w:val="center"/>
            <w:textDirection w:val="lrTb"/>
            <w:noWrap w:val="false"/>
          </w:tcPr>
          <w:p>
            <w:pPr>
              <w:jc w:val="center"/>
              <w:rPr>
                <w:rFonts w:hint="eastAsia" w:ascii="宋体" w:hAnsi="宋体" w:cs="宋体"/>
                <w:spacing w:val="-6"/>
                <w:highlight w:val="none"/>
                <w:lang w:eastAsia="zh-CN"/>
              </w:rPr>
            </w:pPr>
            <w:r>
              <w:rPr>
                <w:rFonts w:hint="eastAsia"/>
              </w:rPr>
              <w:t xml:space="preserve">主观分</w:t>
            </w:r>
            <w:r/>
          </w:p>
        </w:tc>
      </w:tr>
      <w:tr>
        <w:trPr>
          <w:jc w:val="center"/>
          <w:trHeight w:val="889"/>
        </w:trPr>
        <w:tc>
          <w:tcPr>
            <w:tcW w:w="519" w:type="dxa"/>
            <w:vAlign w:val="center"/>
            <w:textDirection w:val="lrTb"/>
            <w:noWrap w:val="false"/>
          </w:tcPr>
          <w:p>
            <w:pPr>
              <w:jc w:val="center"/>
              <w:rPr>
                <w:rFonts w:ascii="宋体" w:hAnsi="宋体" w:eastAsia="宋体" w:cs="宋体"/>
                <w:spacing w:val="-2"/>
                <w:sz w:val="21"/>
                <w:szCs w:val="22"/>
                <w:highlight w:val="none"/>
                <w:lang w:val="en-US" w:eastAsia="zh-CN" w:bidi="ar-SA"/>
              </w:rPr>
            </w:pPr>
            <w:r>
              <w:rPr>
                <w:rFonts w:hint="eastAsia"/>
              </w:rPr>
              <w:t xml:space="preserve">2</w:t>
            </w:r>
            <w:r>
              <w:t xml:space="preserve">.</w:t>
            </w:r>
            <w:r>
              <w:rPr>
                <w:rFonts w:hint="eastAsia"/>
              </w:rPr>
              <w:t xml:space="preserve">6</w:t>
            </w:r>
            <w:r/>
          </w:p>
        </w:tc>
        <w:tc>
          <w:tcPr>
            <w:tcW w:w="1179" w:type="dxa"/>
            <w:vAlign w:val="center"/>
            <w:textDirection w:val="lrTb"/>
            <w:noWrap w:val="false"/>
          </w:tcPr>
          <w:p>
            <w:pPr>
              <w:jc w:val="center"/>
              <w:rPr>
                <w:rFonts w:hint="eastAsia"/>
              </w:rPr>
            </w:pPr>
            <w:r>
              <w:rPr>
                <w:rFonts w:hint="eastAsia"/>
              </w:rPr>
              <w:t xml:space="preserve">维保体系</w:t>
            </w:r>
            <w:r/>
          </w:p>
          <w:p>
            <w:pPr>
              <w:jc w:val="center"/>
              <w:rPr>
                <w:rFonts w:hint="eastAsia" w:ascii="Times New Roman" w:hAnsi="Times New Roman" w:eastAsia="宋体" w:cs="Times New Roman"/>
                <w:highlight w:val="none"/>
                <w:lang w:val="en-US" w:eastAsia="zh-CN"/>
              </w:rPr>
            </w:pPr>
            <w:r>
              <w:rPr>
                <w:rFonts w:hint="eastAsia"/>
              </w:rPr>
              <w:t xml:space="preserve">规范</w:t>
            </w:r>
            <w:r/>
          </w:p>
        </w:tc>
        <w:tc>
          <w:tcPr>
            <w:tcW w:w="6474" w:type="dxa"/>
            <w:vAlign w:val="center"/>
            <w:textDirection w:val="lrTb"/>
            <w:noWrap w:val="false"/>
          </w:tcPr>
          <w:p>
            <w:pPr>
              <w:jc w:val="both"/>
              <w:rPr>
                <w:rFonts w:hint="eastAsia" w:eastAsia="宋体"/>
                <w:lang w:eastAsia="zh-CN"/>
              </w:rPr>
            </w:pPr>
            <w:r>
              <w:rPr>
                <w:rFonts w:hint="eastAsia"/>
              </w:rPr>
              <w:t xml:space="preserve">根据本项目采购需求编制维保体系规范，内容包含：1.</w:t>
            </w:r>
            <w:r>
              <w:rPr>
                <w:rFonts w:hint="eastAsia" w:ascii="宋体" w:eastAsia="宋体" w:cs="宋体" w:hAnsiTheme="minorHAnsi"/>
                <w:sz w:val="24"/>
              </w:rPr>
              <w:t xml:space="preserve"> </w:t>
            </w:r>
            <w:r>
              <w:rPr>
                <w:rFonts w:hint="eastAsia"/>
              </w:rPr>
              <w:t xml:space="preserve">维护保养管理制度；2.巡检服务流程规范；3.报障和维修流程规范；4.维护文档管理</w:t>
            </w:r>
            <w:r>
              <w:rPr>
                <w:rFonts w:hint="eastAsia"/>
                <w:lang w:eastAsia="zh-CN"/>
              </w:rPr>
              <w:t xml:space="preserve">。</w:t>
            </w:r>
            <w:r>
              <w:rPr>
                <w:rFonts w:hint="eastAsia"/>
              </w:rPr>
              <w:t xml:space="preserve">以上每项内容逐项评分：</w:t>
            </w:r>
            <w:r/>
          </w:p>
          <w:p>
            <w:pPr>
              <w:rPr>
                <w:rFonts w:hint="eastAsia"/>
              </w:rPr>
            </w:pPr>
            <w:r>
              <w:rPr>
                <w:rFonts w:hint="eastAsia"/>
              </w:rPr>
              <w:t xml:space="preserve">方案内容科学规范，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highlight w:val="none"/>
                <w:lang w:val="zh-CN" w:eastAsia="zh-CN"/>
              </w:rPr>
            </w:pPr>
            <w:r>
              <w:rPr>
                <w:rFonts w:hint="eastAsia"/>
              </w:rPr>
              <w:t xml:space="preserve">上述每项内容符合得2分；部分符合得1分；不符合或不提供不得分。</w:t>
            </w:r>
            <w:r/>
          </w:p>
        </w:tc>
        <w:tc>
          <w:tcPr>
            <w:tcW w:w="503" w:type="dxa"/>
            <w:vAlign w:val="center"/>
            <w:textDirection w:val="lrTb"/>
            <w:noWrap w:val="false"/>
          </w:tcPr>
          <w:p>
            <w:pPr>
              <w:jc w:val="center"/>
              <w:rPr>
                <w:rFonts w:ascii="宋体" w:hAnsi="宋体" w:eastAsia="宋体" w:cs="宋体"/>
                <w:sz w:val="21"/>
                <w:szCs w:val="22"/>
                <w:highlight w:val="none"/>
                <w:lang w:val="en-US" w:eastAsia="zh-CN" w:bidi="ar-SA"/>
              </w:rPr>
            </w:pPr>
            <w:r>
              <w:rPr>
                <w:rFonts w:hint="eastAsia"/>
              </w:rPr>
              <w:t xml:space="preserve">8</w:t>
            </w:r>
            <w:r/>
          </w:p>
        </w:tc>
        <w:tc>
          <w:tcPr>
            <w:tcW w:w="900" w:type="dxa"/>
            <w:vAlign w:val="center"/>
            <w:textDirection w:val="lrTb"/>
            <w:noWrap w:val="false"/>
          </w:tcPr>
          <w:p>
            <w:pPr>
              <w:jc w:val="center"/>
              <w:rPr>
                <w:rFonts w:hint="eastAsia" w:ascii="宋体" w:hAnsi="宋体" w:eastAsia="宋体" w:cs="宋体"/>
                <w:spacing w:val="-6"/>
                <w:sz w:val="21"/>
                <w:szCs w:val="22"/>
                <w:highlight w:val="none"/>
                <w:lang w:val="en-US" w:eastAsia="zh-CN" w:bidi="ar-SA"/>
              </w:rPr>
            </w:pPr>
            <w:r>
              <w:rPr>
                <w:rFonts w:hint="eastAsia"/>
              </w:rPr>
              <w:t xml:space="preserve">主观分</w:t>
            </w:r>
            <w:r/>
          </w:p>
        </w:tc>
      </w:tr>
      <w:tr>
        <w:trPr>
          <w:jc w:val="center"/>
          <w:trHeight w:val="889"/>
        </w:trPr>
        <w:tc>
          <w:tcPr>
            <w:shd w:val="clear" w:color="auto" w:fill="auto"/>
            <w:tcW w:w="51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2.7</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增值服务</w:t>
            </w:r>
            <w:r/>
          </w:p>
        </w:tc>
        <w:tc>
          <w:tcPr>
            <w:shd w:val="clear" w:color="auto" w:fill="auto"/>
            <w:tcW w:w="6474" w:type="dxa"/>
            <w:vAlign w:val="center"/>
            <w:textDirection w:val="lrTb"/>
            <w:noWrap w:val="false"/>
          </w:tcPr>
          <w:p>
            <w:r>
              <w:rPr>
                <w:rFonts w:hint="eastAsia"/>
              </w:rPr>
              <w:t xml:space="preserve">根据供应商针对本项目提供以下增值服务内容进行评分，每提供1项增值服务得2分，最多得4分：</w:t>
            </w:r>
            <w:r/>
          </w:p>
          <w:p>
            <w:r>
              <w:rPr>
                <w:rFonts w:hint="eastAsia"/>
              </w:rPr>
              <w:t xml:space="preserve">1、基础软件保障服务（操作系统、中间件、虚拟化软件等）</w:t>
            </w:r>
            <w:r/>
          </w:p>
          <w:p>
            <w:r>
              <w:rPr>
                <w:rFonts w:hint="eastAsia"/>
              </w:rPr>
              <w:t xml:space="preserve">2、数据库专业技术服务（不动产相关数据库之外的政务系统数据库）</w:t>
            </w:r>
            <w:r/>
          </w:p>
          <w:p>
            <w:pPr>
              <w:rPr>
                <w:rFonts w:hint="eastAsia" w:ascii="Times New Roman" w:hAnsi="Times New Roman" w:eastAsia="宋体" w:cs="Times New Roman"/>
                <w:sz w:val="21"/>
                <w:szCs w:val="22"/>
                <w:lang w:val="en-US" w:eastAsia="zh-CN" w:bidi="ar-SA"/>
              </w:rPr>
            </w:pPr>
            <w:r>
              <w:rPr>
                <w:rFonts w:hint="eastAsia"/>
              </w:rPr>
              <w:t xml:space="preserve">提供承诺函，格式自拟。</w:t>
            </w:r>
            <w:r/>
          </w:p>
        </w:tc>
        <w:tc>
          <w:tcPr>
            <w:shd w:val="clear" w:color="auto" w:fill="auto"/>
            <w:tcW w:w="503"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4</w:t>
            </w:r>
            <w:r/>
          </w:p>
        </w:tc>
        <w:tc>
          <w:tcPr>
            <w:tcW w:w="900" w:type="dxa"/>
            <w:vAlign w:val="center"/>
            <w:textDirection w:val="lrTb"/>
            <w:noWrap w:val="false"/>
          </w:tcPr>
          <w:p>
            <w:pPr>
              <w:jc w:val="center"/>
              <w:rPr>
                <w:rFonts w:hint="eastAsia" w:eastAsia="宋体"/>
                <w:lang w:eastAsia="zh-CN"/>
              </w:rPr>
            </w:pPr>
            <w:r>
              <w:rPr>
                <w:rFonts w:hint="eastAsia"/>
                <w:lang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3.业绩</w:t>
            </w:r>
            <w:r/>
          </w:p>
        </w:tc>
      </w:tr>
      <w:tr>
        <w:trPr>
          <w:jc w:val="center"/>
          <w:trHeight w:val="1015"/>
        </w:trPr>
        <w:tc>
          <w:tcPr>
            <w:tcW w:w="519" w:type="dxa"/>
            <w:vAlign w:val="center"/>
            <w:textDirection w:val="lrTb"/>
            <w:noWrap w:val="false"/>
          </w:tcPr>
          <w:p>
            <w:pPr>
              <w:jc w:val="center"/>
              <w:rPr>
                <w:rFonts w:ascii="宋体" w:hAnsi="宋体" w:eastAsia="宋体" w:cs="宋体"/>
                <w:spacing w:val="-2"/>
                <w:highlight w:val="none"/>
              </w:rPr>
            </w:pPr>
            <w:r>
              <w:rPr>
                <w:rFonts w:hint="eastAsia"/>
              </w:rPr>
              <w:t xml:space="preserve">3</w:t>
            </w:r>
            <w:r>
              <w:t xml:space="preserve">.1</w:t>
            </w:r>
            <w:r/>
          </w:p>
        </w:tc>
        <w:tc>
          <w:tcPr>
            <w:tcW w:w="1179" w:type="dxa"/>
            <w:vAlign w:val="center"/>
            <w:textDirection w:val="lrTb"/>
            <w:noWrap w:val="false"/>
          </w:tcPr>
          <w:p>
            <w:pPr>
              <w:jc w:val="center"/>
              <w:rPr>
                <w:rFonts w:ascii="宋体" w:hAnsi="宋体" w:eastAsia="宋体" w:cs="宋体"/>
                <w:spacing w:val="-2"/>
                <w:highlight w:val="none"/>
              </w:rPr>
            </w:pPr>
            <w:r>
              <w:rPr>
                <w:rFonts w:hint="eastAsia"/>
              </w:rPr>
              <w:t xml:space="preserve">供应商业绩</w:t>
            </w:r>
            <w:r/>
          </w:p>
        </w:tc>
        <w:tc>
          <w:tcPr>
            <w:tcW w:w="6474" w:type="dxa"/>
            <w:vAlign w:val="center"/>
            <w:textDirection w:val="lrTb"/>
            <w:noWrap w:val="false"/>
          </w:tcPr>
          <w:p>
            <w:pPr>
              <w:rPr>
                <w:rFonts w:ascii="Times New Roman" w:hAnsi="Times New Roman" w:eastAsia="方正仿宋_GBK" w:cs="Times New Roman"/>
                <w:color w:val="000000"/>
                <w:sz w:val="21"/>
                <w:szCs w:val="21"/>
                <w:highlight w:val="none"/>
                <w:lang w:val="en-US" w:eastAsia="zh-CN" w:bidi="zh-CN"/>
              </w:rPr>
            </w:pPr>
            <w:r>
              <w:rPr>
                <w:rFonts w:hint="eastAsia"/>
              </w:rPr>
              <w:t xml:space="preserve">供应商提供2023年1月1日（含）以来类似项目业绩（至少包含硬件设施维保），每提供1个得2分，最多得6分。（时间以合同签订时间为准，提供有效合同，合同页须清晰可见相应内容）</w:t>
            </w:r>
            <w:r/>
          </w:p>
        </w:tc>
        <w:tc>
          <w:tcPr>
            <w:tcW w:w="503" w:type="dxa"/>
            <w:vAlign w:val="center"/>
            <w:textDirection w:val="lrTb"/>
            <w:noWrap w:val="false"/>
          </w:tcPr>
          <w:p>
            <w:pPr>
              <w:jc w:val="center"/>
              <w:rPr>
                <w:rFonts w:ascii="Times New Roman" w:hAnsi="Times New Roman" w:eastAsia="宋体" w:cs="Times New Roman"/>
                <w:color w:val="000000"/>
                <w:sz w:val="21"/>
                <w:szCs w:val="21"/>
                <w:highlight w:val="none"/>
                <w:lang w:val="en-US" w:eastAsia="zh-CN" w:bidi="ar-SA"/>
              </w:rPr>
            </w:pPr>
            <w:r>
              <w:rPr>
                <w:rFonts w:hint="eastAsia"/>
              </w:rPr>
              <w:t xml:space="preserve">6</w:t>
            </w:r>
            <w:r/>
          </w:p>
        </w:tc>
        <w:tc>
          <w:tcPr>
            <w:tcW w:w="900" w:type="dxa"/>
            <w:vAlign w:val="center"/>
            <w:textDirection w:val="lrTb"/>
            <w:noWrap w:val="false"/>
          </w:tcPr>
          <w:p>
            <w:pPr>
              <w:jc w:val="center"/>
              <w:rPr>
                <w:rFonts w:hint="eastAsia" w:ascii="宋体" w:hAnsi="宋体" w:eastAsia="宋体" w:cs="宋体"/>
                <w:highlight w:val="none"/>
                <w:lang w:eastAsia="zh-CN"/>
              </w:rPr>
            </w:pPr>
            <w:r>
              <w:rPr>
                <w:rFonts w:hint="eastAsia"/>
              </w:rPr>
              <w:t xml:space="preserve">客</w:t>
            </w:r>
            <w:r>
              <w:t xml:space="preserve">观</w:t>
            </w:r>
            <w:r>
              <w:rPr>
                <w:rFonts w:hint="eastAsia"/>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4.履约能力</w:t>
            </w:r>
            <w:r/>
          </w:p>
        </w:tc>
      </w:tr>
      <w:tr>
        <w:trPr>
          <w:jc w:val="center"/>
          <w:trHeight w:val="387"/>
        </w:trPr>
        <w:tc>
          <w:tcPr>
            <w:tcW w:w="519" w:type="dxa"/>
            <w:vAlign w:val="center"/>
            <w:textDirection w:val="lrTb"/>
            <w:noWrap w:val="false"/>
          </w:tcPr>
          <w:p>
            <w:pPr>
              <w:jc w:val="center"/>
              <w:rPr>
                <w:rFonts w:ascii="宋体" w:hAnsi="宋体" w:eastAsia="宋体" w:cs="宋体"/>
                <w:color w:val="000000"/>
                <w:spacing w:val="-2"/>
                <w:highlight w:val="none"/>
              </w:rPr>
            </w:pPr>
            <w:r>
              <w:rPr>
                <w:rFonts w:hint="eastAsia"/>
              </w:rPr>
              <w:t xml:space="preserve">4.1</w:t>
            </w:r>
            <w:r/>
          </w:p>
        </w:tc>
        <w:tc>
          <w:tcPr>
            <w:tcW w:w="1179" w:type="dxa"/>
            <w:vAlign w:val="center"/>
            <w:textDirection w:val="lrTb"/>
            <w:noWrap w:val="false"/>
          </w:tcPr>
          <w:p>
            <w:pPr>
              <w:jc w:val="center"/>
              <w:rPr>
                <w:rFonts w:hint="eastAsia" w:ascii="Times New Roman" w:hAnsi="Times New Roman" w:eastAsia="宋体" w:cs="Times New Roman"/>
                <w:color w:val="000000"/>
                <w:spacing w:val="0"/>
                <w:highlight w:val="none"/>
                <w:lang w:val="en-US" w:eastAsia="zh-CN"/>
              </w:rPr>
            </w:pPr>
            <w:r>
              <w:rPr>
                <w:rFonts w:hint="eastAsia"/>
              </w:rPr>
              <w:t xml:space="preserve">本地化服务</w:t>
            </w:r>
            <w:r/>
          </w:p>
        </w:tc>
        <w:tc>
          <w:tcPr>
            <w:tcW w:w="6474" w:type="dxa"/>
            <w:vAlign w:val="center"/>
            <w:textDirection w:val="lrTb"/>
            <w:noWrap w:val="false"/>
          </w:tcPr>
          <w:p>
            <w:pPr>
              <w:rPr>
                <w:color w:val="000000"/>
                <w:highlight w:val="none"/>
                <w:lang w:val="en-US" w:eastAsia="zh-CN"/>
              </w:rPr>
            </w:pPr>
            <w:r>
              <w:rPr>
                <w:rFonts w:hint="eastAsia"/>
              </w:rPr>
              <w:t xml:space="preserve">供应商具有本地化服务能力的得1分，未提供的不得分（提供书面承诺书或有效证明材料）。</w:t>
            </w:r>
            <w:r/>
          </w:p>
        </w:tc>
        <w:tc>
          <w:tcPr>
            <w:tcW w:w="503" w:type="dxa"/>
            <w:vAlign w:val="center"/>
            <w:textDirection w:val="lrTb"/>
            <w:noWrap w:val="false"/>
          </w:tcPr>
          <w:p>
            <w:pPr>
              <w:jc w:val="center"/>
              <w:rPr>
                <w:rFonts w:ascii="宋体" w:hAnsi="宋体" w:eastAsia="宋体" w:cs="宋体"/>
                <w:color w:val="000000"/>
                <w:sz w:val="21"/>
                <w:szCs w:val="22"/>
                <w:highlight w:val="none"/>
                <w:lang w:val="en-US" w:eastAsia="zh-CN" w:bidi="ar-SA"/>
              </w:rPr>
            </w:pPr>
            <w:r>
              <w:rPr>
                <w:rFonts w:hint="eastAsia"/>
              </w:rPr>
              <w:t xml:space="preserve">1</w:t>
            </w:r>
            <w:r/>
          </w:p>
        </w:tc>
        <w:tc>
          <w:tcPr>
            <w:tcW w:w="900" w:type="dxa"/>
            <w:vAlign w:val="center"/>
            <w:textDirection w:val="lrTb"/>
            <w:noWrap w:val="false"/>
          </w:tcPr>
          <w:p>
            <w:pPr>
              <w:jc w:val="center"/>
              <w:rPr>
                <w:rFonts w:ascii="宋体" w:hAnsi="宋体" w:eastAsia="宋体" w:cs="宋体"/>
                <w:color w:val="000000"/>
                <w:highlight w:val="none"/>
              </w:rPr>
            </w:pPr>
            <w:r>
              <w:rPr>
                <w:rFonts w:hint="eastAsia"/>
              </w:rPr>
              <w:t xml:space="preserve">客观分</w:t>
            </w:r>
            <w:r/>
          </w:p>
        </w:tc>
      </w:tr>
      <w:tr>
        <w:trPr>
          <w:jc w:val="center"/>
          <w:trHeight w:val="387"/>
        </w:trPr>
        <w:tc>
          <w:tcPr>
            <w:shd w:val="clear" w:color="auto" w:fill="auto"/>
            <w:tcW w:w="51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4.2</w:t>
            </w:r>
            <w:r/>
          </w:p>
        </w:tc>
        <w:tc>
          <w:tcPr>
            <w:shd w:val="clear" w:color="auto" w:fill="auto"/>
            <w:tcW w:w="1179" w:type="dxa"/>
            <w:vAlign w:val="center"/>
            <w:textDirection w:val="lrTb"/>
            <w:noWrap w:val="false"/>
          </w:tcPr>
          <w:p>
            <w:pPr>
              <w:jc w:val="center"/>
              <w:rPr>
                <w:rFonts w:hint="eastAsia"/>
              </w:rPr>
            </w:pPr>
            <w:r>
              <w:rPr>
                <w:rFonts w:hint="eastAsia"/>
              </w:rPr>
              <w:t xml:space="preserve">数据安全</w:t>
            </w:r>
            <w:r/>
          </w:p>
          <w:p>
            <w:pPr>
              <w:jc w:val="center"/>
              <w:rPr>
                <w:rFonts w:hint="eastAsia" w:ascii="Times New Roman" w:hAnsi="Times New Roman" w:eastAsia="宋体" w:cs="Times New Roman"/>
                <w:sz w:val="21"/>
                <w:szCs w:val="22"/>
                <w:lang w:val="en-US" w:eastAsia="zh-CN" w:bidi="ar-SA"/>
              </w:rPr>
            </w:pPr>
            <w:r>
              <w:rPr>
                <w:rFonts w:hint="eastAsia"/>
              </w:rPr>
              <w:t xml:space="preserve">保证</w:t>
            </w:r>
            <w:r/>
          </w:p>
        </w:tc>
        <w:tc>
          <w:tcPr>
            <w:shd w:val="clear" w:color="auto" w:fill="auto"/>
            <w:tcW w:w="6474" w:type="dxa"/>
            <w:vAlign w:val="center"/>
            <w:textDirection w:val="lrTb"/>
            <w:noWrap w:val="false"/>
          </w:tcPr>
          <w:p>
            <w:pPr>
              <w:rPr>
                <w:rFonts w:hint="eastAsia" w:ascii="Times New Roman" w:hAnsi="Times New Roman" w:eastAsia="宋体" w:cs="Times New Roman"/>
                <w:sz w:val="21"/>
                <w:szCs w:val="22"/>
                <w:lang w:val="en-US" w:eastAsia="zh-CN" w:bidi="ar-SA"/>
              </w:rPr>
            </w:pPr>
            <w:r>
              <w:rPr>
                <w:rFonts w:hint="eastAsia"/>
              </w:rPr>
              <w:t xml:space="preserve">为保证项目服务实施过程的安全性，避免在更新/升级/迁移过程中存在未知的数据安全风险，防止恢复过程中数据泄露，供应商需提供数据恢复服务（签订合同时提供国家信息中心出具的数据恢复服务承诺函），服务费用包含在总报价中。上述所有要求，供应商提供书面承诺函（格式自拟）并加盖供应商公章的得5分，未提供的不得分。</w:t>
            </w:r>
            <w:r/>
          </w:p>
        </w:tc>
        <w:tc>
          <w:tcPr>
            <w:shd w:val="clear" w:color="auto" w:fill="auto"/>
            <w:tcW w:w="503"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5</w:t>
            </w:r>
            <w:r/>
          </w:p>
        </w:tc>
        <w:tc>
          <w:tcPr>
            <w:shd w:val="clear" w:color="auto" w:fill="auto"/>
            <w:tcW w:w="900"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客观分</w:t>
            </w:r>
            <w:r/>
          </w:p>
        </w:tc>
      </w:tr>
      <w:tr>
        <w:trPr>
          <w:jc w:val="center"/>
          <w:trHeight w:val="387"/>
        </w:trPr>
        <w:tc>
          <w:tcPr>
            <w:shd w:val="clear" w:color="auto" w:fill="auto"/>
            <w:tcW w:w="51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4</w:t>
            </w:r>
            <w:r>
              <w:t xml:space="preserve">.</w:t>
            </w:r>
            <w:r>
              <w:rPr>
                <w:rFonts w:hint="eastAsia"/>
              </w:rPr>
              <w:t xml:space="preserve">3</w:t>
            </w:r>
            <w:r/>
          </w:p>
        </w:tc>
        <w:tc>
          <w:tcPr>
            <w:shd w:val="clear" w:color="auto" w:fill="auto"/>
            <w:tcW w:w="1179" w:type="dxa"/>
            <w:vAlign w:val="center"/>
            <w:textDirection w:val="lrTb"/>
            <w:noWrap w:val="false"/>
          </w:tcPr>
          <w:p>
            <w:pPr>
              <w:numPr>
                <w:ilvl w:val="0"/>
                <w:numId w:val="0"/>
              </w:numPr>
              <w:jc w:val="center"/>
              <w:rPr>
                <w:rFonts w:hint="eastAsia" w:ascii="Times New Roman" w:hAnsi="Times New Roman" w:cs="Times New Roman"/>
                <w:lang w:val="en-US" w:eastAsia="zh-CN"/>
              </w:rPr>
            </w:pPr>
            <w:r>
              <w:rPr>
                <w:rFonts w:hint="eastAsia" w:ascii="Times New Roman" w:hAnsi="Times New Roman" w:cs="Times New Roman"/>
                <w:lang w:val="en-US" w:eastAsia="zh-CN"/>
              </w:rPr>
              <w:t xml:space="preserve">项目经理</w:t>
            </w:r>
            <w:r/>
          </w:p>
          <w:p>
            <w:pPr>
              <w:numPr>
                <w:ilvl w:val="0"/>
                <w:numId w:val="0"/>
              </w:numPr>
              <w:jc w:val="center"/>
              <w:rPr>
                <w:rFonts w:hint="eastAsia" w:ascii="Times New Roman" w:hAnsi="Times New Roman" w:cs="Times New Roman"/>
                <w:lang w:val="en-US" w:eastAsia="zh-CN"/>
              </w:rPr>
            </w:pPr>
            <w:r>
              <w:rPr>
                <w:rFonts w:hint="eastAsia" w:ascii="Times New Roman" w:hAnsi="Times New Roman" w:cs="Times New Roman"/>
                <w:lang w:val="en-US" w:eastAsia="zh-CN"/>
              </w:rPr>
              <w:t xml:space="preserve">能力</w:t>
            </w:r>
            <w:r/>
          </w:p>
        </w:tc>
        <w:tc>
          <w:tcPr>
            <w:shd w:val="clear" w:color="auto" w:fill="auto"/>
            <w:tcW w:w="6474" w:type="dxa"/>
            <w:vAlign w:val="center"/>
            <w:textDirection w:val="lrTb"/>
            <w:noWrap w:val="false"/>
          </w:tcPr>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供应商拟投入本项目的项目经理具备以下证书：</w:t>
            </w:r>
            <w:r/>
          </w:p>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1、建造师（通信与广电工程），一级得1分，二级得0.5分。未提供不得分。</w:t>
            </w:r>
            <w:r/>
          </w:p>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2、信息系统项目管理师得1分，未提供不得分。</w:t>
            </w:r>
            <w:r/>
          </w:p>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3、IT服务工程师（ITSS）得1分，未提供不得分。</w:t>
            </w:r>
            <w:r/>
          </w:p>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4、CISAW信息安全保障人员认证证书（安全软件〔SS〕</w:t>
            </w:r>
            <w:r>
              <w:rPr>
                <w:rFonts w:hint="eastAsia" w:cs="Times New Roman"/>
                <w:lang w:val="en-US" w:eastAsia="zh-CN"/>
              </w:rPr>
              <w:t xml:space="preserve">）</w:t>
            </w:r>
            <w:r>
              <w:rPr>
                <w:rFonts w:hint="eastAsia" w:ascii="Times New Roman" w:hAnsi="Times New Roman" w:cs="Times New Roman"/>
                <w:lang w:val="en-US" w:eastAsia="zh-CN"/>
              </w:rPr>
              <w:t xml:space="preserve">专业得1分，其它专业得0.5分，未提供不得分。</w:t>
            </w:r>
            <w:r/>
          </w:p>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5、电子信息工程师（高级）得1分，其它等级得0.5分，未提供不得分。</w:t>
            </w:r>
            <w:r/>
          </w:p>
          <w:p>
            <w:pPr>
              <w:numPr>
                <w:ilvl w:val="0"/>
                <w:numId w:val="0"/>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满分5分（提供证书及社保机构出具的响应截止时间前六个月内任意一个月供应商为其缴纳的社保缴费证明【加盖社保公章或具有可验证的二维码（或验证码）】，未提供不得分）。</w:t>
            </w:r>
            <w:r/>
          </w:p>
        </w:tc>
        <w:tc>
          <w:tcPr>
            <w:shd w:val="clear" w:color="auto" w:fill="auto"/>
            <w:tcW w:w="503"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lang w:val="en-US" w:eastAsia="zh-CN"/>
              </w:rPr>
              <w:t xml:space="preserve">5</w:t>
            </w:r>
            <w:r/>
          </w:p>
        </w:tc>
        <w:tc>
          <w:tcPr>
            <w:shd w:val="clear" w:color="auto" w:fill="auto"/>
            <w:tcW w:w="900"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客观分</w:t>
            </w:r>
            <w:r/>
          </w:p>
        </w:tc>
      </w:tr>
      <w:tr>
        <w:trPr>
          <w:jc w:val="center"/>
          <w:trHeight w:val="387"/>
        </w:trPr>
        <w:tc>
          <w:tcPr>
            <w:shd w:val="clear" w:color="auto" w:fill="auto"/>
            <w:tcW w:w="51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4.4</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技术负责人能力</w:t>
            </w:r>
            <w:r/>
          </w:p>
        </w:tc>
        <w:tc>
          <w:tcPr>
            <w:shd w:val="clear" w:color="auto" w:fill="auto"/>
            <w:tcW w:w="6474" w:type="dxa"/>
            <w:vAlign w:val="center"/>
            <w:textDirection w:val="lrTb"/>
            <w:noWrap w:val="false"/>
          </w:tcPr>
          <w:p>
            <w:pPr>
              <w:rPr>
                <w:rFonts w:hint="eastAsia"/>
                <w:lang w:val="en-US" w:eastAsia="zh-CN"/>
              </w:rPr>
            </w:pPr>
            <w:r>
              <w:rPr>
                <w:rFonts w:hint="eastAsia"/>
              </w:rPr>
              <w:t xml:space="preserve">供应商拟投入本项目的技术负责人具有</w:t>
            </w:r>
            <w:r>
              <w:rPr>
                <w:rFonts w:hint="eastAsia"/>
                <w:lang w:val="en-US" w:eastAsia="zh-CN"/>
              </w:rPr>
              <w:t xml:space="preserve">以下证书：</w:t>
            </w:r>
            <w:r/>
          </w:p>
          <w:p>
            <w:pPr>
              <w:numPr>
                <w:ilvl w:val="0"/>
                <w:numId w:val="0"/>
              </w:numPr>
              <w:rPr>
                <w:rFonts w:hint="eastAsia"/>
              </w:rPr>
            </w:pPr>
            <w:r>
              <w:rPr>
                <w:rFonts w:hint="eastAsia"/>
                <w:lang w:val="en-US" w:eastAsia="zh-CN"/>
              </w:rPr>
              <w:t xml:space="preserve">1、</w:t>
            </w:r>
            <w:r>
              <w:rPr>
                <w:rFonts w:hint="eastAsia"/>
              </w:rPr>
              <w:t xml:space="preserve">建造师（通信与广电工程）一级得1分，二级得0.5分。未提供不得分。</w:t>
            </w:r>
            <w:r/>
          </w:p>
          <w:p>
            <w:pPr>
              <w:numPr>
                <w:ilvl w:val="0"/>
                <w:numId w:val="0"/>
              </w:numPr>
            </w:pPr>
            <w:r>
              <w:rPr>
                <w:rFonts w:hint="eastAsia"/>
                <w:lang w:val="en-US" w:eastAsia="zh-CN"/>
              </w:rPr>
              <w:t xml:space="preserve">2、</w:t>
            </w:r>
            <w:r>
              <w:rPr>
                <w:rFonts w:hint="eastAsia"/>
              </w:rPr>
              <w:t xml:space="preserve">IT服务工程师（ITSS）</w:t>
            </w:r>
            <w:r>
              <w:rPr>
                <w:rFonts w:hint="eastAsia"/>
                <w:lang w:val="en-US" w:eastAsia="zh-CN"/>
              </w:rPr>
              <w:t xml:space="preserve">得1分，未提供不得分。</w:t>
            </w:r>
            <w:r/>
          </w:p>
          <w:p>
            <w:pPr>
              <w:numPr>
                <w:ilvl w:val="0"/>
                <w:numId w:val="0"/>
              </w:numPr>
            </w:pPr>
            <w:r>
              <w:rPr>
                <w:rFonts w:hint="eastAsia"/>
                <w:lang w:val="en-US" w:eastAsia="zh-CN"/>
              </w:rPr>
              <w:t xml:space="preserve">3、</w:t>
            </w:r>
            <w:r>
              <w:rPr>
                <w:rFonts w:hint="eastAsia"/>
              </w:rPr>
              <w:t xml:space="preserve">注册信息安全专业人员（CISP）</w:t>
            </w:r>
            <w:r>
              <w:rPr>
                <w:rFonts w:hint="eastAsia"/>
                <w:lang w:val="en-US" w:eastAsia="zh-CN"/>
              </w:rPr>
              <w:t xml:space="preserve">得1分，未提供不得分。</w:t>
            </w:r>
            <w:r/>
          </w:p>
          <w:p>
            <w:pPr>
              <w:rPr>
                <w:rFonts w:hint="eastAsia" w:ascii="Times New Roman" w:hAnsi="Times New Roman" w:cs="Times New Roman"/>
                <w:lang w:val="en-US" w:eastAsia="zh-CN"/>
              </w:rPr>
            </w:pPr>
            <w:r>
              <w:rPr>
                <w:rFonts w:hint="eastAsia"/>
                <w:lang w:val="en-US" w:eastAsia="zh-CN"/>
              </w:rPr>
              <w:t xml:space="preserve">4、</w:t>
            </w:r>
            <w:r>
              <w:rPr>
                <w:rFonts w:hint="eastAsia"/>
              </w:rPr>
              <w:t xml:space="preserve">C</w:t>
            </w:r>
            <w:r>
              <w:rPr>
                <w:rFonts w:hint="eastAsia" w:ascii="Times New Roman" w:hAnsi="Times New Roman" w:cs="Times New Roman"/>
                <w:lang w:val="en-US" w:eastAsia="zh-CN"/>
              </w:rPr>
              <w:t xml:space="preserve">ISAW信息安全保障人员认证证书（安全集成〔SI〕）专业得1分，其它专业得0.5分，未提供不得分。</w:t>
            </w:r>
            <w:r/>
          </w:p>
          <w:p>
            <w:pPr>
              <w:rPr>
                <w:rFonts w:hint="eastAsia" w:ascii="Times New Roman" w:hAnsi="Times New Roman" w:cs="Times New Roman"/>
                <w:lang w:val="en-US" w:eastAsia="zh-CN"/>
              </w:rPr>
            </w:pPr>
            <w:r>
              <w:rPr>
                <w:rFonts w:hint="eastAsia" w:ascii="Times New Roman" w:hAnsi="Times New Roman" w:cs="Times New Roman"/>
                <w:lang w:val="en-US" w:eastAsia="zh-CN"/>
              </w:rPr>
              <w:t xml:space="preserve">5、网络工程师证书得1分，未提供不得分。</w:t>
            </w:r>
            <w:r/>
          </w:p>
          <w:p>
            <w:pPr>
              <w:rPr>
                <w:rFonts w:hint="eastAsia" w:ascii="Times New Roman" w:hAnsi="Times New Roman" w:eastAsia="宋体" w:cs="Times New Roman"/>
                <w:sz w:val="21"/>
                <w:szCs w:val="22"/>
                <w:lang w:val="en-US" w:eastAsia="zh-CN" w:bidi="ar-SA"/>
              </w:rPr>
            </w:pPr>
            <w:r>
              <w:rPr>
                <w:rFonts w:hint="eastAsia" w:ascii="Times New Roman" w:hAnsi="Times New Roman" w:cs="Times New Roman"/>
                <w:lang w:val="en-US" w:eastAsia="zh-CN"/>
              </w:rPr>
              <w:t xml:space="preserve">满分5分（提供证书及</w:t>
            </w:r>
            <w:r>
              <w:rPr>
                <w:rFonts w:hint="eastAsia"/>
              </w:rPr>
              <w:t xml:space="preserve">社保机构出具的响应截止时间前六个月内任意一个月供应商为其缴纳的社保缴费证明【加盖社保公章或具有可验证的二维码（或验证码）】，未提供不得分）。</w:t>
            </w:r>
            <w:r/>
          </w:p>
        </w:tc>
        <w:tc>
          <w:tcPr>
            <w:shd w:val="clear" w:color="auto" w:fill="auto"/>
            <w:tcW w:w="503"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lang w:val="en-US" w:eastAsia="zh-CN"/>
              </w:rPr>
              <w:t xml:space="preserve">5</w:t>
            </w:r>
            <w:r/>
          </w:p>
        </w:tc>
        <w:tc>
          <w:tcPr>
            <w:shd w:val="clear" w:color="auto" w:fill="auto"/>
            <w:tcW w:w="900"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客观分</w:t>
            </w:r>
            <w:r/>
          </w:p>
        </w:tc>
      </w:tr>
      <w:tr>
        <w:trPr>
          <w:jc w:val="center"/>
          <w:trHeight w:val="387"/>
        </w:trPr>
        <w:tc>
          <w:tcPr>
            <w:shd w:val="clear" w:color="auto" w:fill="auto"/>
            <w:tcW w:w="519"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4.5</w:t>
            </w:r>
            <w:r/>
          </w:p>
        </w:tc>
        <w:tc>
          <w:tcPr>
            <w:shd w:val="clear" w:color="auto" w:fill="auto"/>
            <w:tcW w:w="1179" w:type="dxa"/>
            <w:vAlign w:val="center"/>
            <w:textDirection w:val="lrTb"/>
            <w:noWrap w:val="false"/>
          </w:tcPr>
          <w:p>
            <w:pPr>
              <w:jc w:val="center"/>
              <w:rPr>
                <w:rFonts w:hint="eastAsia"/>
                <w:highlight w:val="none"/>
                <w:lang w:val="en-US" w:eastAsia="zh-CN"/>
              </w:rPr>
            </w:pPr>
            <w:r>
              <w:rPr>
                <w:rFonts w:hint="eastAsia"/>
                <w:highlight w:val="none"/>
              </w:rPr>
              <w:t xml:space="preserve">运维</w:t>
            </w:r>
            <w:r>
              <w:rPr>
                <w:rFonts w:hint="eastAsia"/>
                <w:highlight w:val="none"/>
                <w:lang w:val="en-US" w:eastAsia="zh-CN"/>
              </w:rPr>
              <w:t xml:space="preserve">团队</w:t>
            </w:r>
            <w:r/>
          </w:p>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val="en-US" w:eastAsia="zh-CN"/>
              </w:rPr>
              <w:t xml:space="preserve">成员能力</w:t>
            </w:r>
            <w:r/>
          </w:p>
        </w:tc>
        <w:tc>
          <w:tcPr>
            <w:shd w:val="clear" w:color="auto" w:fill="auto"/>
            <w:tcW w:w="6474" w:type="dxa"/>
            <w:vAlign w:val="center"/>
            <w:textDirection w:val="lrTb"/>
            <w:noWrap w:val="false"/>
          </w:tcPr>
          <w:p>
            <w:pPr>
              <w:rPr>
                <w:highlight w:val="none"/>
              </w:rPr>
            </w:pPr>
            <w:r>
              <w:rPr>
                <w:rFonts w:hint="eastAsia"/>
                <w:highlight w:val="none"/>
              </w:rPr>
              <w:t xml:space="preserve">供应商投入项目的运维</w:t>
            </w:r>
            <w:r>
              <w:rPr>
                <w:rFonts w:hint="eastAsia"/>
                <w:highlight w:val="none"/>
                <w:lang w:val="en-US" w:eastAsia="zh-CN"/>
              </w:rPr>
              <w:t xml:space="preserve">团队成员</w:t>
            </w:r>
            <w:r>
              <w:rPr>
                <w:rFonts w:hint="eastAsia"/>
                <w:highlight w:val="none"/>
              </w:rPr>
              <w:t xml:space="preserve">（除项目经理、技术负责人外）具有网络工程师证书或HCIE证书或数据库管理工程师或注册信息安全专业人员（CISP）</w:t>
            </w:r>
            <w:r>
              <w:rPr>
                <w:rFonts w:hint="eastAsia"/>
                <w:highlight w:val="none"/>
                <w:lang w:val="en-US" w:eastAsia="zh-CN"/>
              </w:rPr>
              <w:t xml:space="preserve">或CISAW信息安全保障人员认证证书，</w:t>
            </w:r>
            <w:r>
              <w:rPr>
                <w:rFonts w:hint="eastAsia"/>
                <w:highlight w:val="none"/>
              </w:rPr>
              <w:t xml:space="preserve">每提供一个证书得2分，最多得</w:t>
            </w:r>
            <w:r>
              <w:rPr>
                <w:rFonts w:hint="eastAsia"/>
                <w:highlight w:val="none"/>
                <w:lang w:val="en-US" w:eastAsia="zh-CN"/>
              </w:rPr>
              <w:t xml:space="preserve">10</w:t>
            </w:r>
            <w:r>
              <w:rPr>
                <w:rFonts w:hint="eastAsia"/>
                <w:highlight w:val="none"/>
              </w:rPr>
              <w:t xml:space="preserve">分，一人多证不重复计分。 </w:t>
            </w:r>
            <w:r/>
          </w:p>
          <w:p>
            <w:pPr>
              <w:rPr>
                <w:rFonts w:hint="eastAsia" w:ascii="Times New Roman" w:hAnsi="Times New Roman" w:eastAsia="宋体" w:cs="Times New Roman"/>
                <w:sz w:val="21"/>
                <w:szCs w:val="22"/>
                <w:highlight w:val="none"/>
                <w:lang w:val="en-US" w:eastAsia="zh-CN" w:bidi="ar-SA"/>
              </w:rPr>
            </w:pPr>
            <w:r>
              <w:rPr>
                <w:rFonts w:hint="eastAsia"/>
                <w:highlight w:val="none"/>
              </w:rPr>
              <w:t xml:space="preserve">（提供证书及社保机构出具的响应截止时间前六个月内任意一个月供应商为其缴纳的社保缴费证明【加盖社保公章或具有可验证的二维码（或验证码）】，未提供不得分）</w:t>
            </w:r>
            <w:r>
              <w:rPr>
                <w:rFonts w:hint="eastAsia"/>
                <w:highlight w:val="none"/>
                <w:lang w:eastAsia="zh-CN"/>
              </w:rPr>
              <w:t xml:space="preserve">。</w:t>
            </w:r>
            <w:r/>
          </w:p>
        </w:tc>
        <w:tc>
          <w:tcPr>
            <w:shd w:val="clear" w:color="auto" w:fill="auto"/>
            <w:tcW w:w="503" w:type="dxa"/>
            <w:vAlign w:val="center"/>
            <w:textDirection w:val="lrTb"/>
            <w:noWrap w:val="false"/>
          </w:tcPr>
          <w:p>
            <w:pPr>
              <w:jc w:val="center"/>
              <w:rPr>
                <w:rFonts w:hint="default" w:ascii="Times New Roman" w:hAnsi="Times New Roman" w:eastAsia="宋体" w:cs="Times New Roman"/>
                <w:sz w:val="21"/>
                <w:szCs w:val="22"/>
                <w:lang w:val="en-US" w:eastAsia="zh-CN" w:bidi="ar-SA"/>
              </w:rPr>
            </w:pPr>
            <w:r>
              <w:rPr>
                <w:rFonts w:hint="eastAsia" w:cs="Times New Roman"/>
                <w:sz w:val="21"/>
                <w:szCs w:val="22"/>
                <w:lang w:val="en-US" w:eastAsia="zh-CN" w:bidi="ar-SA"/>
              </w:rPr>
              <w:t xml:space="preserve">10</w:t>
            </w:r>
            <w:r/>
          </w:p>
        </w:tc>
        <w:tc>
          <w:tcPr>
            <w:shd w:val="clear" w:color="auto" w:fill="auto"/>
            <w:tcW w:w="900" w:type="dxa"/>
            <w:vAlign w:val="center"/>
            <w:textDirection w:val="lrTb"/>
            <w:noWrap w:val="false"/>
          </w:tcPr>
          <w:p>
            <w:pPr>
              <w:jc w:val="center"/>
              <w:rPr>
                <w:rFonts w:hint="eastAsia" w:ascii="Times New Roman" w:hAnsi="Times New Roman" w:eastAsia="宋体" w:cs="Times New Roman"/>
                <w:sz w:val="21"/>
                <w:szCs w:val="22"/>
                <w:lang w:val="en-US" w:eastAsia="zh-CN" w:bidi="ar-SA"/>
              </w:rPr>
            </w:pPr>
            <w:r>
              <w:rPr>
                <w:rFonts w:hint="eastAsia"/>
              </w:rPr>
              <w:t xml:space="preserve">客观分</w:t>
            </w:r>
            <w:r/>
          </w:p>
        </w:tc>
      </w:tr>
      <w:tr>
        <w:trPr>
          <w:jc w:val="center"/>
          <w:trHeight w:val="383"/>
        </w:trPr>
        <w:tc>
          <w:tcPr>
            <w:tcW w:w="519" w:type="dxa"/>
            <w:vAlign w:val="center"/>
            <w:textDirection w:val="lrTb"/>
            <w:noWrap w:val="false"/>
          </w:tcPr>
          <w:p>
            <w:pPr>
              <w:jc w:val="center"/>
              <w:rPr>
                <w:rFonts w:ascii="宋体" w:hAnsi="宋体" w:eastAsia="宋体" w:cs="宋体"/>
                <w:color w:val="000000"/>
                <w:spacing w:val="-2"/>
                <w:highlight w:val="none"/>
              </w:rPr>
            </w:pPr>
            <w:r>
              <w:rPr>
                <w:rFonts w:hint="eastAsia"/>
              </w:rPr>
              <w:t xml:space="preserve">4.6</w:t>
            </w:r>
            <w:r/>
          </w:p>
        </w:tc>
        <w:tc>
          <w:tcPr>
            <w:tcW w:w="1179" w:type="dxa"/>
            <w:vAlign w:val="center"/>
            <w:textDirection w:val="lrTb"/>
            <w:noWrap w:val="false"/>
          </w:tcPr>
          <w:p>
            <w:pPr>
              <w:jc w:val="center"/>
              <w:rPr>
                <w:rFonts w:hint="eastAsia" w:ascii="Times New Roman" w:hAnsi="Times New Roman" w:eastAsia="宋体" w:cs="Times New Roman"/>
                <w:color w:val="000000"/>
                <w:spacing w:val="0"/>
                <w:highlight w:val="none"/>
                <w:lang w:val="en-US" w:eastAsia="zh-CN"/>
              </w:rPr>
            </w:pPr>
            <w:r>
              <w:rPr>
                <w:rFonts w:hint="eastAsia"/>
              </w:rPr>
              <w:t xml:space="preserve">企业</w:t>
            </w:r>
            <w:r>
              <w:rPr>
                <w:rFonts w:hint="eastAsia"/>
                <w:lang w:eastAsia="zh-CN"/>
              </w:rPr>
              <w:t xml:space="preserve">证书</w:t>
            </w:r>
            <w:r/>
          </w:p>
        </w:tc>
        <w:tc>
          <w:tcPr>
            <w:tcW w:w="6474" w:type="dxa"/>
            <w:vAlign w:val="center"/>
            <w:textDirection w:val="lrTb"/>
            <w:noWrap w:val="false"/>
          </w:tcPr>
          <w:p>
            <w:pPr>
              <w:rPr>
                <w:rFonts w:hint="eastAsia" w:eastAsia="宋体"/>
                <w:highlight w:val="none"/>
                <w:lang w:val="en-US" w:eastAsia="zh-CN"/>
              </w:rPr>
            </w:pPr>
            <w:r>
              <w:rPr>
                <w:rFonts w:hint="eastAsia"/>
                <w:highlight w:val="none"/>
              </w:rPr>
              <w:t xml:space="preserve">1、供应商具有服务质量服务认证证书</w:t>
            </w:r>
            <w:r>
              <w:rPr>
                <w:rFonts w:hint="eastAsia"/>
                <w:highlight w:val="none"/>
                <w:lang w:val="en-US" w:eastAsia="zh-CN"/>
              </w:rPr>
              <w:t xml:space="preserve">5A级</w:t>
            </w:r>
            <w:r>
              <w:rPr>
                <w:rFonts w:hint="eastAsia"/>
                <w:highlight w:val="none"/>
              </w:rPr>
              <w:t xml:space="preserve">得2分，</w:t>
            </w:r>
            <w:r>
              <w:rPr>
                <w:rFonts w:hint="eastAsia"/>
                <w:highlight w:val="none"/>
                <w:lang w:val="en-US" w:eastAsia="zh-CN"/>
              </w:rPr>
              <w:t xml:space="preserve">其它等级得1分。</w:t>
            </w:r>
            <w:r>
              <w:rPr>
                <w:rFonts w:hint="eastAsia"/>
                <w:highlight w:val="none"/>
              </w:rPr>
              <w:t xml:space="preserve">未提供不得分</w:t>
            </w:r>
            <w:r>
              <w:rPr>
                <w:rFonts w:hint="eastAsia"/>
                <w:highlight w:val="none"/>
                <w:lang w:eastAsia="zh-CN"/>
              </w:rPr>
              <w:t xml:space="preserve">。</w:t>
            </w:r>
            <w:r/>
          </w:p>
          <w:p>
            <w:pPr>
              <w:rPr>
                <w:highlight w:val="none"/>
              </w:rPr>
            </w:pPr>
            <w:r>
              <w:rPr>
                <w:rFonts w:hint="eastAsia"/>
                <w:highlight w:val="none"/>
              </w:rPr>
              <w:t xml:space="preserve">2、供应商具有售后服务认证证书五星级得2分，其它等级得1分。未提供不得分。</w:t>
            </w:r>
            <w:r/>
          </w:p>
          <w:p>
            <w:pPr>
              <w:rPr>
                <w:rFonts w:hint="eastAsia" w:ascii="宋体" w:hAnsi="宋体" w:eastAsia="宋体" w:cs="宋体"/>
                <w:color w:val="000000"/>
                <w:sz w:val="21"/>
                <w:szCs w:val="22"/>
                <w:highlight w:val="none"/>
                <w:lang w:val="en-US" w:eastAsia="zh-CN" w:bidi="ar-SA"/>
              </w:rPr>
            </w:pPr>
            <w:r>
              <w:rPr>
                <w:rFonts w:hint="eastAsia"/>
                <w:lang w:val="en-US" w:eastAsia="zh-CN"/>
              </w:rPr>
              <w:t xml:space="preserve">3</w:t>
            </w:r>
            <w:r>
              <w:rPr>
                <w:rFonts w:hint="eastAsia"/>
              </w:rPr>
              <w:t xml:space="preserve">、供应商具有ITSS信息技术服务标准符合性证书（运行维护）得2分，其他不得分。</w:t>
            </w:r>
            <w:r/>
          </w:p>
        </w:tc>
        <w:tc>
          <w:tcPr>
            <w:tcW w:w="503" w:type="dxa"/>
            <w:vAlign w:val="center"/>
            <w:textDirection w:val="lrTb"/>
            <w:noWrap w:val="false"/>
          </w:tcPr>
          <w:p>
            <w:pPr>
              <w:jc w:val="center"/>
              <w:rPr>
                <w:rFonts w:hint="eastAsia" w:ascii="宋体" w:hAnsi="宋体" w:eastAsia="宋体" w:cs="宋体"/>
                <w:sz w:val="21"/>
                <w:szCs w:val="22"/>
                <w:highlight w:val="none"/>
                <w:lang w:val="en-US" w:eastAsia="zh-CN" w:bidi="ar-SA"/>
              </w:rPr>
            </w:pPr>
            <w:r>
              <w:rPr>
                <w:rFonts w:hint="eastAsia"/>
                <w:lang w:val="en-US" w:eastAsia="zh-CN"/>
              </w:rPr>
              <w:t xml:space="preserve">6</w:t>
            </w:r>
            <w:r/>
          </w:p>
        </w:tc>
        <w:tc>
          <w:tcPr>
            <w:tcW w:w="900" w:type="dxa"/>
            <w:vAlign w:val="center"/>
            <w:textDirection w:val="lrTb"/>
            <w:noWrap w:val="false"/>
          </w:tcPr>
          <w:p>
            <w:pPr>
              <w:jc w:val="center"/>
              <w:rPr>
                <w:rFonts w:ascii="宋体" w:hAnsi="宋体" w:eastAsia="宋体" w:cs="宋体"/>
                <w:highlight w:val="none"/>
              </w:rPr>
            </w:pPr>
            <w:r>
              <w:rPr>
                <w:rFonts w:hint="eastAsi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653"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403" w:type="dxa"/>
            <w:vAlign w:val="center"/>
            <w:textDirection w:val="lrTb"/>
            <w:noWrap w:val="false"/>
          </w:tcPr>
          <w:p>
            <w:pPr>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88" w:lineRule="auto"/>
        <w:widowControl w:val="off"/>
        <w:rPr>
          <w:rFonts w:hint="eastAsia"/>
          <w:highlight w:val="none"/>
        </w:rPr>
      </w:pPr>
      <w:r>
        <w:rPr>
          <w:rFonts w:hint="eastAsia"/>
          <w:highlight w:val="none"/>
        </w:rPr>
      </w:r>
      <w:r/>
    </w:p>
    <w:p>
      <w:pPr>
        <w:pStyle w:val="953"/>
        <w:keepLines w:val="0"/>
        <w:keepNext w:val="0"/>
        <w:pageBreakBefore w:val="0"/>
        <w:spacing w:line="288" w:lineRule="auto"/>
        <w:widowControl w:val="off"/>
        <w:rPr>
          <w:rFonts w:hint="eastAsia"/>
          <w:highlight w:val="none"/>
        </w:rPr>
      </w:pPr>
      <w:r>
        <w:rPr>
          <w:rFonts w:hint="eastAsia"/>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78"/>
      <w:r/>
      <w:bookmarkEnd w:id="79"/>
      <w:r/>
      <w:bookmarkEnd w:id="87"/>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p>
    <w:p>
      <w:pPr>
        <w:jc w:val="center"/>
        <w:rPr>
          <w:rFonts w:hint="eastAsia" w:ascii="宋体" w:hAnsi="宋体"/>
          <w:b/>
          <w:sz w:val="72"/>
          <w:szCs w:val="21"/>
          <w:highlight w:val="none"/>
        </w:rPr>
      </w:pPr>
      <w:r/>
      <w:bookmarkStart w:id="89" w:name="_Hlt26671244"/>
      <w:r/>
      <w:bookmarkEnd w:id="89"/>
      <w:r/>
      <w:bookmarkStart w:id="90" w:name="_Hlt26955039"/>
      <w:r/>
      <w:bookmarkEnd w:id="90"/>
      <w:r/>
      <w:bookmarkStart w:id="91" w:name="_Toc26554094"/>
      <w:r/>
      <w:bookmarkStart w:id="92" w:name="_Toc120614282"/>
      <w:r/>
      <w:bookmarkStart w:id="93" w:name="_Toc49090576"/>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p>
    <w:p>
      <w:pPr>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p>
    <w:p>
      <w:pPr>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p>
    <w:p>
      <w:pPr>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jc w:val="both"/>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lang w:eastAsia="zh-CN"/>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cs="宋体"/>
          <w:b w:val="0"/>
          <w:bCs w:val="0"/>
          <w:i w:val="0"/>
          <w:sz w:val="28"/>
          <w:szCs w:val="28"/>
          <w:highlight w:val="none"/>
          <w:u w:val="none"/>
          <w:lang w:eastAsia="zh-CN"/>
        </w:rPr>
        <w:t xml:space="preserve">（如有）</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64"/>
        <w:ind w:firstLine="480"/>
        <w:spacing w:line="420" w:lineRule="exact"/>
        <w:rPr>
          <w:rFonts w:hint="eastAsia"/>
          <w:sz w:val="24"/>
          <w:szCs w:val="24"/>
          <w:highlight w:val="none"/>
        </w:rPr>
      </w:pPr>
      <w:r>
        <w:rPr>
          <w:rFonts w:hint="eastAsia"/>
          <w:sz w:val="24"/>
          <w:szCs w:val="24"/>
          <w:highlight w:val="none"/>
        </w:rPr>
      </w:r>
      <w:r/>
    </w:p>
    <w:p>
      <w:pPr>
        <w:pStyle w:val="964"/>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64"/>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p>
    <w:p>
      <w:pPr>
        <w:pStyle w:val="964"/>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6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p>
    <w:p>
      <w:pPr>
        <w:pStyle w:val="96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6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64"/>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64"/>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77"/>
        <w:ind w:firstLine="0"/>
        <w:rPr>
          <w:rFonts w:hint="eastAsia"/>
          <w:highlight w:val="none"/>
        </w:rPr>
      </w:pPr>
      <w:r>
        <w:rPr>
          <w:rFonts w:hint="eastAsia"/>
          <w:highlight w:val="none"/>
        </w:rPr>
      </w:r>
      <w:r/>
    </w:p>
    <w:p>
      <w:pPr>
        <w:pStyle w:val="96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6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6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6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64"/>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64"/>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p>
    <w:p>
      <w:pPr>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91"/>
      <w:r/>
      <w:bookmarkEnd w:id="92"/>
      <w:r/>
      <w:bookmarkEnd w:id="93"/>
      <w:r/>
      <w:bookmarkStart w:id="94" w:name="_Toc120614284"/>
      <w:r>
        <w:rPr>
          <w:rFonts w:hint="eastAsia" w:ascii="黑体" w:hAnsi="黑体" w:eastAsia="黑体" w:cs="Times New Roman"/>
          <w:i w:val="0"/>
          <w:color w:val="000000"/>
          <w:sz w:val="32"/>
          <w:szCs w:val="32"/>
          <w:highlight w:val="none"/>
          <w:u w:val="none"/>
          <w:lang w:val="en-US" w:eastAsia="zh-CN"/>
        </w:rPr>
        <w:t xml:space="preserve">三、磋商响应函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Cs w:val="21"/>
          <w:highlight w:val="none"/>
        </w:rPr>
        <w:t xml:space="preserve">                    （采购人名称）</w:t>
      </w:r>
      <w:r/>
    </w:p>
    <w:p>
      <w:pPr>
        <w:pStyle w:val="966"/>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向贵方提供所需服务（包含与货物相关的服务及与服务相关的货物）。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交付贵方验收、使用。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我</w:t>
      </w:r>
      <w:r>
        <w:rPr>
          <w:rFonts w:hint="eastAsia" w:ascii="宋体" w:hAnsi="宋体" w:eastAsia="宋体" w:cs="Times New Roman"/>
          <w:sz w:val="24"/>
          <w:szCs w:val="21"/>
          <w:highlight w:val="none"/>
          <w:lang w:eastAsia="zh-CN"/>
        </w:rPr>
        <w:t xml:space="preserve">方</w:t>
      </w:r>
      <w:r>
        <w:rPr>
          <w:rFonts w:hint="eastAsia" w:ascii="宋体" w:hAnsi="宋体" w:eastAsia="宋体" w:cs="Times New Roman"/>
          <w:sz w:val="24"/>
          <w:szCs w:val="21"/>
          <w:highlight w:val="none"/>
        </w:rPr>
        <w:t xml:space="preserve">为</w:t>
      </w:r>
      <w:r>
        <w:rPr>
          <w:rFonts w:hint="eastAsia" w:ascii="宋体" w:hAnsi="宋体" w:eastAsia="宋体" w:cs="Times New Roman"/>
          <w:sz w:val="24"/>
          <w:szCs w:val="21"/>
          <w:highlight w:val="none"/>
          <w:lang w:eastAsia="zh-CN"/>
        </w:rPr>
        <w:t xml:space="preserve">：</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大型企业</w:t>
      </w:r>
      <w:r>
        <w:rPr>
          <w:rFonts w:hint="eastAsia" w:ascii="宋体" w:hAnsi="宋体" w:eastAsia="宋体" w:cs="Times New Roman"/>
          <w:sz w:val="24"/>
          <w:szCs w:val="21"/>
          <w:highlight w:val="none"/>
          <w:lang w:val="en-US" w:eastAsia="zh-CN"/>
        </w:rPr>
        <w:t xml:space="preserve">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中型企业</w:t>
      </w:r>
      <w:r>
        <w:rPr>
          <w:rFonts w:hint="eastAsia" w:ascii="宋体" w:hAnsi="宋体" w:eastAsia="宋体" w:cs="Times New Roman"/>
          <w:sz w:val="24"/>
          <w:szCs w:val="21"/>
          <w:highlight w:val="none"/>
          <w:lang w:val="en-US" w:eastAsia="zh-CN"/>
        </w:rPr>
        <w:t xml:space="preserve">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小型企业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微型企业（在对应</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内</w:t>
      </w:r>
      <w:r>
        <w:rPr>
          <w:rFonts w:hint="eastAsia" w:ascii="宋体" w:hAnsi="宋体" w:eastAsia="宋体" w:cs="Times New Roman"/>
          <w:sz w:val="24"/>
          <w:szCs w:val="21"/>
          <w:highlight w:val="none"/>
          <w:lang w:val="zh-CN" w:eastAsia="zh-CN"/>
        </w:rPr>
        <w:t xml:space="preserve">打</w:t>
      </w:r>
      <w:r>
        <w:rPr>
          <w:rFonts w:hint="eastAsia" w:ascii="宋体" w:hAnsi="宋体" w:eastAsia="宋体" w:cs="Times New Roman"/>
          <w:sz w:val="24"/>
          <w:szCs w:val="21"/>
          <w:highlight w:val="none"/>
          <w:lang w:val="zh-CN"/>
        </w:rPr>
        <w:t xml:space="preserve">“√”</w:t>
      </w:r>
      <w:r>
        <w:rPr>
          <w:rFonts w:hint="eastAsia" w:ascii="宋体" w:hAnsi="宋体" w:eastAsia="宋体" w:cs="Times New Roman"/>
          <w:sz w:val="24"/>
          <w:szCs w:val="21"/>
          <w:highlight w:val="none"/>
          <w:lang w:val="en-US" w:eastAsia="zh-CN"/>
        </w:rPr>
        <w:t xml:space="preserve">）</w:t>
      </w:r>
      <w:r/>
    </w:p>
    <w:p>
      <w:pPr>
        <w:ind w:firstLine="480"/>
        <w:jc w:val="left"/>
        <w:keepLines w:val="0"/>
        <w:keepNext w:val="0"/>
        <w:pageBreakBefore w:val="0"/>
        <w:spacing w:line="360" w:lineRule="auto"/>
        <w:widowControl w:val="off"/>
        <w:rPr>
          <w:rFonts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8.我方为：</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民营企业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非民营企业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事业单位或其他组织（在对应</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内</w:t>
      </w:r>
      <w:r>
        <w:rPr>
          <w:rFonts w:hint="eastAsia" w:ascii="宋体" w:hAnsi="宋体" w:eastAsia="宋体" w:cs="Times New Roman"/>
          <w:sz w:val="24"/>
          <w:szCs w:val="21"/>
          <w:highlight w:val="none"/>
          <w:lang w:val="zh-CN"/>
        </w:rPr>
        <w:t xml:space="preserve">打“√”</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9</w:t>
      </w:r>
      <w:r>
        <w:rPr>
          <w:rFonts w:hint="eastAsia" w:ascii="宋体" w:hAnsi="宋体" w:eastAsia="宋体" w:cs="Times New Roman"/>
          <w:sz w:val="24"/>
          <w:szCs w:val="21"/>
          <w:highlight w:val="none"/>
        </w:rPr>
        <w:t xml:space="preserve">.我方与本磋商有关的正式通讯地址为：</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地  址：</w:t>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66"/>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66"/>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p>
    <w:p>
      <w:pPr>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p>
    <w:p>
      <w:pPr>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p>
    <w:p>
      <w:pPr>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sz w:val="24"/>
          <w:szCs w:val="24"/>
          <w:highlight w:val="none"/>
        </w:rPr>
        <w:t xml:space="preserve">                                 </w:t>
      </w:r>
      <w:r/>
    </w:p>
    <w:tbl>
      <w:tblPr>
        <w:tblStyle w:val="70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944"/>
        <w:ind w:firstLine="0"/>
        <w:rPr>
          <w:rFonts w:hint="eastAsia"/>
          <w:highlight w:val="none"/>
        </w:rPr>
      </w:pPr>
      <w:r>
        <w:rPr>
          <w:rFonts w:hint="eastAsia"/>
          <w:highlight w:val="none"/>
        </w:rPr>
      </w:r>
      <w:r/>
    </w:p>
    <w:p>
      <w:pPr>
        <w:pStyle w:val="953"/>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highlight w:val="none"/>
        </w:rPr>
      </w:pPr>
      <w:r>
        <w:rPr>
          <w:rFonts w:hint="eastAsia"/>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5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80"/>
      <w:r/>
      <w:bookmarkEnd w:id="81"/>
      <w:r/>
      <w:bookmarkEnd w:id="94"/>
      <w:r>
        <w:rPr>
          <w:rFonts w:hint="eastAsia" w:ascii="黑体" w:hAnsi="黑体" w:eastAsia="黑体" w:cs="Times New Roman"/>
          <w:i w:val="0"/>
          <w:iCs/>
          <w:color w:val="000000"/>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95" w:name="_Hlt26955064"/>
            <w:r/>
            <w:bookmarkEnd w:id="95"/>
            <w:r/>
            <w:bookmarkStart w:id="96" w:name="_Hlt26782999"/>
            <w:r/>
            <w:bookmarkEnd w:id="96"/>
            <w:r/>
            <w:bookmarkStart w:id="97" w:name="_Hlt26580838"/>
            <w:r/>
            <w:bookmarkEnd w:id="97"/>
            <w:r/>
            <w:bookmarkStart w:id="98" w:name="_Hlt26671343"/>
            <w:r/>
            <w:bookmarkEnd w:id="98"/>
            <w:r/>
            <w:bookmarkStart w:id="99" w:name="_Hlt26955056"/>
            <w:r/>
            <w:bookmarkEnd w:id="99"/>
            <w:r/>
            <w:bookmarkStart w:id="100" w:name="_Hlt24879081"/>
            <w:r/>
            <w:bookmarkEnd w:id="100"/>
            <w:r/>
            <w:bookmarkStart w:id="101" w:name="_Hlt26671372"/>
            <w:r/>
            <w:bookmarkEnd w:id="101"/>
            <w:r/>
            <w:bookmarkStart w:id="102" w:name="_Hlt26609391"/>
            <w:r/>
            <w:bookmarkEnd w:id="102"/>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38"/>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53"/>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5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50"/>
          <w:rFonts w:hint="eastAsia"/>
          <w:i w:val="0"/>
          <w:highlight w:val="none"/>
          <w:u w:val="single"/>
          <w:shd w:val="clear" w:color="auto" w:fill="ffffff"/>
        </w:rPr>
        <w:t xml:space="preserve">（产品名称1）</w:t>
      </w:r>
      <w:r>
        <w:rPr>
          <w:rStyle w:val="95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50"/>
          <w:rFonts w:hint="eastAsia"/>
          <w:i w:val="0"/>
          <w:highlight w:val="none"/>
          <w:u w:val="single"/>
          <w:shd w:val="clear" w:color="auto" w:fill="ffffff"/>
        </w:rPr>
        <w:t xml:space="preserve">（厂名）</w:t>
      </w:r>
      <w:r>
        <w:rPr>
          <w:rStyle w:val="95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Style w:val="95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Style w:val="95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Style w:val="95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5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5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938"/>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938"/>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938"/>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93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93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938"/>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103" w:name="OLE_LINK8"/>
      <w:r/>
      <w:bookmarkEnd w:id="103"/>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jc w:val="left"/>
        <w:keepLines w:val="0"/>
        <w:keepNext w:val="0"/>
        <w:pageBreakBefore w:val="0"/>
        <w:spacing w:line="360" w:lineRule="auto"/>
        <w:widowControl/>
        <w:rPr>
          <w:highlight w:val="none"/>
          <w:lang w:val="en-US"/>
        </w:rPr>
        <w:outlineLvl w:val="9"/>
      </w:pPr>
      <w:r>
        <w:rPr>
          <w:rFonts w:hint="eastAsia" w:ascii="宋体" w:hAnsi="宋体"/>
          <w:sz w:val="24"/>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p>
    <w:p>
      <w:pPr>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p>
    <w:tbl>
      <w:tblPr>
        <w:tblStyle w:val="9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３９</w:t>
    </w:r>
    <w:r>
      <w:rPr>
        <w:rFonts w:ascii="宋体" w:hAnsi="宋体"/>
      </w:rPr>
      <w:fldChar w:fldCharType="end"/>
    </w:r>
    <w:r/>
  </w:p>
  <w:p>
    <w:pPr>
      <w:pStyle w:val="92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1"/>
      <w:isLgl w:val="false"/>
      <w:suff w:val="nothing"/>
      <w:lvlText w:val=""/>
      <w:lvlJc w:val="left"/>
      <w:pPr>
        <w:ind w:left="0" w:firstLine="0"/>
      </w:pPr>
      <w:rPr>
        <w:rFonts w:hint="eastAsia"/>
      </w:rPr>
    </w:lvl>
    <w:lvl w:ilvl="6">
      <w:start w:val="1"/>
      <w:numFmt w:val="decimal"/>
      <w:pStyle w:val="882"/>
      <w:isLgl w:val="false"/>
      <w:suff w:val="nothing"/>
      <w:lvlText w:val=""/>
      <w:lvlJc w:val="left"/>
      <w:pPr>
        <w:ind w:left="0" w:firstLine="0"/>
      </w:pPr>
      <w:rPr>
        <w:rFonts w:hint="eastAsia"/>
      </w:rPr>
    </w:lvl>
    <w:lvl w:ilvl="7">
      <w:start w:val="1"/>
      <w:numFmt w:val="decimal"/>
      <w:pStyle w:val="883"/>
      <w:isLgl w:val="false"/>
      <w:suff w:val="nothing"/>
      <w:lvlText w:val=""/>
      <w:lvlJc w:val="left"/>
      <w:pPr>
        <w:ind w:left="0" w:firstLine="0"/>
      </w:pPr>
      <w:rPr>
        <w:rFonts w:hint="eastAsia"/>
      </w:rPr>
    </w:lvl>
    <w:lvl w:ilvl="8">
      <w:start w:val="1"/>
      <w:numFmt w:val="decimal"/>
      <w:pStyle w:val="884"/>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5"/>
  </w:num>
  <w:num w:numId="4">
    <w:abstractNumId w:val="1"/>
  </w:num>
  <w:num w:numId="5">
    <w:abstractNumId w:val="0"/>
  </w:num>
  <w:num w:numId="6">
    <w:abstractNumId w:val="22"/>
  </w:num>
  <w:num w:numId="7">
    <w:abstractNumId w:val="9"/>
  </w:num>
  <w:num w:numId="8">
    <w:abstractNumId w:val="20"/>
  </w:num>
  <w:num w:numId="9">
    <w:abstractNumId w:val="10"/>
  </w:num>
  <w:num w:numId="10">
    <w:abstractNumId w:val="12"/>
  </w:num>
  <w:num w:numId="11">
    <w:abstractNumId w:val="7"/>
  </w:num>
  <w:num w:numId="12">
    <w:abstractNumId w:val="14"/>
  </w:num>
  <w:num w:numId="13">
    <w:abstractNumId w:val="5"/>
  </w:num>
  <w:num w:numId="14">
    <w:abstractNumId w:val="11"/>
  </w:num>
  <w:num w:numId="15">
    <w:abstractNumId w:val="16"/>
  </w:num>
  <w:num w:numId="16">
    <w:abstractNumId w:val="4"/>
  </w:num>
  <w:num w:numId="17">
    <w:abstractNumId w:val="8"/>
  </w:num>
  <w:num w:numId="18">
    <w:abstractNumId w:val="21"/>
  </w:num>
  <w:num w:numId="19">
    <w:abstractNumId w:val="19"/>
  </w:num>
  <w:num w:numId="20">
    <w:abstractNumId w:val="13"/>
  </w:num>
  <w:num w:numId="21">
    <w:abstractNumId w:val="6"/>
  </w:num>
  <w:num w:numId="22">
    <w:abstractNumId w:val="1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9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9"/>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1"/>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2"/>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3"/>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4"/>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6"/>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7"/>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2"/>
    <w:basedOn w:val="703"/>
    <w:next w:val="690"/>
    <w:uiPriority w:val="0"/>
    <w:qFormat/>
    <w:pPr>
      <w:ind w:left="0" w:firstLine="420"/>
      <w:spacing w:after="0" w:line="360" w:lineRule="auto"/>
    </w:pPr>
    <w:rPr>
      <w:rFonts w:ascii="宋体" w:hAnsi="宋体" w:eastAsia="宋体" w:cs="Times New Roman"/>
      <w:szCs w:val="20"/>
    </w:rPr>
  </w:style>
  <w:style w:type="paragraph" w:styleId="703">
    <w:name w:val="Body Text Indent"/>
    <w:basedOn w:val="690"/>
    <w:next w:val="704"/>
    <w:uiPriority w:val="0"/>
    <w:unhideWhenUsed/>
    <w:qFormat/>
    <w:pPr>
      <w:ind w:left="420"/>
      <w:spacing w:after="120"/>
    </w:pPr>
  </w:style>
  <w:style w:type="paragraph" w:styleId="704">
    <w:name w:val="envelope return"/>
    <w:basedOn w:val="690"/>
    <w:uiPriority w:val="0"/>
    <w:qFormat/>
    <w:rPr>
      <w:rFonts w:ascii="Arial" w:hAnsi="Arial" w:eastAsia="宋体" w:cs="宋体"/>
    </w:rPr>
  </w:style>
  <w:style w:type="paragraph" w:styleId="705">
    <w:name w:val="toc 7"/>
    <w:basedOn w:val="690"/>
    <w:next w:val="690"/>
    <w:uiPriority w:val="39"/>
    <w:unhideWhenUsed/>
    <w:qFormat/>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rPr>
  </w:style>
  <w:style w:type="paragraph" w:styleId="707">
    <w:name w:val="annotation text"/>
    <w:basedOn w:val="690"/>
    <w:uiPriority w:val="99"/>
    <w:semiHidden/>
    <w:unhideWhenUsed/>
    <w:qFormat/>
    <w:pPr>
      <w:jc w:val="left"/>
    </w:p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0"/>
    <w:qFormat/>
    <w:rPr>
      <w:rFonts w:ascii="宋体" w:hAnsi="Courier New" w:eastAsia="宋体" w:cs="Courier New"/>
      <w:szCs w:val="21"/>
    </w:r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3"/>
    <w:uiPriority w:val="99"/>
    <w:semiHidden/>
    <w:unhideWhenUsed/>
    <w:qFormat/>
    <w:pPr>
      <w:spacing w:after="0" w:line="240" w:lineRule="auto"/>
    </w:pPr>
    <w:rPr>
      <w:sz w:val="20"/>
    </w:rPr>
  </w:style>
  <w:style w:type="paragraph" w:styleId="713">
    <w:name w:val="Footer"/>
    <w:basedOn w:val="690"/>
    <w:link w:val="746"/>
    <w:uiPriority w:val="99"/>
    <w:unhideWhenUsed/>
    <w:qFormat/>
    <w:pPr>
      <w:spacing w:after="0" w:line="240" w:lineRule="auto"/>
      <w:tabs>
        <w:tab w:val="center" w:pos="7143" w:leader="none"/>
        <w:tab w:val="right" w:pos="14287" w:leader="none"/>
      </w:tabs>
    </w:pPr>
  </w:style>
  <w:style w:type="paragraph" w:styleId="714">
    <w:name w:val="Header"/>
    <w:basedOn w:val="690"/>
    <w:link w:val="744"/>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39"/>
    <w:uiPriority w:val="11"/>
    <w:qFormat/>
    <w:pPr>
      <w:spacing w:before="200" w:after="200"/>
    </w:pPr>
    <w:rPr>
      <w:sz w:val="24"/>
      <w:szCs w:val="24"/>
    </w:rPr>
  </w:style>
  <w:style w:type="paragraph" w:styleId="718">
    <w:name w:val="footnote text"/>
    <w:basedOn w:val="690"/>
    <w:link w:val="872"/>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Title"/>
    <w:basedOn w:val="690"/>
    <w:next w:val="690"/>
    <w:link w:val="738"/>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rPr>
  </w:style>
  <w:style w:type="character" w:styleId="727">
    <w:name w:val="annotation reference"/>
    <w:basedOn w:val="700"/>
    <w:uiPriority w:val="0"/>
    <w:semiHidden/>
    <w:qFormat/>
    <w:rPr>
      <w:sz w:val="21"/>
      <w:szCs w:val="21"/>
    </w:rPr>
  </w:style>
  <w:style w:type="character" w:styleId="728">
    <w:name w:val="footnote reference"/>
    <w:uiPriority w:val="99"/>
    <w:unhideWhenUsed/>
    <w:qFormat/>
    <w:rPr>
      <w:vertAlign w:val="superscript"/>
    </w:rPr>
  </w:style>
  <w:style w:type="character" w:styleId="729" w:customStyle="1">
    <w:name w:val="Heading 1 Char"/>
    <w:link w:val="691"/>
    <w:uiPriority w:val="9"/>
    <w:qFormat/>
    <w:rPr>
      <w:rFonts w:ascii="Arial" w:hAnsi="Arial" w:eastAsia="Arial" w:cs="Arial"/>
      <w:sz w:val="40"/>
      <w:szCs w:val="40"/>
    </w:rPr>
  </w:style>
  <w:style w:type="character" w:styleId="730" w:customStyle="1">
    <w:name w:val="Heading 2 Char"/>
    <w:link w:val="692"/>
    <w:uiPriority w:val="9"/>
    <w:qFormat/>
    <w:rPr>
      <w:rFonts w:ascii="Arial" w:hAnsi="Arial" w:eastAsia="Arial" w:cs="Arial"/>
      <w:sz w:val="34"/>
    </w:rPr>
  </w:style>
  <w:style w:type="character" w:styleId="731" w:customStyle="1">
    <w:name w:val="Heading 3 Char"/>
    <w:link w:val="693"/>
    <w:uiPriority w:val="9"/>
    <w:qFormat/>
    <w:rPr>
      <w:rFonts w:ascii="Arial" w:hAnsi="Arial" w:eastAsia="Arial" w:cs="Arial"/>
      <w:sz w:val="30"/>
      <w:szCs w:val="30"/>
    </w:rPr>
  </w:style>
  <w:style w:type="character" w:styleId="732" w:customStyle="1">
    <w:name w:val="Heading 4 Char"/>
    <w:link w:val="694"/>
    <w:uiPriority w:val="9"/>
    <w:qFormat/>
    <w:rPr>
      <w:rFonts w:ascii="Arial" w:hAnsi="Arial" w:eastAsia="Arial" w:cs="Arial"/>
      <w:b/>
      <w:bCs/>
      <w:sz w:val="26"/>
      <w:szCs w:val="26"/>
    </w:rPr>
  </w:style>
  <w:style w:type="character" w:styleId="733" w:customStyle="1">
    <w:name w:val="Heading 5 Char"/>
    <w:link w:val="695"/>
    <w:uiPriority w:val="9"/>
    <w:qFormat/>
    <w:rPr>
      <w:rFonts w:ascii="Arial" w:hAnsi="Arial" w:eastAsia="Arial" w:cs="Arial"/>
      <w:b/>
      <w:bCs/>
      <w:sz w:val="24"/>
      <w:szCs w:val="24"/>
    </w:rPr>
  </w:style>
  <w:style w:type="character" w:styleId="734" w:customStyle="1">
    <w:name w:val="Heading 6 Char"/>
    <w:link w:val="696"/>
    <w:uiPriority w:val="9"/>
    <w:qFormat/>
    <w:rPr>
      <w:rFonts w:ascii="Arial" w:hAnsi="Arial" w:eastAsia="Arial" w:cs="Arial"/>
      <w:b/>
      <w:bCs/>
      <w:sz w:val="22"/>
      <w:szCs w:val="22"/>
    </w:rPr>
  </w:style>
  <w:style w:type="character" w:styleId="735" w:customStyle="1">
    <w:name w:val="Heading 7 Char"/>
    <w:link w:val="697"/>
    <w:uiPriority w:val="9"/>
    <w:qFormat/>
    <w:rPr>
      <w:rFonts w:ascii="Arial" w:hAnsi="Arial" w:eastAsia="Arial" w:cs="Arial"/>
      <w:b/>
      <w:bCs/>
      <w:i/>
      <w:iCs/>
      <w:sz w:val="22"/>
      <w:szCs w:val="22"/>
    </w:rPr>
  </w:style>
  <w:style w:type="character" w:styleId="736" w:customStyle="1">
    <w:name w:val="Heading 8 Char"/>
    <w:link w:val="698"/>
    <w:uiPriority w:val="9"/>
    <w:qFormat/>
    <w:rPr>
      <w:rFonts w:ascii="Arial" w:hAnsi="Arial" w:eastAsia="Arial" w:cs="Arial"/>
      <w:i/>
      <w:iCs/>
      <w:sz w:val="22"/>
      <w:szCs w:val="22"/>
    </w:rPr>
  </w:style>
  <w:style w:type="character" w:styleId="737" w:customStyle="1">
    <w:name w:val="Heading 9 Char"/>
    <w:link w:val="699"/>
    <w:uiPriority w:val="9"/>
    <w:qFormat/>
    <w:rPr>
      <w:rFonts w:ascii="Arial" w:hAnsi="Arial" w:eastAsia="Arial" w:cs="Arial"/>
      <w:i/>
      <w:iCs/>
      <w:sz w:val="21"/>
      <w:szCs w:val="21"/>
    </w:rPr>
  </w:style>
  <w:style w:type="character" w:styleId="738" w:customStyle="1">
    <w:name w:val="Title Char"/>
    <w:link w:val="723"/>
    <w:uiPriority w:val="10"/>
    <w:qFormat/>
    <w:rPr>
      <w:sz w:val="48"/>
      <w:szCs w:val="48"/>
    </w:rPr>
  </w:style>
  <w:style w:type="character" w:styleId="739" w:customStyle="1">
    <w:name w:val="Subtitle Char"/>
    <w:link w:val="717"/>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4"/>
    <w:uiPriority w:val="99"/>
    <w:qFormat/>
  </w:style>
  <w:style w:type="character" w:styleId="745" w:customStyle="1">
    <w:name w:val="Footer Char"/>
    <w:link w:val="713"/>
    <w:uiPriority w:val="99"/>
    <w:qFormat/>
  </w:style>
  <w:style w:type="character" w:styleId="746" w:customStyle="1">
    <w:name w:val="Caption Char"/>
    <w:link w:val="713"/>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8"/>
    <w:uiPriority w:val="99"/>
    <w:qFormat/>
    <w:rPr>
      <w:sz w:val="18"/>
    </w:rPr>
  </w:style>
  <w:style w:type="character" w:styleId="873" w:customStyle="1">
    <w:name w:val="Endnote Text Char"/>
    <w:link w:val="712"/>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90"/>
    <w:next w:val="690"/>
    <w:link w:val="889"/>
    <w:uiPriority w:val="0"/>
    <w:qFormat/>
    <w:pPr>
      <w:jc w:val="center"/>
      <w:keepNext/>
      <w:outlineLvl w:val="0"/>
    </w:pPr>
    <w:rPr>
      <w:rFonts w:ascii="楷体_GB2312" w:hAnsi="Times New Roman" w:eastAsia="楷体_GB2312" w:cs="Times New Roman"/>
      <w:sz w:val="28"/>
      <w:szCs w:val="28"/>
    </w:rPr>
  </w:style>
  <w:style w:type="paragraph" w:styleId="876" w:customStyle="1">
    <w:name w:val="标题 21"/>
    <w:basedOn w:val="690"/>
    <w:next w:val="877"/>
    <w:link w:val="8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7" w:customStyle="1">
    <w:name w:val="正文缩进1"/>
    <w:basedOn w:val="690"/>
    <w:link w:val="891"/>
    <w:uiPriority w:val="0"/>
    <w:qFormat/>
    <w:pPr>
      <w:ind w:firstLine="420"/>
    </w:pPr>
    <w:rPr>
      <w:szCs w:val="21"/>
    </w:rPr>
  </w:style>
  <w:style w:type="paragraph" w:styleId="878" w:customStyle="1">
    <w:name w:val="标题 31"/>
    <w:basedOn w:val="690"/>
    <w:next w:val="877"/>
    <w:link w:val="89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customStyle="1">
    <w:name w:val="标题 41"/>
    <w:basedOn w:val="690"/>
    <w:next w:val="877"/>
    <w:link w:val="893"/>
    <w:uiPriority w:val="0"/>
    <w:qFormat/>
    <w:pPr>
      <w:keepLines/>
      <w:keepNext/>
      <w:spacing w:before="280" w:after="290" w:line="376" w:lineRule="auto"/>
      <w:outlineLvl w:val="3"/>
    </w:pPr>
    <w:rPr>
      <w:rFonts w:ascii="Arial" w:hAnsi="Arial" w:eastAsia="黑体" w:cs="Arial"/>
      <w:b/>
      <w:bCs/>
      <w:sz w:val="28"/>
      <w:szCs w:val="28"/>
    </w:rPr>
  </w:style>
  <w:style w:type="paragraph" w:styleId="880" w:customStyle="1">
    <w:name w:val="标题 51"/>
    <w:basedOn w:val="690"/>
    <w:next w:val="877"/>
    <w:link w:val="894"/>
    <w:uiPriority w:val="0"/>
    <w:qFormat/>
    <w:pPr>
      <w:keepNext/>
      <w:outlineLvl w:val="4"/>
    </w:pPr>
    <w:rPr>
      <w:rFonts w:ascii="宋体" w:hAnsi="Times New Roman" w:eastAsia="宋体" w:cs="Times New Roman"/>
      <w:color w:val="000000"/>
      <w:sz w:val="28"/>
      <w:szCs w:val="28"/>
    </w:rPr>
  </w:style>
  <w:style w:type="paragraph" w:styleId="881" w:customStyle="1">
    <w:name w:val="标题 61"/>
    <w:basedOn w:val="690"/>
    <w:next w:val="690"/>
    <w:link w:val="89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customStyle="1">
    <w:name w:val="标题 71"/>
    <w:basedOn w:val="690"/>
    <w:next w:val="690"/>
    <w:link w:val="89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customStyle="1">
    <w:name w:val="标题 81"/>
    <w:basedOn w:val="690"/>
    <w:next w:val="690"/>
    <w:link w:val="89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customStyle="1">
    <w:name w:val="标题 91"/>
    <w:basedOn w:val="690"/>
    <w:next w:val="690"/>
    <w:link w:val="89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customStyle="1">
    <w:name w:val="默认段落字体1"/>
    <w:link w:val="690"/>
    <w:uiPriority w:val="1"/>
    <w:unhideWhenUsed/>
    <w:qFormat/>
  </w:style>
  <w:style w:type="table" w:styleId="886" w:customStyle="1">
    <w:name w:val="普通表格11"/>
    <w:uiPriority w:val="99"/>
    <w:unhideWhenUsed/>
    <w:qFormat/>
    <w:tblPr/>
  </w:style>
  <w:style w:type="paragraph" w:styleId="887" w:customStyle="1">
    <w:name w:val="正文文本11"/>
    <w:basedOn w:val="690"/>
    <w:next w:val="690"/>
    <w:link w:val="888"/>
    <w:uiPriority w:val="0"/>
    <w:qFormat/>
    <w:rPr>
      <w:rFonts w:ascii="楷体_GB2312" w:hAnsi="Arial" w:eastAsia="楷体_GB2312" w:cs="Times New Roman"/>
      <w:sz w:val="28"/>
      <w:szCs w:val="28"/>
    </w:rPr>
  </w:style>
  <w:style w:type="character" w:styleId="888" w:customStyle="1">
    <w:name w:val="正文文本 Char"/>
    <w:link w:val="887"/>
    <w:uiPriority w:val="0"/>
    <w:qFormat/>
    <w:rPr>
      <w:rFonts w:ascii="楷体_GB2312" w:hAnsi="Arial" w:eastAsia="楷体_GB2312" w:cs="Times New Roman"/>
      <w:sz w:val="28"/>
      <w:szCs w:val="28"/>
    </w:rPr>
  </w:style>
  <w:style w:type="character" w:styleId="889" w:customStyle="1">
    <w:name w:val="标题 1 Char"/>
    <w:link w:val="875"/>
    <w:uiPriority w:val="0"/>
    <w:qFormat/>
    <w:rPr>
      <w:rFonts w:ascii="楷体_GB2312" w:hAnsi="Times New Roman" w:eastAsia="楷体_GB2312" w:cs="Times New Roman"/>
      <w:sz w:val="28"/>
      <w:szCs w:val="28"/>
    </w:rPr>
  </w:style>
  <w:style w:type="character" w:styleId="890" w:customStyle="1">
    <w:name w:val="标题 2 Char"/>
    <w:link w:val="876"/>
    <w:uiPriority w:val="0"/>
    <w:qFormat/>
    <w:rPr>
      <w:rFonts w:ascii="Arial" w:hAnsi="Arial" w:eastAsia="幼圆" w:cs="Arial"/>
      <w:b/>
      <w:bCs/>
      <w:sz w:val="44"/>
      <w:szCs w:val="44"/>
    </w:rPr>
  </w:style>
  <w:style w:type="character" w:styleId="891" w:customStyle="1">
    <w:name w:val="正文缩进 Char"/>
    <w:link w:val="877"/>
    <w:uiPriority w:val="0"/>
    <w:qFormat/>
    <w:rPr>
      <w:szCs w:val="21"/>
    </w:rPr>
  </w:style>
  <w:style w:type="character" w:styleId="892" w:customStyle="1">
    <w:name w:val="标题 3 Char"/>
    <w:link w:val="878"/>
    <w:uiPriority w:val="0"/>
    <w:qFormat/>
    <w:rPr>
      <w:rFonts w:ascii="Times New Roman" w:hAnsi="Times New Roman" w:eastAsia="宋体" w:cs="Times New Roman"/>
      <w:b/>
      <w:bCs/>
      <w:sz w:val="32"/>
      <w:szCs w:val="32"/>
    </w:rPr>
  </w:style>
  <w:style w:type="character" w:styleId="893" w:customStyle="1">
    <w:name w:val="标题 4 Char"/>
    <w:link w:val="879"/>
    <w:uiPriority w:val="0"/>
    <w:qFormat/>
    <w:rPr>
      <w:rFonts w:ascii="Arial" w:hAnsi="Arial" w:eastAsia="黑体" w:cs="Arial"/>
      <w:b/>
      <w:bCs/>
      <w:sz w:val="28"/>
      <w:szCs w:val="28"/>
    </w:rPr>
  </w:style>
  <w:style w:type="character" w:styleId="894" w:customStyle="1">
    <w:name w:val="标题 5 Char"/>
    <w:link w:val="880"/>
    <w:uiPriority w:val="0"/>
    <w:qFormat/>
    <w:rPr>
      <w:rFonts w:ascii="宋体" w:hAnsi="Times New Roman" w:eastAsia="宋体" w:cs="Times New Roman"/>
      <w:color w:val="000000"/>
      <w:sz w:val="28"/>
      <w:szCs w:val="28"/>
    </w:rPr>
  </w:style>
  <w:style w:type="character" w:styleId="895" w:customStyle="1">
    <w:name w:val="标题 6 Char"/>
    <w:link w:val="881"/>
    <w:uiPriority w:val="0"/>
    <w:qFormat/>
    <w:rPr>
      <w:rFonts w:ascii="Arial" w:hAnsi="Arial" w:eastAsia="黑体" w:cs="Times New Roman"/>
      <w:b/>
      <w:bCs/>
      <w:sz w:val="24"/>
      <w:szCs w:val="24"/>
    </w:rPr>
  </w:style>
  <w:style w:type="character" w:styleId="896" w:customStyle="1">
    <w:name w:val="标题 7 Char"/>
    <w:link w:val="882"/>
    <w:uiPriority w:val="0"/>
    <w:qFormat/>
    <w:rPr>
      <w:rFonts w:ascii="Times New Roman" w:hAnsi="Times New Roman" w:eastAsia="宋体" w:cs="Times New Roman"/>
      <w:b/>
      <w:bCs/>
      <w:sz w:val="24"/>
      <w:szCs w:val="24"/>
    </w:rPr>
  </w:style>
  <w:style w:type="character" w:styleId="897" w:customStyle="1">
    <w:name w:val="标题 8 Char"/>
    <w:link w:val="883"/>
    <w:uiPriority w:val="0"/>
    <w:qFormat/>
    <w:rPr>
      <w:rFonts w:ascii="Arial" w:hAnsi="Arial" w:eastAsia="黑体" w:cs="Times New Roman"/>
      <w:sz w:val="24"/>
      <w:szCs w:val="24"/>
    </w:rPr>
  </w:style>
  <w:style w:type="character" w:styleId="898" w:customStyle="1">
    <w:name w:val="标题 9 Char"/>
    <w:link w:val="884"/>
    <w:uiPriority w:val="0"/>
    <w:qFormat/>
    <w:rPr>
      <w:rFonts w:ascii="Arial" w:hAnsi="Arial" w:eastAsia="黑体" w:cs="Times New Roman"/>
      <w:szCs w:val="21"/>
    </w:rPr>
  </w:style>
  <w:style w:type="paragraph" w:styleId="899" w:customStyle="1">
    <w:name w:val="列表 31"/>
    <w:basedOn w:val="690"/>
    <w:uiPriority w:val="0"/>
    <w:qFormat/>
    <w:pPr>
      <w:ind w:left="100" w:hanging="200"/>
    </w:pPr>
    <w:rPr>
      <w:rFonts w:ascii="Times New Roman" w:hAnsi="Times New Roman" w:eastAsia="宋体" w:cs="Times New Roman"/>
      <w:szCs w:val="21"/>
    </w:rPr>
  </w:style>
  <w:style w:type="paragraph" w:styleId="900"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1" w:customStyle="1">
    <w:name w:val="文档结构图1"/>
    <w:basedOn w:val="690"/>
    <w:link w:val="902"/>
    <w:uiPriority w:val="0"/>
    <w:semiHidden/>
    <w:qFormat/>
    <w:pPr>
      <w:shd w:val="clear" w:color="auto" w:fill="000080"/>
    </w:pPr>
    <w:rPr>
      <w:rFonts w:ascii="Times New Roman" w:hAnsi="Times New Roman" w:eastAsia="宋体" w:cs="Times New Roman"/>
      <w:szCs w:val="21"/>
    </w:rPr>
  </w:style>
  <w:style w:type="character" w:styleId="902" w:customStyle="1">
    <w:name w:val="文档结构图 Char"/>
    <w:link w:val="901"/>
    <w:uiPriority w:val="0"/>
    <w:semiHidden/>
    <w:qFormat/>
    <w:rPr>
      <w:rFonts w:ascii="Times New Roman" w:hAnsi="Times New Roman" w:eastAsia="宋体" w:cs="Times New Roman"/>
      <w:szCs w:val="21"/>
      <w:shd w:val="clear" w:color="auto" w:fill="000080"/>
    </w:rPr>
  </w:style>
  <w:style w:type="paragraph" w:styleId="903" w:customStyle="1">
    <w:name w:val="批注文字1"/>
    <w:basedOn w:val="690"/>
    <w:link w:val="904"/>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customStyle="1">
    <w:name w:val="批注文字 Char"/>
    <w:basedOn w:val="885"/>
    <w:link w:val="903"/>
    <w:uiPriority w:val="99"/>
    <w:semiHidden/>
    <w:qFormat/>
  </w:style>
  <w:style w:type="paragraph" w:styleId="905" w:customStyle="1">
    <w:name w:val="正文文本 31"/>
    <w:basedOn w:val="690"/>
    <w:link w:val="906"/>
    <w:uiPriority w:val="0"/>
    <w:qFormat/>
    <w:rPr>
      <w:rFonts w:ascii="仿宋_GB2312" w:hAnsi="Arial" w:eastAsia="仿宋_GB2312" w:cs="Times New Roman"/>
      <w:sz w:val="32"/>
      <w:szCs w:val="32"/>
    </w:rPr>
  </w:style>
  <w:style w:type="character" w:styleId="906" w:customStyle="1">
    <w:name w:val="正文文本 3 Char"/>
    <w:link w:val="905"/>
    <w:uiPriority w:val="0"/>
    <w:qFormat/>
    <w:rPr>
      <w:rFonts w:ascii="仿宋_GB2312" w:hAnsi="Arial" w:eastAsia="仿宋_GB2312" w:cs="Times New Roman"/>
      <w:sz w:val="32"/>
      <w:szCs w:val="32"/>
    </w:rPr>
  </w:style>
  <w:style w:type="paragraph" w:styleId="907" w:customStyle="1">
    <w:name w:val="正文文本缩进111"/>
    <w:basedOn w:val="690"/>
    <w:next w:val="908"/>
    <w:link w:val="909"/>
    <w:uiPriority w:val="0"/>
    <w:unhideWhenUsed/>
    <w:qFormat/>
    <w:pPr>
      <w:ind w:left="420"/>
      <w:spacing w:after="120"/>
    </w:pPr>
  </w:style>
  <w:style w:type="paragraph" w:styleId="908" w:customStyle="1">
    <w:name w:val="寄信人地址11"/>
    <w:basedOn w:val="690"/>
    <w:uiPriority w:val="0"/>
    <w:qFormat/>
    <w:rPr>
      <w:rFonts w:ascii="Arial" w:hAnsi="Arial" w:eastAsia="宋体" w:cs="宋体"/>
    </w:rPr>
  </w:style>
  <w:style w:type="character" w:styleId="909" w:customStyle="1">
    <w:name w:val="正文文本缩进 Char"/>
    <w:basedOn w:val="885"/>
    <w:link w:val="907"/>
    <w:uiPriority w:val="99"/>
    <w:semiHidden/>
    <w:qFormat/>
  </w:style>
  <w:style w:type="paragraph" w:styleId="910" w:customStyle="1">
    <w:name w:val="列表 21"/>
    <w:basedOn w:val="690"/>
    <w:uiPriority w:val="0"/>
    <w:qFormat/>
    <w:pPr>
      <w:ind w:left="100" w:hanging="200"/>
    </w:pPr>
    <w:rPr>
      <w:rFonts w:ascii="Times New Roman" w:hAnsi="Times New Roman" w:eastAsia="宋体" w:cs="Times New Roman"/>
      <w:szCs w:val="21"/>
    </w:rPr>
  </w:style>
  <w:style w:type="paragraph" w:styleId="911" w:customStyle="1">
    <w:name w:val="索引 411"/>
    <w:basedOn w:val="690"/>
    <w:next w:val="690"/>
    <w:uiPriority w:val="0"/>
    <w:semiHidden/>
    <w:qFormat/>
    <w:pPr>
      <w:ind w:left="1260"/>
    </w:pPr>
    <w:rPr>
      <w:rFonts w:ascii="Calibri" w:hAnsi="Calibri" w:eastAsia="Calibri" w:cs="宋体"/>
      <w:sz w:val="20"/>
      <w:lang w:val="zh-CN"/>
    </w:rPr>
  </w:style>
  <w:style w:type="paragraph" w:styleId="912"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3"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4" w:customStyle="1">
    <w:name w:val="纯文本11"/>
    <w:basedOn w:val="690"/>
    <w:link w:val="915"/>
    <w:uiPriority w:val="0"/>
    <w:qFormat/>
    <w:rPr>
      <w:rFonts w:ascii="宋体" w:hAnsi="Courier New" w:eastAsia="宋体" w:cs="Courier New"/>
      <w:szCs w:val="21"/>
    </w:rPr>
  </w:style>
  <w:style w:type="character" w:styleId="915" w:customStyle="1">
    <w:name w:val="纯文本 Char"/>
    <w:link w:val="914"/>
    <w:uiPriority w:val="0"/>
    <w:qFormat/>
    <w:rPr>
      <w:rFonts w:ascii="宋体" w:hAnsi="Courier New" w:eastAsia="宋体" w:cs="Courier New"/>
      <w:szCs w:val="21"/>
    </w:rPr>
  </w:style>
  <w:style w:type="paragraph" w:styleId="916"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7" w:customStyle="1">
    <w:name w:val="日期1"/>
    <w:basedOn w:val="690"/>
    <w:next w:val="690"/>
    <w:link w:val="918"/>
    <w:uiPriority w:val="0"/>
    <w:qFormat/>
    <w:rPr>
      <w:rFonts w:ascii="Times New Roman" w:hAnsi="Times New Roman" w:eastAsia="宋体" w:cs="Times New Roman"/>
      <w:sz w:val="24"/>
      <w:szCs w:val="24"/>
    </w:rPr>
  </w:style>
  <w:style w:type="character" w:styleId="918" w:customStyle="1">
    <w:name w:val="日期 Char"/>
    <w:link w:val="917"/>
    <w:uiPriority w:val="0"/>
    <w:qFormat/>
    <w:rPr>
      <w:rFonts w:ascii="Times New Roman" w:hAnsi="Times New Roman" w:eastAsia="宋体" w:cs="Times New Roman"/>
      <w:sz w:val="24"/>
      <w:szCs w:val="24"/>
    </w:rPr>
  </w:style>
  <w:style w:type="paragraph" w:styleId="919" w:customStyle="1">
    <w:name w:val="正文文本缩进 21"/>
    <w:basedOn w:val="690"/>
    <w:link w:val="920"/>
    <w:uiPriority w:val="0"/>
    <w:qFormat/>
    <w:pPr>
      <w:ind w:left="630" w:firstLine="645"/>
    </w:pPr>
    <w:rPr>
      <w:rFonts w:ascii="Arial" w:hAnsi="Arial" w:eastAsia="仿宋_GB2312" w:cs="Arial"/>
      <w:sz w:val="32"/>
      <w:szCs w:val="32"/>
    </w:rPr>
  </w:style>
  <w:style w:type="character" w:styleId="920" w:customStyle="1">
    <w:name w:val="正文文本缩进 2 Char"/>
    <w:link w:val="919"/>
    <w:uiPriority w:val="0"/>
    <w:qFormat/>
    <w:rPr>
      <w:rFonts w:ascii="Arial" w:hAnsi="Arial" w:eastAsia="仿宋_GB2312" w:cs="Arial"/>
      <w:sz w:val="32"/>
      <w:szCs w:val="32"/>
    </w:rPr>
  </w:style>
  <w:style w:type="paragraph" w:styleId="921" w:customStyle="1">
    <w:name w:val="批注框文本1"/>
    <w:basedOn w:val="690"/>
    <w:link w:val="922"/>
    <w:uiPriority w:val="0"/>
    <w:semiHidden/>
    <w:qFormat/>
    <w:rPr>
      <w:rFonts w:ascii="Times New Roman" w:hAnsi="Times New Roman" w:eastAsia="宋体" w:cs="Times New Roman"/>
      <w:sz w:val="18"/>
      <w:szCs w:val="18"/>
    </w:rPr>
  </w:style>
  <w:style w:type="character" w:styleId="922" w:customStyle="1">
    <w:name w:val="批注框文本 Char"/>
    <w:link w:val="921"/>
    <w:uiPriority w:val="0"/>
    <w:semiHidden/>
    <w:qFormat/>
    <w:rPr>
      <w:rFonts w:ascii="Times New Roman" w:hAnsi="Times New Roman" w:eastAsia="宋体" w:cs="Times New Roman"/>
      <w:sz w:val="18"/>
      <w:szCs w:val="18"/>
    </w:rPr>
  </w:style>
  <w:style w:type="paragraph" w:styleId="923" w:customStyle="1">
    <w:name w:val="页脚1"/>
    <w:basedOn w:val="690"/>
    <w:link w:val="92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4" w:customStyle="1">
    <w:name w:val="页脚 Char"/>
    <w:link w:val="923"/>
    <w:uiPriority w:val="0"/>
    <w:qFormat/>
    <w:rPr>
      <w:rFonts w:ascii="Times New Roman" w:hAnsi="Times New Roman" w:eastAsia="宋体" w:cs="Times New Roman"/>
      <w:sz w:val="18"/>
      <w:szCs w:val="18"/>
    </w:rPr>
  </w:style>
  <w:style w:type="paragraph" w:styleId="925" w:customStyle="1">
    <w:name w:val="页眉1"/>
    <w:basedOn w:val="690"/>
    <w:link w:val="9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customStyle="1">
    <w:name w:val="页眉 Char"/>
    <w:link w:val="925"/>
    <w:uiPriority w:val="0"/>
    <w:qFormat/>
    <w:rPr>
      <w:rFonts w:ascii="Times New Roman" w:hAnsi="Times New Roman" w:eastAsia="宋体" w:cs="Times New Roman"/>
      <w:sz w:val="18"/>
      <w:szCs w:val="18"/>
    </w:rPr>
  </w:style>
  <w:style w:type="paragraph" w:styleId="927"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8"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9" w:customStyle="1">
    <w:name w:val="列表1"/>
    <w:basedOn w:val="690"/>
    <w:uiPriority w:val="0"/>
    <w:qFormat/>
    <w:pPr>
      <w:ind w:left="200" w:hanging="200"/>
    </w:pPr>
    <w:rPr>
      <w:rFonts w:ascii="Times New Roman" w:hAnsi="Times New Roman" w:eastAsia="宋体" w:cs="Times New Roman"/>
      <w:szCs w:val="21"/>
    </w:rPr>
  </w:style>
  <w:style w:type="paragraph" w:styleId="930"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1" w:customStyle="1">
    <w:name w:val="正文文本缩进 31"/>
    <w:basedOn w:val="690"/>
    <w:link w:val="932"/>
    <w:uiPriority w:val="0"/>
    <w:qFormat/>
    <w:pPr>
      <w:ind w:left="645" w:firstLine="645"/>
    </w:pPr>
    <w:rPr>
      <w:rFonts w:ascii="Arial" w:hAnsi="Arial" w:eastAsia="仿宋_GB2312" w:cs="Arial"/>
      <w:color w:val="ffff00"/>
      <w:sz w:val="32"/>
      <w:szCs w:val="32"/>
    </w:rPr>
  </w:style>
  <w:style w:type="character" w:styleId="932" w:customStyle="1">
    <w:name w:val="正文文本缩进 3 Char"/>
    <w:link w:val="931"/>
    <w:uiPriority w:val="0"/>
    <w:qFormat/>
    <w:rPr>
      <w:rFonts w:ascii="Arial" w:hAnsi="Arial" w:eastAsia="仿宋_GB2312" w:cs="Arial"/>
      <w:color w:val="ffff00"/>
      <w:sz w:val="32"/>
      <w:szCs w:val="32"/>
    </w:rPr>
  </w:style>
  <w:style w:type="paragraph" w:styleId="933"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4"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5"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6" w:customStyle="1">
    <w:name w:val="正文文本 21"/>
    <w:basedOn w:val="690"/>
    <w:link w:val="937"/>
    <w:uiPriority w:val="0"/>
    <w:qFormat/>
    <w:pPr>
      <w:jc w:val="center"/>
      <w:widowControl/>
    </w:pPr>
    <w:rPr>
      <w:rFonts w:ascii="楷体_GB2312" w:hAnsi="Times New Roman" w:eastAsia="楷体_GB2312" w:cs="Times New Roman"/>
      <w:sz w:val="28"/>
      <w:szCs w:val="28"/>
    </w:rPr>
  </w:style>
  <w:style w:type="character" w:styleId="937" w:customStyle="1">
    <w:name w:val="正文文本 2 Char"/>
    <w:link w:val="936"/>
    <w:uiPriority w:val="0"/>
    <w:qFormat/>
    <w:rPr>
      <w:rFonts w:ascii="楷体_GB2312" w:hAnsi="Times New Roman" w:eastAsia="楷体_GB2312" w:cs="Times New Roman"/>
      <w:sz w:val="28"/>
      <w:szCs w:val="28"/>
    </w:rPr>
  </w:style>
  <w:style w:type="paragraph" w:styleId="938"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9"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0" w:customStyle="1">
    <w:name w:val="批注主题1"/>
    <w:basedOn w:val="903"/>
    <w:next w:val="903"/>
    <w:link w:val="941"/>
    <w:uiPriority w:val="0"/>
    <w:semiHidden/>
    <w:qFormat/>
    <w:rPr>
      <w:rFonts w:ascii="Times New Roman" w:hAnsi="Times New Roman" w:eastAsia="宋体" w:cs="Times New Roman"/>
      <w:b/>
      <w:bCs/>
      <w:szCs w:val="21"/>
    </w:rPr>
  </w:style>
  <w:style w:type="character" w:styleId="941" w:customStyle="1">
    <w:name w:val="批注主题 Char"/>
    <w:link w:val="940"/>
    <w:uiPriority w:val="0"/>
    <w:semiHidden/>
    <w:qFormat/>
    <w:rPr>
      <w:rFonts w:ascii="Times New Roman" w:hAnsi="Times New Roman" w:eastAsia="宋体" w:cs="Times New Roman"/>
      <w:b/>
      <w:bCs/>
      <w:szCs w:val="21"/>
    </w:rPr>
  </w:style>
  <w:style w:type="paragraph" w:styleId="942" w:customStyle="1">
    <w:name w:val="正文首行缩进1"/>
    <w:basedOn w:val="690"/>
    <w:link w:val="943"/>
    <w:uiPriority w:val="0"/>
    <w:qFormat/>
    <w:pPr>
      <w:ind w:firstLine="200"/>
      <w:spacing w:line="360" w:lineRule="auto"/>
    </w:pPr>
    <w:rPr>
      <w:rFonts w:ascii="仿宋_GB2312" w:hAnsi="Times New Roman" w:eastAsia="仿宋_GB2312" w:cs="Times New Roman"/>
      <w:sz w:val="30"/>
      <w:szCs w:val="30"/>
    </w:rPr>
  </w:style>
  <w:style w:type="character" w:styleId="943" w:customStyle="1">
    <w:name w:val="正文首行缩进 Char"/>
    <w:link w:val="942"/>
    <w:uiPriority w:val="0"/>
    <w:qFormat/>
    <w:rPr>
      <w:rFonts w:ascii="仿宋_GB2312" w:hAnsi="Times New Roman" w:eastAsia="仿宋_GB2312" w:cs="Times New Roman"/>
      <w:sz w:val="30"/>
      <w:szCs w:val="30"/>
    </w:rPr>
  </w:style>
  <w:style w:type="paragraph" w:styleId="944" w:customStyle="1">
    <w:name w:val="正文首行缩进 21"/>
    <w:basedOn w:val="907"/>
    <w:next w:val="690"/>
    <w:link w:val="945"/>
    <w:uiPriority w:val="0"/>
    <w:qFormat/>
    <w:pPr>
      <w:ind w:left="0" w:firstLine="420"/>
      <w:spacing w:after="0" w:line="360" w:lineRule="auto"/>
    </w:pPr>
    <w:rPr>
      <w:rFonts w:ascii="宋体" w:hAnsi="宋体" w:eastAsia="宋体" w:cs="Times New Roman"/>
      <w:szCs w:val="20"/>
    </w:rPr>
  </w:style>
  <w:style w:type="character" w:styleId="945" w:customStyle="1">
    <w:name w:val="正文首行缩进 2 Char"/>
    <w:link w:val="944"/>
    <w:uiPriority w:val="0"/>
    <w:qFormat/>
    <w:rPr>
      <w:rFonts w:ascii="宋体" w:hAnsi="宋体" w:eastAsia="宋体" w:cs="Times New Roman"/>
      <w:szCs w:val="20"/>
    </w:rPr>
  </w:style>
  <w:style w:type="table" w:styleId="946" w:customStyle="1">
    <w:name w:val="网格型11"/>
    <w:basedOn w:val="886"/>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90"/>
    <w:uiPriority w:val="0"/>
    <w:qFormat/>
    <w:rPr>
      <w:b/>
      <w:bCs/>
    </w:rPr>
  </w:style>
  <w:style w:type="character" w:styleId="948" w:customStyle="1">
    <w:name w:val="页码1"/>
    <w:link w:val="690"/>
    <w:uiPriority w:val="0"/>
    <w:qFormat/>
  </w:style>
  <w:style w:type="character" w:styleId="949" w:customStyle="1">
    <w:name w:val="已访问的超链接1"/>
    <w:link w:val="690"/>
    <w:uiPriority w:val="0"/>
    <w:qFormat/>
    <w:rPr>
      <w:color w:val="800080"/>
      <w:u w:val="single"/>
    </w:rPr>
  </w:style>
  <w:style w:type="character" w:styleId="950" w:customStyle="1">
    <w:name w:val="强调1"/>
    <w:link w:val="690"/>
    <w:uiPriority w:val="0"/>
    <w:qFormat/>
    <w:rPr>
      <w:i/>
    </w:rPr>
  </w:style>
  <w:style w:type="character" w:styleId="951" w:customStyle="1">
    <w:name w:val="超链接1"/>
    <w:link w:val="690"/>
    <w:uiPriority w:val="0"/>
    <w:qFormat/>
    <w:rPr>
      <w:color w:val="0000ff"/>
      <w:u w:val="single"/>
    </w:rPr>
  </w:style>
  <w:style w:type="character" w:styleId="952" w:customStyle="1">
    <w:name w:val="批注引用1"/>
    <w:link w:val="690"/>
    <w:uiPriority w:val="0"/>
    <w:semiHidden/>
    <w:qFormat/>
    <w:rPr>
      <w:sz w:val="21"/>
      <w:szCs w:val="21"/>
    </w:rPr>
  </w:style>
  <w:style w:type="paragraph" w:styleId="953" w:customStyle="1">
    <w:name w:val="索引 41"/>
    <w:basedOn w:val="690"/>
    <w:next w:val="690"/>
    <w:uiPriority w:val="0"/>
    <w:semiHidden/>
    <w:qFormat/>
    <w:pPr>
      <w:ind w:left="1260"/>
    </w:pPr>
    <w:rPr>
      <w:rFonts w:ascii="Calibri" w:hAnsi="Calibri" w:eastAsia="Calibri" w:cs="宋体"/>
      <w:sz w:val="20"/>
      <w:lang w:val="zh-CN"/>
    </w:rPr>
  </w:style>
  <w:style w:type="paragraph" w:styleId="954" w:customStyle="1">
    <w:name w:val="正文文本缩进1"/>
    <w:basedOn w:val="690"/>
    <w:next w:val="955"/>
    <w:uiPriority w:val="0"/>
    <w:unhideWhenUsed/>
    <w:qFormat/>
    <w:pPr>
      <w:ind w:left="420"/>
      <w:spacing w:after="120"/>
    </w:pPr>
  </w:style>
  <w:style w:type="paragraph" w:styleId="955" w:customStyle="1">
    <w:name w:val="正文文本首行缩进 2"/>
    <w:basedOn w:val="954"/>
    <w:uiPriority w:val="0"/>
    <w:qFormat/>
    <w:pPr>
      <w:ind w:left="0" w:firstLine="420"/>
      <w:spacing w:after="0" w:line="360" w:lineRule="auto"/>
    </w:pPr>
    <w:rPr>
      <w:rFonts w:ascii="宋体" w:hAnsi="宋体"/>
      <w:sz w:val="20"/>
      <w:szCs w:val="20"/>
      <w:lang w:val="en-US" w:eastAsia="en-US"/>
    </w:rPr>
  </w:style>
  <w:style w:type="character" w:styleId="956" w:customStyle="1">
    <w:name w:val="font5 Char"/>
    <w:link w:val="690"/>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690"/>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90"/>
    <w:link w:val="959"/>
    <w:uiPriority w:val="0"/>
    <w:qFormat/>
    <w:pPr>
      <w:contextualSpacing/>
      <w:ind w:left="720"/>
      <w:jc w:val="left"/>
      <w:widowControl/>
    </w:pPr>
    <w:rPr>
      <w:rFonts w:ascii="Calibri" w:hAnsi="Calibri"/>
      <w:sz w:val="24"/>
      <w:szCs w:val="24"/>
      <w:lang w:eastAsia="en-US" w:bidi="en-US"/>
    </w:rPr>
  </w:style>
  <w:style w:type="paragraph" w:styleId="961" w:customStyle="1">
    <w:name w:val="Body Text(ch)"/>
    <w:basedOn w:val="690"/>
    <w:next w:val="887"/>
    <w:uiPriority w:val="0"/>
    <w:qFormat/>
    <w:pPr>
      <w:spacing w:after="120"/>
    </w:pPr>
    <w:rPr>
      <w:rFonts w:ascii="宋体" w:hAnsi="Arial" w:eastAsia="宋体" w:cs="Times New Roman"/>
      <w:bCs/>
      <w:iCs/>
      <w:szCs w:val="24"/>
    </w:rPr>
  </w:style>
  <w:style w:type="paragraph" w:styleId="962"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 Char"/>
    <w:basedOn w:val="901"/>
    <w:uiPriority w:val="0"/>
    <w:qFormat/>
    <w:rPr>
      <w:rFonts w:ascii="Tahoma" w:hAnsi="Tahoma"/>
      <w:sz w:val="24"/>
      <w:szCs w:val="24"/>
    </w:rPr>
  </w:style>
  <w:style w:type="paragraph" w:styleId="966"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7"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 Char Char Char Char"/>
    <w:basedOn w:val="901"/>
    <w:uiPriority w:val="0"/>
    <w:qFormat/>
    <w:pPr>
      <w:spacing w:line="360" w:lineRule="auto"/>
    </w:pPr>
    <w:rPr>
      <w:rFonts w:ascii="Tahoma" w:hAnsi="Tahoma"/>
      <w:sz w:val="24"/>
      <w:szCs w:val="24"/>
    </w:rPr>
  </w:style>
  <w:style w:type="paragraph" w:styleId="971">
    <w:name w:val="List Paragraph"/>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2" w:customStyle="1">
    <w:name w:val="4"/>
    <w:basedOn w:val="690"/>
    <w:next w:val="931"/>
    <w:uiPriority w:val="0"/>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5" w:customStyle="1">
    <w:name w:val="样式1"/>
    <w:basedOn w:val="690"/>
    <w:uiPriority w:val="0"/>
    <w:qFormat/>
    <w:pPr>
      <w:numPr>
        <w:ilvl w:val="0"/>
        <w:numId w:val="3"/>
      </w:numPr>
    </w:pPr>
    <w:rPr>
      <w:rFonts w:ascii="宋体" w:hAnsi="宋体" w:eastAsia="宋体" w:cs="Times New Roman"/>
      <w:szCs w:val="21"/>
    </w:rPr>
  </w:style>
  <w:style w:type="paragraph" w:styleId="976"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Char Char Char Char"/>
    <w:basedOn w:val="901"/>
    <w:uiPriority w:val="0"/>
    <w:qFormat/>
    <w:pPr>
      <w:spacing w:line="360" w:lineRule="auto"/>
    </w:pPr>
    <w:rPr>
      <w:rFonts w:ascii="Tahoma" w:hAnsi="Tahoma"/>
      <w:sz w:val="24"/>
      <w:szCs w:val="24"/>
    </w:rPr>
  </w:style>
  <w:style w:type="paragraph" w:styleId="987"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91">
    <w:name w:val="No Spacing"/>
    <w:next w:val="690"/>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2" w:customStyle="1">
    <w:name w:val="Table Normal"/>
    <w:uiPriority w:val="0"/>
    <w:qFormat/>
    <w:tblPr/>
  </w:style>
  <w:style w:type="paragraph" w:styleId="993" w:customStyle="1">
    <w:name w:val="正文文本 211"/>
    <w:basedOn w:val="690"/>
    <w:uiPriority w:val="99"/>
    <w:qFormat/>
    <w:pPr>
      <w:jc w:val="center"/>
    </w:pPr>
    <w:rPr>
      <w:b/>
      <w:bCs/>
      <w:sz w:val="20"/>
      <w:szCs w:val="20"/>
    </w:rPr>
  </w:style>
  <w:style w:type="paragraph" w:styleId="994" w:customStyle="1">
    <w:name w:val="正文文本1"/>
    <w:basedOn w:val="690"/>
    <w:next w:val="690"/>
    <w:uiPriority w:val="0"/>
    <w:semiHidden/>
    <w:qFormat/>
    <w:rPr>
      <w:rFonts w:ascii="Arial" w:hAnsi="Arial" w:eastAsia="Arial" w:cs="Arial"/>
      <w:sz w:val="21"/>
      <w:szCs w:val="21"/>
      <w:lang w:val="en-US" w:eastAsia="en-US" w:bidi="ar-SA"/>
    </w:rPr>
  </w:style>
  <w:style w:type="paragraph" w:styleId="995"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6" w:customStyle="1">
    <w:name w:val="纯文本1"/>
    <w:basedOn w:val="690"/>
    <w:uiPriority w:val="0"/>
    <w:qFormat/>
    <w:rPr>
      <w:rFonts w:ascii="宋体" w:hAnsi="Courier New" w:cs="Courier New"/>
    </w:rPr>
  </w:style>
  <w:style w:type="table" w:styleId="997" w:customStyle="1">
    <w:name w:val="网格型1"/>
    <w:basedOn w:val="998"/>
    <w:uiPriority w:val="0"/>
    <w:qFormat/>
    <w:pPr>
      <w:jc w:val="both"/>
      <w:widowControl w:val="off"/>
    </w:pPr>
    <w:tblPr/>
  </w:style>
  <w:style w:type="table" w:styleId="998" w:customStyle="1">
    <w:name w:val="普通表格1"/>
    <w:uiPriority w:val="99"/>
    <w:unhideWhenUsed/>
    <w:qFormat/>
    <w:tblPr/>
  </w:style>
  <w:style w:type="character" w:styleId="999" w:customStyle="1">
    <w:name w:val="15"/>
    <w:basedOn w:val="885"/>
    <w:link w:val="690"/>
    <w:uiPriority w:val="0"/>
    <w:qFormat/>
    <w:rPr>
      <w:rFonts w:ascii="Times New Roman" w:hAnsi="Times New Roman" w:cs="Times New Roman"/>
    </w:rPr>
  </w:style>
  <w:style w:type="paragraph" w:styleId="1000" w:customStyle="1">
    <w:name w:val="正文首行缩进 211"/>
    <w:basedOn w:val="1001"/>
    <w:next w:val="690"/>
    <w:uiPriority w:val="0"/>
    <w:qFormat/>
    <w:pPr>
      <w:ind w:left="0" w:firstLine="420"/>
      <w:spacing w:after="0" w:line="360" w:lineRule="auto"/>
    </w:pPr>
    <w:rPr>
      <w:rFonts w:ascii="宋体" w:hAnsi="宋体" w:eastAsia="宋体" w:cs="Times New Roman"/>
      <w:szCs w:val="20"/>
    </w:rPr>
  </w:style>
  <w:style w:type="paragraph" w:styleId="1001" w:customStyle="1">
    <w:name w:val="正文文本缩进11"/>
    <w:basedOn w:val="690"/>
    <w:next w:val="1002"/>
    <w:uiPriority w:val="0"/>
    <w:unhideWhenUsed/>
    <w:qFormat/>
    <w:pPr>
      <w:ind w:left="420"/>
      <w:spacing w:after="120"/>
    </w:pPr>
  </w:style>
  <w:style w:type="paragraph" w:styleId="1002" w:customStyle="1">
    <w:name w:val="寄信人地址1"/>
    <w:basedOn w:val="690"/>
    <w:uiPriority w:val="0"/>
    <w:qFormat/>
    <w:rPr>
      <w:rFonts w:ascii="Arial" w:hAnsi="Arial" w:eastAsia="宋体" w:cs="宋体"/>
    </w:rPr>
  </w:style>
  <w:style w:type="paragraph" w:styleId="1003" w:customStyle="1">
    <w:name w:val="Table Paragraph"/>
    <w:basedOn w:val="690"/>
    <w:uiPriority w:val="1"/>
    <w:qFormat/>
    <w:pPr>
      <w:jc w:val="left"/>
    </w:pPr>
    <w:rPr>
      <w:rFonts w:ascii="宋体" w:hAnsi="宋体" w:eastAsia="宋体" w:cs="宋体"/>
      <w:sz w:val="22"/>
      <w:szCs w:val="22"/>
      <w:lang w:val="zh-CN" w:bidi="zh-CN"/>
    </w:rPr>
  </w:style>
  <w:style w:type="paragraph" w:styleId="1004" w:customStyle="1">
    <w:name w:val="列出段落"/>
    <w:basedOn w:val="991"/>
    <w:next w:val="690"/>
    <w:uiPriority w:val="0"/>
    <w:qFormat/>
    <w:pPr>
      <w:ind w:firstLine="482"/>
    </w:pPr>
    <w:rPr>
      <w:b/>
    </w:rPr>
  </w:style>
  <w:style w:type="numbering" w:styleId="286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3</cp:revision>
  <dcterms:created xsi:type="dcterms:W3CDTF">2023-03-27T07:28:00Z</dcterms:created>
  <dcterms:modified xsi:type="dcterms:W3CDTF">2026-09-17T02:39:37Z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eyJoZGlkIjoiMzVhODdlMDQ1ZDZmMWUwN2NlZDliM2ZmOGRhZjEyNzciLCJ1c2VySWQiOiIxMDg0MzE1MDk5In0=</vt:lpwstr>
  </property>
  <property fmtid="{D5CDD505-2E9C-101B-9397-08002B2CF9AE}" pid="3" name="KSOProductBuildVer">
    <vt:lpwstr>2052-12.1.0.28505</vt:lpwstr>
  </property>
  <property fmtid="{D5CDD505-2E9C-101B-9397-08002B2CF9AE}" pid="4" name="ICV">
    <vt:lpwstr>2E53276CC4B441BF9DDC721E6097C48B_12</vt:lpwstr>
  </property>
</Properties>
</file>