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 </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76"/>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76"/>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JSZC-321283-HWZX-G2026-0506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0675-266JOC003753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4K腹腔镜摄像系统</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泰兴市中医院</w:t>
      </w:r>
      <w:r/>
    </w:p>
    <w:p>
      <w:pPr>
        <w:pStyle w:val="818"/>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2026年8月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77"/>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77"/>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77"/>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77"/>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77"/>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77"/>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4K腹腔镜摄像系统</w:t>
      </w:r>
      <w:r>
        <w:rPr>
          <w:rFonts w:hint="eastAsia" w:cs="仿宋" w:asciiTheme="minorEastAsia" w:hAnsiTheme="minorEastAsia" w:eastAsiaTheme="minorEastAsia"/>
          <w:color w:val="000000" w:themeColor="text1"/>
          <w:sz w:val="24"/>
          <w:szCs w:val="24"/>
        </w:rPr>
        <w:t xml:space="preserve">招标项目的潜在投标人可</w:t>
      </w:r>
      <w:r>
        <w:rPr>
          <w:rFonts w:hint="eastAsia" w:cs="仿宋" w:asciiTheme="minorEastAsia" w:hAnsiTheme="minorEastAsia" w:eastAsiaTheme="minorEastAsia"/>
          <w:color w:val="000000" w:themeColor="text1"/>
          <w:sz w:val="24"/>
          <w:szCs w:val="24"/>
        </w:rPr>
        <w:t xml:space="preserve">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22"/>
            <w:rFonts w:hint="eastAsia" w:cs="仿宋" w:asciiTheme="minorEastAsia" w:hAnsiTheme="minorEastAsia" w:eastAsiaTheme="minorEastAsia"/>
            <w:color w:val="000000" w:themeColor="text1"/>
            <w:sz w:val="24"/>
            <w:szCs w:val="24"/>
            <w:u w:val="none"/>
          </w:rPr>
          <w:t xml:space="preserve">，并于</w:t>
        </w:r>
        <w:r>
          <w:rPr>
            <w:rStyle w:val="822"/>
            <w:rFonts w:hint="eastAsia" w:cs="仿宋" w:asciiTheme="minorEastAsia" w:hAnsiTheme="minorEastAsia" w:eastAsiaTheme="minorEastAsia"/>
            <w:color w:val="000000" w:themeColor="text1"/>
            <w:sz w:val="24"/>
            <w:szCs w:val="24"/>
          </w:rPr>
          <w:t xml:space="preserve">2026年</w:t>
        </w:r>
        <w:r>
          <w:rPr>
            <w:rStyle w:val="822"/>
            <w:rFonts w:cs="仿宋" w:asciiTheme="minorEastAsia" w:hAnsiTheme="minorEastAsia" w:eastAsiaTheme="minorEastAsia"/>
            <w:color w:val="000000" w:themeColor="text1"/>
            <w:sz w:val="24"/>
            <w:szCs w:val="24"/>
          </w:rPr>
          <w:t xml:space="preserve">9</w:t>
        </w:r>
        <w:r>
          <w:rPr>
            <w:rStyle w:val="822"/>
            <w:rFonts w:hint="eastAsia" w:cs="仿宋" w:asciiTheme="minorEastAsia" w:hAnsiTheme="minorEastAsia" w:eastAsiaTheme="minorEastAsia"/>
            <w:color w:val="000000" w:themeColor="text1"/>
            <w:sz w:val="24"/>
            <w:szCs w:val="24"/>
          </w:rPr>
          <w:t xml:space="preserve">月</w:t>
        </w:r>
      </w:hyperlink>
      <w:r>
        <w:rPr>
          <w:rStyle w:val="822"/>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78"/>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JSZC-321283-HWZX-G2026-0506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0675-266JOC003753</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4K腹腔镜摄像系统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05"/>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hint="eastAsia" w:cs="仿宋" w:asciiTheme="minorEastAsia" w:hAnsiTheme="minorEastAsia" w:eastAsiaTheme="minorEastAsia"/>
                <w:color w:val="000000" w:themeColor="text1"/>
                <w:sz w:val="24"/>
                <w:szCs w:val="24"/>
              </w:rPr>
              <w:t xml:space="preserve">4K腹腔镜摄像系统</w:t>
            </w:r>
            <w:r>
              <w:rPr>
                <w:rFonts w:hint="eastAsia" w:cs="仿宋" w:asciiTheme="minorEastAsia" w:hAnsiTheme="minorEastAsia" w:eastAsiaTheme="minorEastAsia"/>
                <w:color w:val="000000" w:themeColor="text1"/>
                <w:sz w:val="24"/>
                <w:szCs w:val="24"/>
              </w:rPr>
              <w:t xml:space="preserve"> </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979"/>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79"/>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78"/>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w:t>
      </w:r>
      <w:r>
        <w:rPr>
          <w:rFonts w:ascii="宋体" w:hAnsi="宋体" w:eastAsia="宋体"/>
          <w:bCs/>
          <w:sz w:val="24"/>
          <w:szCs w:val="24"/>
        </w:rPr>
        <w:t xml:space="preserve">财购(</w:t>
      </w:r>
      <w:r>
        <w:rPr>
          <w:rFonts w:ascii="宋体" w:hAnsi="宋体" w:eastAsia="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投标人需提供三类医疗器械经营企业许可证/二类医疗器械经营备案凭证、所投产品医疗器械注册证/医疗器械备案凭证；</w:t>
      </w:r>
      <w:r>
        <w:rPr>
          <w:rFonts w:hint="eastAsia" w:ascii="宋体" w:hAnsi="宋体" w:eastAsia="宋体"/>
          <w:bCs/>
          <w:sz w:val="24"/>
          <w:szCs w:val="24"/>
        </w:rPr>
        <w:t xml:space="preserve"> </w:t>
      </w:r>
      <w:r/>
    </w:p>
    <w:p>
      <w:pPr>
        <w:pStyle w:val="978"/>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978"/>
        <w:spacing w:before="0" w:after="0" w:line="360" w:lineRule="auto"/>
        <w:rPr>
          <w:rFonts w:hint="eastAsia" w:cs="仿宋" w:asciiTheme="minorEastAsia" w:hAnsiTheme="minorEastAsia" w:eastAsiaTheme="minorEastAsia"/>
          <w:bCs w:val="0"/>
          <w:color w:val="000000" w:themeColor="text1"/>
          <w:sz w:val="24"/>
          <w:szCs w:val="24"/>
        </w:rPr>
      </w:pPr>
      <w:r/>
      <w:bookmarkStart w:id="19" w:name="_Toc28359005"/>
      <w:r/>
      <w:bookmarkStart w:id="20" w:name="_Toc28359082"/>
      <w:r/>
      <w:bookmarkStart w:id="21" w:name="_Toc35393793"/>
      <w:r/>
      <w:bookmarkStart w:id="22" w:name="_Toc35393624"/>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采云”系统不见面开标大厅</w:t>
      </w:r>
      <w:r/>
    </w:p>
    <w:p>
      <w:pPr>
        <w:pStyle w:val="978"/>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84"/>
      <w:r/>
      <w:bookmarkStart w:id="24" w:name="_Toc35393625"/>
      <w:r/>
      <w:bookmarkStart w:id="25" w:name="_Toc28359007"/>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78"/>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29" w:name="_Toc35393627"/>
      <w:r/>
      <w:bookmarkStart w:id="30" w:name="_Toc35393796"/>
      <w:r/>
      <w:bookmarkStart w:id="31" w:name="_Toc28359008"/>
      <w:r/>
      <w:bookmarkStart w:id="32"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978"/>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泰兴市中医院</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泰兴市银杏东路1号</w:t>
      </w:r>
      <w:r>
        <w:rPr>
          <w:rFonts w:hint="eastAsia" w:ascii="宋体" w:hAnsi="宋体" w:eastAsia="宋体"/>
          <w:bCs/>
          <w:sz w:val="24"/>
          <w:szCs w:val="24"/>
        </w:rPr>
        <w:t xml:space="preserve"> </w:t>
      </w:r>
      <w:r/>
    </w:p>
    <w:p>
      <w:pPr>
        <w:ind w:firstLine="512"/>
        <w:spacing w:line="360" w:lineRule="auto"/>
        <w:rPr>
          <w:rFonts w:hint="eastAsia" w:asciiTheme="minorEastAsia" w:hAnsiTheme="minorEastAsia" w:eastAsiaTheme="minorEastAsia"/>
          <w:spacing w:val="8"/>
          <w:sz w:val="24"/>
          <w:szCs w:val="24"/>
          <w:lang w:val="zh-CN"/>
        </w:rPr>
      </w:pPr>
      <w:r>
        <w:rPr>
          <w:rFonts w:hint="eastAsia" w:asciiTheme="minorEastAsia" w:hAnsiTheme="minorEastAsia" w:eastAsiaTheme="minorEastAsia"/>
          <w:spacing w:val="8"/>
          <w:sz w:val="24"/>
          <w:szCs w:val="24"/>
          <w:lang w:val="zh-CN"/>
        </w:rPr>
        <w:t xml:space="preserve">联系人：张科长   </w:t>
      </w:r>
      <w:r/>
    </w:p>
    <w:p>
      <w:pPr>
        <w:ind w:firstLine="512"/>
        <w:spacing w:line="360" w:lineRule="auto"/>
        <w:rPr>
          <w:rFonts w:hint="eastAsia" w:asciiTheme="minorEastAsia" w:hAnsiTheme="minorEastAsia" w:eastAsiaTheme="minorEastAsia"/>
          <w:bCs/>
          <w:spacing w:val="8"/>
          <w:sz w:val="24"/>
          <w:szCs w:val="24"/>
          <w:lang w:val="zh-CN"/>
        </w:rPr>
      </w:pPr>
      <w:r>
        <w:rPr>
          <w:rFonts w:hint="eastAsia" w:asciiTheme="minorEastAsia" w:hAnsiTheme="minorEastAsia" w:eastAsiaTheme="minorEastAsia"/>
          <w:spacing w:val="8"/>
          <w:sz w:val="24"/>
          <w:szCs w:val="24"/>
          <w:lang w:val="zh-CN"/>
        </w:rPr>
        <w:t xml:space="preserve">联系方式：0523-87900059</w:t>
      </w:r>
      <w:r>
        <w:rPr>
          <w:rFonts w:hint="eastAsia" w:asciiTheme="minorEastAsia" w:hAnsiTheme="minorEastAsia" w:eastAsiaTheme="minorEastAsia"/>
          <w:bCs/>
          <w:spacing w:val="8"/>
          <w:sz w:val="24"/>
          <w:szCs w:val="24"/>
          <w:lang w:val="zh-CN"/>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hint="eastAsia"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4K腹腔镜摄像系统</w:t>
            </w:r>
            <w:r/>
          </w:p>
        </w:tc>
      </w:tr>
      <w:tr>
        <w:trPr>
          <w:jc w:val="center"/>
          <w:trHeight w:val="543"/>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35"/>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35"/>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35"/>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81"/>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安装调试验收合格入库一周后支付合同无息总金额的30%，正常运行六个月后支付合同无息总金额的60%，一年</w:t>
            </w:r>
            <w:r>
              <w:rPr>
                <w:rFonts w:hint="eastAsia" w:cs="仿宋" w:asciiTheme="minorEastAsia" w:hAnsiTheme="minorEastAsia" w:eastAsiaTheme="minorEastAsia"/>
                <w:bCs/>
                <w:color w:val="000000" w:themeColor="text1"/>
                <w:sz w:val="24"/>
                <w:szCs w:val="24"/>
              </w:rPr>
              <w:t xml:space="preserve">期满后支付合同余款。如有特殊情况可商议。如果中标人为中小企业，按&lt;&lt;保障中小企业款项支付条例&gt;&gt;(</w:t>
            </w:r>
            <w:r>
              <w:rPr>
                <w:rFonts w:hint="eastAsia" w:cs="仿宋" w:asciiTheme="minorEastAsia" w:hAnsiTheme="minorEastAsia" w:eastAsiaTheme="minorEastAsia"/>
                <w:bCs/>
                <w:color w:val="000000" w:themeColor="text1"/>
                <w:sz w:val="24"/>
                <w:szCs w:val="24"/>
              </w:rPr>
              <w:t xml:space="preserve">国令第802号</w:t>
            </w:r>
            <w:r>
              <w:rPr>
                <w:rFonts w:hint="eastAsia" w:cs="仿宋" w:asciiTheme="minorEastAsia" w:hAnsiTheme="minorEastAsia" w:eastAsiaTheme="minorEastAsia"/>
                <w:bCs/>
                <w:color w:val="000000" w:themeColor="text1"/>
                <w:sz w:val="24"/>
                <w:szCs w:val="24"/>
              </w:rPr>
              <w:t xml:space="preserve">)相关要求执行.</w:t>
            </w:r>
            <w:r>
              <w:rPr>
                <w:rFonts w:cs="仿宋" w:asciiTheme="minorEastAsia" w:hAnsiTheme="minorEastAsia" w:eastAsiaTheme="minorEastAsia"/>
                <w:bCs/>
                <w:color w:val="000000" w:themeColor="text1"/>
                <w:sz w:val="24"/>
                <w:szCs w:val="24"/>
              </w:rPr>
              <w:t xml:space="preserve"> </w:t>
            </w:r>
            <w:r/>
          </w:p>
        </w:tc>
      </w:tr>
      <w:tr>
        <w:trPr>
          <w:jc w:val="center"/>
          <w:trHeight w:val="135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981"/>
              <w:ind w:firstLine="0"/>
              <w:spacing w:line="360" w:lineRule="auto"/>
              <w:rPr>
                <w:rFonts w:hint="eastAsia" w:cs="仿宋" w:asciiTheme="minorEastAsia" w:hAnsiTheme="minorEastAsia" w:eastAsiaTheme="minorEastAsia"/>
                <w:bCs/>
                <w:color w:val="000000" w:themeColor="text1"/>
                <w:szCs w:val="24"/>
              </w:rPr>
            </w:pPr>
            <w:r>
              <w:rPr>
                <w:rFonts w:cs="仿宋" w:asciiTheme="minorEastAsia" w:hAnsiTheme="minorEastAsia" w:eastAsiaTheme="minorEastAsia"/>
                <w:b/>
                <w:bCs/>
                <w:color w:val="000000" w:themeColor="text1"/>
                <w:szCs w:val="24"/>
              </w:rPr>
              <w:t xml:space="preserve">项目预算中已包含代理服务费，为提高资金支付效率，本项目代理服务费由中标人支付，投标报价需包含中标服务费。</w:t>
            </w:r>
            <w:r>
              <w:rPr>
                <w:rFonts w:hint="eastAsia" w:cs="仿宋" w:asciiTheme="minorEastAsia" w:hAnsiTheme="minorEastAsia" w:eastAsiaTheme="minorEastAsia"/>
                <w:b/>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，中标供应商需</w:t>
            </w:r>
            <w:bookmarkStart w:id="34"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按照江苏省政府采购协会《关于印发(江苏省政府采购代理服务收费指导意见〉的通知》(苏</w:t>
            </w:r>
            <w:r>
              <w:rPr>
                <w:rFonts w:hint="eastAsia" w:cs="仿宋" w:asciiTheme="minorEastAsia" w:hAnsiTheme="minorEastAsia" w:eastAsiaTheme="minorEastAsia"/>
                <w:color w:val="000000" w:themeColor="text1"/>
                <w:szCs w:val="24"/>
              </w:rPr>
              <w:t xml:space="preserve">政采协</w:t>
            </w:r>
            <w:r>
              <w:rPr>
                <w:rFonts w:hint="eastAsia" w:cs="仿宋" w:asciiTheme="minorEastAsia" w:hAnsiTheme="minorEastAsia" w:eastAsiaTheme="minorEastAsia"/>
                <w:color w:val="000000" w:themeColor="text1"/>
                <w:szCs w:val="24"/>
              </w:rPr>
              <w:t xml:space="preserve">(2024</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20号)文件规定的收费标准</w:t>
            </w:r>
            <w:r>
              <w:rPr>
                <w:rFonts w:hint="eastAsia" w:cs="仿宋" w:asciiTheme="minorEastAsia" w:hAnsiTheme="minorEastAsia" w:eastAsiaTheme="minorEastAsia"/>
                <w:color w:val="000000" w:themeColor="text1"/>
                <w:szCs w:val="24"/>
              </w:rPr>
              <w:t xml:space="preserve">的80%</w:t>
            </w:r>
            <w:r>
              <w:rPr>
                <w:rFonts w:hint="eastAsia" w:cs="仿宋" w:asciiTheme="minorEastAsia" w:hAnsiTheme="minorEastAsia" w:eastAsiaTheme="minorEastAsia"/>
                <w:bCs/>
                <w:color w:val="000000" w:themeColor="text1"/>
                <w:szCs w:val="24"/>
              </w:rPr>
              <w:t xml:space="preserve">，向采购代理机构一次性缴纳代理服务费，</w:t>
            </w:r>
            <w:bookmarkEnd w:id="34"/>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cs="仿宋" w:asciiTheme="minorEastAsia" w:hAnsiTheme="minorEastAsia" w:eastAsiaTheme="minorEastAsia"/>
                <w:bCs/>
                <w:color w:val="000000" w:themeColor="text1"/>
                <w:szCs w:val="24"/>
              </w:rPr>
              <w:t xml:space="preserve">753</w:t>
            </w:r>
            <w:r>
              <w:rPr>
                <w:rFonts w:hint="eastAsia" w:cs="仿宋" w:asciiTheme="minorEastAsia" w:hAnsiTheme="minorEastAsia" w:eastAsiaTheme="minorEastAsia"/>
                <w:bCs/>
                <w:color w:val="000000" w:themeColor="text1"/>
                <w:szCs w:val="24"/>
              </w:rPr>
              <w:t xml:space="preserve">代理服务费。</w:t>
            </w:r>
            <w:r/>
          </w:p>
          <w:p>
            <w:pPr>
              <w:pStyle w:val="981"/>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1"/>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981"/>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981"/>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981"/>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981"/>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81"/>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81"/>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81"/>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w:t>
            </w:r>
            <w:r>
              <w:rPr>
                <w:rFonts w:hint="eastAsia" w:cs="仿宋" w:asciiTheme="minorEastAsia" w:hAnsiTheme="minorEastAsia" w:eastAsiaTheme="minorEastAsia"/>
                <w:color w:val="000000" w:themeColor="text1"/>
                <w:szCs w:val="24"/>
              </w:rPr>
              <w:t xml:space="preserve">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w:t>
      </w:r>
      <w:r>
        <w:rPr>
          <w:rFonts w:hint="eastAsia" w:cs="仿宋" w:asciiTheme="minorEastAsia" w:hAnsiTheme="minorEastAsia" w:eastAsiaTheme="minorEastAsia"/>
          <w:color w:val="000000" w:themeColor="text1"/>
          <w:szCs w:val="24"/>
        </w:rPr>
        <w:t xml:space="preserve">标、评审、确定中标单位、验收、合同履约、付款等（法律、法规另有规定的，从其规定）。</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1"/>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81"/>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81"/>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80"/>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5" w:name="_Toc217446047"/>
      <w:r>
        <w:rPr>
          <w:rFonts w:hint="eastAsia" w:cs="仿宋" w:asciiTheme="minorEastAsia" w:hAnsiTheme="minorEastAsia" w:eastAsiaTheme="minorEastAsia"/>
          <w:b/>
          <w:color w:val="000000" w:themeColor="text1"/>
          <w:sz w:val="24"/>
          <w:szCs w:val="24"/>
        </w:rPr>
        <w:t xml:space="preserve">2.知识产权</w:t>
      </w:r>
      <w:bookmarkEnd w:id="35"/>
      <w:r/>
      <w:r/>
    </w:p>
    <w:p>
      <w:pPr>
        <w:pStyle w:val="981"/>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35"/>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35"/>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81"/>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81"/>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81"/>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81"/>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25"/>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w:t>
      </w:r>
      <w:r>
        <w:rPr>
          <w:rFonts w:hint="eastAsia" w:cs="仿宋" w:asciiTheme="minorEastAsia" w:hAnsiTheme="minorEastAsia" w:eastAsiaTheme="minorEastAsia"/>
          <w:color w:val="000000" w:themeColor="text1"/>
          <w:sz w:val="24"/>
          <w:szCs w:val="24"/>
        </w:rPr>
        <w:t xml:space="preserve">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w:t>
      </w:r>
      <w:r>
        <w:rPr>
          <w:rFonts w:hint="eastAsia" w:cs="仿宋" w:asciiTheme="minorEastAsia" w:hAnsiTheme="minorEastAsia" w:eastAsiaTheme="minorEastAsia"/>
          <w:color w:val="000000" w:themeColor="text1"/>
          <w:sz w:val="24"/>
          <w:szCs w:val="24"/>
        </w:rPr>
        <w:t xml:space="preserve">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981"/>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81"/>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81"/>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w:t>
      </w:r>
      <w:r>
        <w:rPr>
          <w:rFonts w:hint="eastAsia" w:cs="仿宋" w:asciiTheme="minorEastAsia" w:hAnsiTheme="minorEastAsia" w:eastAsiaTheme="minorEastAsia"/>
          <w:color w:val="000000" w:themeColor="text1"/>
          <w:sz w:val="24"/>
          <w:szCs w:val="24"/>
        </w:rPr>
        <w:t xml:space="preserve">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81"/>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81"/>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w:t>
      </w:r>
      <w:r>
        <w:rPr>
          <w:rFonts w:hint="eastAsia" w:cs="仿宋" w:asciiTheme="minorEastAsia" w:hAnsiTheme="minorEastAsia" w:eastAsiaTheme="minorEastAsia"/>
          <w:color w:val="000000" w:themeColor="text1"/>
          <w:sz w:val="24"/>
          <w:szCs w:val="24"/>
        </w:rPr>
        <w:t xml:space="preserve">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81"/>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w:t>
      </w:r>
      <w:r>
        <w:rPr>
          <w:rFonts w:hint="eastAsia" w:cs="仿宋" w:asciiTheme="minorEastAsia" w:hAnsiTheme="minorEastAsia" w:eastAsiaTheme="minorEastAsia"/>
          <w:color w:val="000000" w:themeColor="text1"/>
          <w:sz w:val="24"/>
          <w:szCs w:val="24"/>
        </w:rPr>
        <w:t xml:space="preserve">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81"/>
        <w:ind w:firstLine="431"/>
        <w:jc w:val="both"/>
        <w:spacing w:line="360" w:lineRule="auto"/>
        <w:rPr>
          <w:rFonts w:hint="eastAsia" w:cs="仿宋" w:asciiTheme="minorEastAsia" w:hAnsiTheme="minorEastAsia" w:eastAsiaTheme="minorEastAsia"/>
          <w:color w:val="000000" w:themeColor="text1"/>
          <w:szCs w:val="24"/>
        </w:rPr>
      </w:pPr>
      <w:r/>
      <w:bookmarkStart w:id="36"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81"/>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信息第一行【供应商是否融资】选项里面设置为“是”。</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81"/>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7" w:name="_Toc388026586"/>
      <w:r/>
      <w:bookmarkEnd w:id="36"/>
      <w:r/>
      <w:r/>
    </w:p>
    <w:p>
      <w:pPr>
        <w:pStyle w:val="981"/>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1"/>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981"/>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7"/>
      <w:r>
        <w:rPr>
          <w:rFonts w:hint="eastAsia" w:cs="仿宋" w:asciiTheme="minorEastAsia" w:hAnsiTheme="minorEastAsia" w:eastAsiaTheme="minorEastAsia"/>
          <w:b/>
          <w:color w:val="000000" w:themeColor="text1"/>
          <w:sz w:val="32"/>
          <w:szCs w:val="32"/>
        </w:rPr>
        <w:t xml:space="preserve">需求</w:t>
      </w:r>
      <w:r/>
    </w:p>
    <w:p>
      <w:pPr>
        <w:pStyle w:val="835"/>
        <w:ind w:left="720" w:firstLine="0"/>
        <w:jc w:val="left"/>
        <w:spacing w:line="360" w:lineRule="auto"/>
        <w:tabs>
          <w:tab w:val="left" w:pos="1260" w:leader="none"/>
        </w:tabs>
        <w:rPr>
          <w:rFonts w:hint="eastAsia" w:ascii="宋体" w:hAnsi="宋体" w:eastAsia="宋体"/>
          <w:b/>
          <w:sz w:val="28"/>
          <w:szCs w:val="28"/>
        </w:rPr>
      </w:pPr>
      <w:r/>
      <w:bookmarkStart w:id="38" w:name="_Toc388026588"/>
      <w:r/>
      <w:bookmarkStart w:id="39"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05"/>
        <w:tblW w:w="512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8"/>
        <w:gridCol w:w="4023"/>
        <w:gridCol w:w="1037"/>
        <w:gridCol w:w="2543"/>
      </w:tblGrid>
      <w:tr>
        <w:trPr>
          <w:jc w:val="center"/>
          <w:trHeight w:val="707"/>
        </w:trPr>
        <w:tc>
          <w:tcPr>
            <w:tcW w:w="528"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36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1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3" w:hRule="exact"/>
        </w:trPr>
        <w:tc>
          <w:tcPr>
            <w:shd w:val="clear" w:color="auto" w:fill="ffffff"/>
            <w:tcW w:w="528" w:type="pct"/>
            <w:vAlign w:val="center"/>
            <w:textDirection w:val="lrTb"/>
            <w:noWrap w:val="false"/>
          </w:tcPr>
          <w:p>
            <w:pPr>
              <w:jc w:val="center"/>
              <w:spacing w:line="360" w:lineRule="auto"/>
              <w:rPr>
                <w:rFonts w:hint="eastAsia" w:ascii="宋体" w:hAnsi="宋体" w:eastAsia="宋体" w:cs="宋体"/>
                <w:sz w:val="24"/>
                <w:szCs w:val="24"/>
              </w:rPr>
            </w:pPr>
            <w:r/>
            <w:bookmarkStart w:id="40"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366"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4K腹腔镜摄像系统</w:t>
            </w:r>
            <w:r/>
          </w:p>
        </w:tc>
        <w:tc>
          <w:tcPr>
            <w:shd w:val="clear" w:color="auto" w:fill="ffffff"/>
            <w:tcW w:w="61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泰兴市中医院</w:t>
            </w:r>
            <w:r>
              <w:rPr>
                <w:rFonts w:hint="eastAsia" w:ascii="宋体" w:hAnsi="宋体" w:eastAsia="宋体" w:cs="宋体"/>
                <w:sz w:val="24"/>
                <w:szCs w:val="24"/>
              </w:rPr>
              <w:t xml:space="preserve">指定地点</w:t>
            </w:r>
            <w:bookmarkEnd w:id="40"/>
            <w:r/>
          </w:p>
        </w:tc>
      </w:tr>
    </w:tbl>
    <w:p>
      <w:pPr>
        <w:spacing w:line="360" w:lineRule="auto"/>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788"/>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hint="eastAsia" w:ascii="宋体" w:hAnsi="宋体" w:eastAsia="宋体" w:cs="宋体"/>
          <w:b/>
          <w:bCs/>
          <w:sz w:val="24"/>
          <w:szCs w:val="24"/>
        </w:rPr>
      </w:pPr>
      <w:r/>
      <w:bookmarkStart w:id="41" w:name="_Hlk238136130"/>
      <w:r>
        <w:rPr>
          <w:rFonts w:hint="eastAsia" w:ascii="宋体" w:hAnsi="宋体" w:eastAsia="宋体" w:cs="宋体"/>
          <w:b/>
          <w:bCs/>
          <w:sz w:val="24"/>
          <w:szCs w:val="24"/>
        </w:rPr>
        <w:t xml:space="preserve">一、摄像主机（包含主机及摄像模块）</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1、▲主机模块化设计，可同时连接≥3种功能的模块，可搭载硬镜模块，电子软镜模块（包含可兼容同品牌复用电子软镜：电子输尿管镜、电子膀胱镜等）等，便于升级及售后服务（提供注册证证明材料）。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2、可处理3D和2D画面信号，兼容3D外视镜等腔镜，输出分辨率≥3840x2160，逐行扫描。可同时处理可见光波段及近红外波段。（提供材料证明）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、摄像主机，冷光源，气腹机使用年限均不少于8年，提高设备经济效益；（须提供设备铭牌证明材料）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cs="宋体"/>
          <w:szCs w:val="21"/>
          <w:highlight w:val="yellow"/>
          <w:lang w:val="de-DE" w:bidi="ar"/>
        </w:rPr>
        <w:t xml:space="preserve">★</w:t>
      </w:r>
      <w:r>
        <w:rPr>
          <w:rFonts w:hint="eastAsia" w:ascii="宋体" w:hAnsi="宋体" w:eastAsia="宋体" w:cs="宋体"/>
          <w:sz w:val="24"/>
          <w:szCs w:val="24"/>
        </w:rPr>
        <w:t xml:space="preserve">主要部件：摄像主机，摄像头，镜头，冷光源，气腹机，导光束均为同一品牌，便于统一售后服务。（提供产品注册证作为证明材料）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、▲配备该机型可兼容同品牌可复用软镜，提高设备使用率（提供医疗器械注册证或说明书证明材料）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、▲主机兼容同品牌≥8种全高清硬式摄像头（须列出具体型号及产品说明书及注册证等证明材料）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、▲主机兼容≤5mm 3D镜（须提供产品彩页及注册证等证明材料）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、▲主机输出端口：主机信号输出端口：包括≥2个DP口，≥1个12G/3G-SDI,≥1个DVI口，可转出多路信号同时输出（须提供产品说明书及实物图等证明材料）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、主机支持≥3种荧光模式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0</w:t>
      </w:r>
      <w:r>
        <w:rPr>
          <w:rFonts w:hint="eastAsia" w:ascii="宋体" w:hAnsi="宋体" w:eastAsia="宋体" w:cs="宋体"/>
          <w:sz w:val="24"/>
          <w:szCs w:val="24"/>
        </w:rPr>
        <w:t xml:space="preserve">、主机可实现同品牌单主机双镜联合，腹腔镜和电子输尿管软镜（非一次性）联合，纤维胆道镜和腹腔镜联合，宫腔镜和腹腔镜联合，两幅不同内镜图像在同一显示器分屏显示。（须提供产品说明书、注册证或原厂官方彩页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、主机≥5种影像增强功能，可根据手术需要，动态调节画面亮度，暗处增亮并降低反光；可实现图像色彩增益；≥2种腔镜光谱分析处理模式，可提高对血管及组织的辨识度（提供材料证明）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、▲主机可兼容同品牌3D外视镜，用于小创口显微手术（须提供产品说明书</w:t>
      </w:r>
      <w:r>
        <w:rPr>
          <w:rFonts w:hint="eastAsia" w:ascii="宋体" w:hAnsi="宋体" w:eastAsia="宋体" w:cs="宋体"/>
          <w:sz w:val="24"/>
          <w:szCs w:val="24"/>
        </w:rPr>
        <w:t xml:space="preserve">或彩页等证明材料）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3</w:t>
      </w:r>
      <w:r>
        <w:rPr>
          <w:rFonts w:hint="eastAsia" w:ascii="宋体" w:hAnsi="宋体" w:eastAsia="宋体" w:cs="宋体"/>
          <w:sz w:val="24"/>
          <w:szCs w:val="24"/>
        </w:rPr>
        <w:t xml:space="preserve">、▲主机具备“白平衡”实体按键，方便操控（须提供实物照片证明材料）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4</w:t>
      </w:r>
      <w:r>
        <w:rPr>
          <w:rFonts w:hint="eastAsia" w:ascii="宋体" w:hAnsi="宋体" w:eastAsia="宋体" w:cs="宋体"/>
          <w:sz w:val="24"/>
          <w:szCs w:val="24"/>
        </w:rPr>
        <w:t xml:space="preserve">、▲主机原装内置≥4个USB接口，可接移动硬盘，鼠标，键盘，打印机等外接设备使用（须提供产品说明书或实物图等证明材料）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5</w:t>
      </w:r>
      <w:r>
        <w:rPr>
          <w:rFonts w:hint="eastAsia" w:ascii="宋体" w:hAnsi="宋体" w:eastAsia="宋体" w:cs="宋体"/>
          <w:sz w:val="24"/>
          <w:szCs w:val="24"/>
        </w:rPr>
        <w:t xml:space="preserve">、主机集成原装内置图文工作站功能，可术中记录录像及图片，方便录像，转播，拓展及升级使用。（须提供产品说明书等证明材料）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6</w:t>
      </w:r>
      <w:r>
        <w:rPr>
          <w:rFonts w:hint="eastAsia" w:ascii="宋体" w:hAnsi="宋体" w:eastAsia="宋体" w:cs="宋体"/>
          <w:sz w:val="24"/>
          <w:szCs w:val="24"/>
        </w:rPr>
        <w:t xml:space="preserve">、▲主机兼容升级支持可视电子纵膈镜，可实现纵膈淋巴结活检切除，纵膈囊肿或肿瘤切除等微创手术，功能多样，可开展更多术式，提高使用率（提供注册证等作为证明材料）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二、4K NIR摄像头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1、采集像素：摄像头像素不小于3840 x 2160，逐行扫描，双CMOS设计，图像格式16：9（提供证明材料）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2、重量≤260g，握持轻便，支持低温等离子灭菌≥280次（提供证明材料）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3、可同时采集可见光波段及近红外波段，可实现ICG荧光与电子染色联合，实现双重染色（提供材料证明）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4、具备集总控制功能，可实现通过摄像头按键控制气腹机，冷光源等（提供证明材料）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5、▲设计操作简捷，无AF按键，免调焦设计，在视觉中全部景深范围内均清晰呈现，保证手术流畅性。（提供证明材料）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三、LED冷光源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1、▲冷光源使用LED技术，白光和荧光均使用LED技术实现，无激光设计，最大程度上保证医务人员的使用安全（须提供经监管部门备案的说明书等证明材料）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2、▲LED灯泡，寿命≥30000小时。（无激光技术设计，提供证明材料）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3、安全等级: CF级I类防护，对电击防护程度高，漏电流控制严格，可用于心脏相关内窥镜手术。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4、▲荧光和白光模式的切换方式≥3种（如摄像头、脚踏、键盘等），方便操控（须提供产品说明书和实物图连接图证明材料）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四、40L气腹机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1、气腹机有小儿模式和高流量模式，具有Auto模式，可自动调节光源亮度，</w:t>
      </w:r>
      <w:r>
        <w:rPr>
          <w:rFonts w:hint="eastAsia" w:ascii="宋体" w:hAnsi="宋体" w:eastAsia="宋体" w:cs="宋体"/>
          <w:sz w:val="24"/>
          <w:szCs w:val="24"/>
        </w:rPr>
        <w:t xml:space="preserve">最小流量为0.1升/分钟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2、灌流速度最高达40L/min。压力调节范围:1-30mmHg；流速调节范围:1-40L/min</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3、▲电器安全要求为等级CF级，使用安全可靠，可用于佩戴心脏起搏器的患者；集成SCB</w:t>
      </w:r>
      <w:r>
        <w:rPr>
          <w:rFonts w:hint="eastAsia" w:ascii="宋体" w:hAnsi="宋体" w:eastAsia="宋体" w:cs="宋体"/>
          <w:sz w:val="24"/>
          <w:szCs w:val="24"/>
        </w:rPr>
        <w:t xml:space="preserve">功能，可通过摄像头控制（提供证明材料）。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五、纤维导光束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1、纤维导光束，直径4.8mm，高耐热型，能够高温高压消毒及过氧化氢低温等离子体灭菌。</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六、4K医用监视器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1、32英寸，分辨率:3840x2160。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2、信号输入\输出方式不少于:3G-SDI、HD-DVI、DV、BNC、S-Video、RGB、模拟信号等多规格</w:t>
      </w:r>
      <w:r>
        <w:rPr>
          <w:rFonts w:hint="eastAsia" w:ascii="宋体" w:hAnsi="宋体" w:eastAsia="宋体" w:cs="宋体"/>
          <w:sz w:val="24"/>
          <w:szCs w:val="24"/>
        </w:rPr>
        <w:t xml:space="preserve">标准的图像输入输出接口。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3、4K专业显示器，尺寸≥32英寸，分辨率≥3840x2160，最大亮度≥850cd/㎡，对比度≥1500:1，可视角度≥178°</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七、4K荧光镜头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1、30°内窥镜，清晰度高，色彩真实。</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2、视场中心角分辨力2.0C/(°)±10%。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3、分辨率9.36Lp/mm，清晰度高</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4、有效景深范围3㎜-150㎜，避免反复移动镜头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5、▲可高温高压消毒、低温等离子消毒。设备坚实耐用，可支持≥1000个高温高压灭菌循环。（提供说明书证明材料）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6、在A标准照明体下和D65标准照明体下的显色指数Ra≥85，图像画质真实，不失真。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7、综合边缘光效</w:t>
      </w:r>
      <w:r>
        <w:rPr>
          <w:rFonts w:hint="eastAsia" w:ascii="宋体" w:hAnsi="宋体" w:eastAsia="宋体" w:cs="宋体"/>
          <w:sz w:val="24"/>
          <w:szCs w:val="24"/>
        </w:rPr>
        <w:t xml:space="preserve">SLe</w:t>
      </w:r>
      <w:r>
        <w:rPr>
          <w:rFonts w:hint="eastAsia" w:ascii="宋体" w:hAnsi="宋体" w:eastAsia="宋体" w:cs="宋体"/>
          <w:sz w:val="24"/>
          <w:szCs w:val="24"/>
        </w:rPr>
        <w:t xml:space="preserve">-Z≥0.086，透光性好，亮度高。</w:t>
      </w:r>
      <w:r/>
    </w:p>
    <w:p>
      <w:pPr>
        <w:pStyle w:val="788"/>
      </w:pPr>
      <w:r/>
      <w:r/>
    </w:p>
    <w:p>
      <w:pPr>
        <w:jc w:val="left"/>
        <w:spacing w:line="360" w:lineRule="auto"/>
        <w:tabs>
          <w:tab w:val="left" w:pos="1260" w:leader="none"/>
        </w:tabs>
        <w:rPr>
          <w:rFonts w:hint="eastAsia" w:ascii="宋体" w:hAnsi="宋体" w:eastAsia="宋体" w:cs="宋体"/>
          <w:b/>
          <w:bCs/>
          <w:sz w:val="24"/>
          <w:szCs w:val="24"/>
        </w:rPr>
      </w:pPr>
      <w:r>
        <w:rPr>
          <w:rFonts w:ascii="宋体" w:hAnsi="宋体" w:eastAsia="宋体" w:cs="宋体"/>
          <w:b/>
          <w:bCs/>
          <w:sz w:val="24"/>
          <w:szCs w:val="24"/>
        </w:rPr>
        <w:br w:type="page" w:clear="all"/>
      </w:r>
      <w:bookmarkEnd w:id="41"/>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配置清单</w:t>
      </w:r>
      <w:r/>
    </w:p>
    <w:tbl>
      <w:tblPr>
        <w:tblW w:w="5000" w:type="pct"/>
        <w:jc w:val="center"/>
        <w:tblLook w:val="0000" w:firstRow="0" w:lastRow="0" w:firstColumn="0" w:lastColumn="0" w:noHBand="0" w:noVBand="0"/>
      </w:tblPr>
      <w:tblGrid>
        <w:gridCol w:w="1510"/>
        <w:gridCol w:w="5120"/>
        <w:gridCol w:w="1660"/>
      </w:tblGrid>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产品名称描述</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数量</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bookmarkStart w:id="42" w:name="_Hlk107492633"/>
            <w:r>
              <w:rPr>
                <w:rFonts w:hint="eastAsia" w:ascii="宋体" w:hAnsi="宋体" w:eastAsia="宋体"/>
                <w:sz w:val="24"/>
                <w:szCs w:val="24"/>
              </w:rPr>
              <w:t xml:space="preserve">1</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主机（平台）</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影像模块</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4K摄像头</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bookmarkStart w:id="43" w:name="_Hlk107493043"/>
            <w:r>
              <w:rPr>
                <w:rFonts w:hint="eastAsia" w:ascii="宋体" w:hAnsi="宋体" w:eastAsia="宋体"/>
                <w:sz w:val="24"/>
                <w:szCs w:val="24"/>
              </w:rPr>
              <w:t xml:space="preserve">4</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内窥镜消毒盒</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bookmarkStart w:id="44" w:name="_Hlk111031966"/>
            <w:r/>
            <w:bookmarkStart w:id="45" w:name="_Hlk110930594"/>
            <w:r>
              <w:rPr>
                <w:rFonts w:hint="eastAsia" w:ascii="宋体" w:hAnsi="宋体" w:eastAsia="宋体"/>
                <w:sz w:val="24"/>
                <w:szCs w:val="24"/>
              </w:rPr>
              <w:t xml:space="preserve">30° 4K荧光</w:t>
            </w:r>
            <w:bookmarkEnd w:id="44"/>
            <w:r>
              <w:rPr>
                <w:rFonts w:hint="eastAsia" w:ascii="宋体" w:hAnsi="宋体" w:eastAsia="宋体"/>
                <w:sz w:val="24"/>
                <w:szCs w:val="24"/>
              </w:rPr>
              <w:t xml:space="preserve">镜头</w:t>
            </w:r>
            <w:bookmarkEnd w:id="45"/>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导光束，直径不小于4.8mm</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LED 冷光源</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冷光源脚踏</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32寸4K 医用监视器</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专用台车</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40L气腹机，具有集总控制功能</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bookmarkEnd w:id="42"/>
            <w:bookmarkEnd w:id="43"/>
            <w:r/>
          </w:p>
        </w:tc>
      </w:tr>
    </w:tbl>
    <w:p>
      <w:pPr>
        <w:pStyle w:val="788"/>
      </w:pPr>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1、售后服务要求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（1）验收通过之日起对设备免费保修一年，在保修期内，软件免费升级，因设备配置或制造质量问题而引起的故障，乙方应在24小时内立即予以免费维修或更换，由此引起的一切费用由乙方承担。</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（2）技术支持响应时间。一般问题 2小时内电话支持，难点、重点问题  1天内现场解决，质保期内相关费用由乙方承担，质保期满后乙方收取成本费。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（4）投标人所投报价包含货物在买方医院内的安装、搬运及设备就位的一切费用。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（5）投标人要制定详细的售后服务体系、售后服务人员组织结构、维护体系、技术支持、方案等。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2、交货时间、地点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（1）采购合同签订后</w:t>
      </w:r>
      <w:r>
        <w:rPr>
          <w:rFonts w:asciiTheme="minorEastAsia" w:hAnsiTheme="minorEastAsia" w:eastAsiaTheme="minorEastAsia"/>
          <w:sz w:val="24"/>
          <w:szCs w:val="24"/>
        </w:rPr>
        <w:t xml:space="preserve">30</w:t>
      </w:r>
      <w:r>
        <w:rPr>
          <w:rFonts w:hint="eastAsia" w:asciiTheme="minorEastAsia" w:hAnsiTheme="minorEastAsia" w:eastAsiaTheme="minorEastAsia"/>
          <w:sz w:val="24"/>
          <w:szCs w:val="24"/>
        </w:rPr>
        <w:t xml:space="preserve">天内完成交付并安装完毕</w:t>
      </w:r>
      <w:r>
        <w:rPr>
          <w:rFonts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（2）交货地点：招标人指定地点。        </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3、付款方式</w:t>
      </w:r>
      <w:r/>
    </w:p>
    <w:p>
      <w:pPr>
        <w:spacing w:line="360" w:lineRule="auto"/>
        <w:rPr>
          <w:rFonts w:hint="eastAsia" w:asciiTheme="minorEastAsia" w:hAnsiTheme="minorEastAsia" w:eastAsiaTheme="minorEastAsia"/>
          <w:sz w:val="24"/>
          <w:szCs w:val="24"/>
        </w:rPr>
      </w:pPr>
      <w:r/>
      <w:bookmarkStart w:id="46" w:name="_Hlk178250924"/>
      <w:r>
        <w:rPr>
          <w:rFonts w:hint="eastAsia" w:asciiTheme="minorEastAsia" w:hAnsiTheme="minorEastAsia" w:eastAsiaTheme="minorEastAsia"/>
          <w:sz w:val="24"/>
          <w:szCs w:val="24"/>
        </w:rPr>
        <w:t xml:space="preserve">安装调试验收合格入库一周后支付合同无息总金额的30%，正常运行六个月后支付合同无息总金额的60%，一年期满后支付合同余款。如有特殊情况可商议。</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w:t>
      </w:r>
      <w:r>
        <w:rPr>
          <w:rFonts w:hint="eastAsia" w:cs="仿宋" w:asciiTheme="minorEastAsia" w:hAnsiTheme="minorEastAsia" w:eastAsiaTheme="minorEastAsia"/>
          <w:color w:val="000000" w:themeColor="text1"/>
          <w:sz w:val="24"/>
          <w:szCs w:val="24"/>
        </w:rPr>
        <w:t xml:space="preserve">国令第802号</w:t>
      </w:r>
      <w:r>
        <w:rPr>
          <w:rFonts w:hint="eastAsia" w:cs="仿宋" w:asciiTheme="minorEastAsia" w:hAnsiTheme="minorEastAsia" w:eastAsiaTheme="minorEastAsia"/>
          <w:color w:val="000000" w:themeColor="text1"/>
          <w:sz w:val="24"/>
          <w:szCs w:val="24"/>
        </w:rPr>
        <w:t xml:space="preserve">)相关要求执行.</w:t>
      </w:r>
      <w:bookmarkEnd w:id="46"/>
      <w:r/>
      <w:r/>
    </w:p>
    <w:p>
      <w:pPr>
        <w:spacing w:line="360" w:lineRule="auto"/>
        <w:rPr>
          <w:rFonts w:hint="eastAsia" w:asciiTheme="minorEastAsia" w:hAnsiTheme="minorEastAsia" w:eastAsiaTheme="minorEastAsia"/>
          <w:sz w:val="24"/>
          <w:szCs w:val="24"/>
          <w:highlight w:val="yellow"/>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984"/>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8"/>
      <w:r/>
      <w:bookmarkEnd w:id="39"/>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15"/>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7" w:name="_Hlk147842034"/>
      <w:r>
        <w:rPr>
          <w:rFonts w:cs="仿宋" w:asciiTheme="minorEastAsia" w:hAnsiTheme="minorEastAsia" w:eastAsiaTheme="minorEastAsia"/>
          <w:b/>
          <w:color w:val="000000" w:themeColor="text1"/>
          <w:sz w:val="24"/>
          <w:szCs w:val="24"/>
        </w:rPr>
        <w:br w:type="page" w:clear="all"/>
      </w:r>
      <w:r/>
    </w:p>
    <w:p>
      <w:pPr>
        <w:pStyle w:val="818"/>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127" w:type="pct"/>
        <w:jc w:val="center"/>
        <w:tblLayout w:type="fixed"/>
        <w:tblCellMar>
          <w:left w:w="15" w:type="dxa"/>
          <w:top w:w="15" w:type="dxa"/>
          <w:right w:w="15" w:type="dxa"/>
          <w:bottom w:w="15" w:type="dxa"/>
        </w:tblCellMar>
        <w:tblLook w:val="04A0" w:firstRow="1" w:lastRow="0" w:firstColumn="1" w:lastColumn="0" w:noHBand="0" w:noVBand="1"/>
      </w:tblPr>
      <w:tblGrid>
        <w:gridCol w:w="704"/>
        <w:gridCol w:w="1134"/>
        <w:gridCol w:w="5956"/>
        <w:gridCol w:w="707"/>
      </w:tblGrid>
      <w:tr>
        <w:trPr>
          <w:jc w:val="center"/>
          <w:trHeight w:val="635"/>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tcPr>
          <w:p>
            <w:pP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分值</w:t>
            </w:r>
            <w:r/>
          </w:p>
        </w:tc>
      </w:tr>
      <w:tr>
        <w:trPr>
          <w:jc w:val="center"/>
          <w:trHeight w:val="3157"/>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价格</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价格分=（评标基准价/投标报价）×30（小数点保留两位））</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000000" w:sz="4" w:space="0"/>
              <w:left w:val="single" w:color="000000" w:sz="4" w:space="0"/>
              <w:bottom w:val="single" w:color="auto" w:sz="4" w:space="0"/>
              <w:right w:val="single" w:color="000000"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技术参数</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w:t>
            </w:r>
            <w:r/>
          </w:p>
        </w:tc>
        <w:tc>
          <w:tcPr>
            <w:tcBorders>
              <w:top w:val="single" w:color="000000" w:sz="4" w:space="0"/>
              <w:left w:val="single" w:color="000000" w:sz="4" w:space="0"/>
              <w:bottom w:val="single" w:color="auto" w:sz="4" w:space="0"/>
              <w:right w:val="single" w:color="000000"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评委根据招标文件中《招标技术规格及其他要求》，结合投标文件提供的技术白皮书等佐证材料等进行评审：</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满足招标文件</w:t>
            </w:r>
            <w:r>
              <w:rPr>
                <w:rFonts w:hint="eastAsia" w:asciiTheme="minorEastAsia" w:hAnsiTheme="minorEastAsia" w:eastAsiaTheme="minorEastAsia"/>
                <w:sz w:val="24"/>
                <w:szCs w:val="24"/>
              </w:rPr>
              <w:t xml:space="preserve">全部技术要求得标准分值</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0</w:t>
            </w:r>
            <w:r>
              <w:rPr>
                <w:rFonts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2.1、标★核心参数，如有一项负偏离，将作无效投标处理；</w:t>
            </w:r>
            <w:r/>
          </w:p>
          <w:p>
            <w:pP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2.2、标▲号参数为重要参数，有一项负偏离扣</w:t>
            </w:r>
            <w:r>
              <w:rPr>
                <w:rFonts w:hint="eastAsia" w:asciiTheme="minorEastAsia" w:hAnsiTheme="minorEastAsia" w:eastAsiaTheme="minorEastAsia"/>
                <w:sz w:val="24"/>
                <w:szCs w:val="24"/>
                <w:highlight w:val="yellow"/>
              </w:rPr>
              <w:t xml:space="preserve">3</w:t>
            </w:r>
            <w:r>
              <w:rPr>
                <w:rFonts w:hint="eastAsia" w:asciiTheme="minorEastAsia" w:hAnsiTheme="minorEastAsia" w:eastAsiaTheme="minorEastAsia"/>
                <w:sz w:val="24"/>
                <w:szCs w:val="24"/>
                <w:highlight w:val="yellow"/>
              </w:rPr>
              <w:t xml:space="preserve">分。</w:t>
            </w:r>
            <w:r/>
          </w:p>
          <w:p>
            <w:pP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2.3、</w:t>
            </w:r>
            <w:r>
              <w:rPr>
                <w:rFonts w:hint="eastAsia" w:asciiTheme="minorEastAsia" w:hAnsiTheme="minorEastAsia" w:eastAsiaTheme="minorEastAsia"/>
                <w:sz w:val="24"/>
                <w:szCs w:val="24"/>
                <w:highlight w:val="yellow"/>
              </w:rPr>
              <w:t xml:space="preserve">除标</w:t>
            </w:r>
            <w:r>
              <w:rPr>
                <w:rFonts w:hint="eastAsia" w:asciiTheme="minorEastAsia" w:hAnsiTheme="minorEastAsia" w:eastAsiaTheme="minorEastAsia"/>
                <w:sz w:val="24"/>
                <w:szCs w:val="24"/>
                <w:highlight w:val="yellow"/>
              </w:rPr>
              <w:t xml:space="preserve">★、▲外，其他为全部一般参数，每有一项负偏离扣1分。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highlight w:val="yellow"/>
              </w:rPr>
              <w:t xml:space="preserve">2.4、标▲号的重要参数若有1/3及以上不满足的，或总体技术参数有8项及以上不满足的，视为无法实质性响应采购需求，作无效投标处理。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、产品交付验收时，招标人将对技术规格要求中的关键技术指标进行逐一核实验收，如发现虚假应标，或无法实现关键技术指标功能，有权向采购主管部门进行举报，所有后果由中标投标人承担。</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w:t>
            </w:r>
            <w:r>
              <w:rPr>
                <w:rFonts w:hint="eastAsia" w:asciiTheme="minorEastAsia" w:hAnsiTheme="minorEastAsia" w:eastAsiaTheme="minorEastAsia"/>
                <w:sz w:val="24"/>
                <w:szCs w:val="24"/>
              </w:rPr>
              <w:t xml:space="preserve">的视</w:t>
            </w:r>
            <w:r>
              <w:rPr>
                <w:rFonts w:hint="eastAsia" w:asciiTheme="minorEastAsia" w:hAnsiTheme="minorEastAsia" w:eastAsiaTheme="minorEastAsia"/>
                <w:sz w:val="24"/>
                <w:szCs w:val="24"/>
              </w:rPr>
              <w:t xml:space="preserve">为负偏离。</w:t>
            </w:r>
            <w:r/>
          </w:p>
        </w:tc>
        <w:tc>
          <w:tcPr>
            <w:tcBorders>
              <w:top w:val="single" w:color="auto" w:sz="4" w:space="0"/>
              <w:bottom w:val="single" w:color="auto" w:sz="4" w:space="0"/>
              <w:right w:val="single" w:color="000000"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50分</w:t>
            </w:r>
            <w:r/>
          </w:p>
        </w:tc>
      </w:tr>
      <w:tr>
        <w:trPr>
          <w:jc w:val="center"/>
          <w:trHeight w:val="2244"/>
        </w:trPr>
        <w:tc>
          <w:tcPr>
            <w:tcBorders>
              <w:top w:val="single" w:color="auto" w:sz="4" w:space="0"/>
              <w:left w:val="single" w:color="auto" w:sz="4" w:space="0"/>
              <w:bottom w:val="single" w:color="auto" w:sz="4" w:space="0"/>
              <w:right w:val="single" w:color="auto"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售后部分</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投标人质保期内售后服务方案（包括响应时间，回访巡检方案、故障解决措施、技术人员保障、备品配件价格等方面）、驻地服务方案（包括服务网点、维修网点设置情况以及技术人员安排情况等方面）、增值服务等内容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1）售后方案内容详实、科学、合理，考虑周全，对产品质量管控措施要求全面到位，相关服务承诺内容详实，人员配备齐全，分工明确、岗位设置科学合理，人员配</w:t>
            </w:r>
            <w:r>
              <w:rPr>
                <w:rFonts w:hint="eastAsia" w:asciiTheme="minorEastAsia" w:hAnsiTheme="minorEastAsia" w:eastAsiaTheme="minorEastAsia"/>
                <w:sz w:val="24"/>
                <w:szCs w:val="24"/>
              </w:rPr>
              <w:t xml:space="preserve">备齐全、零配件配备齐全，技术培训保障完善，提供的增值服务具备实际价值的得</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2）售后方案内容较详细、较科学合理，对产品质量管控措施要求较到位，相关服务承诺内容具体，人员配备较齐全、零配件配备较齐全、技术培训保障较完善，提供的增值服务较有实际价值的得</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3）售后方案内容简单，产品质量管控措施要求较低，相关服务承诺内容简单，人员配备、零配件保障不完善，且未提供增值服务的得1分；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4）未提供服务方案的不得分。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分</w:t>
            </w:r>
            <w:r/>
          </w:p>
        </w:tc>
      </w:tr>
      <w:tr>
        <w:trPr>
          <w:jc w:val="center"/>
          <w:trHeight w:val="1205"/>
        </w:trPr>
        <w:tc>
          <w:tcPr>
            <w:tcBorders>
              <w:top w:val="single" w:color="auto" w:sz="4" w:space="0"/>
              <w:left w:val="single" w:color="auto" w:sz="4" w:space="0"/>
              <w:right w:val="single" w:color="auto"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保修期</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所投产品的免费保修期在一年基础上，每增加一年得2分，最高不超过4分。投标人需承诺：设备安装调试验收合格后，提供对应的免费保修期原厂售后服务承诺书，不提供承诺书本项不得分。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4分</w:t>
            </w:r>
            <w:r/>
          </w:p>
        </w:tc>
      </w:tr>
      <w:tr>
        <w:trPr>
          <w:jc w:val="center"/>
          <w:trHeight w:val="2222"/>
        </w:trPr>
        <w:tc>
          <w:tcPr>
            <w:tcBorders>
              <w:top w:val="single" w:color="auto" w:sz="4" w:space="0"/>
              <w:left w:val="single" w:color="auto" w:sz="4" w:space="0"/>
              <w:right w:val="single" w:color="auto" w:sz="4" w:space="0"/>
            </w:tcBorders>
            <w:tcW w:w="414" w:type="pct"/>
            <w:vAlign w:val="center"/>
            <w:vMerge w:val="restart"/>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right w:val="single" w:color="auto" w:sz="4" w:space="0"/>
            </w:tcBorders>
            <w:tcW w:w="667" w:type="pct"/>
            <w:vAlign w:val="center"/>
            <w:vMerge w:val="restart"/>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组织实施</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项目实施方案：投标人根据项目具体情况制定整体实施方案（包括进度安排、质量自检、供货方案、安装方案等方面），评委会根据提供的项目实施方案综合评审：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方案完整全面，进度安排合理、可执行性高得3分；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方案较全面，进度安排较合理、可执行较性高得2分；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方案简单，可执行性一般得1分；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其他或未提供的不得分。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w:t>
            </w:r>
            <w:r/>
          </w:p>
        </w:tc>
      </w:tr>
      <w:tr>
        <w:trPr>
          <w:jc w:val="center"/>
          <w:trHeight w:val="1910"/>
        </w:trPr>
        <w:tc>
          <w:tcPr>
            <w:tcBorders>
              <w:left w:val="single" w:color="auto" w:sz="4" w:space="0"/>
              <w:bottom w:val="single" w:color="auto" w:sz="4" w:space="0"/>
              <w:right w:val="single" w:color="auto" w:sz="4" w:space="0"/>
            </w:tcBorders>
            <w:tcW w:w="414" w:type="pct"/>
            <w:vAlign w:val="center"/>
            <w:vMerge w:val="continue"/>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auto" w:sz="4" w:space="0"/>
              <w:bottom w:val="single" w:color="auto" w:sz="4" w:space="0"/>
              <w:right w:val="single" w:color="auto" w:sz="4" w:space="0"/>
            </w:tcBorders>
            <w:tcW w:w="667" w:type="pct"/>
            <w:vAlign w:val="center"/>
            <w:vMerge w:val="continue"/>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项目验收方案：投标人应根据招标文件要求提供具体详实的项目验收方案，评委会根据提供的项目验收方案综合评审：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方案详细合理，可行性高的得3分；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方案较详细合理，可行性较高的得2分；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方案可行性较低得1分；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w:t>
            </w:r>
            <w:r/>
          </w:p>
        </w:tc>
      </w:tr>
      <w:tr>
        <w:trPr>
          <w:jc w:val="center"/>
          <w:trHeight w:val="3468"/>
        </w:trPr>
        <w:tc>
          <w:tcPr>
            <w:tcBorders>
              <w:top w:val="single" w:color="auto" w:sz="4" w:space="0"/>
              <w:left w:val="single" w:color="auto" w:sz="4" w:space="0"/>
              <w:bottom w:val="single" w:color="auto" w:sz="4" w:space="0"/>
              <w:right w:val="single" w:color="auto"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培训方案</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投标人提供对用户的操作培训、业务功能培训等相关培训计划方案，除正常操作培训外，提出其他技术培训保障方案，评委会根据提供的项培训方案综合评审：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1）技术培训保障方案内容详实、科学、合理，培训计划针对性强、内容详实，培训人员配备齐全、技术水平高、分工明确、岗位设置科学合理，培训率承诺高，得3分。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2）技术培训保障方案内容较详实、较科学合理，培训计划较具体，培训人员较齐全，培训率承诺较高，得2分。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3）技术培训保障方案表述简单，培训计划简单、培训人员较少，培训率承诺一般，得1分。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4）未提供方案或方案无可行性不得分。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w:t>
            </w:r>
            <w:r/>
          </w:p>
        </w:tc>
      </w:tr>
    </w:tbl>
    <w:p>
      <w:pPr>
        <w:pStyle w:val="818"/>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pStyle w:val="818"/>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7"/>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w:t>
      </w:r>
      <w:r>
        <w:rPr>
          <w:rFonts w:ascii="宋体" w:hAnsi="宋体" w:eastAsia="宋体"/>
          <w:position w:val="-10"/>
          <w:sz w:val="24"/>
          <w:szCs w:val="24"/>
        </w:rPr>
        <w:t xml:space="preserve">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双方在执行合同中所发生的一切争议，应通过协商解决。如协商不成，可向合同签订地法院起诉，合同签订地在此约定为</w:t>
      </w:r>
      <w:r>
        <w:rPr>
          <w:rFonts w:hint="eastAsia" w:ascii="宋体" w:hAnsi="宋体" w:eastAsia="宋体"/>
          <w:position w:val="-10"/>
          <w:sz w:val="24"/>
          <w:szCs w:val="24"/>
        </w:rPr>
        <w:t xml:space="preserve">泰州</w:t>
      </w:r>
      <w:r>
        <w:rPr>
          <w:rFonts w:ascii="宋体" w:hAnsi="宋体" w:eastAsia="宋体"/>
          <w:position w:val="-10"/>
          <w:sz w:val="24"/>
          <w:szCs w:val="24"/>
        </w:rPr>
        <w:t xml:space="preserve">市。</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18"/>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18"/>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8" w:name="_Hlt26955039"/>
      <w:r/>
      <w:bookmarkStart w:id="49" w:name="_Hlt26671244"/>
      <w:r/>
      <w:bookmarkStart w:id="50" w:name="_Toc26554094"/>
      <w:r/>
      <w:bookmarkStart w:id="51" w:name="_Toc120614282"/>
      <w:r/>
      <w:bookmarkStart w:id="52" w:name="_Toc49090576"/>
      <w:r/>
      <w:bookmarkEnd w:id="48"/>
      <w:r/>
      <w:bookmarkEnd w:id="49"/>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88"/>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3"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3"/>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4" w:name="_Toc120614284"/>
      <w:r/>
      <w:bookmarkEnd w:id="50"/>
      <w:r/>
      <w:bookmarkEnd w:id="51"/>
      <w:r/>
      <w:bookmarkEnd w:id="52"/>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788"/>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5" w:name="_Hlt26671380"/>
      <w:r/>
      <w:bookmarkStart w:id="56" w:name="_格式3__银行出具的资信证明"/>
      <w:r/>
      <w:bookmarkStart w:id="57" w:name="_Hlt26955070"/>
      <w:r/>
      <w:bookmarkEnd w:id="55"/>
      <w:r/>
      <w:bookmarkEnd w:id="56"/>
      <w:r/>
      <w:bookmarkEnd w:id="57"/>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788"/>
        <w:spacing w:line="360" w:lineRule="auto"/>
      </w:pPr>
      <w:r/>
      <w:r/>
    </w:p>
    <w:p>
      <w:pPr>
        <w:pStyle w:val="788"/>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788"/>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88"/>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10"/>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09"/>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09"/>
        <w:jc w:val="left"/>
        <w:spacing w:line="360" w:lineRule="auto"/>
        <w:rPr>
          <w:rFonts w:hint="eastAsia" w:ascii="宋体" w:hAnsi="宋体"/>
          <w:b/>
          <w:sz w:val="32"/>
          <w:szCs w:val="32"/>
        </w:rPr>
      </w:pPr>
      <w:r>
        <w:rPr>
          <w:rFonts w:hint="eastAsia" w:ascii="宋体" w:hAnsi="宋体"/>
          <w:b/>
          <w:sz w:val="32"/>
          <w:szCs w:val="32"/>
        </w:rPr>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09"/>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09"/>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09"/>
        <w:ind w:firstLine="480"/>
        <w:jc w:val="left"/>
        <w:spacing w:line="360" w:lineRule="auto"/>
        <w:rPr>
          <w:rFonts w:hint="eastAsia" w:ascii="宋体" w:hAnsi="宋体"/>
          <w:sz w:val="24"/>
          <w:szCs w:val="24"/>
        </w:rPr>
      </w:pPr>
      <w:r>
        <w:rPr>
          <w:rFonts w:ascii="宋体" w:hAnsi="宋体"/>
          <w:sz w:val="24"/>
          <w:szCs w:val="24"/>
        </w:rPr>
        <w:t xml:space="preserve">……</w:t>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9"/>
        <w:ind w:firstLine="480"/>
        <w:jc w:val="center"/>
        <w:spacing w:line="360" w:lineRule="auto"/>
        <w:rPr>
          <w:rFonts w:hint="eastAsia" w:ascii="宋体" w:hAnsi="宋体"/>
          <w:sz w:val="24"/>
          <w:szCs w:val="24"/>
        </w:rPr>
      </w:pPr>
      <w:r>
        <w:rPr>
          <w:rFonts w:hint="eastAsia" w:ascii="宋体" w:hAnsi="宋体"/>
          <w:sz w:val="24"/>
          <w:szCs w:val="24"/>
        </w:rPr>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09"/>
        <w:ind w:firstLine="560"/>
        <w:spacing w:line="360" w:lineRule="auto"/>
        <w:rPr>
          <w:rFonts w:hint="eastAsia" w:ascii="宋体" w:hAnsi="宋体"/>
          <w:sz w:val="28"/>
          <w:szCs w:val="28"/>
        </w:rPr>
      </w:pPr>
      <w:r>
        <w:rPr>
          <w:rFonts w:hint="eastAsia" w:ascii="宋体" w:hAnsi="宋体"/>
          <w:sz w:val="28"/>
          <w:szCs w:val="28"/>
        </w:rPr>
      </w:r>
      <w:r/>
    </w:p>
    <w:p>
      <w:pPr>
        <w:pStyle w:val="1009"/>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09"/>
        <w:jc w:val="center"/>
        <w:spacing w:line="360" w:lineRule="auto"/>
        <w:rPr>
          <w:rFonts w:hint="eastAsia" w:ascii="宋体" w:hAnsi="宋体"/>
          <w:b/>
          <w:sz w:val="36"/>
          <w:szCs w:val="36"/>
        </w:rPr>
      </w:pPr>
      <w:r>
        <w:rPr>
          <w:rFonts w:hint="eastAsia" w:ascii="宋体" w:hAnsi="宋体"/>
          <w:b/>
          <w:sz w:val="36"/>
          <w:szCs w:val="36"/>
        </w:rPr>
      </w:r>
      <w:r/>
    </w:p>
    <w:p>
      <w:pPr>
        <w:pStyle w:val="1009"/>
        <w:spacing w:line="360" w:lineRule="auto"/>
        <w:rPr>
          <w:rFonts w:hint="eastAsia" w:ascii="宋体" w:hAnsi="宋体"/>
          <w:b/>
          <w:sz w:val="36"/>
          <w:szCs w:val="36"/>
        </w:rPr>
      </w:pPr>
      <w:r>
        <w:rPr>
          <w:rFonts w:hint="eastAsia" w:ascii="宋体" w:hAnsi="宋体"/>
          <w:b/>
          <w:sz w:val="36"/>
          <w:szCs w:val="36"/>
        </w:rPr>
      </w:r>
      <w:r/>
    </w:p>
    <w:p>
      <w:pPr>
        <w:pStyle w:val="1009"/>
        <w:jc w:val="center"/>
        <w:spacing w:line="360" w:lineRule="auto"/>
        <w:rPr>
          <w:rFonts w:hint="eastAsia" w:ascii="宋体" w:hAnsi="宋体"/>
          <w:b/>
          <w:sz w:val="36"/>
          <w:szCs w:val="36"/>
        </w:rPr>
      </w:pPr>
      <w:r>
        <w:rPr>
          <w:rFonts w:hint="eastAsia" w:ascii="宋体" w:hAnsi="宋体"/>
          <w:b/>
          <w:sz w:val="36"/>
          <w:szCs w:val="36"/>
        </w:rPr>
      </w:r>
      <w:r/>
    </w:p>
    <w:p>
      <w:pPr>
        <w:pStyle w:val="1009"/>
        <w:spacing w:line="360" w:lineRule="auto"/>
        <w:rPr>
          <w:rFonts w:hint="eastAsia" w:ascii="宋体" w:hAnsi="宋体"/>
          <w:b/>
          <w:sz w:val="36"/>
          <w:szCs w:val="36"/>
        </w:rPr>
      </w:pPr>
      <w:r>
        <w:rPr>
          <w:rFonts w:hint="eastAsia" w:ascii="宋体" w:hAnsi="宋体"/>
          <w:b/>
          <w:sz w:val="36"/>
          <w:szCs w:val="36"/>
        </w:rPr>
      </w:r>
      <w:r/>
    </w:p>
    <w:p>
      <w:pPr>
        <w:pStyle w:val="1009"/>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09"/>
        <w:jc w:val="left"/>
        <w:spacing w:line="360" w:lineRule="auto"/>
        <w:rPr>
          <w:rFonts w:hint="eastAsia" w:ascii="宋体" w:hAnsi="宋体"/>
          <w:b/>
          <w:sz w:val="32"/>
          <w:szCs w:val="32"/>
        </w:rPr>
      </w:pPr>
      <w:r>
        <w:rPr>
          <w:rFonts w:hint="eastAsia" w:ascii="宋体" w:hAnsi="宋体"/>
          <w:b/>
          <w:sz w:val="32"/>
          <w:szCs w:val="32"/>
        </w:rPr>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09"/>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09"/>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09"/>
        <w:ind w:firstLine="480"/>
        <w:jc w:val="left"/>
        <w:spacing w:line="360" w:lineRule="auto"/>
        <w:rPr>
          <w:rFonts w:hint="eastAsia" w:ascii="宋体" w:hAnsi="宋体"/>
          <w:sz w:val="24"/>
          <w:szCs w:val="24"/>
        </w:rPr>
      </w:pPr>
      <w:r>
        <w:rPr>
          <w:rFonts w:ascii="宋体" w:hAnsi="宋体"/>
          <w:sz w:val="24"/>
          <w:szCs w:val="24"/>
        </w:rPr>
        <w:t xml:space="preserve">……</w:t>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9"/>
        <w:ind w:firstLine="480"/>
        <w:jc w:val="center"/>
        <w:spacing w:line="360" w:lineRule="auto"/>
        <w:rPr>
          <w:rFonts w:hint="eastAsia" w:ascii="宋体" w:hAnsi="宋体"/>
          <w:sz w:val="24"/>
          <w:szCs w:val="24"/>
        </w:rPr>
      </w:pPr>
      <w:r>
        <w:rPr>
          <w:rFonts w:hint="eastAsia" w:ascii="宋体" w:hAnsi="宋体"/>
          <w:sz w:val="24"/>
          <w:szCs w:val="24"/>
        </w:rPr>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09"/>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09"/>
        <w:ind w:firstLine="480"/>
        <w:spacing w:line="360" w:lineRule="auto"/>
        <w:rPr>
          <w:rFonts w:hint="eastAsia" w:ascii="宋体" w:hAnsi="宋体"/>
          <w:sz w:val="24"/>
          <w:szCs w:val="24"/>
        </w:rPr>
      </w:pPr>
      <w:r>
        <w:rPr>
          <w:rFonts w:hint="eastAsia" w:ascii="宋体" w:hAnsi="宋体"/>
          <w:sz w:val="24"/>
          <w:szCs w:val="24"/>
        </w:rPr>
      </w:r>
      <w:r/>
    </w:p>
    <w:p>
      <w:pPr>
        <w:pStyle w:val="1009"/>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09"/>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09"/>
        <w:spacing w:before="151" w:after="151" w:line="360" w:lineRule="auto"/>
        <w:rPr>
          <w:rFonts w:hint="eastAsia" w:ascii="宋体" w:hAnsi="宋体"/>
          <w:b/>
          <w:bCs/>
          <w:sz w:val="32"/>
          <w:szCs w:val="32"/>
        </w:rPr>
      </w:pPr>
      <w:r>
        <w:rPr>
          <w:rFonts w:hint="eastAsia" w:ascii="宋体" w:hAnsi="宋体"/>
          <w:b/>
          <w:bCs/>
          <w:sz w:val="32"/>
          <w:szCs w:val="32"/>
        </w:rPr>
      </w:r>
      <w:r/>
    </w:p>
    <w:p>
      <w:pPr>
        <w:pStyle w:val="1009"/>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09"/>
        <w:spacing w:line="360" w:lineRule="auto"/>
        <w:rPr>
          <w:rFonts w:hint="eastAsia" w:ascii="宋体" w:hAnsi="宋体"/>
          <w:b/>
          <w:sz w:val="36"/>
          <w:szCs w:val="36"/>
        </w:rPr>
      </w:pPr>
      <w:r>
        <w:rPr>
          <w:rFonts w:hint="eastAsia" w:ascii="宋体" w:hAnsi="宋体"/>
          <w:b/>
          <w:sz w:val="36"/>
          <w:szCs w:val="36"/>
        </w:rPr>
      </w:r>
      <w:r/>
    </w:p>
    <w:p>
      <w:pPr>
        <w:pStyle w:val="1011"/>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12"/>
        <w:spacing w:line="360" w:lineRule="auto"/>
        <w:rPr>
          <w:rFonts w:hint="eastAsia" w:ascii="宋体" w:hAnsi="宋体"/>
          <w:b/>
          <w:spacing w:val="6"/>
          <w:sz w:val="30"/>
          <w:szCs w:val="30"/>
        </w:rPr>
      </w:pPr>
      <w:r>
        <w:rPr>
          <w:rFonts w:hint="eastAsia" w:ascii="宋体" w:hAnsi="宋体"/>
          <w:b/>
          <w:spacing w:val="6"/>
          <w:sz w:val="30"/>
          <w:szCs w:val="30"/>
        </w:rPr>
      </w:r>
      <w:r/>
    </w:p>
    <w:p>
      <w:pPr>
        <w:pStyle w:val="1011"/>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1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13"/>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13"/>
        <w:ind w:firstLine="3629"/>
        <w:jc w:val="left"/>
        <w:spacing w:line="360" w:lineRule="auto"/>
        <w:rPr>
          <w:rFonts w:hint="eastAsia" w:ascii="宋体" w:hAnsi="宋体"/>
          <w:sz w:val="24"/>
        </w:rPr>
      </w:pPr>
      <w:r>
        <w:rPr>
          <w:rFonts w:hint="eastAsia" w:ascii="宋体" w:hAnsi="宋体"/>
          <w:sz w:val="24"/>
        </w:rPr>
      </w:r>
      <w:r/>
    </w:p>
    <w:p>
      <w:pPr>
        <w:pStyle w:val="1013"/>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09"/>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12"/>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14"/>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11"/>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pStyle w:val="1011"/>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1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21"/>
          <w:rFonts w:hint="eastAsia" w:ascii="方正魏碑_GBK" w:hAnsi="方正魏碑_GBK" w:eastAsia="方正魏碑_GBK" w:cs="方正魏碑_GBK"/>
          <w:i w:val="0"/>
          <w:color w:val="ff0000"/>
          <w:u w:val="single"/>
          <w:shd w:val="clear" w:color="auto" w:fill="ffffff"/>
        </w:rPr>
        <w:t xml:space="preserve">（产品名称1）</w:t>
      </w:r>
      <w:r>
        <w:rPr>
          <w:rStyle w:val="821"/>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21"/>
          <w:rFonts w:hint="eastAsia" w:ascii="方正魏碑_GBK" w:hAnsi="方正魏碑_GBK" w:eastAsia="方正魏碑_GBK" w:cs="方正魏碑_GBK"/>
          <w:i w:val="0"/>
          <w:color w:val="ff0000"/>
          <w:u w:val="single"/>
          <w:shd w:val="clear" w:color="auto" w:fill="ffffff"/>
        </w:rPr>
        <w:t xml:space="preserve">（厂名）</w:t>
      </w:r>
      <w:r>
        <w:rPr>
          <w:rStyle w:val="821"/>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21"/>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21"/>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21"/>
          <w:rFonts w:hint="eastAsia" w:ascii="方正魏碑_GBK" w:hAnsi="方正魏碑_GBK" w:eastAsia="方正魏碑_GBK" w:cs="方正魏碑_GBK"/>
          <w:i w:val="0"/>
          <w:color w:val="ff0000"/>
          <w:u w:val="single"/>
          <w:shd w:val="clear" w:color="auto" w:fill="ffffff"/>
        </w:rPr>
        <w:t xml:space="preserve">（规定</w:t>
      </w:r>
      <w:r>
        <w:rPr>
          <w:rStyle w:val="821"/>
          <w:rFonts w:ascii="方正魏碑_GBK" w:hAnsi="方正魏碑_GBK" w:eastAsia="方正魏碑_GBK" w:cs="方正魏碑_GBK"/>
          <w:i w:val="0"/>
          <w:color w:val="ff0000"/>
          <w:u w:val="single"/>
          <w:shd w:val="clear" w:color="auto" w:fill="ffffff"/>
        </w:rPr>
        <w:t xml:space="preserve">比例</w:t>
      </w:r>
      <w:r>
        <w:rPr>
          <w:rStyle w:val="821"/>
          <w:rFonts w:hint="eastAsia" w:ascii="方正魏碑_GBK" w:hAnsi="方正魏碑_GBK" w:eastAsia="方正魏碑_GBK" w:cs="方正魏碑_GBK"/>
          <w:i w:val="0"/>
          <w:color w:val="ff0000"/>
          <w:u w:val="single"/>
          <w:shd w:val="clear" w:color="auto" w:fill="ffffff"/>
        </w:rPr>
        <w:t xml:space="preserve">）</w:t>
      </w:r>
      <w:r>
        <w:rPr>
          <w:rStyle w:val="821"/>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2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1"/>
          <w:rFonts w:hint="eastAsia" w:ascii="方正魏碑_GBK" w:hAnsi="方正魏碑_GBK" w:eastAsia="方正魏碑_GBK" w:cs="方正魏碑_GBK"/>
          <w:i w:val="0"/>
          <w:color w:val="ff0000"/>
          <w:u w:val="single"/>
          <w:shd w:val="clear" w:color="auto" w:fill="ffffff"/>
        </w:rPr>
        <w:t xml:space="preserve">（关键</w:t>
      </w:r>
      <w:r>
        <w:rPr>
          <w:rStyle w:val="821"/>
          <w:rFonts w:ascii="方正魏碑_GBK" w:hAnsi="方正魏碑_GBK" w:eastAsia="方正魏碑_GBK" w:cs="方正魏碑_GBK"/>
          <w:i w:val="0"/>
          <w:color w:val="ff0000"/>
          <w:u w:val="single"/>
          <w:shd w:val="clear" w:color="auto" w:fill="ffffff"/>
        </w:rPr>
        <w:t xml:space="preserve">组件</w:t>
      </w:r>
      <w:r>
        <w:rPr>
          <w:rStyle w:val="821"/>
          <w:rFonts w:hint="eastAsia" w:ascii="方正魏碑_GBK" w:hAnsi="方正魏碑_GBK" w:eastAsia="方正魏碑_GBK" w:cs="方正魏碑_GBK"/>
          <w:i w:val="0"/>
          <w:color w:val="ff0000"/>
          <w:u w:val="single"/>
          <w:shd w:val="clear" w:color="auto" w:fill="ffffff"/>
        </w:rPr>
        <w:t xml:space="preserve">）</w:t>
      </w:r>
      <w:r>
        <w:rPr>
          <w:rStyle w:val="821"/>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2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1"/>
          <w:rFonts w:hint="eastAsia" w:ascii="方正魏碑_GBK" w:hAnsi="方正魏碑_GBK" w:eastAsia="方正魏碑_GBK" w:cs="方正魏碑_GBK"/>
          <w:i w:val="0"/>
          <w:color w:val="ff0000"/>
          <w:u w:val="single"/>
          <w:shd w:val="clear" w:color="auto" w:fill="ffffff"/>
        </w:rPr>
        <w:t xml:space="preserve">（关键工序）</w:t>
      </w:r>
      <w:r>
        <w:rPr>
          <w:rStyle w:val="821"/>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2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21"/>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21"/>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2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21"/>
          <w:rFonts w:hint="eastAsia" w:ascii="方正魏碑_GBK" w:hAnsi="方正魏碑_GBK" w:eastAsia="方正魏碑_GBK" w:cs="方正魏碑_GBK"/>
          <w:i w:val="0"/>
          <w:color w:val="ff0000"/>
          <w:u w:val="single"/>
          <w:shd w:val="clear" w:color="auto" w:fill="ffffff"/>
        </w:rPr>
        <w:t xml:space="preserve">（规定</w:t>
      </w:r>
      <w:r>
        <w:rPr>
          <w:rStyle w:val="821"/>
          <w:rFonts w:ascii="方正魏碑_GBK" w:hAnsi="方正魏碑_GBK" w:eastAsia="方正魏碑_GBK" w:cs="方正魏碑_GBK"/>
          <w:i w:val="0"/>
          <w:color w:val="ff0000"/>
          <w:u w:val="single"/>
          <w:shd w:val="clear" w:color="auto" w:fill="ffffff"/>
        </w:rPr>
        <w:t xml:space="preserve">比例</w:t>
      </w:r>
      <w:r>
        <w:rPr>
          <w:rStyle w:val="821"/>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2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21"/>
          <w:rFonts w:hint="eastAsia" w:ascii="方正魏碑_GBK" w:hAnsi="方正魏碑_GBK" w:eastAsia="方正魏碑_GBK" w:cs="方正魏碑_GBK"/>
          <w:i w:val="0"/>
          <w:color w:val="ff0000"/>
          <w:u w:val="single"/>
          <w:shd w:val="clear" w:color="auto" w:fill="ffffff"/>
        </w:rPr>
        <w:t xml:space="preserve">（关键</w:t>
      </w:r>
      <w:r>
        <w:rPr>
          <w:rStyle w:val="821"/>
          <w:rFonts w:ascii="方正魏碑_GBK" w:hAnsi="方正魏碑_GBK" w:eastAsia="方正魏碑_GBK" w:cs="方正魏碑_GBK"/>
          <w:i w:val="0"/>
          <w:color w:val="ff0000"/>
          <w:u w:val="single"/>
          <w:shd w:val="clear" w:color="auto" w:fill="ffffff"/>
        </w:rPr>
        <w:t xml:space="preserve">组件</w:t>
      </w:r>
      <w:r>
        <w:rPr>
          <w:rStyle w:val="821"/>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2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1"/>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1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5"/>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15"/>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1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15"/>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15"/>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11"/>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788"/>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88"/>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88"/>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88"/>
        <w:rPr>
          <w:rFonts w:eastAsia="黑体"/>
          <w:b/>
          <w:sz w:val="36"/>
          <w:szCs w:val="21"/>
        </w:rPr>
      </w:pPr>
      <w:r>
        <w:rPr>
          <w:rFonts w:eastAsia="黑体"/>
          <w:b/>
          <w:sz w:val="36"/>
          <w:szCs w:val="21"/>
        </w:rPr>
      </w:r>
      <w:r/>
    </w:p>
    <w:p>
      <w:r/>
      <w:r/>
    </w:p>
    <w:p>
      <w:pPr>
        <w:pStyle w:val="788"/>
        <w:spacing w:line="360" w:lineRule="auto"/>
      </w:pPr>
      <w:r/>
      <w:r/>
    </w:p>
    <w:p>
      <w:pPr>
        <w:spacing w:line="360" w:lineRule="auto"/>
      </w:pPr>
      <w:r/>
      <w:r/>
    </w:p>
    <w:p>
      <w:pPr>
        <w:pStyle w:val="788"/>
        <w:spacing w:line="360" w:lineRule="auto"/>
      </w:pPr>
      <w:r/>
      <w:r/>
    </w:p>
    <w:p>
      <w:pPr>
        <w:pStyle w:val="788"/>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788"/>
        <w:spacing w:line="360" w:lineRule="auto"/>
      </w:pPr>
      <w:r/>
      <w:r/>
    </w:p>
    <w:p>
      <w:pPr>
        <w:spacing w:line="360" w:lineRule="auto"/>
      </w:pPr>
      <w:r/>
      <w:r/>
    </w:p>
    <w:p>
      <w:pPr>
        <w:pStyle w:val="788"/>
        <w:spacing w:line="360" w:lineRule="auto"/>
      </w:pPr>
      <w:r/>
      <w:r/>
    </w:p>
    <w:p>
      <w:pPr>
        <w:spacing w:line="360" w:lineRule="auto"/>
      </w:pPr>
      <w:r/>
      <w:r/>
    </w:p>
    <w:p>
      <w:pPr>
        <w:pStyle w:val="788"/>
        <w:spacing w:line="360" w:lineRule="auto"/>
      </w:pPr>
      <w:r/>
      <w:r/>
    </w:p>
    <w:p>
      <w:pPr>
        <w:spacing w:line="360" w:lineRule="auto"/>
      </w:pPr>
      <w:r/>
      <w:r/>
    </w:p>
    <w:p>
      <w:pPr>
        <w:pStyle w:val="788"/>
        <w:spacing w:line="360" w:lineRule="auto"/>
      </w:pPr>
      <w:r/>
      <w:r/>
    </w:p>
    <w:p>
      <w:pPr>
        <w:spacing w:line="360" w:lineRule="auto"/>
      </w:pPr>
      <w:r/>
      <w:r/>
    </w:p>
    <w:p>
      <w:pPr>
        <w:pStyle w:val="788"/>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8" w:name="_Toc11176"/>
      <w:r>
        <w:rPr>
          <w:rFonts w:hint="eastAsia" w:eastAsia="黑体" w:cs="黑体"/>
          <w:b/>
          <w:sz w:val="32"/>
          <w:szCs w:val="24"/>
        </w:rPr>
        <w:t xml:space="preserve">十、</w:t>
      </w:r>
      <w:bookmarkEnd w:id="58"/>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9" w:name="_Toc28140"/>
      <w:r>
        <w:rPr>
          <w:rFonts w:hint="eastAsia" w:eastAsia="黑体" w:cs="黑体"/>
          <w:b/>
          <w:sz w:val="32"/>
          <w:szCs w:val="24"/>
        </w:rPr>
        <w:t xml:space="preserve">十一</w:t>
      </w:r>
      <w:r>
        <w:rPr>
          <w:rFonts w:eastAsia="黑体" w:cs="黑体"/>
          <w:b/>
          <w:sz w:val="32"/>
          <w:szCs w:val="24"/>
        </w:rPr>
        <w:t xml:space="preserve">、投标所需其他材料</w:t>
      </w:r>
      <w:bookmarkEnd w:id="59"/>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4"/>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0" w:name="_Hlt26955066"/>
      <w:r/>
      <w:bookmarkStart w:id="61" w:name="_Hlt26671374"/>
      <w:r/>
      <w:bookmarkStart w:id="62" w:name="_Hlt26609389"/>
      <w:r/>
      <w:bookmarkStart w:id="63" w:name="_Toc462564146"/>
      <w:r/>
      <w:bookmarkEnd w:id="60"/>
      <w:r/>
      <w:bookmarkEnd w:id="61"/>
      <w:r/>
      <w:bookmarkEnd w:id="62"/>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4" w:name="_格式2__法定代表人授权书"/>
      <w:r/>
      <w:bookmarkEnd w:id="63"/>
      <w:r/>
      <w:bookmarkEnd w:id="64"/>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981"/>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981"/>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01"/>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9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ascii="Times New Roman" w:hAnsi="Times New Roman" w:eastAsia="楷体_GB2312" w:cs="Times New Roman"/>
        <w:sz w:val="26"/>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5"/>
    <w:link w:val="776"/>
    <w:uiPriority w:val="9"/>
    <w:rPr>
      <w:rFonts w:ascii="Arial" w:hAnsi="Arial" w:eastAsia="Arial" w:cs="Arial"/>
      <w:sz w:val="40"/>
      <w:szCs w:val="40"/>
    </w:rPr>
  </w:style>
  <w:style w:type="character" w:styleId="15">
    <w:name w:val="Heading 2 Char"/>
    <w:basedOn w:val="785"/>
    <w:link w:val="777"/>
    <w:uiPriority w:val="9"/>
    <w:rPr>
      <w:rFonts w:ascii="Arial" w:hAnsi="Arial" w:eastAsia="Arial" w:cs="Arial"/>
      <w:sz w:val="34"/>
    </w:rPr>
  </w:style>
  <w:style w:type="character" w:styleId="17">
    <w:name w:val="Heading 3 Char"/>
    <w:basedOn w:val="785"/>
    <w:link w:val="778"/>
    <w:uiPriority w:val="9"/>
    <w:rPr>
      <w:rFonts w:ascii="Arial" w:hAnsi="Arial" w:eastAsia="Arial" w:cs="Arial"/>
      <w:sz w:val="30"/>
      <w:szCs w:val="30"/>
    </w:rPr>
  </w:style>
  <w:style w:type="character" w:styleId="19">
    <w:name w:val="Heading 4 Char"/>
    <w:basedOn w:val="785"/>
    <w:link w:val="779"/>
    <w:uiPriority w:val="9"/>
    <w:rPr>
      <w:rFonts w:ascii="Arial" w:hAnsi="Arial" w:eastAsia="Arial" w:cs="Arial"/>
      <w:b/>
      <w:bCs/>
      <w:sz w:val="26"/>
      <w:szCs w:val="26"/>
    </w:rPr>
  </w:style>
  <w:style w:type="character" w:styleId="21">
    <w:name w:val="Heading 5 Char"/>
    <w:basedOn w:val="785"/>
    <w:link w:val="780"/>
    <w:uiPriority w:val="9"/>
    <w:rPr>
      <w:rFonts w:ascii="Arial" w:hAnsi="Arial" w:eastAsia="Arial" w:cs="Arial"/>
      <w:b/>
      <w:bCs/>
      <w:sz w:val="24"/>
      <w:szCs w:val="24"/>
    </w:rPr>
  </w:style>
  <w:style w:type="character" w:styleId="23">
    <w:name w:val="Heading 6 Char"/>
    <w:basedOn w:val="785"/>
    <w:link w:val="781"/>
    <w:uiPriority w:val="9"/>
    <w:rPr>
      <w:rFonts w:ascii="Arial" w:hAnsi="Arial" w:eastAsia="Arial" w:cs="Arial"/>
      <w:b/>
      <w:bCs/>
      <w:sz w:val="22"/>
      <w:szCs w:val="22"/>
    </w:rPr>
  </w:style>
  <w:style w:type="character" w:styleId="25">
    <w:name w:val="Heading 7 Char"/>
    <w:basedOn w:val="785"/>
    <w:link w:val="782"/>
    <w:uiPriority w:val="9"/>
    <w:rPr>
      <w:rFonts w:ascii="Arial" w:hAnsi="Arial" w:eastAsia="Arial" w:cs="Arial"/>
      <w:b/>
      <w:bCs/>
      <w:i/>
      <w:iCs/>
      <w:sz w:val="22"/>
      <w:szCs w:val="22"/>
    </w:rPr>
  </w:style>
  <w:style w:type="character" w:styleId="27">
    <w:name w:val="Heading 8 Char"/>
    <w:basedOn w:val="785"/>
    <w:link w:val="783"/>
    <w:uiPriority w:val="9"/>
    <w:rPr>
      <w:rFonts w:ascii="Arial" w:hAnsi="Arial" w:eastAsia="Arial" w:cs="Arial"/>
      <w:i/>
      <w:iCs/>
      <w:sz w:val="22"/>
      <w:szCs w:val="22"/>
    </w:rPr>
  </w:style>
  <w:style w:type="character" w:styleId="29">
    <w:name w:val="Heading 9 Char"/>
    <w:basedOn w:val="785"/>
    <w:link w:val="784"/>
    <w:uiPriority w:val="9"/>
    <w:rPr>
      <w:rFonts w:ascii="Arial" w:hAnsi="Arial" w:eastAsia="Arial" w:cs="Arial"/>
      <w:i/>
      <w:iCs/>
      <w:sz w:val="21"/>
      <w:szCs w:val="21"/>
    </w:rPr>
  </w:style>
  <w:style w:type="character" w:styleId="34">
    <w:name w:val="Title Char"/>
    <w:basedOn w:val="785"/>
    <w:link w:val="816"/>
    <w:uiPriority w:val="10"/>
    <w:rPr>
      <w:sz w:val="48"/>
      <w:szCs w:val="48"/>
    </w:rPr>
  </w:style>
  <w:style w:type="character" w:styleId="36">
    <w:name w:val="Subtitle Char"/>
    <w:basedOn w:val="785"/>
    <w:link w:val="808"/>
    <w:uiPriority w:val="11"/>
    <w:rPr>
      <w:sz w:val="24"/>
      <w:szCs w:val="24"/>
    </w:rPr>
  </w:style>
  <w:style w:type="character" w:styleId="38">
    <w:name w:val="Quote Char"/>
    <w:link w:val="839"/>
    <w:uiPriority w:val="29"/>
    <w:rPr>
      <w:i/>
    </w:rPr>
  </w:style>
  <w:style w:type="character" w:styleId="40">
    <w:name w:val="Intense Quote Char"/>
    <w:link w:val="841"/>
    <w:uiPriority w:val="30"/>
    <w:rPr>
      <w:i/>
    </w:rPr>
  </w:style>
  <w:style w:type="character" w:styleId="46">
    <w:name w:val="Caption Char"/>
    <w:basedOn w:val="791"/>
    <w:link w:val="801"/>
    <w:uiPriority w:val="99"/>
  </w:style>
  <w:style w:type="table" w:styleId="49">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9"/>
    <w:uiPriority w:val="99"/>
    <w:rPr>
      <w:sz w:val="18"/>
    </w:rPr>
  </w:style>
  <w:style w:type="character" w:styleId="178">
    <w:name w:val="Endnote Text Char"/>
    <w:link w:val="799"/>
    <w:uiPriority w:val="99"/>
    <w:rPr>
      <w:sz w:val="20"/>
    </w:rPr>
  </w:style>
  <w:style w:type="paragraph" w:styleId="189">
    <w:name w:val="TOC Heading"/>
    <w:uiPriority w:val="39"/>
    <w:unhideWhenUsed/>
  </w:style>
  <w:style w:type="paragraph" w:styleId="775" w:default="1">
    <w:name w:val="Normal"/>
    <w:next w:val="788"/>
    <w:qFormat/>
    <w:pPr>
      <w:jc w:val="both"/>
      <w:widowControl w:val="off"/>
    </w:pPr>
    <w:rPr>
      <w:rFonts w:eastAsia="楷体_GB2312"/>
      <w:sz w:val="26"/>
    </w:rPr>
  </w:style>
  <w:style w:type="paragraph" w:styleId="776">
    <w:name w:val="Heading 1"/>
    <w:basedOn w:val="775"/>
    <w:next w:val="775"/>
    <w:link w:val="826"/>
    <w:qFormat/>
    <w:pPr>
      <w:jc w:val="center"/>
      <w:keepLines/>
      <w:keepNext/>
      <w:spacing w:line="360" w:lineRule="auto"/>
      <w:outlineLvl w:val="0"/>
    </w:pPr>
    <w:rPr>
      <w:rFonts w:eastAsia="宋体"/>
      <w:b/>
      <w:sz w:val="32"/>
    </w:rPr>
  </w:style>
  <w:style w:type="paragraph" w:styleId="777">
    <w:name w:val="Heading 2"/>
    <w:basedOn w:val="775"/>
    <w:next w:val="775"/>
    <w:link w:val="827"/>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28"/>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29"/>
    <w:uiPriority w:val="9"/>
    <w:unhideWhenUsed/>
    <w:qFormat/>
    <w:pPr>
      <w:keepLines/>
      <w:keepNext/>
      <w:spacing w:before="320" w:after="200"/>
      <w:outlineLvl w:val="3"/>
    </w:pPr>
    <w:rPr>
      <w:rFonts w:ascii="Arial" w:hAnsi="Arial" w:eastAsia="Arial" w:cs="Arial"/>
      <w:b/>
      <w:bCs/>
      <w:szCs w:val="26"/>
    </w:rPr>
  </w:style>
  <w:style w:type="paragraph" w:styleId="780">
    <w:name w:val="Heading 5"/>
    <w:basedOn w:val="775"/>
    <w:next w:val="775"/>
    <w:link w:val="830"/>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31"/>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33"/>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34"/>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semiHidden/>
    <w:unhideWhenUsed/>
  </w:style>
  <w:style w:type="table" w:styleId="786" w:default="1">
    <w:name w:val="Normal Table"/>
    <w:uiPriority w:val="99"/>
    <w:semiHidden/>
    <w:unhideWhenUsed/>
    <w:tblPr>
      <w:tblInd w:w="0" w:type="dxa"/>
      <w:tblCellMar>
        <w:left w:w="108" w:type="dxa"/>
        <w:top w:w="0" w:type="dxa"/>
        <w:right w:w="108" w:type="dxa"/>
        <w:bottom w:w="0" w:type="dxa"/>
      </w:tblCellMar>
    </w:tblPr>
  </w:style>
  <w:style w:type="numbering" w:styleId="787" w:default="1">
    <w:name w:val="No List"/>
    <w:uiPriority w:val="99"/>
    <w:semiHidden/>
    <w:unhideWhenUsed/>
  </w:style>
  <w:style w:type="paragraph" w:styleId="788">
    <w:name w:val="Body Text"/>
    <w:basedOn w:val="775"/>
    <w:next w:val="775"/>
    <w:qFormat/>
    <w:rPr>
      <w:rFonts w:ascii="楷体_GB2312" w:hAnsi="Arial"/>
      <w:sz w:val="28"/>
    </w:rPr>
  </w:style>
  <w:style w:type="paragraph" w:styleId="789">
    <w:name w:val="toc 7"/>
    <w:basedOn w:val="775"/>
    <w:next w:val="775"/>
    <w:uiPriority w:val="39"/>
    <w:unhideWhenUsed/>
    <w:qFormat/>
    <w:pPr>
      <w:ind w:left="1701"/>
      <w:spacing w:after="57"/>
    </w:pPr>
  </w:style>
  <w:style w:type="paragraph" w:styleId="790">
    <w:name w:val="Normal Indent"/>
    <w:basedOn w:val="775"/>
    <w:next w:val="775"/>
    <w:qFormat/>
    <w:pPr>
      <w:ind w:firstLine="200"/>
    </w:pPr>
  </w:style>
  <w:style w:type="paragraph" w:styleId="791">
    <w:name w:val="Caption"/>
    <w:basedOn w:val="775"/>
    <w:next w:val="775"/>
    <w:uiPriority w:val="35"/>
    <w:semiHidden/>
    <w:unhideWhenUsed/>
    <w:qFormat/>
    <w:pPr>
      <w:spacing w:line="276" w:lineRule="auto"/>
    </w:pPr>
    <w:rPr>
      <w:b/>
      <w:bCs/>
      <w:color w:val="4f81bd"/>
      <w:sz w:val="18"/>
      <w:szCs w:val="18"/>
    </w:rPr>
  </w:style>
  <w:style w:type="paragraph" w:styleId="792">
    <w:name w:val="annotation text"/>
    <w:basedOn w:val="775"/>
    <w:link w:val="1008"/>
    <w:uiPriority w:val="99"/>
    <w:semiHidden/>
    <w:unhideWhenUsed/>
    <w:qFormat/>
    <w:pPr>
      <w:jc w:val="left"/>
    </w:pPr>
  </w:style>
  <w:style w:type="paragraph" w:styleId="793">
    <w:name w:val="Body Text Indent"/>
    <w:basedOn w:val="775"/>
    <w:qFormat/>
    <w:pPr>
      <w:ind w:firstLine="645"/>
    </w:pPr>
    <w:rPr>
      <w:rFonts w:ascii="楷体_GB2312" w:hAnsi="Calibri"/>
      <w:sz w:val="32"/>
      <w:szCs w:val="22"/>
    </w:rPr>
  </w:style>
  <w:style w:type="paragraph" w:styleId="794">
    <w:name w:val="Block Text"/>
    <w:basedOn w:val="775"/>
    <w:qFormat/>
    <w:pPr>
      <w:ind w:left="525" w:right="-1" w:firstLine="525"/>
      <w:spacing w:line="312" w:lineRule="atLeast"/>
    </w:pPr>
    <w:rPr>
      <w:sz w:val="28"/>
      <w:szCs w:val="28"/>
    </w:rPr>
  </w:style>
  <w:style w:type="paragraph" w:styleId="795">
    <w:name w:val="toc 5"/>
    <w:basedOn w:val="775"/>
    <w:next w:val="775"/>
    <w:uiPriority w:val="39"/>
    <w:unhideWhenUsed/>
    <w:qFormat/>
    <w:pPr>
      <w:ind w:left="1134"/>
      <w:spacing w:after="57"/>
    </w:pPr>
  </w:style>
  <w:style w:type="paragraph" w:styleId="796">
    <w:name w:val="toc 3"/>
    <w:basedOn w:val="775"/>
    <w:next w:val="775"/>
    <w:uiPriority w:val="39"/>
    <w:unhideWhenUsed/>
    <w:qFormat/>
    <w:pPr>
      <w:ind w:left="567"/>
      <w:spacing w:after="57"/>
    </w:pPr>
  </w:style>
  <w:style w:type="paragraph" w:styleId="797">
    <w:name w:val="Plain Text"/>
    <w:basedOn w:val="775"/>
    <w:next w:val="790"/>
    <w:qFormat/>
    <w:rPr>
      <w:rFonts w:ascii="宋体"/>
    </w:rPr>
  </w:style>
  <w:style w:type="paragraph" w:styleId="798">
    <w:name w:val="toc 8"/>
    <w:basedOn w:val="775"/>
    <w:next w:val="775"/>
    <w:uiPriority w:val="39"/>
    <w:unhideWhenUsed/>
    <w:qFormat/>
    <w:pPr>
      <w:ind w:left="1984"/>
      <w:spacing w:after="57"/>
    </w:pPr>
  </w:style>
  <w:style w:type="paragraph" w:styleId="799">
    <w:name w:val="endnote text"/>
    <w:basedOn w:val="775"/>
    <w:link w:val="972"/>
    <w:uiPriority w:val="99"/>
    <w:semiHidden/>
    <w:unhideWhenUsed/>
    <w:qFormat/>
    <w:rPr>
      <w:sz w:val="20"/>
    </w:rPr>
  </w:style>
  <w:style w:type="paragraph" w:styleId="800">
    <w:name w:val="Balloon Text"/>
    <w:basedOn w:val="775"/>
    <w:link w:val="1004"/>
    <w:uiPriority w:val="99"/>
    <w:semiHidden/>
    <w:unhideWhenUsed/>
    <w:qFormat/>
    <w:rPr>
      <w:sz w:val="18"/>
      <w:szCs w:val="18"/>
    </w:rPr>
  </w:style>
  <w:style w:type="paragraph" w:styleId="801">
    <w:name w:val="Footer"/>
    <w:basedOn w:val="775"/>
    <w:link w:val="845"/>
    <w:uiPriority w:val="99"/>
    <w:unhideWhenUsed/>
    <w:qFormat/>
    <w:pPr>
      <w:tabs>
        <w:tab w:val="center" w:pos="7143" w:leader="none"/>
        <w:tab w:val="right" w:pos="14287" w:leader="none"/>
      </w:tabs>
    </w:pPr>
  </w:style>
  <w:style w:type="paragraph" w:styleId="802">
    <w:name w:val="envelope return"/>
    <w:basedOn w:val="803"/>
    <w:uiPriority w:val="99"/>
    <w:unhideWhenUsed/>
    <w:qFormat/>
    <w:rPr>
      <w:rFonts w:ascii="Arial" w:hAnsi="Arial"/>
    </w:rPr>
  </w:style>
  <w:style w:type="paragraph" w:styleId="803" w:customStyle="1">
    <w:name w:val="Normal_19"/>
    <w:next w:val="804"/>
    <w:qFormat/>
    <w:pPr>
      <w:jc w:val="both"/>
      <w:widowControl w:val="off"/>
    </w:pPr>
    <w:rPr>
      <w:sz w:val="21"/>
      <w:szCs w:val="24"/>
    </w:rPr>
  </w:style>
  <w:style w:type="paragraph" w:styleId="804" w:customStyle="1">
    <w:name w:val="正文文本缩进1"/>
    <w:basedOn w:val="775"/>
    <w:next w:val="802"/>
    <w:unhideWhenUsed/>
    <w:qFormat/>
    <w:pPr>
      <w:ind w:firstLine="570"/>
    </w:pPr>
    <w:rPr>
      <w:rFonts w:ascii="宋体" w:eastAsia="宋体"/>
      <w:sz w:val="28"/>
    </w:rPr>
  </w:style>
  <w:style w:type="paragraph" w:styleId="805">
    <w:name w:val="Header"/>
    <w:basedOn w:val="775"/>
    <w:link w:val="974"/>
    <w:qFormat/>
    <w:pPr>
      <w:jc w:val="center"/>
      <w:tabs>
        <w:tab w:val="center" w:pos="4153" w:leader="none"/>
        <w:tab w:val="right" w:pos="8306" w:leader="none"/>
      </w:tabs>
    </w:pPr>
    <w:rPr>
      <w:sz w:val="18"/>
      <w:szCs w:val="18"/>
    </w:rPr>
  </w:style>
  <w:style w:type="paragraph" w:styleId="806">
    <w:name w:val="toc 1"/>
    <w:basedOn w:val="775"/>
    <w:next w:val="775"/>
    <w:uiPriority w:val="39"/>
    <w:unhideWhenUsed/>
    <w:qFormat/>
    <w:pPr>
      <w:spacing w:after="57"/>
    </w:pPr>
  </w:style>
  <w:style w:type="paragraph" w:styleId="807">
    <w:name w:val="toc 4"/>
    <w:basedOn w:val="775"/>
    <w:next w:val="775"/>
    <w:uiPriority w:val="39"/>
    <w:unhideWhenUsed/>
    <w:qFormat/>
    <w:pPr>
      <w:ind w:left="850"/>
      <w:spacing w:after="57"/>
    </w:pPr>
  </w:style>
  <w:style w:type="paragraph" w:styleId="808">
    <w:name w:val="Subtitle"/>
    <w:basedOn w:val="775"/>
    <w:next w:val="775"/>
    <w:link w:val="838"/>
    <w:uiPriority w:val="11"/>
    <w:qFormat/>
    <w:pPr>
      <w:spacing w:before="200" w:after="200"/>
    </w:pPr>
    <w:rPr>
      <w:sz w:val="24"/>
      <w:szCs w:val="24"/>
    </w:rPr>
  </w:style>
  <w:style w:type="paragraph" w:styleId="809">
    <w:name w:val="footnote text"/>
    <w:basedOn w:val="775"/>
    <w:link w:val="971"/>
    <w:uiPriority w:val="99"/>
    <w:semiHidden/>
    <w:unhideWhenUsed/>
    <w:qFormat/>
    <w:pPr>
      <w:spacing w:after="40"/>
    </w:pPr>
    <w:rPr>
      <w:sz w:val="18"/>
    </w:rPr>
  </w:style>
  <w:style w:type="paragraph" w:styleId="810">
    <w:name w:val="toc 6"/>
    <w:basedOn w:val="775"/>
    <w:next w:val="775"/>
    <w:uiPriority w:val="39"/>
    <w:unhideWhenUsed/>
    <w:qFormat/>
    <w:pPr>
      <w:ind w:left="1417"/>
      <w:spacing w:after="57"/>
    </w:pPr>
  </w:style>
  <w:style w:type="paragraph" w:styleId="811">
    <w:name w:val="table of figures"/>
    <w:basedOn w:val="775"/>
    <w:next w:val="775"/>
    <w:uiPriority w:val="99"/>
    <w:unhideWhenUsed/>
    <w:qFormat/>
  </w:style>
  <w:style w:type="paragraph" w:styleId="812">
    <w:name w:val="toc 2"/>
    <w:basedOn w:val="775"/>
    <w:next w:val="775"/>
    <w:uiPriority w:val="39"/>
    <w:unhideWhenUsed/>
    <w:qFormat/>
    <w:pPr>
      <w:ind w:left="283"/>
      <w:spacing w:after="57"/>
    </w:pPr>
  </w:style>
  <w:style w:type="paragraph" w:styleId="813">
    <w:name w:val="toc 9"/>
    <w:basedOn w:val="775"/>
    <w:next w:val="775"/>
    <w:uiPriority w:val="39"/>
    <w:unhideWhenUsed/>
    <w:qFormat/>
    <w:pPr>
      <w:ind w:left="2268"/>
      <w:spacing w:after="57"/>
    </w:pPr>
  </w:style>
  <w:style w:type="paragraph" w:styleId="814">
    <w:name w:val="HTML Preformatted"/>
    <w:basedOn w:val="775"/>
    <w:link w:val="1016"/>
    <w:uiPriority w:val="99"/>
    <w:semiHidden/>
    <w:unhideWhenUsed/>
    <w:qFormat/>
    <w:rPr>
      <w:rFonts w:ascii="Courier New" w:hAnsi="Courier New" w:cs="Courier New"/>
      <w:sz w:val="20"/>
    </w:rPr>
  </w:style>
  <w:style w:type="paragraph" w:styleId="815">
    <w:name w:val="Normal (Web)"/>
    <w:basedOn w:val="775"/>
    <w:uiPriority w:val="99"/>
    <w:qFormat/>
    <w:pPr>
      <w:jc w:val="left"/>
      <w:spacing w:before="100" w:beforeAutospacing="1" w:after="100" w:afterAutospacing="1"/>
      <w:widowControl/>
    </w:pPr>
    <w:rPr>
      <w:rFonts w:ascii="宋体" w:hAnsi="宋体"/>
      <w:color w:val="000000"/>
      <w:sz w:val="24"/>
      <w:szCs w:val="24"/>
    </w:rPr>
  </w:style>
  <w:style w:type="paragraph" w:styleId="816">
    <w:name w:val="Title"/>
    <w:basedOn w:val="775"/>
    <w:next w:val="775"/>
    <w:link w:val="837"/>
    <w:uiPriority w:val="10"/>
    <w:qFormat/>
    <w:pPr>
      <w:contextualSpacing/>
      <w:spacing w:before="300" w:after="200"/>
    </w:pPr>
    <w:rPr>
      <w:sz w:val="48"/>
      <w:szCs w:val="48"/>
    </w:rPr>
  </w:style>
  <w:style w:type="paragraph" w:styleId="817">
    <w:name w:val="Body Text First Indent"/>
    <w:basedOn w:val="788"/>
    <w:next w:val="818"/>
    <w:qFormat/>
    <w:pPr>
      <w:ind w:firstLine="420"/>
    </w:pPr>
  </w:style>
  <w:style w:type="paragraph" w:styleId="818">
    <w:name w:val="Body Text First Indent 2"/>
    <w:basedOn w:val="793"/>
    <w:uiPriority w:val="99"/>
    <w:unhideWhenUsed/>
    <w:qFormat/>
    <w:pPr>
      <w:ind w:firstLine="200"/>
    </w:pPr>
  </w:style>
  <w:style w:type="table" w:styleId="819">
    <w:name w:val="Table Grid"/>
    <w:basedOn w:val="7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endnote reference"/>
    <w:uiPriority w:val="99"/>
    <w:semiHidden/>
    <w:unhideWhenUsed/>
    <w:qFormat/>
    <w:rPr>
      <w:vertAlign w:val="superscript"/>
    </w:rPr>
  </w:style>
  <w:style w:type="character" w:styleId="821">
    <w:name w:val="Emphasis"/>
    <w:qFormat/>
    <w:rPr>
      <w:rFonts w:ascii="Times New Roman" w:hAnsi="Times New Roman" w:eastAsia="宋体" w:cs="Times New Roman"/>
      <w:i/>
    </w:rPr>
  </w:style>
  <w:style w:type="character" w:styleId="822">
    <w:name w:val="Hyperlink"/>
    <w:uiPriority w:val="99"/>
    <w:unhideWhenUsed/>
    <w:qFormat/>
    <w:rPr>
      <w:color w:val="0563c1"/>
      <w:u w:val="single"/>
    </w:rPr>
  </w:style>
  <w:style w:type="character" w:styleId="823">
    <w:name w:val="annotation reference"/>
    <w:basedOn w:val="785"/>
    <w:uiPriority w:val="99"/>
    <w:semiHidden/>
    <w:unhideWhenUsed/>
    <w:qFormat/>
    <w:rPr>
      <w:sz w:val="21"/>
      <w:szCs w:val="21"/>
    </w:rPr>
  </w:style>
  <w:style w:type="character" w:styleId="824">
    <w:name w:val="footnote reference"/>
    <w:uiPriority w:val="99"/>
    <w:unhideWhenUsed/>
    <w:qFormat/>
    <w:rPr>
      <w:vertAlign w:val="superscript"/>
    </w:rPr>
  </w:style>
  <w:style w:type="paragraph" w:styleId="825" w:customStyle="1">
    <w:name w:val="标题 31"/>
    <w:basedOn w:val="775"/>
    <w:next w:val="775"/>
    <w:qFormat/>
    <w:pPr>
      <w:keepLines/>
      <w:keepNext/>
      <w:spacing w:before="260" w:after="260" w:line="416" w:lineRule="auto"/>
      <w:outlineLvl w:val="2"/>
    </w:pPr>
    <w:rPr>
      <w:b/>
      <w:bCs/>
      <w:sz w:val="32"/>
      <w:szCs w:val="32"/>
    </w:rPr>
  </w:style>
  <w:style w:type="character" w:styleId="826" w:customStyle="1">
    <w:name w:val="标题 1 字符"/>
    <w:link w:val="776"/>
    <w:qFormat/>
    <w:rPr>
      <w:rFonts w:ascii="Arial" w:hAnsi="Arial" w:eastAsia="Arial" w:cs="Arial"/>
      <w:sz w:val="40"/>
      <w:szCs w:val="40"/>
    </w:rPr>
  </w:style>
  <w:style w:type="character" w:styleId="827" w:customStyle="1">
    <w:name w:val="标题 2 字符"/>
    <w:link w:val="777"/>
    <w:uiPriority w:val="9"/>
    <w:qFormat/>
    <w:rPr>
      <w:rFonts w:ascii="Arial" w:hAnsi="Arial" w:eastAsia="Arial" w:cs="Arial"/>
      <w:sz w:val="34"/>
    </w:rPr>
  </w:style>
  <w:style w:type="character" w:styleId="828" w:customStyle="1">
    <w:name w:val="标题 3 字符"/>
    <w:link w:val="778"/>
    <w:uiPriority w:val="9"/>
    <w:qFormat/>
    <w:rPr>
      <w:rFonts w:ascii="Arial" w:hAnsi="Arial" w:eastAsia="Arial" w:cs="Arial"/>
      <w:sz w:val="30"/>
      <w:szCs w:val="30"/>
    </w:rPr>
  </w:style>
  <w:style w:type="character" w:styleId="829" w:customStyle="1">
    <w:name w:val="标题 4 字符"/>
    <w:link w:val="779"/>
    <w:uiPriority w:val="9"/>
    <w:qFormat/>
    <w:rPr>
      <w:rFonts w:ascii="Arial" w:hAnsi="Arial" w:eastAsia="Arial" w:cs="Arial"/>
      <w:b/>
      <w:bCs/>
      <w:sz w:val="26"/>
      <w:szCs w:val="26"/>
    </w:rPr>
  </w:style>
  <w:style w:type="character" w:styleId="830" w:customStyle="1">
    <w:name w:val="标题 5 字符"/>
    <w:link w:val="780"/>
    <w:uiPriority w:val="9"/>
    <w:qFormat/>
    <w:rPr>
      <w:rFonts w:ascii="Arial" w:hAnsi="Arial" w:eastAsia="Arial" w:cs="Arial"/>
      <w:b/>
      <w:bCs/>
      <w:sz w:val="24"/>
      <w:szCs w:val="24"/>
    </w:rPr>
  </w:style>
  <w:style w:type="character" w:styleId="831" w:customStyle="1">
    <w:name w:val="标题 6 字符"/>
    <w:link w:val="781"/>
    <w:uiPriority w:val="9"/>
    <w:qFormat/>
    <w:rPr>
      <w:rFonts w:ascii="Arial" w:hAnsi="Arial" w:eastAsia="Arial" w:cs="Arial"/>
      <w:b/>
      <w:bCs/>
      <w:sz w:val="22"/>
      <w:szCs w:val="22"/>
    </w:rPr>
  </w:style>
  <w:style w:type="character" w:styleId="832" w:customStyle="1">
    <w:name w:val="标题 7 字符"/>
    <w:link w:val="782"/>
    <w:uiPriority w:val="9"/>
    <w:qFormat/>
    <w:rPr>
      <w:rFonts w:ascii="Arial" w:hAnsi="Arial" w:eastAsia="Arial" w:cs="Arial"/>
      <w:b/>
      <w:bCs/>
      <w:i/>
      <w:iCs/>
      <w:sz w:val="22"/>
      <w:szCs w:val="22"/>
    </w:rPr>
  </w:style>
  <w:style w:type="character" w:styleId="833" w:customStyle="1">
    <w:name w:val="标题 8 字符"/>
    <w:link w:val="783"/>
    <w:uiPriority w:val="9"/>
    <w:qFormat/>
    <w:rPr>
      <w:rFonts w:ascii="Arial" w:hAnsi="Arial" w:eastAsia="Arial" w:cs="Arial"/>
      <w:i/>
      <w:iCs/>
      <w:sz w:val="22"/>
      <w:szCs w:val="22"/>
    </w:rPr>
  </w:style>
  <w:style w:type="character" w:styleId="834" w:customStyle="1">
    <w:name w:val="标题 9 字符"/>
    <w:link w:val="784"/>
    <w:uiPriority w:val="9"/>
    <w:qFormat/>
    <w:rPr>
      <w:rFonts w:ascii="Arial" w:hAnsi="Arial" w:eastAsia="Arial" w:cs="Arial"/>
      <w:i/>
      <w:iCs/>
      <w:sz w:val="21"/>
      <w:szCs w:val="21"/>
    </w:rPr>
  </w:style>
  <w:style w:type="paragraph" w:styleId="835">
    <w:name w:val="List Paragraph"/>
    <w:basedOn w:val="775"/>
    <w:qFormat/>
    <w:pPr>
      <w:ind w:firstLine="420"/>
    </w:pPr>
  </w:style>
  <w:style w:type="paragraph" w:styleId="836">
    <w:name w:val="No Spacing"/>
    <w:uiPriority w:val="1"/>
    <w:qFormat/>
  </w:style>
  <w:style w:type="character" w:styleId="837" w:customStyle="1">
    <w:name w:val="标题 字符"/>
    <w:link w:val="816"/>
    <w:uiPriority w:val="10"/>
    <w:qFormat/>
    <w:rPr>
      <w:sz w:val="48"/>
      <w:szCs w:val="48"/>
    </w:rPr>
  </w:style>
  <w:style w:type="character" w:styleId="838" w:customStyle="1">
    <w:name w:val="副标题 字符"/>
    <w:link w:val="808"/>
    <w:uiPriority w:val="11"/>
    <w:qFormat/>
    <w:rPr>
      <w:sz w:val="24"/>
      <w:szCs w:val="24"/>
    </w:rPr>
  </w:style>
  <w:style w:type="paragraph" w:styleId="839">
    <w:name w:val="Quote"/>
    <w:basedOn w:val="775"/>
    <w:next w:val="775"/>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75"/>
    <w:next w:val="775"/>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Header Char"/>
    <w:uiPriority w:val="99"/>
    <w:qFormat/>
  </w:style>
  <w:style w:type="character" w:styleId="844" w:customStyle="1">
    <w:name w:val="Footer Char"/>
    <w:uiPriority w:val="99"/>
    <w:qFormat/>
  </w:style>
  <w:style w:type="character" w:styleId="845" w:customStyle="1">
    <w:name w:val="页脚 字符"/>
    <w:link w:val="801"/>
    <w:uiPriority w:val="99"/>
    <w:qFormat/>
  </w:style>
  <w:style w:type="table" w:styleId="8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9" w:customStyle="1">
    <w:name w:val="无格式表格 31"/>
    <w:uiPriority w:val="99"/>
    <w:qFormat/>
    <w:tblPr>
      <w:tblCellMar>
        <w:left w:w="0" w:type="dxa"/>
        <w:top w:w="0" w:type="dxa"/>
        <w:right w:w="0" w:type="dxa"/>
        <w:bottom w:w="0" w:type="dxa"/>
      </w:tblCellMar>
    </w:tblPr>
  </w:style>
  <w:style w:type="table" w:styleId="850" w:customStyle="1">
    <w:name w:val="无格式表格 41"/>
    <w:uiPriority w:val="99"/>
    <w:qFormat/>
    <w:tblPr>
      <w:tblCellMar>
        <w:left w:w="0" w:type="dxa"/>
        <w:top w:w="0" w:type="dxa"/>
        <w:right w:w="0" w:type="dxa"/>
        <w:bottom w:w="0" w:type="dxa"/>
      </w:tblCellMar>
    </w:tblPr>
  </w:style>
  <w:style w:type="table" w:styleId="851" w:customStyle="1">
    <w:name w:val="无格式表格 51"/>
    <w:uiPriority w:val="99"/>
    <w:qFormat/>
    <w:tblPr>
      <w:tblCellMar>
        <w:left w:w="0" w:type="dxa"/>
        <w:top w:w="0" w:type="dxa"/>
        <w:right w:w="0" w:type="dxa"/>
        <w:bottom w:w="0" w:type="dxa"/>
      </w:tblCellMar>
    </w:tblPr>
  </w:style>
  <w:style w:type="table" w:styleId="85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清单表 1 浅色1"/>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3"/>
    <w:uiPriority w:val="99"/>
    <w:qFormat/>
    <w:tblPr>
      <w:tblCellMar>
        <w:left w:w="0" w:type="dxa"/>
        <w:top w:w="0" w:type="dxa"/>
        <w:right w:w="0" w:type="dxa"/>
        <w:bottom w:w="0" w:type="dxa"/>
      </w:tblCellMar>
    </w:tblPr>
  </w:style>
  <w:style w:type="table" w:styleId="905" w:customStyle="1">
    <w:name w:val="List Table 1 Light - Accent 4"/>
    <w:uiPriority w:val="99"/>
    <w:qFormat/>
    <w:tblPr>
      <w:tblCellMar>
        <w:left w:w="0" w:type="dxa"/>
        <w:top w:w="0" w:type="dxa"/>
        <w:right w:w="0" w:type="dxa"/>
        <w:bottom w:w="0" w:type="dxa"/>
      </w:tblCellMar>
    </w:tblPr>
  </w:style>
  <w:style w:type="table" w:styleId="906" w:customStyle="1">
    <w:name w:val="List Table 1 Light - Accent 5"/>
    <w:uiPriority w:val="99"/>
    <w:qFormat/>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0" w:customStyle="1">
    <w:name w:val="Lined - Accent"/>
    <w:uiPriority w:val="99"/>
    <w:qFormat/>
    <w:rPr>
      <w:color w:val="404040"/>
    </w:rPr>
    <w:tblPr>
      <w:tblCellMar>
        <w:left w:w="0" w:type="dxa"/>
        <w:top w:w="0" w:type="dxa"/>
        <w:right w:w="0" w:type="dxa"/>
        <w:bottom w:w="0" w:type="dxa"/>
      </w:tblCellMar>
    </w:tblPr>
  </w:style>
  <w:style w:type="table" w:styleId="951" w:customStyle="1">
    <w:name w:val="Lined - Accent 1"/>
    <w:uiPriority w:val="99"/>
    <w:qFormat/>
    <w:rPr>
      <w:color w:val="404040"/>
    </w:rPr>
    <w:tblPr>
      <w:tblCellMar>
        <w:left w:w="0" w:type="dxa"/>
        <w:top w:w="0" w:type="dxa"/>
        <w:right w:w="0" w:type="dxa"/>
        <w:bottom w:w="0" w:type="dxa"/>
      </w:tblCellMar>
    </w:tblPr>
  </w:style>
  <w:style w:type="table" w:styleId="952" w:customStyle="1">
    <w:name w:val="Lined - Accent 2"/>
    <w:uiPriority w:val="99"/>
    <w:qFormat/>
    <w:rPr>
      <w:color w:val="404040"/>
    </w:rPr>
    <w:tblPr>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Lined - Accent 4"/>
    <w:uiPriority w:val="99"/>
    <w:qFormat/>
    <w:rPr>
      <w:color w:val="404040"/>
    </w:rPr>
    <w:tblPr>
      <w:tblCellMar>
        <w:left w:w="0" w:type="dxa"/>
        <w:top w:w="0" w:type="dxa"/>
        <w:right w:w="0" w:type="dxa"/>
        <w:bottom w:w="0" w:type="dxa"/>
      </w:tblCellMar>
    </w:tblPr>
  </w:style>
  <w:style w:type="table" w:styleId="955" w:customStyle="1">
    <w:name w:val="Lined - Accent 5"/>
    <w:uiPriority w:val="99"/>
    <w:qFormat/>
    <w:rPr>
      <w:color w:val="404040"/>
    </w:rPr>
    <w:tblPr>
      <w:tblCellMar>
        <w:left w:w="0" w:type="dxa"/>
        <w:top w:w="0" w:type="dxa"/>
        <w:right w:w="0" w:type="dxa"/>
        <w:bottom w:w="0" w:type="dxa"/>
      </w:tblCellMar>
    </w:tblPr>
  </w:style>
  <w:style w:type="table" w:styleId="956" w:customStyle="1">
    <w:name w:val="Lined - Accent 6"/>
    <w:uiPriority w:val="99"/>
    <w:qFormat/>
    <w:rPr>
      <w:color w:val="404040"/>
    </w:rPr>
    <w:tblPr>
      <w:tblCellMar>
        <w:left w:w="0" w:type="dxa"/>
        <w:top w:w="0" w:type="dxa"/>
        <w:right w:w="0" w:type="dxa"/>
        <w:bottom w:w="0" w:type="dxa"/>
      </w:tblCellMar>
    </w:tblPr>
  </w:style>
  <w:style w:type="table" w:styleId="9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1" w:customStyle="1">
    <w:name w:val="脚注文本 字符"/>
    <w:link w:val="809"/>
    <w:uiPriority w:val="99"/>
    <w:qFormat/>
    <w:rPr>
      <w:sz w:val="18"/>
    </w:rPr>
  </w:style>
  <w:style w:type="character" w:styleId="972" w:customStyle="1">
    <w:name w:val="尾注文本 字符"/>
    <w:link w:val="799"/>
    <w:uiPriority w:val="99"/>
    <w:qFormat/>
    <w:rPr>
      <w:sz w:val="20"/>
    </w:rPr>
  </w:style>
  <w:style w:type="paragraph" w:styleId="973" w:customStyle="1">
    <w:name w:val="TOC 标题1"/>
    <w:uiPriority w:val="39"/>
    <w:unhideWhenUsed/>
    <w:qFormat/>
  </w:style>
  <w:style w:type="character" w:styleId="974" w:customStyle="1">
    <w:name w:val="页眉 字符"/>
    <w:link w:val="805"/>
    <w:qFormat/>
    <w:rPr>
      <w:rFonts w:ascii="Times New Roman" w:hAnsi="Times New Roman" w:eastAsia="楷体_GB2312"/>
      <w:sz w:val="18"/>
      <w:szCs w:val="18"/>
    </w:rPr>
  </w:style>
  <w:style w:type="paragraph" w:styleId="975" w:customStyle="1">
    <w:name w:val="索引 41"/>
    <w:basedOn w:val="775"/>
    <w:next w:val="775"/>
    <w:qFormat/>
    <w:pPr>
      <w:ind w:left="600"/>
    </w:pPr>
    <w:rPr>
      <w:szCs w:val="21"/>
    </w:rPr>
  </w:style>
  <w:style w:type="paragraph" w:styleId="976" w:customStyle="1">
    <w:name w:val="正文首行缩进 21"/>
    <w:basedOn w:val="804"/>
    <w:uiPriority w:val="99"/>
    <w:unhideWhenUsed/>
    <w:qFormat/>
    <w:pPr>
      <w:ind w:firstLine="420"/>
    </w:pPr>
  </w:style>
  <w:style w:type="paragraph" w:styleId="977" w:customStyle="1">
    <w:name w:val="目录 11"/>
    <w:basedOn w:val="775"/>
    <w:next w:val="775"/>
    <w:unhideWhenUsed/>
    <w:qFormat/>
    <w:pPr>
      <w:jc w:val="left"/>
    </w:pPr>
    <w:rPr>
      <w:sz w:val="24"/>
    </w:rPr>
  </w:style>
  <w:style w:type="paragraph" w:styleId="978" w:customStyle="1">
    <w:name w:val="标题 21"/>
    <w:basedOn w:val="775"/>
    <w:next w:val="775"/>
    <w:qFormat/>
    <w:pPr>
      <w:keepLines/>
      <w:keepNext/>
      <w:spacing w:before="260" w:after="260" w:line="416" w:lineRule="auto"/>
      <w:outlineLvl w:val="1"/>
    </w:pPr>
    <w:rPr>
      <w:rFonts w:ascii="Cambria" w:hAnsi="Cambria" w:eastAsia="宋体"/>
      <w:b/>
      <w:bCs/>
      <w:sz w:val="32"/>
      <w:szCs w:val="32"/>
    </w:rPr>
  </w:style>
  <w:style w:type="paragraph" w:styleId="979" w:customStyle="1">
    <w:name w:val="Default"/>
    <w:qFormat/>
    <w:pPr>
      <w:widowControl w:val="off"/>
    </w:pPr>
    <w:rPr>
      <w:rFonts w:ascii="仿宋" w:eastAsia="仿宋" w:cs="仿宋"/>
      <w:color w:val="000000"/>
      <w:sz w:val="24"/>
      <w:szCs w:val="24"/>
    </w:rPr>
  </w:style>
  <w:style w:type="paragraph" w:styleId="980" w:customStyle="1">
    <w:name w:val="纯文本1111"/>
    <w:basedOn w:val="775"/>
    <w:next w:val="981"/>
    <w:unhideWhenUsed/>
    <w:qFormat/>
    <w:rPr>
      <w:rFonts w:ascii="宋体" w:hAnsi="Courier New"/>
    </w:rPr>
  </w:style>
  <w:style w:type="paragraph" w:styleId="981" w:customStyle="1">
    <w:name w:val="正文缩进1"/>
    <w:basedOn w:val="775"/>
    <w:unhideWhenUsed/>
    <w:qFormat/>
    <w:pPr>
      <w:ind w:firstLine="420"/>
      <w:jc w:val="left"/>
    </w:pPr>
    <w:rPr>
      <w:sz w:val="24"/>
    </w:rPr>
  </w:style>
  <w:style w:type="paragraph" w:styleId="982" w:customStyle="1">
    <w:name w:val="首行缩进"/>
    <w:basedOn w:val="775"/>
    <w:qFormat/>
    <w:pPr>
      <w:ind w:firstLine="480"/>
      <w:spacing w:line="360" w:lineRule="auto"/>
    </w:pPr>
    <w:rPr>
      <w:rFonts w:hAnsi="宋体" w:eastAsia="宋体" w:cs="宋体"/>
      <w:sz w:val="24"/>
      <w:szCs w:val="24"/>
    </w:rPr>
  </w:style>
  <w:style w:type="paragraph" w:styleId="983" w:customStyle="1">
    <w:name w:val="Char"/>
    <w:basedOn w:val="775"/>
    <w:qFormat/>
  </w:style>
  <w:style w:type="paragraph" w:styleId="984" w:customStyle="1">
    <w:name w:val="标题 11"/>
    <w:basedOn w:val="775"/>
    <w:next w:val="775"/>
    <w:qFormat/>
    <w:pPr>
      <w:keepLines/>
      <w:keepNext/>
      <w:spacing w:before="340" w:after="330" w:line="578" w:lineRule="auto"/>
      <w:outlineLvl w:val="0"/>
    </w:pPr>
    <w:rPr>
      <w:b/>
      <w:sz w:val="44"/>
    </w:rPr>
  </w:style>
  <w:style w:type="paragraph" w:styleId="985" w:customStyle="1">
    <w:name w:val="纯文本1"/>
    <w:basedOn w:val="775"/>
    <w:qFormat/>
    <w:rPr>
      <w:rFonts w:ascii="宋体" w:hAnsi="Courier New"/>
    </w:rPr>
  </w:style>
  <w:style w:type="paragraph" w:styleId="986" w:customStyle="1">
    <w:name w:val="正文2"/>
    <w:basedOn w:val="775"/>
    <w:qFormat/>
    <w:pPr>
      <w:ind w:firstLine="510"/>
      <w:spacing w:before="156" w:line="360" w:lineRule="auto"/>
    </w:pPr>
    <w:rPr>
      <w:sz w:val="24"/>
    </w:rPr>
  </w:style>
  <w:style w:type="character" w:styleId="987" w:customStyle="1">
    <w:name w:val="要点1"/>
    <w:qFormat/>
    <w:rPr>
      <w:b/>
      <w:bCs/>
    </w:rPr>
  </w:style>
  <w:style w:type="paragraph" w:styleId="988" w:customStyle="1">
    <w:name w:val="普通(网站)1"/>
    <w:basedOn w:val="775"/>
    <w:unhideWhenUsed/>
    <w:qFormat/>
    <w:pPr>
      <w:jc w:val="left"/>
      <w:spacing w:before="100" w:beforeAutospacing="1" w:after="100" w:afterAutospacing="1"/>
      <w:widowControl/>
    </w:pPr>
    <w:rPr>
      <w:rFonts w:ascii="宋体" w:hAnsi="宋体" w:cs="宋体"/>
      <w:sz w:val="24"/>
    </w:rPr>
  </w:style>
  <w:style w:type="paragraph" w:styleId="989" w:customStyle="1">
    <w:name w:val="正文文本缩进 21"/>
    <w:basedOn w:val="775"/>
    <w:unhideWhenUsed/>
    <w:qFormat/>
    <w:pPr>
      <w:ind w:left="420"/>
      <w:spacing w:after="120" w:line="480" w:lineRule="auto"/>
    </w:pPr>
  </w:style>
  <w:style w:type="paragraph" w:styleId="990" w:customStyle="1">
    <w:name w:val="纯文本11"/>
    <w:basedOn w:val="775"/>
    <w:uiPriority w:val="99"/>
    <w:qFormat/>
    <w:rPr>
      <w:rFonts w:ascii="宋体" w:hAnsi="Courier New"/>
    </w:rPr>
  </w:style>
  <w:style w:type="paragraph" w:styleId="991" w:customStyle="1">
    <w:name w:val="索引 11"/>
    <w:basedOn w:val="775"/>
    <w:next w:val="775"/>
    <w:unhideWhenUsed/>
    <w:qFormat/>
    <w:pPr>
      <w:jc w:val="center"/>
      <w:spacing w:line="220" w:lineRule="exact"/>
    </w:pPr>
    <w:rPr>
      <w:rFonts w:ascii="仿宋_GB2312" w:eastAsia="仿宋_GB2312"/>
      <w:szCs w:val="21"/>
    </w:rPr>
  </w:style>
  <w:style w:type="paragraph" w:styleId="992" w:customStyle="1">
    <w:name w:val="正文文本1"/>
    <w:basedOn w:val="775"/>
    <w:unhideWhenUsed/>
    <w:qFormat/>
    <w:rPr>
      <w:rFonts w:ascii="楷体_GB2312"/>
      <w:b/>
      <w:bCs/>
      <w:sz w:val="28"/>
    </w:rPr>
  </w:style>
  <w:style w:type="paragraph" w:styleId="993" w:customStyle="1">
    <w:name w:val="页眉1"/>
    <w:basedOn w:val="775"/>
    <w:unhideWhenUsed/>
    <w:qFormat/>
    <w:pPr>
      <w:jc w:val="center"/>
      <w:tabs>
        <w:tab w:val="center" w:pos="4153" w:leader="none"/>
        <w:tab w:val="right" w:pos="8306" w:leader="none"/>
      </w:tabs>
      <w:pBdr>
        <w:bottom w:val="single" w:color="000000" w:sz="6" w:space="1"/>
      </w:pBdr>
    </w:pPr>
    <w:rPr>
      <w:sz w:val="18"/>
    </w:rPr>
  </w:style>
  <w:style w:type="paragraph" w:styleId="994" w:customStyle="1">
    <w:name w:val="页脚1"/>
    <w:basedOn w:val="775"/>
    <w:unhideWhenUsed/>
    <w:qFormat/>
    <w:pPr>
      <w:jc w:val="left"/>
      <w:tabs>
        <w:tab w:val="center" w:pos="4153" w:leader="none"/>
        <w:tab w:val="right" w:pos="8306" w:leader="none"/>
      </w:tabs>
    </w:pPr>
    <w:rPr>
      <w:sz w:val="18"/>
    </w:rPr>
  </w:style>
  <w:style w:type="character" w:styleId="995" w:customStyle="1">
    <w:name w:val="font81"/>
    <w:qFormat/>
    <w:rPr>
      <w:rFonts w:ascii="Times New Roman" w:hAnsi="Times New Roman" w:cs="Times New Roman"/>
      <w:color w:val="000000"/>
      <w:sz w:val="22"/>
      <w:szCs w:val="22"/>
      <w:u w:val="none"/>
    </w:rPr>
  </w:style>
  <w:style w:type="character" w:styleId="996" w:customStyle="1">
    <w:name w:val="font11"/>
    <w:qFormat/>
    <w:rPr>
      <w:rFonts w:hint="eastAsia" w:ascii="仿宋" w:hAnsi="仿宋" w:eastAsia="仿宋" w:cs="仿宋"/>
      <w:color w:val="000000"/>
      <w:sz w:val="22"/>
      <w:szCs w:val="22"/>
      <w:u w:val="none"/>
    </w:rPr>
  </w:style>
  <w:style w:type="character" w:styleId="997" w:customStyle="1">
    <w:name w:val="font101"/>
    <w:qFormat/>
    <w:rPr>
      <w:rFonts w:ascii="Arial" w:hAnsi="Arial" w:cs="Arial"/>
      <w:color w:val="000000"/>
      <w:sz w:val="22"/>
      <w:szCs w:val="22"/>
      <w:u w:val="none"/>
    </w:rPr>
  </w:style>
  <w:style w:type="paragraph" w:styleId="998" w:customStyle="1">
    <w:name w:val="List Paragraph_f0420307-4c65-4cf4-ac34-e8950b7bacb1"/>
    <w:basedOn w:val="775"/>
    <w:qFormat/>
    <w:pPr>
      <w:ind w:firstLine="420"/>
    </w:pPr>
    <w:rPr>
      <w:rFonts w:eastAsia="宋体"/>
      <w:sz w:val="21"/>
      <w:szCs w:val="21"/>
    </w:rPr>
  </w:style>
  <w:style w:type="character" w:styleId="999" w:customStyle="1">
    <w:name w:val="font51"/>
    <w:basedOn w:val="785"/>
    <w:qFormat/>
    <w:rPr>
      <w:rFonts w:hint="default" w:ascii="Times New Roman" w:hAnsi="Times New Roman" w:cs="Times New Roman"/>
      <w:color w:val="000000"/>
      <w:sz w:val="21"/>
      <w:szCs w:val="21"/>
      <w:u w:val="none"/>
    </w:rPr>
  </w:style>
  <w:style w:type="character" w:styleId="1000" w:customStyle="1">
    <w:name w:val="font31"/>
    <w:basedOn w:val="785"/>
    <w:qFormat/>
    <w:rPr>
      <w:rFonts w:hint="eastAsia" w:ascii="宋体" w:hAnsi="宋体" w:eastAsia="宋体" w:cs="宋体"/>
      <w:color w:val="000000"/>
      <w:sz w:val="21"/>
      <w:szCs w:val="21"/>
      <w:u w:val="none"/>
    </w:rPr>
  </w:style>
  <w:style w:type="character" w:styleId="1001" w:customStyle="1">
    <w:name w:val="font21"/>
    <w:basedOn w:val="785"/>
    <w:qFormat/>
    <w:rPr>
      <w:rFonts w:hint="default" w:ascii="Times New Roman" w:hAnsi="Times New Roman" w:cs="Times New Roman"/>
      <w:color w:val="000000"/>
      <w:sz w:val="21"/>
      <w:szCs w:val="21"/>
      <w:u w:val="none"/>
    </w:rPr>
  </w:style>
  <w:style w:type="character" w:styleId="1002" w:customStyle="1">
    <w:name w:val="font61"/>
    <w:basedOn w:val="785"/>
    <w:qFormat/>
    <w:rPr>
      <w:rFonts w:hint="eastAsia" w:ascii="宋体" w:hAnsi="宋体" w:eastAsia="宋体" w:cs="宋体"/>
      <w:color w:val="000000"/>
      <w:sz w:val="21"/>
      <w:szCs w:val="21"/>
      <w:u w:val="none"/>
    </w:rPr>
  </w:style>
  <w:style w:type="character" w:styleId="1003" w:customStyle="1">
    <w:name w:val="font41"/>
    <w:basedOn w:val="785"/>
    <w:qFormat/>
    <w:rPr>
      <w:rFonts w:hint="default" w:ascii="Times New Roman" w:hAnsi="Times New Roman" w:cs="Times New Roman"/>
      <w:color w:val="000000"/>
      <w:sz w:val="20"/>
      <w:szCs w:val="20"/>
      <w:u w:val="none"/>
    </w:rPr>
  </w:style>
  <w:style w:type="character" w:styleId="1004" w:customStyle="1">
    <w:name w:val="批注框文本 字符"/>
    <w:basedOn w:val="785"/>
    <w:link w:val="800"/>
    <w:uiPriority w:val="99"/>
    <w:semiHidden/>
    <w:qFormat/>
    <w:rPr>
      <w:rFonts w:eastAsia="楷体_GB2312"/>
      <w:sz w:val="18"/>
      <w:szCs w:val="18"/>
    </w:rPr>
  </w:style>
  <w:style w:type="table" w:styleId="1005" w:customStyle="1">
    <w:name w:val="Table Normal"/>
    <w:semiHidden/>
    <w:unhideWhenUsed/>
    <w:qFormat/>
    <w:tblPr>
      <w:tblCellMar>
        <w:left w:w="0" w:type="dxa"/>
        <w:top w:w="0" w:type="dxa"/>
        <w:right w:w="0" w:type="dxa"/>
        <w:bottom w:w="0" w:type="dxa"/>
      </w:tblCellMar>
    </w:tblPr>
  </w:style>
  <w:style w:type="paragraph" w:styleId="1006" w:customStyle="1">
    <w:name w:val="样式 首行缩进:  2 字符"/>
    <w:basedOn w:val="775"/>
    <w:link w:val="1007"/>
    <w:qFormat/>
    <w:pPr>
      <w:ind w:firstLine="480"/>
      <w:spacing w:line="360" w:lineRule="auto"/>
    </w:pPr>
    <w:rPr>
      <w:rFonts w:eastAsia="宋体"/>
      <w:sz w:val="24"/>
    </w:rPr>
  </w:style>
  <w:style w:type="character" w:styleId="1007" w:customStyle="1">
    <w:name w:val="样式 首行缩进:  2 字符 Char Char"/>
    <w:link w:val="1006"/>
    <w:qFormat/>
    <w:rPr>
      <w:sz w:val="24"/>
    </w:rPr>
  </w:style>
  <w:style w:type="character" w:styleId="1008" w:customStyle="1">
    <w:name w:val="批注文字 字符"/>
    <w:basedOn w:val="785"/>
    <w:link w:val="792"/>
    <w:uiPriority w:val="99"/>
    <w:semiHidden/>
    <w:qFormat/>
    <w:rPr>
      <w:rFonts w:eastAsia="楷体_GB2312"/>
      <w:sz w:val="26"/>
    </w:rPr>
  </w:style>
  <w:style w:type="paragraph" w:styleId="1009" w:customStyle="1">
    <w:name w:val="Normal_17_1"/>
    <w:qFormat/>
    <w:pPr>
      <w:jc w:val="both"/>
      <w:widowControl w:val="off"/>
    </w:pPr>
    <w:rPr>
      <w:rFonts w:ascii="Calibri" w:hAnsi="Calibri"/>
      <w:sz w:val="21"/>
      <w:szCs w:val="22"/>
    </w:rPr>
  </w:style>
  <w:style w:type="paragraph" w:styleId="1010" w:customStyle="1">
    <w:name w:val="Normal_16_1"/>
    <w:qFormat/>
    <w:rPr>
      <w:rFonts w:ascii="宋体" w:hAnsi="宋体"/>
      <w:sz w:val="32"/>
      <w:szCs w:val="24"/>
    </w:rPr>
  </w:style>
  <w:style w:type="paragraph" w:styleId="1011" w:customStyle="1">
    <w:name w:val="正文_9_0_1"/>
    <w:qFormat/>
    <w:pPr>
      <w:jc w:val="both"/>
      <w:widowControl w:val="off"/>
    </w:pPr>
    <w:rPr>
      <w:rFonts w:ascii="Calibri" w:hAnsi="Calibri"/>
      <w:sz w:val="21"/>
      <w:szCs w:val="22"/>
    </w:rPr>
  </w:style>
  <w:style w:type="paragraph" w:styleId="1012" w:customStyle="1">
    <w:name w:val="正文_8_1_1"/>
    <w:qFormat/>
    <w:pPr>
      <w:jc w:val="both"/>
      <w:widowControl w:val="off"/>
    </w:pPr>
    <w:rPr>
      <w:rFonts w:ascii="Calibri" w:hAnsi="Calibri"/>
      <w:sz w:val="21"/>
      <w:szCs w:val="22"/>
    </w:rPr>
  </w:style>
  <w:style w:type="paragraph" w:styleId="1013" w:customStyle="1">
    <w:name w:val="正文_1_0_0_0_0_0"/>
    <w:qFormat/>
    <w:pPr>
      <w:jc w:val="both"/>
      <w:widowControl w:val="off"/>
    </w:pPr>
    <w:rPr>
      <w:sz w:val="21"/>
    </w:rPr>
  </w:style>
  <w:style w:type="paragraph" w:styleId="1014" w:customStyle="1">
    <w:name w:val="列出段落_2"/>
    <w:basedOn w:val="1012"/>
    <w:uiPriority w:val="34"/>
    <w:qFormat/>
    <w:pPr>
      <w:ind w:firstLine="420"/>
    </w:pPr>
  </w:style>
  <w:style w:type="paragraph" w:styleId="1015" w:customStyle="1">
    <w:name w:val="Other|1"/>
    <w:basedOn w:val="775"/>
    <w:qFormat/>
    <w:rPr>
      <w:rFonts w:ascii="宋体" w:hAnsi="宋体" w:eastAsia="宋体" w:cs="宋体"/>
      <w:sz w:val="21"/>
      <w:lang w:val="zh-TW" w:eastAsia="zh-TW" w:bidi="zh-TW"/>
    </w:rPr>
  </w:style>
  <w:style w:type="character" w:styleId="1016" w:customStyle="1">
    <w:name w:val="HTML 预设格式 字符"/>
    <w:basedOn w:val="785"/>
    <w:link w:val="814"/>
    <w:uiPriority w:val="99"/>
    <w:semiHidden/>
    <w:qFormat/>
    <w:rPr>
      <w:rFonts w:ascii="Courier New" w:hAnsi="Courier New" w:eastAsia="楷体_GB2312" w:cs="Courier New"/>
    </w:rPr>
  </w:style>
  <w:style w:type="paragraph" w:styleId="1017">
    <w:name w:val="annotation subject"/>
    <w:basedOn w:val="792"/>
    <w:next w:val="792"/>
    <w:link w:val="1018"/>
    <w:uiPriority w:val="99"/>
    <w:semiHidden/>
    <w:unhideWhenUsed/>
    <w:rPr>
      <w:b/>
      <w:bCs/>
    </w:rPr>
  </w:style>
  <w:style w:type="character" w:styleId="1018" w:customStyle="1">
    <w:name w:val="批注主题 字符"/>
    <w:basedOn w:val="1008"/>
    <w:link w:val="1017"/>
    <w:uiPriority w:val="99"/>
    <w:semiHidden/>
    <w:rPr>
      <w:rFonts w:eastAsia="楷体_GB2312"/>
      <w:b/>
      <w:bCs/>
      <w:sz w:val="26"/>
    </w:rPr>
  </w:style>
  <w:style w:type="paragraph" w:styleId="1019">
    <w:name w:val="Revision"/>
    <w:hidden/>
    <w:uiPriority w:val="99"/>
    <w:unhideWhenUsed/>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D22A62-C1DF-45E0-9E3C-5938A1EE7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马君端</cp:lastModifiedBy>
  <cp:revision>5</cp:revision>
  <dcterms:created xsi:type="dcterms:W3CDTF">2026-09-02T02:05:00Z</dcterms:created>
  <dcterms:modified xsi:type="dcterms:W3CDTF">2026-09-02T08:05:43Z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