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35"/>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5"/>
        <w:ind w:firstLine="0"/>
        <w:jc w:val="center"/>
        <w:widowControl w:val="off"/>
        <w:rPr>
          <w:rFonts w:hint="eastAsia"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紫金山实验室边缘分布式基带处理单元采购项目</w:t>
      </w:r>
      <w:r/>
    </w:p>
    <w:p>
      <w:pPr>
        <w:pStyle w:val="9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JSZC-320100-ZTZB-G2026-0053</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29</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35"/>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35"/>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14:textFill>
            <w14:solidFill>
              <w14:schemeClr w14:val="tx1"/>
            </w14:solidFill>
          </w14:textFill>
        </w:rPr>
        <w:t xml:space="preserve">9</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08"/>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第一章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14:textFill>
                <w14:solidFill>
                  <w14:schemeClr w14:val="tx1"/>
                </w14:solidFill>
              </w14:textFill>
            </w:rPr>
            <w:t xml:space="preserve">招标</w:t>
          </w:r>
          <w:r>
            <w:rPr>
              <w:rStyle w:val="919"/>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第二章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14:textFill>
                <w14:solidFill>
                  <w14:schemeClr w14:val="tx1"/>
                </w14:solidFill>
              </w14:textFill>
            </w:rPr>
            <w:t xml:space="preserve">投标人</w:t>
          </w:r>
          <w:r>
            <w:rPr>
              <w:rStyle w:val="919"/>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w:t>
          </w:r>
          <w:r>
            <w:rPr>
              <w:rStyle w:val="919"/>
              <w:rFonts w:hint="eastAsia" w:ascii="黑体" w:hAnsi="黑体" w:cs="黑体"/>
              <w:color w:val="000000" w:themeColor="text1"/>
              <w:lang w:val="zh-TW"/>
              <w14:textFill>
                <w14:solidFill>
                  <w14:schemeClr w14:val="tx1"/>
                </w14:solidFill>
              </w14:textFill>
            </w:rPr>
            <w:t xml:space="preserve">三</w:t>
          </w:r>
          <w:r>
            <w:rPr>
              <w:rStyle w:val="919"/>
              <w:rFonts w:hint="eastAsia" w:ascii="黑体" w:hAnsi="黑体" w:cs="黑体"/>
              <w:color w:val="000000" w:themeColor="text1"/>
              <w:lang w:val="zh-TW" w:eastAsia="zh-TW"/>
              <w14:textFill>
                <w14:solidFill>
                  <w14:schemeClr w14:val="tx1"/>
                </w14:solidFill>
              </w14:textFill>
            </w:rPr>
            <w:t xml:space="preserve">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w:t>
          </w:r>
          <w:r>
            <w:rPr>
              <w:rStyle w:val="919"/>
              <w:rFonts w:hint="eastAsia" w:ascii="黑体" w:hAnsi="黑体" w:cs="黑体"/>
              <w:color w:val="000000" w:themeColor="text1"/>
              <w:lang w:val="zh-TW"/>
              <w14:textFill>
                <w14:solidFill>
                  <w14:schemeClr w14:val="tx1"/>
                </w14:solidFill>
              </w14:textFill>
            </w:rPr>
            <w:t xml:space="preserve">四</w:t>
          </w:r>
          <w:r>
            <w:rPr>
              <w:rStyle w:val="919"/>
              <w:rFonts w:hint="eastAsia" w:ascii="黑体" w:hAnsi="黑体" w:cs="黑体"/>
              <w:color w:val="000000" w:themeColor="text1"/>
              <w:lang w:val="zh-TW" w:eastAsia="zh-TW"/>
              <w14:textFill>
                <w14:solidFill>
                  <w14:schemeClr w14:val="tx1"/>
                </w14:solidFill>
              </w14:textFill>
            </w:rPr>
            <w:t xml:space="preserve">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w:t>
          </w:r>
          <w:r>
            <w:rPr>
              <w:rStyle w:val="919"/>
              <w:rFonts w:hint="eastAsia" w:ascii="黑体" w:hAnsi="黑体" w:cs="黑体"/>
              <w:color w:val="000000" w:themeColor="text1"/>
              <w:lang w:val="zh-TW"/>
              <w14:textFill>
                <w14:solidFill>
                  <w14:schemeClr w14:val="tx1"/>
                </w14:solidFill>
              </w14:textFill>
            </w:rPr>
            <w:t xml:space="preserve">五</w:t>
          </w:r>
          <w:r>
            <w:rPr>
              <w:rStyle w:val="919"/>
              <w:rFonts w:hint="eastAsia" w:ascii="黑体" w:hAnsi="黑体" w:cs="黑体"/>
              <w:color w:val="000000" w:themeColor="text1"/>
              <w:lang w:val="zh-TW" w:eastAsia="zh-TW"/>
              <w14:textFill>
                <w14:solidFill>
                  <w14:schemeClr w14:val="tx1"/>
                </w14:solidFill>
              </w14:textFill>
            </w:rPr>
            <w:t xml:space="preserve">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w:t>
          </w:r>
          <w:r>
            <w:rPr>
              <w:rStyle w:val="919"/>
              <w:rFonts w:hint="eastAsia" w:ascii="黑体" w:hAnsi="黑体" w:cs="黑体"/>
              <w:color w:val="000000" w:themeColor="text1"/>
              <w:lang w:val="zh-TW"/>
              <w14:textFill>
                <w14:solidFill>
                  <w14:schemeClr w14:val="tx1"/>
                </w14:solidFill>
              </w14:textFill>
            </w:rPr>
            <w:t xml:space="preserve">六</w:t>
          </w:r>
          <w:r>
            <w:rPr>
              <w:rStyle w:val="919"/>
              <w:rFonts w:hint="eastAsia" w:ascii="黑体" w:hAnsi="黑体" w:cs="黑体"/>
              <w:color w:val="000000" w:themeColor="text1"/>
              <w:lang w:val="zh-TW" w:eastAsia="zh-TW"/>
              <w14:textFill>
                <w14:solidFill>
                  <w14:schemeClr w14:val="tx1"/>
                </w14:solidFill>
              </w14:textFill>
            </w:rPr>
            <w:t xml:space="preserve">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19"/>
              <w:rFonts w:eastAsia="黑体"/>
              <w:color w:val="000000" w:themeColor="text1"/>
              <w14:textFill>
                <w14:solidFill>
                  <w14:schemeClr w14:val="tx1"/>
                </w14:solidFill>
              </w14:textFill>
            </w:rPr>
            <w:t xml:space="preserve">6.1 </w:t>
          </w:r>
          <w:r>
            <w:rPr>
              <w:rStyle w:val="919"/>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19"/>
              <w:rFonts w:eastAsia="黑体"/>
              <w:color w:val="000000" w:themeColor="text1"/>
              <w14:textFill>
                <w14:solidFill>
                  <w14:schemeClr w14:val="tx1"/>
                </w14:solidFill>
              </w14:textFill>
            </w:rPr>
            <w:t xml:space="preserve">6.2 </w:t>
          </w:r>
          <w:r>
            <w:rPr>
              <w:rStyle w:val="919"/>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19"/>
              <w:rFonts w:eastAsia="黑体"/>
              <w:color w:val="000000" w:themeColor="text1"/>
              <w14:textFill>
                <w14:solidFill>
                  <w14:schemeClr w14:val="tx1"/>
                </w14:solidFill>
              </w14:textFill>
            </w:rPr>
            <w:t xml:space="preserve">6.3 </w:t>
          </w:r>
          <w:r>
            <w:rPr>
              <w:rStyle w:val="919"/>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19"/>
              <w:rFonts w:eastAsia="黑体"/>
              <w:color w:val="000000" w:themeColor="text1"/>
              <w14:textFill>
                <w14:solidFill>
                  <w14:schemeClr w14:val="tx1"/>
                </w14:solidFill>
              </w14:textFill>
            </w:rPr>
            <w:t xml:space="preserve">6.4 </w:t>
          </w:r>
          <w:r>
            <w:rPr>
              <w:rStyle w:val="919"/>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19"/>
              <w:rFonts w:eastAsia="黑体"/>
              <w:color w:val="000000" w:themeColor="text1"/>
              <w14:textFill>
                <w14:solidFill>
                  <w14:schemeClr w14:val="tx1"/>
                </w14:solidFill>
              </w14:textFill>
            </w:rPr>
            <w:t xml:space="preserve">6.5 </w:t>
          </w:r>
          <w:r>
            <w:rPr>
              <w:rStyle w:val="919"/>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19"/>
              <w:rFonts w:eastAsia="黑体"/>
              <w:color w:val="000000" w:themeColor="text1"/>
              <w14:textFill>
                <w14:solidFill>
                  <w14:schemeClr w14:val="tx1"/>
                </w14:solidFill>
              </w14:textFill>
            </w:rPr>
            <w:t xml:space="preserve">6.6 </w:t>
          </w:r>
          <w:r>
            <w:rPr>
              <w:rStyle w:val="919"/>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19"/>
              <w:rFonts w:eastAsia="黑体"/>
              <w:color w:val="000000" w:themeColor="text1"/>
              <w14:textFill>
                <w14:solidFill>
                  <w14:schemeClr w14:val="tx1"/>
                </w14:solidFill>
              </w14:textFill>
            </w:rPr>
            <w:t xml:space="preserve">6.7 </w:t>
          </w:r>
          <w:r>
            <w:rPr>
              <w:rStyle w:val="919"/>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19"/>
              <w:rFonts w:eastAsia="黑体"/>
              <w:color w:val="000000" w:themeColor="text1"/>
              <w14:textFill>
                <w14:solidFill>
                  <w14:schemeClr w14:val="tx1"/>
                </w14:solidFill>
              </w14:textFill>
            </w:rPr>
            <w:t xml:space="preserve">6.8 </w:t>
          </w:r>
          <w:r>
            <w:rPr>
              <w:rStyle w:val="919"/>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19"/>
              <w:rFonts w:eastAsia="黑体"/>
              <w:color w:val="000000" w:themeColor="text1"/>
              <w14:textFill>
                <w14:solidFill>
                  <w14:schemeClr w14:val="tx1"/>
                </w14:solidFill>
              </w14:textFill>
            </w:rPr>
            <w:t xml:space="preserve">6.9 </w:t>
          </w:r>
          <w:r>
            <w:rPr>
              <w:rStyle w:val="919"/>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
      <w:r/>
      <w:bookmarkStart w:id="2" w:name="_Toc11859485"/>
      <w:r/>
      <w:bookmarkStart w:id="3" w:name="_Toc448069940"/>
      <w:r/>
      <w:bookmarkStart w:id="4" w:name="_Toc415494523"/>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86"/>
        <w:spacing w:line="360" w:lineRule="exact"/>
        <w:rPr>
          <w:rFonts w:hint="eastAsia" w:ascii="黑体" w:hAnsi="黑体" w:cs="宋体"/>
          <w:b w:val="0"/>
          <w:sz w:val="28"/>
          <w:szCs w:val="28"/>
        </w:rPr>
      </w:pPr>
      <w:r/>
      <w:bookmarkStart w:id="5" w:name="_Toc35393621"/>
      <w:r/>
      <w:bookmarkStart w:id="6" w:name="_Toc28359002"/>
      <w:r/>
      <w:bookmarkStart w:id="7" w:name="_Toc28359079"/>
      <w:r/>
      <w:bookmarkStart w:id="8" w:name="_Toc35393790"/>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项目编号：JSZC-320100-ZTZB-G2026-0053（内部编号PML-ZH-ZB-20260</w:t>
      </w:r>
      <w:r>
        <w:rPr>
          <w:rFonts w:hint="eastAsia" w:ascii="仿宋" w:hAnsi="仿宋" w:eastAsia="仿宋"/>
          <w:sz w:val="28"/>
          <w:szCs w:val="28"/>
          <w:highlight w:val="none"/>
          <w:lang w:val="en-US" w:eastAsia="zh-CN"/>
        </w:rPr>
        <w:t xml:space="preserve">29</w:t>
      </w:r>
      <w:r>
        <w:rPr>
          <w:rFonts w:hint="eastAsia" w:ascii="仿宋" w:hAnsi="仿宋" w:eastAsia="仿宋"/>
          <w:sz w:val="28"/>
          <w:szCs w:val="28"/>
          <w:highlight w:val="none"/>
        </w:rPr>
        <w:t xml:space="preserve">）</w:t>
      </w:r>
      <w:r/>
    </w:p>
    <w:p>
      <w:pPr>
        <w:ind w:left="1959" w:hanging="140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项目名称：</w:t>
      </w:r>
      <w:bookmarkEnd w:id="9"/>
      <w:r>
        <w:rPr>
          <w:rFonts w:hint="eastAsia" w:ascii="仿宋" w:hAnsi="仿宋" w:eastAsia="仿宋"/>
          <w:sz w:val="28"/>
          <w:szCs w:val="28"/>
          <w:highlight w:val="none"/>
        </w:rPr>
        <w:t xml:space="preserve">紫金山实验室边缘分布式基带处理单元采购项目</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预算金额：</w:t>
      </w:r>
      <w:bookmarkStart w:id="11" w:name="OLE_LINK6"/>
      <w:r>
        <w:rPr>
          <w:rFonts w:hint="eastAsia" w:ascii="仿宋" w:hAnsi="仿宋" w:eastAsia="仿宋"/>
          <w:sz w:val="28"/>
          <w:szCs w:val="28"/>
          <w:highlight w:val="none"/>
        </w:rPr>
        <w:t xml:space="preserve">196万元人民币</w:t>
      </w:r>
      <w:bookmarkEnd w:id="11"/>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最高限价：196万</w:t>
      </w:r>
      <w:r>
        <w:rPr>
          <w:rFonts w:hint="eastAsia" w:ascii="仿宋" w:hAnsi="仿宋" w:eastAsia="仿宋" w:cs="仿宋"/>
          <w:color w:val="000000"/>
          <w:sz w:val="28"/>
          <w:highlight w:val="none"/>
        </w:rPr>
        <w:t xml:space="preserve">元人民币</w:t>
      </w:r>
      <w:r/>
    </w:p>
    <w:p>
      <w:pPr>
        <w:ind w:firstLine="560"/>
        <w:spacing w:line="400" w:lineRule="exact"/>
        <w:rPr>
          <w:rFonts w:hint="eastAsia" w:ascii="仿宋" w:hAnsi="仿宋" w:eastAsia="仿宋"/>
          <w:sz w:val="28"/>
          <w:szCs w:val="28"/>
          <w:lang w:bidi="ar"/>
        </w:rPr>
      </w:pPr>
      <w:r>
        <w:rPr>
          <w:rFonts w:hint="eastAsia" w:ascii="仿宋" w:hAnsi="仿宋" w:eastAsia="仿宋"/>
          <w:sz w:val="28"/>
          <w:szCs w:val="28"/>
        </w:rPr>
        <w:t xml:space="preserve">采购需求：</w:t>
      </w:r>
      <w:r/>
    </w:p>
    <w:tbl>
      <w:tblPr>
        <w:tblStyle w:val="889"/>
        <w:tblW w:w="5015"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4"/>
        <w:gridCol w:w="2111"/>
        <w:gridCol w:w="530"/>
        <w:gridCol w:w="604"/>
        <w:gridCol w:w="993"/>
        <w:gridCol w:w="1106"/>
        <w:gridCol w:w="1041"/>
        <w:gridCol w:w="1021"/>
        <w:gridCol w:w="819"/>
      </w:tblGrid>
      <w:tr>
        <w:trPr>
          <w:trHeight w:val="470"/>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边缘分布式基带处理单元</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490000</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86"/>
        <w:spacing w:line="360" w:lineRule="exact"/>
        <w:rPr>
          <w:rFonts w:hint="eastAsia" w:ascii="仿宋" w:hAnsi="仿宋" w:eastAsia="仿宋"/>
          <w:sz w:val="28"/>
          <w:szCs w:val="28"/>
        </w:rPr>
      </w:pPr>
      <w:r/>
      <w:bookmarkStart w:id="12" w:name="_Toc28359080"/>
      <w:r/>
      <w:bookmarkStart w:id="13" w:name="_Toc28359003"/>
      <w:r/>
      <w:bookmarkStart w:id="14" w:name="_Toc35393622"/>
      <w:r/>
      <w:bookmarkStart w:id="15" w:name="_Toc35393791"/>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根据附件《南京市政府采购投标人信用记录表暨信用承诺书》格式，由法人签字并盖单位投标人CA公章，随响应文件一并递交。</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hint="eastAsia"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86"/>
        <w:spacing w:line="360" w:lineRule="exact"/>
        <w:rPr>
          <w:rFonts w:hint="eastAsia" w:ascii="黑体" w:hAnsi="黑体" w:cs="宋体"/>
          <w:b w:val="0"/>
          <w:sz w:val="28"/>
          <w:szCs w:val="28"/>
        </w:rPr>
      </w:pPr>
      <w:r/>
      <w:bookmarkStart w:id="18" w:name="_Toc35393623"/>
      <w:r/>
      <w:bookmarkStart w:id="19" w:name="_Toc35393792"/>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hint="eastAsia" w:ascii="仿宋" w:hAnsi="仿宋" w:eastAsia="仿宋" w:cs="宋体"/>
          <w:sz w:val="28"/>
          <w:szCs w:val="28"/>
          <w:u w:val="single"/>
        </w:rPr>
      </w:pPr>
      <w:r>
        <w:rPr>
          <w:rFonts w:hint="eastAsia" w:ascii="仿宋" w:hAnsi="仿宋" w:eastAsia="仿宋" w:cs="宋体"/>
          <w:sz w:val="28"/>
          <w:szCs w:val="28"/>
        </w:rPr>
        <w:t xml:space="preserve">方式：苏采云系统免费下载</w:t>
      </w:r>
      <w:r/>
    </w:p>
    <w:p>
      <w:pPr>
        <w:pStyle w:val="886"/>
        <w:spacing w:line="360" w:lineRule="exact"/>
        <w:rPr>
          <w:rFonts w:hint="eastAsia" w:ascii="黑体" w:hAnsi="黑体" w:cs="宋体"/>
          <w:b w:val="0"/>
          <w:sz w:val="28"/>
          <w:szCs w:val="28"/>
        </w:rPr>
      </w:pPr>
      <w:r/>
      <w:bookmarkStart w:id="20" w:name="_Toc28359005"/>
      <w:r/>
      <w:bookmarkStart w:id="21" w:name="_Toc28359082"/>
      <w:r/>
      <w:bookmarkStart w:id="22" w:name="_Toc35393624"/>
      <w:r/>
      <w:bookmarkStart w:id="23" w:name="_Toc35393793"/>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hint="eastAsia" w:ascii="仿宋" w:hAnsi="仿宋" w:eastAsia="仿宋"/>
          <w:bCs/>
          <w:sz w:val="28"/>
          <w:szCs w:val="28"/>
          <w:u w:val="single"/>
        </w:rPr>
      </w:pPr>
      <w:r>
        <w:rPr>
          <w:rFonts w:hint="eastAsia" w:ascii="仿宋" w:hAnsi="仿宋" w:eastAsia="仿宋"/>
          <w:bCs/>
          <w:sz w:val="28"/>
          <w:szCs w:val="28"/>
          <w:u w:val="single"/>
        </w:rPr>
        <w:t xml:space="preserve"> </w:t>
      </w:r>
      <w:r>
        <w:rPr>
          <w:rFonts w:hint="eastAsia" w:ascii="仿宋" w:hAnsi="仿宋" w:eastAsia="仿宋"/>
          <w:bCs/>
          <w:sz w:val="28"/>
          <w:szCs w:val="28"/>
          <w:highlight w:val="none"/>
          <w:u w:val="single"/>
        </w:rPr>
        <w:t xml:space="preserve">2026年</w:t>
      </w:r>
      <w:r>
        <w:rPr>
          <w:rFonts w:hint="eastAsia" w:ascii="仿宋" w:hAnsi="仿宋" w:eastAsia="仿宋"/>
          <w:bCs/>
          <w:sz w:val="28"/>
          <w:szCs w:val="28"/>
          <w:highlight w:val="none"/>
          <w:u w:val="single"/>
          <w:lang w:val="en-US" w:eastAsia="zh-CN"/>
        </w:rPr>
        <w:t xml:space="preserve">10</w:t>
      </w:r>
      <w:bookmarkStart w:id="78" w:name="_GoBack"/>
      <w:r/>
      <w:bookmarkEnd w:id="78"/>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8</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rPr>
        <w:t xml:space="preserve">（北京时间）</w:t>
      </w:r>
      <w:r/>
    </w:p>
    <w:p>
      <w:pPr>
        <w:ind w:firstLine="560"/>
        <w:spacing w:line="360" w:lineRule="exact"/>
        <w:rPr>
          <w:rFonts w:hint="eastAsia" w:ascii="仿宋" w:hAnsi="仿宋" w:eastAsia="仿宋"/>
          <w:bCs/>
          <w:sz w:val="28"/>
          <w:szCs w:val="28"/>
          <w:u w:val="single"/>
        </w:rPr>
      </w:pPr>
      <w:r>
        <w:rPr>
          <w:rFonts w:hint="eastAsia" w:ascii="仿宋" w:hAnsi="仿宋" w:eastAsia="仿宋"/>
          <w:sz w:val="28"/>
          <w:szCs w:val="28"/>
        </w:rPr>
        <w:t xml:space="preserve">地点：苏采云开标大厅</w:t>
      </w:r>
      <w:r/>
    </w:p>
    <w:p>
      <w:pPr>
        <w:pStyle w:val="886"/>
        <w:spacing w:line="360" w:lineRule="exact"/>
        <w:rPr>
          <w:rFonts w:hint="eastAsia" w:ascii="黑体" w:hAnsi="黑体" w:cs="宋体"/>
          <w:b w:val="0"/>
          <w:sz w:val="28"/>
          <w:szCs w:val="28"/>
        </w:rPr>
      </w:pPr>
      <w:r/>
      <w:bookmarkStart w:id="24" w:name="_Toc28359084"/>
      <w:r/>
      <w:bookmarkStart w:id="25" w:name="_Toc35393625"/>
      <w:r/>
      <w:bookmarkStart w:id="26" w:name="_Toc28359007"/>
      <w:r/>
      <w:bookmarkStart w:id="27" w:name="_Toc35393794"/>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795"/>
      <w:r/>
      <w:bookmarkStart w:id="29" w:name="_Toc35393626"/>
      <w:r/>
      <w:r/>
    </w:p>
    <w:p>
      <w:pPr>
        <w:pStyle w:val="886"/>
        <w:spacing w:line="360" w:lineRule="exact"/>
        <w:rPr>
          <w:rFonts w:hint="eastAsia"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ind w:firstLine="560"/>
        <w:spacing w:line="400" w:lineRule="exact"/>
        <w:rPr>
          <w:rFonts w:hint="eastAsia" w:ascii="仿宋" w:hAnsi="仿宋" w:eastAsia="仿宋" w:cs="宋体"/>
          <w:sz w:val="28"/>
          <w:szCs w:val="28"/>
          <w:highlight w:val="none"/>
          <w:u w:val="single"/>
        </w:rPr>
      </w:pPr>
      <w:r/>
      <w:bookmarkStart w:id="30" w:name="_Toc35393796"/>
      <w:r/>
      <w:bookmarkStart w:id="31" w:name="_Toc28359085"/>
      <w:r/>
      <w:bookmarkStart w:id="32" w:name="_Toc35393627"/>
      <w:r/>
      <w:bookmarkStart w:id="33" w:name="_Toc28359008"/>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rPr>
        <w:t xml:space="preserve">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9</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12</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9</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18</w:t>
      </w:r>
      <w:r>
        <w:rPr>
          <w:rFonts w:hint="eastAsia" w:ascii="仿宋" w:hAnsi="仿宋" w:eastAsia="仿宋" w:cs="宋体"/>
          <w:sz w:val="28"/>
          <w:szCs w:val="28"/>
          <w:highlight w:val="none"/>
          <w:u w:val="single"/>
        </w:rPr>
        <w:t xml:space="preserve">日</w:t>
      </w:r>
      <w:r/>
    </w:p>
    <w:p>
      <w:pPr>
        <w:ind w:firstLine="560"/>
        <w:spacing w:line="4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办理）。具体联系方式见《苏采云系统供应商操作手册》（以下简称《操作手册》）。</w:t>
      </w:r>
      <w:r/>
    </w:p>
    <w:p>
      <w:pPr>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86"/>
        <w:spacing w:line="360" w:lineRule="exact"/>
        <w:rPr>
          <w:rFonts w:hint="eastAsia"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宋工（025-57917091）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hint="eastAsia"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联系方式：</w:t>
      </w:r>
      <w:bookmarkStart w:id="36" w:name="_Toc28359010"/>
      <w:r/>
      <w:bookmarkStart w:id="37" w:name="_Toc28359087"/>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hint="eastAsia" w:ascii="仿宋" w:hAnsi="仿宋" w:eastAsia="仿宋" w:cs="宋体"/>
          <w:sz w:val="28"/>
          <w:szCs w:val="28"/>
        </w:rPr>
      </w:pPr>
      <w:r/>
      <w:bookmarkStart w:id="38" w:name="_Toc35393788"/>
      <w:r/>
      <w:bookmarkStart w:id="39" w:name="_Toc28359000"/>
      <w:r/>
      <w:bookmarkStart w:id="40" w:name="_Toc28359077"/>
      <w:r/>
      <w:bookmarkStart w:id="41" w:name="_Toc35393619"/>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448069941"/>
      <w:r/>
      <w:bookmarkStart w:id="43" w:name="_Toc415494524"/>
      <w:r/>
      <w:bookmarkStart w:id="44" w:name="_Toc11859486"/>
      <w:r/>
      <w:bookmarkStart w:id="45" w:name="_Toc1"/>
      <w:r/>
      <w:r/>
    </w:p>
    <w:p>
      <w:pPr>
        <w:jc w:val="left"/>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29.异常低价响应审查程序</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29.1</w:t>
      </w:r>
      <w:r>
        <w:rPr>
          <w:rFonts w:ascii="Times New Roman" w:hAnsi="Times New Roman" w:cs="Times New Roman"/>
          <w:color w:val="000000" w:themeColor="text1"/>
          <w:sz w:val="24"/>
          <w:szCs w:val="24"/>
          <w:lang w:val="zh-TW"/>
          <w14:textFill>
            <w14:solidFill>
              <w14:schemeClr w14:val="tx1"/>
            </w14:solidFill>
          </w14:textFill>
        </w:rPr>
        <w:t xml:space="preserve">评审过程中出现下列情形之一的，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应当启动异常低价响应审查程序： </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（3）响应报价低于本项目最高限价45%的，即响应报价&lt;本项目最高限价×45%；</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29.2评审小组</w:t>
      </w:r>
      <w:r>
        <w:rPr>
          <w:rFonts w:ascii="Times New Roman" w:hAnsi="Times New Roman" w:cs="Times New Roman"/>
          <w:color w:val="000000" w:themeColor="text1"/>
          <w:sz w:val="24"/>
          <w:szCs w:val="24"/>
          <w:lang w:val="zh-TW"/>
          <w14:textFill>
            <w14:solidFill>
              <w14:schemeClr w14:val="tx1"/>
            </w14:solidFill>
          </w14:textFill>
        </w:rPr>
        <w:t xml:space="preserve">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29.3评审小组</w:t>
      </w:r>
      <w:r>
        <w:rPr>
          <w:rFonts w:ascii="Times New Roman" w:hAnsi="Times New Roman" w:cs="Times New Roman"/>
          <w:color w:val="000000" w:themeColor="text1"/>
          <w:sz w:val="24"/>
          <w:szCs w:val="24"/>
          <w:lang w:val="zh-TW"/>
          <w14:textFill>
            <w14:solidFill>
              <w14:schemeClr w14:val="tx1"/>
            </w14:solidFill>
          </w14:textFill>
        </w:rPr>
        <w:t xml:space="preserve">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应当将其作为无效响应处理。</w:t>
      </w:r>
      <w:r/>
    </w:p>
    <w:p>
      <w:pPr>
        <w:ind w:firstLine="480"/>
        <w:spacing w:line="360" w:lineRule="auto"/>
        <w:rPr>
          <w:rFonts w:hint="eastAsia" w:ascii="黑体" w:hAnsi="黑体" w:eastAsia="黑体" w:cs="黑体"/>
          <w:color w:val="000000" w:themeColor="text1"/>
          <w:sz w:val="36"/>
          <w:szCs w:val="36"/>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29.4</w:t>
      </w:r>
      <w:r>
        <w:rPr>
          <w:rFonts w:ascii="Times New Roman" w:hAnsi="Times New Roman" w:cs="Times New Roman"/>
          <w:color w:val="000000" w:themeColor="text1"/>
          <w:sz w:val="24"/>
          <w:szCs w:val="24"/>
          <w:lang w:val="zh-TW"/>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有关互联网浏览、查询历史一并归档。</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hint="eastAsia"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7"/>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7" o:title=""/>
              </v:shape>
            </w:pict>
          </mc:Fallback>
        </mc:AlternateContent>
      </w:r>
      <w:r/>
    </w:p>
    <w:p>
      <w:pPr>
        <w:jc w:val="right"/>
        <w:spacing w:line="360" w:lineRule="auto"/>
        <w:rPr>
          <w:rFonts w:hint="eastAsia"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hint="eastAsia"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12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400" w:hanging="1400"/>
        <w:rPr>
          <w:rFonts w:hint="eastAsia"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紫金山实验室边缘分布式基带处理单元采购项目   </w:t>
      </w:r>
      <w:r/>
    </w:p>
    <w:p>
      <w:pPr>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hint="eastAsia"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hint="eastAsia"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hint="eastAsia"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hint="eastAsia"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hint="eastAsia"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hint="eastAsia"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hint="eastAsia" w:ascii="宋体" w:hAnsi="宋体" w:eastAsia="宋体" w:cs="宋体"/>
          <w:b/>
          <w:color w:val="000000"/>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hint="eastAsia" w:ascii="宋体" w:hAnsi="宋体" w:eastAsia="宋体" w:cs="宋体"/>
          <w:sz w:val="24"/>
          <w:szCs w:val="24"/>
          <w:highlight w:val="none"/>
          <w:lang w:bidi="ar"/>
        </w:rPr>
      </w:pPr>
      <w:r>
        <w:rPr>
          <w:rFonts w:hint="eastAsia" w:ascii="宋体" w:hAnsi="宋体" w:eastAsia="宋体" w:cs="宋体"/>
          <w:color w:val="000000"/>
          <w:sz w:val="24"/>
          <w:szCs w:val="24"/>
          <w:highlight w:val="none"/>
          <w:lang w:bidi="ar"/>
        </w:rPr>
        <w:t xml:space="preserve">甲乙双方签订合同生效后，货到验收合格后，乙方先行开具全额增值税专用发票，甲方收到发票等请款材料后支付合同总额的95%；正常运行一年后支付剩余尾款。</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单位电话：025-52091570</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税  号：</w:t>
      </w:r>
      <w:r/>
    </w:p>
    <w:p>
      <w:pPr>
        <w:pStyle w:val="911"/>
        <w:contextualSpacing/>
        <w:ind w:left="451" w:hanging="241"/>
        <w:jc w:val="both"/>
        <w:spacing w:before="0" w:beforeAutospacing="0" w:after="0" w:afterAutospacing="0" w:line="540" w:lineRule="exact"/>
        <w:widowControl w:val="off"/>
        <w:rPr>
          <w:rFonts w:hint="eastAsia"/>
          <w:b/>
          <w:bCs/>
          <w:color w:val="000000"/>
          <w:lang w:val="zh-CN"/>
        </w:rPr>
      </w:pPr>
      <w:r>
        <w:rPr>
          <w:b/>
          <w:bCs/>
          <w:color w:val="000000"/>
          <w:lang w:val="zh-CN" w:bidi="ar"/>
        </w:rPr>
        <w:t xml:space="preserve">第十条 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lang w:val="zh-CN"/>
        </w:rPr>
      </w:r>
      <w:r/>
    </w:p>
    <w:p>
      <w:pPr>
        <w:jc w:val="lef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389"/>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甲    方：紫金山实验室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法人代表:尤肖虎</w:t>
            </w:r>
            <w:r/>
          </w:p>
          <w:p>
            <w:pPr>
              <w:rPr>
                <w:rFonts w:hint="eastAsia"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hint="eastAsia" w:ascii="宋体" w:hAnsi="宋体" w:eastAsia="宋体" w:cs="宋体"/>
              </w:rPr>
            </w:pPr>
            <w:r>
              <w:rPr>
                <w:rFonts w:hint="eastAsia" w:ascii="宋体" w:hAnsi="宋体" w:eastAsia="宋体" w:cs="宋体"/>
                <w:sz w:val="24"/>
                <w:szCs w:val="24"/>
                <w:lang w:bidi="ar"/>
              </w:rPr>
              <w:t xml:space="preserve">邮编:         </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乙    方：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w:t>
            </w:r>
            <w:r/>
          </w:p>
          <w:p>
            <w:pPr>
              <w:rPr>
                <w:rFonts w:hint="eastAsia" w:ascii="宋体" w:hAnsi="宋体" w:eastAsia="宋体" w:cs="宋体"/>
              </w:rPr>
            </w:pPr>
            <w:r>
              <w:rPr>
                <w:rFonts w:hint="eastAsia" w:ascii="宋体" w:hAnsi="宋体" w:eastAsia="宋体" w:cs="宋体"/>
                <w:sz w:val="24"/>
                <w:szCs w:val="24"/>
                <w:lang w:bidi="ar"/>
              </w:rPr>
              <w:t xml:space="preserve">地址:</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szCs w:val="24"/>
                <w:lang w:bidi="ar"/>
              </w:rPr>
              <w:t xml:space="preserve">邮编:</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hint="eastAsia"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14"/>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14"/>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14"/>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14"/>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hint="eastAsia"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88" w:lineRule="auto"/>
        <w:rPr>
          <w:rFonts w:hint="eastAsia" w:ascii="宋体" w:hAnsi="宋体"/>
          <w:sz w:val="24"/>
          <w:szCs w:val="24"/>
        </w:rPr>
      </w:pPr>
      <w:r>
        <w:rPr>
          <w:rFonts w:hint="eastAsia" w:ascii="宋体" w:hAnsi="宋体"/>
          <w:sz w:val="24"/>
          <w:szCs w:val="24"/>
        </w:rPr>
        <w:t xml:space="preserve">本项目采购边缘分布式基带处理单元用于构建构建科研项目的原型试验系统。</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Style w:val="889"/>
        <w:tblW w:w="4998"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2"/>
        <w:gridCol w:w="2104"/>
        <w:gridCol w:w="528"/>
        <w:gridCol w:w="602"/>
        <w:gridCol w:w="990"/>
        <w:gridCol w:w="1102"/>
        <w:gridCol w:w="1037"/>
        <w:gridCol w:w="1018"/>
        <w:gridCol w:w="816"/>
      </w:tblGrid>
      <w:tr>
        <w:trPr>
          <w:trHeight w:val="470"/>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边缘分布式基带处理单元</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490000</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ind w:firstLine="480"/>
        <w:spacing w:line="264" w:lineRule="auto"/>
        <w:widowControl/>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914"/>
        <w:ind w:firstLine="480"/>
        <w:rPr>
          <w:rFonts w:hint="eastAsia" w:ascii="宋体" w:hAnsi="宋体"/>
          <w:sz w:val="24"/>
          <w:highlight w:val="none"/>
        </w:rPr>
      </w:pPr>
      <w:r>
        <w:rPr>
          <w:rFonts w:hint="eastAsia" w:asciiTheme="minorEastAsia" w:hAnsiTheme="minorEastAsia" w:cstheme="minorEastAsia"/>
          <w:bCs/>
          <w:sz w:val="24"/>
          <w:szCs w:val="24"/>
          <w:highlight w:val="none"/>
        </w:rPr>
        <w:t xml:space="preserve">标“★”“▲”技术参数，应在投标文件中提供包含但不限于产品说明书等技术支持资料（如白皮书、彩页、手册、官网截图、具有CMA标识的检测报告等）供采购人核验，未按要求提供或提供的证明材料不满足招标文件技术指标，采购人有权对不满足要求的中标供应商视为虚假应标，按无效投标处理。</w:t>
      </w:r>
      <w:r/>
    </w:p>
    <w:tbl>
      <w:tblPr>
        <w:tblStyle w:val="88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1013"/>
        <w:gridCol w:w="716"/>
        <w:gridCol w:w="6456"/>
      </w:tblGrid>
      <w:tr>
        <w:trPr>
          <w:trHeight w:val="408"/>
        </w:trPr>
        <w:tc>
          <w:tcPr>
            <w:tcW w:w="336"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序号</w:t>
            </w:r>
            <w:r/>
          </w:p>
        </w:tc>
        <w:tc>
          <w:tcPr>
            <w:tcW w:w="577"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产品</w:t>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要求</w:t>
            </w:r>
            <w:r/>
          </w:p>
        </w:tc>
        <w:tc>
          <w:tcPr>
            <w:tcW w:w="3677"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功能、性能、配置要求</w:t>
            </w:r>
            <w:r/>
          </w:p>
        </w:tc>
      </w:tr>
      <w:tr>
        <w:trPr>
          <w:trHeight w:val="416"/>
        </w:trPr>
        <w:tc>
          <w:tcPr>
            <w:tcW w:w="336" w:type="pct"/>
            <w:vAlign w:val="center"/>
            <w:vMerge w:val="restart"/>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1</w:t>
            </w:r>
            <w:r/>
          </w:p>
        </w:tc>
        <w:tc>
          <w:tcPr>
            <w:tcW w:w="577" w:type="pct"/>
            <w:vAlign w:val="center"/>
            <w:vMerge w:val="restart"/>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szCs w:val="21"/>
              </w:rPr>
              <w:t xml:space="preserve">分布式基带处理单元</w:t>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
                <w:bCs w:val="0"/>
                <w:szCs w:val="21"/>
              </w:rPr>
              <w:t xml:space="preserve">★实质性要求</w:t>
            </w:r>
            <w:r/>
          </w:p>
        </w:tc>
        <w:tc>
          <w:tcPr>
            <w:tcW w:w="3677" w:type="pct"/>
            <w:vAlign w:val="center"/>
            <w:textDirection w:val="lrTb"/>
            <w:noWrap w:val="false"/>
          </w:tcPr>
          <w:p>
            <w:pPr>
              <w:rPr>
                <w:rFonts w:hint="eastAsia" w:asciiTheme="minorEastAsia" w:hAnsiTheme="minorEastAsia" w:cstheme="minorEastAsia"/>
                <w:szCs w:val="21"/>
              </w:rPr>
            </w:pPr>
            <w:r>
              <w:rPr>
                <w:rFonts w:asciiTheme="minorEastAsia" w:hAnsiTheme="minorEastAsia" w:cstheme="minorEastAsia"/>
                <w:szCs w:val="21"/>
              </w:rPr>
              <w:t xml:space="preserve">不低于以下要求：</w:t>
            </w:r>
            <w:r/>
          </w:p>
          <w:p>
            <w:pPr>
              <w:rPr>
                <w:rFonts w:hint="eastAsia" w:asciiTheme="minorEastAsia" w:hAnsiTheme="minorEastAsia" w:cstheme="minorEastAsia"/>
                <w:szCs w:val="21"/>
              </w:rPr>
            </w:pPr>
            <w:r>
              <w:rPr>
                <w:rFonts w:asciiTheme="minorEastAsia" w:hAnsiTheme="minorEastAsia" w:cstheme="minorEastAsia"/>
                <w:szCs w:val="21"/>
              </w:rPr>
              <w:t xml:space="preserve">1.实时基带计算资源：配置不少于2颗Intel x86架构高性能多核处理器，适配采购人现有FlexRAN平台，单颗核心数≥64核、主频≥1.9 GHz，支持DPDK等高速数据面处理框架，满足多载波、多通道物理层任务并行调度和实时计算需求；</w:t>
            </w:r>
            <w:r/>
          </w:p>
          <w:p>
            <w:pPr>
              <w:rPr>
                <w:rFonts w:hint="eastAsia" w:asciiTheme="minorEastAsia" w:hAnsiTheme="minorEastAsia" w:cstheme="minorEastAsia"/>
                <w:szCs w:val="21"/>
              </w:rPr>
            </w:pPr>
            <w:r>
              <w:rPr>
                <w:rFonts w:asciiTheme="minorEastAsia" w:hAnsiTheme="minorEastAsia" w:cstheme="minorEastAsia"/>
                <w:szCs w:val="21"/>
              </w:rPr>
              <w:t xml:space="preserve">2.高速内存资源：支持≥32个DDR5内存插槽，配置≥512 GB ECC DDR5内存，单根容量32 GB、速率≥5600 MT/s，满足多通道前传数据高速缓存、信道矩阵计算及联合基带处理需求；</w:t>
            </w:r>
            <w:r/>
          </w:p>
          <w:p>
            <w:pPr>
              <w:rPr>
                <w:rFonts w:hint="eastAsia" w:asciiTheme="minorEastAsia" w:hAnsiTheme="minorEastAsia" w:cstheme="minorEastAsia"/>
                <w:szCs w:val="21"/>
              </w:rPr>
            </w:pPr>
            <w:r>
              <w:rPr>
                <w:rFonts w:asciiTheme="minorEastAsia" w:hAnsiTheme="minorEastAsia" w:cstheme="minorEastAsia"/>
                <w:szCs w:val="21"/>
              </w:rPr>
              <w:t xml:space="preserve">3.大带宽多通道实时处理能力：具备微秒级实时通信处理能力，满足多载波、多通道实时基带处理需求；</w:t>
            </w:r>
            <w:r/>
          </w:p>
          <w:p>
            <w:pPr>
              <w:rPr>
                <w:rFonts w:hint="eastAsia" w:asciiTheme="minorEastAsia" w:hAnsiTheme="minorEastAsia" w:cstheme="minorEastAsia"/>
                <w:szCs w:val="21"/>
              </w:rPr>
            </w:pPr>
            <w:r>
              <w:rPr>
                <w:rFonts w:asciiTheme="minorEastAsia" w:hAnsiTheme="minorEastAsia" w:cstheme="minorEastAsia"/>
                <w:szCs w:val="21"/>
              </w:rPr>
              <w:t xml:space="preserve">4.高精度同步与多节点协同能力：支持高精度时间同步及多节点协同工作，可支持IEEE 1588/PTP等时间同步机制，满足分布式AAU、边缘分布式处理之间同步传输及空时二维编码联合处理需求。</w:t>
            </w:r>
            <w:r/>
          </w:p>
        </w:tc>
      </w:tr>
      <w:tr>
        <w:trPr>
          <w:trHeight w:val="90"/>
        </w:trPr>
        <w:tc>
          <w:tcPr>
            <w:tcW w:w="336" w:type="pct"/>
            <w:vAlign w:val="center"/>
            <w:vMerge w:val="continue"/>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r>
            <w:r/>
          </w:p>
        </w:tc>
        <w:tc>
          <w:tcPr>
            <w:tcW w:w="577" w:type="pct"/>
            <w:vAlign w:val="center"/>
            <w:vMerge w:val="continue"/>
            <w:textDirection w:val="lrTb"/>
            <w:noWrap w:val="false"/>
          </w:tcPr>
          <w:p>
            <w:pPr>
              <w:jc w:val="left"/>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非实质性要求</w:t>
            </w:r>
            <w:r/>
          </w:p>
        </w:tc>
        <w:tc>
          <w:tcPr>
            <w:tcW w:w="3677"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投标人所投产品应不低于以下要求，逐条应答以及按要求提供相关证明材料：</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1.硬盘：配置≥1块企业级NVME 接口固态硬盘，单盘容量≥1.92TB；</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2.网卡：配置≥1块双端口25G OCP网卡（含光模块），支持RoCE、SR-IOV协议；配置≥1块双端口10 GE OCP 电口，不占用PCIE标准插槽；</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3.▲PCIE扩展能力：支持不少于14个PCIe扩展插槽，实际不少于10个标准PCIe槽位接口，其中×16 PCIe通道不少于4个槽位接口，×8 PCIe通道不少于6个槽位接口，支持2个OCP专用插槽；</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4.电源：配置≥1600W冗余热插拔电源，并提供配套的电源连接线；</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5.散热：支持≥4 组高效风扇，N+1冗余，智能调节的散热系统；</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6.操作系统兼容性：兼容当前主流的服务器操作系统： Microsoft Windows Sever、Red Hat Enterprise Linux、SUSE Linux Enterprise Server、Vmware ESXi、CGSL；</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7.▲接口：支持3GPP option7-2 eCPRI接口，且输出光接口同时支持10Gbps和25Gbps；</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8.▲实时性：支持毫米波实时信号处理，指令周期能够支持物理层任务链实时处理；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9.▲信号速率：基带信号处理速率不少于10Gbps；</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10.▲信号处理能力：支持无蜂窝分布式MIMO的信号处理，支持空口校准；</w:t>
            </w:r>
            <w:r/>
          </w:p>
          <w:p>
            <w:pPr>
              <w:spacing w:line="360" w:lineRule="exact"/>
              <w:rPr>
                <w:rFonts w:hint="eastAsia" w:asciiTheme="minorEastAsia" w:hAnsiTheme="minorEastAsia" w:cstheme="minorEastAsia"/>
                <w:szCs w:val="21"/>
              </w:rPr>
            </w:pPr>
            <w:r>
              <w:rPr>
                <w:rFonts w:hint="eastAsia" w:asciiTheme="minorEastAsia" w:hAnsiTheme="minorEastAsia" w:cstheme="minorEastAsia"/>
                <w:color w:val="000000"/>
                <w:szCs w:val="21"/>
              </w:rPr>
              <w:t xml:space="preserve">11.▲管理及维护：产品BIOS支持中英文界面，独立管理接口，支持SNMP、IPMI，虚拟KVM、虚拟媒体、远程控制、硬件监控等特性。</w:t>
            </w:r>
            <w:r/>
          </w:p>
        </w:tc>
      </w:tr>
    </w:tbl>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2.其他技术要求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（1）技术人员要求。中标供应商就本次项目成立专项项目团队，投入本项目实施的厂家工程技术人员应不少于3人，要求至少有2年以上相关工作经验。</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（2）在项目实施期间，未经采购人同意，中标供应商不得擅自更换技术人员。否则，由中标供应商承担违约责任。</w:t>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（2）供应商的任何错漏、优惠、竞争性报价不得作为减轻责任、减少服务、增加收费、降低服务质量的理由。</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2.实施要求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设备进场后，所投产品厂家会同采购人技术人员进行开箱检验，对设备型号、规格、数量及外观有无缺陷等做认真的检查记录。根据合同约定和设备厂家提供的装箱清单，仔细清点和检查设备零部件的数量和质量，检查清点随机所带专用工具，易丢、易损件数量并妥善保管。设备检查完好后，开机上电检测机框和板卡是否能正常启动，完成安装验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3.售后服务要求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（1）中标供应商提供软件安装光盘、使用手册。</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（2）中标供应商负责所提供软、硬件设备的现场安装、调试和开通，并保证整个系统的正确运行，保证不同时期提供的同类设备（软件、硬件）兼容。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（3）中标供应商确保其技术建议以及所提供的软、硬件设备的完整性和可用性 ，若因供应商失误，造成硬软件短缺或达不到原定性能指标，中标供应商将进行补充（费用包含在本次投标报价中），直至满足要求。若出现由于供应商提供的软、硬件设备不满足要求或其所提供的技术支持和服务不全面而导致系统功能无法实现或不能完全实现，由中标供应商负全部责任并赔偿采购人由此造成的全部损失。</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（4）中标供应商提供安装和维护所需的专用工具。</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（5）中标供应商提供保证货物在质保期内正常运行所需的随机备品备件、易损件。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质保期内，中标供应商维修或更换有缺陷的货物或部件的响应期限（费用包含在本次投标报价中）：设备发生故障后，供应商在收到用户服务信息后24小时内给与答复，并给予远程指导，如仍未解决问题，将于3个工作日内将故障排除，并交付使用。</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7）质保期内发生的零部件不正常的磨损，或非人为原因而损坏、失效的零部件、电子元器件和易损件，发生上述情况但不限于上述情况时，中标供应商应提供服务并更换上述零部件、电子元器件、备品备件和易损件（费用包含在投标总价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8）质保期满后，中标供应商应继续为采购人提供服务，服务仅收取零配件成本费，免人工费。中标供应商保证有充足的备件，保证提供的所有设备、部件均无假冒伪劣产品。质保期内出现无法排除的故障，中标供应商须为采购人更换同型号产品，费用包含在投标总价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4.质保服务要求</w:t>
      </w:r>
      <w:r/>
    </w:p>
    <w:p>
      <w:pPr>
        <w:ind w:firstLine="480"/>
        <w:spacing w:line="360" w:lineRule="exact"/>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自设备到货验收合格之日起，中标供应商提供至少三年的原厂质保服务（费用包含在投标总价中），否则采购人有权取消中标供应商中标资格并不承担任何责任。</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5.技术培训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中标供应商为采购人提供完善的技术培训和技术售后支持，安排工程师对相关人员进行测试仪表的基本使用的培训，让相关人员掌握利用测试仪表进行测试的方法和利用测试仪表进行测试用例的测试。培训后相关人员使用仪表的过程中有任何问题都可以咨询中标供应商的工程师，工程师提供远程电话指导，如果不能解决问题，24小时内会到现场进行现场指导。</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（2）中标供应商对采购人进行培训，集中培训不少于两场次，培训场地由采购人提供，中标供应商提供培训资料。</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（3）产品使用过程中由厂家工程师提供远程支持，如果不能解决问题，24小时内到现场进行现场指导。</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6.知识产权要求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中标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中标供应商应承担所有法律责任带来的全部最终不利后果。</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7.交货时间、地点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highlight w:val="none"/>
        </w:rPr>
        <w:t xml:space="preserve">合同签订之日起，中标供应商应在30天内将设备送到采购人指定地点。设备到货后，应提供相关操作说明及技术资料，在双方约定的期限内提供不少于1天的现</w:t>
      </w:r>
      <w:r>
        <w:rPr>
          <w:rFonts w:hint="eastAsia" w:asciiTheme="minorEastAsia" w:hAnsiTheme="minorEastAsia" w:cstheme="minorEastAsia"/>
          <w:sz w:val="24"/>
          <w:szCs w:val="24"/>
        </w:rPr>
        <w:t xml:space="preserve">场指导，直至确保采购人人员能够熟练使用设备。</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8.付款条件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9.履约保证金</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10.其他要求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exact"/>
        <w:rPr>
          <w:rFonts w:hint="eastAsia" w:ascii="黑体" w:hAnsi="黑体" w:eastAsia="黑体" w:cs="黑体"/>
          <w:color w:val="000000"/>
          <w:sz w:val="24"/>
          <w:szCs w:val="24"/>
        </w:rPr>
      </w:pPr>
      <w:r>
        <w:rPr>
          <w:rFonts w:hint="eastAsia" w:asciiTheme="minorEastAsia" w:hAnsiTheme="minorEastAsia" w:cstheme="minorEastAsia"/>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黑体" w:hAnsi="黑体" w:eastAsia="黑体" w:cs="黑体"/>
          <w:color w:val="000000"/>
          <w:sz w:val="24"/>
          <w:szCs w:val="24"/>
        </w:rPr>
        <w:br w:type="page" w:clear="all"/>
      </w:r>
      <w:r/>
    </w:p>
    <w:p>
      <w:pPr>
        <w:pStyle w:val="911"/>
        <w:numPr>
          <w:ilvl w:val="255"/>
          <w:numId w:val="0"/>
        </w:numPr>
        <w:jc w:val="center"/>
        <w:spacing w:after="120"/>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0" w:name="_Toc26554093"/>
      <w:r/>
      <w:bookmarkStart w:id="51" w:name="_Toc120614281"/>
      <w:r/>
      <w:bookmarkStart w:id="52" w:name="_Toc49090575"/>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3"/>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0"/>
      <w:r/>
      <w:bookmarkEnd w:id="51"/>
      <w:r/>
      <w:bookmarkEnd w:id="52"/>
      <w:r/>
      <w:r/>
    </w:p>
    <w:tbl>
      <w:tblPr>
        <w:tblStyle w:val="889"/>
        <w:tblW w:w="496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46"/>
        <w:gridCol w:w="1056"/>
        <w:gridCol w:w="5797"/>
        <w:gridCol w:w="582"/>
        <w:gridCol w:w="831"/>
      </w:tblGrid>
      <w:tr>
        <w:trPr>
          <w:jc w:val="center"/>
          <w:trHeight w:val="501"/>
          <w:tblHeader/>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序号</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评审因素</w:t>
            </w:r>
            <w:r/>
          </w:p>
        </w:tc>
        <w:tc>
          <w:tcPr>
            <w:tcBorders>
              <w:top w:val="single" w:color="000000" w:sz="2" w:space="0"/>
              <w:bottom w:val="single" w:color="000000" w:sz="2" w:space="0"/>
            </w:tcBorders>
            <w:tcW w:w="3325"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评审细则</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分值</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类型</w:t>
            </w:r>
            <w:r/>
          </w:p>
        </w:tc>
      </w:tr>
      <w:tr>
        <w:trPr>
          <w:jc w:val="center"/>
          <w:trHeight w:val="1030"/>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1</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2"/>
                <w:szCs w:val="21"/>
              </w:rPr>
              <w:t xml:space="preserve">价格分</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采用低价优先</w:t>
            </w:r>
            <w:r>
              <w:rPr>
                <w:rFonts w:hint="eastAsia" w:asciiTheme="minorEastAsia" w:hAnsiTheme="minorEastAsia" w:cstheme="minorEastAsia"/>
                <w:szCs w:val="21"/>
              </w:rPr>
              <w:t xml:space="preserve">法计算，即满足招标文件要求且投标价格最低的投标</w:t>
            </w:r>
            <w:r>
              <w:rPr>
                <w:rFonts w:hint="eastAsia" w:asciiTheme="minorEastAsia" w:hAnsiTheme="minorEastAsia" w:cstheme="minorEastAsia"/>
                <w:spacing w:val="1"/>
                <w:szCs w:val="21"/>
              </w:rPr>
              <w:t xml:space="preserve">报价为评标基准</w:t>
            </w:r>
            <w:r>
              <w:rPr>
                <w:rFonts w:hint="eastAsia" w:asciiTheme="minorEastAsia" w:hAnsiTheme="minorEastAsia" w:cstheme="minorEastAsia"/>
                <w:szCs w:val="21"/>
              </w:rPr>
              <w:t xml:space="preserve">价，其价格分为满分。其他投标人的价格分统一按</w:t>
            </w:r>
            <w:r>
              <w:rPr>
                <w:rFonts w:hint="eastAsia" w:asciiTheme="minorEastAsia" w:hAnsiTheme="minorEastAsia" w:cstheme="minorEastAsia"/>
                <w:spacing w:val="-1"/>
                <w:szCs w:val="21"/>
              </w:rPr>
              <w:t xml:space="preserve">照下列公</w:t>
            </w:r>
            <w:r>
              <w:rPr>
                <w:rFonts w:hint="eastAsia" w:asciiTheme="minorEastAsia" w:hAnsiTheme="minorEastAsia" w:cstheme="minorEastAsia"/>
                <w:szCs w:val="21"/>
              </w:rPr>
              <w:t xml:space="preserve">式计算：投标报价得分=(评标基准价/投标报价)×价格分值（小数点保留两位）</w:t>
            </w:r>
            <w:r/>
          </w:p>
          <w:p>
            <w:p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lang w:eastAsia="zh-CN"/>
              </w:rPr>
              <w:t xml:space="preserve">（</w:t>
            </w:r>
            <w:r>
              <w:rPr>
                <w:rFonts w:hint="eastAsia" w:asciiTheme="minorEastAsia" w:hAnsiTheme="minorEastAsia" w:cstheme="minorEastAsia"/>
                <w:spacing w:val="1"/>
                <w:szCs w:val="21"/>
                <w:lang w:val="en-US" w:eastAsia="zh-CN"/>
              </w:rPr>
              <w:t xml:space="preserve">1</w:t>
            </w:r>
            <w:r>
              <w:rPr>
                <w:rFonts w:hint="eastAsia" w:asciiTheme="minorEastAsia" w:hAnsiTheme="minorEastAsia" w:cstheme="minorEastAsia"/>
                <w:spacing w:val="1"/>
                <w:szCs w:val="21"/>
                <w:lang w:eastAsia="zh-CN"/>
              </w:rPr>
              <w:t xml:space="preserve">）</w:t>
            </w:r>
            <w:r>
              <w:rPr>
                <w:rFonts w:hint="eastAsia" w:asciiTheme="minorEastAsia" w:hAnsiTheme="minorEastAsia" w:cstheme="minorEastAsia"/>
                <w:spacing w:val="1"/>
                <w:szCs w:val="21"/>
              </w:rPr>
              <w:t xml:space="preserve">响应报价低于全部通过符合性审查供应商响应报价平均值50%的，即响应报价&lt;全部通过符合性审查供应商响应报价平均值×50%； </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lang w:eastAsia="zh-CN"/>
              </w:rPr>
              <w:t xml:space="preserve">（</w:t>
            </w:r>
            <w:r>
              <w:rPr>
                <w:rFonts w:hint="eastAsia" w:asciiTheme="minorEastAsia" w:hAnsiTheme="minorEastAsia" w:cstheme="minorEastAsia"/>
                <w:spacing w:val="1"/>
                <w:szCs w:val="21"/>
                <w:lang w:val="en-US" w:eastAsia="zh-CN"/>
              </w:rPr>
              <w:t xml:space="preserve">2</w:t>
            </w:r>
            <w:r>
              <w:rPr>
                <w:rFonts w:hint="eastAsia" w:asciiTheme="minorEastAsia" w:hAnsiTheme="minorEastAsia" w:cstheme="minorEastAsia"/>
                <w:spacing w:val="1"/>
                <w:szCs w:val="21"/>
                <w:lang w:eastAsia="zh-CN"/>
              </w:rPr>
              <w:t xml:space="preserve">）</w:t>
            </w:r>
            <w:r>
              <w:rPr>
                <w:rFonts w:hint="eastAsia" w:asciiTheme="minorEastAsia" w:hAnsiTheme="minorEastAsia" w:cstheme="minorEastAsia"/>
                <w:spacing w:val="1"/>
                <w:szCs w:val="21"/>
              </w:rPr>
              <w:t xml:space="preserve">响应报价低于通过符合性审查的次低报价供应商响应报价50%的，即响应报价&lt;通过符合性审查的次低报价供应商响应报价×50%； </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lang w:eastAsia="zh-CN"/>
              </w:rPr>
              <w:t xml:space="preserve">（</w:t>
            </w:r>
            <w:r>
              <w:rPr>
                <w:rFonts w:hint="eastAsia" w:asciiTheme="minorEastAsia" w:hAnsiTheme="minorEastAsia" w:cstheme="minorEastAsia"/>
                <w:spacing w:val="1"/>
                <w:szCs w:val="21"/>
                <w:lang w:val="en-US" w:eastAsia="zh-CN"/>
              </w:rPr>
              <w:t xml:space="preserve">3</w:t>
            </w:r>
            <w:r>
              <w:rPr>
                <w:rFonts w:hint="eastAsia" w:asciiTheme="minorEastAsia" w:hAnsiTheme="minorEastAsia" w:cstheme="minorEastAsia"/>
                <w:spacing w:val="1"/>
                <w:szCs w:val="21"/>
                <w:lang w:eastAsia="zh-CN"/>
              </w:rPr>
              <w:t xml:space="preserve">）</w:t>
            </w:r>
            <w:r>
              <w:rPr>
                <w:rFonts w:hint="eastAsia" w:asciiTheme="minorEastAsia" w:hAnsiTheme="minorEastAsia" w:cstheme="minorEastAsia"/>
                <w:spacing w:val="1"/>
                <w:szCs w:val="21"/>
              </w:rPr>
              <w:t xml:space="preserve">响应报价低于采购项目最高限价45%的，即响应报价&lt;采购项目最高限价×45%；</w:t>
            </w:r>
            <w:r/>
          </w:p>
          <w:p>
            <w:pPr>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45</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价格分</w:t>
            </w:r>
            <w:r/>
          </w:p>
        </w:tc>
      </w:tr>
      <w:tr>
        <w:trPr>
          <w:jc w:val="center"/>
          <w:trHeight w:val="891"/>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2</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产品技术参数</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pacing w:val="1"/>
                <w:szCs w:val="21"/>
              </w:rPr>
            </w:pPr>
            <w:r>
              <w:rPr>
                <w:rFonts w:hint="eastAsia" w:asciiTheme="minorEastAsia" w:hAnsiTheme="minorEastAsia" w:cstheme="minorEastAsia"/>
                <w:szCs w:val="21"/>
              </w:rPr>
              <w:t xml:space="preserve">产</w:t>
            </w:r>
            <w:r>
              <w:rPr>
                <w:rFonts w:hint="eastAsia" w:asciiTheme="minorEastAsia" w:hAnsiTheme="minorEastAsia" w:cstheme="minorEastAsia"/>
                <w:szCs w:val="21"/>
                <w:highlight w:val="none"/>
              </w:rPr>
              <w:t xml:space="preserve">品技术参数全部满足招标要求的得满分3</w:t>
            </w:r>
            <w:r>
              <w:rPr>
                <w:rFonts w:hint="eastAsia" w:asciiTheme="minorEastAsia" w:hAnsiTheme="minorEastAsia" w:cstheme="minorEastAsia"/>
                <w:szCs w:val="21"/>
                <w:highlight w:val="none"/>
                <w:lang w:val="en-US" w:eastAsia="zh-CN"/>
              </w:rPr>
              <w:t xml:space="preserve">5</w:t>
            </w:r>
            <w:r>
              <w:rPr>
                <w:rFonts w:hint="eastAsia" w:asciiTheme="minorEastAsia" w:hAnsiTheme="minorEastAsia" w:cstheme="minorEastAsia"/>
                <w:szCs w:val="21"/>
                <w:highlight w:val="none"/>
              </w:rPr>
              <w:t xml:space="preserve">分；打★指标为必须满足项，如有负偏离将作为无效投标；打▲指标为重要指标，有一项负偏离扣</w:t>
            </w:r>
            <w:r>
              <w:rPr>
                <w:rFonts w:hint="eastAsia" w:asciiTheme="minorEastAsia" w:hAnsiTheme="minorEastAsia" w:cstheme="minorEastAsia"/>
                <w:szCs w:val="21"/>
                <w:highlight w:val="none"/>
                <w:lang w:eastAsia="zh-CN"/>
              </w:rPr>
              <w:t xml:space="preserve">4</w:t>
            </w:r>
            <w:r>
              <w:rPr>
                <w:rFonts w:hint="eastAsia" w:asciiTheme="minorEastAsia" w:hAnsiTheme="minorEastAsia" w:cstheme="minorEastAsia"/>
                <w:szCs w:val="21"/>
                <w:highlight w:val="none"/>
              </w:rPr>
              <w:t xml:space="preserve">分；其余指标，有一项负偏离扣</w:t>
            </w:r>
            <w:r>
              <w:rPr>
                <w:rFonts w:hint="eastAsia" w:asciiTheme="minorEastAsia" w:hAnsiTheme="minorEastAsia" w:cstheme="minorEastAsia"/>
                <w:szCs w:val="21"/>
                <w:highlight w:val="none"/>
                <w:lang w:eastAsia="zh-CN"/>
              </w:rPr>
              <w:t xml:space="preserve">2</w:t>
            </w:r>
            <w:r>
              <w:rPr>
                <w:rFonts w:hint="eastAsia" w:asciiTheme="minorEastAsia" w:hAnsiTheme="minorEastAsia" w:cstheme="minorEastAsia"/>
                <w:szCs w:val="21"/>
                <w:highlight w:val="none"/>
              </w:rPr>
              <w:t xml:space="preserve">分，扣完为止。</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 xml:space="preserve">3</w:t>
            </w:r>
            <w:r>
              <w:rPr>
                <w:rFonts w:hint="eastAsia" w:asciiTheme="minorEastAsia" w:hAnsiTheme="minorEastAsia" w:cstheme="minorEastAsia"/>
                <w:szCs w:val="21"/>
                <w:lang w:val="en-US" w:eastAsia="zh-CN"/>
              </w:rPr>
              <w:t xml:space="preserve">5</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客</w:t>
            </w:r>
            <w:r>
              <w:rPr>
                <w:rFonts w:hint="eastAsia" w:asciiTheme="minorEastAsia" w:hAnsiTheme="minorEastAsia" w:cstheme="minorEastAsia"/>
                <w:spacing w:val="-4"/>
                <w:szCs w:val="21"/>
              </w:rPr>
              <w:t xml:space="preserve">观分</w:t>
            </w:r>
            <w:r/>
          </w:p>
        </w:tc>
      </w:tr>
      <w:tr>
        <w:trPr>
          <w:jc w:val="center"/>
          <w:trHeight w:val="891"/>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3</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业绩</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投标人提供2023年1月1日（含）以来类似项目业绩或产品业绩（</w:t>
            </w:r>
            <w:r>
              <w:rPr>
                <w:rFonts w:hint="eastAsia" w:asciiTheme="minorEastAsia" w:hAnsiTheme="minorEastAsia" w:cstheme="minorEastAsia"/>
                <w:color w:val="auto"/>
                <w:szCs w:val="21"/>
              </w:rPr>
              <w:t xml:space="preserve">包含BBU或者基带处理单元</w:t>
            </w:r>
            <w:r>
              <w:rPr>
                <w:rFonts w:hint="eastAsia" w:asciiTheme="minorEastAsia" w:hAnsiTheme="minorEastAsia" w:cstheme="minorEastAsia"/>
                <w:color w:val="auto"/>
                <w:szCs w:val="21"/>
                <w:lang w:val="en-US" w:eastAsia="zh-CN"/>
              </w:rPr>
              <w:t xml:space="preserve">或者</w:t>
            </w:r>
            <w:r>
              <w:rPr>
                <w:rFonts w:hint="eastAsia" w:asciiTheme="minorEastAsia" w:hAnsiTheme="minorEastAsia" w:cstheme="minorEastAsia"/>
                <w:b w:val="0"/>
                <w:bCs w:val="0"/>
                <w:color w:val="auto"/>
                <w:szCs w:val="21"/>
              </w:rPr>
              <w:t xml:space="preserve">网络设备</w:t>
            </w:r>
            <w:r>
              <w:rPr>
                <w:rFonts w:hint="eastAsia" w:asciiTheme="minorEastAsia" w:hAnsiTheme="minorEastAsia" w:cstheme="minorEastAsia"/>
                <w:color w:val="auto"/>
                <w:szCs w:val="21"/>
              </w:rPr>
              <w:t xml:space="preserve">同类项目业绩”</w:t>
            </w:r>
            <w:r>
              <w:rPr>
                <w:rFonts w:hint="eastAsia" w:asciiTheme="minorEastAsia" w:hAnsiTheme="minorEastAsia" w:cstheme="minorEastAsia"/>
                <w:szCs w:val="21"/>
              </w:rPr>
              <w:t xml:space="preserve">），每提供1个得2分，最多得6分。（时间以合同签订时间为准，提供有效合同，合同页须清晰可见相应内容）</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384"/>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eastAsia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4</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本地化服务</w:t>
            </w:r>
            <w:r/>
          </w:p>
        </w:tc>
        <w:tc>
          <w:tcPr>
            <w:tcBorders>
              <w:top w:val="single" w:color="000000" w:sz="2" w:space="0"/>
              <w:bottom w:val="single" w:color="000000" w:sz="2" w:space="0"/>
            </w:tcBorders>
            <w:tcW w:w="3325" w:type="pct"/>
            <w:vAlign w:val="center"/>
            <w:textDirection w:val="lrTb"/>
            <w:noWrap w:val="false"/>
          </w:tcPr>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投标人在江苏省内设有常驻服务机构或承诺中标后设立，并提供服务团队名单及办公地址证明，得2分；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2</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384"/>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5</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整体实施方案</w:t>
            </w:r>
            <w:r/>
          </w:p>
        </w:tc>
        <w:tc>
          <w:tcPr>
            <w:tcBorders>
              <w:top w:val="single" w:color="000000" w:sz="2" w:space="0"/>
              <w:bottom w:val="single" w:color="000000" w:sz="2" w:space="0"/>
            </w:tcBorders>
            <w:tcW w:w="3325" w:type="pct"/>
            <w:vAlign w:val="center"/>
            <w:textDirection w:val="lrTb"/>
            <w:noWrap w:val="false"/>
          </w:tcPr>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评委根据投标人提供的本项目整体实施方案（包括供货进度保证措施、质量保证措施、安装调试计划、进度安排控制）综合评分：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（1）方案阐述及提供的证明材料详细、合理，有很强的针对性，符合项目建设实际需求，得4分；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（2）方案阐述及提供的证明材料较为详细、合理，有较强的针对性，较符合项目建设需求，得2分；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（3）方案阐述及证明材料，基本符合项目建设需求，得1分；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6</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售后服务方案</w:t>
            </w:r>
            <w:r/>
          </w:p>
        </w:tc>
        <w:tc>
          <w:tcPr>
            <w:tcBorders>
              <w:top w:val="single" w:color="000000" w:sz="2" w:space="0"/>
              <w:bottom w:val="single" w:color="000000" w:sz="2" w:space="0"/>
            </w:tcBorders>
            <w:tcW w:w="3325" w:type="pct"/>
            <w:vAlign w:val="center"/>
            <w:textDirection w:val="lrTb"/>
            <w:noWrap w:val="false"/>
          </w:tcPr>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评委根据投标人提供的本项目售后服务方案（包含但不限于：包括问题处理响应时间及反馈、故障排除时间、服务措施等）综合评分：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（1）售后服务方案详细、合理，有很强的针对性，符合项目实际需求，得3分；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（2）售后服务方案较为详细、合理，有较强的针对性，较符合项目实际需求，得2分；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（3）售后服务方案基本合理，基本符合项目实际需求，得1分；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7</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培训方案</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评委根据投标人提供的本项目培训方案（</w:t>
            </w:r>
            <w:r>
              <w:rPr>
                <w:rFonts w:hint="eastAsia" w:asciiTheme="minorEastAsia" w:hAnsiTheme="minorEastAsia" w:cstheme="minorEastAsia"/>
                <w:szCs w:val="21"/>
              </w:rPr>
              <w:t xml:space="preserve">包括培训计划、培训内容及师资力量等</w:t>
            </w:r>
            <w:r>
              <w:rPr>
                <w:rFonts w:hint="eastAsia" w:asciiTheme="minorEastAsia" w:hAnsiTheme="minorEastAsia" w:cstheme="minorEastAsia"/>
                <w:color w:val="000000"/>
                <w:szCs w:val="21"/>
              </w:rPr>
              <w:t xml:space="preserve">）综合评分：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（1）培训方案详细、合理，有很强的针对性，符合项目实际需求，得3分；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（2）培训方案较为详细、合理，有较强的针对性，较符合项目实际需求，得2分；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（3）培训方案基本合理，基本符合项目实际需求，得1分；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sz w:val="21"/>
                <w:szCs w:val="21"/>
              </w:rPr>
              <w:t xml:space="preserve">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eastAsia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8</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团队成员资质</w:t>
            </w:r>
            <w:r/>
          </w:p>
        </w:tc>
        <w:tc>
          <w:tcPr>
            <w:tcBorders>
              <w:top w:val="single" w:color="000000" w:sz="2" w:space="0"/>
              <w:bottom w:val="single" w:color="000000" w:sz="2" w:space="0"/>
            </w:tcBorders>
            <w:tcW w:w="3325" w:type="pct"/>
            <w:vAlign w:val="center"/>
            <w:textDirection w:val="lrTb"/>
            <w:noWrap w:val="false"/>
          </w:tcPr>
          <w:p>
            <w:pPr>
              <w:pStyle w:val="938"/>
              <w:jc w:val="both"/>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①项目经理具有通信或计算机相关专业高级职称，得2分</w:t>
            </w:r>
            <w:r>
              <w:rPr>
                <w:rFonts w:hint="eastAsia" w:asciiTheme="minorEastAsia" w:hAnsiTheme="minorEastAsia" w:eastAsiaTheme="minorEastAsia" w:cstheme="minorEastAsia"/>
                <w:color w:val="000000"/>
                <w:sz w:val="21"/>
                <w:szCs w:val="21"/>
                <w:lang w:eastAsia="zh-CN"/>
              </w:rPr>
              <w:t xml:space="preserve">，</w:t>
            </w:r>
            <w:r/>
          </w:p>
          <w:p>
            <w:pPr>
              <w:pStyle w:val="938"/>
              <w:jc w:val="both"/>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提供</w:t>
            </w:r>
            <w:r>
              <w:rPr>
                <w:rFonts w:hint="eastAsia" w:asciiTheme="minorEastAsia" w:hAnsiTheme="minorEastAsia" w:eastAsiaTheme="minorEastAsia" w:cstheme="minorEastAsia"/>
                <w:color w:val="000000"/>
                <w:sz w:val="21"/>
                <w:szCs w:val="21"/>
              </w:rPr>
              <w:t xml:space="preserve">证书</w:t>
            </w:r>
            <w:r>
              <w:rPr>
                <w:rFonts w:hint="eastAsia" w:asciiTheme="minorEastAsia" w:hAnsiTheme="minorEastAsia" w:eastAsiaTheme="minorEastAsia" w:cstheme="minorEastAsia"/>
                <w:color w:val="000000"/>
                <w:sz w:val="21"/>
                <w:szCs w:val="21"/>
                <w:lang w:val="en-US" w:eastAsia="zh-CN"/>
              </w:rPr>
              <w:t xml:space="preserve">复印件</w:t>
            </w:r>
            <w:r>
              <w:rPr>
                <w:rFonts w:hint="eastAsia" w:asciiTheme="minorEastAsia" w:hAnsiTheme="minorEastAsia" w:eastAsiaTheme="minorEastAsia" w:cstheme="minorEastAsia"/>
                <w:color w:val="000000"/>
                <w:sz w:val="21"/>
                <w:szCs w:val="21"/>
              </w:rPr>
              <w:t xml:space="preserve">及</w:t>
            </w:r>
            <w:r>
              <w:rPr>
                <w:rFonts w:hint="eastAsia" w:asciiTheme="minorEastAsia" w:hAnsiTheme="minorEastAsia" w:eastAsiaTheme="minorEastAsia" w:cstheme="minorEastAsia"/>
                <w:color w:val="000000"/>
                <w:sz w:val="21"/>
                <w:szCs w:val="21"/>
                <w:lang w:val="en-US" w:eastAsia="zh-CN"/>
              </w:rPr>
              <w:t xml:space="preserve">近半年任意一个月的</w:t>
            </w:r>
            <w:r>
              <w:rPr>
                <w:rFonts w:hint="eastAsia" w:asciiTheme="minorEastAsia" w:hAnsiTheme="minorEastAsia" w:eastAsiaTheme="minorEastAsia" w:cstheme="minorEastAsia"/>
                <w:color w:val="000000"/>
                <w:sz w:val="21"/>
                <w:szCs w:val="21"/>
              </w:rPr>
              <w:t xml:space="preserve">社保证明</w:t>
            </w:r>
            <w:r>
              <w:rPr>
                <w:rFonts w:hint="eastAsia" w:asciiTheme="minorEastAsia" w:hAnsiTheme="minorEastAsia" w:eastAsiaTheme="minorEastAsia" w:cstheme="minorEastAsia"/>
                <w:color w:val="000000"/>
                <w:sz w:val="21"/>
                <w:szCs w:val="21"/>
                <w:lang w:val="en-US" w:eastAsia="zh-CN"/>
              </w:rPr>
              <w:t xml:space="preserve">加盖公章，不提供不得分</w:t>
            </w:r>
            <w:r>
              <w:rPr>
                <w:rFonts w:hint="eastAsia" w:asciiTheme="minorEastAsia" w:hAnsiTheme="minorEastAsia" w:eastAsiaTheme="minorEastAsia" w:cstheme="minorEastAsia"/>
                <w:color w:val="000000"/>
                <w:sz w:val="21"/>
                <w:szCs w:val="21"/>
              </w:rPr>
              <w:t xml:space="preserve">。</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2</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eastAsiaTheme="minorEastAsia" w:cstheme="minorEastAsia"/>
                <w:spacing w:val="-6"/>
                <w:szCs w:val="21"/>
                <w:lang w:val="en-US" w:eastAsia="zh-CN"/>
              </w:rPr>
            </w:pPr>
            <w:r>
              <w:rPr>
                <w:rFonts w:hint="eastAsia" w:asciiTheme="minorEastAsia" w:hAnsiTheme="minorEastAsia" w:cstheme="minorEastAsia"/>
                <w:spacing w:val="-6"/>
                <w:szCs w:val="21"/>
                <w:lang w:val="en-US" w:eastAsia="zh-CN"/>
              </w:rPr>
              <w:t xml:space="preserve">客观分</w:t>
            </w:r>
            <w:r/>
          </w:p>
        </w:tc>
      </w:tr>
      <w:tr>
        <w:trPr>
          <w:jc w:val="center"/>
          <w:trHeight w:val="464"/>
        </w:trPr>
        <w:tc>
          <w:tcPr>
            <w:gridSpan w:val="3"/>
            <w:tcBorders>
              <w:top w:val="single" w:color="000000" w:sz="2" w:space="0"/>
              <w:bottom w:val="single" w:color="000000" w:sz="2" w:space="0"/>
            </w:tcBorders>
            <w:tcW w:w="4188"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3"/>
                <w:szCs w:val="21"/>
              </w:rPr>
              <w:t xml:space="preserve">合</w:t>
            </w:r>
            <w:r>
              <w:rPr>
                <w:rFonts w:hint="eastAsia" w:asciiTheme="minorEastAsia" w:hAnsiTheme="minorEastAsia" w:cstheme="minorEastAsia"/>
                <w:spacing w:val="-2"/>
                <w:szCs w:val="21"/>
              </w:rPr>
              <w:t xml:space="preserve">计</w:t>
            </w:r>
            <w:r/>
          </w:p>
        </w:tc>
        <w:tc>
          <w:tcPr>
            <w:gridSpan w:val="2"/>
            <w:tcBorders>
              <w:top w:val="single" w:color="000000" w:sz="2" w:space="0"/>
              <w:bottom w:val="single" w:color="000000" w:sz="2" w:space="0"/>
            </w:tcBorders>
            <w:tcW w:w="811"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11"/>
                <w:szCs w:val="21"/>
              </w:rPr>
              <w:t xml:space="preserve">100分</w:t>
            </w:r>
            <w:r/>
          </w:p>
        </w:tc>
      </w:tr>
    </w:tbl>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hint="eastAsia" w:ascii="黑体" w:hAnsi="黑体" w:eastAsia="黑体" w:cs="黑体"/>
          <w:color w:val="000000" w:themeColor="text1"/>
          <w:sz w:val="36"/>
          <w:szCs w:val="36"/>
          <w:lang w:val="zh-TW"/>
          <w14:textFill>
            <w14:solidFill>
              <w14:schemeClr w14:val="tx1"/>
            </w14:solidFill>
          </w14:textFill>
        </w:rPr>
      </w:pPr>
      <w:r/>
      <w:bookmarkStart w:id="53"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3"/>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35"/>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紫金山实验室边缘分布式基带处理单元采购项目</w:t>
      </w:r>
      <w:r/>
    </w:p>
    <w:p>
      <w:pPr>
        <w:pStyle w:val="9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JSZC-320100-ZTZB-G2026-0053（内部编号PML-ZH-ZB-20260</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29</w:t>
      </w:r>
      <w:r>
        <w:rPr>
          <w:rFonts w:hint="eastAsia" w:ascii="Times New Roman" w:hAnsi="Times New Roman" w:eastAsia="黑体" w:cs="Times New Roman"/>
          <w:color w:val="000000" w:themeColor="text1"/>
          <w:sz w:val="36"/>
          <w:szCs w:val="36"/>
          <w14:textFill>
            <w14:solidFill>
              <w14:schemeClr w14:val="tx1"/>
            </w14:solidFill>
          </w14:textFill>
        </w:rPr>
        <w:t xml:space="preserve">）</w:t>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hint="eastAsia"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8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hint="eastAsia"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hint="eastAsia" w:ascii="宋体" w:hAnsi="宋体" w:eastAsia="宋体" w:cs="Arial Unicode MS"/>
          <w:color w:val="000000" w:themeColor="text1"/>
          <w:sz w:val="28"/>
          <w:szCs w:val="28"/>
          <w14:textFill>
            <w14:solidFill>
              <w14:schemeClr w14:val="tx1"/>
            </w14:solidFill>
          </w14:textFill>
        </w:rPr>
      </w:pPr>
      <w:r>
        <w:rPr>
          <w:rFonts w:hint="eastAsia"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4" w:name="_Toc50"/>
      <w:r/>
      <w:bookmarkStart w:id="55" w:name="_Toc448069988"/>
      <w:r/>
      <w:bookmarkStart w:id="56" w:name="_Toc415494574"/>
      <w:r/>
      <w:bookmarkStart w:id="57"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4"/>
      <w:r/>
      <w:bookmarkEnd w:id="55"/>
      <w:r/>
      <w:bookmarkEnd w:id="56"/>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57"/>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35"/>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紫金山实验室边缘分布式基带处理单元采购项目（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：JSZC-320100-ZTZB-G2026-0053（内部编号PML-ZH-ZB-20260</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29</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11859492"/>
      <w:r/>
      <w:bookmarkStart w:id="59" w:name="_Toc415494579"/>
      <w:r/>
      <w:bookmarkStart w:id="60" w:name="_Toc448069992"/>
      <w:r/>
      <w:bookmarkStart w:id="61" w:name="_Toc448069989"/>
      <w:r/>
      <w:bookmarkStart w:id="62" w:name="_Toc51"/>
      <w:r/>
      <w:bookmarkStart w:id="63" w:name="_Toc415494575"/>
      <w:r/>
      <w:bookmarkStart w:id="64" w:name="_Toc45254170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58"/>
      <w:r/>
      <w:bookmarkEnd w:id="59"/>
      <w:r/>
      <w:bookmarkEnd w:id="60"/>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紫金山实验室边缘分布式基带处理单元采购项目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JSZC-320100-ZTZB-G2026-0053（内部编号PML-ZH-ZB-20260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29</w:t>
      </w:r>
      <w:r>
        <w:rPr>
          <w:rFonts w:hint="eastAsia" w:ascii="Times New Roman" w:hAnsi="Times New Roman" w:cs="Times New Roman"/>
          <w:color w:val="000000" w:themeColor="text1"/>
          <w:sz w:val="24"/>
          <w:szCs w:val="24"/>
          <w14:textFill>
            <w14:solidFill>
              <w14:schemeClr w14:val="tx1"/>
            </w14:solidFill>
          </w14:textFill>
        </w:rPr>
        <w:t xml:space="preserve">）</w:t>
      </w:r>
      <w:r/>
    </w:p>
    <w:tbl>
      <w:tblPr>
        <w:tblStyle w:val="889"/>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67"/>
      </w:tblGrid>
      <w:tr>
        <w:trPr>
          <w:cantSplit/>
          <w:jc w:val="center"/>
          <w:trHeight w:val="859"/>
        </w:trPr>
        <w:tc>
          <w:tcPr>
            <w:tcW w:w="1394" w:type="pct"/>
            <w:vAlign w:val="center"/>
            <w:textDirection w:val="lrTb"/>
            <w:noWrap w:val="false"/>
          </w:tcPr>
          <w:p>
            <w:pPr>
              <w:pStyle w:val="8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8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898"/>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35"/>
              <w:ind w:firstLine="0"/>
              <w:spacing w:before="0" w:after="0" w:line="24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8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35"/>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8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35"/>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8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35"/>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8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898"/>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center"/>
        <w:spacing w:line="360" w:lineRule="exact"/>
        <w:rPr>
          <w:rFonts w:hint="eastAsia"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紫金山实验室边缘分布式基带处理单元采购项目 </w:t>
      </w:r>
      <w:r/>
    </w:p>
    <w:tbl>
      <w:tblPr>
        <w:tblStyle w:val="889"/>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bookmarkStart w:id="65" w:name="_Toc11859493"/>
      <w:r/>
      <w:bookmarkStart w:id="66" w:name="_Toc415494580"/>
      <w:r/>
      <w:bookmarkStart w:id="67" w:name="_Toc55"/>
      <w:r/>
      <w:bookmarkStart w:id="68" w:name="_Toc4480699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5"/>
      <w:r/>
      <w:bookmarkEnd w:id="66"/>
      <w:r/>
      <w:bookmarkEnd w:id="67"/>
      <w:r/>
      <w:bookmarkEnd w:id="68"/>
      <w:r/>
      <w:r/>
    </w:p>
    <w:p>
      <w:pPr>
        <w:jc w:val="center"/>
        <w:spacing w:line="360" w:lineRule="auto"/>
        <w:rPr>
          <w:rFonts w:hint="eastAsia"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hint="eastAsia" w:ascii="宋体" w:hAnsi="宋体" w:eastAsia="宋体" w:cs="宋体"/>
          <w:b/>
          <w:bCs/>
          <w:color w:val="000000" w:themeColor="text1"/>
          <w:szCs w:val="21"/>
          <w:u w:val="single"/>
          <w:lang w:val="zh-TW"/>
          <w14:textFill>
            <w14:solidFill>
              <w14:schemeClr w14:val="tx1"/>
            </w14:solidFill>
          </w14:textFill>
        </w:rPr>
      </w:pPr>
      <w:r>
        <w:rPr>
          <w:rFonts w:hint="eastAsia"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hint="eastAsia" w:ascii="宋体" w:hAnsi="宋体" w:eastAsia="PMingLiU" w:cs="宋体"/>
          <w:color w:val="000000" w:themeColor="text1"/>
          <w:szCs w:val="21"/>
          <w:lang w:val="zh-TW"/>
          <w14:textFill>
            <w14:solidFill>
              <w14:schemeClr w14:val="tx1"/>
            </w14:solidFill>
          </w14:textFill>
        </w:rPr>
      </w:pPr>
      <w:r>
        <w:rPr>
          <w:rFonts w:hint="eastAsia" w:ascii="宋体" w:hAnsi="宋体" w:eastAsia="PMingLiU" w:cs="宋体"/>
          <w:color w:val="000000" w:themeColor="text1"/>
          <w:szCs w:val="21"/>
          <w:lang w:val="zh-TW"/>
          <w14:textFill>
            <w14:solidFill>
              <w14:schemeClr w14:val="tx1"/>
            </w14:solidFill>
          </w14:textFill>
        </w:rPr>
      </w:r>
      <w:r/>
    </w:p>
    <w:p>
      <w:pPr>
        <w:ind w:right="420"/>
        <w:spacing w:line="360" w:lineRule="auto"/>
        <w:rPr>
          <w:rFonts w:hint="eastAsia"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89"/>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89"/>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9" w:name="_Toc56"/>
      <w:r/>
      <w:bookmarkStart w:id="70" w:name="_Toc415494581"/>
      <w:r/>
      <w:bookmarkStart w:id="71" w:name="_Toc448069994"/>
      <w:r/>
      <w:bookmarkStart w:id="72" w:name="_Toc11859494"/>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69"/>
      <w:r/>
      <w:bookmarkEnd w:id="70"/>
      <w:r/>
      <w:bookmarkEnd w:id="71"/>
      <w:r/>
      <w:bookmarkEnd w:id="72"/>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3"/>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紫金山实验室边缘分布式基带处理单元采购项目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37"/>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7"/>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37"/>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4"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4"/>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紫金山实验室边缘分布式基带处理单元采购项目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9"/>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37"/>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7"/>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5"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5"/>
      <w:r/>
      <w:bookmarkStart w:id="76"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14"/>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整体实施方案</w:t>
      </w:r>
      <w:r/>
    </w:p>
    <w:p>
      <w:pPr>
        <w:pStyle w:val="914"/>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售后服务方案</w:t>
      </w:r>
      <w:r/>
    </w:p>
    <w:p>
      <w:pPr>
        <w:pStyle w:val="914"/>
        <w:numPr>
          <w:ilvl w:val="255"/>
          <w:numId w:val="0"/>
        </w:numPr>
        <w:ind w:firstLine="480"/>
      </w:pPr>
      <w:r>
        <w:rPr>
          <w:rFonts w:hint="eastAsia" w:ascii="宋体" w:hAnsi="宋体" w:cs="宋体"/>
          <w:color w:val="000000"/>
          <w:sz w:val="24"/>
        </w:rPr>
        <w:t xml:space="preserve">培训方案</w:t>
      </w:r>
      <w:r/>
    </w:p>
    <w:p>
      <w:pPr>
        <w:pStyle w:val="914"/>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14"/>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14"/>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77"/>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898"/>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898"/>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11"/>
        <w:ind w:right="14"/>
        <w:jc w:val="center"/>
        <w:spacing w:before="0" w:beforeAutospacing="0" w:after="120" w:afterAutospacing="0" w:line="460" w:lineRule="exact"/>
        <w:widowControl w:val="off"/>
        <w:rPr>
          <w:rFonts w:hint="eastAsia"/>
        </w:rPr>
      </w:pPr>
      <w:r>
        <w:rPr>
          <w:b/>
          <w:sz w:val="28"/>
          <w:szCs w:val="28"/>
          <w:lang w:bidi="ar"/>
        </w:rPr>
        <w:t xml:space="preserve">中小企业声明函（货物）</w:t>
      </w:r>
      <w:r/>
    </w:p>
    <w:p>
      <w:pPr>
        <w:pStyle w:val="9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w:t>
      </w:r>
      <w:r/>
    </w:p>
    <w:p>
      <w:pPr>
        <w:pStyle w:val="9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以上企业，不属于大企业的分支机构，不存在控股股东为大企业的情形，也不存在与大企业的负责人为同一人的情形。</w:t>
      </w:r>
      <w:r/>
    </w:p>
    <w:p>
      <w:pPr>
        <w:pStyle w:val="9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本企业对上述声明内容的真实性负责。如有虚假，将依法承担相应责任。</w:t>
      </w:r>
      <w:r/>
    </w:p>
    <w:p>
      <w:pPr>
        <w:pStyle w:val="9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rFonts w:hint="eastAsia"/>
          <w:spacing w:val="-5"/>
        </w:rPr>
      </w:r>
      <w:r/>
    </w:p>
    <w:p>
      <w:pPr>
        <w:pStyle w:val="911"/>
        <w:ind w:right="208" w:firstLine="552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898"/>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8"/>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8"/>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98"/>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898"/>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898"/>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898"/>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898"/>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898"/>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898"/>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8"/>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8"/>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11"/>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1"/>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18"/>
          <w:rFonts w:hint="eastAsia" w:ascii="方正魏碑_GBK" w:hAnsi="方正魏碑_GBK" w:eastAsia="方正魏碑_GBK" w:cs="方正魏碑_GBK"/>
          <w:u w:val="single"/>
          <w:shd w:val="clear" w:color="auto" w:fill="ffffff"/>
        </w:rPr>
        <w:t xml:space="preserve">（产品名称1）</w:t>
      </w:r>
      <w:r>
        <w:rPr>
          <w:rStyle w:val="918"/>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18"/>
          <w:rFonts w:hint="eastAsia" w:ascii="方正魏碑_GBK" w:hAnsi="方正魏碑_GBK" w:eastAsia="方正魏碑_GBK" w:cs="方正魏碑_GBK"/>
          <w:u w:val="single"/>
          <w:shd w:val="clear" w:color="auto" w:fill="ffffff"/>
        </w:rPr>
        <w:t xml:space="preserve">（厂名）</w:t>
      </w:r>
      <w:r>
        <w:rPr>
          <w:rStyle w:val="918"/>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18"/>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8"/>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18"/>
          <w:rFonts w:hint="eastAsia" w:ascii="方正魏碑_GBK" w:hAnsi="方正魏碑_GBK" w:eastAsia="方正魏碑_GBK" w:cs="方正魏碑_GBK"/>
          <w:u w:val="single"/>
          <w:shd w:val="clear" w:color="auto" w:fill="ffffff"/>
        </w:rPr>
        <w:t xml:space="preserve">（规定</w:t>
      </w:r>
      <w:r>
        <w:rPr>
          <w:rStyle w:val="918"/>
          <w:rFonts w:ascii="方正魏碑_GBK" w:hAnsi="方正魏碑_GBK" w:eastAsia="方正魏碑_GBK" w:cs="方正魏碑_GBK"/>
          <w:u w:val="single"/>
          <w:shd w:val="clear" w:color="auto" w:fill="ffffff"/>
        </w:rPr>
        <w:t xml:space="preserve">比例</w:t>
      </w:r>
      <w:r>
        <w:rPr>
          <w:rStyle w:val="918"/>
          <w:rFonts w:hint="eastAsia" w:ascii="方正魏碑_GBK" w:hAnsi="方正魏碑_GBK" w:eastAsia="方正魏碑_GBK" w:cs="方正魏碑_GBK"/>
          <w:u w:val="single"/>
          <w:shd w:val="clear" w:color="auto" w:fill="ffffff"/>
        </w:rPr>
        <w:t xml:space="preserve">）</w:t>
      </w:r>
      <w:r>
        <w:rPr>
          <w:rStyle w:val="918"/>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8"/>
          <w:rFonts w:hint="eastAsia" w:ascii="方正魏碑_GBK" w:hAnsi="方正魏碑_GBK" w:eastAsia="方正魏碑_GBK" w:cs="方正魏碑_GBK"/>
          <w:u w:val="single"/>
          <w:shd w:val="clear" w:color="auto" w:fill="ffffff"/>
        </w:rPr>
        <w:t xml:space="preserve">（关键</w:t>
      </w:r>
      <w:r>
        <w:rPr>
          <w:rStyle w:val="918"/>
          <w:rFonts w:ascii="方正魏碑_GBK" w:hAnsi="方正魏碑_GBK" w:eastAsia="方正魏碑_GBK" w:cs="方正魏碑_GBK"/>
          <w:u w:val="single"/>
          <w:shd w:val="clear" w:color="auto" w:fill="ffffff"/>
        </w:rPr>
        <w:t xml:space="preserve">组件</w:t>
      </w:r>
      <w:r>
        <w:rPr>
          <w:rStyle w:val="918"/>
          <w:rFonts w:hint="eastAsia" w:ascii="方正魏碑_GBK" w:hAnsi="方正魏碑_GBK" w:eastAsia="方正魏碑_GBK" w:cs="方正魏碑_GBK"/>
          <w:u w:val="single"/>
          <w:shd w:val="clear" w:color="auto" w:fill="ffffff"/>
        </w:rPr>
        <w:t xml:space="preserve">）</w:t>
      </w:r>
      <w:r>
        <w:rPr>
          <w:rStyle w:val="918"/>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8"/>
          <w:rFonts w:hint="eastAsia" w:ascii="方正魏碑_GBK" w:hAnsi="方正魏碑_GBK" w:eastAsia="方正魏碑_GBK" w:cs="方正魏碑_GBK"/>
          <w:u w:val="single"/>
          <w:shd w:val="clear" w:color="auto" w:fill="ffffff"/>
        </w:rPr>
        <w:t xml:space="preserve">（关键工序）</w:t>
      </w:r>
      <w:r>
        <w:rPr>
          <w:rStyle w:val="918"/>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1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18"/>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18"/>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18"/>
          <w:rFonts w:hint="eastAsia" w:ascii="方正魏碑_GBK" w:hAnsi="方正魏碑_GBK" w:eastAsia="方正魏碑_GBK" w:cs="方正魏碑_GBK"/>
          <w:u w:val="single"/>
          <w:shd w:val="clear" w:color="auto" w:fill="ffffff"/>
        </w:rPr>
        <w:t xml:space="preserve">（规定</w:t>
      </w:r>
      <w:r>
        <w:rPr>
          <w:rStyle w:val="918"/>
          <w:rFonts w:ascii="方正魏碑_GBK" w:hAnsi="方正魏碑_GBK" w:eastAsia="方正魏碑_GBK" w:cs="方正魏碑_GBK"/>
          <w:u w:val="single"/>
          <w:shd w:val="clear" w:color="auto" w:fill="ffffff"/>
        </w:rPr>
        <w:t xml:space="preserve">比例</w:t>
      </w:r>
      <w:r>
        <w:rPr>
          <w:rStyle w:val="918"/>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18"/>
          <w:rFonts w:hint="eastAsia" w:ascii="方正魏碑_GBK" w:hAnsi="方正魏碑_GBK" w:eastAsia="方正魏碑_GBK" w:cs="方正魏碑_GBK"/>
          <w:u w:val="single"/>
          <w:shd w:val="clear" w:color="auto" w:fill="ffffff"/>
        </w:rPr>
        <w:t xml:space="preserve">（关键</w:t>
      </w:r>
      <w:r>
        <w:rPr>
          <w:rStyle w:val="918"/>
          <w:rFonts w:ascii="方正魏碑_GBK" w:hAnsi="方正魏碑_GBK" w:eastAsia="方正魏碑_GBK" w:cs="方正魏碑_GBK"/>
          <w:u w:val="single"/>
          <w:shd w:val="clear" w:color="auto" w:fill="ffffff"/>
        </w:rPr>
        <w:t xml:space="preserve">组件</w:t>
      </w:r>
      <w:r>
        <w:rPr>
          <w:rStyle w:val="918"/>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8"/>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1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1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11"/>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1"/>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11"/>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11"/>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1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1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1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1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11"/>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11"/>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8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br w:type="page" w:clear="all"/>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1"/>
      <w:r/>
      <w:bookmarkEnd w:id="62"/>
      <w:r/>
      <w:bookmarkEnd w:id="63"/>
      <w:r/>
      <w:bookmarkEnd w:id="64"/>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915"/>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2088"/>
        <w:gridCol w:w="1676"/>
        <w:gridCol w:w="3047"/>
      </w:tblGrid>
      <w:tr>
        <w:trPr>
          <w:trHeight w:val="567"/>
        </w:trPr>
        <w:tc>
          <w:tcPr>
            <w:tcW w:w="1118" w:type="pct"/>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统一社会信用代码</w:t>
            </w:r>
            <w:r/>
          </w:p>
        </w:tc>
        <w:tc>
          <w:tcPr>
            <w:tcW w:w="1735" w:type="pct"/>
            <w:vAlign w:val="center"/>
            <w:textDirection w:val="lrTb"/>
            <w:noWrap w:val="false"/>
          </w:tcPr>
          <w:p>
            <w:pPr>
              <w:ind w:right="-678"/>
              <w:jc w:val="center"/>
              <w:tabs>
                <w:tab w:val="left" w:pos="2320" w:leader="none"/>
              </w:tabs>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法定代表人</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联系人</w:t>
            </w:r>
            <w:r/>
          </w:p>
        </w:tc>
        <w:tc>
          <w:tcPr>
            <w:tcW w:w="1735" w:type="pct"/>
            <w:vAlign w:val="center"/>
            <w:textDirection w:val="lrTb"/>
            <w:noWrap w:val="false"/>
          </w:tcPr>
          <w:p>
            <w:pPr>
              <w:jc w:val="center"/>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联系地址</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联系电话</w:t>
            </w:r>
            <w:r/>
          </w:p>
        </w:tc>
        <w:tc>
          <w:tcPr>
            <w:tcW w:w="1735" w:type="pct"/>
            <w:vAlign w:val="center"/>
            <w:textDirection w:val="lrTb"/>
            <w:noWrap w:val="false"/>
          </w:tcPr>
          <w:p>
            <w:pPr>
              <w:jc w:val="center"/>
            </w:pPr>
            <w:r/>
            <w:r/>
          </w:p>
        </w:tc>
      </w:tr>
      <w:tr>
        <w:trPr>
          <w:trHeight w:val="5560"/>
        </w:trPr>
        <w:tc>
          <w:tcPr>
            <w:tcW w:w="1118" w:type="pct"/>
            <w:vAlign w:val="center"/>
            <w:textDirection w:val="lrTb"/>
            <w:noWrap w:val="false"/>
          </w:tcPr>
          <w:p>
            <w:pPr>
              <w:jc w:val="center"/>
              <w:rPr>
                <w:sz w:val="24"/>
                <w:szCs w:val="32"/>
              </w:rPr>
            </w:pPr>
            <w:r>
              <w:rPr>
                <w:rFonts w:hint="eastAsia"/>
                <w:sz w:val="24"/>
                <w:szCs w:val="32"/>
              </w:rPr>
              <w:t xml:space="preserve">信用承诺</w:t>
            </w:r>
            <w:r/>
          </w:p>
        </w:tc>
        <w:tc>
          <w:tcPr>
            <w:gridSpan w:val="3"/>
            <w:tcW w:w="3881" w:type="pct"/>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794" w:footer="102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27</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pPr>
    <w:r>
      <w:rPr>
        <w:rFonts w:hint="eastAsia"/>
        <w:sz w:val="21"/>
        <w:szCs w:val="21"/>
      </w:rPr>
      <w:t xml:space="preserve">紫金山实验室边缘分布式基带处理单元采购项目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Bdr>
        <w:bottom w:val="single" w:color="auto" w:sz="4" w:space="0"/>
      </w:pBdr>
    </w:pPr>
    <w:r>
      <w:rPr>
        <w:rFonts w:hint="eastAsia"/>
        <w:sz w:val="21"/>
      </w:rPr>
      <w:t xml:space="preserve">紫金山实验室边缘分布式基带处理单元采购项目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87"/>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8"/>
    <w:link w:val="885"/>
    <w:uiPriority w:val="9"/>
    <w:rPr>
      <w:rFonts w:ascii="Arial" w:hAnsi="Arial" w:eastAsia="Arial" w:cs="Arial"/>
      <w:sz w:val="40"/>
      <w:szCs w:val="40"/>
    </w:rPr>
  </w:style>
  <w:style w:type="character" w:styleId="719">
    <w:name w:val="Heading 2 Char"/>
    <w:basedOn w:val="888"/>
    <w:link w:val="886"/>
    <w:uiPriority w:val="9"/>
    <w:rPr>
      <w:rFonts w:ascii="Arial" w:hAnsi="Arial" w:eastAsia="Arial" w:cs="Arial"/>
      <w:sz w:val="34"/>
    </w:rPr>
  </w:style>
  <w:style w:type="character" w:styleId="720">
    <w:name w:val="Heading 3 Char"/>
    <w:basedOn w:val="888"/>
    <w:link w:val="887"/>
    <w:uiPriority w:val="9"/>
    <w:rPr>
      <w:rFonts w:ascii="Arial" w:hAnsi="Arial" w:eastAsia="Arial" w:cs="Arial"/>
      <w:sz w:val="30"/>
      <w:szCs w:val="30"/>
    </w:rPr>
  </w:style>
  <w:style w:type="paragraph" w:styleId="721">
    <w:name w:val="Heading 4"/>
    <w:basedOn w:val="884"/>
    <w:next w:val="884"/>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basedOn w:val="888"/>
    <w:link w:val="721"/>
    <w:uiPriority w:val="9"/>
    <w:rPr>
      <w:rFonts w:ascii="Arial" w:hAnsi="Arial" w:eastAsia="Arial" w:cs="Arial"/>
      <w:b/>
      <w:bCs/>
      <w:sz w:val="26"/>
      <w:szCs w:val="26"/>
    </w:rPr>
  </w:style>
  <w:style w:type="paragraph" w:styleId="723">
    <w:name w:val="Heading 5"/>
    <w:basedOn w:val="884"/>
    <w:next w:val="884"/>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88"/>
    <w:link w:val="723"/>
    <w:uiPriority w:val="9"/>
    <w:rPr>
      <w:rFonts w:ascii="Arial" w:hAnsi="Arial" w:eastAsia="Arial" w:cs="Arial"/>
      <w:b/>
      <w:bCs/>
      <w:sz w:val="24"/>
      <w:szCs w:val="24"/>
    </w:rPr>
  </w:style>
  <w:style w:type="paragraph" w:styleId="725">
    <w:name w:val="Heading 6"/>
    <w:basedOn w:val="884"/>
    <w:next w:val="884"/>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88"/>
    <w:link w:val="725"/>
    <w:uiPriority w:val="9"/>
    <w:rPr>
      <w:rFonts w:ascii="Arial" w:hAnsi="Arial" w:eastAsia="Arial" w:cs="Arial"/>
      <w:b/>
      <w:bCs/>
      <w:sz w:val="22"/>
      <w:szCs w:val="22"/>
    </w:rPr>
  </w:style>
  <w:style w:type="paragraph" w:styleId="727">
    <w:name w:val="Heading 7"/>
    <w:basedOn w:val="884"/>
    <w:next w:val="884"/>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88"/>
    <w:link w:val="727"/>
    <w:uiPriority w:val="9"/>
    <w:rPr>
      <w:rFonts w:ascii="Arial" w:hAnsi="Arial" w:eastAsia="Arial" w:cs="Arial"/>
      <w:b/>
      <w:bCs/>
      <w:i/>
      <w:iCs/>
      <w:sz w:val="22"/>
      <w:szCs w:val="22"/>
    </w:rPr>
  </w:style>
  <w:style w:type="paragraph" w:styleId="729">
    <w:name w:val="Heading 8"/>
    <w:basedOn w:val="884"/>
    <w:next w:val="884"/>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88"/>
    <w:link w:val="729"/>
    <w:uiPriority w:val="9"/>
    <w:rPr>
      <w:rFonts w:ascii="Arial" w:hAnsi="Arial" w:eastAsia="Arial" w:cs="Arial"/>
      <w:i/>
      <w:iCs/>
      <w:sz w:val="22"/>
      <w:szCs w:val="22"/>
    </w:rPr>
  </w:style>
  <w:style w:type="paragraph" w:styleId="731">
    <w:name w:val="Heading 9"/>
    <w:basedOn w:val="884"/>
    <w:next w:val="884"/>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88"/>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88"/>
    <w:link w:val="912"/>
    <w:uiPriority w:val="10"/>
    <w:rPr>
      <w:sz w:val="48"/>
      <w:szCs w:val="48"/>
    </w:rPr>
  </w:style>
  <w:style w:type="paragraph" w:styleId="735">
    <w:name w:val="Subtitle"/>
    <w:basedOn w:val="884"/>
    <w:next w:val="884"/>
    <w:link w:val="736"/>
    <w:uiPriority w:val="11"/>
    <w:qFormat/>
    <w:pPr>
      <w:spacing w:before="200" w:after="200"/>
    </w:pPr>
    <w:rPr>
      <w:sz w:val="24"/>
      <w:szCs w:val="24"/>
    </w:rPr>
  </w:style>
  <w:style w:type="character" w:styleId="736">
    <w:name w:val="Subtitle Char"/>
    <w:basedOn w:val="888"/>
    <w:link w:val="735"/>
    <w:uiPriority w:val="11"/>
    <w:rPr>
      <w:sz w:val="24"/>
      <w:szCs w:val="24"/>
    </w:rPr>
  </w:style>
  <w:style w:type="paragraph" w:styleId="737">
    <w:name w:val="Quote"/>
    <w:basedOn w:val="884"/>
    <w:next w:val="884"/>
    <w:link w:val="738"/>
    <w:uiPriority w:val="29"/>
    <w:qFormat/>
    <w:pPr>
      <w:ind w:left="720" w:right="720"/>
    </w:pPr>
    <w:rPr>
      <w:i/>
    </w:rPr>
  </w:style>
  <w:style w:type="character" w:styleId="738">
    <w:name w:val="Quote Char"/>
    <w:link w:val="737"/>
    <w:uiPriority w:val="29"/>
    <w:rPr>
      <w:i/>
    </w:rPr>
  </w:style>
  <w:style w:type="paragraph" w:styleId="739">
    <w:name w:val="Intense Quote"/>
    <w:basedOn w:val="884"/>
    <w:next w:val="884"/>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88"/>
    <w:link w:val="907"/>
    <w:uiPriority w:val="99"/>
  </w:style>
  <w:style w:type="character" w:styleId="742">
    <w:name w:val="Footer Char"/>
    <w:basedOn w:val="888"/>
    <w:link w:val="906"/>
    <w:uiPriority w:val="99"/>
  </w:style>
  <w:style w:type="paragraph" w:styleId="743">
    <w:name w:val="Caption"/>
    <w:basedOn w:val="884"/>
    <w:next w:val="884"/>
    <w:uiPriority w:val="35"/>
    <w:semiHidden/>
    <w:unhideWhenUsed/>
    <w:qFormat/>
    <w:pPr>
      <w:spacing w:line="276" w:lineRule="auto"/>
    </w:pPr>
    <w:rPr>
      <w:b/>
      <w:bCs/>
      <w:color w:val="4f81bd" w:themeColor="accent1"/>
      <w:sz w:val="18"/>
      <w:szCs w:val="18"/>
    </w:rPr>
  </w:style>
  <w:style w:type="character" w:styleId="744">
    <w:name w:val="Caption Char"/>
    <w:basedOn w:val="743"/>
    <w:link w:val="906"/>
    <w:uiPriority w:val="99"/>
  </w:style>
  <w:style w:type="table" w:styleId="745">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1">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5">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3">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0">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7">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7">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1">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4">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5">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6">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7">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8">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9">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84"/>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8"/>
    <w:uiPriority w:val="99"/>
    <w:unhideWhenUsed/>
    <w:rPr>
      <w:vertAlign w:val="superscript"/>
    </w:rPr>
  </w:style>
  <w:style w:type="paragraph" w:styleId="873">
    <w:name w:val="endnote text"/>
    <w:basedOn w:val="884"/>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8"/>
    <w:uiPriority w:val="99"/>
    <w:semiHidden/>
    <w:unhideWhenUsed/>
    <w:rPr>
      <w:vertAlign w:val="superscript"/>
    </w:r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5">
    <w:name w:val="Heading 1"/>
    <w:basedOn w:val="884"/>
    <w:next w:val="884"/>
    <w:link w:val="953"/>
    <w:uiPriority w:val="9"/>
    <w:qFormat/>
    <w:pPr>
      <w:keepLines/>
      <w:keepNext/>
      <w:spacing w:before="340" w:after="330" w:line="578" w:lineRule="auto"/>
      <w:outlineLvl w:val="0"/>
    </w:pPr>
    <w:rPr>
      <w:b/>
      <w:bCs/>
      <w:sz w:val="44"/>
      <w:szCs w:val="44"/>
    </w:rPr>
  </w:style>
  <w:style w:type="paragraph" w:styleId="886">
    <w:name w:val="Heading 2"/>
    <w:basedOn w:val="884"/>
    <w:next w:val="884"/>
    <w:link w:val="1003"/>
    <w:uiPriority w:val="0"/>
    <w:qFormat/>
    <w:pPr>
      <w:keepLines/>
      <w:keepNext/>
      <w:spacing w:before="260" w:after="260" w:line="415" w:lineRule="auto"/>
      <w:outlineLvl w:val="1"/>
    </w:pPr>
    <w:rPr>
      <w:rFonts w:ascii="Arial" w:hAnsi="Arial" w:eastAsia="黑体" w:cs="Arial"/>
      <w:b/>
      <w:bCs/>
      <w:sz w:val="32"/>
      <w:szCs w:val="32"/>
    </w:rPr>
  </w:style>
  <w:style w:type="paragraph" w:styleId="887">
    <w:name w:val="Heading 3"/>
    <w:basedOn w:val="884"/>
    <w:next w:val="884"/>
    <w:link w:val="952"/>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customStyle="1">
    <w:name w:val="正文文本缩进1"/>
    <w:basedOn w:val="884"/>
    <w:next w:val="891"/>
    <w:uiPriority w:val="0"/>
    <w:unhideWhenUsed/>
    <w:qFormat/>
    <w:pPr>
      <w:ind w:left="420"/>
      <w:spacing w:after="120"/>
    </w:pPr>
  </w:style>
  <w:style w:type="paragraph" w:styleId="891" w:customStyle="1">
    <w:name w:val="正文首行缩进 21"/>
    <w:basedOn w:val="890"/>
    <w:uiPriority w:val="0"/>
    <w:qFormat/>
    <w:pPr>
      <w:ind w:left="0" w:firstLine="420"/>
      <w:spacing w:after="0" w:line="360" w:lineRule="auto"/>
    </w:pPr>
    <w:rPr>
      <w:rFonts w:ascii="宋体" w:hAnsi="宋体"/>
      <w:sz w:val="20"/>
      <w:szCs w:val="20"/>
      <w:lang w:eastAsia="en-US"/>
    </w:rPr>
  </w:style>
  <w:style w:type="paragraph" w:styleId="892">
    <w:name w:val="List Number 2"/>
    <w:basedOn w:val="88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3">
    <w:name w:val="Normal Indent"/>
    <w:basedOn w:val="884"/>
    <w:uiPriority w:val="0"/>
    <w:qFormat/>
    <w:pPr>
      <w:ind w:firstLine="420"/>
    </w:pPr>
    <w:rPr>
      <w:rFonts w:ascii="Times New Roman" w:hAnsi="Times New Roman" w:eastAsia="宋体" w:cs="Times New Roman"/>
      <w:szCs w:val="20"/>
    </w:rPr>
  </w:style>
  <w:style w:type="paragraph" w:styleId="894">
    <w:name w:val="Document Map"/>
    <w:basedOn w:val="884"/>
    <w:link w:val="989"/>
    <w:uiPriority w:val="99"/>
    <w:semiHidden/>
    <w:unhideWhenUsed/>
    <w:qFormat/>
    <w:pPr>
      <w:shd w:val="clear" w:color="auto" w:fill="000080"/>
    </w:pPr>
  </w:style>
  <w:style w:type="paragraph" w:styleId="895">
    <w:name w:val="annotation text"/>
    <w:basedOn w:val="884"/>
    <w:link w:val="956"/>
    <w:uiPriority w:val="99"/>
    <w:qFormat/>
    <w:pPr>
      <w:jc w:val="left"/>
    </w:pPr>
    <w:rPr>
      <w:rFonts w:ascii="Times New Roman" w:hAnsi="Times New Roman" w:eastAsia="宋体" w:cs="Times New Roman"/>
      <w:szCs w:val="20"/>
    </w:rPr>
  </w:style>
  <w:style w:type="paragraph" w:styleId="896">
    <w:name w:val="Body Text 3"/>
    <w:basedOn w:val="884"/>
    <w:link w:val="933"/>
    <w:uiPriority w:val="0"/>
    <w:qFormat/>
    <w:pPr>
      <w:spacing w:after="120"/>
    </w:pPr>
    <w:rPr>
      <w:rFonts w:ascii="Times New Roman" w:hAnsi="Times New Roman" w:eastAsia="宋体" w:cs="Times New Roman"/>
      <w:sz w:val="16"/>
      <w:szCs w:val="16"/>
    </w:rPr>
  </w:style>
  <w:style w:type="paragraph" w:styleId="897">
    <w:name w:val="List Bullet 3"/>
    <w:basedOn w:val="88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8">
    <w:name w:val="Body Text"/>
    <w:basedOn w:val="884"/>
    <w:link w:val="936"/>
    <w:uiPriority w:val="99"/>
    <w:unhideWhenUsed/>
    <w:qFormat/>
    <w:pPr>
      <w:spacing w:after="120"/>
    </w:pPr>
  </w:style>
  <w:style w:type="paragraph" w:styleId="899">
    <w:name w:val="Body Text Indent"/>
    <w:basedOn w:val="884"/>
    <w:next w:val="900"/>
    <w:link w:val="926"/>
    <w:uiPriority w:val="0"/>
    <w:qFormat/>
    <w:pPr>
      <w:ind w:left="900"/>
      <w:spacing w:after="120" w:line="360" w:lineRule="atLeast"/>
    </w:pPr>
    <w:rPr>
      <w:rFonts w:ascii="楷体_GB2312" w:hAnsi="Times New Roman" w:eastAsia="楷体_GB2312" w:cs="Times New Roman"/>
      <w:sz w:val="28"/>
      <w:szCs w:val="20"/>
    </w:rPr>
  </w:style>
  <w:style w:type="paragraph" w:styleId="900">
    <w:name w:val="envelope return"/>
    <w:basedOn w:val="884"/>
    <w:uiPriority w:val="0"/>
    <w:qFormat/>
    <w:rPr>
      <w:rFonts w:ascii="Arial" w:hAnsi="Arial" w:eastAsia="宋体" w:cs="宋体"/>
    </w:rPr>
  </w:style>
  <w:style w:type="paragraph" w:styleId="901">
    <w:name w:val="index 4"/>
    <w:basedOn w:val="884"/>
    <w:next w:val="884"/>
    <w:uiPriority w:val="99"/>
    <w:semiHidden/>
    <w:unhideWhenUsed/>
    <w:qFormat/>
    <w:pPr>
      <w:ind w:left="600"/>
    </w:pPr>
  </w:style>
  <w:style w:type="paragraph" w:styleId="902">
    <w:name w:val="toc 3"/>
    <w:basedOn w:val="884"/>
    <w:next w:val="884"/>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03">
    <w:name w:val="Plain Text"/>
    <w:basedOn w:val="884"/>
    <w:link w:val="929"/>
    <w:uiPriority w:val="99"/>
    <w:qFormat/>
    <w:rPr>
      <w:rFonts w:ascii="宋体" w:hAnsi="Courier New" w:eastAsia="宋体" w:cs="Times New Roman"/>
      <w:szCs w:val="20"/>
    </w:rPr>
  </w:style>
  <w:style w:type="paragraph" w:styleId="904">
    <w:name w:val="Date"/>
    <w:basedOn w:val="884"/>
    <w:next w:val="884"/>
    <w:link w:val="931"/>
    <w:uiPriority w:val="99"/>
    <w:unhideWhenUsed/>
    <w:qFormat/>
    <w:pPr>
      <w:ind w:left="100"/>
    </w:pPr>
  </w:style>
  <w:style w:type="paragraph" w:styleId="905">
    <w:name w:val="Balloon Text"/>
    <w:basedOn w:val="884"/>
    <w:link w:val="930"/>
    <w:uiPriority w:val="99"/>
    <w:unhideWhenUsed/>
    <w:qFormat/>
    <w:rPr>
      <w:sz w:val="18"/>
      <w:szCs w:val="18"/>
    </w:rPr>
  </w:style>
  <w:style w:type="paragraph" w:styleId="906">
    <w:name w:val="Footer"/>
    <w:basedOn w:val="884"/>
    <w:link w:val="922"/>
    <w:uiPriority w:val="99"/>
    <w:unhideWhenUsed/>
    <w:qFormat/>
    <w:pPr>
      <w:jc w:val="left"/>
      <w:tabs>
        <w:tab w:val="center" w:pos="4153" w:leader="none"/>
        <w:tab w:val="right" w:pos="8306" w:leader="none"/>
      </w:tabs>
    </w:pPr>
    <w:rPr>
      <w:sz w:val="18"/>
      <w:szCs w:val="18"/>
    </w:rPr>
  </w:style>
  <w:style w:type="paragraph" w:styleId="907">
    <w:name w:val="Header"/>
    <w:basedOn w:val="884"/>
    <w:link w:val="9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84"/>
    <w:next w:val="884"/>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09">
    <w:name w:val="toc 2"/>
    <w:basedOn w:val="884"/>
    <w:next w:val="884"/>
    <w:uiPriority w:val="39"/>
    <w:unhideWhenUsed/>
    <w:qFormat/>
    <w:pPr>
      <w:ind w:left="221"/>
      <w:jc w:val="left"/>
      <w:spacing w:line="360" w:lineRule="auto"/>
      <w:widowControl/>
    </w:pPr>
    <w:rPr>
      <w:rFonts w:ascii="Times New Roman" w:hAnsi="Times New Roman" w:eastAsia="宋体" w:cs="Times New Roman"/>
      <w:sz w:val="22"/>
    </w:rPr>
  </w:style>
  <w:style w:type="paragraph" w:styleId="910">
    <w:name w:val="HTML Preformatted"/>
    <w:basedOn w:val="884"/>
    <w:link w:val="962"/>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11">
    <w:name w:val="Normal (Web)"/>
    <w:basedOn w:val="88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12">
    <w:name w:val="Title"/>
    <w:basedOn w:val="884"/>
    <w:link w:val="990"/>
    <w:uiPriority w:val="10"/>
    <w:qFormat/>
    <w:pPr>
      <w:jc w:val="center"/>
      <w:spacing w:before="240" w:after="60"/>
      <w:outlineLvl w:val="0"/>
    </w:pPr>
    <w:rPr>
      <w:rFonts w:ascii="Arial" w:hAnsi="Arial"/>
      <w:b/>
      <w:sz w:val="32"/>
    </w:rPr>
  </w:style>
  <w:style w:type="paragraph" w:styleId="913">
    <w:name w:val="annotation subject"/>
    <w:basedOn w:val="895"/>
    <w:next w:val="895"/>
    <w:link w:val="940"/>
    <w:uiPriority w:val="99"/>
    <w:unhideWhenUsed/>
    <w:qFormat/>
    <w:rPr>
      <w:rFonts w:asciiTheme="minorHAnsi" w:hAnsiTheme="minorHAnsi" w:eastAsiaTheme="minorEastAsia" w:cstheme="minorBidi"/>
      <w:b/>
      <w:bCs/>
      <w:szCs w:val="22"/>
    </w:rPr>
  </w:style>
  <w:style w:type="paragraph" w:styleId="914">
    <w:name w:val="Body Text First Indent 2"/>
    <w:basedOn w:val="899"/>
    <w:next w:val="884"/>
    <w:uiPriority w:val="99"/>
    <w:qFormat/>
    <w:pPr>
      <w:ind w:left="420" w:firstLine="420"/>
    </w:pPr>
    <w:rPr>
      <w:rFonts w:ascii="Times New Roman" w:eastAsia="宋体"/>
      <w:szCs w:val="21"/>
    </w:rPr>
  </w:style>
  <w:style w:type="table" w:styleId="915">
    <w:name w:val="Table Grid"/>
    <w:basedOn w:val="889"/>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16">
    <w:name w:val="Strong"/>
    <w:uiPriority w:val="22"/>
    <w:qFormat/>
    <w:rPr>
      <w:b/>
      <w:bCs/>
    </w:rPr>
  </w:style>
  <w:style w:type="character" w:styleId="917">
    <w:name w:val="FollowedHyperlink"/>
    <w:basedOn w:val="888"/>
    <w:uiPriority w:val="99"/>
    <w:unhideWhenUsed/>
    <w:qFormat/>
    <w:rPr>
      <w:color w:val="333333"/>
      <w:u w:val="none"/>
    </w:rPr>
  </w:style>
  <w:style w:type="character" w:styleId="918">
    <w:name w:val="Emphasis"/>
    <w:basedOn w:val="888"/>
    <w:uiPriority w:val="20"/>
    <w:qFormat/>
  </w:style>
  <w:style w:type="character" w:styleId="919">
    <w:name w:val="Hyperlink"/>
    <w:basedOn w:val="888"/>
    <w:uiPriority w:val="99"/>
    <w:unhideWhenUsed/>
    <w:qFormat/>
    <w:rPr>
      <w:color w:val="0563c1" w:themeColor="hyperlink"/>
      <w:u w:val="single"/>
      <w14:textFill>
        <w14:solidFill>
          <w14:schemeClr w14:val="hlink"/>
        </w14:solidFill>
      </w14:textFill>
    </w:rPr>
  </w:style>
  <w:style w:type="character" w:styleId="920">
    <w:name w:val="annotation reference"/>
    <w:basedOn w:val="888"/>
    <w:uiPriority w:val="99"/>
    <w:qFormat/>
    <w:rPr>
      <w:sz w:val="21"/>
      <w:szCs w:val="21"/>
    </w:rPr>
  </w:style>
  <w:style w:type="character" w:styleId="921" w:customStyle="1">
    <w:name w:val="页眉 字符"/>
    <w:basedOn w:val="888"/>
    <w:link w:val="907"/>
    <w:uiPriority w:val="99"/>
    <w:qFormat/>
    <w:rPr>
      <w:sz w:val="18"/>
      <w:szCs w:val="18"/>
    </w:rPr>
  </w:style>
  <w:style w:type="character" w:styleId="922" w:customStyle="1">
    <w:name w:val="页脚 字符"/>
    <w:basedOn w:val="888"/>
    <w:link w:val="906"/>
    <w:uiPriority w:val="99"/>
    <w:qFormat/>
    <w:rPr>
      <w:sz w:val="18"/>
      <w:szCs w:val="18"/>
    </w:rPr>
  </w:style>
  <w:style w:type="character" w:styleId="923" w:customStyle="1">
    <w:name w:val="标题 1 Char"/>
    <w:basedOn w:val="888"/>
    <w:uiPriority w:val="9"/>
    <w:qFormat/>
    <w:rPr>
      <w:b/>
      <w:bCs/>
      <w:sz w:val="44"/>
      <w:szCs w:val="44"/>
    </w:rPr>
  </w:style>
  <w:style w:type="paragraph" w:styleId="924" w:customStyle="1">
    <w:name w:val="TOC 标题1"/>
    <w:basedOn w:val="885"/>
    <w:next w:val="88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25" w:customStyle="1">
    <w:name w:val="列出段落1"/>
    <w:basedOn w:val="884"/>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26" w:customStyle="1">
    <w:name w:val="正文文本缩进 字符"/>
    <w:basedOn w:val="888"/>
    <w:link w:val="899"/>
    <w:uiPriority w:val="0"/>
    <w:qFormat/>
    <w:rPr>
      <w:rFonts w:ascii="楷体_GB2312" w:hAnsi="Times New Roman" w:eastAsia="楷体_GB2312" w:cs="Times New Roman"/>
      <w:sz w:val="28"/>
      <w:szCs w:val="20"/>
    </w:rPr>
  </w:style>
  <w:style w:type="paragraph" w:styleId="927" w:customStyle="1">
    <w:name w:val="蓝色显示"/>
    <w:basedOn w:val="884"/>
    <w:link w:val="928"/>
    <w:uiPriority w:val="0"/>
    <w:qFormat/>
    <w:pPr>
      <w:spacing w:before="340" w:after="330" w:line="400" w:lineRule="exact"/>
    </w:pPr>
    <w:rPr>
      <w:rFonts w:ascii="Times New Roman" w:hAnsi="Times New Roman" w:eastAsia="宋体" w:cs="Times New Roman"/>
      <w:b/>
      <w:color w:val="0070c0"/>
      <w:szCs w:val="24"/>
    </w:rPr>
  </w:style>
  <w:style w:type="character" w:styleId="928" w:customStyle="1">
    <w:name w:val="蓝色显示 Char"/>
    <w:link w:val="927"/>
    <w:uiPriority w:val="0"/>
    <w:qFormat/>
    <w:rPr>
      <w:rFonts w:ascii="Times New Roman" w:hAnsi="Times New Roman" w:eastAsia="宋体" w:cs="Times New Roman"/>
      <w:b/>
      <w:color w:val="0070c0"/>
      <w:szCs w:val="24"/>
    </w:rPr>
  </w:style>
  <w:style w:type="character" w:styleId="929" w:customStyle="1">
    <w:name w:val="纯文本 字符"/>
    <w:basedOn w:val="888"/>
    <w:link w:val="903"/>
    <w:uiPriority w:val="0"/>
    <w:qFormat/>
    <w:rPr>
      <w:rFonts w:ascii="宋体" w:hAnsi="Courier New" w:eastAsia="宋体" w:cs="Times New Roman"/>
      <w:szCs w:val="20"/>
    </w:rPr>
  </w:style>
  <w:style w:type="character" w:styleId="930" w:customStyle="1">
    <w:name w:val="批注框文本 字符"/>
    <w:basedOn w:val="888"/>
    <w:link w:val="905"/>
    <w:uiPriority w:val="99"/>
    <w:semiHidden/>
    <w:qFormat/>
    <w:rPr>
      <w:sz w:val="18"/>
      <w:szCs w:val="18"/>
    </w:rPr>
  </w:style>
  <w:style w:type="character" w:styleId="931" w:customStyle="1">
    <w:name w:val="日期 字符"/>
    <w:basedOn w:val="888"/>
    <w:link w:val="904"/>
    <w:uiPriority w:val="99"/>
    <w:semiHidden/>
    <w:qFormat/>
  </w:style>
  <w:style w:type="character" w:styleId="932" w:customStyle="1">
    <w:name w:val="批注文字 Char"/>
    <w:basedOn w:val="888"/>
    <w:uiPriority w:val="99"/>
    <w:qFormat/>
    <w:rPr>
      <w:rFonts w:ascii="Times New Roman" w:hAnsi="Times New Roman" w:eastAsia="宋体" w:cs="Times New Roman"/>
      <w:szCs w:val="20"/>
    </w:rPr>
  </w:style>
  <w:style w:type="character" w:styleId="933" w:customStyle="1">
    <w:name w:val="正文文本 3 字符"/>
    <w:basedOn w:val="888"/>
    <w:link w:val="896"/>
    <w:uiPriority w:val="0"/>
    <w:qFormat/>
    <w:rPr>
      <w:rFonts w:ascii="Times New Roman" w:hAnsi="Times New Roman" w:eastAsia="宋体" w:cs="Times New Roman"/>
      <w:sz w:val="16"/>
      <w:szCs w:val="16"/>
    </w:rPr>
  </w:style>
  <w:style w:type="paragraph" w:styleId="934" w:customStyle="1">
    <w:name w:val="正文00"/>
    <w:basedOn w:val="884"/>
    <w:uiPriority w:val="0"/>
    <w:qFormat/>
    <w:pPr>
      <w:ind w:firstLine="200"/>
      <w:spacing w:line="360" w:lineRule="auto"/>
    </w:pPr>
    <w:rPr>
      <w:rFonts w:ascii="Times New Roman" w:hAnsi="Times New Roman" w:eastAsia="宋体" w:cs="Times New Roman"/>
      <w:sz w:val="24"/>
      <w:szCs w:val="21"/>
    </w:rPr>
  </w:style>
  <w:style w:type="paragraph" w:styleId="935" w:customStyle="1">
    <w:name w:val="普通正文"/>
    <w:basedOn w:val="884"/>
    <w:uiPriority w:val="0"/>
    <w:qFormat/>
    <w:pPr>
      <w:ind w:firstLine="480"/>
      <w:jc w:val="left"/>
      <w:spacing w:before="120" w:after="120" w:line="360" w:lineRule="auto"/>
      <w:widowControl/>
    </w:pPr>
    <w:rPr>
      <w:rFonts w:ascii="Arial" w:hAnsi="Arial" w:eastAsia="宋体" w:cs="宋体"/>
      <w:sz w:val="24"/>
      <w:szCs w:val="24"/>
    </w:rPr>
  </w:style>
  <w:style w:type="character" w:styleId="936" w:customStyle="1">
    <w:name w:val="正文文本 字符"/>
    <w:basedOn w:val="888"/>
    <w:link w:val="898"/>
    <w:uiPriority w:val="0"/>
    <w:qFormat/>
  </w:style>
  <w:style w:type="paragraph" w:styleId="937" w:customStyle="1">
    <w:name w:val="Default"/>
    <w:uiPriority w:val="0"/>
    <w:qFormat/>
    <w:rPr>
      <w:rFonts w:ascii="宋体" w:hAnsi="Times New Roman" w:eastAsia="宋体" w:cs="宋体"/>
      <w:color w:val="000000"/>
      <w:sz w:val="24"/>
      <w:szCs w:val="24"/>
      <w:lang w:val="en-US" w:eastAsia="zh-CN" w:bidi="ar-SA"/>
    </w:rPr>
  </w:style>
  <w:style w:type="paragraph" w:styleId="938" w:customStyle="1">
    <w:name w:val="Table Paragraph"/>
    <w:basedOn w:val="884"/>
    <w:uiPriority w:val="1"/>
    <w:qFormat/>
    <w:pPr>
      <w:jc w:val="left"/>
    </w:pPr>
    <w:rPr>
      <w:rFonts w:ascii="Times New Roman" w:hAnsi="Times New Roman" w:eastAsia="宋体" w:cs="Times New Roman"/>
      <w:sz w:val="24"/>
      <w:szCs w:val="24"/>
    </w:rPr>
  </w:style>
  <w:style w:type="paragraph" w:styleId="939" w:customStyle="1">
    <w:name w:val="_Style 20"/>
    <w:basedOn w:val="884"/>
    <w:next w:val="925"/>
    <w:uiPriority w:val="34"/>
    <w:qFormat/>
    <w:pPr>
      <w:ind w:firstLine="420"/>
    </w:pPr>
    <w:rPr>
      <w:rFonts w:ascii="Times New Roman" w:hAnsi="Times New Roman" w:eastAsia="宋体" w:cs="Times New Roman"/>
      <w:szCs w:val="21"/>
    </w:rPr>
  </w:style>
  <w:style w:type="character" w:styleId="940" w:customStyle="1">
    <w:name w:val="批注主题 字符"/>
    <w:basedOn w:val="932"/>
    <w:link w:val="913"/>
    <w:uiPriority w:val="99"/>
    <w:semiHidden/>
    <w:qFormat/>
    <w:rPr>
      <w:rFonts w:ascii="Times New Roman" w:hAnsi="Times New Roman" w:eastAsia="宋体" w:cs="Times New Roman"/>
      <w:b/>
      <w:bCs/>
      <w:sz w:val="21"/>
      <w:szCs w:val="22"/>
    </w:rPr>
  </w:style>
  <w:style w:type="paragraph" w:styleId="941" w:customStyle="1">
    <w:name w:val="_Style 6"/>
    <w:basedOn w:val="884"/>
    <w:uiPriority w:val="34"/>
    <w:qFormat/>
    <w:pPr>
      <w:ind w:firstLine="420"/>
      <w:widowControl/>
    </w:pPr>
    <w:rPr>
      <w:rFonts w:ascii="Calibri" w:hAnsi="Calibri"/>
      <w:sz w:val="34"/>
      <w:szCs w:val="21"/>
    </w:rPr>
  </w:style>
  <w:style w:type="paragraph" w:styleId="942" w:customStyle="1">
    <w:name w:val="列出段落11"/>
    <w:basedOn w:val="884"/>
    <w:uiPriority w:val="99"/>
    <w:qFormat/>
    <w:pPr>
      <w:contextualSpacing/>
      <w:ind w:left="720"/>
    </w:pPr>
    <w:rPr>
      <w:rFonts w:ascii="黑体" w:hAnsi="黑体" w:eastAsia="Arial" w:cs="黑体"/>
      <w:szCs w:val="21"/>
    </w:rPr>
  </w:style>
  <w:style w:type="character" w:styleId="943" w:customStyle="1">
    <w:name w:val="bsharetext"/>
    <w:basedOn w:val="888"/>
    <w:uiPriority w:val="0"/>
    <w:qFormat/>
  </w:style>
  <w:style w:type="character" w:styleId="944" w:customStyle="1">
    <w:name w:val="active2"/>
    <w:basedOn w:val="888"/>
    <w:uiPriority w:val="0"/>
    <w:qFormat/>
    <w:rPr>
      <w:shd w:val="clear" w:color="auto" w:fill="0162b1"/>
    </w:rPr>
  </w:style>
  <w:style w:type="character" w:styleId="945" w:customStyle="1">
    <w:name w:val="add3"/>
    <w:basedOn w:val="888"/>
    <w:uiPriority w:val="0"/>
    <w:qFormat/>
  </w:style>
  <w:style w:type="paragraph" w:styleId="946">
    <w:name w:val="List Paragraph"/>
    <w:basedOn w:val="884"/>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47" w:customStyle="1">
    <w:name w:val="fontstyle01"/>
    <w:uiPriority w:val="0"/>
    <w:qFormat/>
    <w:rPr>
      <w:rFonts w:hint="eastAsia" w:ascii="宋体" w:hAnsi="宋体" w:eastAsia="宋体"/>
      <w:color w:val="000000"/>
      <w:sz w:val="24"/>
      <w:szCs w:val="24"/>
    </w:rPr>
  </w:style>
  <w:style w:type="character" w:styleId="948" w:customStyle="1">
    <w:name w:val="fontstyle21"/>
    <w:uiPriority w:val="0"/>
    <w:qFormat/>
    <w:rPr>
      <w:rFonts w:hint="default" w:ascii="Times New Roman" w:hAnsi="Times New Roman" w:cs="Times New Roman"/>
      <w:color w:val="000000"/>
      <w:sz w:val="24"/>
      <w:szCs w:val="24"/>
    </w:rPr>
  </w:style>
  <w:style w:type="paragraph" w:styleId="949"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50" w:customStyle="1">
    <w:name w:val="表格中文字（dbapp）"/>
    <w:basedOn w:val="884"/>
    <w:uiPriority w:val="0"/>
    <w:qFormat/>
    <w:pPr>
      <w:jc w:val="left"/>
      <w:spacing w:before="20" w:after="20"/>
    </w:pPr>
    <w:rPr>
      <w:rFonts w:ascii="方正兰亭黑简体" w:hAnsi="方正兰亭黑简体" w:eastAsia="方正兰亭黑简体"/>
      <w:szCs w:val="21"/>
    </w:rPr>
  </w:style>
  <w:style w:type="paragraph" w:styleId="951" w:customStyle="1">
    <w:name w:val="msolistparagraph"/>
    <w:basedOn w:val="884"/>
    <w:uiPriority w:val="0"/>
    <w:qFormat/>
    <w:pPr>
      <w:ind w:firstLine="420"/>
    </w:pPr>
    <w:rPr>
      <w:rFonts w:ascii="Calibri" w:hAnsi="Calibri" w:eastAsia="宋体" w:cs="Times New Roman"/>
    </w:rPr>
  </w:style>
  <w:style w:type="character" w:styleId="952" w:customStyle="1">
    <w:name w:val="标题 3 字符1"/>
    <w:basedOn w:val="888"/>
    <w:link w:val="887"/>
    <w:uiPriority w:val="0"/>
    <w:qFormat/>
    <w:rPr>
      <w:b/>
      <w:bCs/>
      <w:sz w:val="32"/>
      <w:szCs w:val="32"/>
    </w:rPr>
  </w:style>
  <w:style w:type="character" w:styleId="953" w:customStyle="1">
    <w:name w:val="标题 1 字符1"/>
    <w:basedOn w:val="888"/>
    <w:link w:val="885"/>
    <w:uiPriority w:val="0"/>
    <w:qFormat/>
    <w:rPr>
      <w:b/>
      <w:bCs/>
      <w:sz w:val="32"/>
      <w:szCs w:val="44"/>
    </w:rPr>
  </w:style>
  <w:style w:type="character" w:styleId="954" w:customStyle="1">
    <w:name w:val="标题 2 字符1"/>
    <w:basedOn w:val="888"/>
    <w:uiPriority w:val="0"/>
    <w:qFormat/>
    <w:rPr>
      <w:rFonts w:hint="default" w:ascii="Cambria" w:hAnsi="Cambria" w:eastAsia="Cambria" w:cs="Cambria"/>
      <w:b/>
      <w:bCs/>
      <w:sz w:val="32"/>
      <w:szCs w:val="32"/>
    </w:rPr>
  </w:style>
  <w:style w:type="character" w:styleId="955" w:customStyle="1">
    <w:name w:val="批注文字 字符1"/>
    <w:basedOn w:val="888"/>
    <w:uiPriority w:val="0"/>
    <w:qFormat/>
    <w:rPr>
      <w:sz w:val="21"/>
      <w:szCs w:val="24"/>
    </w:rPr>
  </w:style>
  <w:style w:type="character" w:styleId="956" w:customStyle="1">
    <w:name w:val="批注文字 字符"/>
    <w:basedOn w:val="888"/>
    <w:link w:val="895"/>
    <w:uiPriority w:val="99"/>
    <w:qFormat/>
    <w:rPr>
      <w:sz w:val="21"/>
      <w:szCs w:val="24"/>
    </w:rPr>
  </w:style>
  <w:style w:type="paragraph" w:styleId="957"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58"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59"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60"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61"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62" w:customStyle="1">
    <w:name w:val="HTML 预设格式 字符"/>
    <w:basedOn w:val="888"/>
    <w:link w:val="910"/>
    <w:uiPriority w:val="0"/>
    <w:qFormat/>
    <w:rPr>
      <w:rFonts w:hint="eastAsia" w:ascii="宋体" w:hAnsi="宋体" w:eastAsia="宋体" w:cs="宋体"/>
      <w:sz w:val="24"/>
      <w:szCs w:val="24"/>
    </w:rPr>
  </w:style>
  <w:style w:type="paragraph" w:styleId="963"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64"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65"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67"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68"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69" w:customStyle="1">
    <w:name w:val="_正文段落 Char Char"/>
    <w:basedOn w:val="888"/>
    <w:uiPriority w:val="0"/>
    <w:qFormat/>
    <w:rPr>
      <w:sz w:val="24"/>
      <w:szCs w:val="24"/>
    </w:rPr>
  </w:style>
  <w:style w:type="paragraph" w:styleId="970" w:customStyle="1">
    <w:name w:val="正文段落样式"/>
    <w:basedOn w:val="884"/>
    <w:link w:val="972"/>
    <w:uiPriority w:val="0"/>
    <w:qFormat/>
    <w:pPr>
      <w:ind w:firstLine="420"/>
      <w:jc w:val="left"/>
      <w:spacing w:line="360" w:lineRule="auto"/>
    </w:pPr>
    <w:rPr>
      <w:rFonts w:hint="eastAsia" w:ascii="等线" w:hAnsi="等线" w:eastAsia="等线" w:cs="Times New Roman"/>
      <w:sz w:val="24"/>
      <w:szCs w:val="21"/>
    </w:rPr>
  </w:style>
  <w:style w:type="character" w:styleId="971" w:customStyle="1">
    <w:name w:val="列表段落 字符"/>
    <w:basedOn w:val="888"/>
    <w:uiPriority w:val="0"/>
    <w:qFormat/>
    <w:rPr>
      <w:rFonts w:hint="eastAsia" w:ascii="Arial Unicode MS" w:hAnsi="Arial Unicode MS" w:eastAsia="等线" w:cs="Arial Unicode MS"/>
      <w:color w:val="000000"/>
      <w:lang w:eastAsia="en-US"/>
    </w:rPr>
  </w:style>
  <w:style w:type="character" w:styleId="972" w:customStyle="1">
    <w:name w:val="正文段落样式 Char"/>
    <w:basedOn w:val="888"/>
    <w:link w:val="970"/>
    <w:uiPriority w:val="0"/>
    <w:qFormat/>
    <w:rPr>
      <w:rFonts w:hint="eastAsia" w:ascii="等线" w:hAnsi="等线" w:eastAsia="等线" w:cs="Times New Roman"/>
      <w:sz w:val="24"/>
      <w:szCs w:val="21"/>
    </w:rPr>
  </w:style>
  <w:style w:type="paragraph" w:styleId="973"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74"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75" w:customStyle="1">
    <w:name w:val="标题 6 字符"/>
    <w:basedOn w:val="888"/>
    <w:uiPriority w:val="0"/>
    <w:qFormat/>
    <w:rPr>
      <w:rFonts w:ascii="Arial" w:hAnsi="Arial" w:eastAsia="黑体" w:cs="Times New Roman"/>
      <w:sz w:val="22"/>
      <w:szCs w:val="20"/>
    </w:rPr>
  </w:style>
  <w:style w:type="character" w:styleId="976" w:customStyle="1">
    <w:name w:val="文档正文 Char"/>
    <w:basedOn w:val="888"/>
    <w:uiPriority w:val="0"/>
    <w:qFormat/>
    <w:rPr>
      <w:rFonts w:hint="default" w:ascii="Times New Roman" w:hAnsi="Times New Roman" w:eastAsia="宋体" w:cs="Times New Roman"/>
      <w:sz w:val="22"/>
      <w:szCs w:val="20"/>
    </w:rPr>
  </w:style>
  <w:style w:type="character" w:styleId="977" w:customStyle="1">
    <w:name w:val="标题 5 字符"/>
    <w:basedOn w:val="888"/>
    <w:uiPriority w:val="0"/>
    <w:qFormat/>
    <w:rPr>
      <w:rFonts w:hint="default" w:ascii="Times New Roman" w:hAnsi="Times New Roman" w:eastAsia="宋体" w:cs="Times New Roman"/>
      <w:sz w:val="28"/>
      <w:szCs w:val="20"/>
    </w:rPr>
  </w:style>
  <w:style w:type="character" w:styleId="978" w:customStyle="1">
    <w:name w:val="正文(首行缩进) Char"/>
    <w:basedOn w:val="888"/>
    <w:link w:val="979"/>
    <w:uiPriority w:val="0"/>
    <w:qFormat/>
    <w:rPr>
      <w:rFonts w:hint="default" w:ascii="Times New Roman" w:hAnsi="Times New Roman" w:eastAsia="宋体" w:cs="Times New Roman"/>
      <w:sz w:val="24"/>
      <w:szCs w:val="24"/>
    </w:rPr>
  </w:style>
  <w:style w:type="paragraph" w:styleId="979" w:customStyle="1">
    <w:name w:val="正文(首行缩进)"/>
    <w:basedOn w:val="884"/>
    <w:next w:val="884"/>
    <w:link w:val="978"/>
    <w:uiPriority w:val="0"/>
    <w:qFormat/>
    <w:pPr>
      <w:ind w:firstLine="480"/>
      <w:spacing w:line="360" w:lineRule="auto"/>
    </w:pPr>
    <w:rPr>
      <w:rFonts w:ascii="Times New Roman" w:hAnsi="Times New Roman" w:eastAsia="宋体" w:cs="Times New Roman"/>
      <w:sz w:val="24"/>
      <w:szCs w:val="24"/>
    </w:rPr>
  </w:style>
  <w:style w:type="character" w:styleId="980" w:customStyle="1">
    <w:name w:val="标题 4 字符"/>
    <w:basedOn w:val="888"/>
    <w:uiPriority w:val="0"/>
    <w:qFormat/>
    <w:rPr>
      <w:rFonts w:hint="eastAsia" w:ascii="宋体" w:hAnsi="宋体" w:eastAsia="宋体" w:cs="Times New Roman"/>
      <w:b/>
      <w:sz w:val="24"/>
      <w:szCs w:val="24"/>
    </w:rPr>
  </w:style>
  <w:style w:type="paragraph" w:styleId="981" w:customStyle="1">
    <w:name w:val="表格内容"/>
    <w:basedOn w:val="884"/>
    <w:uiPriority w:val="0"/>
    <w:qFormat/>
    <w:pPr>
      <w:ind w:left="420"/>
      <w:spacing w:before="156" w:after="156" w:line="300" w:lineRule="auto"/>
    </w:pPr>
    <w:rPr>
      <w:rFonts w:ascii="Times New Roman" w:hAnsi="Times New Roman" w:eastAsia="宋体" w:cs="Times New Roman"/>
      <w:sz w:val="18"/>
      <w:szCs w:val="24"/>
    </w:rPr>
  </w:style>
  <w:style w:type="character" w:styleId="982" w:customStyle="1">
    <w:name w:val="标题 3 字符"/>
    <w:basedOn w:val="888"/>
    <w:uiPriority w:val="0"/>
    <w:qFormat/>
    <w:rPr>
      <w:rFonts w:hint="eastAsia" w:ascii="宋体" w:hAnsi="宋体" w:eastAsia="宋体" w:cs="Times New Roman"/>
      <w:b/>
      <w:bCs/>
      <w:sz w:val="24"/>
      <w:szCs w:val="24"/>
    </w:rPr>
  </w:style>
  <w:style w:type="character" w:styleId="983" w:customStyle="1">
    <w:name w:val="标题 1 字符"/>
    <w:basedOn w:val="888"/>
    <w:uiPriority w:val="0"/>
    <w:qFormat/>
    <w:rPr>
      <w:rFonts w:hint="eastAsia" w:ascii="宋体" w:hAnsi="宋体" w:eastAsia="宋体" w:cs="Times New Roman"/>
      <w:b/>
      <w:bCs/>
      <w:sz w:val="36"/>
      <w:szCs w:val="36"/>
    </w:rPr>
  </w:style>
  <w:style w:type="character" w:styleId="984" w:customStyle="1">
    <w:name w:val="标题 9 字符"/>
    <w:basedOn w:val="888"/>
    <w:uiPriority w:val="0"/>
    <w:qFormat/>
    <w:rPr>
      <w:rFonts w:hint="default" w:ascii="Arial" w:hAnsi="Arial" w:eastAsia="黑体" w:cs="Times New Roman"/>
      <w:sz w:val="22"/>
      <w:szCs w:val="20"/>
    </w:rPr>
  </w:style>
  <w:style w:type="character" w:styleId="985" w:customStyle="1">
    <w:name w:val="标题 8 字符"/>
    <w:basedOn w:val="888"/>
    <w:uiPriority w:val="0"/>
    <w:qFormat/>
    <w:rPr>
      <w:rFonts w:hint="default" w:ascii="Arial" w:hAnsi="Arial" w:eastAsia="黑体" w:cs="Times New Roman"/>
      <w:sz w:val="22"/>
      <w:szCs w:val="20"/>
    </w:rPr>
  </w:style>
  <w:style w:type="character" w:styleId="986" w:customStyle="1">
    <w:name w:val="[正文行首缩进] Char"/>
    <w:basedOn w:val="888"/>
    <w:link w:val="987"/>
    <w:uiPriority w:val="0"/>
    <w:qFormat/>
    <w:rPr>
      <w:rFonts w:hint="eastAsia" w:ascii="宋体" w:hAnsi="宋体" w:eastAsia="宋体" w:cs="宋体"/>
      <w:color w:val="000000"/>
      <w:sz w:val="24"/>
      <w:szCs w:val="24"/>
    </w:rPr>
  </w:style>
  <w:style w:type="paragraph" w:styleId="987" w:customStyle="1">
    <w:name w:val="[正文行首缩进]"/>
    <w:basedOn w:val="884"/>
    <w:link w:val="986"/>
    <w:uiPriority w:val="0"/>
    <w:qFormat/>
    <w:pPr>
      <w:jc w:val="center"/>
      <w:spacing w:line="360" w:lineRule="auto"/>
    </w:pPr>
    <w:rPr>
      <w:rFonts w:hint="eastAsia" w:ascii="宋体" w:hAnsi="等线" w:eastAsia="等线" w:cs="Times New Roman"/>
      <w:color w:val="000000"/>
      <w:sz w:val="24"/>
      <w:szCs w:val="24"/>
    </w:rPr>
  </w:style>
  <w:style w:type="character" w:styleId="988" w:customStyle="1">
    <w:name w:val="正文缩进 字符"/>
    <w:basedOn w:val="888"/>
    <w:uiPriority w:val="0"/>
    <w:qFormat/>
    <w:rPr>
      <w:sz w:val="24"/>
    </w:rPr>
  </w:style>
  <w:style w:type="character" w:styleId="989" w:customStyle="1">
    <w:name w:val="文档结构图 字符"/>
    <w:basedOn w:val="888"/>
    <w:link w:val="894"/>
    <w:uiPriority w:val="0"/>
    <w:qFormat/>
    <w:rPr>
      <w:rFonts w:hint="eastAsia" w:ascii="Microsoft YaHei UI" w:hAnsi="Microsoft YaHei UI" w:eastAsia="Microsoft YaHei UI" w:cs="Microsoft YaHei UI"/>
      <w:sz w:val="18"/>
      <w:szCs w:val="18"/>
    </w:rPr>
  </w:style>
  <w:style w:type="character" w:styleId="990" w:customStyle="1">
    <w:name w:val="标题 字符"/>
    <w:basedOn w:val="888"/>
    <w:link w:val="912"/>
    <w:uiPriority w:val="0"/>
    <w:qFormat/>
    <w:rPr>
      <w:rFonts w:ascii="等线 Light" w:hAnsi="等线 Light" w:eastAsia="等线 Light" w:cs="Times New Roman"/>
      <w:b/>
      <w:bCs/>
      <w:sz w:val="32"/>
      <w:szCs w:val="32"/>
    </w:rPr>
  </w:style>
  <w:style w:type="character" w:styleId="991" w:customStyle="1">
    <w:name w:val="标题 2 字符"/>
    <w:basedOn w:val="888"/>
    <w:uiPriority w:val="0"/>
    <w:qFormat/>
    <w:rPr>
      <w:rFonts w:hint="eastAsia" w:ascii="宋体" w:hAnsi="宋体" w:eastAsia="宋体" w:cs="Times New Roman"/>
      <w:b/>
      <w:bCs/>
      <w:sz w:val="28"/>
      <w:szCs w:val="32"/>
    </w:rPr>
  </w:style>
  <w:style w:type="character" w:styleId="992" w:customStyle="1">
    <w:name w:val="标题 7 字符"/>
    <w:basedOn w:val="888"/>
    <w:uiPriority w:val="0"/>
    <w:qFormat/>
    <w:rPr>
      <w:rFonts w:hint="default" w:ascii="Times New Roman" w:hAnsi="Times New Roman" w:eastAsia="宋体" w:cs="Times New Roman"/>
      <w:b/>
      <w:sz w:val="22"/>
      <w:szCs w:val="20"/>
    </w:rPr>
  </w:style>
  <w:style w:type="paragraph" w:styleId="993" w:customStyle="1">
    <w:name w:val="表格标题"/>
    <w:basedOn w:val="884"/>
    <w:uiPriority w:val="0"/>
    <w:qFormat/>
    <w:pPr>
      <w:jc w:val="center"/>
      <w:spacing w:before="62" w:after="62" w:line="360" w:lineRule="auto"/>
    </w:pPr>
    <w:rPr>
      <w:rFonts w:hint="eastAsia" w:ascii="宋体" w:hAnsi="宋体" w:eastAsia="宋体" w:cs="Times New Roman"/>
      <w:b/>
      <w:bCs/>
      <w:szCs w:val="20"/>
    </w:rPr>
  </w:style>
  <w:style w:type="table" w:styleId="994" w:customStyle="1">
    <w:name w:val="Table Normal"/>
    <w:basedOn w:val="889"/>
    <w:uiPriority w:val="0"/>
    <w:semiHidden/>
    <w:qFormat/>
    <w:pPr>
      <w:widowControl w:val="off"/>
    </w:pPr>
    <w:rPr>
      <w:rFonts w:hint="eastAsia"/>
      <w:sz w:val="22"/>
      <w:szCs w:val="22"/>
      <w:lang w:eastAsia="en-US"/>
    </w:rPr>
    <w:tblPr>
      <w:tblCellMar>
        <w:left w:w="0" w:type="dxa"/>
        <w:right w:w="0" w:type="dxa"/>
      </w:tblCellMar>
    </w:tblPr>
  </w:style>
  <w:style w:type="paragraph" w:styleId="995"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996" w:customStyle="1">
    <w:name w:val="正文文本首行缩进 字符"/>
    <w:uiPriority w:val="0"/>
    <w:qFormat/>
    <w:rPr>
      <w:rFonts w:hint="default" w:ascii="Calibri" w:hAnsi="Calibri" w:eastAsia="宋体" w:cs="Times New Roman"/>
      <w:sz w:val="21"/>
      <w:szCs w:val="22"/>
    </w:rPr>
  </w:style>
  <w:style w:type="paragraph" w:styleId="997" w:customStyle="1">
    <w:name w:val="表正文"/>
    <w:basedOn w:val="884"/>
    <w:uiPriority w:val="0"/>
    <w:qFormat/>
    <w:rPr>
      <w:rFonts w:hint="eastAsia" w:ascii="等线" w:hAnsi="等线" w:eastAsia="宋体" w:cs="Times New Roman"/>
      <w:sz w:val="18"/>
    </w:rPr>
  </w:style>
  <w:style w:type="paragraph" w:styleId="998"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999" w:customStyle="1">
    <w:name w:val="列出段落 Char"/>
    <w:basedOn w:val="888"/>
    <w:uiPriority w:val="0"/>
    <w:qFormat/>
    <w:rPr>
      <w:rFonts w:hint="eastAsia" w:ascii="Arial Unicode MS" w:hAnsi="Arial Unicode MS" w:eastAsia="Arial Unicode MS" w:cs="Arial Unicode MS"/>
      <w:color w:val="000000"/>
      <w:sz w:val="20"/>
      <w:szCs w:val="20"/>
      <w:lang w:eastAsia="en-US"/>
    </w:rPr>
  </w:style>
  <w:style w:type="character" w:styleId="1000" w:customStyle="1">
    <w:name w:val="标题 2 字符2"/>
    <w:basedOn w:val="888"/>
    <w:uiPriority w:val="0"/>
    <w:qFormat/>
    <w:rPr>
      <w:rFonts w:hint="default" w:ascii="Arial" w:hAnsi="Arial" w:eastAsia="黑体" w:cs="Arial"/>
      <w:b/>
      <w:bCs/>
      <w:sz w:val="32"/>
      <w:szCs w:val="32"/>
    </w:rPr>
  </w:style>
  <w:style w:type="paragraph" w:styleId="1001"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02"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03" w:customStyle="1">
    <w:name w:val="标题 2 字符3"/>
    <w:basedOn w:val="888"/>
    <w:link w:val="886"/>
    <w:uiPriority w:val="0"/>
    <w:qFormat/>
    <w:rPr>
      <w:rFonts w:hint="default" w:ascii="Arial" w:hAnsi="Arial" w:eastAsia="黑体" w:cs="Arial"/>
      <w:b/>
      <w:bCs/>
      <w:sz w:val="32"/>
      <w:szCs w:val="32"/>
    </w:rPr>
  </w:style>
  <w:style w:type="character" w:styleId="1004" w:customStyle="1">
    <w:name w:val="列出段落 Char1"/>
    <w:basedOn w:val="888"/>
    <w:uiPriority w:val="0"/>
    <w:qFormat/>
    <w:rPr>
      <w:rFonts w:hint="eastAsia" w:ascii="Arial Unicode MS" w:hAnsi="Arial Unicode MS" w:eastAsia="Arial Unicode MS" w:cs="Arial Unicode MS"/>
      <w:color w:val="000000"/>
      <w:sz w:val="20"/>
      <w:szCs w:val="20"/>
      <w:lang w:eastAsia="en-US"/>
    </w:rPr>
  </w:style>
  <w:style w:type="paragraph" w:styleId="1005"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06"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07" w:customStyle="1">
    <w:name w:val="Table Text"/>
    <w:basedOn w:val="884"/>
    <w:hidden/>
    <w:uiPriority w:val="0"/>
    <w:qFormat/>
    <w:pPr>
      <w:jc w:val="left"/>
      <w:widowControl/>
    </w:pPr>
    <w:rPr>
      <w:rFonts w:hint="eastAsia" w:ascii="宋体" w:hAnsi="宋体" w:eastAsia="宋体" w:cs="Times New Roman"/>
      <w:color w:val="000000"/>
      <w:szCs w:val="21"/>
    </w:rPr>
  </w:style>
  <w:style w:type="paragraph" w:styleId="1008"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09"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10" w:customStyle="1">
    <w:name w:val="纯文本 字符1"/>
    <w:basedOn w:val="888"/>
    <w:uiPriority w:val="0"/>
    <w:qFormat/>
    <w:rPr>
      <w:rFonts w:hint="eastAsia" w:ascii="宋体" w:hAnsi="Courier New" w:eastAsia="宋体" w:cs="Courier New"/>
      <w:szCs w:val="24"/>
    </w:rPr>
  </w:style>
  <w:style w:type="paragraph" w:styleId="1011"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12" w:customStyle="1">
    <w:name w:val="段"/>
    <w:basedOn w:val="884"/>
    <w:next w:val="884"/>
    <w:uiPriority w:val="0"/>
    <w:qFormat/>
    <w:pPr>
      <w:ind w:firstLine="200"/>
      <w:spacing w:line="360" w:lineRule="auto"/>
      <w:widowControl/>
    </w:pPr>
    <w:rPr>
      <w:rFonts w:hint="eastAsia" w:ascii="宋体" w:hAnsi="Times New Roman" w:eastAsia="宋体" w:cs="Times New Roman"/>
      <w:sz w:val="24"/>
    </w:rPr>
  </w:style>
  <w:style w:type="paragraph" w:styleId="1013"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14"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16"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17" w:customStyle="1">
    <w:name w:val="正文文本首行缩进 2 字符"/>
    <w:uiPriority w:val="0"/>
    <w:qFormat/>
    <w:rPr>
      <w:sz w:val="21"/>
      <w:szCs w:val="24"/>
    </w:rPr>
  </w:style>
  <w:style w:type="paragraph" w:styleId="1018" w:customStyle="1">
    <w:name w:val="qq正文"/>
    <w:basedOn w:val="884"/>
    <w:uiPriority w:val="0"/>
    <w:qFormat/>
    <w:pPr>
      <w:ind w:firstLine="200"/>
      <w:spacing w:line="360" w:lineRule="auto"/>
    </w:pPr>
    <w:rPr>
      <w:rFonts w:ascii="Times New Roman" w:hAnsi="Times New Roman" w:eastAsia="宋体" w:cs="Times New Roman"/>
      <w:sz w:val="24"/>
      <w:szCs w:val="24"/>
    </w:rPr>
  </w:style>
  <w:style w:type="paragraph" w:styleId="1019"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20"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22"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23"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24"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25" w:customStyle="1">
    <w:name w:val="修订32"/>
    <w:hidden/>
    <w:uiPriority w:val="99"/>
    <w:semiHidden/>
    <w:qFormat/>
    <w:rPr>
      <w:rFonts w:asciiTheme="minorHAnsi" w:hAnsiTheme="minorHAnsi" w:eastAsiaTheme="minorEastAsia" w:cstheme="minorBidi"/>
      <w:sz w:val="21"/>
      <w:szCs w:val="22"/>
      <w:lang w:val="en-US" w:eastAsia="zh-CN" w:bidi="ar-SA"/>
    </w:rPr>
  </w:style>
  <w:style w:type="paragraph" w:styleId="1026" w:customStyle="1">
    <w:name w:val="修订33"/>
    <w:hidden/>
    <w:uiPriority w:val="99"/>
    <w:semiHidden/>
    <w:qFormat/>
    <w:rPr>
      <w:rFonts w:asciiTheme="minorHAnsi" w:hAnsiTheme="minorHAnsi" w:eastAsiaTheme="minorEastAsia" w:cstheme="minorBidi"/>
      <w:sz w:val="21"/>
      <w:szCs w:val="22"/>
      <w:lang w:val="en-US" w:eastAsia="zh-CN" w:bidi="ar-SA"/>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05ECC46-DB11-45EA-9640-D893D5C975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8</cp:revision>
  <dcterms:created xsi:type="dcterms:W3CDTF">2026-09-09T06:53:00Z</dcterms:created>
  <dcterms:modified xsi:type="dcterms:W3CDTF">2026-09-10T03:00:29Z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7E6342D701E34040A23735CFDAEC1B8E_13</vt:lpwstr>
  </property>
  <property fmtid="{D5CDD505-2E9C-101B-9397-08002B2CF9AE}" pid="4" name="KSOTemplateDocerSaveRecord">
    <vt:lpwstr>eyJoZGlkIjoiNTE3ODBhODAwYWZlYmM2Zjk2MjA5ZjdiYTk1Y2U0OTQiLCJ1c2VySWQiOiI5NTc1NDY5NDYifQ==</vt:lpwstr>
  </property>
</Properties>
</file>