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Arial" w:hAnsi="Arial" w:eastAsia="黑体"/>
          <w:b/>
          <w:bCs/>
          <w:color w:val="000000"/>
          <w:sz w:val="84"/>
          <w:szCs w:val="24"/>
          <w:highlight w:val="none"/>
        </w:rPr>
      </w:r>
      <w:r/>
    </w:p>
    <w:p>
      <w:pPr>
        <w:pStyle w:val="948"/>
        <w:rPr>
          <w:rFonts w:hint="eastAsia"/>
          <w:color w:val="000000"/>
          <w:highlight w:val="none"/>
        </w:rPr>
      </w:pPr>
      <w:r>
        <w:rPr>
          <w:rFonts w:hint="eastAsia"/>
          <w:color w:val="000000"/>
          <w:highlight w:val="none"/>
        </w:rPr>
      </w:r>
      <w:r/>
    </w:p>
    <w:p>
      <w:pPr>
        <w:pStyle w:val="962"/>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69"/>
        <w:ind w:firstLine="1506"/>
        <w:rPr>
          <w:b/>
          <w:color w:val="000000"/>
          <w:sz w:val="30"/>
          <w:szCs w:val="30"/>
          <w:highlight w:val="none"/>
          <w:u w:val="single"/>
        </w:rPr>
      </w:pPr>
      <w:r>
        <w:rPr>
          <w:rFonts w:hint="eastAsia"/>
          <w:b/>
          <w:color w:val="000000"/>
          <w:sz w:val="30"/>
          <w:szCs w:val="30"/>
          <w:highlight w:val="none"/>
        </w:rPr>
        <w:t xml:space="preserve">项目名称：南京市妇幼保健院云安全及算力一体化支撑</w:t>
      </w:r>
      <w:r>
        <w:rPr>
          <w:rFonts w:hint="eastAsia"/>
          <w:b/>
          <w:color w:val="000000"/>
          <w:sz w:val="32"/>
          <w:szCs w:val="32"/>
          <w:highlight w:val="none"/>
        </w:rPr>
        <w:t xml:space="preserve"> </w:t>
      </w:r>
      <w:r>
        <w:rPr>
          <w:b/>
          <w:color w:val="000000"/>
          <w:sz w:val="30"/>
          <w:szCs w:val="30"/>
          <w:highlight w:val="none"/>
          <w:u w:val="single"/>
        </w:rPr>
      </w:r>
      <w:r/>
    </w:p>
    <w:p>
      <w:pPr>
        <w:pStyle w:val="869"/>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rPr>
        <w:t xml:space="preserve">JSZC-320100-JZCG-G2026-0303</w:t>
      </w:r>
      <w:r>
        <w:rPr>
          <w:rFonts w:hint="eastAsia"/>
          <w:b/>
          <w:color w:val="000000"/>
          <w:sz w:val="32"/>
          <w:szCs w:val="32"/>
          <w:highlight w:val="none"/>
        </w:rPr>
        <w:tab/>
      </w:r>
      <w:r>
        <w:rPr>
          <w:rFonts w:hint="eastAsia"/>
          <w:b/>
          <w:color w:val="000000"/>
          <w:sz w:val="32"/>
          <w:szCs w:val="32"/>
          <w:highlight w:val="none"/>
        </w:rPr>
        <w:t xml:space="preserve"> </w:t>
      </w:r>
      <w:r>
        <w:rPr>
          <w:rFonts w:hint="eastAsia"/>
          <w:b/>
          <w:color w:val="000000"/>
          <w:sz w:val="30"/>
          <w:szCs w:val="30"/>
          <w:highlight w:val="none"/>
        </w:rPr>
        <w:t xml:space="preserve">              </w:t>
      </w:r>
      <w:r>
        <w:rPr>
          <w:rFonts w:hint="eastAsia"/>
          <w:b/>
          <w:color w:val="000000"/>
          <w:sz w:val="30"/>
          <w:szCs w:val="30"/>
          <w:highlight w:val="none"/>
        </w:rPr>
      </w:r>
      <w:r/>
    </w:p>
    <w:p>
      <w:pPr>
        <w:pStyle w:val="869"/>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center"/>
        <w:spacing w:line="48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2"/>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69"/>
        <w:jc w:val="center"/>
        <w:rPr>
          <w:rFonts w:hint="eastAsia"/>
          <w:b/>
          <w:color w:val="000000"/>
          <w:sz w:val="32"/>
          <w:szCs w:val="32"/>
          <w:highlight w:val="none"/>
        </w:rPr>
      </w:pPr>
      <w:r>
        <w:rPr>
          <w:rFonts w:hint="eastAsia"/>
          <w:b/>
          <w:color w:val="000000"/>
          <w:sz w:val="32"/>
          <w:szCs w:val="32"/>
          <w:highlight w:val="none"/>
        </w:rPr>
        <w:t xml:space="preserve">2026年9月</w:t>
      </w:r>
      <w:r>
        <w:rPr>
          <w:rFonts w:hint="eastAsia"/>
          <w:b/>
          <w:color w:val="000000"/>
          <w:sz w:val="32"/>
          <w:szCs w:val="32"/>
          <w:highlight w:val="none"/>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left"/>
        <w:spacing w:before="120" w:after="120" w:line="360" w:lineRule="auto"/>
        <w:rPr>
          <w:color w:val="000000"/>
          <w:highlight w:val="none"/>
        </w:rPr>
      </w:pPr>
      <w:r>
        <w:rPr>
          <w:rFonts w:hint="eastAsia" w:ascii="Arial" w:hAnsi="Arial"/>
          <w:color w:val="000000"/>
          <w:sz w:val="24"/>
          <w:szCs w:val="24"/>
          <w:highlight w:val="none"/>
        </w:rPr>
        <w:t xml:space="preserve"> </w:t>
      </w:r>
      <w:r>
        <w:rPr>
          <w:color w:val="000000"/>
          <w:highlight w:val="none"/>
        </w:rPr>
      </w:r>
      <w:r/>
    </w:p>
    <w:p>
      <w:pPr>
        <w:pStyle w:val="882"/>
        <w:rPr>
          <w:rFonts w:hint="eastAsia"/>
          <w:color w:val="000000"/>
          <w:highlight w:val="none"/>
        </w:rPr>
      </w:pPr>
      <w:r>
        <w:rPr>
          <w:rFonts w:hint="eastAsia"/>
          <w:color w:val="000000"/>
          <w:highlight w:val="none"/>
        </w:rPr>
      </w:r>
      <w:r/>
    </w:p>
    <w:p>
      <w:pPr>
        <w:pStyle w:val="869"/>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br w:type="page" w:clear="all"/>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869"/>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2</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4</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合同文本……………………………………12</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采购需求……………………………………15</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评标方法与评标标准………………………20</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投标文件格式………………………………24</w:t>
      </w:r>
      <w:r>
        <w:rPr>
          <w:rFonts w:hint="eastAsia" w:ascii="黑体" w:hAnsi="宋体" w:eastAsia="黑体"/>
          <w:color w:val="000000"/>
          <w:sz w:val="36"/>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1.项目编号：JSZC-320100-JZCG-G2026-0303</w:t>
      </w:r>
      <w:r>
        <w:rPr>
          <w:rFonts w:hint="eastAsia" w:ascii="宋体" w:hAnsi="宋体"/>
          <w:color w:val="000000"/>
          <w:sz w:val="24"/>
          <w:szCs w:val="24"/>
          <w:highlight w:val="none"/>
        </w:rPr>
        <w:tab/>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2.项目名称：南京市妇幼保健院云安全及算力一体化支撑</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3.预算金额：73.6 万元</w:t>
      </w:r>
      <w:r>
        <w:rPr>
          <w:rFonts w:hint="eastAsia" w:ascii="宋体" w:hAnsi="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4.最高限价：73.6 万元</w:t>
      </w:r>
      <w:r>
        <w:rPr>
          <w:rFonts w:hint="eastAsia" w:ascii="宋体" w:hAnsi="宋体" w:cs="宋体"/>
          <w:color w:val="000000"/>
          <w:sz w:val="24"/>
          <w:szCs w:val="24"/>
          <w:highlight w:val="none"/>
        </w:rPr>
      </w:r>
      <w:r/>
    </w:p>
    <w:p>
      <w:pPr>
        <w:pStyle w:val="869"/>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包含医院算力资源租赁服务及配套安全服务，构建监测、管控、防护、认证“四位一体”的安全服务体系。计划采购算力租赁服务，算力资源管理工作站，MSS安全运营服务、DNS安全监测系统订阅服务、通配符域名SSL证书服务及虚拟化平台业务系统杀毒防护续保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10</w:t>
      </w:r>
      <w:r>
        <w:rPr>
          <w:rFonts w:ascii="宋体" w:hAnsi="宋体" w:cs="宋体"/>
          <w:color w:val="000000"/>
          <w:sz w:val="24"/>
          <w:szCs w:val="24"/>
          <w:highlight w:val="none"/>
        </w:rPr>
        <w:t xml:space="preserve">天内交付</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ascii="宋体" w:hAnsi="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9.本项目不允许分包。</w:t>
      </w:r>
      <w:r>
        <w:rPr>
          <w:rFonts w:hint="eastAsia" w:ascii="宋体" w:hAnsi="宋体" w:cs="宋体"/>
          <w:color w:val="000000"/>
          <w:sz w:val="24"/>
          <w:szCs w:val="24"/>
          <w:highlight w:val="non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35393622"/>
      <w:r/>
      <w:bookmarkStart w:id="14" w:name="_Toc28359080"/>
      <w:r/>
      <w:bookmarkStart w:id="15" w:name="_Toc35393791"/>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hint="eastAsia" w:ascii="宋体" w:hAnsi="宋体"/>
          <w:color w:val="000000"/>
          <w:sz w:val="24"/>
          <w:szCs w:val="24"/>
          <w:highlight w:val="none"/>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w:t>
      </w: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zh-CN"/>
        </w:rPr>
        <w:t xml:space="preserve">信用承诺函》（格式见第六章）。</w:t>
      </w:r>
      <w:r>
        <w:rPr>
          <w:rFonts w:hint="eastAsia" w:ascii="宋体" w:hAnsi="宋体"/>
          <w:color w:val="000000"/>
          <w:sz w:val="24"/>
          <w:szCs w:val="24"/>
          <w:highlight w:val="none"/>
          <w:lang w:val="zh-CN"/>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color w:val="000000"/>
          <w:sz w:val="24"/>
          <w:szCs w:val="24"/>
          <w:highlight w:val="none"/>
          <w:lang w:val="zh-CN"/>
        </w:rPr>
        <w:t xml:space="preserve">落实政府采购政策需满足的资格要求：无。</w:t>
      </w:r>
      <w:r>
        <w:rPr>
          <w:rFonts w:hint="eastAsia" w:ascii="宋体" w:hAnsi="宋体"/>
          <w:color w:val="000000"/>
          <w:sz w:val="24"/>
          <w:szCs w:val="24"/>
          <w:highlight w:val="none"/>
          <w:lang w:val="zh-CN"/>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（三）本项目的特定资格要求：</w:t>
      </w:r>
      <w:r>
        <w:rPr>
          <w:rFonts w:hint="eastAsia" w:ascii="宋体" w:hAnsi="宋体"/>
          <w:color w:val="000000"/>
          <w:sz w:val="24"/>
          <w:szCs w:val="24"/>
          <w:highlight w:val="none"/>
          <w:lang w:val="zh-CN"/>
        </w:rPr>
        <w:t xml:space="preserve">无。</w:t>
      </w:r>
      <w:r>
        <w:rPr>
          <w:rFonts w:hint="eastAsia" w:ascii="宋体" w:hAnsi="宋体"/>
          <w:color w:val="000000"/>
          <w:sz w:val="24"/>
          <w:szCs w:val="24"/>
          <w:highlight w:val="non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ascii="宋体" w:hAnsi="宋体" w:cs="宋体"/>
          <w:color w:val="000000"/>
          <w:sz w:val="24"/>
          <w:szCs w:val="24"/>
          <w:highlight w:val="none"/>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hint="eastAsia" w:ascii="宋体" w:hAnsi="宋体"/>
          <w:bCs/>
          <w:color w:val="000000"/>
          <w:sz w:val="24"/>
          <w:szCs w:val="24"/>
          <w:highlight w:val="none"/>
          <w:u w:val="single"/>
        </w:rPr>
      </w:pPr>
      <w:r/>
      <w:bookmarkStart w:id="27" w:name="_Toc35393794"/>
      <w:r/>
      <w:bookmarkStart w:id="28" w:name="_Toc35393625"/>
      <w:r/>
      <w:bookmarkStart w:id="29" w:name="_Toc38985267"/>
      <w:r/>
      <w:bookmarkStart w:id="30" w:name="_Toc28359007"/>
      <w:r/>
      <w:bookmarkStart w:id="31" w:name="_Toc2835908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hint="eastAsia" w:ascii="宋体" w:hAnsi="宋体"/>
          <w:bCs/>
          <w:color w:val="000000"/>
          <w:sz w:val="24"/>
          <w:szCs w:val="24"/>
          <w:highlight w:val="none"/>
        </w:rPr>
        <w:t xml:space="preserve">月30</w:t>
      </w:r>
      <w:r>
        <w:rPr>
          <w:rFonts w:hint="eastAsia" w:ascii="宋体" w:hAnsi="宋体"/>
          <w:bCs/>
          <w:color w:val="000000"/>
          <w:sz w:val="24"/>
          <w:szCs w:val="24"/>
          <w:highlight w:val="none"/>
        </w:rPr>
        <w:t xml:space="preserve">日14</w:t>
      </w:r>
      <w:r>
        <w:rPr>
          <w:rFonts w:hint="eastAsia"/>
          <w:bCs/>
          <w:color w:val="000000"/>
          <w:sz w:val="24"/>
          <w:szCs w:val="24"/>
          <w:highlight w:val="none"/>
        </w:rPr>
        <w:t xml:space="preserve">时00</w:t>
      </w:r>
      <w:r>
        <w:rPr>
          <w:rFonts w:hint="eastAsia" w:ascii="宋体" w:hAnsi="宋体"/>
          <w:bCs/>
          <w:color w:val="000000"/>
          <w:sz w:val="24"/>
          <w:szCs w:val="24"/>
          <w:highlight w:val="none"/>
        </w:rPr>
        <w:t xml:space="preserve">分（北京时间）。</w:t>
      </w:r>
      <w:r>
        <w:rPr>
          <w:rFonts w:hint="eastAsia" w:ascii="宋体" w:hAnsi="宋体"/>
          <w:bCs/>
          <w:color w:val="000000"/>
          <w:sz w:val="24"/>
          <w:szCs w:val="24"/>
          <w:highlight w:val="none"/>
          <w:u w:val="single"/>
        </w:rPr>
      </w:r>
      <w:r/>
    </w:p>
    <w:p>
      <w:pPr>
        <w:pStyle w:val="869"/>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hint="eastAsia"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tabs>
          <w:tab w:val="left" w:pos="900" w:leader="none"/>
        </w:tabs>
        <w:rPr>
          <w:rFonts w:hint="eastAsia" w:ascii="宋体" w:hAnsi="宋体"/>
          <w:bCs/>
          <w:color w:val="000000"/>
          <w:sz w:val="24"/>
          <w:szCs w:val="24"/>
          <w:highlight w:val="none"/>
        </w:rPr>
      </w:pPr>
      <w:r/>
      <w:bookmarkStart w:id="35" w:name="_Toc28359085"/>
      <w:r/>
      <w:bookmarkStart w:id="36" w:name="_Toc35393796"/>
      <w:r/>
      <w:bookmarkStart w:id="37" w:name="_Toc35393627"/>
      <w:r/>
      <w:bookmarkStart w:id="38" w:name="_Toc28359008"/>
      <w:r/>
      <w:bookmarkStart w:id="39" w:name="_Toc38985269"/>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869"/>
        <w:ind w:firstLine="482"/>
        <w:spacing w:line="252" w:lineRule="auto"/>
        <w:rPr>
          <w:rFonts w:hint="eastAsia"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对采购方式、采购需求、投标人资格</w:t>
      </w:r>
      <w:r>
        <w:rPr>
          <w:rFonts w:hint="eastAsia" w:ascii="宋体" w:hAnsi="宋体"/>
          <w:b/>
          <w:bCs/>
          <w:color w:val="000000"/>
          <w:sz w:val="24"/>
          <w:highlight w:val="none"/>
        </w:rPr>
        <w:t xml:space="preserve">要求</w:t>
      </w:r>
      <w:r>
        <w:rPr>
          <w:rFonts w:hint="eastAsia" w:ascii="宋体" w:hAnsi="宋体"/>
          <w:b/>
          <w:bCs/>
          <w:color w:val="000000"/>
          <w:sz w:val="24"/>
          <w:highlight w:val="none"/>
          <w:lang w:val="zh-CN"/>
        </w:rPr>
        <w:t xml:space="preserve">、评标方法和评标标准、合同文本、</w:t>
      </w:r>
      <w:r>
        <w:rPr>
          <w:rFonts w:hint="eastAsia" w:ascii="宋体" w:hAnsi="宋体"/>
          <w:b/>
          <w:bCs/>
          <w:color w:val="000000"/>
          <w:sz w:val="24"/>
          <w:highlight w:val="none"/>
        </w:rPr>
        <w:t xml:space="preserve">招标项目资格审查结果</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869"/>
        <w:ind w:firstLine="480"/>
        <w:spacing w:line="252" w:lineRule="auto"/>
        <w:rPr>
          <w:rFonts w:ascii="宋体" w:hAnsi="宋体"/>
          <w:color w:val="000000"/>
          <w:sz w:val="24"/>
          <w:highlight w:val="none"/>
        </w:rPr>
      </w:pPr>
      <w:r>
        <w:rPr>
          <w:rFonts w:hint="eastAsia" w:ascii="宋体" w:hAnsi="宋体"/>
          <w:color w:val="000000"/>
          <w:sz w:val="24"/>
          <w:highlight w:val="none"/>
        </w:rPr>
        <w:t xml:space="preserve">采购人《质疑函》收件人：</w:t>
      </w:r>
      <w:r>
        <w:rPr>
          <w:rFonts w:hint="eastAsia" w:ascii="宋体" w:hAnsi="宋体"/>
          <w:color w:val="000000"/>
          <w:sz w:val="24"/>
          <w:szCs w:val="24"/>
          <w:highlight w:val="none"/>
        </w:rPr>
        <w:t xml:space="preserve">南京市妇幼保健院</w:t>
      </w:r>
      <w:r>
        <w:rPr>
          <w:rFonts w:hint="eastAsia" w:ascii="宋体" w:hAnsi="宋体"/>
          <w:color w:val="000000"/>
          <w:sz w:val="24"/>
          <w:highlight w:val="none"/>
        </w:rPr>
        <w:t xml:space="preserve">，收件地址：</w:t>
      </w:r>
      <w:r>
        <w:rPr>
          <w:rFonts w:hint="eastAsia" w:ascii="宋体" w:hAnsi="宋体"/>
          <w:color w:val="000000"/>
          <w:sz w:val="24"/>
          <w:szCs w:val="24"/>
          <w:highlight w:val="none"/>
        </w:rPr>
        <w:t xml:space="preserve">栖霞区迈皋桥街道燕新路1号</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w:t>
      </w:r>
      <w:r>
        <w:rPr>
          <w:rFonts w:ascii="宋体" w:hAnsi="宋体"/>
          <w:color w:val="000000"/>
          <w:sz w:val="24"/>
          <w:szCs w:val="24"/>
          <w:highlight w:val="none"/>
        </w:rPr>
        <w:t xml:space="preserve">025-69929241</w:t>
      </w:r>
      <w:r>
        <w:rPr>
          <w:rFonts w:ascii="宋体" w:hAnsi="宋体"/>
          <w:color w:val="000000"/>
          <w:sz w:val="24"/>
          <w:highlight w:val="none"/>
        </w:rPr>
      </w:r>
      <w:r/>
    </w:p>
    <w:p>
      <w:pPr>
        <w:pStyle w:val="869"/>
        <w:ind w:firstLine="480"/>
        <w:spacing w:line="252"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交易中心《质疑函》收件人：南京市公共资源交易中心政府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收件</w:t>
      </w:r>
      <w:r>
        <w:rPr>
          <w:rFonts w:hint="eastAsia" w:ascii="宋体" w:hAnsi="宋体"/>
          <w:color w:val="000000"/>
          <w:sz w:val="24"/>
          <w:highlight w:val="none"/>
          <w:lang w:val="zh-CN"/>
        </w:rPr>
        <w:t xml:space="preserve">地址：南京市</w:t>
      </w:r>
      <w:r>
        <w:rPr>
          <w:rFonts w:hint="eastAsia" w:ascii="宋体" w:hAnsi="宋体"/>
          <w:color w:val="000000"/>
          <w:sz w:val="24"/>
          <w:highlight w:val="none"/>
        </w:rPr>
        <w:t xml:space="preserve">建邺区</w:t>
      </w:r>
      <w:r>
        <w:rPr>
          <w:rFonts w:hint="eastAsia" w:ascii="宋体" w:hAnsi="宋体"/>
          <w:color w:val="000000"/>
          <w:sz w:val="24"/>
          <w:highlight w:val="none"/>
          <w:lang w:val="zh-CN"/>
        </w:rPr>
        <w:t xml:space="preserve">江东中路265号南京市公共资源交易中心北门，联系电话：025-68505926。</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称：南京市妇幼保健院          </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址：南京市栖霞区迈皋桥街道燕新路1号    </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联系人：戴老师 </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bookmarkStart w:id="40" w:name="_Toc28359009"/>
      <w:r/>
      <w:bookmarkStart w:id="41" w:name="_Toc28359086"/>
      <w:r>
        <w:rPr>
          <w:rFonts w:ascii="宋体" w:hAnsi="宋体"/>
          <w:color w:val="000000"/>
          <w:sz w:val="24"/>
          <w:szCs w:val="24"/>
          <w:highlight w:val="none"/>
        </w:rPr>
        <w:t xml:space="preserve">025-69929241</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bookmarkEnd w:id="40"/>
      <w:r/>
      <w:bookmarkEnd w:id="41"/>
      <w:r>
        <w:rPr>
          <w:rFonts w:hint="eastAsia" w:ascii="宋体" w:hAnsi="宋体"/>
          <w:color w:val="000000"/>
          <w:sz w:val="24"/>
          <w:szCs w:val="24"/>
          <w:highlight w:val="none"/>
        </w:rPr>
        <w:t xml:space="preserve">2.交易中心</w:t>
      </w:r>
      <w:r>
        <w:rPr>
          <w:rFonts w:hint="eastAsia" w:ascii="宋体" w:hAnsi="宋体"/>
          <w:color w:val="000000"/>
          <w:sz w:val="24"/>
          <w:szCs w:val="24"/>
          <w:highlight w:val="none"/>
        </w:rPr>
      </w:r>
      <w:r/>
    </w:p>
    <w:p>
      <w:pPr>
        <w:pStyle w:val="869"/>
        <w:ind w:firstLine="480"/>
        <w:jc w:val="left"/>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69"/>
        <w:ind w:firstLine="480"/>
        <w:jc w:val="left"/>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联系人：郭先生</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联系电话：025-68505815  </w:t>
      </w:r>
      <w:r>
        <w:rPr>
          <w:rFonts w:hint="eastAsia" w:ascii="宋体" w:hAnsi="宋体"/>
          <w:color w:val="000000"/>
          <w:sz w:val="24"/>
          <w:szCs w:val="24"/>
          <w:highlight w:val="none"/>
        </w:rPr>
      </w:r>
      <w:r/>
    </w:p>
    <w:p>
      <w:pPr>
        <w:pStyle w:val="869"/>
        <w:ind w:firstLine="480"/>
        <w:jc w:val="left"/>
        <w:spacing w:line="252" w:lineRule="auto"/>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End w:id="1"/>
      <w:r/>
      <w:bookmarkEnd w:id="2"/>
      <w:r/>
      <w:bookmarkEnd w:id="3"/>
      <w:r/>
      <w:bookmarkEnd w:id="4"/>
      <w:r/>
      <w:bookmarkEnd w:id="5"/>
      <w:r/>
      <w:bookmarkStart w:id="42" w:name="_Hlt16619350"/>
      <w:r/>
      <w:bookmarkStart w:id="43" w:name="_Toc120614244"/>
      <w:r/>
      <w:bookmarkStart w:id="44" w:name="_Toc20823346"/>
      <w:r/>
      <w:bookmarkStart w:id="45" w:name="_Toc16938590"/>
      <w:r/>
      <w:bookmarkStart w:id="46" w:name="_Toc479757211"/>
      <w:r/>
      <w:bookmarkStart w:id="47" w:name="_Toc462564139"/>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rPr>
        <w:t xml:space="preserve">第二章  投标人须知</w:t>
      </w:r>
      <w:r>
        <w:rPr>
          <w:rFonts w:hint="eastAsia" w:ascii="方正小标宋简体" w:hAnsi="方正小标宋简体" w:eastAsia="方正小标宋简体" w:cs="方正小标宋简体"/>
          <w:color w:val="000000"/>
          <w:sz w:val="36"/>
          <w:szCs w:val="36"/>
          <w:highlight w:val="none"/>
          <w:lang w:val="en-US"/>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1.招标方式</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2.合格的投标人</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满足招标公告对投标人资格要求。</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w:t>
      </w:r>
      <w:r>
        <w:rPr>
          <w:rFonts w:hint="eastAsia" w:ascii="宋体" w:hAnsi="宋体"/>
          <w:color w:val="000000"/>
          <w:sz w:val="24"/>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3.适用法律</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4.投标费用</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投标人应自行承担所有与参加投标有关的费用，交易中心在任何情况下均无义务和责任承担这些费用。</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6.招标文件构成</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7.招标文件的澄清或修改</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7.1 在投标截止时间前，交易中心可以对已发出的招标文件进行必要的澄清或者修改，并在原</w:t>
      </w:r>
      <w:r>
        <w:rPr>
          <w:rFonts w:ascii="宋体" w:hAnsi="宋体"/>
          <w:color w:val="000000"/>
          <w:sz w:val="24"/>
          <w:highlight w:val="none"/>
        </w:rPr>
        <w:t xml:space="preserve">公告</w:t>
      </w:r>
      <w:r>
        <w:rPr>
          <w:rFonts w:hint="eastAsia" w:ascii="宋体" w:hAnsi="宋体"/>
          <w:color w:val="000000"/>
          <w:sz w:val="24"/>
          <w:highlight w:val="none"/>
        </w:rPr>
        <w:t xml:space="preserve">发布媒体发布更正公告，澄清或者修改的内容将作为招标文件的组成部分，并对投标人具有约束力。</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7.3 交易中心有权按照法定要求推迟投标截止日期和开标日期，并在原公告发布媒体发布更正公告。</w:t>
      </w:r>
      <w:r>
        <w:rPr>
          <w:rFonts w:hint="eastAsia" w:ascii="宋体" w:hAnsi="宋体"/>
          <w:color w:val="000000"/>
          <w:sz w:val="24"/>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8.投标文件的语言及度量衡单位</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8.1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869"/>
        <w:ind w:firstLine="420"/>
        <w:rPr>
          <w:rFonts w:hint="eastAsia" w:ascii="宋体" w:hAnsi="宋体"/>
          <w:color w:val="000000"/>
          <w:sz w:val="24"/>
          <w:szCs w:val="22"/>
          <w:highlight w:val="none"/>
        </w:rPr>
      </w:pPr>
      <w:r>
        <w:rPr>
          <w:rFonts w:hint="eastAsia" w:ascii="宋体" w:hAnsi="宋体"/>
          <w:color w:val="000000"/>
          <w:sz w:val="24"/>
          <w:szCs w:val="22"/>
          <w:highlight w:val="none"/>
        </w:rPr>
        <w:t xml:space="preserve">8.2 除技术性能另有规定外，投标文件所使用的度量衡单位，均须采用国家法定计量单位。</w:t>
      </w:r>
      <w:r>
        <w:rPr>
          <w:rFonts w:hint="eastAsia" w:ascii="宋体" w:hAnsi="宋体"/>
          <w:color w:val="000000"/>
          <w:sz w:val="24"/>
          <w:szCs w:val="22"/>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9.投标文件构成</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9.1 投标文件应包括资格证明文件、符合性证明文件、开标一览表、投标分项报价表、响应及偏离表、投标函、法定代表人授权委托书。</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9.2 </w:t>
      </w:r>
      <w:r>
        <w:rPr>
          <w:rFonts w:hint="eastAsia" w:ascii="宋体" w:hAnsi="宋体"/>
          <w:b/>
          <w:bCs/>
          <w:color w:val="000000"/>
          <w:sz w:val="24"/>
          <w:highlight w:val="none"/>
        </w:rPr>
        <w:t xml:space="preserve">如标书制作工具与“江苏政府采购网”发布的招标文件内容不一致，以“江苏政府采购网”发布的招标文件内容为准。</w:t>
      </w:r>
      <w:r>
        <w:rPr>
          <w:rFonts w:hint="eastAsia" w:ascii="宋体" w:hAnsi="宋体"/>
          <w:color w:val="000000"/>
          <w:sz w:val="24"/>
          <w:highlight w:val="none"/>
        </w:rPr>
      </w:r>
      <w:r/>
    </w:p>
    <w:p>
      <w:pPr>
        <w:pStyle w:val="869"/>
        <w:ind w:firstLine="490"/>
        <w:rPr>
          <w:rFonts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10.投标报价</w:t>
      </w:r>
      <w:r>
        <w:rPr>
          <w:rFonts w:ascii="方正楷体_GBK" w:hAnsi="方正楷体_GBK" w:eastAsia="方正楷体_GBK" w:cs="方正楷体_GBK"/>
          <w:b/>
          <w:bCs/>
          <w:color w:val="000000"/>
          <w:sz w:val="28"/>
          <w:szCs w:val="28"/>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10.1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10.2 </w:t>
      </w:r>
      <w:r>
        <w:rPr>
          <w:rFonts w:hint="eastAsia" w:ascii="宋体" w:hAnsi="宋体"/>
          <w:b/>
          <w:bCs/>
          <w:color w:val="000000"/>
          <w:sz w:val="24"/>
          <w:highlight w:val="none"/>
          <w:lang w:val="zh-CN"/>
        </w:rPr>
        <w:t xml:space="preserve">投标人应按照招标文件规定完整、</w:t>
      </w:r>
      <w:r>
        <w:rPr>
          <w:rFonts w:hint="eastAsia" w:ascii="宋体" w:hAnsi="宋体"/>
          <w:b/>
          <w:bCs/>
          <w:color w:val="000000"/>
          <w:sz w:val="24"/>
          <w:highlight w:val="none"/>
        </w:rPr>
        <w:t xml:space="preserve">准</w:t>
      </w:r>
      <w:r>
        <w:rPr>
          <w:rFonts w:hint="eastAsia" w:ascii="宋体" w:hAnsi="宋体"/>
          <w:b/>
          <w:bCs/>
          <w:color w:val="000000"/>
          <w:sz w:val="24"/>
          <w:highlight w:val="none"/>
          <w:lang w:val="zh-CN"/>
        </w:rPr>
        <w:t xml:space="preserve">确填报开标一览表</w:t>
      </w:r>
      <w:r>
        <w:rPr>
          <w:rFonts w:hint="eastAsia" w:ascii="宋体" w:hAnsi="宋体"/>
          <w:b/>
          <w:bCs/>
          <w:color w:val="000000"/>
          <w:sz w:val="24"/>
          <w:highlight w:val="none"/>
        </w:rPr>
        <w:t xml:space="preserve">和投标分项报价表，否则作为无效投标。</w:t>
      </w:r>
      <w:r>
        <w:rPr>
          <w:rFonts w:hint="eastAsia" w:ascii="宋体" w:hAnsi="宋体"/>
          <w:color w:val="000000"/>
          <w:sz w:val="24"/>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11.响应及偏离表</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投标人需对招标文件中的技术要求与商务要求逐项作出响应</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偏离说明。</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投标人可以在投标文件中提供认为需要的其他技术文件或说明。</w:t>
      </w:r>
      <w:r>
        <w:rPr>
          <w:rFonts w:hint="eastAsia" w:ascii="宋体" w:hAnsi="宋体"/>
          <w:color w:val="000000"/>
          <w:sz w:val="24"/>
          <w:highlight w:val="none"/>
          <w:lang w:val="zh-CN"/>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12.投标函和授权委托书</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 </w:t>
      </w:r>
      <w:r>
        <w:rPr>
          <w:rFonts w:hint="eastAsia" w:ascii="宋体" w:hAnsi="宋体"/>
          <w:b/>
          <w:bCs/>
          <w:color w:val="000000"/>
          <w:sz w:val="24"/>
          <w:highlight w:val="none"/>
          <w:lang w:val="zh-CN"/>
        </w:rPr>
        <w:t xml:space="preserve">投标人应按照招标文件规定完整、正确填报投标函</w:t>
      </w:r>
      <w:r>
        <w:rPr>
          <w:rFonts w:hint="eastAsia" w:ascii="宋体" w:hAnsi="宋体"/>
          <w:b/>
          <w:bCs/>
          <w:color w:val="000000"/>
          <w:sz w:val="24"/>
          <w:highlight w:val="none"/>
        </w:rPr>
        <w:t xml:space="preserve">和</w:t>
      </w:r>
      <w:r>
        <w:rPr>
          <w:rFonts w:hint="eastAsia" w:ascii="宋体" w:hAnsi="宋体"/>
          <w:b/>
          <w:bCs/>
          <w:color w:val="000000"/>
          <w:sz w:val="24"/>
          <w:highlight w:val="none"/>
        </w:rPr>
        <w:t xml:space="preserve">法定代表人授权委托书，</w:t>
      </w:r>
      <w:r>
        <w:rPr>
          <w:rFonts w:hint="eastAsia" w:ascii="宋体" w:hAnsi="宋体"/>
          <w:b/>
          <w:bCs/>
          <w:color w:val="000000"/>
          <w:sz w:val="24"/>
          <w:highlight w:val="none"/>
        </w:rPr>
        <w:t xml:space="preserve">否则作为无效投标</w:t>
      </w:r>
      <w:r>
        <w:rPr>
          <w:rFonts w:hint="eastAsia" w:ascii="宋体" w:hAnsi="宋体"/>
          <w:b/>
          <w:bCs/>
          <w:color w:val="000000"/>
          <w:sz w:val="24"/>
          <w:highlight w:val="none"/>
          <w:lang w:val="zh-CN"/>
        </w:rPr>
        <w:t xml:space="preserve">。</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13.投标有效期</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 投标有效期为招标公告规定的开标之日起六十天。投标有效期比规定短的将被视为未实质性响应招标文件，</w:t>
      </w:r>
      <w:r>
        <w:rPr>
          <w:rFonts w:hint="eastAsia" w:ascii="宋体" w:hAnsi="宋体"/>
          <w:color w:val="000000"/>
          <w:sz w:val="24"/>
          <w:highlight w:val="none"/>
        </w:rPr>
        <w:t xml:space="preserve">其投标将</w:t>
      </w:r>
      <w:r>
        <w:rPr>
          <w:rFonts w:hint="eastAsia" w:ascii="宋体" w:hAnsi="宋体"/>
          <w:color w:val="000000"/>
          <w:sz w:val="24"/>
          <w:highlight w:val="none"/>
          <w:lang w:val="zh-CN"/>
        </w:rPr>
        <w:t xml:space="preserve">被拒绝。</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14.投标有效期的延长</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highlight w:val="none"/>
        </w:rPr>
        <w:t xml:space="preserve">满</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2"/>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四、投标文件的递交、撤回和修改</w:t>
      </w:r>
      <w:r>
        <w:rPr>
          <w:rFonts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15.投标文件的递交</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 投标人应在招标公告规定的投标截止时间前制作并上传电子投标文件。投标截止时间后上传的投标文件将被拒绝。</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.1条规定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无效投标处理。</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16.投标文件的撤回和修改</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在投标截止时间至招标文件中规定的投标有效期满之间的这段时间内，投标人不得撤回其投标。</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17.开标</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w:t>
      </w:r>
      <w:r>
        <w:rPr>
          <w:rFonts w:hint="eastAsia" w:ascii="宋体" w:hAnsi="宋体"/>
          <w:color w:val="000000"/>
          <w:sz w:val="24"/>
          <w:highlight w:val="none"/>
        </w:rPr>
        <w:t xml:space="preserve">通过苏采云系统进行</w:t>
      </w:r>
      <w:r>
        <w:rPr>
          <w:rFonts w:hint="eastAsia" w:ascii="宋体" w:hAnsi="宋体"/>
          <w:color w:val="000000"/>
          <w:sz w:val="24"/>
          <w:highlight w:val="none"/>
          <w:lang w:val="zh-CN"/>
        </w:rPr>
        <w:t xml:space="preserve">投标文件解密、开标结果确认等工作。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投标人如果对开标过程和开标结果有疑义，应</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苏采云系统提出，苏采云系统中《开标记录表》公布后5分钟内未提出的，视同认可开标结果。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17.4 如出现投标截止时间递交投标文件的投标人不足三家的情况，按政府采购相关规定执行。</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18.评标</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18.1 评标由依法组建的评标委员会（以下简称“评委会”）进行。</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18.2 评委会由采购人代表和有关方面专家组成，人员构成符合政府采购有关规定。</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18.3 评委会独立工作，负责评审所有投标文件并推荐中标候选人，或根据采购人授权直接确定中标人。</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19.评标过程的保密与公正</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投标人不得以任何方式影响评标。</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20.投标文件的澄清</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21.投标文件的审查</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投标文件审查分为资格审查和符合性审查。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.1.1 资格审查。依据法律法规和招标文件规定，由采购人对投标文件中的资格证明文件进行审查，并向评委会反馈审查结论。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.1.2 符合性审查。评委会对</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资格</w:t>
      </w:r>
      <w:r>
        <w:rPr>
          <w:rFonts w:hint="eastAsia" w:ascii="宋体" w:hAnsi="宋体"/>
          <w:color w:val="000000"/>
          <w:sz w:val="24"/>
          <w:highlight w:val="none"/>
        </w:rPr>
        <w:t xml:space="preserve">审查</w:t>
      </w:r>
      <w:r>
        <w:rPr>
          <w:rFonts w:hint="eastAsia" w:ascii="宋体" w:hAnsi="宋体"/>
          <w:color w:val="000000"/>
          <w:sz w:val="24"/>
          <w:highlight w:val="none"/>
          <w:lang w:val="zh-CN"/>
        </w:rPr>
        <w:t xml:space="preserve">的投标人的投标文件进行符合性审查，以确定</w:t>
      </w:r>
      <w:r>
        <w:rPr>
          <w:rFonts w:hint="eastAsia" w:ascii="宋体" w:hAnsi="宋体"/>
          <w:color w:val="000000"/>
          <w:sz w:val="24"/>
          <w:highlight w:val="none"/>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.1.3 未通过资格审查或符合性审查的投标人，</w:t>
      </w:r>
      <w:r>
        <w:rPr>
          <w:rFonts w:hint="eastAsia" w:ascii="宋体" w:hAnsi="宋体"/>
          <w:color w:val="000000"/>
          <w:sz w:val="24"/>
          <w:highlight w:val="none"/>
        </w:rPr>
        <w:t xml:space="preserve">评委会</w:t>
      </w:r>
      <w:r>
        <w:rPr>
          <w:rFonts w:hint="eastAsia" w:ascii="宋体" w:hAnsi="宋体"/>
          <w:color w:val="000000"/>
          <w:sz w:val="24"/>
          <w:highlight w:val="none"/>
          <w:lang w:val="zh-CN"/>
        </w:rPr>
        <w:t xml:space="preserve">将通过苏采云系统告知其具体原因，评标结束后不再接受有关询问。</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w:t>
      </w:r>
      <w:r>
        <w:rPr>
          <w:rFonts w:hint="eastAsia" w:ascii="宋体" w:hAnsi="宋体"/>
          <w:color w:val="000000"/>
          <w:sz w:val="24"/>
          <w:highlight w:val="none"/>
        </w:rPr>
        <w:t xml:space="preserve">不一致</w:t>
      </w:r>
      <w:r>
        <w:rPr>
          <w:rFonts w:hint="eastAsia" w:ascii="宋体" w:hAnsi="宋体"/>
          <w:color w:val="000000"/>
          <w:sz w:val="24"/>
          <w:highlight w:val="none"/>
          <w:lang w:val="zh-CN"/>
        </w:rPr>
        <w:t xml:space="preserve">的，按照前款规定的顺序修正。</w:t>
      </w:r>
      <w:r>
        <w:rPr>
          <w:rFonts w:hint="eastAsia" w:ascii="宋体" w:hAnsi="宋体"/>
          <w:color w:val="000000"/>
          <w:sz w:val="24"/>
          <w:highlight w:val="none"/>
          <w:lang w:val="zh-CN"/>
        </w:rPr>
      </w:r>
      <w:r/>
    </w:p>
    <w:p>
      <w:pPr>
        <w:pStyle w:val="869"/>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评委会按上述</w:t>
      </w:r>
      <w:r>
        <w:rPr>
          <w:rFonts w:hint="eastAsia" w:ascii="宋体" w:hAnsi="宋体"/>
          <w:b/>
          <w:bCs/>
          <w:color w:val="000000"/>
          <w:sz w:val="24"/>
          <w:highlight w:val="none"/>
        </w:rPr>
        <w:t xml:space="preserve">规定修正</w:t>
      </w:r>
      <w:r>
        <w:rPr>
          <w:rFonts w:hint="eastAsia" w:ascii="宋体" w:hAnsi="宋体"/>
          <w:b/>
          <w:bCs/>
          <w:color w:val="000000"/>
          <w:sz w:val="24"/>
          <w:highlight w:val="none"/>
          <w:lang w:val="zh-CN"/>
        </w:rPr>
        <w:t xml:space="preserve">投标文件报价</w:t>
      </w:r>
      <w:r>
        <w:rPr>
          <w:rFonts w:hint="eastAsia" w:ascii="宋体" w:hAnsi="宋体"/>
          <w:b/>
          <w:bCs/>
          <w:color w:val="000000"/>
          <w:sz w:val="24"/>
          <w:highlight w:val="none"/>
        </w:rPr>
        <w:t xml:space="preserve">的</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应</w:t>
      </w:r>
      <w:r>
        <w:rPr>
          <w:rFonts w:hint="eastAsia" w:ascii="宋体" w:hAnsi="宋体"/>
          <w:b/>
          <w:bCs/>
          <w:color w:val="000000"/>
          <w:sz w:val="24"/>
          <w:highlight w:val="none"/>
          <w:lang w:val="zh-CN"/>
        </w:rPr>
        <w:t xml:space="preserve">通过苏采云系统</w:t>
      </w:r>
      <w:r>
        <w:rPr>
          <w:rFonts w:hint="eastAsia" w:ascii="宋体" w:hAnsi="宋体"/>
          <w:b/>
          <w:bCs/>
          <w:color w:val="000000"/>
          <w:sz w:val="24"/>
          <w:highlight w:val="none"/>
        </w:rPr>
        <w:t xml:space="preserve">要求</w:t>
      </w:r>
      <w:r>
        <w:rPr>
          <w:rFonts w:hint="eastAsia" w:ascii="宋体" w:hAnsi="宋体"/>
          <w:b/>
          <w:bCs/>
          <w:color w:val="000000"/>
          <w:sz w:val="24"/>
          <w:highlight w:val="none"/>
          <w:lang w:val="zh-CN"/>
        </w:rPr>
        <w:t xml:space="preserve">投标人</w:t>
      </w:r>
      <w:r>
        <w:rPr>
          <w:rFonts w:hint="eastAsia" w:ascii="宋体" w:hAnsi="宋体"/>
          <w:b/>
          <w:bCs/>
          <w:color w:val="000000"/>
          <w:sz w:val="24"/>
          <w:highlight w:val="none"/>
        </w:rPr>
        <w:t xml:space="preserve">确认</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修正后的报价按照本章第20条规定经投标人确认后产生约束力，投标人不确认的，其投标无效。</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 </w:t>
      </w:r>
      <w:r>
        <w:rPr>
          <w:rFonts w:hint="eastAsia" w:ascii="宋体" w:hAnsi="宋体"/>
          <w:color w:val="000000"/>
          <w:sz w:val="24"/>
          <w:highlight w:val="none"/>
          <w:lang w:val="zh-CN"/>
        </w:rPr>
        <w:t xml:space="preserve">投标人在开、评标全过程中应保持通讯畅通，及时登录苏采云系统查阅、答复相关信息。</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 </w:t>
      </w:r>
      <w:r>
        <w:rPr>
          <w:rFonts w:hint="eastAsia" w:ascii="宋体" w:hAnsi="宋体"/>
          <w:color w:val="000000"/>
          <w:sz w:val="24"/>
          <w:szCs w:val="22"/>
          <w:highlight w:val="none"/>
          <w:lang w:val="zh-CN"/>
        </w:rPr>
        <w:t xml:space="preserve">异常低价审查</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6</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评标过程中出现下列情形之一的，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应当启动异常低价审查程序：</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（1）投标报价低于全部通过符合性审查投标人投标报价平均值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的，即投标报价&lt;全部通过符合性审查投标人投标报价平均值×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（2）投标报价低于通过符合性审查的次低报价投标人投标报价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的，即投标报价&lt;通过符合性审查的次低报价投标人投标报价×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（3）投标报价低于采购项目最高限价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（4）</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基于专业判断，认为投标报价过低，有可能影响产品质量或者不能诚信履约的其他情形。</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6</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2</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应当将其作为无效投标处理。</w:t>
      </w:r>
      <w:r>
        <w:rPr>
          <w:rFonts w:hint="eastAsia" w:ascii="宋体" w:hAnsi="宋体"/>
          <w:color w:val="000000"/>
          <w:sz w:val="24"/>
          <w:szCs w:val="22"/>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22.无效投标和废标</w:t>
      </w:r>
      <w:r>
        <w:rPr>
          <w:rFonts w:hint="eastAsia" w:ascii="方正楷体_GBK" w:hAnsi="方正楷体_GBK" w:eastAsia="方正楷体_GBK" w:cs="方正楷体_GBK"/>
          <w:color w:val="000000"/>
          <w:highlight w:val="none"/>
        </w:rPr>
      </w:r>
      <w:r/>
    </w:p>
    <w:p>
      <w:pPr>
        <w:pStyle w:val="869"/>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2</w:t>
      </w:r>
      <w:r>
        <w:rPr>
          <w:rFonts w:hint="eastAsia" w:ascii="宋体" w:hAnsi="宋体"/>
          <w:b/>
          <w:bCs/>
          <w:color w:val="000000"/>
          <w:sz w:val="24"/>
          <w:highlight w:val="none"/>
          <w:lang w:val="zh-CN"/>
        </w:rPr>
        <w:t xml:space="preserve">.1</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无效投标情形</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rPr>
        <w:t xml:space="preserve">招标文件另有约定的除外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资格要求。</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按照本招标文件规定对投标人进行异常低价审查后，认为投标人不能证明其报价合理性的。</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9 </w:t>
      </w:r>
      <w:r>
        <w:rPr>
          <w:rFonts w:hint="eastAsia" w:ascii="宋体" w:hAnsi="宋体"/>
          <w:color w:val="000000"/>
          <w:sz w:val="24"/>
          <w:highlight w:val="none"/>
          <w:lang w:val="zh-CN"/>
        </w:rPr>
        <w:t xml:space="preserve">投标文件未按照招标文件要求加盖电子公章。</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22.1.10 投标人串通投标。</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.5 不同投标人的投标文件相互混装。</w:t>
      </w:r>
      <w:r>
        <w:rPr>
          <w:rFonts w:hint="eastAsia" w:ascii="宋体" w:hAnsi="宋体"/>
          <w:color w:val="000000"/>
          <w:sz w:val="24"/>
          <w:highlight w:val="none"/>
          <w:lang w:val="zh-CN"/>
        </w:rPr>
      </w:r>
      <w:r/>
    </w:p>
    <w:p>
      <w:pPr>
        <w:pStyle w:val="869"/>
        <w:ind w:firstLine="420"/>
        <w:rPr>
          <w:rFonts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.6 不同投标人的MAC地址</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标书制作工具客户端标识码一致。</w:t>
      </w:r>
      <w:r>
        <w:rPr>
          <w:rFonts w:ascii="宋体" w:hAnsi="宋体"/>
          <w:color w:val="000000"/>
          <w:sz w:val="24"/>
          <w:highlight w:val="none"/>
          <w:lang w:val="zh-CN"/>
        </w:rPr>
      </w:r>
      <w:r/>
    </w:p>
    <w:p>
      <w:pPr>
        <w:pStyle w:val="869"/>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2</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3 </w:t>
      </w:r>
      <w:r>
        <w:rPr>
          <w:rFonts w:hint="eastAsia" w:ascii="宋体" w:hAnsi="宋体"/>
          <w:b/>
          <w:bCs/>
          <w:color w:val="000000"/>
          <w:sz w:val="24"/>
          <w:highlight w:val="none"/>
          <w:lang w:val="zh-CN"/>
        </w:rPr>
        <w:t xml:space="preserve">废标情形</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w:t>
      </w:r>
      <w:r>
        <w:rPr>
          <w:rFonts w:hint="eastAsia" w:ascii="宋体" w:hAnsi="宋体"/>
          <w:color w:val="000000"/>
          <w:sz w:val="24"/>
          <w:highlight w:val="none"/>
        </w:rPr>
        <w:t xml:space="preserve">专业</w:t>
      </w:r>
      <w:r>
        <w:rPr>
          <w:rFonts w:hint="eastAsia" w:ascii="宋体" w:hAnsi="宋体"/>
          <w:color w:val="000000"/>
          <w:sz w:val="24"/>
          <w:highlight w:val="none"/>
          <w:lang w:val="zh-CN"/>
        </w:rPr>
        <w:t xml:space="preserve">条件的投标人或者对招标文件作实质响应的投标人不足三家。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投标人的报价均超过了采购预算或最高限价</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23.确定中标单位</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.4.1 提供虚假材料谋取中标。</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.4.2 向评审专家、采购人或交易中心工作人员行贿或者提供其他不正当利益。</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.4.3 与其他投标人、评审专家、采购人或交易中心工作人员恶意串通。</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.4.4 属于本文件规定的无效投标情形，但在评标过程中未被评委会发现。</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.4.5 采取不正当手段诋毁、排挤其他投标人。</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24.中标通知书</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25.签订合同</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5.1</w:t>
      </w:r>
      <w:r>
        <w:rPr>
          <w:rFonts w:hint="eastAsia" w:ascii="宋体" w:hAnsi="宋体"/>
          <w:color w:val="000000"/>
          <w:sz w:val="24"/>
          <w:highlight w:val="none"/>
          <w:lang w:val="zh-CN"/>
        </w:rPr>
        <w:t xml:space="preserve"> </w:t>
      </w:r>
      <w:r>
        <w:rPr>
          <w:rFonts w:hint="eastAsia" w:ascii="宋体" w:hAnsi="宋体"/>
          <w:color w:val="000000"/>
          <w:sz w:val="24"/>
          <w:highlight w:val="none"/>
        </w:rPr>
        <w:t xml:space="preserve">中标人应当</w:t>
      </w:r>
      <w:r>
        <w:rPr>
          <w:rFonts w:hint="eastAsia" w:ascii="宋体" w:hAnsi="宋体"/>
          <w:color w:val="000000"/>
          <w:sz w:val="24"/>
          <w:highlight w:val="none"/>
          <w:lang w:val="zh-CN"/>
        </w:rPr>
        <w:t xml:space="preserve">在《</w:t>
      </w:r>
      <w:r>
        <w:rPr>
          <w:rFonts w:hint="eastAsia" w:ascii="宋体" w:hAnsi="宋体"/>
          <w:color w:val="000000"/>
          <w:sz w:val="24"/>
          <w:highlight w:val="none"/>
        </w:rPr>
        <w:t xml:space="preserve">中标通知书</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发出之日起三十日内，按照招标文件确定的事项与采购人签订政府采购合同。</w:t>
      </w:r>
      <w:r>
        <w:rPr>
          <w:rFonts w:hint="eastAsia" w:ascii="宋体" w:hAnsi="宋体"/>
          <w:color w:val="000000"/>
          <w:sz w:val="24"/>
          <w:highlight w:val="none"/>
          <w:lang w:val="zh-CN"/>
        </w:rPr>
        <w:t xml:space="preserve">采购人于合同签订后2个工作日内通过苏采云系统进行公示。</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5.2 招标文件、中标人的投标文件及招标过程中有关澄清、承诺文件均作为合同附件。</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25.4中标人不得将合同标的进行转包，否则采购人有权取消其中标资格或终止合同。转包造成采购人损失的，中标人应承担相应赔偿责任。</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5.5 中标人因自身原因拒绝与采购人签订合同的，不得参加采购人</w:t>
      </w:r>
      <w:r>
        <w:rPr>
          <w:rFonts w:hint="eastAsia" w:ascii="宋体" w:hAnsi="宋体"/>
          <w:color w:val="000000"/>
          <w:sz w:val="24"/>
          <w:highlight w:val="none"/>
          <w:lang w:val="zh-CN"/>
        </w:rPr>
        <w:t xml:space="preserve">重新组织的</w:t>
      </w:r>
      <w:r>
        <w:rPr>
          <w:rFonts w:hint="eastAsia" w:ascii="宋体" w:hAnsi="宋体"/>
          <w:color w:val="000000"/>
          <w:sz w:val="24"/>
          <w:highlight w:val="none"/>
        </w:rPr>
        <w:t xml:space="preserve">采购活动</w:t>
      </w:r>
      <w:r>
        <w:rPr>
          <w:rFonts w:hint="eastAsia" w:ascii="宋体" w:hAnsi="宋体"/>
          <w:color w:val="000000"/>
          <w:sz w:val="24"/>
          <w:highlight w:val="none"/>
          <w:lang w:val="zh-CN"/>
        </w:rPr>
        <w:t xml:space="preserve">，且将可能被拒绝参加该采购人</w:t>
      </w:r>
      <w:r>
        <w:rPr>
          <w:rFonts w:hint="eastAsia" w:ascii="宋体" w:hAnsi="宋体"/>
          <w:color w:val="000000"/>
          <w:sz w:val="24"/>
          <w:highlight w:val="none"/>
        </w:rPr>
        <w:t xml:space="preserve">一年内</w:t>
      </w:r>
      <w:r>
        <w:rPr>
          <w:rFonts w:hint="eastAsia" w:ascii="宋体" w:hAnsi="宋体"/>
          <w:color w:val="000000"/>
          <w:sz w:val="24"/>
          <w:highlight w:val="none"/>
          <w:lang w:val="zh-CN"/>
        </w:rPr>
        <w:t xml:space="preserve">的其他</w:t>
      </w:r>
      <w:r>
        <w:rPr>
          <w:rFonts w:hint="eastAsia" w:ascii="宋体" w:hAnsi="宋体"/>
          <w:color w:val="000000"/>
          <w:sz w:val="24"/>
          <w:highlight w:val="none"/>
        </w:rPr>
        <w:t xml:space="preserve">政府采购活动。</w:t>
      </w:r>
      <w:r>
        <w:rPr>
          <w:rFonts w:hint="eastAsia" w:ascii="宋体" w:hAnsi="宋体"/>
          <w:color w:val="000000"/>
          <w:sz w:val="24"/>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26.标的物的追加</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27政府采购履约资金扶持政策</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27</w:t>
      </w:r>
      <w:r>
        <w:rPr>
          <w:rFonts w:hint="eastAsia" w:ascii="宋体" w:hAnsi="宋体"/>
          <w:color w:val="000000"/>
          <w:sz w:val="24"/>
          <w:highlight w:val="none"/>
          <w:lang w:val="zh-CN"/>
        </w:rPr>
        <w:t xml:space="preserve">.1 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可通过南京市公共资源交易平台网站“小企业融资平台”，选择相应的金融机构办理融资贷款。</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27</w:t>
      </w:r>
      <w:r>
        <w:rPr>
          <w:rFonts w:hint="eastAsia" w:ascii="宋体" w:hAnsi="宋体"/>
          <w:color w:val="000000"/>
          <w:sz w:val="24"/>
          <w:highlight w:val="none"/>
          <w:lang w:val="zh-CN"/>
        </w:rPr>
        <w:t xml:space="preserve">.2 依据《关于在全省政府采购领域推行电子履约保函（保险）的通知》（苏财购〔2023〕150号），需要缴纳履约保证金的，中标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可通过江苏政府采购网“政府采购电子履约保函（保险）综合服务平台”线上办理履约保函（保险）。</w:t>
      </w:r>
      <w:r>
        <w:rPr>
          <w:rFonts w:hint="eastAsia" w:ascii="宋体" w:hAnsi="宋体"/>
          <w:color w:val="000000"/>
          <w:sz w:val="24"/>
          <w:highlight w:val="none"/>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提出质疑的投标人应当是参与所质疑项目采购活动的投标人，潜在投标人依法获取其可质疑的招标文件的，可以对招标文件提出质疑。</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按照第31条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第32</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 对招标文件提出质疑的，为收到招标文件之日或者招标文件公告期限届满之日。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.2 对采购过程提出质疑的，为各采购程序环节结束之日。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.3 对中标或者成交结果提出质疑的，为中标或者成交结果公告期限届满之日。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由授权代表负责质疑事宜的，《质疑函》附件中应提交由质疑投标人法定代表人或主要负责人签署的《授权委托书》。</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69"/>
        <w:ind w:firstLine="420"/>
        <w:rPr>
          <w:rFonts w:hint="eastAsia" w:ascii="宋体" w:hAnsi="宋体"/>
          <w:b/>
          <w:bCs/>
          <w:color w:val="000000"/>
          <w:sz w:val="24"/>
          <w:szCs w:val="22"/>
          <w:highlight w:val="none"/>
        </w:rPr>
      </w:pPr>
      <w:r>
        <w:rPr>
          <w:rFonts w:hint="eastAsia" w:ascii="宋体" w:hAnsi="宋体"/>
          <w:color w:val="000000"/>
          <w:sz w:val="24"/>
          <w:highlight w:val="none"/>
        </w:rPr>
        <w:t xml:space="preserve">32.</w:t>
      </w:r>
      <w:r>
        <w:rPr>
          <w:rFonts w:hint="eastAsia" w:ascii="宋体" w:hAnsi="宋体"/>
          <w:b/>
          <w:bCs/>
          <w:color w:val="000000"/>
          <w:sz w:val="24"/>
          <w:highlight w:val="none"/>
        </w:rPr>
        <w:t xml:space="preserve">投标人根据质疑事项向相应的质疑答复主体提出质疑，具体详见招标文件第一章。</w:t>
      </w:r>
      <w:r>
        <w:rPr>
          <w:rFonts w:hint="eastAsia" w:ascii="宋体" w:hAnsi="宋体"/>
          <w:b/>
          <w:bCs/>
          <w:color w:val="000000"/>
          <w:sz w:val="24"/>
          <w:szCs w:val="22"/>
          <w:highlight w:val="none"/>
        </w:rPr>
        <w:t xml:space="preserve">由采购人负责答复的质疑，采购人将《质疑函》《质疑答复函》抄送交易中心。</w:t>
      </w:r>
      <w:r>
        <w:rPr>
          <w:rFonts w:hint="eastAsia" w:ascii="宋体" w:hAnsi="宋体"/>
          <w:b/>
          <w:bCs/>
          <w:color w:val="000000"/>
          <w:sz w:val="24"/>
          <w:szCs w:val="22"/>
          <w:highlight w:val="none"/>
        </w:rPr>
      </w:r>
      <w:r/>
    </w:p>
    <w:p>
      <w:pPr>
        <w:pStyle w:val="869"/>
        <w:ind w:firstLine="422"/>
        <w:rPr>
          <w:rFonts w:hint="eastAsia" w:ascii="宋体" w:hAnsi="宋体"/>
          <w:b/>
          <w:bCs/>
          <w:color w:val="000000"/>
          <w:sz w:val="24"/>
          <w:highlight w:val="none"/>
        </w:rPr>
      </w:pPr>
      <w:r>
        <w:rPr>
          <w:rFonts w:hint="eastAsia" w:ascii="宋体" w:hAnsi="宋体"/>
          <w:b/>
          <w:bCs/>
          <w:color w:val="000000"/>
          <w:sz w:val="24"/>
          <w:highlight w:val="none"/>
        </w:rPr>
        <w:t xml:space="preserve">投标人对采购人、交易中心的质疑答复不满意，或者采购人、交易中心未在规定时间内作出质疑答复的，可以在答复期满后15个工作日内向南京市财政局提起投诉。</w:t>
      </w:r>
      <w:r>
        <w:rPr>
          <w:rFonts w:hint="eastAsia" w:ascii="宋体" w:hAnsi="宋体"/>
          <w:b/>
          <w:bCs/>
          <w:color w:val="000000"/>
          <w:sz w:val="24"/>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.1 超出政府采购法定期限的质疑。</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.2 </w:t>
      </w:r>
      <w:r>
        <w:rPr>
          <w:rFonts w:hint="eastAsia" w:ascii="宋体" w:hAnsi="宋体"/>
          <w:color w:val="000000"/>
          <w:sz w:val="24"/>
          <w:highlight w:val="none"/>
        </w:rPr>
        <w:t xml:space="preserve">属于第30条规定的对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color w:val="000000"/>
          <w:sz w:val="24"/>
          <w:highlight w:val="none"/>
          <w:lang w:val="zh-CN"/>
        </w:rPr>
      </w:r>
      <w:r/>
    </w:p>
    <w:p>
      <w:pPr>
        <w:pStyle w:val="872"/>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5</w:t>
      </w:r>
      <w:r>
        <w:rPr>
          <w:rFonts w:hint="eastAsia" w:ascii="方正楷体_GBK" w:hAnsi="方正楷体_GBK" w:eastAsia="方正楷体_GBK" w:cs="方正楷体_GBK"/>
          <w:color w:val="000000"/>
          <w:highlight w:val="none"/>
          <w:lang w:val="zh-CN"/>
        </w:rPr>
        <w:t xml:space="preserve">.促进中小企业发展</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35.1 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color w:val="000000"/>
          <w:sz w:val="24"/>
          <w:highlight w:val="none"/>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rPr>
      </w:r>
      <w:r/>
    </w:p>
    <w:p>
      <w:pPr>
        <w:pStyle w:val="869"/>
        <w:ind w:firstLine="420"/>
        <w:rPr>
          <w:rFonts w:ascii="宋体" w:hAnsi="宋体"/>
          <w:b/>
          <w:bCs/>
          <w:color w:val="000000"/>
          <w:sz w:val="24"/>
          <w:highlight w:val="none"/>
        </w:rPr>
      </w:pPr>
      <w:r>
        <w:rPr>
          <w:rFonts w:hint="eastAsia" w:ascii="宋体" w:hAnsi="宋体"/>
          <w:color w:val="000000"/>
          <w:sz w:val="24"/>
          <w:highlight w:val="none"/>
        </w:rPr>
        <w:t xml:space="preserve">35.2 中小企业参加政府采购活动，应当</w:t>
      </w:r>
      <w:r>
        <w:rPr>
          <w:rFonts w:ascii="宋体" w:hAnsi="宋体"/>
          <w:color w:val="000000"/>
          <w:sz w:val="24"/>
          <w:highlight w:val="none"/>
        </w:rPr>
        <w:t xml:space="preserve">出具</w:t>
      </w:r>
      <w:r>
        <w:rPr>
          <w:rFonts w:hint="eastAsia" w:ascii="宋体" w:hAnsi="宋体"/>
          <w:color w:val="000000"/>
          <w:sz w:val="24"/>
          <w:highlight w:val="none"/>
        </w:rPr>
        <w:t xml:space="preserve">《中小企业声明函》，否则不享受相关中小企业支持政策。</w:t>
      </w:r>
      <w:r>
        <w:rPr>
          <w:rFonts w:hint="eastAsia" w:ascii="宋体" w:hAnsi="宋体"/>
          <w:b/>
          <w:bCs/>
          <w:color w:val="000000"/>
          <w:sz w:val="24"/>
          <w:highlight w:val="none"/>
        </w:rPr>
        <w:t xml:space="preserve">中标人享受中小企业扶持政策的，其《中小企业声明函》将随中标结果公开。</w:t>
      </w:r>
      <w:r>
        <w:rPr>
          <w:rFonts w:ascii="宋体" w:hAnsi="宋体"/>
          <w:b/>
          <w:bCs/>
          <w:color w:val="000000"/>
          <w:sz w:val="24"/>
          <w:highlight w:val="none"/>
        </w:rPr>
      </w:r>
      <w:r/>
    </w:p>
    <w:p>
      <w:pPr>
        <w:pStyle w:val="869"/>
        <w:ind w:firstLine="420"/>
        <w:rPr>
          <w:rFonts w:hint="eastAsia" w:ascii="宋体" w:hAnsi="宋体" w:cs="宋体"/>
          <w:b/>
          <w:bCs/>
          <w:color w:val="000000"/>
          <w:sz w:val="24"/>
          <w:szCs w:val="24"/>
          <w:highlight w:val="none"/>
        </w:rPr>
      </w:pPr>
      <w:r>
        <w:rPr>
          <w:rFonts w:hint="eastAsia" w:ascii="宋体" w:hAnsi="宋体"/>
          <w:color w:val="000000"/>
          <w:sz w:val="24"/>
          <w:highlight w:val="none"/>
        </w:rPr>
        <w:t xml:space="preserve">35.3 </w:t>
      </w:r>
      <w:r>
        <w:rPr>
          <w:rFonts w:hint="eastAsia" w:ascii="宋体" w:hAnsi="宋体" w:cs="宋体"/>
          <w:b/>
          <w:bCs/>
          <w:color w:val="000000"/>
          <w:sz w:val="24"/>
          <w:szCs w:val="24"/>
          <w:highlight w:val="none"/>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color w:val="000000"/>
          <w:sz w:val="24"/>
          <w:szCs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szCs w:val="22"/>
          <w:highlight w:val="none"/>
        </w:rPr>
        <w:t xml:space="preserve">35.4</w:t>
      </w:r>
      <w:r>
        <w:rPr>
          <w:rFonts w:hint="eastAsia" w:ascii="宋体" w:hAnsi="宋体"/>
          <w:b/>
          <w:bCs/>
          <w:color w:val="000000"/>
          <w:sz w:val="24"/>
          <w:szCs w:val="22"/>
          <w:highlight w:val="none"/>
        </w:rPr>
        <w:t xml:space="preserve"> </w:t>
      </w:r>
      <w:r>
        <w:rPr>
          <w:rFonts w:hint="eastAsia" w:ascii="宋体" w:hAnsi="宋体"/>
          <w:b/>
          <w:bCs/>
          <w:color w:val="000000"/>
          <w:sz w:val="24"/>
          <w:szCs w:val="22"/>
          <w:highlight w:val="none"/>
          <w:lang w:val="zh-CN"/>
        </w:rPr>
        <w:t xml:space="preserve">评委会评审中发现</w:t>
      </w:r>
      <w:r>
        <w:rPr>
          <w:rFonts w:hint="eastAsia" w:ascii="宋体" w:hAnsi="宋体"/>
          <w:b/>
          <w:bCs/>
          <w:color w:val="000000"/>
          <w:sz w:val="24"/>
          <w:szCs w:val="22"/>
          <w:highlight w:val="none"/>
        </w:rPr>
        <w:t xml:space="preserve">投标人</w:t>
      </w:r>
      <w:r>
        <w:rPr>
          <w:rFonts w:hint="eastAsia" w:ascii="宋体" w:hAnsi="宋体"/>
          <w:b/>
          <w:bCs/>
          <w:color w:val="000000"/>
          <w:sz w:val="24"/>
          <w:szCs w:val="22"/>
          <w:highlight w:val="none"/>
          <w:lang w:val="zh-CN"/>
        </w:rPr>
        <w:t xml:space="preserve">提供的</w:t>
      </w:r>
      <w:r>
        <w:rPr>
          <w:rFonts w:hint="eastAsia" w:ascii="宋体" w:hAnsi="宋体"/>
          <w:b/>
          <w:bCs/>
          <w:color w:val="000000"/>
          <w:sz w:val="24"/>
          <w:highlight w:val="none"/>
          <w:lang w:val="zh-CN"/>
        </w:rPr>
        <w:t xml:space="preserve">《中小企业声明函》</w:t>
      </w:r>
      <w:r>
        <w:rPr>
          <w:rFonts w:hint="eastAsia" w:ascii="宋体" w:hAnsi="宋体"/>
          <w:b/>
          <w:bCs/>
          <w:color w:val="000000"/>
          <w:sz w:val="24"/>
          <w:szCs w:val="22"/>
          <w:highlight w:val="none"/>
          <w:lang w:val="zh-CN"/>
        </w:rPr>
        <w:t xml:space="preserve">内容含义不明确、同类事项表述不一致或者有明显文字错误等情况的，应当以书面形式要求</w:t>
      </w:r>
      <w:r>
        <w:rPr>
          <w:rFonts w:hint="eastAsia" w:ascii="宋体" w:hAnsi="宋体"/>
          <w:b/>
          <w:bCs/>
          <w:color w:val="000000"/>
          <w:sz w:val="24"/>
          <w:szCs w:val="22"/>
          <w:highlight w:val="none"/>
        </w:rPr>
        <w:t xml:space="preserve">投标人</w:t>
      </w:r>
      <w:r>
        <w:rPr>
          <w:rFonts w:hint="eastAsia" w:ascii="宋体" w:hAnsi="宋体"/>
          <w:b/>
          <w:bCs/>
          <w:color w:val="000000"/>
          <w:sz w:val="24"/>
          <w:szCs w:val="22"/>
          <w:highlight w:val="none"/>
          <w:lang w:val="zh-CN"/>
        </w:rPr>
        <w:t xml:space="preserve">作出必要的澄清、说明或者补正。</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35.5 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35.7 残疾人福利性单位视同小型、微型企业。按照《关于促进残疾人就业政府采购政策的通知》（财库〔2017〕141号）规定，残疾人福利性单位需提供《残疾人福利性单位声明函》。</w:t>
      </w:r>
      <w:bookmarkEnd w:id="48"/>
      <w:r/>
      <w:bookmarkStart w:id="49" w:name="_Toc120614221"/>
      <w:r/>
      <w:bookmarkStart w:id="50" w:name="_Toc479757207"/>
      <w:r/>
      <w:bookmarkStart w:id="51" w:name="_Toc20823314"/>
      <w:r/>
      <w:bookmarkStart w:id="52" w:name="_Toc513029242"/>
      <w:r/>
      <w:bookmarkStart w:id="53" w:name="_Toc16938558"/>
      <w:r>
        <w:rPr>
          <w:rFonts w:hint="eastAsia" w:ascii="宋体" w:hAnsi="宋体"/>
          <w:color w:val="000000"/>
          <w:sz w:val="24"/>
          <w:highlight w:val="none"/>
          <w:lang w:val="zh-CN"/>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节能产品和环境标志产品</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36.2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36.3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37.1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文件执行。招标文件对</w:t>
      </w:r>
      <w:r>
        <w:rPr>
          <w:rFonts w:hint="eastAsia" w:ascii="宋体"/>
          <w:bCs/>
          <w:color w:val="000000"/>
          <w:sz w:val="24"/>
          <w:szCs w:val="24"/>
          <w:highlight w:val="none"/>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37.2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绿色数据中心政府采购需求标准（试行）&gt;的通知》（财办库〔2023〕7号）、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color w:val="000000"/>
          <w:sz w:val="24"/>
          <w:highlight w:val="none"/>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rPr>
        <w:t xml:space="preserve">38.1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39.</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40.</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40.4对本国产品的支持政策</w:t>
      </w:r>
      <w:r>
        <w:rPr>
          <w:rFonts w:ascii="宋体" w:hAnsi="宋体"/>
          <w:color w:val="000000"/>
          <w:sz w:val="24"/>
          <w:highlight w:val="none"/>
        </w:rPr>
      </w:r>
      <w:r/>
    </w:p>
    <w:p>
      <w:pPr>
        <w:pStyle w:val="86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40.5政策执行要求</w:t>
      </w:r>
      <w:r>
        <w:rPr>
          <w:rFonts w:ascii="宋体" w:hAnsi="宋体"/>
          <w:color w:val="000000"/>
          <w:sz w:val="24"/>
          <w:highlight w:val="none"/>
        </w:rPr>
      </w:r>
      <w:r/>
    </w:p>
    <w:p>
      <w:pPr>
        <w:pStyle w:val="86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6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color w:val="000000"/>
          <w:sz w:val="24"/>
          <w:highlight w:val="none"/>
          <w:lang w:val="zh-CN"/>
        </w:rPr>
      </w:r>
      <w:r/>
    </w:p>
    <w:p>
      <w:pPr>
        <w:pStyle w:val="948"/>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spacing w:before="145" w:after="145"/>
        <w:rPr>
          <w:rFonts w:hint="eastAsia" w:ascii="宋体" w:hAnsi="宋体"/>
          <w:bCs/>
          <w:color w:val="000000"/>
          <w:sz w:val="24"/>
          <w:highlight w:val="none"/>
        </w:rPr>
      </w:pPr>
      <w:r/>
      <w:bookmarkStart w:id="54" w:name="_Toc20823315"/>
      <w:r/>
      <w:bookmarkStart w:id="55" w:name="_Toc16938559"/>
      <w:r/>
      <w:bookmarkStart w:id="56" w:name="_Toc513029243"/>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948"/>
        <w:ind w:left="0"/>
        <w:rPr>
          <w:rFonts w:hint="eastAsia"/>
          <w:color w:val="000000"/>
          <w:highlight w:val="none"/>
        </w:rPr>
      </w:pPr>
      <w:r>
        <w:rPr>
          <w:rFonts w:hint="eastAsia"/>
          <w:color w:val="000000"/>
          <w:highlight w:val="none"/>
        </w:rPr>
      </w:r>
      <w:r/>
    </w:p>
    <w:p>
      <w:pPr>
        <w:pStyle w:val="869"/>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69"/>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69"/>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69"/>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10"/>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本合同金额为：人民币____________________元，（大写：_____________________）</w:t>
      </w:r>
      <w:r>
        <w:rPr>
          <w:rFonts w:hAnsi="宋体"/>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69"/>
        <w:rPr>
          <w:rFonts w:hint="eastAsia" w:eastAsia="宋体"/>
          <w:color w:val="000000"/>
          <w:highlight w:val="none"/>
          <w:lang w:val="en-US" w:eastAsia="zh-CN"/>
        </w:rPr>
        <w:outlineLvl w:val="3"/>
      </w:pPr>
      <w:r>
        <w:rPr>
          <w:rFonts w:hint="eastAsia" w:ascii="宋体" w:hAnsi="宋体" w:cs="Courier New"/>
          <w:color w:val="000000"/>
          <w:sz w:val="24"/>
          <w:szCs w:val="24"/>
          <w:highlight w:val="none"/>
        </w:rPr>
        <w:t xml:space="preserve">6.1 本项目乙方无需缴纳履约保证金</w:t>
      </w:r>
      <w:r>
        <w:rPr>
          <w:rFonts w:hint="eastAsia" w:eastAsia="宋体"/>
          <w:color w:val="000000"/>
          <w:highlight w:val="none"/>
          <w:lang w:val="en-US" w:eastAsia="zh-CN"/>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69"/>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乙方不得将合同标的转包给他人履行，否则甲方有权终止合同。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除招标文件允许的分包情况外，乙方不得将合同标的分包给他人履行，否则甲方有权终止合同。</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10"/>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合同签订后，甲方支付合同总价款的</w:t>
      </w: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0%作为预付款。</w:t>
      </w:r>
      <w:r>
        <w:rPr>
          <w:rFonts w:hint="eastAsia"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8.1.2 项目上线并得到甲方确认后，甲方支付合同总价款的</w:t>
      </w:r>
      <w:r>
        <w:rPr>
          <w:rFonts w:ascii="宋体" w:hAnsi="宋体" w:cs="Courier New"/>
          <w:color w:val="000000"/>
          <w:sz w:val="24"/>
          <w:szCs w:val="24"/>
          <w:highlight w:val="none"/>
        </w:rPr>
        <w:t xml:space="preserve">6</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8</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3 </w:t>
      </w:r>
      <w:r>
        <w:rPr>
          <w:rFonts w:hint="eastAsia" w:ascii="宋体" w:hAnsi="宋体" w:cs="Courier New"/>
          <w:color w:val="000000"/>
          <w:sz w:val="24"/>
          <w:szCs w:val="24"/>
          <w:highlight w:val="none"/>
        </w:rPr>
        <w:t xml:space="preserve">项目验收合格后，甲方支付合同总价款的</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hint="eastAsia" w:ascii="宋体" w:hAnsi="宋体" w:cs="Courier New"/>
          <w:color w:val="000000"/>
          <w:sz w:val="24"/>
          <w:szCs w:val="24"/>
          <w:highlight w:val="none"/>
        </w:rPr>
      </w:r>
      <w:r/>
    </w:p>
    <w:p>
      <w:pPr>
        <w:pStyle w:val="910"/>
        <w:rPr>
          <w:rFonts w:hint="eastAsia"/>
          <w:color w:val="000000"/>
          <w:highlight w:val="none"/>
        </w:rPr>
      </w:pPr>
      <w:r>
        <w:rPr>
          <w:rFonts w:hint="eastAsia" w:hAnsi="宋体"/>
          <w:color w:val="000000"/>
          <w:sz w:val="24"/>
          <w:szCs w:val="24"/>
          <w:highlight w:val="none"/>
        </w:rPr>
        <w:t xml:space="preserve">8.1.</w:t>
      </w:r>
      <w:r>
        <w:rPr>
          <w:rFonts w:hAnsi="宋体"/>
          <w:color w:val="000000"/>
          <w:sz w:val="24"/>
          <w:szCs w:val="24"/>
          <w:highlight w:val="none"/>
        </w:rPr>
        <w:t xml:space="preserve">4</w:t>
      </w:r>
      <w:r>
        <w:rPr>
          <w:rFonts w:hint="eastAsia" w:hAnsi="宋体"/>
          <w:color w:val="000000"/>
          <w:sz w:val="24"/>
          <w:szCs w:val="24"/>
          <w:highlight w:val="none"/>
        </w:rPr>
        <w:t xml:space="preserve"> 满足合同约定支付条件的，甲方收到乙方发票后10个工作日内，将资金支付到合同约定的乙方账户。 </w:t>
      </w:r>
      <w:r>
        <w:rPr>
          <w:rFonts w:hint="eastAsia"/>
          <w:color w:val="000000"/>
          <w:highlight w:val="none"/>
        </w:rPr>
      </w:r>
      <w:r/>
    </w:p>
    <w:p>
      <w:pPr>
        <w:pStyle w:val="910"/>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69"/>
        <w:spacing w:line="264" w:lineRule="auto"/>
        <w:rPr>
          <w:rFonts w:hint="eastAsia"/>
          <w:color w:val="000000"/>
          <w:highlight w:val="none"/>
        </w:rPr>
      </w:pPr>
      <w:r>
        <w:rPr>
          <w:rFonts w:hint="eastAsia" w:ascii="宋体" w:hAnsi="宋体" w:cs="Courier New"/>
          <w:color w:val="000000"/>
          <w:sz w:val="24"/>
          <w:szCs w:val="24"/>
          <w:highlight w:val="none"/>
        </w:rPr>
        <w:t xml:space="preserve">10.7</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color w:val="000000"/>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5%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0.1%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20%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2</w:t>
      </w:r>
      <w:r>
        <w:rPr>
          <w:rFonts w:ascii="宋体" w:hAnsi="宋体" w:cs="Courier New"/>
          <w:color w:val="000000"/>
          <w:sz w:val="24"/>
          <w:szCs w:val="24"/>
          <w:highlight w:val="none"/>
          <w:u w:val="single"/>
        </w:rPr>
        <w:t xml:space="preserve">0</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869"/>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十四、合同生效及其他</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10"/>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0"/>
        <w:ind w:firstLine="240"/>
        <w:spacing w:before="120" w:after="120"/>
        <w:rPr>
          <w:rFonts w:hint="eastAsia" w:hAnsi="宋体"/>
          <w:color w:val="000000"/>
          <w:sz w:val="24"/>
          <w:szCs w:val="24"/>
          <w:highlight w:val="none"/>
        </w:rPr>
      </w:pPr>
      <w:r/>
      <w:bookmarkEnd w:id="54"/>
      <w:r/>
      <w:bookmarkEnd w:id="55"/>
      <w:r/>
      <w:bookmarkEnd w:id="56"/>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910"/>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910"/>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910"/>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10"/>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0"/>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910"/>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869"/>
        <w:jc w:val="center"/>
        <w:spacing w:before="145" w:after="145"/>
        <w:rPr>
          <w:rFonts w:hint="eastAsia" w:ascii="宋体" w:hAnsi="宋体"/>
          <w:b/>
          <w:color w:val="000000"/>
          <w:sz w:val="30"/>
          <w:highlight w:val="none"/>
        </w:rPr>
      </w:pPr>
      <w:r>
        <w:rPr>
          <w:rFonts w:hint="eastAsia" w:ascii="宋体" w:hAnsi="宋体"/>
          <w:b/>
          <w:color w:val="000000"/>
          <w:sz w:val="30"/>
          <w:highlight w:val="none"/>
        </w:rPr>
      </w:r>
      <w:r/>
    </w:p>
    <w:p>
      <w:pPr>
        <w:pStyle w:val="869"/>
        <w:jc w:val="center"/>
        <w:spacing w:before="145" w:after="145"/>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910"/>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rPr>
      </w:r>
      <w:r/>
    </w:p>
    <w:p>
      <w:pPr>
        <w:pStyle w:val="869"/>
        <w:ind w:firstLine="480"/>
        <w:spacing w:line="252" w:lineRule="auto"/>
        <w:rPr>
          <w:rFonts w:hint="eastAsia" w:ascii="黑体" w:hAnsi="黑体" w:eastAsia="黑体" w:cs="黑体"/>
          <w:color w:val="000000"/>
          <w:sz w:val="24"/>
          <w:szCs w:val="24"/>
          <w:highlight w:val="none"/>
        </w:rPr>
      </w:pPr>
      <w:r/>
      <w:bookmarkStart w:id="57" w:name="_Toc26554093"/>
      <w:r/>
      <w:bookmarkStart w:id="58" w:name="_Toc49090575"/>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869"/>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869"/>
        <w:ind w:firstLine="420"/>
        <w:rPr>
          <w:color w:val="000000"/>
          <w:highlight w:val="none"/>
        </w:rPr>
      </w:pPr>
      <w:r>
        <w:rPr>
          <w:rFonts w:hint="eastAsia"/>
          <w:color w:val="000000"/>
          <w:highlight w:val="none"/>
        </w:rPr>
        <w:t xml:space="preserve">随着智慧医院建设深入推进，</w:t>
      </w:r>
      <w:r>
        <w:rPr>
          <w:rFonts w:hint="eastAsia" w:ascii="Times New Roman" w:hAnsi="Times New Roman" w:eastAsia="宋体" w:cs="Times New Roman"/>
          <w:b w:val="0"/>
          <w:color w:val="000000"/>
          <w:sz w:val="21"/>
          <w:szCs w:val="21"/>
          <w:highlight w:val="none"/>
        </w:rPr>
        <w:t xml:space="preserve">南京市妇幼保健院</w:t>
      </w:r>
      <w:r>
        <w:rPr>
          <w:rFonts w:hint="eastAsia"/>
          <w:color w:val="000000"/>
          <w:highlight w:val="none"/>
        </w:rPr>
        <w:t xml:space="preserve">业务系统日益复杂，HIS、EMR、PACS等核心医疗业务系统承载着海量患者诊疗数据，数据资产价值高、敏感性强的特点使其成为网络安全重点保护对象。同时，国家卫健委《医院智慧服务分级评估标准体系》及《网络安全法》《数据安全法》等法规对医疗机构网络安全提出了更高要求，传统以边界防护为主的安全建设模式已难以应对新型网络威胁。</w:t>
      </w:r>
      <w:r>
        <w:rPr>
          <w:color w:val="000000"/>
          <w:highlight w:val="none"/>
        </w:rPr>
      </w:r>
      <w:r/>
    </w:p>
    <w:p>
      <w:pPr>
        <w:pStyle w:val="869"/>
        <w:ind w:firstLine="420"/>
        <w:rPr>
          <w:color w:val="000000"/>
          <w:highlight w:val="none"/>
        </w:rPr>
      </w:pPr>
      <w:r>
        <w:rPr>
          <w:rFonts w:hint="eastAsia"/>
          <w:color w:val="000000"/>
          <w:highlight w:val="none"/>
        </w:rPr>
        <w:t xml:space="preserve">本项目围绕医院算力资源服务配套安全服务能力建设，构建"监测、管控、防护、认证"</w:t>
      </w:r>
      <w:r>
        <w:rPr>
          <w:rFonts w:hint="eastAsia"/>
          <w:color w:val="000000"/>
          <w:highlight w:val="none"/>
        </w:rPr>
        <w:t xml:space="preserve">四位一体的安全服务体系。MSS安全运营服务通过7×24小时安全监控中心，实现威胁实时监测、漏洞闭环管理、应急响应处置，将安全能力从"事后补救"转变为"事前预防、事中阻断"。DSN安全管控服务建立动态可信准入机制，实现终端身份认证、行为审计、异常隔离,有效防范内网横向渗透风险。SSL域名证书服务为算力业务网站提供HTTPS加密通道，保障算力调度和知识库中患者个人信息及诊疗数据传输安全。算力架构中涉及的算力平台、调度管理平台、知识库平台系统中均需要部署相应安全防护系统提供病毒查杀、勒索防护等能力，构建安全基线。</w:t>
      </w:r>
      <w:r>
        <w:rPr>
          <w:color w:val="000000"/>
          <w:highlight w:val="none"/>
        </w:rPr>
      </w:r>
      <w:r/>
    </w:p>
    <w:p>
      <w:pPr>
        <w:pStyle w:val="869"/>
        <w:ind w:firstLine="420"/>
        <w:spacing w:line="252" w:lineRule="auto"/>
        <w:rPr>
          <w:rFonts w:hint="eastAsia" w:ascii="宋体" w:hAnsi="宋体"/>
          <w:color w:val="000000"/>
          <w:sz w:val="24"/>
          <w:szCs w:val="24"/>
          <w:highlight w:val="none"/>
        </w:rPr>
      </w:pPr>
      <w:r>
        <w:rPr>
          <w:rFonts w:hint="eastAsia"/>
          <w:color w:val="000000"/>
          <w:highlight w:val="none"/>
        </w:rPr>
        <w:t xml:space="preserve">项目建成后，将对算力资源服务形成覆盖网络、主机、应用、数据的安全防护闭环，用来提升加固采购人算力资源服务的安全态势感知与协同防御能力，为智慧医院建设提供坚实的安全保障，确保医疗业务连续运行及患者数据安全。</w:t>
      </w:r>
      <w:r>
        <w:rPr>
          <w:rFonts w:hint="eastAsia" w:ascii="宋体" w:hAnsi="宋体"/>
          <w:color w:val="000000"/>
          <w:sz w:val="24"/>
          <w:szCs w:val="24"/>
          <w:highlight w:val="none"/>
        </w:rPr>
      </w:r>
      <w:r/>
    </w:p>
    <w:p>
      <w:pPr>
        <w:pStyle w:val="869"/>
        <w:ind w:firstLine="480"/>
        <w:spacing w:line="252"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ascii="黑体" w:hAnsi="黑体" w:eastAsia="黑体" w:cs="黑体"/>
          <w:color w:val="000000"/>
          <w:sz w:val="24"/>
          <w:szCs w:val="24"/>
          <w:highlight w:val="none"/>
        </w:rPr>
      </w:r>
      <w:r/>
    </w:p>
    <w:p>
      <w:pPr>
        <w:pStyle w:val="869"/>
        <w:ind w:firstLine="420"/>
        <w:spacing w:line="252" w:lineRule="auto"/>
        <w:rPr>
          <w:rFonts w:hint="eastAsia"/>
          <w:color w:val="000000"/>
          <w:highlight w:val="none"/>
        </w:rPr>
      </w:pPr>
      <w:r>
        <w:rPr>
          <w:rFonts w:hint="eastAsia"/>
          <w:color w:val="000000"/>
          <w:highlight w:val="none"/>
        </w:rPr>
        <w:t xml:space="preserve">项目建设依据以下政策法规和技术标准：</w:t>
      </w:r>
      <w:r>
        <w:rPr>
          <w:rFonts w:hint="eastAsia"/>
          <w:color w:val="000000"/>
          <w:highlight w:val="none"/>
        </w:rPr>
      </w:r>
      <w:r/>
    </w:p>
    <w:p>
      <w:pPr>
        <w:pStyle w:val="869"/>
        <w:ind w:firstLine="420"/>
        <w:spacing w:line="252" w:lineRule="auto"/>
        <w:rPr>
          <w:rFonts w:hint="eastAsia"/>
          <w:color w:val="000000"/>
          <w:highlight w:val="none"/>
        </w:rPr>
      </w:pPr>
      <w:r>
        <w:rPr>
          <w:rFonts w:hint="eastAsia"/>
          <w:color w:val="000000"/>
          <w:highlight w:val="none"/>
        </w:rPr>
        <w:t xml:space="preserve">《中华人民共和国网络安全法》</w:t>
      </w:r>
      <w:r>
        <w:rPr>
          <w:rFonts w:hint="eastAsia"/>
          <w:color w:val="000000"/>
          <w:highlight w:val="none"/>
        </w:rPr>
      </w:r>
      <w:r/>
    </w:p>
    <w:p>
      <w:pPr>
        <w:pStyle w:val="869"/>
        <w:ind w:firstLine="420"/>
        <w:spacing w:line="252" w:lineRule="auto"/>
        <w:rPr>
          <w:rFonts w:hint="eastAsia"/>
          <w:color w:val="000000"/>
          <w:highlight w:val="none"/>
        </w:rPr>
      </w:pPr>
      <w:r>
        <w:rPr>
          <w:rFonts w:hint="eastAsia"/>
          <w:color w:val="000000"/>
          <w:highlight w:val="none"/>
        </w:rPr>
        <w:t xml:space="preserve">《中华人民共和国数据安全法》</w:t>
      </w:r>
      <w:r>
        <w:rPr>
          <w:rFonts w:hint="eastAsia"/>
          <w:color w:val="000000"/>
          <w:highlight w:val="none"/>
        </w:rPr>
      </w:r>
      <w:r/>
    </w:p>
    <w:p>
      <w:pPr>
        <w:pStyle w:val="869"/>
        <w:ind w:firstLine="420"/>
        <w:spacing w:line="252" w:lineRule="auto"/>
        <w:rPr>
          <w:rFonts w:hint="eastAsia"/>
          <w:color w:val="000000"/>
          <w:highlight w:val="none"/>
        </w:rPr>
      </w:pPr>
      <w:r>
        <w:rPr>
          <w:rFonts w:hint="eastAsia"/>
          <w:color w:val="000000"/>
          <w:highlight w:val="none"/>
        </w:rPr>
        <w:t xml:space="preserve">《关键信息基础设施安全保护条例》</w:t>
      </w:r>
      <w:r>
        <w:rPr>
          <w:rFonts w:hint="eastAsia"/>
          <w:color w:val="000000"/>
          <w:highlight w:val="none"/>
        </w:rPr>
      </w:r>
      <w:r/>
    </w:p>
    <w:p>
      <w:pPr>
        <w:pStyle w:val="869"/>
        <w:ind w:firstLine="420"/>
        <w:spacing w:line="252" w:lineRule="auto"/>
        <w:rPr>
          <w:rFonts w:hint="eastAsia"/>
          <w:color w:val="000000"/>
          <w:highlight w:val="none"/>
        </w:rPr>
      </w:pPr>
      <w:r>
        <w:rPr>
          <w:rFonts w:hint="eastAsia"/>
          <w:color w:val="000000"/>
          <w:highlight w:val="none"/>
        </w:rPr>
        <w:t xml:space="preserve">《信息安全技术 网络安全等级保护基本要求》（GB/T 22239-2019）</w:t>
      </w:r>
      <w:r>
        <w:rPr>
          <w:rFonts w:hint="eastAsia"/>
          <w:color w:val="000000"/>
          <w:highlight w:val="none"/>
        </w:rPr>
      </w:r>
      <w:r/>
    </w:p>
    <w:p>
      <w:pPr>
        <w:pStyle w:val="869"/>
        <w:ind w:firstLine="420"/>
        <w:spacing w:line="252" w:lineRule="auto"/>
        <w:rPr>
          <w:rFonts w:hint="eastAsia"/>
          <w:color w:val="000000"/>
          <w:highlight w:val="none"/>
        </w:rPr>
      </w:pPr>
      <w:r>
        <w:rPr>
          <w:rFonts w:hint="eastAsia"/>
          <w:color w:val="000000"/>
          <w:highlight w:val="none"/>
        </w:rPr>
        <w:t xml:space="preserve">《国家信息化领导小组关于我国电子政务建设指导意见》</w:t>
      </w:r>
      <w:r>
        <w:rPr>
          <w:rFonts w:hint="eastAsia"/>
          <w:color w:val="000000"/>
          <w:highlight w:val="none"/>
        </w:rPr>
      </w:r>
      <w:r/>
    </w:p>
    <w:p>
      <w:pPr>
        <w:pStyle w:val="869"/>
        <w:ind w:firstLine="420"/>
        <w:spacing w:line="252" w:lineRule="auto"/>
        <w:rPr>
          <w:rFonts w:hint="eastAsia"/>
          <w:color w:val="000000"/>
          <w:highlight w:val="none"/>
        </w:rPr>
      </w:pPr>
      <w:r>
        <w:rPr>
          <w:rFonts w:hint="eastAsia"/>
          <w:color w:val="000000"/>
          <w:highlight w:val="none"/>
        </w:rPr>
        <w:t xml:space="preserve">《"健康中国2030"规划纲要》</w:t>
      </w:r>
      <w:r>
        <w:rPr>
          <w:rFonts w:hint="eastAsia"/>
          <w:color w:val="000000"/>
          <w:highlight w:val="none"/>
        </w:rPr>
      </w:r>
      <w:r/>
    </w:p>
    <w:p>
      <w:pPr>
        <w:pStyle w:val="869"/>
        <w:ind w:firstLine="420"/>
        <w:spacing w:line="252" w:lineRule="auto"/>
        <w:rPr>
          <w:rFonts w:hint="eastAsia"/>
          <w:color w:val="000000"/>
          <w:highlight w:val="none"/>
        </w:rPr>
      </w:pPr>
      <w:r>
        <w:rPr>
          <w:rFonts w:hint="eastAsia"/>
          <w:color w:val="000000"/>
          <w:highlight w:val="none"/>
        </w:rPr>
        <w:t xml:space="preserve">《医院信息互联互通标准化成熟度测评指标体系》</w:t>
      </w:r>
      <w:r>
        <w:rPr>
          <w:rFonts w:hint="eastAsia"/>
          <w:color w:val="000000"/>
          <w:highlight w:val="none"/>
        </w:rPr>
      </w:r>
      <w:r/>
    </w:p>
    <w:p>
      <w:pPr>
        <w:pStyle w:val="869"/>
        <w:ind w:firstLine="420"/>
        <w:spacing w:line="252" w:lineRule="auto"/>
        <w:rPr>
          <w:rFonts w:hint="eastAsia"/>
          <w:color w:val="000000"/>
          <w:highlight w:val="none"/>
        </w:rPr>
      </w:pPr>
      <w:r>
        <w:rPr>
          <w:rFonts w:hint="eastAsia"/>
          <w:color w:val="000000"/>
          <w:highlight w:val="none"/>
        </w:rPr>
        <w:t xml:space="preserve">国家关于信息技术应用创新工作的相关政策文件</w:t>
      </w:r>
      <w:r>
        <w:rPr>
          <w:rFonts w:hint="eastAsia"/>
          <w:color w:val="000000"/>
          <w:highlight w:val="none"/>
        </w:rPr>
      </w:r>
      <w:r/>
    </w:p>
    <w:p>
      <w:pPr>
        <w:pStyle w:val="869"/>
        <w:ind w:firstLine="420"/>
        <w:spacing w:line="252" w:lineRule="auto"/>
        <w:rPr>
          <w:color w:val="000000"/>
          <w:highlight w:val="none"/>
        </w:rPr>
      </w:pPr>
      <w:r>
        <w:rPr>
          <w:rFonts w:hint="eastAsia"/>
          <w:color w:val="000000"/>
          <w:highlight w:val="none"/>
        </w:rPr>
        <w:t xml:space="preserve">除上述指标外，还应当遵循国家、行业及地方现行的规范和标准</w:t>
      </w:r>
      <w:r>
        <w:rPr>
          <w:color w:val="000000"/>
          <w:highlight w:val="none"/>
        </w:rPr>
      </w:r>
      <w:r/>
    </w:p>
    <w:p>
      <w:pPr>
        <w:pStyle w:val="869"/>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522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12"/>
        <w:gridCol w:w="2032"/>
        <w:gridCol w:w="562"/>
        <w:gridCol w:w="700"/>
        <w:gridCol w:w="1133"/>
        <w:gridCol w:w="1119"/>
        <w:gridCol w:w="1478"/>
        <w:gridCol w:w="660"/>
        <w:gridCol w:w="666"/>
      </w:tblGrid>
      <w:tr>
        <w:trPr>
          <w:trHeight w:val="888"/>
        </w:trPr>
        <w:tc>
          <w:tcPr>
            <w:tcW w:w="512"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2032"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562"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700"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rFonts w:hint="eastAsia" w:ascii="宋体" w:hAnsi="宋体" w:cs="宋体"/>
                <w:bCs/>
                <w:color w:val="000000"/>
                <w:sz w:val="24"/>
                <w:szCs w:val="24"/>
                <w:highlight w:val="none"/>
              </w:rPr>
            </w:r>
            <w:r/>
          </w:p>
        </w:tc>
        <w:tc>
          <w:tcPr>
            <w:tcW w:w="1133"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单价上限</w:t>
            </w:r>
            <w:r>
              <w:rPr>
                <w:rFonts w:hint="eastAsia" w:ascii="宋体" w:hAnsi="宋体" w:cs="宋体"/>
                <w:bCs/>
                <w:color w:val="000000"/>
                <w:sz w:val="24"/>
                <w:szCs w:val="24"/>
                <w:highlight w:val="none"/>
              </w:rPr>
            </w:r>
            <w:r/>
          </w:p>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（元）</w:t>
            </w:r>
            <w:r>
              <w:rPr>
                <w:rFonts w:hint="eastAsia" w:ascii="宋体" w:hAnsi="宋体" w:cs="宋体"/>
                <w:bCs/>
                <w:color w:val="000000"/>
                <w:sz w:val="24"/>
                <w:szCs w:val="24"/>
                <w:highlight w:val="none"/>
              </w:rPr>
            </w:r>
            <w:r/>
          </w:p>
        </w:tc>
        <w:tc>
          <w:tcPr>
            <w:tcW w:w="1119"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1478"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中小企业划分标准所属行业</w:t>
            </w:r>
            <w:r>
              <w:rPr>
                <w:rFonts w:hint="eastAsia" w:ascii="宋体" w:hAnsi="宋体" w:cs="宋体"/>
                <w:bCs/>
                <w:color w:val="000000"/>
                <w:sz w:val="24"/>
                <w:szCs w:val="24"/>
                <w:highlight w:val="none"/>
              </w:rPr>
            </w:r>
            <w:r/>
          </w:p>
        </w:tc>
        <w:tc>
          <w:tcPr>
            <w:tcW w:w="660"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666"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rPr>
                <w:rFonts w:hint="eastAsia" w:ascii="宋体" w:hAnsi="宋体" w:cs="宋体"/>
                <w:bCs/>
                <w:color w:val="000000"/>
                <w:sz w:val="24"/>
                <w:szCs w:val="24"/>
                <w:highlight w:val="none"/>
              </w:rPr>
            </w:r>
            <w:r/>
          </w:p>
        </w:tc>
      </w:tr>
      <w:tr>
        <w:trPr>
          <w:trHeight w:val="587"/>
        </w:trPr>
        <w:tc>
          <w:tcPr>
            <w:tcW w:w="512"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2032" w:type="dxa"/>
            <w:vAlign w:val="center"/>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MSS安全运营服务</w:t>
            </w:r>
            <w:r>
              <w:rPr>
                <w:rFonts w:ascii="宋体" w:hAnsi="宋体"/>
                <w:color w:val="000000"/>
                <w:highlight w:val="none"/>
              </w:rPr>
            </w:r>
            <w:r/>
          </w:p>
        </w:tc>
        <w:tc>
          <w:tcPr>
            <w:tcW w:w="562"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700"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133" w:type="dxa"/>
            <w:vAlign w:val="center"/>
            <w:textDirection w:val="lrTb"/>
            <w:noWrap w:val="false"/>
          </w:tcPr>
          <w:p>
            <w:pPr>
              <w:pStyle w:val="869"/>
              <w:jc w:val="center"/>
              <w:widowControl/>
              <w:rPr>
                <w:rFonts w:hint="eastAsia"/>
                <w:color w:val="000000"/>
                <w:sz w:val="20"/>
                <w:szCs w:val="20"/>
                <w:highlight w:val="none"/>
              </w:rPr>
            </w:pPr>
            <w:r>
              <w:rPr>
                <w:color w:val="000000"/>
                <w:sz w:val="20"/>
                <w:szCs w:val="20"/>
                <w:highlight w:val="none"/>
              </w:rPr>
              <w:t xml:space="preserve">/</w:t>
            </w:r>
            <w:r>
              <w:rPr>
                <w:rFonts w:hint="eastAsia"/>
                <w:color w:val="000000"/>
                <w:sz w:val="20"/>
                <w:szCs w:val="20"/>
                <w:highlight w:val="none"/>
              </w:rPr>
            </w:r>
            <w:r/>
          </w:p>
        </w:tc>
        <w:tc>
          <w:tcPr>
            <w:tcW w:w="1119"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78"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软件和信息技术服务</w:t>
            </w:r>
            <w:r>
              <w:rPr>
                <w:rFonts w:hint="eastAsia" w:ascii="宋体" w:hAnsi="宋体"/>
                <w:bCs/>
                <w:color w:val="000000"/>
                <w:sz w:val="24"/>
                <w:szCs w:val="24"/>
                <w:highlight w:val="none"/>
              </w:rPr>
            </w:r>
            <w:r/>
          </w:p>
        </w:tc>
        <w:tc>
          <w:tcPr>
            <w:tcW w:w="660"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666"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87"/>
        </w:trPr>
        <w:tc>
          <w:tcPr>
            <w:tcW w:w="512"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bCs/>
                <w:color w:val="000000"/>
                <w:sz w:val="24"/>
                <w:szCs w:val="24"/>
                <w:highlight w:val="none"/>
              </w:rPr>
            </w:r>
            <w:r/>
          </w:p>
        </w:tc>
        <w:tc>
          <w:tcPr>
            <w:tcW w:w="2032" w:type="dxa"/>
            <w:vAlign w:val="center"/>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DNS安全管控系统订阅服务</w:t>
            </w:r>
            <w:r>
              <w:rPr>
                <w:rFonts w:ascii="宋体" w:hAnsi="宋体"/>
                <w:color w:val="000000"/>
                <w:highlight w:val="none"/>
              </w:rPr>
            </w:r>
            <w:r/>
          </w:p>
        </w:tc>
        <w:tc>
          <w:tcPr>
            <w:tcW w:w="562" w:type="dxa"/>
            <w:vAlign w:val="center"/>
            <w:textDirection w:val="lrTb"/>
            <w:noWrap w:val="false"/>
          </w:tcPr>
          <w:p>
            <w:pPr>
              <w:pStyle w:val="869"/>
              <w:jc w:val="center"/>
              <w:rPr>
                <w:color w:val="000000"/>
                <w:highlight w:val="none"/>
              </w:rPr>
            </w:pPr>
            <w:r>
              <w:rPr>
                <w:rFonts w:hint="eastAsia" w:ascii="宋体" w:hAnsi="宋体" w:cs="宋体"/>
                <w:bCs/>
                <w:color w:val="000000"/>
                <w:sz w:val="24"/>
                <w:szCs w:val="24"/>
                <w:highlight w:val="none"/>
              </w:rPr>
              <w:t xml:space="preserve">1</w:t>
            </w:r>
            <w:r>
              <w:rPr>
                <w:color w:val="000000"/>
                <w:highlight w:val="none"/>
              </w:rPr>
            </w:r>
            <w:r/>
          </w:p>
        </w:tc>
        <w:tc>
          <w:tcPr>
            <w:tcW w:w="700"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133" w:type="dxa"/>
            <w:vAlign w:val="center"/>
            <w:textDirection w:val="lrTb"/>
            <w:noWrap w:val="false"/>
          </w:tcPr>
          <w:p>
            <w:pPr>
              <w:pStyle w:val="869"/>
              <w:jc w:val="center"/>
              <w:widowControl/>
              <w:rPr>
                <w:rFonts w:hint="eastAsia"/>
                <w:color w:val="000000"/>
                <w:sz w:val="20"/>
                <w:szCs w:val="20"/>
                <w:highlight w:val="none"/>
              </w:rPr>
            </w:pPr>
            <w:r>
              <w:rPr>
                <w:color w:val="000000"/>
                <w:sz w:val="20"/>
                <w:szCs w:val="20"/>
                <w:highlight w:val="none"/>
              </w:rPr>
              <w:t xml:space="preserve">/</w:t>
            </w:r>
            <w:r>
              <w:rPr>
                <w:rFonts w:hint="eastAsia"/>
                <w:color w:val="000000"/>
                <w:sz w:val="20"/>
                <w:szCs w:val="20"/>
                <w:highlight w:val="none"/>
              </w:rPr>
            </w:r>
            <w:r/>
          </w:p>
        </w:tc>
        <w:tc>
          <w:tcPr>
            <w:tcW w:w="1119"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78"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软件和信息技术服务</w:t>
            </w:r>
            <w:r>
              <w:rPr>
                <w:rFonts w:hint="eastAsia" w:ascii="宋体" w:hAnsi="宋体"/>
                <w:bCs/>
                <w:color w:val="000000"/>
                <w:sz w:val="24"/>
                <w:szCs w:val="24"/>
                <w:highlight w:val="none"/>
              </w:rPr>
            </w:r>
            <w:r/>
          </w:p>
        </w:tc>
        <w:tc>
          <w:tcPr>
            <w:tcW w:w="660"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666"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87"/>
        </w:trPr>
        <w:tc>
          <w:tcPr>
            <w:tcW w:w="512"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bCs/>
                <w:color w:val="000000"/>
                <w:sz w:val="24"/>
                <w:szCs w:val="24"/>
                <w:highlight w:val="none"/>
              </w:rPr>
            </w:r>
            <w:r/>
          </w:p>
        </w:tc>
        <w:tc>
          <w:tcPr>
            <w:tcW w:w="2032" w:type="dxa"/>
            <w:vAlign w:val="center"/>
            <w:textDirection w:val="lrTb"/>
            <w:noWrap w:val="false"/>
          </w:tcPr>
          <w:p>
            <w:pPr>
              <w:pStyle w:val="869"/>
              <w:jc w:val="center"/>
              <w:rPr>
                <w:rFonts w:ascii="宋体" w:hAnsi="宋体"/>
                <w:color w:val="000000"/>
                <w:highlight w:val="none"/>
              </w:rPr>
            </w:pPr>
            <w:r/>
            <w:bookmarkStart w:id="59" w:name="_Hlk231479804"/>
            <w:r>
              <w:rPr>
                <w:rFonts w:hint="eastAsia" w:ascii="宋体" w:hAnsi="宋体"/>
                <w:color w:val="000000"/>
                <w:highlight w:val="none"/>
              </w:rPr>
              <w:t xml:space="preserve">SSL域名服务</w:t>
            </w:r>
            <w:bookmarkEnd w:id="59"/>
            <w:r>
              <w:rPr>
                <w:rFonts w:ascii="宋体" w:hAnsi="宋体"/>
                <w:color w:val="000000"/>
                <w:highlight w:val="none"/>
              </w:rPr>
            </w:r>
            <w:r/>
          </w:p>
        </w:tc>
        <w:tc>
          <w:tcPr>
            <w:tcW w:w="562" w:type="dxa"/>
            <w:vAlign w:val="center"/>
            <w:textDirection w:val="lrTb"/>
            <w:noWrap w:val="false"/>
          </w:tcPr>
          <w:p>
            <w:pPr>
              <w:pStyle w:val="869"/>
              <w:jc w:val="center"/>
              <w:rPr>
                <w:color w:val="000000"/>
                <w:highlight w:val="none"/>
              </w:rPr>
            </w:pPr>
            <w:r>
              <w:rPr>
                <w:rFonts w:hint="eastAsia" w:ascii="宋体" w:hAnsi="宋体" w:cs="宋体"/>
                <w:bCs/>
                <w:color w:val="000000"/>
                <w:sz w:val="24"/>
                <w:szCs w:val="24"/>
                <w:highlight w:val="none"/>
              </w:rPr>
              <w:t xml:space="preserve">1</w:t>
            </w:r>
            <w:r>
              <w:rPr>
                <w:color w:val="000000"/>
                <w:highlight w:val="none"/>
              </w:rPr>
            </w:r>
            <w:r/>
          </w:p>
        </w:tc>
        <w:tc>
          <w:tcPr>
            <w:tcW w:w="700"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133" w:type="dxa"/>
            <w:vAlign w:val="center"/>
            <w:textDirection w:val="lrTb"/>
            <w:noWrap w:val="false"/>
          </w:tcPr>
          <w:p>
            <w:pPr>
              <w:pStyle w:val="869"/>
              <w:jc w:val="center"/>
              <w:widowControl/>
              <w:rPr>
                <w:rFonts w:hint="eastAsia"/>
                <w:color w:val="000000"/>
                <w:sz w:val="20"/>
                <w:szCs w:val="20"/>
                <w:highlight w:val="none"/>
              </w:rPr>
            </w:pPr>
            <w:r>
              <w:rPr>
                <w:color w:val="000000"/>
                <w:sz w:val="20"/>
                <w:szCs w:val="20"/>
                <w:highlight w:val="none"/>
              </w:rPr>
              <w:t xml:space="preserve">/</w:t>
            </w:r>
            <w:r>
              <w:rPr>
                <w:rFonts w:hint="eastAsia"/>
                <w:color w:val="000000"/>
                <w:sz w:val="20"/>
                <w:szCs w:val="20"/>
                <w:highlight w:val="none"/>
              </w:rPr>
            </w:r>
            <w:r/>
          </w:p>
        </w:tc>
        <w:tc>
          <w:tcPr>
            <w:tcW w:w="1119"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78"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软件和信息技术服务</w:t>
            </w:r>
            <w:r>
              <w:rPr>
                <w:rFonts w:hint="eastAsia" w:ascii="宋体" w:hAnsi="宋体"/>
                <w:bCs/>
                <w:color w:val="000000"/>
                <w:sz w:val="24"/>
                <w:szCs w:val="24"/>
                <w:highlight w:val="none"/>
              </w:rPr>
            </w:r>
            <w:r/>
          </w:p>
        </w:tc>
        <w:tc>
          <w:tcPr>
            <w:tcW w:w="660"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666"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87"/>
        </w:trPr>
        <w:tc>
          <w:tcPr>
            <w:tcW w:w="512"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2032" w:type="dxa"/>
            <w:vAlign w:val="center"/>
            <w:textDirection w:val="lrTb"/>
            <w:noWrap w:val="false"/>
          </w:tcPr>
          <w:p>
            <w:pPr>
              <w:pStyle w:val="869"/>
              <w:jc w:val="center"/>
              <w:rPr>
                <w:rFonts w:ascii="宋体" w:hAnsi="宋体"/>
                <w:color w:val="000000"/>
                <w:highlight w:val="none"/>
              </w:rPr>
            </w:pPr>
            <w:r>
              <w:rPr>
                <w:rFonts w:hint="eastAsia"/>
                <w:color w:val="000000"/>
                <w:highlight w:val="none"/>
              </w:rPr>
              <w:t xml:space="preserve">DMZ区域虚拟化平台业务系统杀毒防护</w:t>
            </w:r>
            <w:r>
              <w:rPr>
                <w:rFonts w:ascii="宋体" w:hAnsi="宋体"/>
                <w:color w:val="000000"/>
                <w:highlight w:val="none"/>
              </w:rPr>
            </w:r>
            <w:r/>
          </w:p>
        </w:tc>
        <w:tc>
          <w:tcPr>
            <w:tcW w:w="562" w:type="dxa"/>
            <w:vAlign w:val="center"/>
            <w:textDirection w:val="lrTb"/>
            <w:noWrap w:val="false"/>
          </w:tcPr>
          <w:p>
            <w:pPr>
              <w:pStyle w:val="869"/>
              <w:jc w:val="center"/>
              <w:rPr>
                <w:color w:val="000000"/>
                <w:highlight w:val="none"/>
              </w:rPr>
            </w:pPr>
            <w:r>
              <w:rPr>
                <w:rFonts w:hint="eastAsia" w:ascii="宋体" w:hAnsi="宋体" w:cs="宋体"/>
                <w:bCs/>
                <w:color w:val="000000"/>
                <w:sz w:val="24"/>
                <w:szCs w:val="24"/>
                <w:highlight w:val="none"/>
              </w:rPr>
              <w:t xml:space="preserve">1</w:t>
            </w:r>
            <w:r>
              <w:rPr>
                <w:color w:val="000000"/>
                <w:highlight w:val="none"/>
              </w:rPr>
            </w:r>
            <w:r/>
          </w:p>
        </w:tc>
        <w:tc>
          <w:tcPr>
            <w:tcW w:w="700"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133" w:type="dxa"/>
            <w:vAlign w:val="center"/>
            <w:textDirection w:val="lrTb"/>
            <w:noWrap w:val="false"/>
          </w:tcPr>
          <w:p>
            <w:pPr>
              <w:pStyle w:val="869"/>
              <w:jc w:val="center"/>
              <w:widowControl/>
              <w:rPr>
                <w:rFonts w:hint="eastAsia"/>
                <w:color w:val="000000"/>
                <w:sz w:val="20"/>
                <w:szCs w:val="20"/>
                <w:highlight w:val="none"/>
              </w:rPr>
            </w:pPr>
            <w:r>
              <w:rPr>
                <w:color w:val="000000"/>
                <w:sz w:val="20"/>
                <w:szCs w:val="20"/>
                <w:highlight w:val="none"/>
              </w:rPr>
              <w:t xml:space="preserve">/</w:t>
            </w:r>
            <w:r>
              <w:rPr>
                <w:rFonts w:hint="eastAsia"/>
                <w:color w:val="000000"/>
                <w:sz w:val="20"/>
                <w:szCs w:val="20"/>
                <w:highlight w:val="none"/>
              </w:rPr>
            </w:r>
            <w:r/>
          </w:p>
        </w:tc>
        <w:tc>
          <w:tcPr>
            <w:tcW w:w="1119"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78"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软件和信息技术服务</w:t>
            </w:r>
            <w:r>
              <w:rPr>
                <w:rFonts w:hint="eastAsia" w:ascii="宋体" w:hAnsi="宋体" w:cs="宋体"/>
                <w:bCs/>
                <w:color w:val="000000"/>
                <w:sz w:val="24"/>
                <w:szCs w:val="24"/>
                <w:highlight w:val="none"/>
              </w:rPr>
            </w:r>
            <w:r/>
          </w:p>
        </w:tc>
        <w:tc>
          <w:tcPr>
            <w:tcW w:w="660"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666"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87"/>
        </w:trPr>
        <w:tc>
          <w:tcPr>
            <w:tcW w:w="512"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bCs/>
                <w:color w:val="000000"/>
                <w:sz w:val="24"/>
                <w:szCs w:val="24"/>
                <w:highlight w:val="none"/>
              </w:rPr>
            </w:r>
            <w:r/>
          </w:p>
        </w:tc>
        <w:tc>
          <w:tcPr>
            <w:tcW w:w="2032" w:type="dxa"/>
            <w:vAlign w:val="center"/>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算力租赁服务</w:t>
            </w:r>
            <w:r>
              <w:rPr>
                <w:rFonts w:ascii="宋体" w:hAnsi="宋体"/>
                <w:color w:val="000000"/>
                <w:highlight w:val="none"/>
              </w:rPr>
            </w:r>
            <w:r/>
          </w:p>
        </w:tc>
        <w:tc>
          <w:tcPr>
            <w:tcW w:w="562" w:type="dxa"/>
            <w:vAlign w:val="center"/>
            <w:textDirection w:val="lrTb"/>
            <w:noWrap w:val="false"/>
          </w:tcPr>
          <w:p>
            <w:pPr>
              <w:pStyle w:val="869"/>
              <w:jc w:val="center"/>
              <w:rPr>
                <w:color w:val="000000"/>
                <w:highlight w:val="none"/>
              </w:rPr>
            </w:pPr>
            <w:r>
              <w:rPr>
                <w:rFonts w:hint="eastAsia" w:ascii="宋体" w:hAnsi="宋体" w:cs="宋体"/>
                <w:bCs/>
                <w:color w:val="000000"/>
                <w:sz w:val="24"/>
                <w:szCs w:val="24"/>
                <w:highlight w:val="none"/>
              </w:rPr>
              <w:t xml:space="preserve">1</w:t>
            </w:r>
            <w:r>
              <w:rPr>
                <w:color w:val="000000"/>
                <w:highlight w:val="none"/>
              </w:rPr>
            </w:r>
            <w:r/>
          </w:p>
        </w:tc>
        <w:tc>
          <w:tcPr>
            <w:tcW w:w="700"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133" w:type="dxa"/>
            <w:vAlign w:val="center"/>
            <w:textDirection w:val="lrTb"/>
            <w:noWrap w:val="false"/>
          </w:tcPr>
          <w:p>
            <w:pPr>
              <w:pStyle w:val="869"/>
              <w:jc w:val="center"/>
              <w:widowControl/>
              <w:rPr>
                <w:rFonts w:hint="eastAsia"/>
                <w:color w:val="000000"/>
                <w:sz w:val="20"/>
                <w:szCs w:val="20"/>
                <w:highlight w:val="none"/>
              </w:rPr>
            </w:pPr>
            <w:r>
              <w:rPr>
                <w:color w:val="000000"/>
                <w:sz w:val="20"/>
                <w:szCs w:val="20"/>
                <w:highlight w:val="none"/>
              </w:rPr>
              <w:t xml:space="preserve">/</w:t>
            </w:r>
            <w:r>
              <w:rPr>
                <w:rFonts w:hint="eastAsia"/>
                <w:color w:val="000000"/>
                <w:sz w:val="20"/>
                <w:szCs w:val="20"/>
                <w:highlight w:val="none"/>
              </w:rPr>
            </w:r>
            <w:r/>
          </w:p>
        </w:tc>
        <w:tc>
          <w:tcPr>
            <w:tcW w:w="1119" w:type="dxa"/>
            <w:vAlign w:val="center"/>
            <w:textDirection w:val="lrTb"/>
            <w:noWrap w:val="false"/>
          </w:tcPr>
          <w:p>
            <w:pPr>
              <w:pStyle w:val="869"/>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rFonts w:ascii="宋体" w:hAnsi="宋体" w:cs="宋体"/>
                <w:bCs/>
                <w:color w:val="000000"/>
                <w:sz w:val="24"/>
                <w:szCs w:val="24"/>
                <w:highlight w:val="none"/>
              </w:rPr>
            </w:r>
            <w:r/>
          </w:p>
        </w:tc>
        <w:tc>
          <w:tcPr>
            <w:tcW w:w="1478" w:type="dxa"/>
            <w:vAlign w:val="center"/>
            <w:textDirection w:val="lrTb"/>
            <w:noWrap w:val="false"/>
          </w:tcPr>
          <w:p>
            <w:pPr>
              <w:pStyle w:val="869"/>
              <w:jc w:val="center"/>
              <w:spacing w:line="252" w:lineRule="auto"/>
              <w:rPr>
                <w:rFonts w:ascii="宋体" w:hAnsi="宋体"/>
                <w:bCs/>
                <w:color w:val="000000"/>
                <w:sz w:val="24"/>
                <w:szCs w:val="24"/>
                <w:highlight w:val="none"/>
              </w:rPr>
            </w:pPr>
            <w:r>
              <w:rPr>
                <w:rFonts w:hint="eastAsia" w:ascii="宋体" w:hAnsi="宋体"/>
                <w:bCs/>
                <w:color w:val="000000"/>
                <w:sz w:val="24"/>
                <w:szCs w:val="24"/>
                <w:highlight w:val="none"/>
              </w:rPr>
              <w:t xml:space="preserve">软件和信息技术服务</w:t>
            </w:r>
            <w:r>
              <w:rPr>
                <w:rFonts w:ascii="宋体" w:hAnsi="宋体"/>
                <w:bCs/>
                <w:color w:val="000000"/>
                <w:sz w:val="24"/>
                <w:szCs w:val="24"/>
                <w:highlight w:val="none"/>
              </w:rPr>
            </w:r>
            <w:r/>
          </w:p>
        </w:tc>
        <w:tc>
          <w:tcPr>
            <w:tcW w:w="660"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666"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92"/>
        </w:trPr>
        <w:tc>
          <w:tcPr>
            <w:tcW w:w="512"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bCs/>
                <w:color w:val="000000"/>
                <w:sz w:val="24"/>
                <w:szCs w:val="24"/>
                <w:highlight w:val="none"/>
              </w:rPr>
            </w:r>
            <w:r/>
          </w:p>
        </w:tc>
        <w:tc>
          <w:tcPr>
            <w:tcW w:w="2032" w:type="dxa"/>
            <w:vAlign w:val="center"/>
            <w:textDirection w:val="lrTb"/>
            <w:noWrap w:val="false"/>
          </w:tcPr>
          <w:p>
            <w:pPr>
              <w:pStyle w:val="869"/>
              <w:jc w:val="center"/>
              <w:spacing w:line="252" w:lineRule="auto"/>
              <w:rPr>
                <w:rFonts w:hint="eastAsia" w:ascii="宋体" w:hAnsi="宋体"/>
                <w:color w:val="000000"/>
                <w:sz w:val="24"/>
                <w:szCs w:val="24"/>
                <w:highlight w:val="none"/>
              </w:rPr>
            </w:pPr>
            <w:r>
              <w:rPr>
                <w:rFonts w:hint="eastAsia"/>
                <w:color w:val="000000"/>
                <w:highlight w:val="none"/>
              </w:rPr>
              <w:t xml:space="preserve">算力资源管理工作站</w:t>
            </w:r>
            <w:r>
              <w:rPr>
                <w:rFonts w:hint="eastAsia" w:ascii="宋体" w:hAnsi="宋体"/>
                <w:color w:val="000000"/>
                <w:sz w:val="24"/>
                <w:szCs w:val="24"/>
                <w:highlight w:val="none"/>
              </w:rPr>
            </w:r>
            <w:r/>
          </w:p>
        </w:tc>
        <w:tc>
          <w:tcPr>
            <w:tcW w:w="562"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700"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133" w:type="dxa"/>
            <w:vAlign w:val="center"/>
            <w:textDirection w:val="lrTb"/>
            <w:noWrap w:val="false"/>
          </w:tcPr>
          <w:p>
            <w:pPr>
              <w:pStyle w:val="869"/>
              <w:jc w:val="center"/>
              <w:widowControl/>
              <w:rPr>
                <w:rFonts w:hint="eastAsia"/>
                <w:color w:val="000000"/>
                <w:sz w:val="20"/>
                <w:szCs w:val="20"/>
                <w:highlight w:val="none"/>
              </w:rPr>
            </w:pPr>
            <w:r>
              <w:rPr>
                <w:rFonts w:hint="eastAsia"/>
                <w:color w:val="000000"/>
                <w:sz w:val="20"/>
                <w:szCs w:val="20"/>
                <w:highlight w:val="none"/>
              </w:rPr>
              <w:t xml:space="preserve">60,000</w:t>
            </w:r>
            <w:r>
              <w:rPr>
                <w:rFonts w:hint="eastAsia"/>
                <w:color w:val="000000"/>
                <w:sz w:val="20"/>
                <w:szCs w:val="20"/>
                <w:highlight w:val="none"/>
              </w:rPr>
            </w:r>
            <w:r/>
          </w:p>
        </w:tc>
        <w:tc>
          <w:tcPr>
            <w:tcW w:w="1119"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78"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工业</w:t>
            </w:r>
            <w:r>
              <w:rPr>
                <w:rFonts w:hint="eastAsia" w:ascii="宋体" w:hAnsi="宋体"/>
                <w:bCs/>
                <w:color w:val="000000"/>
                <w:sz w:val="24"/>
                <w:szCs w:val="24"/>
                <w:highlight w:val="none"/>
              </w:rPr>
            </w:r>
            <w:r/>
          </w:p>
        </w:tc>
        <w:tc>
          <w:tcPr>
            <w:tcW w:w="660" w:type="dxa"/>
            <w:vAlign w:val="center"/>
            <w:textDirection w:val="lrTb"/>
            <w:noWrap w:val="false"/>
          </w:tcPr>
          <w:p>
            <w:pPr>
              <w:pStyle w:val="869"/>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rPr>
                <w:rFonts w:hint="eastAsia" w:ascii="宋体" w:hAnsi="宋体" w:cs="宋体"/>
                <w:bCs/>
                <w:color w:val="000000"/>
                <w:sz w:val="24"/>
                <w:szCs w:val="24"/>
                <w:highlight w:val="none"/>
              </w:rPr>
            </w:r>
            <w:r/>
          </w:p>
        </w:tc>
        <w:tc>
          <w:tcPr>
            <w:tcW w:w="666" w:type="dxa"/>
            <w:vAlign w:val="center"/>
            <w:textDirection w:val="lrTb"/>
            <w:noWrap w:val="false"/>
          </w:tcPr>
          <w:p>
            <w:pPr>
              <w:pStyle w:val="869"/>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pStyle w:val="869"/>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69"/>
        <w:ind w:firstLine="480"/>
        <w:spacing w:line="252"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ind w:firstLine="480"/>
        <w:spacing w:line="252"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（1）MSS安全运营服务</w:t>
      </w:r>
      <w:r>
        <w:rPr>
          <w:rFonts w:hint="eastAsia" w:ascii="宋体" w:hAnsi="宋体" w:cs="宋体"/>
          <w:color w:val="000000"/>
          <w:sz w:val="24"/>
          <w:szCs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5"/>
        <w:gridCol w:w="7921"/>
      </w:tblGrid>
      <w:tr>
        <w:trPr>
          <w:trHeight w:val="50"/>
        </w:trPr>
        <w:tc>
          <w:tcPr>
            <w:tcW w:w="1022" w:type="dxa"/>
            <w:vAlign w:val="top"/>
            <w:textDirection w:val="lrTb"/>
            <w:noWrap w:val="false"/>
          </w:tcPr>
          <w:p>
            <w:pPr>
              <w:pStyle w:val="869"/>
              <w:jc w:val="center"/>
              <w:widowControl/>
              <w:rPr>
                <w:rFonts w:ascii="宋体" w:hAnsi="宋体" w:cs="宋体"/>
                <w:b/>
                <w:bCs/>
                <w:color w:val="000000"/>
                <w:highlight w:val="none"/>
              </w:rPr>
            </w:pPr>
            <w:r>
              <w:rPr>
                <w:rFonts w:hint="eastAsia" w:ascii="宋体" w:hAnsi="宋体"/>
                <w:color w:val="000000"/>
                <w:szCs w:val="22"/>
                <w:highlight w:val="none"/>
              </w:rPr>
              <w:t xml:space="preserve">指标项</w:t>
            </w:r>
            <w:r>
              <w:rPr>
                <w:rFonts w:ascii="宋体" w:hAnsi="宋体" w:cs="宋体"/>
                <w:b/>
                <w:bCs/>
                <w:color w:val="000000"/>
                <w:highlight w:val="none"/>
              </w:rPr>
            </w:r>
            <w:r/>
          </w:p>
        </w:tc>
        <w:tc>
          <w:tcPr>
            <w:tcW w:w="3977" w:type="dxa"/>
            <w:vAlign w:val="top"/>
            <w:textDirection w:val="lrTb"/>
            <w:noWrap w:val="false"/>
          </w:tcPr>
          <w:p>
            <w:pPr>
              <w:pStyle w:val="869"/>
              <w:jc w:val="center"/>
              <w:widowControl/>
              <w:rPr>
                <w:rFonts w:ascii="宋体" w:hAnsi="宋体" w:cs="宋体"/>
                <w:b/>
                <w:bCs/>
                <w:color w:val="000000"/>
                <w:highlight w:val="none"/>
              </w:rPr>
            </w:pPr>
            <w:r>
              <w:rPr>
                <w:rFonts w:ascii="宋体" w:hAnsi="宋体"/>
                <w:color w:val="000000"/>
                <w:szCs w:val="22"/>
                <w:highlight w:val="none"/>
              </w:rPr>
              <w:t xml:space="preserve">技术规格要求</w:t>
            </w:r>
            <w:r>
              <w:rPr>
                <w:rFonts w:ascii="宋体" w:hAnsi="宋体" w:cs="宋体"/>
                <w:b/>
                <w:bCs/>
                <w:color w:val="000000"/>
                <w:highlight w:val="none"/>
              </w:rPr>
            </w:r>
            <w:r/>
          </w:p>
        </w:tc>
      </w:tr>
      <w:tr>
        <w:trPr>
          <w:trHeight w:val="50"/>
        </w:trPr>
        <w:tc>
          <w:tcPr>
            <w:tcW w:w="1022" w:type="dxa"/>
            <w:vAlign w:val="center"/>
            <w:textDirection w:val="lrTb"/>
            <w:noWrap w:val="false"/>
          </w:tcPr>
          <w:p>
            <w:pPr>
              <w:pStyle w:val="869"/>
              <w:jc w:val="center"/>
              <w:widowControl/>
              <w:rPr>
                <w:rFonts w:ascii="宋体" w:hAnsi="宋体" w:eastAsia="宋体" w:cs="宋体"/>
                <w:color w:val="000000"/>
                <w:highlight w:val="none"/>
                <w:lang w:val="en-US" w:eastAsia="zh-CN"/>
              </w:rPr>
            </w:pPr>
            <w:r/>
            <w:bookmarkStart w:id="60" w:name="OLE_LINK4"/>
            <w:r>
              <w:rPr>
                <w:rFonts w:hint="eastAsia" w:ascii="宋体" w:hAnsi="宋体" w:cs="宋体"/>
                <w:color w:val="000000"/>
                <w:highlight w:val="none"/>
                <w:lang w:val="zh-CN" w:eastAsia="en-US"/>
              </w:rPr>
              <w:t xml:space="preserve">★</w:t>
            </w:r>
            <w:bookmarkEnd w:id="60"/>
            <w:r>
              <w:rPr>
                <w:rFonts w:hint="eastAsia" w:ascii="宋体" w:hAnsi="宋体" w:cs="宋体"/>
                <w:color w:val="000000"/>
                <w:highlight w:val="none"/>
              </w:rPr>
              <w:t xml:space="preserve">服务类型</w:t>
            </w:r>
            <w:r>
              <w:rPr>
                <w:rFonts w:hint="eastAsia" w:ascii="宋体" w:hAnsi="宋体" w:cs="宋体"/>
                <w:color w:val="000000"/>
                <w:highlight w:val="none"/>
                <w:lang w:val="en-US" w:eastAsia="zh-CN"/>
              </w:rPr>
              <w:t xml:space="preserve">及期限</w:t>
            </w:r>
            <w:r>
              <w:rPr>
                <w:rFonts w:ascii="宋体" w:hAnsi="宋体" w:eastAsia="宋体" w:cs="宋体"/>
                <w:color w:val="000000"/>
                <w:highlight w:val="none"/>
                <w:lang w:val="en-US" w:eastAsia="zh-CN"/>
              </w:rPr>
            </w:r>
            <w:r/>
          </w:p>
        </w:tc>
        <w:tc>
          <w:tcPr>
            <w:tcW w:w="3977" w:type="dxa"/>
            <w:vAlign w:val="center"/>
            <w:textDirection w:val="lrTb"/>
            <w:noWrap w:val="false"/>
          </w:tcPr>
          <w:p>
            <w:pPr>
              <w:pStyle w:val="869"/>
              <w:jc w:val="left"/>
              <w:widowControl/>
              <w:rPr>
                <w:rFonts w:hint="eastAsia" w:ascii="宋体" w:hAnsi="宋体" w:cs="宋体"/>
                <w:color w:val="000000"/>
                <w:highlight w:val="none"/>
              </w:rPr>
            </w:pPr>
            <w:r>
              <w:rPr>
                <w:rFonts w:hint="eastAsia" w:ascii="宋体" w:hAnsi="宋体" w:cs="宋体"/>
                <w:color w:val="000000"/>
                <w:highlight w:val="none"/>
              </w:rPr>
              <w:t xml:space="preserve">提供一年期的10个IP的安全托管服务，快速发现违规暴露在互联网中的资产及存在的风险并进行处置，实现对暴露面资产可管可控，降低暴露面资产的风险。</w:t>
            </w:r>
            <w:r>
              <w:rPr>
                <w:rFonts w:hint="eastAsia" w:ascii="宋体" w:hAnsi="宋体" w:cs="宋体"/>
                <w:color w:val="000000"/>
                <w:highlight w:val="none"/>
              </w:rPr>
            </w:r>
            <w:r/>
          </w:p>
          <w:p>
            <w:pPr>
              <w:pStyle w:val="881"/>
              <w:ind w:left="0" w:firstLine="0"/>
              <w:rPr>
                <w:b/>
                <w:bCs/>
                <w:color w:val="000000"/>
                <w:highlight w:val="none"/>
              </w:rPr>
            </w:pPr>
            <w:r>
              <w:rPr>
                <w:rFonts w:hint="eastAsia" w:ascii="宋体" w:hAnsi="宋体" w:cs="宋体"/>
                <w:color w:val="000000"/>
                <w:highlight w:val="none"/>
                <w:lang w:eastAsia="en-US"/>
              </w:rPr>
              <w:t xml:space="preserve">提供1年原厂服务</w:t>
            </w:r>
            <w:r>
              <w:rPr>
                <w:b/>
                <w:bCs/>
                <w:color w:val="000000"/>
                <w:highlight w:val="none"/>
              </w:rPr>
            </w:r>
            <w:r/>
          </w:p>
        </w:tc>
      </w:tr>
      <w:tr>
        <w:trPr>
          <w:trHeight w:val="50"/>
        </w:trPr>
        <w:tc>
          <w:tcPr>
            <w:tcW w:w="1022"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暴露面梳理</w:t>
            </w:r>
            <w:r>
              <w:rPr>
                <w:rFonts w:ascii="宋体" w:hAnsi="宋体" w:cs="宋体"/>
                <w:color w:val="000000"/>
                <w:highlight w:val="none"/>
              </w:rPr>
            </w:r>
            <w:r/>
          </w:p>
        </w:tc>
        <w:tc>
          <w:tcPr>
            <w:tcW w:w="3977"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eastAsia="en-US"/>
              </w:rPr>
              <w:t xml:space="preserve">具备互联网暴露面梳理的服务工具，该工具应当支持全资产和精确资产两种模式暴露资产收集模式，收集到的暴露面信息至少包括域名、域名标题、IP地址、开放端口、资产指纹、网站截图、移动端暴露面，并且能采集对应暴露资产的访问截图向</w:t>
            </w:r>
            <w:r>
              <w:rPr>
                <w:rFonts w:hint="eastAsia" w:ascii="宋体" w:hAnsi="宋体" w:cs="宋体"/>
                <w:color w:val="000000"/>
                <w:highlight w:val="none"/>
              </w:rPr>
              <w:t xml:space="preserve">采购人</w:t>
            </w:r>
            <w:r>
              <w:rPr>
                <w:rFonts w:hint="eastAsia" w:ascii="宋体" w:hAnsi="宋体" w:cs="宋体"/>
                <w:color w:val="000000"/>
                <w:highlight w:val="none"/>
                <w:lang w:eastAsia="en-US"/>
              </w:rPr>
              <w:t xml:space="preserve">举证，及对应暴露资产存在的漏洞；</w:t>
            </w:r>
            <w:r>
              <w:rPr>
                <w:rFonts w:ascii="宋体" w:hAnsi="宋体" w:cs="宋体"/>
                <w:color w:val="000000"/>
                <w:highlight w:val="none"/>
              </w:rPr>
            </w:r>
            <w:r/>
          </w:p>
        </w:tc>
      </w:tr>
      <w:tr>
        <w:trPr>
          <w:trHeight w:val="50"/>
        </w:trPr>
        <w:tc>
          <w:tcPr>
            <w:tcW w:w="1022"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联动对接</w:t>
            </w:r>
            <w:r>
              <w:rPr>
                <w:rFonts w:ascii="宋体" w:hAnsi="宋体" w:cs="宋体"/>
                <w:color w:val="000000"/>
                <w:highlight w:val="none"/>
              </w:rPr>
            </w:r>
            <w:r/>
          </w:p>
        </w:tc>
        <w:tc>
          <w:tcPr>
            <w:tcW w:w="3977" w:type="dxa"/>
            <w:vAlign w:val="center"/>
            <w:textDirection w:val="lrTb"/>
            <w:noWrap w:val="false"/>
          </w:tcPr>
          <w:p>
            <w:pPr>
              <w:pStyle w:val="869"/>
              <w:jc w:val="left"/>
              <w:widowControl/>
              <w:rPr>
                <w:rFonts w:ascii="宋体" w:hAnsi="宋体" w:cs="宋体"/>
                <w:b/>
                <w:bCs/>
                <w:color w:val="000000"/>
                <w:highlight w:val="none"/>
                <w:lang w:eastAsia="en-US"/>
              </w:rPr>
            </w:pPr>
            <w:r>
              <w:rPr>
                <w:rFonts w:hint="eastAsia" w:ascii="宋体" w:hAnsi="宋体" w:cs="宋体"/>
                <w:b/>
                <w:bCs/>
                <w:color w:val="000000"/>
                <w:highlight w:val="none"/>
                <w:lang w:eastAsia="en-US"/>
              </w:rPr>
              <w:t xml:space="preserve">▲</w:t>
            </w:r>
            <w:r>
              <w:rPr>
                <w:rFonts w:hint="eastAsia" w:ascii="宋体" w:hAnsi="宋体" w:cs="宋体"/>
                <w:color w:val="000000"/>
                <w:highlight w:val="none"/>
                <w:lang w:eastAsia="en-US"/>
              </w:rPr>
              <w:t xml:space="preserve">支持</w:t>
            </w:r>
            <w:r>
              <w:rPr>
                <w:rFonts w:hint="eastAsia" w:ascii="宋体" w:hAnsi="宋体" w:cs="宋体"/>
                <w:color w:val="000000"/>
                <w:highlight w:val="none"/>
              </w:rPr>
              <w:t xml:space="preserve">对接采购人现有的</w:t>
            </w:r>
            <w:r>
              <w:rPr>
                <w:rFonts w:hint="eastAsia" w:ascii="宋体" w:hAnsi="宋体" w:cs="宋体"/>
                <w:color w:val="000000"/>
                <w:highlight w:val="none"/>
                <w:lang w:eastAsia="en-US"/>
              </w:rPr>
              <w:t xml:space="preserve">下一代防火墙、态势感知，支持实时接收安全设备检测到的安全事件信息、安全日志数据提供7*24小时的服务；</w:t>
            </w:r>
            <w:r>
              <w:rPr>
                <w:rFonts w:hint="eastAsia" w:ascii="宋体" w:hAnsi="宋体"/>
                <w:color w:val="000000"/>
                <w:highlight w:val="none"/>
              </w:rPr>
              <w:t xml:space="preserve">（签订合同时提供产品功能截图证明文件并加盖公章）</w:t>
            </w:r>
            <w:r>
              <w:rPr>
                <w:rFonts w:ascii="宋体" w:hAnsi="宋体" w:cs="宋体"/>
                <w:b/>
                <w:bCs/>
                <w:color w:val="000000"/>
                <w:highlight w:val="none"/>
                <w:lang w:eastAsia="en-US"/>
              </w:rPr>
            </w:r>
            <w:r/>
          </w:p>
        </w:tc>
      </w:tr>
      <w:tr>
        <w:trPr>
          <w:trHeight w:val="348"/>
        </w:trPr>
        <w:tc>
          <w:tcPr>
            <w:tcW w:w="1022" w:type="dxa"/>
            <w:vAlign w:val="center"/>
            <w:textDirection w:val="lrTb"/>
            <w:noWrap w:val="false"/>
          </w:tcPr>
          <w:p>
            <w:pPr>
              <w:pStyle w:val="869"/>
              <w:jc w:val="center"/>
              <w:widowControl/>
              <w:rPr>
                <w:rFonts w:ascii="宋体" w:hAnsi="宋体" w:cs="宋体"/>
                <w:color w:val="000000"/>
                <w:highlight w:val="none"/>
                <w:lang w:eastAsia="en-US"/>
              </w:rPr>
            </w:pPr>
            <w:r>
              <w:rPr>
                <w:rFonts w:hint="eastAsia" w:ascii="宋体" w:hAnsi="宋体" w:cs="宋体"/>
                <w:color w:val="000000"/>
                <w:highlight w:val="none"/>
                <w:lang w:eastAsia="en-US"/>
              </w:rPr>
              <w:t xml:space="preserve">脆弱性管理</w:t>
            </w:r>
            <w:r>
              <w:rPr>
                <w:rFonts w:ascii="宋体" w:hAnsi="宋体" w:cs="宋体"/>
                <w:color w:val="000000"/>
                <w:highlight w:val="none"/>
                <w:lang w:eastAsia="en-US"/>
              </w:rPr>
            </w:r>
            <w:r/>
          </w:p>
        </w:tc>
        <w:tc>
          <w:tcPr>
            <w:tcW w:w="3977"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eastAsia="en-US"/>
              </w:rPr>
              <w:t xml:space="preserve">应当为发现每一个漏洞建立漏洞工单持续跟踪漏洞状态，支持从发现、验证、处置、复测到完成的漏洞全生命周期全过程进行管理，清晰直观地展示脆弱性的修复情况，遗留情况以及脆弱性对比情况，使得</w:t>
            </w:r>
            <w:r>
              <w:rPr>
                <w:rFonts w:hint="eastAsia" w:ascii="宋体" w:hAnsi="宋体" w:cs="宋体"/>
                <w:color w:val="000000"/>
                <w:highlight w:val="none"/>
              </w:rPr>
              <w:t xml:space="preserve">采购人</w:t>
            </w:r>
            <w:r>
              <w:rPr>
                <w:rFonts w:hint="eastAsia" w:ascii="宋体" w:hAnsi="宋体" w:cs="宋体"/>
                <w:color w:val="000000"/>
                <w:highlight w:val="none"/>
                <w:lang w:eastAsia="en-US"/>
              </w:rPr>
              <w:t xml:space="preserve">可做到漏洞的可视、可管、可控；</w:t>
            </w:r>
            <w:r>
              <w:rPr>
                <w:rFonts w:ascii="宋体" w:hAnsi="宋体" w:cs="宋体"/>
                <w:color w:val="000000"/>
                <w:highlight w:val="none"/>
              </w:rPr>
            </w:r>
            <w:r/>
          </w:p>
        </w:tc>
      </w:tr>
      <w:tr>
        <w:trPr>
          <w:trHeight w:val="918"/>
        </w:trPr>
        <w:tc>
          <w:tcPr>
            <w:tcW w:w="1022" w:type="dxa"/>
            <w:vAlign w:val="center"/>
            <w:vMerge w:val="restart"/>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威胁管理</w:t>
            </w:r>
            <w:r>
              <w:rPr>
                <w:rFonts w:ascii="宋体" w:hAnsi="宋体" w:cs="宋体"/>
                <w:color w:val="000000"/>
                <w:highlight w:val="none"/>
              </w:rPr>
            </w:r>
            <w:r/>
          </w:p>
        </w:tc>
        <w:tc>
          <w:tcPr>
            <w:tcW w:w="3977"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rPr>
              <w:t xml:space="preserve">对服务范围内资产扫描到的高危可利用漏洞，应当为采购人做好每一个高危可利用漏洞的防护工作，包括但不限于为采购人提供漏洞修复方案和安全设备防护策略，以及帮助采购人配置防护规则，保证采购人不因此出现重大事件和损失；</w:t>
            </w:r>
            <w:r>
              <w:rPr>
                <w:rFonts w:ascii="宋体" w:hAnsi="宋体" w:cs="宋体"/>
                <w:color w:val="000000"/>
                <w:highlight w:val="none"/>
              </w:rPr>
            </w:r>
            <w:r/>
          </w:p>
        </w:tc>
      </w:tr>
      <w:tr>
        <w:trPr>
          <w:trHeight w:val="348"/>
        </w:trPr>
        <w:tc>
          <w:tcPr>
            <w:tcW w:w="1022" w:type="dxa"/>
            <w:vAlign w:val="center"/>
            <w:vMerge w:val="continue"/>
            <w:textDirection w:val="lrTb"/>
            <w:noWrap w:val="false"/>
          </w:tcPr>
          <w:p>
            <w:pPr>
              <w:pStyle w:val="869"/>
              <w:jc w:val="center"/>
              <w:widowControl/>
              <w:rPr>
                <w:rFonts w:ascii="宋体" w:hAnsi="宋体" w:cs="宋体"/>
                <w:color w:val="000000"/>
                <w:highlight w:val="none"/>
              </w:rPr>
            </w:pPr>
            <w:r>
              <w:rPr>
                <w:rFonts w:ascii="宋体" w:hAnsi="宋体" w:cs="宋体"/>
                <w:color w:val="000000"/>
                <w:highlight w:val="none"/>
              </w:rPr>
            </w:r>
            <w:r/>
          </w:p>
        </w:tc>
        <w:tc>
          <w:tcPr>
            <w:tcW w:w="3977"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eastAsia="en-US"/>
              </w:rPr>
              <w:t xml:space="preserve">安全专家每月对</w:t>
            </w:r>
            <w:r>
              <w:rPr>
                <w:rFonts w:hint="eastAsia" w:ascii="宋体" w:hAnsi="宋体" w:cs="宋体"/>
                <w:color w:val="000000"/>
                <w:highlight w:val="none"/>
              </w:rPr>
              <w:t xml:space="preserve">采购人</w:t>
            </w:r>
            <w:r>
              <w:rPr>
                <w:rFonts w:hint="eastAsia" w:ascii="宋体" w:hAnsi="宋体" w:cs="宋体"/>
                <w:color w:val="000000"/>
                <w:highlight w:val="none"/>
                <w:lang w:eastAsia="en-US"/>
              </w:rPr>
              <w:t xml:space="preserve">的安全设备的防护策略进行检查，确保安全设备上的安全策略始终处于最优水平，针对威胁能起到最好的防护效果。云端服务平台应当具备丰富的策略检查工具（要求不少于</w:t>
            </w:r>
            <w:r>
              <w:rPr>
                <w:rFonts w:ascii="宋体" w:hAnsi="宋体" w:cs="宋体"/>
                <w:color w:val="000000"/>
                <w:highlight w:val="none"/>
                <w:lang w:eastAsia="en-US"/>
              </w:rPr>
              <w:t xml:space="preserve">40种策略检查的工具），支持排查安全设备防护策略配置的合理性。</w:t>
            </w:r>
            <w:r>
              <w:rPr>
                <w:rFonts w:ascii="宋体" w:hAnsi="宋体" w:cs="宋体"/>
                <w:color w:val="000000"/>
                <w:highlight w:val="none"/>
              </w:rPr>
            </w:r>
            <w:r/>
          </w:p>
        </w:tc>
      </w:tr>
      <w:tr>
        <w:trPr>
          <w:trHeight w:val="348"/>
        </w:trPr>
        <w:tc>
          <w:tcPr>
            <w:tcW w:w="1022"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GPT赋能</w:t>
            </w:r>
            <w:r>
              <w:rPr>
                <w:rFonts w:ascii="宋体" w:hAnsi="宋体" w:cs="宋体"/>
                <w:color w:val="000000"/>
                <w:highlight w:val="none"/>
              </w:rPr>
            </w:r>
            <w:r/>
          </w:p>
        </w:tc>
        <w:tc>
          <w:tcPr>
            <w:tcW w:w="3977" w:type="dxa"/>
            <w:vAlign w:val="center"/>
            <w:textDirection w:val="lrTb"/>
            <w:noWrap w:val="false"/>
          </w:tcPr>
          <w:p>
            <w:pPr>
              <w:pStyle w:val="869"/>
              <w:jc w:val="left"/>
              <w:widowControl/>
              <w:rPr>
                <w:rFonts w:ascii="宋体" w:hAnsi="宋体" w:cs="宋体"/>
                <w:b/>
                <w:bCs/>
                <w:color w:val="000000"/>
                <w:highlight w:val="none"/>
              </w:rPr>
            </w:pPr>
            <w:r>
              <w:rPr>
                <w:rFonts w:hint="eastAsia" w:ascii="宋体" w:hAnsi="宋体" w:cs="宋体"/>
                <w:b/>
                <w:bCs/>
                <w:color w:val="000000"/>
                <w:highlight w:val="none"/>
                <w:lang w:eastAsia="en-US"/>
              </w:rPr>
              <w:t xml:space="preserve">▲</w:t>
            </w:r>
            <w:r>
              <w:rPr>
                <w:rFonts w:hint="eastAsia" w:ascii="宋体" w:hAnsi="宋体" w:cs="宋体"/>
                <w:color w:val="000000"/>
                <w:highlight w:val="none"/>
                <w:lang w:eastAsia="en-US"/>
              </w:rPr>
              <w:t xml:space="preserve">应具备GPT服务工具，支持集成在服务微信群、服务工作台，该工具能力项应支持告警数据包研判、情报查询分析、Payload解码、事件研判定性、自动调用安全设备遏制（IP、域名封堵）、事件调查溯源、运营数据统计（支持在线统计、分析并下载数据）等。</w:t>
            </w:r>
            <w:r>
              <w:rPr>
                <w:rFonts w:hint="eastAsia" w:ascii="宋体" w:hAnsi="宋体"/>
                <w:color w:val="000000"/>
                <w:highlight w:val="none"/>
              </w:rPr>
              <w:t xml:space="preserve">（签订合同时提供产品功能截图证明文件并加盖公章）</w:t>
            </w:r>
            <w:r>
              <w:rPr>
                <w:rFonts w:ascii="宋体" w:hAnsi="宋体" w:cs="宋体"/>
                <w:b/>
                <w:bCs/>
                <w:color w:val="000000"/>
                <w:highlight w:val="none"/>
              </w:rPr>
            </w:r>
            <w:r/>
          </w:p>
        </w:tc>
      </w:tr>
    </w:tbl>
    <w:p>
      <w:pPr>
        <w:ind w:firstLine="480"/>
        <w:spacing w:line="252"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（2）DNS安全管控系统订阅服务</w:t>
      </w:r>
      <w:r>
        <w:rPr>
          <w:rFonts w:hint="eastAsia" w:ascii="宋体" w:hAnsi="宋体" w:cs="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7901"/>
      </w:tblGrid>
      <w:tr>
        <w:trPr>
          <w:trHeight w:val="280"/>
        </w:trPr>
        <w:tc>
          <w:tcPr>
            <w:tcW w:w="1034" w:type="dxa"/>
            <w:vAlign w:val="top"/>
            <w:textDirection w:val="lrTb"/>
            <w:noWrap/>
          </w:tcPr>
          <w:p>
            <w:pPr>
              <w:pStyle w:val="869"/>
              <w:jc w:val="center"/>
              <w:rPr>
                <w:rFonts w:ascii="宋体" w:hAnsi="宋体" w:cs="宋体"/>
                <w:color w:val="000000"/>
                <w:highlight w:val="none"/>
              </w:rPr>
            </w:pPr>
            <w:r>
              <w:rPr>
                <w:rFonts w:hint="eastAsia" w:ascii="宋体" w:hAnsi="宋体"/>
                <w:color w:val="000000"/>
                <w:highlight w:val="none"/>
              </w:rPr>
              <w:t xml:space="preserve">指标项</w:t>
            </w:r>
            <w:r>
              <w:rPr>
                <w:rFonts w:ascii="宋体" w:hAnsi="宋体" w:cs="宋体"/>
                <w:color w:val="000000"/>
                <w:highlight w:val="none"/>
              </w:rPr>
            </w:r>
            <w:r/>
          </w:p>
        </w:tc>
        <w:tc>
          <w:tcPr>
            <w:tcW w:w="3965" w:type="dxa"/>
            <w:vAlign w:val="top"/>
            <w:textDirection w:val="lrTb"/>
            <w:noWrap/>
          </w:tcPr>
          <w:p>
            <w:pPr>
              <w:pStyle w:val="869"/>
              <w:jc w:val="center"/>
              <w:rPr>
                <w:rFonts w:ascii="宋体" w:hAnsi="宋体" w:cs="宋体"/>
                <w:color w:val="000000"/>
                <w:highlight w:val="none"/>
              </w:rPr>
            </w:pPr>
            <w:r>
              <w:rPr>
                <w:rFonts w:ascii="宋体" w:hAnsi="宋体"/>
                <w:color w:val="000000"/>
                <w:highlight w:val="none"/>
              </w:rPr>
              <w:t xml:space="preserve">技术规格要求</w:t>
            </w:r>
            <w:r>
              <w:rPr>
                <w:rFonts w:ascii="宋体" w:hAnsi="宋体" w:cs="宋体"/>
                <w:color w:val="000000"/>
                <w:highlight w:val="none"/>
              </w:rPr>
            </w:r>
            <w:r/>
          </w:p>
        </w:tc>
      </w:tr>
      <w:tr>
        <w:trPr>
          <w:trHeight w:val="9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代理转发器接入</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▲支持内网资产识别；支持本地</w:t>
            </w:r>
            <w:r>
              <w:rPr>
                <w:rFonts w:ascii="宋体" w:hAnsi="宋体"/>
                <w:color w:val="000000"/>
                <w:highlight w:val="none"/>
              </w:rPr>
              <w:t xml:space="preserve">DNS</w:t>
            </w:r>
            <w:r>
              <w:rPr>
                <w:rFonts w:hint="eastAsia" w:ascii="宋体" w:hAnsi="宋体"/>
                <w:color w:val="000000"/>
                <w:highlight w:val="none"/>
              </w:rPr>
              <w:t xml:space="preserve">缓存加速；支持</w:t>
            </w:r>
            <w:r>
              <w:rPr>
                <w:rFonts w:ascii="宋体" w:hAnsi="宋体"/>
                <w:color w:val="000000"/>
                <w:highlight w:val="none"/>
              </w:rPr>
              <w:t xml:space="preserve">DoH </w:t>
            </w:r>
            <w:r>
              <w:rPr>
                <w:rFonts w:hint="eastAsia" w:ascii="宋体" w:hAnsi="宋体"/>
                <w:color w:val="000000"/>
                <w:highlight w:val="none"/>
              </w:rPr>
              <w:t xml:space="preserve">加密解析，企业资产上网将会受到加密保护，防止第三方偷窥和篡改；支持串联和旁路模式接入流量；支持通过</w:t>
            </w:r>
            <w:r>
              <w:rPr>
                <w:rFonts w:ascii="宋体" w:hAnsi="宋体"/>
                <w:color w:val="000000"/>
                <w:highlight w:val="none"/>
              </w:rPr>
              <w:t xml:space="preserve"> syslog</w:t>
            </w:r>
            <w:r>
              <w:rPr>
                <w:rFonts w:hint="eastAsia" w:ascii="宋体" w:hAnsi="宋体"/>
                <w:color w:val="000000"/>
                <w:highlight w:val="none"/>
              </w:rPr>
              <w:t xml:space="preserve">接收</w:t>
            </w:r>
            <w:r>
              <w:rPr>
                <w:rFonts w:ascii="宋体" w:hAnsi="宋体"/>
                <w:color w:val="000000"/>
                <w:highlight w:val="none"/>
              </w:rPr>
              <w:t xml:space="preserve">DNS</w:t>
            </w:r>
            <w:r>
              <w:rPr>
                <w:rFonts w:hint="eastAsia" w:ascii="宋体" w:hAnsi="宋体"/>
                <w:color w:val="000000"/>
                <w:highlight w:val="none"/>
              </w:rPr>
              <w:t xml:space="preserve">日志；支持采集</w:t>
            </w:r>
            <w:r>
              <w:rPr>
                <w:rFonts w:ascii="宋体" w:hAnsi="宋体"/>
                <w:color w:val="000000"/>
                <w:highlight w:val="none"/>
              </w:rPr>
              <w:t xml:space="preserve"> DHCP </w:t>
            </w:r>
            <w:r>
              <w:rPr>
                <w:rFonts w:hint="eastAsia" w:ascii="宋体" w:hAnsi="宋体"/>
                <w:color w:val="000000"/>
                <w:highlight w:val="none"/>
              </w:rPr>
              <w:t xml:space="preserve">日志。（签订合同时提供产品功能截图证明文件并加盖公章）</w:t>
            </w:r>
            <w:r>
              <w:rPr>
                <w:rFonts w:ascii="宋体" w:hAnsi="宋体"/>
                <w:color w:val="000000"/>
                <w:highlight w:val="none"/>
              </w:rPr>
            </w:r>
            <w:r/>
          </w:p>
        </w:tc>
      </w:tr>
      <w:tr>
        <w:trPr>
          <w:trHeight w:val="3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漫游终端接入</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支持漫游终端在企业环境内使用企业内安全</w:t>
            </w:r>
            <w:r>
              <w:rPr>
                <w:rFonts w:ascii="宋体" w:hAnsi="宋体"/>
                <w:color w:val="000000"/>
                <w:highlight w:val="none"/>
              </w:rPr>
              <w:t xml:space="preserve">DNS</w:t>
            </w:r>
            <w:r>
              <w:rPr>
                <w:rFonts w:hint="eastAsia" w:ascii="宋体" w:hAnsi="宋体"/>
                <w:color w:val="000000"/>
                <w:highlight w:val="none"/>
              </w:rPr>
              <w:t xml:space="preserve">服务，离开企业环境后仍然使用</w:t>
            </w:r>
            <w:r>
              <w:rPr>
                <w:rFonts w:ascii="宋体" w:hAnsi="宋体"/>
                <w:color w:val="000000"/>
                <w:highlight w:val="none"/>
              </w:rPr>
              <w:t xml:space="preserve"> DoH </w:t>
            </w:r>
            <w:r>
              <w:rPr>
                <w:rFonts w:hint="eastAsia" w:ascii="宋体" w:hAnsi="宋体"/>
                <w:color w:val="000000"/>
                <w:highlight w:val="none"/>
              </w:rPr>
              <w:t xml:space="preserve">加密解析。</w:t>
            </w:r>
            <w:r>
              <w:rPr>
                <w:rFonts w:ascii="宋体" w:hAnsi="宋体"/>
                <w:color w:val="000000"/>
                <w:highlight w:val="none"/>
              </w:rPr>
            </w:r>
            <w:r/>
          </w:p>
        </w:tc>
      </w:tr>
      <w:tr>
        <w:trPr>
          <w:trHeight w:val="6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网络分组管理</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每个网络分组提供出口</w:t>
            </w:r>
            <w:r>
              <w:rPr>
                <w:rFonts w:ascii="宋体" w:hAnsi="宋体"/>
                <w:color w:val="000000"/>
                <w:highlight w:val="none"/>
              </w:rPr>
              <w:t xml:space="preserve"> IP</w:t>
            </w:r>
            <w:r>
              <w:rPr>
                <w:rFonts w:hint="eastAsia" w:ascii="宋体" w:hAnsi="宋体"/>
                <w:color w:val="000000"/>
                <w:highlight w:val="none"/>
              </w:rPr>
              <w:t xml:space="preserve">、代理转发器、漫游终端三种接入方式；提供专属</w:t>
            </w:r>
            <w:r>
              <w:rPr>
                <w:rFonts w:ascii="宋体" w:hAnsi="宋体"/>
                <w:color w:val="000000"/>
                <w:highlight w:val="none"/>
              </w:rPr>
              <w:t xml:space="preserve"> DoH </w:t>
            </w:r>
            <w:r>
              <w:rPr>
                <w:rFonts w:hint="eastAsia" w:ascii="宋体" w:hAnsi="宋体"/>
                <w:color w:val="000000"/>
                <w:highlight w:val="none"/>
              </w:rPr>
              <w:t xml:space="preserve">域名接入；支持根据网络分组配置告警拦截策略。</w:t>
            </w:r>
            <w:r>
              <w:rPr>
                <w:rFonts w:ascii="宋体" w:hAnsi="宋体"/>
                <w:color w:val="000000"/>
                <w:highlight w:val="none"/>
              </w:rPr>
            </w:r>
            <w:r/>
          </w:p>
        </w:tc>
      </w:tr>
      <w:tr>
        <w:trPr>
          <w:trHeight w:val="6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内网域名管理</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支持配置多组内网</w:t>
            </w:r>
            <w:r>
              <w:rPr>
                <w:rFonts w:ascii="宋体" w:hAnsi="宋体"/>
                <w:color w:val="000000"/>
                <w:highlight w:val="none"/>
              </w:rPr>
              <w:t xml:space="preserve">DNS</w:t>
            </w:r>
            <w:r>
              <w:rPr>
                <w:rFonts w:hint="eastAsia" w:ascii="宋体" w:hAnsi="宋体"/>
                <w:color w:val="000000"/>
                <w:highlight w:val="none"/>
              </w:rPr>
              <w:t xml:space="preserve">服务器，同时配置内网的泛域名列表；代理转发器根据配置将内网域名转发到指定内网</w:t>
            </w:r>
            <w:r>
              <w:rPr>
                <w:rFonts w:ascii="宋体" w:hAnsi="宋体"/>
                <w:color w:val="000000"/>
                <w:highlight w:val="none"/>
              </w:rPr>
              <w:t xml:space="preserve">DNS</w:t>
            </w:r>
            <w:r>
              <w:rPr>
                <w:rFonts w:hint="eastAsia" w:ascii="宋体" w:hAnsi="宋体"/>
                <w:color w:val="000000"/>
                <w:highlight w:val="none"/>
              </w:rPr>
              <w:t xml:space="preserve">服务器，实现内部域名解析不出网，保证内部网站的正常访问。</w:t>
            </w:r>
            <w:r>
              <w:rPr>
                <w:rFonts w:ascii="宋体" w:hAnsi="宋体"/>
                <w:color w:val="000000"/>
                <w:highlight w:val="none"/>
              </w:rPr>
            </w:r>
            <w:r/>
          </w:p>
        </w:tc>
      </w:tr>
      <w:tr>
        <w:trPr>
          <w:trHeight w:val="6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传输加密</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▲支持客户本地通过</w:t>
            </w:r>
            <w:r>
              <w:rPr>
                <w:rFonts w:ascii="宋体" w:hAnsi="宋体"/>
                <w:color w:val="000000"/>
                <w:highlight w:val="none"/>
              </w:rPr>
              <w:t xml:space="preserve">DoH/DoT</w:t>
            </w:r>
            <w:r>
              <w:rPr>
                <w:rFonts w:hint="eastAsia" w:ascii="宋体" w:hAnsi="宋体"/>
                <w:color w:val="000000"/>
                <w:highlight w:val="none"/>
              </w:rPr>
              <w:t xml:space="preserve">加密协议进行域名解析，对出公网的域名解析进行加密保护，有效防止了第三方对</w:t>
            </w:r>
            <w:r>
              <w:rPr>
                <w:rFonts w:ascii="宋体" w:hAnsi="宋体"/>
                <w:color w:val="000000"/>
                <w:highlight w:val="none"/>
              </w:rPr>
              <w:t xml:space="preserve">DNS</w:t>
            </w:r>
            <w:r>
              <w:rPr>
                <w:rFonts w:hint="eastAsia" w:ascii="宋体" w:hAnsi="宋体"/>
                <w:color w:val="000000"/>
                <w:highlight w:val="none"/>
              </w:rPr>
              <w:t xml:space="preserve">解析的偷窥和篡改，保护了企业的用户隐私。（签订合同时提供产品功能截图证明文件并加盖公章）</w:t>
            </w:r>
            <w:r>
              <w:rPr>
                <w:rFonts w:ascii="宋体" w:hAnsi="宋体"/>
                <w:color w:val="000000"/>
                <w:highlight w:val="none"/>
              </w:rPr>
            </w:r>
            <w:r/>
          </w:p>
        </w:tc>
      </w:tr>
      <w:tr>
        <w:trPr>
          <w:trHeight w:val="9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威胁情报</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威胁情报数量不少于</w:t>
            </w:r>
            <w:r>
              <w:rPr>
                <w:rFonts w:ascii="宋体" w:hAnsi="宋体"/>
                <w:color w:val="000000"/>
                <w:highlight w:val="none"/>
              </w:rPr>
              <w:t xml:space="preserve">1500</w:t>
            </w:r>
            <w:r>
              <w:rPr>
                <w:rFonts w:hint="eastAsia" w:ascii="宋体" w:hAnsi="宋体"/>
                <w:color w:val="000000"/>
                <w:highlight w:val="none"/>
              </w:rPr>
              <w:t xml:space="preserve">万条，</w:t>
            </w:r>
            <w:r>
              <w:rPr>
                <w:rFonts w:ascii="宋体" w:hAnsi="宋体"/>
                <w:color w:val="000000"/>
                <w:highlight w:val="none"/>
              </w:rPr>
              <w:t xml:space="preserve">APT</w:t>
            </w:r>
            <w:r>
              <w:rPr>
                <w:rFonts w:hint="eastAsia" w:ascii="宋体" w:hAnsi="宋体"/>
                <w:color w:val="000000"/>
                <w:highlight w:val="none"/>
              </w:rPr>
              <w:t xml:space="preserve">情报不少于</w:t>
            </w:r>
            <w:r>
              <w:rPr>
                <w:rFonts w:ascii="宋体" w:hAnsi="宋体"/>
                <w:color w:val="000000"/>
                <w:highlight w:val="none"/>
              </w:rPr>
              <w:t xml:space="preserve">4</w:t>
            </w:r>
            <w:r>
              <w:rPr>
                <w:rFonts w:hint="eastAsia" w:ascii="宋体" w:hAnsi="宋体"/>
                <w:color w:val="000000"/>
                <w:highlight w:val="none"/>
              </w:rPr>
              <w:t xml:space="preserve">万条；情报包含丰富的上下文，至少包括：威胁家族、威胁团伙、威胁类型、感染平台、攻击特点、处置建议、公开分析等。</w:t>
            </w:r>
            <w:r>
              <w:rPr>
                <w:rFonts w:ascii="宋体" w:hAnsi="宋体"/>
                <w:color w:val="000000"/>
                <w:highlight w:val="none"/>
              </w:rPr>
            </w:r>
            <w:r/>
          </w:p>
        </w:tc>
      </w:tr>
      <w:tr>
        <w:trPr>
          <w:trHeight w:val="9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威胁检测</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根据管理员定义的拦截策略，对</w:t>
            </w:r>
            <w:r>
              <w:rPr>
                <w:rFonts w:ascii="宋体" w:hAnsi="宋体"/>
                <w:color w:val="000000"/>
                <w:highlight w:val="none"/>
              </w:rPr>
              <w:t xml:space="preserve">DNS</w:t>
            </w:r>
            <w:r>
              <w:rPr>
                <w:rFonts w:hint="eastAsia" w:ascii="宋体" w:hAnsi="宋体"/>
                <w:color w:val="000000"/>
                <w:highlight w:val="none"/>
              </w:rPr>
              <w:t xml:space="preserve">流量进行实时的威胁检测和展示。检测的攻击类型至少要包含：</w:t>
            </w:r>
            <w:r>
              <w:rPr>
                <w:rFonts w:ascii="宋体" w:hAnsi="宋体"/>
                <w:color w:val="000000"/>
                <w:highlight w:val="none"/>
              </w:rPr>
              <w:t xml:space="preserve">APT</w:t>
            </w:r>
            <w:r>
              <w:rPr>
                <w:rFonts w:hint="eastAsia" w:ascii="宋体" w:hAnsi="宋体"/>
                <w:color w:val="000000"/>
                <w:highlight w:val="none"/>
              </w:rPr>
              <w:t xml:space="preserve">、僵尸网络、网银木马、窃密木马、蠕虫、病毒、勒索、后门、挖矿、钓鱼网站、动态生成域名</w:t>
            </w:r>
            <w:r>
              <w:rPr>
                <w:rFonts w:ascii="宋体" w:hAnsi="宋体"/>
                <w:color w:val="000000"/>
                <w:highlight w:val="none"/>
              </w:rPr>
              <w:t xml:space="preserve">(DGA)</w:t>
            </w:r>
            <w:r>
              <w:rPr>
                <w:rFonts w:hint="eastAsia" w:ascii="宋体" w:hAnsi="宋体"/>
                <w:color w:val="000000"/>
                <w:highlight w:val="none"/>
              </w:rPr>
              <w:t xml:space="preserve">等威胁类型。</w:t>
            </w:r>
            <w:r>
              <w:rPr>
                <w:rFonts w:ascii="宋体" w:hAnsi="宋体"/>
                <w:color w:val="000000"/>
                <w:highlight w:val="none"/>
              </w:rPr>
            </w:r>
            <w:r/>
          </w:p>
        </w:tc>
      </w:tr>
      <w:tr>
        <w:trPr>
          <w:trHeight w:val="12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威胁告警</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w:t>
            </w:r>
            <w:r>
              <w:rPr>
                <w:rFonts w:ascii="宋体" w:hAnsi="宋体"/>
                <w:color w:val="000000"/>
                <w:highlight w:val="none"/>
              </w:rPr>
              <w:t xml:space="preserve">1</w:t>
            </w:r>
            <w:r>
              <w:rPr>
                <w:rFonts w:hint="eastAsia" w:ascii="宋体" w:hAnsi="宋体"/>
                <w:color w:val="000000"/>
                <w:highlight w:val="none"/>
              </w:rPr>
              <w:t xml:space="preserve">年范围内告警日志检索；支持以威胁事件、恶意域名、风险分组、失陷资产的视角对告警数据进行分组展示；支持根据失陷资产</w:t>
            </w:r>
            <w:r>
              <w:rPr>
                <w:rFonts w:ascii="宋体" w:hAnsi="宋体"/>
                <w:color w:val="000000"/>
                <w:highlight w:val="none"/>
              </w:rPr>
              <w:t xml:space="preserve">IP</w:t>
            </w:r>
            <w:r>
              <w:rPr>
                <w:rFonts w:hint="eastAsia" w:ascii="宋体" w:hAnsi="宋体"/>
                <w:color w:val="000000"/>
                <w:highlight w:val="none"/>
              </w:rPr>
              <w:t xml:space="preserve">、恶意域名对威胁告警进行聚合展示，展示内容包括威胁类型、威胁名称、威胁等级、恶意域名、失陷资产、资产分组、告警次数、拦截次数、最近告警时间；支持威胁告警列表导出；支持查询指定威胁告警的明细日志、恶意域名详情、失陷资产详情。</w:t>
            </w:r>
            <w:r>
              <w:rPr>
                <w:rFonts w:ascii="宋体" w:hAnsi="宋体"/>
                <w:color w:val="000000"/>
                <w:highlight w:val="none"/>
              </w:rPr>
            </w:r>
            <w:r/>
          </w:p>
        </w:tc>
      </w:tr>
      <w:tr>
        <w:trPr>
          <w:trHeight w:val="9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告警通知</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支持按照威胁类型、威胁等级配置告警通知策略；支持按照拦截策略配置告警通知策略；支持按照资产分组选择告警通知范围；支持配置告警发送策略、告警去重策略；告警通知方式支持邮箱、企业微信、钉钉。</w:t>
            </w:r>
            <w:r>
              <w:rPr>
                <w:rFonts w:ascii="宋体" w:hAnsi="宋体"/>
                <w:color w:val="000000"/>
                <w:highlight w:val="none"/>
              </w:rPr>
            </w:r>
            <w:r/>
          </w:p>
        </w:tc>
      </w:tr>
      <w:tr>
        <w:trPr>
          <w:trHeight w:val="699"/>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解析统计</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支持选定时间范围内，请求域名的</w:t>
            </w:r>
            <w:r>
              <w:rPr>
                <w:rFonts w:ascii="宋体" w:hAnsi="宋体"/>
                <w:color w:val="000000"/>
                <w:highlight w:val="none"/>
              </w:rPr>
              <w:t xml:space="preserve">TOP</w:t>
            </w:r>
            <w:r>
              <w:rPr>
                <w:rFonts w:hint="eastAsia" w:ascii="宋体" w:hAnsi="宋体"/>
                <w:color w:val="000000"/>
                <w:highlight w:val="none"/>
              </w:rPr>
              <w:t xml:space="preserve">排行，包括域名、请求次数、告警次数、拦截次数、资产数、命中策略的类型和名称、标签等信息；域名标签包括威胁分类、内容分类、</w:t>
            </w:r>
            <w:r>
              <w:rPr>
                <w:rFonts w:ascii="宋体" w:hAnsi="宋体"/>
                <w:color w:val="000000"/>
                <w:highlight w:val="none"/>
              </w:rPr>
              <w:t xml:space="preserve"> ICP</w:t>
            </w:r>
            <w:r>
              <w:rPr>
                <w:rFonts w:hint="eastAsia" w:ascii="宋体" w:hAnsi="宋体"/>
                <w:color w:val="000000"/>
                <w:highlight w:val="none"/>
              </w:rPr>
              <w:t xml:space="preserve">备案信息、用户自定义标签；支持关联展示域名</w:t>
            </w:r>
            <w:r>
              <w:rPr>
                <w:rFonts w:ascii="宋体" w:hAnsi="宋体"/>
                <w:color w:val="000000"/>
                <w:highlight w:val="none"/>
              </w:rPr>
              <w:t xml:space="preserve">ICP</w:t>
            </w:r>
            <w:r>
              <w:rPr>
                <w:rFonts w:hint="eastAsia" w:ascii="宋体" w:hAnsi="宋体"/>
                <w:color w:val="000000"/>
                <w:highlight w:val="none"/>
              </w:rPr>
              <w:t xml:space="preserve">备案信息，包含主办单位名称、单位性质、备案号及审核时间等；支持关联展示域名</w:t>
            </w:r>
            <w:r>
              <w:rPr>
                <w:rFonts w:ascii="宋体" w:hAnsi="宋体"/>
                <w:color w:val="000000"/>
                <w:highlight w:val="none"/>
              </w:rPr>
              <w:t xml:space="preserve">WHOIS</w:t>
            </w:r>
            <w:r>
              <w:rPr>
                <w:rFonts w:hint="eastAsia" w:ascii="宋体" w:hAnsi="宋体"/>
                <w:color w:val="000000"/>
                <w:highlight w:val="none"/>
              </w:rPr>
              <w:t xml:space="preserve">注册信息，包括注册者、注册时间、注册邮箱、过期时间等；支持关联指定域名的拦截明细日志、域名详情；支持统计展示指定域名最近</w:t>
            </w:r>
            <w:r>
              <w:rPr>
                <w:rFonts w:ascii="宋体" w:hAnsi="宋体"/>
                <w:color w:val="000000"/>
                <w:highlight w:val="none"/>
              </w:rPr>
              <w:t xml:space="preserve"> 7 </w:t>
            </w:r>
            <w:r>
              <w:rPr>
                <w:rFonts w:hint="eastAsia" w:ascii="宋体" w:hAnsi="宋体"/>
                <w:color w:val="000000"/>
                <w:highlight w:val="none"/>
              </w:rPr>
              <w:t xml:space="preserve">天的解析结果；支持</w:t>
            </w:r>
            <w:r>
              <w:rPr>
                <w:rFonts w:ascii="宋体" w:hAnsi="宋体"/>
                <w:color w:val="000000"/>
                <w:highlight w:val="none"/>
              </w:rPr>
              <w:t xml:space="preserve">TOP</w:t>
            </w:r>
            <w:r>
              <w:rPr>
                <w:rFonts w:hint="eastAsia" w:ascii="宋体" w:hAnsi="宋体"/>
                <w:color w:val="000000"/>
                <w:highlight w:val="none"/>
              </w:rPr>
              <w:t xml:space="preserve">域名统计结果导出。</w:t>
            </w:r>
            <w:r>
              <w:rPr>
                <w:rFonts w:ascii="宋体" w:hAnsi="宋体"/>
                <w:color w:val="000000"/>
                <w:highlight w:val="none"/>
              </w:rPr>
            </w:r>
            <w:r/>
          </w:p>
        </w:tc>
      </w:tr>
      <w:tr>
        <w:trPr>
          <w:trHeight w:val="9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资产定位</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▲支持识别定位内网终端资产</w:t>
            </w:r>
            <w:r>
              <w:rPr>
                <w:rFonts w:ascii="宋体" w:hAnsi="宋体"/>
                <w:color w:val="000000"/>
                <w:highlight w:val="none"/>
              </w:rPr>
              <w:t xml:space="preserve">IP</w:t>
            </w:r>
            <w:r>
              <w:rPr>
                <w:rFonts w:hint="eastAsia" w:ascii="宋体" w:hAnsi="宋体"/>
                <w:color w:val="000000"/>
                <w:highlight w:val="none"/>
              </w:rPr>
              <w:t xml:space="preserve">地址；支持查询选定时间范围内，</w:t>
            </w:r>
            <w:r>
              <w:rPr>
                <w:rFonts w:ascii="宋体" w:hAnsi="宋体"/>
                <w:color w:val="000000"/>
                <w:highlight w:val="none"/>
              </w:rPr>
              <w:t xml:space="preserve">TOP</w:t>
            </w:r>
            <w:r>
              <w:rPr>
                <w:rFonts w:hint="eastAsia" w:ascii="宋体" w:hAnsi="宋体"/>
                <w:color w:val="000000"/>
                <w:highlight w:val="none"/>
              </w:rPr>
              <w:t xml:space="preserve">活跃资产的列表，列表包括资产</w:t>
            </w:r>
            <w:r>
              <w:rPr>
                <w:rFonts w:ascii="宋体" w:hAnsi="宋体"/>
                <w:color w:val="000000"/>
                <w:highlight w:val="none"/>
              </w:rPr>
              <w:t xml:space="preserve"> IP</w:t>
            </w:r>
            <w:r>
              <w:rPr>
                <w:rFonts w:hint="eastAsia" w:ascii="宋体" w:hAnsi="宋体"/>
                <w:color w:val="000000"/>
                <w:highlight w:val="none"/>
              </w:rPr>
              <w:t xml:space="preserve">、资产分组、</w:t>
            </w:r>
            <w:r>
              <w:rPr>
                <w:rFonts w:ascii="宋体" w:hAnsi="宋体"/>
                <w:color w:val="000000"/>
                <w:highlight w:val="none"/>
              </w:rPr>
              <w:t xml:space="preserve">DNS </w:t>
            </w:r>
            <w:r>
              <w:rPr>
                <w:rFonts w:hint="eastAsia" w:ascii="宋体" w:hAnsi="宋体"/>
                <w:color w:val="000000"/>
                <w:highlight w:val="none"/>
              </w:rPr>
              <w:t xml:space="preserve">请求数、最近请求时间、威胁等级和分类；支持</w:t>
            </w:r>
            <w:r>
              <w:rPr>
                <w:rFonts w:ascii="宋体" w:hAnsi="宋体"/>
                <w:color w:val="000000"/>
                <w:highlight w:val="none"/>
              </w:rPr>
              <w:t xml:space="preserve">TOP</w:t>
            </w:r>
            <w:r>
              <w:rPr>
                <w:rFonts w:hint="eastAsia" w:ascii="宋体" w:hAnsi="宋体"/>
                <w:color w:val="000000"/>
                <w:highlight w:val="none"/>
              </w:rPr>
              <w:t xml:space="preserve">活跃资产列表导出；（签订合同时提供产品功能截图证明文件并加盖公章）</w:t>
            </w:r>
            <w:r>
              <w:rPr>
                <w:rFonts w:ascii="宋体" w:hAnsi="宋体"/>
                <w:color w:val="000000"/>
                <w:highlight w:val="none"/>
              </w:rPr>
            </w:r>
            <w:r/>
          </w:p>
        </w:tc>
      </w:tr>
      <w:tr>
        <w:trPr>
          <w:trHeight w:val="12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资产画像</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支持展示资产的威胁等级、威胁类型；支持展示资产最近一个月上网解析的热力图，并按时段标注访问恶意域名的情况；支持资产最近一个月威胁告警的展示和导出；支持对终端资产</w:t>
            </w:r>
            <w:r>
              <w:rPr>
                <w:rFonts w:ascii="宋体" w:hAnsi="宋体"/>
                <w:color w:val="000000"/>
                <w:highlight w:val="none"/>
              </w:rPr>
              <w:t xml:space="preserve">IP</w:t>
            </w:r>
            <w:r>
              <w:rPr>
                <w:rFonts w:hint="eastAsia" w:ascii="宋体" w:hAnsi="宋体"/>
                <w:color w:val="000000"/>
                <w:highlight w:val="none"/>
              </w:rPr>
              <w:t xml:space="preserve">进行打标签，维护资产处置记录；支持接入</w:t>
            </w:r>
            <w:r>
              <w:rPr>
                <w:rFonts w:ascii="宋体" w:hAnsi="宋体"/>
                <w:color w:val="000000"/>
                <w:highlight w:val="none"/>
              </w:rPr>
              <w:t xml:space="preserve">DHCP</w:t>
            </w:r>
            <w:r>
              <w:rPr>
                <w:rFonts w:hint="eastAsia" w:ascii="宋体" w:hAnsi="宋体"/>
                <w:color w:val="000000"/>
                <w:highlight w:val="none"/>
              </w:rPr>
              <w:t xml:space="preserve">日志，自动识别和关联资产主机名和</w:t>
            </w:r>
            <w:r>
              <w:rPr>
                <w:rFonts w:ascii="宋体" w:hAnsi="宋体"/>
                <w:color w:val="000000"/>
                <w:highlight w:val="none"/>
              </w:rPr>
              <w:t xml:space="preserve">MAC</w:t>
            </w:r>
            <w:r>
              <w:rPr>
                <w:rFonts w:hint="eastAsia" w:ascii="宋体" w:hAnsi="宋体"/>
                <w:color w:val="000000"/>
                <w:highlight w:val="none"/>
              </w:rPr>
              <w:t xml:space="preserve">地址；支持自动化行为分析，标注资产的设备类型和操作系统。</w:t>
            </w:r>
            <w:r>
              <w:rPr>
                <w:rFonts w:ascii="宋体" w:hAnsi="宋体"/>
                <w:color w:val="000000"/>
                <w:highlight w:val="none"/>
              </w:rPr>
            </w:r>
            <w:r/>
          </w:p>
        </w:tc>
      </w:tr>
      <w:tr>
        <w:trPr>
          <w:trHeight w:val="6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资产分组</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支持按照</w:t>
            </w:r>
            <w:r>
              <w:rPr>
                <w:rFonts w:ascii="宋体" w:hAnsi="宋体"/>
                <w:color w:val="000000"/>
                <w:highlight w:val="none"/>
              </w:rPr>
              <w:t xml:space="preserve">IP</w:t>
            </w:r>
            <w:r>
              <w:rPr>
                <w:rFonts w:hint="eastAsia" w:ascii="宋体" w:hAnsi="宋体"/>
                <w:color w:val="000000"/>
                <w:highlight w:val="none"/>
              </w:rPr>
              <w:t xml:space="preserve">或者</w:t>
            </w:r>
            <w:r>
              <w:rPr>
                <w:rFonts w:ascii="宋体" w:hAnsi="宋体"/>
                <w:color w:val="000000"/>
                <w:highlight w:val="none"/>
              </w:rPr>
              <w:t xml:space="preserve">IP</w:t>
            </w:r>
            <w:r>
              <w:rPr>
                <w:rFonts w:hint="eastAsia" w:ascii="宋体" w:hAnsi="宋体"/>
                <w:color w:val="000000"/>
                <w:highlight w:val="none"/>
              </w:rPr>
              <w:t xml:space="preserve">段划分虚拟资产组；支持根据资产组，查询解析告警数据、配置告警通知策略、生成安全分析报告。</w:t>
            </w:r>
            <w:r>
              <w:rPr>
                <w:rFonts w:ascii="宋体" w:hAnsi="宋体"/>
                <w:color w:val="000000"/>
                <w:highlight w:val="none"/>
              </w:rPr>
            </w:r>
            <w:r/>
          </w:p>
        </w:tc>
      </w:tr>
      <w:tr>
        <w:trPr>
          <w:trHeight w:val="6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资产告警屏蔽</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▲支持定义企业需要屏蔽告警的资产白名单列表，支持</w:t>
            </w:r>
            <w:r>
              <w:rPr>
                <w:rFonts w:ascii="宋体" w:hAnsi="宋体"/>
                <w:color w:val="000000"/>
                <w:highlight w:val="none"/>
              </w:rPr>
              <w:t xml:space="preserve">IP</w:t>
            </w:r>
            <w:r>
              <w:rPr>
                <w:rFonts w:hint="eastAsia" w:ascii="宋体" w:hAnsi="宋体"/>
                <w:color w:val="000000"/>
                <w:highlight w:val="none"/>
              </w:rPr>
              <w:t xml:space="preserve">及</w:t>
            </w:r>
            <w:r>
              <w:rPr>
                <w:rFonts w:ascii="宋体" w:hAnsi="宋体"/>
                <w:color w:val="000000"/>
                <w:highlight w:val="none"/>
              </w:rPr>
              <w:t xml:space="preserve">IP</w:t>
            </w:r>
            <w:r>
              <w:rPr>
                <w:rFonts w:hint="eastAsia" w:ascii="宋体" w:hAnsi="宋体"/>
                <w:color w:val="000000"/>
                <w:highlight w:val="none"/>
              </w:rPr>
              <w:t xml:space="preserve">段的配置；设置的</w:t>
            </w:r>
            <w:r>
              <w:rPr>
                <w:rFonts w:ascii="宋体" w:hAnsi="宋体"/>
                <w:color w:val="000000"/>
                <w:highlight w:val="none"/>
              </w:rPr>
              <w:t xml:space="preserve">IP</w:t>
            </w:r>
            <w:r>
              <w:rPr>
                <w:rFonts w:hint="eastAsia" w:ascii="宋体" w:hAnsi="宋体"/>
                <w:color w:val="000000"/>
                <w:highlight w:val="none"/>
              </w:rPr>
              <w:t xml:space="preserve">名单的资产不产生告警通知，但不影响策略的拦截效果。（签订合同时提供产品功能截图证明文件并加盖公章）</w:t>
            </w:r>
            <w:r>
              <w:rPr>
                <w:rFonts w:ascii="宋体" w:hAnsi="宋体"/>
                <w:color w:val="000000"/>
                <w:highlight w:val="none"/>
              </w:rPr>
            </w:r>
            <w:r/>
          </w:p>
        </w:tc>
      </w:tr>
      <w:tr>
        <w:trPr>
          <w:trHeight w:val="12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威胁域名拦截</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配置威胁域名拦截策略，系统对指定的威胁域名进行拦截；可选择的情报分类包括恶意软件、挖矿、钓鱼网站等；支持自定义策略生效范围；支持定义处置动作拦截并告警、仅告警；支持自定义拦截时返回的</w:t>
            </w:r>
            <w:r>
              <w:rPr>
                <w:rFonts w:ascii="宋体" w:hAnsi="宋体"/>
                <w:color w:val="000000"/>
                <w:highlight w:val="none"/>
              </w:rPr>
              <w:t xml:space="preserve"> IP </w:t>
            </w:r>
            <w:r>
              <w:rPr>
                <w:rFonts w:hint="eastAsia" w:ascii="宋体" w:hAnsi="宋体"/>
                <w:color w:val="000000"/>
                <w:highlight w:val="none"/>
              </w:rPr>
              <w:t xml:space="preserve">地址，默认情况下提供拦截页面，并且支持用户自定义拦截页面的文案或者跳转的</w:t>
            </w:r>
            <w:r>
              <w:rPr>
                <w:rFonts w:ascii="宋体" w:hAnsi="宋体"/>
                <w:color w:val="000000"/>
                <w:highlight w:val="none"/>
              </w:rPr>
              <w:t xml:space="preserve">URL</w:t>
            </w:r>
            <w:r>
              <w:rPr>
                <w:rFonts w:hint="eastAsia" w:ascii="宋体" w:hAnsi="宋体"/>
                <w:color w:val="000000"/>
                <w:highlight w:val="none"/>
              </w:rPr>
              <w:t xml:space="preserve">。（签订合同时提供产品功能截图证明文件并加盖公章）</w:t>
            </w:r>
            <w:r>
              <w:rPr>
                <w:rFonts w:ascii="宋体" w:hAnsi="宋体"/>
                <w:color w:val="000000"/>
                <w:highlight w:val="none"/>
              </w:rPr>
            </w:r>
            <w:r/>
          </w:p>
        </w:tc>
      </w:tr>
      <w:tr>
        <w:trPr>
          <w:trHeight w:val="9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内容分类拦截</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支持配置内容分类拦截策略，系统对指定的内容分类进行拦截；可选择的内容分类包括色情、赌博、黑灰产等；支持自定义策略生效范围；支持自定义拦截时返回的</w:t>
            </w:r>
            <w:r>
              <w:rPr>
                <w:rFonts w:ascii="宋体" w:hAnsi="宋体"/>
                <w:color w:val="000000"/>
                <w:highlight w:val="none"/>
              </w:rPr>
              <w:t xml:space="preserve"> IP </w:t>
            </w:r>
            <w:r>
              <w:rPr>
                <w:rFonts w:hint="eastAsia" w:ascii="宋体" w:hAnsi="宋体"/>
                <w:color w:val="000000"/>
                <w:highlight w:val="none"/>
              </w:rPr>
              <w:t xml:space="preserve">地址，默认情况下提供拦截页面，并且支持用户自定义拦截页面的文案或者跳转的</w:t>
            </w:r>
            <w:r>
              <w:rPr>
                <w:rFonts w:ascii="宋体" w:hAnsi="宋体"/>
                <w:color w:val="000000"/>
                <w:highlight w:val="none"/>
              </w:rPr>
              <w:t xml:space="preserve">URL</w:t>
            </w:r>
            <w:r>
              <w:rPr>
                <w:rFonts w:hint="eastAsia" w:ascii="宋体" w:hAnsi="宋体"/>
                <w:color w:val="000000"/>
                <w:highlight w:val="none"/>
              </w:rPr>
              <w:t xml:space="preserve">。</w:t>
            </w:r>
            <w:r>
              <w:rPr>
                <w:rFonts w:ascii="宋体" w:hAnsi="宋体"/>
                <w:color w:val="000000"/>
                <w:highlight w:val="none"/>
              </w:rPr>
            </w:r>
            <w:r/>
          </w:p>
        </w:tc>
      </w:tr>
      <w:tr>
        <w:trPr>
          <w:trHeight w:val="416"/>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自定义黑名单</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支持配置自定义黑名单，系统对添加到黑名单的域名系统进行拦截；支持自定义策略生效范围；支持自定义拦截时返回的</w:t>
            </w:r>
            <w:r>
              <w:rPr>
                <w:rFonts w:ascii="宋体" w:hAnsi="宋体"/>
                <w:color w:val="000000"/>
                <w:highlight w:val="none"/>
              </w:rPr>
              <w:t xml:space="preserve"> IP </w:t>
            </w:r>
            <w:r>
              <w:rPr>
                <w:rFonts w:hint="eastAsia" w:ascii="宋体" w:hAnsi="宋体"/>
                <w:color w:val="000000"/>
                <w:highlight w:val="none"/>
              </w:rPr>
              <w:t xml:space="preserve">地址，默认情况下提供拦截页面，并且支持用户自定义拦截页面的文案或者跳转的</w:t>
            </w:r>
            <w:r>
              <w:rPr>
                <w:rFonts w:ascii="宋体" w:hAnsi="宋体"/>
                <w:color w:val="000000"/>
                <w:highlight w:val="none"/>
              </w:rPr>
              <w:t xml:space="preserve">URL</w:t>
            </w:r>
            <w:r>
              <w:rPr>
                <w:rFonts w:hint="eastAsia" w:ascii="宋体" w:hAnsi="宋体"/>
                <w:color w:val="000000"/>
                <w:highlight w:val="none"/>
              </w:rPr>
              <w:t xml:space="preserve">。</w:t>
            </w:r>
            <w:r>
              <w:rPr>
                <w:rFonts w:ascii="宋体" w:hAnsi="宋体"/>
                <w:color w:val="000000"/>
                <w:highlight w:val="none"/>
              </w:rPr>
            </w:r>
            <w:r/>
          </w:p>
        </w:tc>
      </w:tr>
      <w:tr>
        <w:trPr>
          <w:trHeight w:val="3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自定义白名单</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支持配置自定义白名单，系统对添加到白名单的域名不进行告警和拦截；支持自定义策略生效范围。</w:t>
            </w:r>
            <w:r>
              <w:rPr>
                <w:rFonts w:ascii="宋体" w:hAnsi="宋体"/>
                <w:color w:val="000000"/>
                <w:highlight w:val="none"/>
              </w:rPr>
            </w:r>
            <w:r/>
          </w:p>
        </w:tc>
      </w:tr>
      <w:tr>
        <w:trPr>
          <w:trHeight w:val="9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安全运营报告</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支持单次生成或定期生成报告；支持自定义生成报告的时间范围；支持按资产分组选择生成报告的数据范围；支持配置多个收件人收取邮件报告；报告内容包括整体</w:t>
            </w:r>
            <w:r>
              <w:rPr>
                <w:rFonts w:ascii="宋体" w:hAnsi="宋体"/>
                <w:color w:val="000000"/>
                <w:highlight w:val="none"/>
              </w:rPr>
              <w:t xml:space="preserve">DNS </w:t>
            </w:r>
            <w:r>
              <w:rPr>
                <w:rFonts w:hint="eastAsia" w:ascii="宋体" w:hAnsi="宋体"/>
                <w:color w:val="000000"/>
                <w:highlight w:val="none"/>
              </w:rPr>
              <w:t xml:space="preserve">请求拦截情况、威胁告警拦截情况、内容分类拦截情况、自定义拦截情况。</w:t>
            </w:r>
            <w:r>
              <w:rPr>
                <w:rFonts w:ascii="宋体" w:hAnsi="宋体"/>
                <w:color w:val="000000"/>
                <w:highlight w:val="none"/>
              </w:rPr>
            </w:r>
            <w:r/>
          </w:p>
        </w:tc>
      </w:tr>
      <w:tr>
        <w:trPr>
          <w:trHeight w:val="12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综合分析报告</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支持单次生成或定期生成报告；支持自定义生成报告的时间范围；支持按资产分组选择生成报告的数据范围；支持配置多个收件人收取邮件报告；报告格式支持</w:t>
            </w:r>
            <w:r>
              <w:rPr>
                <w:rFonts w:ascii="宋体" w:hAnsi="宋体"/>
                <w:color w:val="000000"/>
                <w:highlight w:val="none"/>
              </w:rPr>
              <w:t xml:space="preserve">PDF</w:t>
            </w:r>
            <w:r>
              <w:rPr>
                <w:rFonts w:hint="eastAsia" w:ascii="宋体" w:hAnsi="宋体"/>
                <w:color w:val="000000"/>
                <w:highlight w:val="none"/>
              </w:rPr>
              <w:t xml:space="preserve">、</w:t>
            </w:r>
            <w:r>
              <w:rPr>
                <w:rFonts w:ascii="宋体" w:hAnsi="宋体"/>
                <w:color w:val="000000"/>
                <w:highlight w:val="none"/>
              </w:rPr>
              <w:t xml:space="preserve">DOCX</w:t>
            </w:r>
            <w:r>
              <w:rPr>
                <w:rFonts w:hint="eastAsia" w:ascii="宋体" w:hAnsi="宋体"/>
                <w:color w:val="000000"/>
                <w:highlight w:val="none"/>
              </w:rPr>
              <w:t xml:space="preserve">；报告内容包括整体解析拦截情况、威胁告警情况、失陷资产情况威胁告警事件详情、内容分类拦截情况、自定义拦截情况。主要侧重于企业内部上网的综合分析，便于日常汇报使用。</w:t>
            </w:r>
            <w:r>
              <w:rPr>
                <w:rFonts w:ascii="宋体" w:hAnsi="宋体"/>
                <w:color w:val="000000"/>
                <w:highlight w:val="none"/>
              </w:rPr>
            </w:r>
            <w:r/>
          </w:p>
        </w:tc>
      </w:tr>
      <w:tr>
        <w:trPr>
          <w:trHeight w:val="416"/>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威胁事件报告</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支持单次生成或定期生成报告；支持自定义生成报告的时间范围；支持按资产分组选择生成报告的数据范围；支持配置多个收件人收取邮件报告；报告格式支持</w:t>
            </w:r>
            <w:r>
              <w:rPr>
                <w:rFonts w:ascii="宋体" w:hAnsi="宋体"/>
                <w:color w:val="000000"/>
                <w:highlight w:val="none"/>
              </w:rPr>
              <w:t xml:space="preserve">PDF</w:t>
            </w:r>
            <w:r>
              <w:rPr>
                <w:rFonts w:hint="eastAsia" w:ascii="宋体" w:hAnsi="宋体"/>
                <w:color w:val="000000"/>
                <w:highlight w:val="none"/>
              </w:rPr>
              <w:t xml:space="preserve">、</w:t>
            </w:r>
            <w:r>
              <w:rPr>
                <w:rFonts w:ascii="宋体" w:hAnsi="宋体"/>
                <w:color w:val="000000"/>
                <w:highlight w:val="none"/>
              </w:rPr>
              <w:t xml:space="preserve">DOCX</w:t>
            </w:r>
            <w:r>
              <w:rPr>
                <w:rFonts w:hint="eastAsia" w:ascii="宋体" w:hAnsi="宋体"/>
                <w:color w:val="000000"/>
                <w:highlight w:val="none"/>
              </w:rPr>
              <w:t xml:space="preserve">；报告内容包括全部威胁告警事件的详情、失陷资产详情。主要侧重于企业内部上网的威胁情况分析，便于运营人员跟进维护内部资产安全。</w:t>
            </w:r>
            <w:r>
              <w:rPr>
                <w:rFonts w:ascii="宋体" w:hAnsi="宋体"/>
                <w:color w:val="000000"/>
                <w:highlight w:val="none"/>
              </w:rPr>
            </w:r>
            <w:r/>
          </w:p>
        </w:tc>
      </w:tr>
      <w:tr>
        <w:trPr>
          <w:trHeight w:val="12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威胁告警列表</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支持单次生成或定期生成报告；支持自定义生成报告的时间范围；支持按资产分组选择生成报告的数据范围；支持配置多个收件人收取邮件报告；报告格式支持</w:t>
            </w:r>
            <w:r>
              <w:rPr>
                <w:rFonts w:ascii="宋体" w:hAnsi="宋体"/>
                <w:color w:val="000000"/>
                <w:highlight w:val="none"/>
              </w:rPr>
              <w:t xml:space="preserve"> CSV</w:t>
            </w:r>
            <w:r>
              <w:rPr>
                <w:rFonts w:hint="eastAsia" w:ascii="宋体" w:hAnsi="宋体"/>
                <w:color w:val="000000"/>
                <w:highlight w:val="none"/>
              </w:rPr>
              <w:t xml:space="preserve">；该报告主要导出的威胁详情列表，包括威胁类型、威胁名称、威胁等级、恶意域名、失陷资产、资产分组、告警次数、拦截次数、最近告警时间，便于运营人员寻找威胁线索并定位问题。</w:t>
            </w:r>
            <w:r>
              <w:rPr>
                <w:rFonts w:ascii="宋体" w:hAnsi="宋体"/>
                <w:color w:val="000000"/>
                <w:highlight w:val="none"/>
              </w:rPr>
            </w:r>
            <w:r/>
          </w:p>
        </w:tc>
      </w:tr>
      <w:tr>
        <w:trPr>
          <w:trHeight w:val="6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操作日志</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记录了系统中用户关键操作的日志详情，包括操作时间、用户名、角色、操作</w:t>
            </w:r>
            <w:r>
              <w:rPr>
                <w:rFonts w:ascii="宋体" w:hAnsi="宋体"/>
                <w:color w:val="000000"/>
                <w:highlight w:val="none"/>
              </w:rPr>
              <w:t xml:space="preserve">IP</w:t>
            </w:r>
            <w:r>
              <w:rPr>
                <w:rFonts w:hint="eastAsia" w:ascii="宋体" w:hAnsi="宋体"/>
                <w:color w:val="000000"/>
                <w:highlight w:val="none"/>
              </w:rPr>
              <w:t xml:space="preserve">、操作模块和操作描述，支持列表展示和导出。</w:t>
            </w:r>
            <w:r>
              <w:rPr>
                <w:rFonts w:ascii="宋体" w:hAnsi="宋体"/>
                <w:color w:val="000000"/>
                <w:highlight w:val="none"/>
              </w:rPr>
            </w:r>
            <w:r/>
          </w:p>
        </w:tc>
      </w:tr>
      <w:tr>
        <w:trPr>
          <w:trHeight w:val="300"/>
        </w:trPr>
        <w:tc>
          <w:tcPr>
            <w:tcW w:w="1034" w:type="dxa"/>
            <w:vAlign w:val="center"/>
            <w:textDirection w:val="lrTb"/>
            <w:noWrap/>
          </w:tcPr>
          <w:p>
            <w:pPr>
              <w:pStyle w:val="869"/>
              <w:jc w:val="center"/>
              <w:rPr>
                <w:rFonts w:ascii="宋体" w:hAnsi="宋体"/>
                <w:color w:val="000000"/>
                <w:highlight w:val="none"/>
              </w:rPr>
            </w:pPr>
            <w:r>
              <w:rPr>
                <w:rFonts w:hint="eastAsia" w:ascii="宋体" w:hAnsi="宋体"/>
                <w:color w:val="000000"/>
                <w:highlight w:val="none"/>
              </w:rPr>
              <w:t xml:space="preserve">安全设置</w:t>
            </w:r>
            <w:r>
              <w:rPr>
                <w:rFonts w:ascii="宋体" w:hAnsi="宋体"/>
                <w:color w:val="000000"/>
                <w:highlight w:val="none"/>
              </w:rPr>
            </w:r>
            <w:r/>
          </w:p>
        </w:tc>
        <w:tc>
          <w:tcPr>
            <w:tcW w:w="3965" w:type="dxa"/>
            <w:vAlign w:val="center"/>
            <w:textDirection w:val="lrTb"/>
            <w:noWrap w:val="false"/>
          </w:tcPr>
          <w:p>
            <w:pPr>
              <w:pStyle w:val="869"/>
              <w:rPr>
                <w:rFonts w:ascii="宋体" w:hAnsi="宋体"/>
                <w:color w:val="000000"/>
                <w:highlight w:val="none"/>
              </w:rPr>
            </w:pPr>
            <w:r>
              <w:rPr>
                <w:rFonts w:hint="eastAsia" w:ascii="宋体" w:hAnsi="宋体"/>
                <w:color w:val="000000"/>
                <w:highlight w:val="none"/>
              </w:rPr>
              <w:t xml:space="preserve">支持设置访问系统控制台的</w:t>
            </w:r>
            <w:r>
              <w:rPr>
                <w:rFonts w:ascii="宋体" w:hAnsi="宋体"/>
                <w:color w:val="000000"/>
                <w:highlight w:val="none"/>
              </w:rPr>
              <w:t xml:space="preserve">IP</w:t>
            </w:r>
            <w:r>
              <w:rPr>
                <w:rFonts w:hint="eastAsia" w:ascii="宋体" w:hAnsi="宋体"/>
                <w:color w:val="000000"/>
                <w:highlight w:val="none"/>
              </w:rPr>
              <w:t xml:space="preserve">白名单列表，只有访问</w:t>
            </w:r>
            <w:r>
              <w:rPr>
                <w:rFonts w:ascii="宋体" w:hAnsi="宋体"/>
                <w:color w:val="000000"/>
                <w:highlight w:val="none"/>
              </w:rPr>
              <w:t xml:space="preserve">IP</w:t>
            </w:r>
            <w:r>
              <w:rPr>
                <w:rFonts w:hint="eastAsia" w:ascii="宋体" w:hAnsi="宋体"/>
                <w:color w:val="000000"/>
                <w:highlight w:val="none"/>
              </w:rPr>
              <w:t xml:space="preserve">在白名单的用户能够访问系统控制台。</w:t>
            </w:r>
            <w:r>
              <w:rPr>
                <w:rFonts w:ascii="宋体" w:hAnsi="宋体"/>
                <w:color w:val="000000"/>
                <w:highlight w:val="none"/>
              </w:rPr>
            </w:r>
            <w:r/>
          </w:p>
        </w:tc>
      </w:tr>
      <w:tr>
        <w:trPr>
          <w:trHeight w:val="600"/>
        </w:trPr>
        <w:tc>
          <w:tcPr>
            <w:tcW w:w="1034" w:type="dxa"/>
            <w:vAlign w:val="center"/>
            <w:textDirection w:val="lrTb"/>
            <w:noWrap/>
          </w:tcPr>
          <w:p>
            <w:pPr>
              <w:pStyle w:val="869"/>
              <w:jc w:val="center"/>
              <w:rPr>
                <w:rFonts w:ascii="宋体" w:hAnsi="宋体"/>
                <w:color w:val="000000"/>
                <w:highlight w:val="none"/>
              </w:rPr>
            </w:pPr>
            <w:r>
              <w:rPr>
                <w:rFonts w:ascii="宋体" w:hAnsi="宋体" w:cs="宋体"/>
                <w:color w:val="000000"/>
                <w:highlight w:val="none"/>
              </w:rPr>
              <w:t xml:space="preserve">质保</w:t>
            </w:r>
            <w:r>
              <w:rPr>
                <w:rFonts w:ascii="宋体" w:hAnsi="宋体"/>
                <w:color w:val="000000"/>
                <w:highlight w:val="none"/>
              </w:rPr>
            </w:r>
            <w:r/>
          </w:p>
        </w:tc>
        <w:tc>
          <w:tcPr>
            <w:tcW w:w="3965" w:type="dxa"/>
            <w:vAlign w:val="center"/>
            <w:textDirection w:val="lrTb"/>
            <w:noWrap w:val="false"/>
          </w:tcPr>
          <w:p>
            <w:pPr>
              <w:pStyle w:val="869"/>
              <w:jc w:val="left"/>
              <w:widowControl/>
              <w:rPr>
                <w:rFonts w:ascii="宋体" w:hAnsi="宋体"/>
                <w:color w:val="000000"/>
                <w:highlight w:val="none"/>
              </w:rPr>
            </w:pPr>
            <w:r>
              <w:rPr>
                <w:rFonts w:hint="eastAsia" w:ascii="宋体" w:hAnsi="宋体" w:cs="宋体"/>
                <w:color w:val="000000"/>
                <w:highlight w:val="none"/>
              </w:rPr>
              <w:t xml:space="preserve">★提供不少于</w:t>
            </w:r>
            <w:r>
              <w:rPr>
                <w:rFonts w:ascii="宋体" w:hAnsi="宋体" w:cs="宋体"/>
                <w:color w:val="000000"/>
                <w:highlight w:val="none"/>
              </w:rPr>
              <w:t xml:space="preserve">9</w:t>
            </w:r>
            <w:r>
              <w:rPr>
                <w:rFonts w:hint="eastAsia" w:ascii="宋体" w:hAnsi="宋体" w:cs="宋体"/>
                <w:color w:val="000000"/>
                <w:highlight w:val="none"/>
              </w:rPr>
              <w:t xml:space="preserve">00个终端点数的一年订阅服务。</w:t>
            </w:r>
            <w:r>
              <w:rPr>
                <w:rFonts w:ascii="宋体" w:hAnsi="宋体"/>
                <w:color w:val="000000"/>
                <w:highlight w:val="none"/>
              </w:rPr>
            </w:r>
            <w:r/>
          </w:p>
        </w:tc>
      </w:tr>
    </w:tbl>
    <w:p>
      <w:pPr>
        <w:ind w:firstLine="480"/>
        <w:spacing w:line="252"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（3）SSL域名服务</w:t>
      </w:r>
      <w:r>
        <w:rPr>
          <w:rFonts w:hint="eastAsia" w:ascii="宋体" w:hAnsi="宋体" w:cs="宋体"/>
          <w:color w:val="000000"/>
          <w:sz w:val="24"/>
          <w:szCs w:val="24"/>
          <w:highlight w:val="none"/>
        </w:rPr>
      </w:r>
      <w:r/>
    </w:p>
    <w:tbl>
      <w:tblPr>
        <w:tblW w:w="98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8"/>
        <w:gridCol w:w="7804"/>
      </w:tblGrid>
      <w:tr>
        <w:trPr/>
        <w:tc>
          <w:tcPr>
            <w:tcW w:w="2028" w:type="dxa"/>
            <w:vAlign w:val="center"/>
            <w:textDirection w:val="lrTb"/>
            <w:noWrap w:val="false"/>
          </w:tcPr>
          <w:p>
            <w:pPr>
              <w:pStyle w:val="869"/>
              <w:jc w:val="center"/>
              <w:widowControl/>
              <w:rPr>
                <w:rFonts w:ascii="宋体" w:hAnsi="宋体" w:cs="宋体"/>
                <w:bCs/>
                <w:color w:val="000000"/>
                <w:highlight w:val="none"/>
              </w:rPr>
            </w:pPr>
            <w:r>
              <w:rPr>
                <w:rFonts w:ascii="宋体" w:hAnsi="宋体" w:cs="宋体"/>
                <w:bCs/>
                <w:color w:val="000000"/>
                <w:highlight w:val="none"/>
              </w:rPr>
              <w:t xml:space="preserve">指标项</w:t>
            </w:r>
            <w:r>
              <w:rPr>
                <w:rFonts w:ascii="宋体" w:hAnsi="宋体" w:cs="宋体"/>
                <w:bCs/>
                <w:color w:val="000000"/>
                <w:highlight w:val="none"/>
              </w:rPr>
            </w:r>
            <w:r/>
          </w:p>
        </w:tc>
        <w:tc>
          <w:tcPr>
            <w:tcW w:w="7804" w:type="dxa"/>
            <w:vAlign w:val="center"/>
            <w:textDirection w:val="lrTb"/>
            <w:noWrap w:val="false"/>
          </w:tcPr>
          <w:p>
            <w:pPr>
              <w:pStyle w:val="869"/>
              <w:jc w:val="center"/>
              <w:widowControl/>
              <w:rPr>
                <w:rFonts w:ascii="宋体" w:hAnsi="宋体" w:cs="宋体"/>
                <w:bCs/>
                <w:color w:val="000000"/>
                <w:highlight w:val="none"/>
              </w:rPr>
            </w:pPr>
            <w:r>
              <w:rPr>
                <w:rFonts w:ascii="宋体" w:hAnsi="宋体" w:cs="宋体"/>
                <w:bCs/>
                <w:color w:val="000000"/>
                <w:highlight w:val="none"/>
              </w:rPr>
              <w:t xml:space="preserve">技术规格要求</w:t>
            </w:r>
            <w:r>
              <w:rPr>
                <w:rFonts w:ascii="宋体" w:hAnsi="宋体" w:cs="宋体"/>
                <w:bCs/>
                <w:color w:val="000000"/>
                <w:highlight w:val="none"/>
              </w:rPr>
            </w:r>
            <w:r/>
          </w:p>
        </w:tc>
      </w:tr>
      <w:tr>
        <w:trPr/>
        <w:tc>
          <w:tcPr>
            <w:tcW w:w="2028" w:type="dxa"/>
            <w:vAlign w:val="center"/>
            <w:textDirection w:val="lrTb"/>
            <w:noWrap w:val="false"/>
          </w:tcPr>
          <w:p>
            <w:pPr>
              <w:pStyle w:val="869"/>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zh-CN" w:eastAsia="en-US"/>
              </w:rPr>
              <w:t xml:space="preserve">★</w:t>
            </w:r>
            <w:r>
              <w:rPr>
                <w:rFonts w:ascii="宋体" w:hAnsi="宋体" w:cs="宋体"/>
                <w:color w:val="000000"/>
                <w:highlight w:val="none"/>
              </w:rPr>
              <w:t xml:space="preserve">基本要求</w:t>
            </w:r>
            <w:r>
              <w:rPr>
                <w:rFonts w:hint="eastAsia" w:ascii="宋体" w:hAnsi="宋体" w:cs="宋体"/>
                <w:color w:val="000000"/>
                <w:highlight w:val="none"/>
                <w:lang w:val="en-US" w:eastAsia="zh-CN"/>
              </w:rPr>
              <w:t xml:space="preserve">及期限</w:t>
            </w:r>
            <w:r>
              <w:rPr>
                <w:rFonts w:ascii="宋体" w:hAnsi="宋体" w:eastAsia="宋体" w:cs="宋体"/>
                <w:color w:val="000000"/>
                <w:highlight w:val="none"/>
                <w:lang w:val="en-US" w:eastAsia="zh-CN"/>
              </w:rPr>
            </w:r>
            <w:r/>
          </w:p>
        </w:tc>
        <w:tc>
          <w:tcPr>
            <w:tcW w:w="7804" w:type="dxa"/>
            <w:vAlign w:val="center"/>
            <w:textDirection w:val="lrTb"/>
            <w:noWrap w:val="false"/>
          </w:tcPr>
          <w:p>
            <w:pPr>
              <w:pStyle w:val="869"/>
              <w:jc w:val="left"/>
              <w:widowControl/>
              <w:rPr>
                <w:rFonts w:hint="eastAsia" w:ascii="宋体" w:hAnsi="宋体" w:cs="宋体"/>
                <w:color w:val="000000"/>
                <w:highlight w:val="none"/>
              </w:rPr>
            </w:pPr>
            <w:r>
              <w:rPr>
                <w:rFonts w:ascii="宋体" w:hAnsi="宋体" w:cs="宋体"/>
                <w:color w:val="000000"/>
                <w:highlight w:val="none"/>
              </w:rPr>
              <w:t xml:space="preserve">提供≥2个通配符域名OV SSL证书服务</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9"/>
              <w:jc w:val="left"/>
              <w:widowControl/>
              <w:rPr>
                <w:rFonts w:ascii="宋体" w:hAnsi="宋体" w:cs="宋体"/>
                <w:color w:val="000000"/>
                <w:highlight w:val="none"/>
              </w:rPr>
            </w:pPr>
            <w:r>
              <w:rPr>
                <w:rFonts w:ascii="宋体" w:hAnsi="宋体" w:cs="宋体"/>
                <w:color w:val="000000"/>
                <w:highlight w:val="none"/>
              </w:rPr>
              <w:t xml:space="preserve">证书服务时长≥1年，提供证书申请协助服务以及证书快速签发和部署上线协助服务</w:t>
            </w:r>
            <w:r>
              <w:rPr>
                <w:rFonts w:hint="eastAsia" w:ascii="宋体" w:hAnsi="宋体" w:cs="宋体"/>
                <w:color w:val="000000"/>
                <w:highlight w:val="none"/>
              </w:rPr>
              <w:t xml:space="preserve">。</w:t>
            </w:r>
            <w:r>
              <w:rPr>
                <w:rFonts w:ascii="宋体" w:hAnsi="宋体" w:cs="宋体"/>
                <w:color w:val="000000"/>
                <w:highlight w:val="none"/>
              </w:rPr>
            </w:r>
            <w:r/>
          </w:p>
        </w:tc>
      </w:tr>
      <w:tr>
        <w:trPr/>
        <w:tc>
          <w:tcPr>
            <w:tcW w:w="2028" w:type="dxa"/>
            <w:vAlign w:val="center"/>
            <w:textDirection w:val="lrTb"/>
            <w:noWrap w:val="false"/>
          </w:tcPr>
          <w:p>
            <w:pPr>
              <w:pStyle w:val="869"/>
              <w:jc w:val="center"/>
              <w:widowControl/>
              <w:rPr>
                <w:rFonts w:ascii="宋体" w:hAnsi="宋体" w:cs="宋体"/>
                <w:color w:val="000000"/>
                <w:highlight w:val="none"/>
              </w:rPr>
            </w:pPr>
            <w:r>
              <w:rPr>
                <w:rFonts w:ascii="宋体" w:hAnsi="宋体" w:cs="宋体"/>
                <w:color w:val="000000"/>
                <w:highlight w:val="none"/>
              </w:rPr>
              <w:t xml:space="preserve">功能要求</w:t>
            </w:r>
            <w:r>
              <w:rPr>
                <w:rFonts w:ascii="宋体" w:hAnsi="宋体" w:cs="宋体"/>
                <w:color w:val="000000"/>
                <w:highlight w:val="none"/>
              </w:rPr>
            </w:r>
            <w:r/>
          </w:p>
        </w:tc>
        <w:tc>
          <w:tcPr>
            <w:tcW w:w="7804" w:type="dxa"/>
            <w:vAlign w:val="center"/>
            <w:textDirection w:val="lrTb"/>
            <w:noWrap w:val="false"/>
          </w:tcPr>
          <w:p>
            <w:pPr>
              <w:pStyle w:val="869"/>
              <w:jc w:val="left"/>
              <w:widowControl/>
              <w:rPr>
                <w:rFonts w:ascii="宋体" w:hAnsi="宋体" w:cs="宋体"/>
                <w:color w:val="000000"/>
                <w:highlight w:val="none"/>
              </w:rPr>
            </w:pPr>
            <w:r>
              <w:rPr>
                <w:rFonts w:ascii="宋体" w:hAnsi="宋体" w:cs="宋体"/>
                <w:color w:val="000000"/>
                <w:highlight w:val="none"/>
              </w:rPr>
              <w:t xml:space="preserve">证书支持RSA非对称加密算法以及国家密码管理局发布的SM加密算法</w:t>
            </w:r>
            <w:r>
              <w:rPr>
                <w:rFonts w:hint="eastAsia" w:ascii="宋体" w:hAnsi="宋体" w:cs="宋体"/>
                <w:color w:val="000000"/>
                <w:highlight w:val="none"/>
              </w:rPr>
              <w:t xml:space="preserve">。</w:t>
            </w:r>
            <w:r>
              <w:rPr>
                <w:rFonts w:ascii="宋体" w:hAnsi="宋体" w:cs="宋体"/>
                <w:color w:val="000000"/>
                <w:highlight w:val="none"/>
              </w:rPr>
            </w:r>
            <w:r/>
          </w:p>
        </w:tc>
      </w:tr>
    </w:tbl>
    <w:p>
      <w:pPr>
        <w:ind w:firstLine="480"/>
        <w:spacing w:line="252"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（4）DMZ区域虚拟化平台业务系统杀毒防护</w:t>
      </w:r>
      <w:r>
        <w:rPr>
          <w:rFonts w:hint="eastAsia" w:ascii="宋体" w:hAnsi="宋体" w:cs="宋体"/>
          <w:color w:val="000000"/>
          <w:sz w:val="24"/>
          <w:szCs w:val="24"/>
          <w:highlight w:val="none"/>
        </w:rPr>
      </w:r>
      <w:r/>
    </w:p>
    <w:tbl>
      <w:tblPr>
        <w:tblW w:w="4997" w:type="pct"/>
        <w:tblInd w:w="-113" w:type="dxa"/>
        <w:tblLayout w:type="autofit"/>
        <w:tblCellMar>
          <w:left w:w="108" w:type="dxa"/>
          <w:top w:w="0" w:type="dxa"/>
          <w:right w:w="108" w:type="dxa"/>
          <w:bottom w:w="0" w:type="dxa"/>
        </w:tblCellMar>
        <w:tblLook w:val="04A0" w:firstRow="1" w:lastRow="0" w:firstColumn="1" w:lastColumn="0" w:noHBand="0" w:noVBand="1"/>
      </w:tblPr>
      <w:tblGrid>
        <w:gridCol w:w="2033"/>
        <w:gridCol w:w="7923"/>
      </w:tblGrid>
      <w:tr>
        <w:trPr>
          <w:trHeight w:val="141"/>
        </w:trPr>
        <w:tc>
          <w:tcPr>
            <w:tcBorders>
              <w:top w:val="single" w:color="000000" w:sz="4" w:space="0"/>
              <w:left w:val="single" w:color="000000" w:sz="4" w:space="0"/>
              <w:bottom w:val="single" w:color="000000" w:sz="4" w:space="0"/>
              <w:right w:val="single" w:color="000000" w:sz="4" w:space="0"/>
            </w:tcBorders>
            <w:tcW w:w="1021" w:type="dxa"/>
            <w:vAlign w:val="top"/>
            <w:textDirection w:val="lrTb"/>
            <w:noWrap w:val="false"/>
          </w:tcPr>
          <w:p>
            <w:pPr>
              <w:pStyle w:val="869"/>
              <w:jc w:val="center"/>
              <w:widowControl/>
              <w:rPr>
                <w:rFonts w:ascii="宋体" w:hAnsi="宋体" w:cs="宋体"/>
                <w:b/>
                <w:bCs/>
                <w:color w:val="000000"/>
                <w:highlight w:val="none"/>
              </w:rPr>
            </w:pPr>
            <w:r>
              <w:rPr>
                <w:rFonts w:hint="eastAsia" w:ascii="宋体" w:hAnsi="宋体"/>
                <w:color w:val="000000"/>
                <w:highlight w:val="none"/>
              </w:rPr>
              <w:t xml:space="preserve">指标项</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top"/>
            <w:textDirection w:val="lrTb"/>
            <w:noWrap w:val="false"/>
          </w:tcPr>
          <w:p>
            <w:pPr>
              <w:pStyle w:val="869"/>
              <w:ind w:firstLine="420"/>
              <w:jc w:val="center"/>
              <w:widowControl/>
              <w:rPr>
                <w:rFonts w:ascii="宋体" w:hAnsi="宋体" w:cs="宋体"/>
                <w:b/>
                <w:bCs/>
                <w:color w:val="000000"/>
                <w:highlight w:val="none"/>
              </w:rPr>
            </w:pPr>
            <w:r>
              <w:rPr>
                <w:rFonts w:ascii="宋体" w:hAnsi="宋体"/>
                <w:color w:val="000000"/>
                <w:highlight w:val="none"/>
              </w:rPr>
              <w:t xml:space="preserve">技术规格要求</w:t>
            </w:r>
            <w:r>
              <w:rPr>
                <w:rFonts w:ascii="宋体" w:hAnsi="宋体" w:cs="宋体"/>
                <w:b/>
                <w:bCs/>
                <w:color w:val="000000"/>
                <w:highlight w:val="none"/>
              </w:rPr>
            </w:r>
            <w:r/>
          </w:p>
        </w:tc>
      </w:tr>
      <w:tr>
        <w:trPr>
          <w:trHeight w:val="280"/>
        </w:trPr>
        <w:tc>
          <w:tcPr>
            <w:tcBorders>
              <w:top w:val="single" w:color="000000" w:sz="4" w:space="0"/>
              <w:left w:val="single" w:color="000000" w:sz="4" w:space="0"/>
              <w:bottom w:val="none" w:color="000000" w:sz="0" w:space="0"/>
              <w:right w:val="single" w:color="000000" w:sz="4" w:space="0"/>
            </w:tcBorders>
            <w:tcW w:w="1021" w:type="dxa"/>
            <w:vAlign w:val="center"/>
            <w:vMerge w:val="restart"/>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val="zh-CN" w:eastAsia="en-US"/>
              </w:rPr>
              <w:t xml:space="preserve">★</w:t>
            </w:r>
            <w:r>
              <w:rPr>
                <w:rFonts w:hint="eastAsia" w:ascii="宋体" w:hAnsi="宋体" w:cs="宋体"/>
                <w:color w:val="000000"/>
                <w:highlight w:val="none"/>
              </w:rPr>
              <w:t xml:space="preserve">续保授权</w:t>
            </w:r>
            <w:r>
              <w:rPr>
                <w:rFonts w:ascii="宋体" w:hAnsi="宋体" w:cs="宋体"/>
                <w:color w:val="000000"/>
                <w:highlight w:val="none"/>
              </w:rPr>
            </w:r>
            <w:r/>
          </w:p>
          <w:p>
            <w:pPr>
              <w:pStyle w:val="869"/>
              <w:jc w:val="center"/>
              <w:widowControl/>
              <w:rPr>
                <w:rFonts w:ascii="宋体" w:hAnsi="宋体" w:cs="宋体"/>
                <w:color w:val="000000"/>
                <w:highlight w:val="none"/>
              </w:rPr>
            </w:pPr>
            <w:r>
              <w:rPr>
                <w:rFonts w:hint="eastAsia" w:ascii="宋体" w:hAnsi="宋体" w:cs="宋体"/>
                <w:color w:val="000000"/>
                <w:highlight w:val="none"/>
              </w:rPr>
              <w:t xml:space="preserve">及服务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提供当前环境使用的亚信DeepSecurity 20杀毒防护系统的210个虚拟机系统许可原厂续保服务（项目验收时，提供原厂服务证明材料）</w:t>
            </w:r>
            <w:r>
              <w:rPr>
                <w:rFonts w:hint="eastAsia" w:ascii="宋体" w:hAnsi="宋体" w:cs="宋体"/>
                <w:color w:val="000000"/>
                <w:highlight w:val="none"/>
                <w:lang w:bidi="ar"/>
              </w:rPr>
            </w:r>
            <w:r/>
          </w:p>
        </w:tc>
      </w:tr>
      <w:tr>
        <w:trPr>
          <w:trHeight w:val="280"/>
        </w:trPr>
        <w:tc>
          <w:tcPr>
            <w:tcBorders>
              <w:top w:val="none" w:color="000000" w:sz="0" w:space="0"/>
              <w:left w:val="single" w:color="000000" w:sz="4" w:space="0"/>
              <w:bottom w:val="none" w:color="000000" w:sz="0" w:space="0"/>
              <w:right w:val="single" w:color="000000" w:sz="4" w:space="0"/>
            </w:tcBorders>
            <w:tcW w:w="1021" w:type="dxa"/>
            <w:vAlign w:val="center"/>
            <w:vMerge w:val="continue"/>
            <w:textDirection w:val="lrTb"/>
            <w:noWrap w:val="false"/>
          </w:tcPr>
          <w:p>
            <w:pPr>
              <w:pStyle w:val="869"/>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widowControl/>
              <w:rPr>
                <w:rFonts w:ascii="宋体" w:hAnsi="宋体" w:cs="宋体"/>
                <w:color w:val="000000"/>
                <w:highlight w:val="none"/>
                <w:lang w:bidi="ar"/>
              </w:rPr>
            </w:pPr>
            <w:r>
              <w:rPr>
                <w:rFonts w:hint="eastAsia" w:ascii="宋体" w:hAnsi="宋体" w:cs="宋体"/>
                <w:color w:val="000000"/>
                <w:highlight w:val="none"/>
                <w:lang w:bidi="ar"/>
              </w:rPr>
              <w:t xml:space="preserve">提供当前环境使用的亚信DeepSecurity 10杀毒防护系统的10个物理CPU许可的原厂续保服务（项目验收时，提供原厂服务证明材料）</w:t>
            </w:r>
            <w:r>
              <w:rPr>
                <w:rFonts w:ascii="宋体" w:hAnsi="宋体" w:cs="宋体"/>
                <w:color w:val="000000"/>
                <w:highlight w:val="none"/>
                <w:lang w:bidi="ar"/>
              </w:rPr>
            </w:r>
            <w:r/>
          </w:p>
        </w:tc>
      </w:tr>
      <w:tr>
        <w:trPr>
          <w:trHeight w:val="280"/>
        </w:trPr>
        <w:tc>
          <w:tcPr>
            <w:tcBorders>
              <w:top w:val="none" w:color="000000" w:sz="0" w:space="0"/>
              <w:left w:val="single" w:color="000000" w:sz="4" w:space="0"/>
              <w:bottom w:val="none" w:color="000000" w:sz="0" w:space="0"/>
              <w:right w:val="single" w:color="000000" w:sz="4" w:space="0"/>
            </w:tcBorders>
            <w:tcW w:w="1021" w:type="dxa"/>
            <w:vAlign w:val="center"/>
            <w:vMerge w:val="continue"/>
            <w:textDirection w:val="lrTb"/>
            <w:noWrap w:val="false"/>
          </w:tcPr>
          <w:p>
            <w:pPr>
              <w:pStyle w:val="869"/>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widowControl/>
              <w:rPr>
                <w:rFonts w:ascii="宋体" w:hAnsi="宋体" w:cs="宋体"/>
                <w:color w:val="000000"/>
                <w:highlight w:val="none"/>
                <w:lang w:bidi="ar"/>
              </w:rPr>
            </w:pPr>
            <w:r>
              <w:rPr>
                <w:rFonts w:hint="eastAsia" w:ascii="宋体" w:hAnsi="宋体" w:cs="宋体"/>
                <w:color w:val="000000"/>
                <w:highlight w:val="none"/>
                <w:lang w:bidi="ar"/>
              </w:rPr>
              <w:t xml:space="preserve">提供安全防护系统授权服务，授权包括：</w:t>
            </w:r>
            <w:r>
              <w:rPr>
                <w:rFonts w:ascii="宋体" w:hAnsi="宋体" w:cs="宋体"/>
                <w:color w:val="000000"/>
                <w:highlight w:val="none"/>
                <w:lang w:bidi="ar"/>
              </w:rPr>
              <w:t xml:space="preserve">110</w:t>
            </w:r>
            <w:r>
              <w:rPr>
                <w:rFonts w:hint="eastAsia" w:ascii="宋体" w:hAnsi="宋体" w:cs="宋体"/>
                <w:color w:val="000000"/>
                <w:highlight w:val="none"/>
                <w:lang w:bidi="ar"/>
              </w:rPr>
              <w:t xml:space="preserve">个虚拟机</w:t>
            </w:r>
            <w:r>
              <w:rPr>
                <w:rFonts w:ascii="宋体" w:hAnsi="宋体" w:cs="宋体"/>
                <w:color w:val="000000"/>
                <w:highlight w:val="none"/>
                <w:lang w:bidi="ar"/>
              </w:rPr>
              <w:t xml:space="preserve">（</w:t>
            </w:r>
            <w:bookmarkStart w:id="61" w:name="OLE_LINK107"/>
            <w:r>
              <w:rPr>
                <w:rFonts w:ascii="宋体" w:hAnsi="宋体" w:cs="宋体"/>
                <w:color w:val="000000"/>
                <w:highlight w:val="none"/>
                <w:lang w:bidi="ar"/>
              </w:rPr>
              <w:t xml:space="preserve">一套80</w:t>
            </w:r>
            <w:r>
              <w:rPr>
                <w:rFonts w:hint="eastAsia" w:ascii="宋体" w:hAnsi="宋体" w:cs="宋体"/>
                <w:color w:val="000000"/>
                <w:highlight w:val="none"/>
                <w:lang w:bidi="ar"/>
              </w:rPr>
              <w:t xml:space="preserve">个虚拟机内网</w:t>
            </w:r>
            <w:r>
              <w:rPr>
                <w:rFonts w:ascii="宋体" w:hAnsi="宋体" w:cs="宋体"/>
                <w:color w:val="000000"/>
                <w:highlight w:val="none"/>
                <w:lang w:bidi="ar"/>
              </w:rPr>
              <w:t xml:space="preserve">授权， 30</w:t>
            </w:r>
            <w:r>
              <w:rPr>
                <w:rFonts w:hint="eastAsia" w:ascii="宋体" w:hAnsi="宋体" w:cs="宋体"/>
                <w:color w:val="000000"/>
                <w:highlight w:val="none"/>
                <w:lang w:bidi="ar"/>
              </w:rPr>
              <w:t xml:space="preserve">个虚拟机外网</w:t>
            </w:r>
            <w:r>
              <w:rPr>
                <w:rFonts w:ascii="宋体" w:hAnsi="宋体" w:cs="宋体"/>
                <w:color w:val="000000"/>
                <w:highlight w:val="none"/>
                <w:lang w:bidi="ar"/>
              </w:rPr>
              <w:t xml:space="preserve">授权</w:t>
            </w:r>
            <w:bookmarkEnd w:id="61"/>
            <w:r>
              <w:rPr>
                <w:rFonts w:ascii="宋体" w:hAnsi="宋体" w:cs="宋体"/>
                <w:color w:val="000000"/>
                <w:highlight w:val="none"/>
                <w:lang w:bidi="ar"/>
              </w:rPr>
              <w:t xml:space="preserve">）有代理病毒防护模块</w:t>
            </w:r>
            <w:r>
              <w:rPr>
                <w:rFonts w:hint="eastAsia" w:ascii="宋体" w:hAnsi="宋体" w:cs="宋体"/>
                <w:color w:val="000000"/>
                <w:highlight w:val="none"/>
                <w:lang w:bidi="ar"/>
              </w:rPr>
              <w:t xml:space="preserve">，</w:t>
            </w:r>
            <w:r>
              <w:rPr>
                <w:rFonts w:ascii="宋体" w:hAnsi="宋体"/>
                <w:color w:val="000000"/>
                <w:highlight w:val="none"/>
              </w:rPr>
              <w:t xml:space="preserve">最终用户必须为“</w:t>
            </w:r>
            <w:r>
              <w:rPr>
                <w:rFonts w:hint="eastAsia" w:ascii="宋体" w:hAnsi="宋体"/>
                <w:color w:val="000000"/>
                <w:highlight w:val="none"/>
              </w:rPr>
              <w:t xml:space="preserve">南京市妇幼保健院</w:t>
            </w:r>
            <w:r>
              <w:rPr>
                <w:rFonts w:ascii="宋体" w:hAnsi="宋体"/>
                <w:color w:val="000000"/>
                <w:highlight w:val="none"/>
              </w:rPr>
              <w:t xml:space="preserve">”。</w:t>
            </w:r>
            <w:r>
              <w:rPr>
                <w:rFonts w:ascii="宋体" w:hAnsi="宋体" w:cs="宋体"/>
                <w:color w:val="000000"/>
                <w:highlight w:val="none"/>
                <w:lang w:bidi="ar"/>
              </w:rPr>
            </w:r>
            <w:r/>
          </w:p>
        </w:tc>
      </w:tr>
      <w:tr>
        <w:trPr>
          <w:trHeight w:val="280"/>
        </w:trPr>
        <w:tc>
          <w:tcPr>
            <w:tcBorders>
              <w:top w:val="none" w:color="000000" w:sz="0" w:space="0"/>
              <w:left w:val="single" w:color="000000" w:sz="4" w:space="0"/>
              <w:bottom w:val="single" w:color="000000" w:sz="4" w:space="0"/>
              <w:right w:val="single" w:color="000000" w:sz="4" w:space="0"/>
            </w:tcBorders>
            <w:tcW w:w="1021" w:type="dxa"/>
            <w:vAlign w:val="center"/>
            <w:vMerge w:val="continue"/>
            <w:textDirection w:val="lrTb"/>
            <w:noWrap w:val="false"/>
          </w:tcPr>
          <w:p>
            <w:pPr>
              <w:pStyle w:val="869"/>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widowControl/>
              <w:rPr>
                <w:rFonts w:hint="eastAsia" w:ascii="宋体" w:hAnsi="宋体" w:cs="宋体"/>
                <w:color w:val="000000"/>
                <w:highlight w:val="none"/>
                <w:lang w:bidi="ar"/>
              </w:rPr>
            </w:pPr>
            <w:r>
              <w:rPr>
                <w:rFonts w:hint="eastAsia" w:ascii="宋体" w:hAnsi="宋体" w:cs="宋体"/>
                <w:color w:val="000000"/>
                <w:highlight w:val="none"/>
                <w:lang w:val="en-US" w:eastAsia="zh-CN"/>
              </w:rPr>
              <w:t xml:space="preserve">提供</w:t>
            </w:r>
            <w:r>
              <w:rPr>
                <w:rFonts w:hint="eastAsia" w:ascii="宋体" w:hAnsi="宋体" w:cs="宋体"/>
                <w:color w:val="000000"/>
                <w:highlight w:val="none"/>
                <w:lang w:bidi="ar"/>
              </w:rPr>
              <w:t xml:space="preserve">原厂工程师现场服务（签订合同时提供服务工程师的相关证明文件）</w:t>
            </w:r>
            <w:r>
              <w:rPr>
                <w:rFonts w:hint="eastAsia" w:ascii="宋体" w:hAnsi="宋体" w:cs="宋体"/>
                <w:color w:val="000000"/>
                <w:highlight w:val="none"/>
                <w:lang w:bidi="ar"/>
              </w:rPr>
            </w:r>
            <w:r/>
          </w:p>
          <w:p>
            <w:pPr>
              <w:pStyle w:val="881"/>
              <w:ind w:left="0" w:firstLine="0"/>
              <w:rPr>
                <w:color w:val="000000"/>
                <w:highlight w:val="none"/>
              </w:rPr>
            </w:pPr>
            <w:r>
              <w:rPr>
                <w:rFonts w:hint="eastAsia" w:ascii="宋体" w:hAnsi="宋体" w:cs="宋体"/>
                <w:color w:val="000000"/>
                <w:highlight w:val="none"/>
                <w:lang w:bidi="ar"/>
              </w:rPr>
              <w:t xml:space="preserve">产品提供原厂质保1</w:t>
            </w:r>
            <w:r>
              <w:rPr>
                <w:rFonts w:ascii="宋体" w:hAnsi="宋体" w:cs="宋体"/>
                <w:color w:val="000000"/>
                <w:highlight w:val="none"/>
                <w:lang w:bidi="ar"/>
              </w:rPr>
              <w:t xml:space="preserve">年，包含软件升级</w:t>
            </w:r>
            <w:r>
              <w:rPr>
                <w:rFonts w:hint="eastAsia" w:ascii="宋体" w:hAnsi="宋体" w:cs="宋体"/>
                <w:color w:val="000000"/>
                <w:highlight w:val="none"/>
                <w:lang w:bidi="ar"/>
              </w:rPr>
              <w:t xml:space="preserve">和特征库升级</w:t>
            </w:r>
            <w:r>
              <w:rPr>
                <w:rFonts w:ascii="宋体" w:hAnsi="宋体" w:cs="宋体"/>
                <w:color w:val="000000"/>
                <w:highlight w:val="none"/>
                <w:lang w:bidi="ar"/>
              </w:rPr>
              <w:t xml:space="preserve">服务。</w:t>
            </w:r>
            <w:r>
              <w:rPr>
                <w:color w:val="000000"/>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部署</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支持轻代理Agent部署，轻代理模式客户端支持Windows、RHEL、CentOS、Oracle Linux、SUSE、Ubuntu、Debian、麒麟、统信等操作系统环境下的病毒防护。</w:t>
            </w:r>
            <w:r>
              <w:rPr>
                <w:rFonts w:ascii="宋体" w:hAnsi="宋体" w:cs="宋体"/>
                <w:color w:val="000000"/>
                <w:highlight w:val="none"/>
              </w:rPr>
            </w:r>
            <w:r/>
          </w:p>
        </w:tc>
      </w:tr>
      <w:tr>
        <w:trPr>
          <w:trHeight w:val="57"/>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控制台</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系统控制台支持横向扩容，支持多节点集群化部署，保证系统高可用性。控制台离线，客户端仍可进行安全防护。</w:t>
            </w:r>
            <w:r>
              <w:rPr>
                <w:rFonts w:ascii="宋体" w:hAnsi="宋体" w:cs="宋体"/>
                <w:color w:val="000000"/>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数据安全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olor w:val="000000"/>
                <w:highlight w:val="none"/>
              </w:rPr>
              <w:t xml:space="preserve">▲</w:t>
            </w:r>
            <w:r>
              <w:rPr>
                <w:rFonts w:hint="eastAsia" w:ascii="宋体" w:hAnsi="宋体" w:cs="宋体"/>
                <w:color w:val="000000"/>
                <w:highlight w:val="none"/>
                <w:lang w:bidi="ar"/>
              </w:rPr>
              <w:t xml:space="preserve">支持接入外置企业级数据库，防止因数据库异常导致数据丢失，安全策略无法下发，包括且不限于SQL Server、Oracle、Postgresql等。</w:t>
            </w:r>
            <w:r>
              <w:rPr>
                <w:rFonts w:ascii="宋体" w:hAnsi="宋体" w:cs="微软雅黑"/>
                <w:bCs/>
                <w:color w:val="000000"/>
                <w:highlight w:val="none"/>
                <w:lang w:bidi="ar"/>
              </w:rPr>
              <w:t xml:space="preserve">（签订合同时提供产品功能截图证明文件并加盖公章）</w:t>
            </w:r>
            <w:r>
              <w:rPr>
                <w:rFonts w:ascii="宋体" w:hAnsi="宋体" w:cs="宋体"/>
                <w:color w:val="00000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外置数据库</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支持在管理控制台界面上定期将配置及日志记录备份到外置数据库上，并支持在控制中心故障后还原恢复。</w:t>
            </w:r>
            <w:r>
              <w:rPr>
                <w:rFonts w:ascii="宋体" w:hAnsi="宋体" w:cs="宋体"/>
                <w:color w:val="00000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终端管理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支持通过网络掩码或 IP 范围查找未安装客户端的计算机，并且将发现的IP解析为主机名方便管理。</w:t>
            </w:r>
            <w:r>
              <w:rPr>
                <w:rFonts w:ascii="宋体" w:hAnsi="宋体" w:cs="宋体"/>
                <w:color w:val="000000"/>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更新</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lang w:bidi="ar"/>
              </w:rPr>
            </w:pPr>
            <w:r>
              <w:rPr>
                <w:rFonts w:hint="eastAsia" w:ascii="宋体" w:hAnsi="宋体" w:cs="宋体"/>
                <w:color w:val="000000"/>
                <w:highlight w:val="none"/>
                <w:lang w:bidi="ar"/>
              </w:rPr>
              <w:t xml:space="preserve">针对大规模部署场景下提供分布式更新方式，可以把任意客户端，设置为分布式的更新源，可指定任意客户端从此更新源进行更新。</w:t>
            </w:r>
            <w:r>
              <w:rPr>
                <w:rFonts w:ascii="宋体" w:hAnsi="宋体" w:cs="微软雅黑"/>
                <w:bCs/>
                <w:color w:val="000000"/>
                <w:highlight w:val="none"/>
                <w:lang w:bidi="ar"/>
              </w:rPr>
              <w:t xml:space="preserve">（签订合同时提供产品功能截图证明文件并加盖公章）</w:t>
            </w:r>
            <w:r>
              <w:rPr>
                <w:rFonts w:ascii="宋体" w:hAnsi="宋体" w:cs="宋体"/>
                <w:color w:val="000000"/>
                <w:highlight w:val="none"/>
                <w:lang w:bidi="ar"/>
              </w:rPr>
            </w:r>
            <w:r/>
          </w:p>
        </w:tc>
      </w:tr>
      <w:tr>
        <w:trPr>
          <w:trHeight w:val="706"/>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病毒防护</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支持本地扫描和云扫描，支持实时扫描（文件落地即扫描）、预设扫描、手动扫描和快速扫描；如发现特殊情况 （如业务高峰期），可支持终止操作。</w:t>
            </w:r>
            <w:r>
              <w:rPr>
                <w:rFonts w:ascii="宋体" w:hAnsi="宋体" w:cs="宋体"/>
                <w:color w:val="000000"/>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扫描</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支持扫描办公文件、压缩文件、Office宏病毒、文本文件等各种类型文件，支持配置扫描类型、文件大小、压缩层级、数量等参数。</w:t>
            </w:r>
            <w:r>
              <w:rPr>
                <w:rFonts w:ascii="宋体" w:hAnsi="宋体" w:cs="宋体"/>
                <w:color w:val="000000"/>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专项威胁</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为了应对行业内勒索及挖矿病毒的威胁，支持通过行为监控的方式，如检测可疑活动和未经授权的更改，防止勒索软件感染，并提供针对勒索软件事件专有历史纪录和勒索软件统计的监控组件，并且支持挖矿病毒高CPU占用行为的检测。</w:t>
            </w:r>
            <w:r>
              <w:rPr>
                <w:rFonts w:ascii="宋体" w:hAnsi="宋体" w:cs="微软雅黑"/>
                <w:bCs/>
                <w:color w:val="000000"/>
                <w:highlight w:val="none"/>
                <w:lang w:bidi="ar"/>
              </w:rPr>
              <w:t xml:space="preserve">（签订合同时提供产品功能截图证明文件并加盖公章）</w:t>
            </w:r>
            <w:r>
              <w:rPr>
                <w:rFonts w:ascii="宋体" w:hAnsi="宋体" w:cs="宋体"/>
                <w:color w:val="000000"/>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威胁处置</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提供多种病毒的处理措施：包括不限于清除、删除、拒绝访问、隔离、不处理等，并针对不同的恶意软件类型，定制处理措施。</w:t>
            </w:r>
            <w:r>
              <w:rPr>
                <w:rFonts w:ascii="宋体" w:hAnsi="宋体" w:cs="微软雅黑"/>
                <w:bCs/>
                <w:color w:val="000000"/>
                <w:highlight w:val="none"/>
                <w:lang w:bidi="ar"/>
              </w:rPr>
              <w:t xml:space="preserve">（签订合同时提供产品功能截图证明文件并加盖公章）</w:t>
            </w:r>
            <w:r>
              <w:rPr>
                <w:rFonts w:ascii="宋体" w:hAnsi="宋体" w:cs="宋体"/>
                <w:color w:val="000000"/>
                <w:highlight w:val="none"/>
              </w:rPr>
            </w:r>
            <w:r/>
          </w:p>
        </w:tc>
      </w:tr>
      <w:tr>
        <w:trPr>
          <w:trHeight w:val="211"/>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高级威胁检测</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为了应对新型病毒的威胁，产品需支持高级威胁检测能力，通过沙箱功能发现潜藏在文件中的威胁并处理。</w:t>
            </w:r>
            <w:r>
              <w:rPr>
                <w:rFonts w:ascii="宋体" w:hAnsi="宋体" w:cs="宋体"/>
                <w:color w:val="00000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防护策略</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支持根据不同时间段，执行不同的病毒防护策略。</w:t>
            </w:r>
            <w:r>
              <w:rPr>
                <w:rFonts w:ascii="宋体" w:hAnsi="宋体" w:cs="微软雅黑"/>
                <w:bCs/>
                <w:color w:val="000000"/>
                <w:highlight w:val="none"/>
                <w:lang w:bidi="ar"/>
              </w:rPr>
              <w:t xml:space="preserve">（签订合同时提供产品功能截图证明文件并加盖公章）</w:t>
            </w:r>
            <w:r>
              <w:rPr>
                <w:rFonts w:ascii="宋体" w:hAnsi="宋体" w:cs="宋体"/>
                <w:color w:val="00000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CPU占用比例</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支持对防病毒扫描过程中的CPU占用比例进行手动设定，保障不影响正常业务。</w:t>
            </w:r>
            <w:r>
              <w:rPr>
                <w:rFonts w:ascii="宋体" w:hAnsi="宋体" w:cs="宋体"/>
                <w:color w:val="00000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web信誉库</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支持web信誉库，通过Web信誉支持阻止主机访问恶意站点，支持恶意站点自定义</w:t>
            </w:r>
            <w:r>
              <w:rPr>
                <w:rFonts w:ascii="宋体" w:hAnsi="宋体" w:cs="微软雅黑"/>
                <w:color w:val="000000"/>
                <w:highlight w:val="none"/>
                <w:lang w:bidi="ar"/>
              </w:rPr>
              <w:t xml:space="preserve">。</w:t>
            </w:r>
            <w:r>
              <w:rPr>
                <w:rFonts w:ascii="宋体" w:hAnsi="宋体" w:cs="宋体"/>
                <w:color w:val="00000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更新</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支持病毒库在线更新及分布式更新。</w:t>
            </w:r>
            <w:r>
              <w:rPr>
                <w:rFonts w:ascii="宋体" w:hAnsi="宋体" w:cs="宋体"/>
                <w:color w:val="000000"/>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特征库回退</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支持特征库回退到上一个版本。</w:t>
            </w:r>
            <w:r>
              <w:rPr>
                <w:rFonts w:ascii="宋体" w:hAnsi="宋体" w:cs="宋体"/>
                <w:color w:val="000000"/>
                <w:highlight w:val="none"/>
              </w:rPr>
            </w:r>
            <w:r/>
          </w:p>
        </w:tc>
      </w:tr>
      <w:tr>
        <w:trPr>
          <w:trHeight w:val="57"/>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客户端自我保护</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支持客户端自我保护，防止本地卸载、停止或以其他方式修改客户端。</w:t>
            </w:r>
            <w:r>
              <w:rPr>
                <w:rFonts w:ascii="宋体" w:hAnsi="宋体" w:cs="宋体"/>
                <w:color w:val="000000"/>
                <w:highlight w:val="none"/>
              </w:rPr>
            </w:r>
            <w:r/>
          </w:p>
        </w:tc>
      </w:tr>
      <w:tr>
        <w:trPr>
          <w:trHeight w:val="57"/>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常监控和告警</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支持多种异常监控和告警规则，保障提供给管理员详细的日志告警。</w:t>
            </w:r>
            <w:r>
              <w:rPr>
                <w:rFonts w:ascii="宋体" w:hAnsi="宋体" w:cs="宋体"/>
                <w:color w:val="00000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定义报表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支持定义报表保密级别，包含不限于绝密、机密、保密、非机密等，支持对生成报表加密</w:t>
            </w:r>
            <w:r>
              <w:rPr>
                <w:rFonts w:ascii="宋体" w:hAnsi="宋体" w:cs="宋体"/>
                <w:color w:val="000000"/>
                <w:highlight w:val="none"/>
                <w:lang w:bidi="ar"/>
              </w:rPr>
              <w:t xml:space="preserve">。</w:t>
            </w:r>
            <w:r>
              <w:rPr>
                <w:rFonts w:ascii="宋体" w:hAnsi="宋体" w:cs="宋体"/>
                <w:color w:val="00000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威胁统一管理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具备威胁统一管理平台，支持对虚拟化病毒防护系统进行威胁的统一管理，提高运维人员运维效率。</w:t>
            </w:r>
            <w:r>
              <w:rPr>
                <w:rFonts w:ascii="宋体" w:hAnsi="宋体" w:cs="宋体"/>
                <w:color w:val="000000"/>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bidi="ar"/>
              </w:rPr>
              <w:t xml:space="preserve">威胁生命周期</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lang w:bidi="ar"/>
              </w:rPr>
              <w:t xml:space="preserve">支持在一个页面上从威胁的生命周期（至少包含侦测、分析、响应）角度进行监控，从威胁治理生命周期角度提供报表，报告要体现威胁的提交、分析、确认、响应等4个维度。</w:t>
            </w:r>
            <w:r>
              <w:rPr>
                <w:rFonts w:ascii="宋体" w:hAnsi="宋体" w:cs="宋体"/>
                <w:color w:val="000000"/>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69"/>
              <w:jc w:val="center"/>
              <w:widowControl/>
              <w:rPr>
                <w:rFonts w:ascii="宋体" w:hAnsi="宋体" w:cs="宋体"/>
                <w:color w:val="000000"/>
                <w:highlight w:val="none"/>
              </w:rPr>
            </w:pPr>
            <w:r>
              <w:rPr>
                <w:rFonts w:ascii="宋体" w:hAnsi="宋体" w:cs="宋体"/>
                <w:color w:val="000000"/>
                <w:highlight w:val="none"/>
              </w:rPr>
              <w:t xml:space="preserve">系统对接</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869"/>
              <w:jc w:val="left"/>
              <w:widowControl/>
              <w:rPr>
                <w:rFonts w:ascii="宋体" w:hAnsi="宋体" w:cs="宋体"/>
                <w:color w:val="000000"/>
                <w:highlight w:val="none"/>
                <w:lang w:bidi="ar"/>
              </w:rPr>
            </w:pPr>
            <w:r>
              <w:rPr>
                <w:rFonts w:hint="eastAsia" w:ascii="宋体" w:hAnsi="宋体" w:cs="宋体"/>
                <w:color w:val="000000"/>
                <w:highlight w:val="none"/>
                <w:lang w:bidi="ar"/>
              </w:rPr>
              <w:t xml:space="preserve">▲为保障医院诊疗业务的不间断运行和防病毒体系化建设，投标人需要承诺与医院内现有已安装的安全软件实现状态统一展示、日志告警统一研判、防护策略统一下发功能，可自动化实现原有防护系统客户端的替换升级，对接的相关费用应当考虑在本次报价中。</w:t>
            </w:r>
            <w:r>
              <w:rPr>
                <w:rFonts w:ascii="宋体" w:hAnsi="宋体" w:cs="宋体"/>
                <w:color w:val="000000"/>
                <w:highlight w:val="none"/>
                <w:lang w:bidi="ar"/>
              </w:rPr>
            </w:r>
            <w:r/>
          </w:p>
        </w:tc>
      </w:tr>
    </w:tbl>
    <w:p>
      <w:pPr>
        <w:ind w:firstLine="480"/>
        <w:spacing w:line="252"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r>
      <w:bookmarkStart w:id="62" w:name="OLE_LINK6"/>
      <w:r>
        <w:rPr>
          <w:rFonts w:hint="eastAsia" w:ascii="宋体" w:hAnsi="宋体" w:cs="宋体"/>
          <w:color w:val="000000"/>
          <w:sz w:val="24"/>
          <w:szCs w:val="24"/>
          <w:highlight w:val="none"/>
        </w:rPr>
        <w:t xml:space="preserve">（5）算力租赁服务</w:t>
      </w:r>
      <w:r>
        <w:rPr>
          <w:rFonts w:hint="eastAsia" w:ascii="宋体" w:hAnsi="宋体" w:cs="宋体"/>
          <w:color w:val="000000"/>
          <w:sz w:val="24"/>
          <w:szCs w:val="24"/>
          <w:highlight w:val="none"/>
        </w:rPr>
      </w:r>
      <w:r/>
    </w:p>
    <w:tbl>
      <w:tblPr>
        <w:tblW w:w="993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1"/>
        <w:gridCol w:w="8080"/>
      </w:tblGrid>
      <w:tr>
        <w:trPr/>
        <w:tc>
          <w:tcPr>
            <w:tcW w:w="1851" w:type="dxa"/>
            <w:vAlign w:val="center"/>
            <w:textDirection w:val="lrTb"/>
            <w:noWrap w:val="false"/>
          </w:tcPr>
          <w:p>
            <w:pPr>
              <w:pStyle w:val="869"/>
              <w:jc w:val="center"/>
              <w:widowControl/>
              <w:rPr>
                <w:rFonts w:ascii="宋体" w:hAnsi="宋体" w:cs="宋体"/>
                <w:bCs/>
                <w:color w:val="000000"/>
                <w:highlight w:val="none"/>
              </w:rPr>
            </w:pPr>
            <w:r/>
            <w:bookmarkEnd w:id="62"/>
            <w:r>
              <w:rPr>
                <w:rFonts w:ascii="宋体" w:hAnsi="宋体" w:cs="宋体"/>
                <w:bCs/>
                <w:color w:val="000000"/>
                <w:highlight w:val="none"/>
              </w:rPr>
              <w:t xml:space="preserve">指标项</w:t>
            </w:r>
            <w:r>
              <w:rPr>
                <w:rFonts w:ascii="宋体" w:hAnsi="宋体" w:cs="宋体"/>
                <w:bCs/>
                <w:color w:val="000000"/>
                <w:highlight w:val="none"/>
              </w:rPr>
            </w:r>
            <w:r/>
          </w:p>
        </w:tc>
        <w:tc>
          <w:tcPr>
            <w:tcW w:w="8080" w:type="dxa"/>
            <w:vAlign w:val="center"/>
            <w:textDirection w:val="lrTb"/>
            <w:noWrap w:val="false"/>
          </w:tcPr>
          <w:p>
            <w:pPr>
              <w:pStyle w:val="869"/>
              <w:jc w:val="center"/>
              <w:widowControl/>
              <w:rPr>
                <w:rFonts w:ascii="宋体" w:hAnsi="宋体" w:cs="宋体"/>
                <w:bCs/>
                <w:color w:val="000000"/>
                <w:highlight w:val="none"/>
              </w:rPr>
            </w:pPr>
            <w:r>
              <w:rPr>
                <w:rFonts w:ascii="宋体" w:hAnsi="宋体" w:cs="宋体"/>
                <w:bCs/>
                <w:color w:val="000000"/>
                <w:highlight w:val="none"/>
              </w:rPr>
              <w:t xml:space="preserve">技术规格要求</w:t>
            </w:r>
            <w:r>
              <w:rPr>
                <w:rFonts w:ascii="宋体" w:hAnsi="宋体" w:cs="宋体"/>
                <w:bCs/>
                <w:color w:val="000000"/>
                <w:highlight w:val="none"/>
              </w:rPr>
            </w:r>
            <w:r/>
          </w:p>
        </w:tc>
      </w:tr>
      <w:tr>
        <w:trPr/>
        <w:tc>
          <w:tcPr>
            <w:tcW w:w="185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val="zh-CN" w:eastAsia="en-US"/>
              </w:rPr>
              <w:t xml:space="preserve">★</w:t>
            </w:r>
            <w:r>
              <w:rPr>
                <w:rFonts w:hint="eastAsia" w:ascii="宋体" w:hAnsi="宋体" w:cs="宋体"/>
                <w:color w:val="000000"/>
                <w:highlight w:val="none"/>
              </w:rPr>
              <w:t xml:space="preserve">资源</w:t>
            </w:r>
            <w:r>
              <w:rPr>
                <w:rFonts w:ascii="宋体" w:hAnsi="宋体" w:cs="宋体"/>
                <w:color w:val="000000"/>
                <w:highlight w:val="none"/>
              </w:rPr>
            </w:r>
            <w:r/>
          </w:p>
          <w:p>
            <w:pPr>
              <w:pStyle w:val="869"/>
              <w:jc w:val="center"/>
              <w:widowControl/>
              <w:rPr>
                <w:rFonts w:ascii="宋体" w:hAnsi="宋体" w:eastAsia="宋体" w:cs="宋体"/>
                <w:color w:val="000000"/>
                <w:highlight w:val="none"/>
                <w:lang w:val="en-US" w:eastAsia="zh-CN"/>
              </w:rPr>
            </w:pPr>
            <w:r>
              <w:rPr>
                <w:rFonts w:hint="eastAsia" w:ascii="宋体" w:hAnsi="宋体" w:cs="宋体"/>
                <w:color w:val="000000"/>
                <w:highlight w:val="none"/>
              </w:rPr>
              <w:t xml:space="preserve">配置</w:t>
            </w:r>
            <w:r>
              <w:rPr>
                <w:rFonts w:ascii="宋体" w:hAnsi="宋体" w:cs="宋体"/>
                <w:color w:val="000000"/>
                <w:highlight w:val="none"/>
              </w:rPr>
              <w:t xml:space="preserve">要求</w:t>
            </w:r>
            <w:r>
              <w:rPr>
                <w:rFonts w:hint="eastAsia" w:ascii="宋体" w:hAnsi="宋体" w:cs="宋体"/>
                <w:color w:val="000000"/>
                <w:highlight w:val="none"/>
                <w:lang w:val="en-US" w:eastAsia="zh-CN"/>
              </w:rPr>
              <w:t xml:space="preserve">及网络服务要求</w:t>
            </w:r>
            <w:r>
              <w:rPr>
                <w:rFonts w:ascii="宋体" w:hAnsi="宋体" w:eastAsia="宋体" w:cs="宋体"/>
                <w:color w:val="000000"/>
                <w:highlight w:val="none"/>
                <w:lang w:val="en-US" w:eastAsia="zh-CN"/>
              </w:rPr>
            </w:r>
            <w:r/>
          </w:p>
        </w:tc>
        <w:tc>
          <w:tcPr>
            <w:tcW w:w="8080"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rPr>
              <w:t xml:space="preserve">单台算力服务资源配置如下：</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CPU≥1颗 56核112线程，350W</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内存≥ 64GB DDR5-4800 2Rx4 REG ECC RDIMM *16</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系统盘≥960G SATA SSD *1（1张RAID卡）</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数据盘≥3.84TB NVME PCI-E 4x4 U.2 1DWPD 5YR *2</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智能算力卡≥总智能算力显存320GB </w:t>
            </w:r>
            <w:r>
              <w:rPr>
                <w:rFonts w:ascii="宋体" w:hAnsi="宋体" w:cs="宋体"/>
                <w:color w:val="000000"/>
                <w:highlight w:val="none"/>
              </w:rPr>
            </w:r>
            <w:r/>
          </w:p>
          <w:p>
            <w:pPr>
              <w:pStyle w:val="869"/>
              <w:jc w:val="left"/>
              <w:widowControl/>
              <w:rPr>
                <w:rFonts w:hint="eastAsia" w:ascii="宋体" w:hAnsi="宋体" w:cs="宋体"/>
                <w:color w:val="000000"/>
                <w:highlight w:val="none"/>
              </w:rPr>
            </w:pPr>
            <w:r>
              <w:rPr>
                <w:rFonts w:hint="eastAsia" w:ascii="宋体" w:hAnsi="宋体" w:cs="宋体"/>
                <w:color w:val="000000"/>
                <w:highlight w:val="none"/>
              </w:rPr>
              <w:t xml:space="preserve">算力计算能力≥FP16精度总算力不低于3.86PFLOPS</w:t>
            </w:r>
            <w:r>
              <w:rPr>
                <w:rFonts w:hint="eastAsia" w:ascii="宋体" w:hAnsi="宋体" w:cs="宋体"/>
                <w:color w:val="000000"/>
                <w:highlight w:val="none"/>
              </w:rPr>
            </w:r>
            <w:r/>
          </w:p>
          <w:p>
            <w:pPr>
              <w:pStyle w:val="881"/>
              <w:ind w:left="0" w:firstLine="0"/>
              <w:rPr>
                <w:rFonts w:hint="eastAsia" w:ascii="宋体" w:hAnsi="宋体" w:cs="宋体"/>
                <w:color w:val="000000"/>
                <w:highlight w:val="none"/>
              </w:rPr>
            </w:pPr>
            <w:r>
              <w:rPr>
                <w:rFonts w:ascii="宋体" w:hAnsi="宋体" w:cs="宋体"/>
                <w:color w:val="000000"/>
                <w:highlight w:val="none"/>
              </w:rPr>
              <w:t xml:space="preserve">服务</w:t>
            </w:r>
            <w:r>
              <w:rPr>
                <w:rFonts w:hint="eastAsia" w:ascii="宋体" w:hAnsi="宋体" w:cs="宋体"/>
                <w:color w:val="000000"/>
                <w:highlight w:val="none"/>
              </w:rPr>
              <w:t xml:space="preserve">期限</w:t>
            </w:r>
            <w:r>
              <w:rPr>
                <w:rFonts w:ascii="宋体" w:hAnsi="宋体" w:cs="宋体"/>
                <w:color w:val="000000"/>
                <w:highlight w:val="none"/>
              </w:rPr>
              <w:t xml:space="preserve">≥1年</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9"/>
              <w:rPr>
                <w:color w:val="000000"/>
                <w:highlight w:val="none"/>
              </w:rPr>
            </w:pPr>
            <w:r>
              <w:rPr>
                <w:rFonts w:ascii="宋体" w:hAnsi="宋体" w:cs="宋体"/>
                <w:color w:val="000000"/>
                <w:highlight w:val="none"/>
              </w:rPr>
              <w:t xml:space="preserve">提供一条光传输线路连通算力机房至</w:t>
            </w:r>
            <w:r>
              <w:rPr>
                <w:rFonts w:hint="eastAsia" w:ascii="宋体" w:hAnsi="宋体" w:cs="宋体"/>
                <w:color w:val="000000"/>
                <w:highlight w:val="none"/>
              </w:rPr>
              <w:t xml:space="preserve">医院</w:t>
            </w:r>
            <w:r>
              <w:rPr>
                <w:rFonts w:ascii="宋体" w:hAnsi="宋体" w:cs="宋体"/>
                <w:color w:val="000000"/>
                <w:highlight w:val="none"/>
              </w:rPr>
              <w:t xml:space="preserve">机房，带宽要求不低于100M，配置监控告警服务，全程传输线路不得与互联网连接，以保障数据安全。</w:t>
            </w:r>
            <w:r>
              <w:rPr>
                <w:color w:val="000000"/>
                <w:highlight w:val="none"/>
              </w:rPr>
            </w:r>
            <w:r/>
          </w:p>
        </w:tc>
      </w:tr>
      <w:tr>
        <w:trPr/>
        <w:tc>
          <w:tcPr>
            <w:tcW w:w="185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模型部署服务要求</w:t>
            </w:r>
            <w:r>
              <w:rPr>
                <w:rFonts w:ascii="宋体" w:hAnsi="宋体" w:cs="宋体"/>
                <w:color w:val="000000"/>
                <w:highlight w:val="none"/>
              </w:rPr>
            </w:r>
            <w:r/>
          </w:p>
        </w:tc>
        <w:tc>
          <w:tcPr>
            <w:tcW w:w="8080"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rPr>
              <w:t xml:space="preserve">提供DeepSeek/Qwen等大模型的部署工作。 提供标准化API接口服务，支持通过HTTP/RESTful方式调用模型推理能力，并提供相应的接口文档与调用示例。</w:t>
            </w:r>
            <w:r>
              <w:rPr>
                <w:rFonts w:ascii="宋体" w:hAnsi="宋体" w:cs="宋体"/>
                <w:color w:val="000000"/>
                <w:highlight w:val="none"/>
              </w:rPr>
            </w:r>
            <w:r/>
          </w:p>
        </w:tc>
      </w:tr>
      <w:tr>
        <w:trPr/>
        <w:tc>
          <w:tcPr>
            <w:tcW w:w="185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rPr>
              <w:t xml:space="preserve">快速响应服务要求</w:t>
            </w:r>
            <w:r>
              <w:rPr>
                <w:rFonts w:ascii="宋体" w:hAnsi="宋体" w:cs="宋体"/>
                <w:color w:val="000000"/>
                <w:highlight w:val="none"/>
              </w:rPr>
            </w:r>
            <w:r/>
          </w:p>
        </w:tc>
        <w:tc>
          <w:tcPr>
            <w:tcW w:w="8080"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rPr>
              <w:t xml:space="preserve">服务周期内，供应商需提供快速响应的模型迭代与切换保障服务。若采购人因技术升级或业务发展提出模型调整需求（包括新增部署、版本更新、跨模型迁移等），供应商须在10日内完成部署、测试验证与正式上线，开始计算服务期限，确保业务运行不中断、服务连续性不受影响。</w:t>
            </w:r>
            <w:r>
              <w:rPr>
                <w:rFonts w:ascii="宋体" w:hAnsi="宋体" w:cs="宋体"/>
                <w:color w:val="000000"/>
                <w:highlight w:val="none"/>
              </w:rPr>
            </w:r>
            <w:r/>
          </w:p>
        </w:tc>
      </w:tr>
    </w:tbl>
    <w:p>
      <w:pPr>
        <w:ind w:firstLine="480"/>
        <w:spacing w:line="252"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（6）算力资源管理工作站</w:t>
      </w:r>
      <w:r>
        <w:rPr>
          <w:rFonts w:hint="eastAsia" w:ascii="宋体" w:hAnsi="宋体" w:cs="宋体"/>
          <w:color w:val="000000"/>
          <w:sz w:val="24"/>
          <w:szCs w:val="24"/>
          <w:highlight w:val="none"/>
        </w:rPr>
      </w:r>
      <w:r/>
    </w:p>
    <w:tbl>
      <w:tblPr>
        <w:tblW w:w="9789"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1"/>
        <w:gridCol w:w="7938"/>
      </w:tblGrid>
      <w:tr>
        <w:trPr/>
        <w:tc>
          <w:tcPr>
            <w:tcW w:w="1851" w:type="dxa"/>
            <w:vAlign w:val="center"/>
            <w:textDirection w:val="lrTb"/>
            <w:noWrap w:val="false"/>
          </w:tcPr>
          <w:p>
            <w:pPr>
              <w:pStyle w:val="869"/>
              <w:jc w:val="center"/>
              <w:widowControl/>
              <w:rPr>
                <w:rFonts w:ascii="宋体" w:hAnsi="宋体" w:cs="宋体"/>
                <w:bCs/>
                <w:color w:val="000000"/>
                <w:highlight w:val="none"/>
              </w:rPr>
            </w:pPr>
            <w:r>
              <w:rPr>
                <w:rFonts w:ascii="宋体" w:hAnsi="宋体" w:cs="宋体"/>
                <w:bCs/>
                <w:color w:val="000000"/>
                <w:highlight w:val="none"/>
              </w:rPr>
              <w:t xml:space="preserve">指标项</w:t>
            </w:r>
            <w:r>
              <w:rPr>
                <w:rFonts w:ascii="宋体" w:hAnsi="宋体" w:cs="宋体"/>
                <w:bCs/>
                <w:color w:val="000000"/>
                <w:highlight w:val="none"/>
              </w:rPr>
            </w:r>
            <w:r/>
          </w:p>
        </w:tc>
        <w:tc>
          <w:tcPr>
            <w:tcW w:w="7938" w:type="dxa"/>
            <w:vAlign w:val="center"/>
            <w:textDirection w:val="lrTb"/>
            <w:noWrap w:val="false"/>
          </w:tcPr>
          <w:p>
            <w:pPr>
              <w:pStyle w:val="869"/>
              <w:jc w:val="center"/>
              <w:widowControl/>
              <w:rPr>
                <w:rFonts w:ascii="宋体" w:hAnsi="宋体" w:cs="宋体"/>
                <w:bCs/>
                <w:color w:val="000000"/>
                <w:highlight w:val="none"/>
              </w:rPr>
            </w:pPr>
            <w:r>
              <w:rPr>
                <w:rFonts w:ascii="宋体" w:hAnsi="宋体" w:cs="宋体"/>
                <w:bCs/>
                <w:color w:val="000000"/>
                <w:highlight w:val="none"/>
              </w:rPr>
              <w:t xml:space="preserve">技术规格要求</w:t>
            </w:r>
            <w:r>
              <w:rPr>
                <w:rFonts w:ascii="宋体" w:hAnsi="宋体" w:cs="宋体"/>
                <w:bCs/>
                <w:color w:val="000000"/>
                <w:highlight w:val="none"/>
              </w:rPr>
            </w:r>
            <w:r/>
          </w:p>
        </w:tc>
      </w:tr>
      <w:tr>
        <w:trPr/>
        <w:tc>
          <w:tcPr>
            <w:tcW w:w="1851" w:type="dxa"/>
            <w:vAlign w:val="center"/>
            <w:textDirection w:val="lrTb"/>
            <w:noWrap w:val="false"/>
          </w:tcPr>
          <w:p>
            <w:pPr>
              <w:pStyle w:val="869"/>
              <w:jc w:val="center"/>
              <w:widowControl/>
              <w:rPr>
                <w:rFonts w:ascii="宋体" w:hAnsi="宋体" w:cs="宋体"/>
                <w:color w:val="000000"/>
                <w:highlight w:val="none"/>
              </w:rPr>
            </w:pPr>
            <w:r>
              <w:rPr>
                <w:rFonts w:hint="eastAsia" w:ascii="宋体" w:hAnsi="宋体" w:cs="宋体"/>
                <w:color w:val="000000"/>
                <w:highlight w:val="none"/>
                <w:lang w:val="zh-CN" w:eastAsia="en-US"/>
              </w:rPr>
              <w:t xml:space="preserve">★</w:t>
            </w:r>
            <w:r>
              <w:rPr>
                <w:rFonts w:hint="eastAsia" w:ascii="宋体" w:hAnsi="宋体" w:cs="宋体"/>
                <w:color w:val="000000"/>
                <w:highlight w:val="none"/>
              </w:rPr>
              <w:t xml:space="preserve">资源</w:t>
            </w:r>
            <w:r>
              <w:rPr>
                <w:rFonts w:ascii="宋体" w:hAnsi="宋体" w:cs="宋体"/>
                <w:color w:val="000000"/>
                <w:highlight w:val="none"/>
              </w:rPr>
            </w:r>
            <w:r/>
          </w:p>
          <w:p>
            <w:pPr>
              <w:pStyle w:val="869"/>
              <w:jc w:val="center"/>
              <w:widowControl/>
              <w:rPr>
                <w:rFonts w:ascii="宋体" w:hAnsi="宋体" w:cs="宋体"/>
                <w:color w:val="000000"/>
                <w:highlight w:val="none"/>
              </w:rPr>
            </w:pPr>
            <w:r>
              <w:rPr>
                <w:rFonts w:hint="eastAsia" w:ascii="宋体" w:hAnsi="宋体" w:cs="宋体"/>
                <w:color w:val="000000"/>
                <w:highlight w:val="none"/>
              </w:rPr>
              <w:t xml:space="preserve">配置</w:t>
            </w:r>
            <w:r>
              <w:rPr>
                <w:rFonts w:ascii="宋体" w:hAnsi="宋体" w:cs="宋体"/>
                <w:color w:val="000000"/>
                <w:highlight w:val="none"/>
              </w:rPr>
              <w:t xml:space="preserve">要求</w:t>
            </w:r>
            <w:r>
              <w:rPr>
                <w:rFonts w:ascii="宋体" w:hAnsi="宋体" w:cs="宋体"/>
                <w:color w:val="000000"/>
                <w:highlight w:val="none"/>
              </w:rPr>
            </w:r>
            <w:r/>
          </w:p>
        </w:tc>
        <w:tc>
          <w:tcPr>
            <w:tcW w:w="7938" w:type="dxa"/>
            <w:vAlign w:val="center"/>
            <w:textDirection w:val="lrTb"/>
            <w:noWrap w:val="false"/>
          </w:tcPr>
          <w:p>
            <w:pPr>
              <w:pStyle w:val="869"/>
              <w:jc w:val="left"/>
              <w:widowControl/>
              <w:rPr>
                <w:rFonts w:ascii="宋体" w:hAnsi="宋体" w:cs="宋体"/>
                <w:bCs/>
                <w:color w:val="000000"/>
                <w:highlight w:val="none"/>
              </w:rPr>
            </w:pPr>
            <w:r>
              <w:rPr>
                <w:rFonts w:hint="eastAsia" w:ascii="宋体" w:hAnsi="宋体" w:cs="宋体"/>
                <w:bCs/>
                <w:color w:val="000000"/>
                <w:highlight w:val="none"/>
              </w:rPr>
              <w:t xml:space="preserve">具体配置如下：</w:t>
            </w:r>
            <w:r>
              <w:rPr>
                <w:rFonts w:ascii="宋体" w:hAnsi="宋体" w:cs="宋体"/>
                <w:bCs/>
                <w:color w:val="000000"/>
                <w:highlight w:val="none"/>
              </w:rPr>
            </w:r>
            <w:r/>
          </w:p>
          <w:p>
            <w:pPr>
              <w:pStyle w:val="869"/>
              <w:jc w:val="left"/>
              <w:widowControl/>
              <w:rPr>
                <w:rFonts w:ascii="宋体" w:hAnsi="宋体" w:cs="宋体"/>
                <w:color w:val="000000"/>
                <w:highlight w:val="none"/>
              </w:rPr>
            </w:pPr>
            <w:r>
              <w:rPr>
                <w:rFonts w:hint="eastAsia" w:ascii="宋体" w:hAnsi="宋体" w:cs="宋体"/>
                <w:bCs/>
                <w:color w:val="000000"/>
                <w:highlight w:val="none"/>
              </w:rPr>
              <w:t xml:space="preserve">配置≥1颗物理CPU，单颗CPU主频≥3.4GHz, 核心数：≥20核心/28线程</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内存≥4根</w:t>
            </w:r>
            <w:r>
              <w:rPr>
                <w:rFonts w:ascii="宋体" w:hAnsi="宋体" w:cs="宋体"/>
                <w:color w:val="000000"/>
                <w:highlight w:val="none"/>
              </w:rPr>
              <w:t xml:space="preserve">32G</w:t>
            </w:r>
            <w:r>
              <w:rPr>
                <w:rFonts w:hint="eastAsia" w:ascii="宋体" w:hAnsi="宋体" w:cs="宋体"/>
                <w:color w:val="000000"/>
                <w:highlight w:val="none"/>
              </w:rPr>
              <w:t xml:space="preserve"> </w:t>
            </w:r>
            <w:r>
              <w:rPr>
                <w:rFonts w:ascii="宋体" w:hAnsi="宋体" w:cs="宋体"/>
                <w:color w:val="000000"/>
                <w:highlight w:val="none"/>
              </w:rPr>
              <w:t xml:space="preserve">DDR5</w:t>
            </w:r>
            <w:r>
              <w:rPr>
                <w:rFonts w:hint="eastAsia" w:ascii="宋体" w:hAnsi="宋体" w:cs="宋体"/>
                <w:color w:val="000000"/>
                <w:highlight w:val="none"/>
              </w:rPr>
              <w:t xml:space="preserve">内存</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硬盘≥3块</w:t>
            </w:r>
            <w:r>
              <w:rPr>
                <w:rFonts w:ascii="宋体" w:hAnsi="宋体" w:cs="宋体"/>
                <w:color w:val="000000"/>
                <w:highlight w:val="none"/>
              </w:rPr>
              <w:t xml:space="preserve">2TB M.2 Gen 4 PCIe NVMe SSD</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显卡≥1块32GB</w:t>
            </w:r>
            <w:r>
              <w:rPr>
                <w:rFonts w:ascii="宋体" w:hAnsi="宋体" w:cs="宋体"/>
                <w:color w:val="000000"/>
                <w:highlight w:val="none"/>
              </w:rPr>
              <w:t xml:space="preserve">显存</w:t>
            </w:r>
            <w:r>
              <w:rPr>
                <w:rFonts w:ascii="宋体" w:hAnsi="宋体" w:cs="宋体"/>
                <w:color w:val="000000"/>
                <w:highlight w:val="none"/>
              </w:rPr>
            </w:r>
            <w:r/>
          </w:p>
          <w:p>
            <w:pPr>
              <w:pStyle w:val="869"/>
              <w:jc w:val="left"/>
              <w:widowControl/>
              <w:rPr>
                <w:rFonts w:hint="eastAsia" w:ascii="宋体" w:hAnsi="宋体" w:cs="宋体"/>
                <w:bCs/>
                <w:color w:val="000000"/>
                <w:highlight w:val="none"/>
              </w:rPr>
            </w:pPr>
            <w:r>
              <w:rPr>
                <w:rFonts w:hint="eastAsia" w:ascii="宋体" w:hAnsi="宋体" w:cs="宋体"/>
                <w:bCs/>
                <w:color w:val="000000"/>
                <w:highlight w:val="none"/>
              </w:rPr>
              <w:t xml:space="preserve">其他未列参数：除上述产品技术参数外，《工作站政府采购需求标准（2023年版）》（财库〔2023〕32号）中其他加“*”指标，应满足需求标准中最低要求。</w:t>
            </w:r>
            <w:r>
              <w:rPr>
                <w:rFonts w:hint="eastAsia" w:ascii="宋体" w:hAnsi="宋体" w:cs="宋体"/>
                <w:bCs/>
                <w:color w:val="000000"/>
                <w:highlight w:val="none"/>
              </w:rPr>
            </w:r>
            <w:r/>
          </w:p>
          <w:p>
            <w:pPr>
              <w:pStyle w:val="881"/>
              <w:ind w:left="0" w:firstLine="0"/>
              <w:rPr>
                <w:color w:val="000000"/>
                <w:highlight w:val="none"/>
              </w:rPr>
            </w:pPr>
            <w:r>
              <w:rPr>
                <w:rFonts w:hint="eastAsia" w:ascii="宋体" w:hAnsi="宋体" w:cs="宋体"/>
                <w:color w:val="000000"/>
                <w:highlight w:val="none"/>
              </w:rPr>
              <w:t xml:space="preserve">3年原厂质保</w:t>
            </w:r>
            <w:r>
              <w:rPr>
                <w:rFonts w:hint="eastAsia" w:ascii="宋体" w:hAnsi="宋体" w:cs="宋体"/>
                <w:color w:val="000000"/>
                <w:highlight w:val="none"/>
              </w:rPr>
              <w:t xml:space="preserve">。</w:t>
            </w:r>
            <w:r>
              <w:rPr>
                <w:color w:val="000000"/>
                <w:highlight w:val="none"/>
              </w:rPr>
            </w:r>
            <w:r/>
          </w:p>
        </w:tc>
      </w:tr>
    </w:tbl>
    <w:p>
      <w:pPr>
        <w:pStyle w:val="869"/>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69"/>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69"/>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rPr>
          <w:rFonts w:ascii="宋体" w:hAnsi="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（3）投标人报价除包含招标文件中列明的项目外，还应包括保障服务正常运行应当具有的物资和服务，对服务正常运行应当具有的物资和服务理解不一致的以采购人理解为准。</w:t>
      </w:r>
      <w:r>
        <w:rPr>
          <w:rFonts w:hint="eastAsia" w:ascii="宋体" w:hAnsi="宋体" w:cs="宋体"/>
          <w:bCs/>
          <w:color w:val="000000"/>
          <w:sz w:val="24"/>
          <w:szCs w:val="24"/>
          <w:highlight w:val="none"/>
        </w:rPr>
      </w:r>
      <w:r/>
    </w:p>
    <w:p>
      <w:pPr>
        <w:pStyle w:val="869"/>
        <w:ind w:firstLine="480"/>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（1）整体设计要求</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投标人应结合医院现有信息化环境、算力资源需求和网络安全建设目标，提供完整的整体设计方案</w:t>
      </w:r>
      <w:r>
        <w:rPr>
          <w:rFonts w:hint="eastAsia" w:ascii="宋体" w:hAnsi="宋体" w:cs="宋体"/>
          <w:color w:val="000000"/>
          <w:sz w:val="24"/>
          <w:szCs w:val="24"/>
          <w:highlight w:val="none"/>
          <w:lang w:val="en-US" w:eastAsia="zh-CN"/>
        </w:rPr>
        <w:t xml:space="preserve">思路</w:t>
      </w:r>
      <w:r>
        <w:rPr>
          <w:rFonts w:hint="eastAsia" w:ascii="宋体" w:hAnsi="宋体" w:cs="宋体"/>
          <w:color w:val="000000"/>
          <w:sz w:val="24"/>
          <w:szCs w:val="24"/>
          <w:highlight w:val="none"/>
        </w:rPr>
        <w:t xml:space="preserve">。体现本项目各项产品和服务的统一设计、协同运行及安全保障机制，具体内容要求如下：</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整体设计思路：明确项目设计目标、设计原则、建设范围和设计依据，围绕MSS安全运营服务、DNS安全管控系统订阅服务、SSL域名服务、安全防护系统扩容服务、算力租赁服务和算力资源管理工作站，形成统一、完整的设计思路。设计内容应符合医院业务连续性、网络安全、数据安全和算力资源服务要求。</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体架构及部署设计：提供项目总体逻辑架构、网络架构、安全架构和部署架构，明确各平台、系统、服务和设备的部署位置、连接关系、访问路径、管理边界及运行方式。说明本项目与医院HIS、EMR、PACS，以及算力平台、调度管理平台和知识库平台之间的关系。</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及服务协同设计：说明MSS安全运营、DNS安全管控、SSL通信加密、安全防护系统、算力租赁资源和算力资源管理工作站之间的数据交互、告警联动、策略协同和处置流程，实现安全风险统一发现、统一分析、统一处置和统一追溯。</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及数据保护设计：按照网络安全等级保护、数据安全、个人信息保护和医疗卫生行业相关要求，明确身份认证、访问控制、传输加密、主机防护、恶意代码防范、勒索防护、日志审计、数据备份和应急恢复等设计内容。涉及患者个人信息及诊疗数据的，应明确数据分类分级、最小权限、操作审计和防泄露措施。</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扩展性及可靠性设计：充分考虑医院业务发展、算力资源扩展、安全防护对象增加和系统升级需求，明确资源扩容、授权扩展、接口兼容、性能保障、容量预警、故障切换和业务恢复设计。整体设计应避免单点故障，并具备良好的兼容性、可扩展性、可维护性和持续服务能力。</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（2）项目技术要求</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投标人应针对本项目采购的产品和服务编制专项技术，具体内容要求如下：</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MSS安全运营服务：应包括7×24小时安全监测、资产管理、日志采集分析、安全告警研判、漏洞闭环管理、威胁情报、应急响应、事件处置和安全运营报告等内容。</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DNS及SSL安全服务：应包括域名请求监测、恶意域名识别、访问控制、异常解析发现、风险域名阻断和日志审计，以及SSL证书申请、签发、部署、有效期监测、到期续期和加密协议安全配置等内容。</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安全防护系统扩容：应明确扩容对象、授权数量、许可期限、部署方式和管理架构，并提供病毒查杀、恶意代码防护、勒索防护、主机入侵检测、异常行为监测、策略下发、告警上报和隔离处置等能力。</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算力租赁服务：应明确计算、内存、存储、网络和加速资源配置，说明资源交付、逻辑隔离、性能监控、容量预警、弹性扩展、备份恢复、故障处理和可用性保障措施。</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算力资源管理工作站：应明确工作站的设备配置、操作系统、管理软件、网络接入、安全加固和权限控制要求，并具备算力资源配置、状态监控、任务管理、日志查询和告警查看等功能。</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（3）项目实施要求</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投标人应针对本项目建设内容编制完整、可实施的项目实施，评审内容共分为以下5项：</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实施组织及人员安排：应明确项目经理、技术负责人、安全运营人员、系统实施人员、算力服务工程师和售后运维人员的数量、职责、专业能力和协作机制。</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实施计划及进度控制：应明确项目启动、现场调研、</w:t>
      </w:r>
      <w:r>
        <w:rPr>
          <w:rFonts w:hint="eastAsia" w:ascii="宋体" w:hAnsi="宋体" w:cs="宋体"/>
          <w:color w:val="000000"/>
          <w:sz w:val="24"/>
          <w:szCs w:val="24"/>
          <w:highlight w:val="none"/>
          <w:lang w:val="en-US" w:eastAsia="zh-CN"/>
        </w:rPr>
        <w:t xml:space="preserve">整体</w:t>
      </w:r>
      <w:r>
        <w:rPr>
          <w:rFonts w:hint="eastAsia" w:ascii="宋体" w:hAnsi="宋体" w:cs="宋体"/>
          <w:color w:val="000000"/>
          <w:sz w:val="24"/>
          <w:szCs w:val="24"/>
          <w:highlight w:val="none"/>
        </w:rPr>
        <w:t xml:space="preserve">设计、资源开通、安装部署、系统对接、功能测试、试运行、问题整改和项目验收等阶段的时间安排、主要任务和交付成果。</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装部署及系统对接：应分别说明MSS安全运营平台、DNS安全管控系统、SSL域名证书、安全防护系统扩容、算力资源和算力资源管理工作站的安装部署、参数配置、系统接入及接口对接方法。变更及风险控制：应包括业务影响分析、变更申请、操作审批、数据备份、配置备份、实施窗口、策略观察、故障处置和系统回退措施，确保项目实施不影响医院正常诊疗业务。</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测试验收及文档交付：应明确单项测试、集成测试、安全测试、性能测试、试运行、问题整改和复测要求，并提供实施报告、测试报告、配置清单、授权证明、操作手册、运维手册和应急预案等交付文档。</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组建不少于8人的项目团队，至少包括：项目经理1名，具有5年以上信息化或网络安全项目管理经验及2个以上同类项目经验，具备项目进度、质量、风险和协调管理能力；技术负责人1名，具有5年以上网络安全或云计算技术经验，熟悉等级保护、数据安全、算力平台及安全架构设计；安全运营人员不少于2名，具备3年以上安全监测、漏洞管理、告警研判、应急响应和安全报告编</w:t>
      </w:r>
      <w:r>
        <w:rPr>
          <w:rFonts w:hint="eastAsia" w:ascii="宋体" w:hAnsi="宋体" w:cs="宋体"/>
          <w:color w:val="000000"/>
          <w:sz w:val="24"/>
          <w:szCs w:val="24"/>
          <w:highlight w:val="none"/>
        </w:rPr>
        <w:t xml:space="preserve">制经验，能够提供7×24小时轮值服务；系统实施人员不少于2名，熟悉服务器、操作系统、虚拟化、网络设备、终端安全及防病毒系统部署调试；算力服务工程师不少于1名，熟悉计算、存储、网络及资源调度管理；DNS及SSL技术人员不少于1名，具备域名解析管控、证书申请、部署、更新及加密协议配置能力；售后运维人员不少于1名，负责巡检、故障处理和现场支持，其中售后人员可由实施人员兼任。关键岗位人员应提供履历、相关证书或能力证明，未经医院书面同意不得随意更换；所有人员均须签署保密承诺，严格执行医院账号、数据和现场操作管理制度。</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（4）项目培训要求</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投标人应针对本项目建设内容编制完整、</w:t>
      </w:r>
      <w:r>
        <w:rPr>
          <w:rFonts w:hint="eastAsia" w:ascii="宋体" w:hAnsi="宋体" w:cs="宋体"/>
          <w:color w:val="000000"/>
          <w:sz w:val="24"/>
          <w:szCs w:val="24"/>
          <w:highlight w:val="none"/>
          <w:lang w:val="en-US" w:eastAsia="zh-CN"/>
        </w:rPr>
        <w:t xml:space="preserve">可行的项目实施计划</w:t>
      </w:r>
      <w:r>
        <w:rPr>
          <w:rFonts w:hint="eastAsia" w:ascii="宋体" w:hAnsi="宋体" w:cs="宋体"/>
          <w:color w:val="000000"/>
          <w:sz w:val="24"/>
          <w:szCs w:val="24"/>
          <w:highlight w:val="none"/>
        </w:rPr>
        <w:t xml:space="preserve">，评审内容共分为以下5项：</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实施组织及人员安排:应明确项目经理、技术负责人、安全运营人员、系统实施人员、算力服务工程师和售后运维人员的数量、职责、专业能力和协作机制。</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实施计划及进度控制:应明确项目启动、现场调研、</w:t>
      </w:r>
      <w:r>
        <w:rPr>
          <w:rFonts w:hint="eastAsia" w:ascii="宋体" w:hAnsi="宋体" w:cs="宋体"/>
          <w:color w:val="000000"/>
          <w:sz w:val="24"/>
          <w:szCs w:val="24"/>
          <w:highlight w:val="none"/>
          <w:lang w:val="en-US" w:eastAsia="zh-CN"/>
        </w:rPr>
        <w:t xml:space="preserve">整体</w:t>
      </w:r>
      <w:r>
        <w:rPr>
          <w:rFonts w:hint="eastAsia" w:ascii="宋体" w:hAnsi="宋体" w:cs="宋体"/>
          <w:color w:val="000000"/>
          <w:sz w:val="24"/>
          <w:szCs w:val="24"/>
          <w:highlight w:val="none"/>
        </w:rPr>
        <w:t xml:space="preserve">设计、资源开通、安装部署、系统对接、功能测试、试运行、问题整改和项目验收等阶段的时间安排、主要任务和交付成果。</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安装部署及系统对接:应分别说明MSS安全运营平台、DNS安全管控系统、SSL域名证书、安全防护系统扩容、算力资源和算力资源管理工作站的安装部署、参数配置、系统接入及接口对接方法。</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变更及风险控制:应包括业务影响分析、变更申请、操作审批、数据备份、配置备份、实施窗口、策略观察、故障处置和系统回退措施，确保项目实施不影响医院正常诊疗业务。</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测试验收及文档交付:应明确单项测试、集成测试、安全测试、性能测试、试运行、问题整改和复测要求，并提供实施报告、测试报告、配置清单、授权证明、操作手册、运维手册和应急预案等交付文档。</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（5）售后服务要求</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投标人应针对本项目全部产品和服务编制完整的售后服务，评审内容共分为以下5项：</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售后服务组织：应明确售后服务负责人、技术支持人员、服务团队构成、服务电话、服务邮箱或服务平台、服务时间、工单管理和问题升级机制。</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服务响应及故障处理：应对重大、较大、一般故障进行分类分级，明确各等级故障的响应时间、处置时限、现场到达时间、业务恢复要求和升级处理流程。</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日常运维及巡检服务：应包括安全监测、策略优化、病毒库升级、漏洞修复、DNS策略维护、SSL证书检查、算力资源监控、容量分析、工作站维护和定期巡检等内容。</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应急及业务连续性保障：应提供网络安全事件、勒索攻击、恶意域名访问、证书异常、算力资源不可用和管理工作站故障等情况的应急响应、备用措施、恢复流程和事件复盘机制。</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服务报告及安全保密：应提供服务工单、巡检报告、安全运营报告、故障处理记录、事件复盘报告和年度服务总结，并明确远程运维审批、最小权限、操作审计、患者数据保护和人员保密措施。</w:t>
      </w:r>
      <w:r>
        <w:rPr>
          <w:rFonts w:hint="eastAsia" w:ascii="宋体" w:hAnsi="宋体" w:cs="宋体"/>
          <w:color w:val="000000"/>
          <w:sz w:val="24"/>
          <w:szCs w:val="24"/>
          <w:highlight w:val="none"/>
        </w:rPr>
      </w:r>
      <w:r/>
    </w:p>
    <w:p>
      <w:pPr>
        <w:pStyle w:val="869"/>
        <w:ind w:firstLine="480"/>
        <w:spacing w:line="252"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69"/>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69"/>
        <w:ind w:firstLine="480"/>
        <w:spacing w:line="25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69"/>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olor w:val="000000"/>
          <w:sz w:val="24"/>
          <w:szCs w:val="24"/>
          <w:highlight w:val="none"/>
        </w:rPr>
        <w:t xml:space="preserve">10</w:t>
      </w:r>
      <w:r>
        <w:rPr>
          <w:rFonts w:ascii="宋体" w:hAnsi="宋体" w:cs="宋体"/>
          <w:color w:val="000000"/>
          <w:sz w:val="24"/>
          <w:szCs w:val="24"/>
          <w:highlight w:val="none"/>
        </w:rPr>
        <w:t xml:space="preserve">天内交付。</w:t>
      </w:r>
      <w:r>
        <w:rPr>
          <w:rFonts w:ascii="宋体" w:hAnsi="宋体" w:cs="宋体"/>
          <w:color w:val="000000"/>
          <w:sz w:val="24"/>
          <w:szCs w:val="24"/>
          <w:highlight w:val="none"/>
        </w:rPr>
      </w:r>
      <w:r/>
    </w:p>
    <w:p>
      <w:pPr>
        <w:pStyle w:val="869"/>
        <w:ind w:firstLine="480"/>
        <w:spacing w:line="252"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（2）交付地点：采购人指定地点</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69"/>
        <w:ind w:firstLine="480"/>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5.履约保证金</w:t>
      </w:r>
      <w:r>
        <w:rPr>
          <w:rFonts w:hint="eastAsia" w:ascii="宋体" w:hAnsi="宋体" w:cs="宋体"/>
          <w:bCs/>
          <w:color w:val="000000"/>
          <w:sz w:val="24"/>
          <w:szCs w:val="24"/>
          <w:highlight w:val="none"/>
        </w:rPr>
      </w:r>
      <w:r/>
    </w:p>
    <w:p>
      <w:pPr>
        <w:pStyle w:val="869"/>
        <w:ind w:firstLine="480"/>
        <w:spacing w:line="252"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以第三章合同文本</w:t>
      </w:r>
      <w:r>
        <w:rPr>
          <w:rFonts w:hint="eastAsia" w:ascii="宋体" w:hAnsi="宋体" w:cs="宋体"/>
          <w:bCs/>
          <w:color w:val="000000"/>
          <w:sz w:val="24"/>
          <w:szCs w:val="24"/>
          <w:highlight w:val="none"/>
        </w:rPr>
        <w:t xml:space="preserve">内容</w:t>
      </w:r>
      <w:r>
        <w:rPr>
          <w:rFonts w:ascii="宋体" w:hAnsi="宋体" w:cs="宋体"/>
          <w:bCs/>
          <w:color w:val="000000"/>
          <w:sz w:val="24"/>
          <w:szCs w:val="24"/>
          <w:highlight w:val="none"/>
        </w:rPr>
        <w:t xml:space="preserve">为准。</w:t>
      </w:r>
      <w:r>
        <w:rPr>
          <w:rFonts w:ascii="宋体" w:hAnsi="宋体" w:cs="宋体"/>
          <w:bCs/>
          <w:color w:val="000000"/>
          <w:sz w:val="24"/>
          <w:szCs w:val="24"/>
          <w:highlight w:val="none"/>
        </w:rPr>
      </w:r>
      <w:r/>
    </w:p>
    <w:p>
      <w:pPr>
        <w:pStyle w:val="869"/>
        <w:ind w:firstLine="480"/>
        <w:spacing w:line="252" w:lineRule="auto"/>
        <w:rPr>
          <w:rFonts w:hint="eastAsia" w:ascii="宋体" w:hAnsi="宋体" w:cs="宋体"/>
          <w:bCs/>
          <w:color w:val="000000"/>
          <w:sz w:val="24"/>
          <w:szCs w:val="24"/>
          <w:highlight w:val="none"/>
        </w:rPr>
      </w:pPr>
      <w:r/>
      <w:bookmarkStart w:id="63" w:name="OLE_LINK1"/>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bookmarkEnd w:id="63"/>
      <w:r>
        <w:rPr>
          <w:rFonts w:hint="eastAsia" w:ascii="宋体" w:hAnsi="宋体" w:cs="宋体"/>
          <w:color w:val="000000"/>
          <w:sz w:val="24"/>
          <w:szCs w:val="24"/>
          <w:highlight w:val="none"/>
        </w:rPr>
        <w:t xml:space="preserve">招标文件中要求提供证明材料的，签订合同时投标人应按招标文件要求和投标文件响应内容提供相应证明材料原件供采购人核验，否则采购人将取消其中标资格。</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rFonts w:hint="eastAsia" w:ascii="宋体" w:hAnsi="宋体" w:cs="宋体"/>
          <w:color w:val="000000"/>
          <w:sz w:val="24"/>
          <w:szCs w:val="24"/>
          <w:highlight w:val="none"/>
        </w:rPr>
      </w:r>
      <w:r/>
    </w:p>
    <w:p>
      <w:pPr>
        <w:pStyle w:val="869"/>
        <w:jc w:val="center"/>
        <w:spacing w:line="252"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宋体" w:hAnsi="宋体" w:cs="宋体"/>
          <w:b/>
          <w:bCs/>
          <w:color w:val="000000"/>
          <w:sz w:val="24"/>
          <w:szCs w:val="24"/>
          <w:highlight w:val="none"/>
        </w:rPr>
        <w:br w:type="page" w:clear="all"/>
      </w:r>
      <w:bookmarkStart w:id="64" w:name="_Toc120614281"/>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6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6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69"/>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投标人中，按照评审得分由高到低选取</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6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869"/>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869"/>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869"/>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color w:val="000000"/>
          <w:sz w:val="24"/>
          <w:szCs w:val="24"/>
          <w:highlight w:val="none"/>
        </w:rPr>
        <w:t xml:space="preserve">且投标人在投标文件中对此作出承诺的（按照招标文件要求在《投标分项报价表》中作出承诺），</w:t>
      </w:r>
      <w:r>
        <w:rPr>
          <w:rFonts w:hint="eastAsia" w:ascii="宋体" w:hAnsi="宋体"/>
          <w:color w:val="000000"/>
          <w:sz w:val="24"/>
          <w:szCs w:val="24"/>
          <w:highlight w:val="none"/>
        </w:rPr>
        <w:t xml:space="preserve">则依法对该投标人提供的全部产品给予价格评审优惠，即对该投标人提供的全部产品的总报价给予20%的价格扣除，用扣除后的价格参与评审。</w:t>
      </w:r>
      <w:r>
        <w:rPr>
          <w:rFonts w:hint="eastAsia" w:ascii="宋体" w:hAnsi="宋体"/>
          <w:b/>
          <w:bCs/>
          <w:color w:val="000000"/>
          <w:sz w:val="24"/>
          <w:szCs w:val="24"/>
          <w:highlight w:val="none"/>
        </w:rPr>
        <w:t xml:space="preserve">全部产品是指货物或服务采购项目或采购包中包含的全部货物、服务产品。</w:t>
      </w:r>
      <w:r>
        <w:rPr>
          <w:rFonts w:hint="eastAsia" w:ascii="宋体" w:hAnsi="宋体"/>
          <w:color w:val="000000"/>
          <w:sz w:val="24"/>
          <w:szCs w:val="24"/>
          <w:highlight w:val="none"/>
        </w:rPr>
      </w:r>
      <w:r/>
    </w:p>
    <w:p>
      <w:pPr>
        <w:pStyle w:val="869"/>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869"/>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4.</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86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869"/>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69"/>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的价格扣除，用扣除后的价格参与评审。残疾人福利性单位、监狱企业属于小型、微型企业的，不重复享受价格扣除。</w:t>
      </w:r>
      <w:r>
        <w:rPr>
          <w:rFonts w:hint="eastAsia" w:ascii="宋体" w:hAnsi="宋体" w:cs="宋体"/>
          <w:color w:val="000000"/>
          <w:sz w:val="24"/>
          <w:szCs w:val="24"/>
          <w:highlight w:val="none"/>
        </w:rPr>
      </w:r>
      <w:r/>
    </w:p>
    <w:p>
      <w:pPr>
        <w:pStyle w:val="869"/>
        <w:ind w:firstLine="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    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W w:w="975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472"/>
        <w:gridCol w:w="6332"/>
        <w:gridCol w:w="573"/>
        <w:gridCol w:w="861"/>
      </w:tblGrid>
      <w:tr>
        <w:trPr>
          <w:trHeight w:val="493"/>
          <w:tblHeader/>
        </w:trPr>
        <w:tc>
          <w:tcPr>
            <w:tcW w:w="519" w:type="dxa"/>
            <w:vAlign w:val="top"/>
            <w:textDirection w:val="lrTb"/>
            <w:noWrap w:val="false"/>
          </w:tcPr>
          <w:p>
            <w:pPr>
              <w:pStyle w:val="869"/>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序号</w:t>
            </w:r>
            <w:r>
              <w:rPr>
                <w:rFonts w:ascii="宋体" w:hAnsi="宋体" w:cs="宋体"/>
                <w:b/>
                <w:bCs/>
                <w:color w:val="000000"/>
                <w:spacing w:val="-3"/>
                <w:highlight w:val="none"/>
              </w:rPr>
            </w:r>
            <w:r/>
          </w:p>
        </w:tc>
        <w:tc>
          <w:tcPr>
            <w:tcW w:w="1472" w:type="dxa"/>
            <w:vAlign w:val="top"/>
            <w:textDirection w:val="lrTb"/>
            <w:noWrap w:val="false"/>
          </w:tcPr>
          <w:p>
            <w:pPr>
              <w:pStyle w:val="869"/>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评审因素</w:t>
            </w:r>
            <w:r>
              <w:rPr>
                <w:rFonts w:ascii="宋体" w:hAnsi="宋体" w:cs="宋体"/>
                <w:b/>
                <w:bCs/>
                <w:color w:val="000000"/>
                <w:spacing w:val="-3"/>
                <w:highlight w:val="none"/>
              </w:rPr>
            </w:r>
            <w:r/>
          </w:p>
        </w:tc>
        <w:tc>
          <w:tcPr>
            <w:tcW w:w="6332" w:type="dxa"/>
            <w:vAlign w:val="top"/>
            <w:textDirection w:val="lrTb"/>
            <w:noWrap w:val="false"/>
          </w:tcPr>
          <w:p>
            <w:pPr>
              <w:pStyle w:val="869"/>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评审细则</w:t>
            </w:r>
            <w:r>
              <w:rPr>
                <w:rFonts w:ascii="宋体" w:hAnsi="宋体" w:cs="宋体"/>
                <w:b/>
                <w:bCs/>
                <w:color w:val="000000"/>
                <w:spacing w:val="-3"/>
                <w:highlight w:val="none"/>
              </w:rPr>
            </w:r>
            <w:r/>
          </w:p>
        </w:tc>
        <w:tc>
          <w:tcPr>
            <w:tcW w:w="573" w:type="dxa"/>
            <w:vAlign w:val="top"/>
            <w:textDirection w:val="lrTb"/>
            <w:noWrap w:val="false"/>
          </w:tcPr>
          <w:p>
            <w:pPr>
              <w:pStyle w:val="869"/>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分值</w:t>
            </w:r>
            <w:r>
              <w:rPr>
                <w:rFonts w:ascii="宋体" w:hAnsi="宋体" w:cs="宋体"/>
                <w:b/>
                <w:bCs/>
                <w:color w:val="000000"/>
                <w:spacing w:val="-3"/>
                <w:highlight w:val="none"/>
              </w:rPr>
            </w:r>
            <w:r/>
          </w:p>
        </w:tc>
        <w:tc>
          <w:tcPr>
            <w:tcW w:w="861" w:type="dxa"/>
            <w:vAlign w:val="top"/>
            <w:textDirection w:val="lrTb"/>
            <w:noWrap w:val="false"/>
          </w:tcPr>
          <w:p>
            <w:pPr>
              <w:pStyle w:val="869"/>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类型</w:t>
            </w:r>
            <w:r>
              <w:rPr>
                <w:rFonts w:ascii="宋体" w:hAnsi="宋体" w:cs="宋体"/>
                <w:b/>
                <w:bCs/>
                <w:color w:val="000000"/>
                <w:spacing w:val="-3"/>
                <w:highlight w:val="none"/>
              </w:rPr>
            </w:r>
            <w:r/>
          </w:p>
        </w:tc>
      </w:tr>
      <w:tr>
        <w:trPr>
          <w:trHeight w:val="465"/>
        </w:trPr>
        <w:tc>
          <w:tcPr>
            <w:gridSpan w:val="5"/>
            <w:tcW w:w="9757" w:type="dxa"/>
            <w:vAlign w:val="top"/>
            <w:textDirection w:val="lrTb"/>
            <w:noWrap w:val="false"/>
          </w:tcPr>
          <w:p>
            <w:pPr>
              <w:pStyle w:val="869"/>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r>
      <w:tr>
        <w:trPr>
          <w:trHeight w:val="1202"/>
        </w:trPr>
        <w:tc>
          <w:tcPr>
            <w:tcW w:w="519" w:type="dxa"/>
            <w:vAlign w:val="center"/>
            <w:textDirection w:val="lrTb"/>
            <w:noWrap w:val="false"/>
          </w:tcPr>
          <w:p>
            <w:pPr>
              <w:pStyle w:val="869"/>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472" w:type="dxa"/>
            <w:vAlign w:val="center"/>
            <w:textDirection w:val="lrTb"/>
            <w:noWrap w:val="false"/>
          </w:tcPr>
          <w:p>
            <w:pPr>
              <w:pStyle w:val="869"/>
              <w:jc w:val="left"/>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rPr>
                <w:rFonts w:ascii="宋体" w:hAnsi="宋体" w:cs="宋体"/>
                <w:color w:val="000000"/>
                <w:highlight w:val="none"/>
              </w:rPr>
            </w:r>
            <w:r/>
          </w:p>
        </w:tc>
        <w:tc>
          <w:tcPr>
            <w:tcW w:w="6332" w:type="dxa"/>
            <w:vAlign w:val="center"/>
            <w:textDirection w:val="lrTb"/>
            <w:noWrap w:val="false"/>
          </w:tcPr>
          <w:p>
            <w:pPr>
              <w:pStyle w:val="869"/>
              <w:jc w:val="left"/>
              <w:spacing w:line="264" w:lineRule="auto"/>
              <w:rPr>
                <w:rFonts w:hint="eastAsia" w:ascii="宋体" w:hAnsi="宋体" w:cs="宋体"/>
                <w:color w:val="000000"/>
                <w:highlight w:val="none"/>
              </w:rPr>
            </w:pPr>
            <w:r>
              <w:rPr>
                <w:rFonts w:hint="eastAsia" w:ascii="宋体" w:hAnsi="宋体" w:cs="宋体"/>
                <w:color w:val="000000"/>
                <w:spacing w:val="1"/>
                <w:highlight w:val="none"/>
              </w:rPr>
              <w:t xml:space="preserve">采用低价优先</w:t>
            </w:r>
            <w:r>
              <w:rPr>
                <w:rFonts w:hint="eastAsia" w:ascii="宋体" w:hAnsi="宋体" w:cs="宋体"/>
                <w:color w:val="000000"/>
                <w:highlight w:val="none"/>
              </w:rPr>
              <w:t xml:space="preserve">法计算，即满足招标文件要求且投标价格最低的投标</w:t>
            </w:r>
            <w:r>
              <w:rPr>
                <w:rFonts w:hint="eastAsia" w:ascii="宋体" w:hAnsi="宋体" w:cs="宋体"/>
                <w:color w:val="000000"/>
                <w:spacing w:val="1"/>
                <w:highlight w:val="none"/>
              </w:rPr>
              <w:t xml:space="preserve">报价为评标基准</w:t>
            </w:r>
            <w:r>
              <w:rPr>
                <w:rFonts w:hint="eastAsia" w:ascii="宋体" w:hAnsi="宋体" w:cs="宋体"/>
                <w:color w:val="000000"/>
                <w:highlight w:val="none"/>
              </w:rPr>
              <w:t xml:space="preserve">价，其价格分为满分。其他投标人的价格分统一按</w:t>
            </w:r>
            <w:r>
              <w:rPr>
                <w:rFonts w:hint="eastAsia" w:ascii="宋体" w:hAnsi="宋体" w:cs="宋体"/>
                <w:color w:val="000000"/>
                <w:spacing w:val="-1"/>
                <w:highlight w:val="none"/>
              </w:rPr>
              <w:t xml:space="preserve">照下列公</w:t>
            </w:r>
            <w:r>
              <w:rPr>
                <w:rFonts w:hint="eastAsia" w:ascii="宋体" w:hAnsi="宋体" w:cs="宋体"/>
                <w:color w:val="000000"/>
                <w:highlight w:val="none"/>
              </w:rPr>
              <w:t xml:space="preserve">式计算：投标报价得分=（评标基准价/投标报价）×价格分值（小数点保留两位）</w:t>
            </w:r>
            <w:r>
              <w:rPr>
                <w:rFonts w:hint="eastAsia" w:ascii="宋体" w:hAnsi="宋体" w:cs="宋体"/>
                <w:color w:val="000000"/>
                <w:highlight w:val="none"/>
              </w:rPr>
            </w:r>
            <w:r/>
          </w:p>
          <w:p>
            <w:pPr>
              <w:pStyle w:val="869"/>
              <w:jc w:val="left"/>
              <w:spacing w:line="264" w:lineRule="auto"/>
              <w:rPr>
                <w:rFonts w:ascii="宋体" w:hAnsi="宋体" w:cs="宋体"/>
                <w:color w:val="000000"/>
                <w:highlight w:val="none"/>
              </w:rPr>
            </w:pPr>
            <w:r>
              <w:rPr>
                <w:rFonts w:hint="eastAsia" w:ascii="宋体" w:hAnsi="宋体" w:cs="宋体"/>
                <w:color w:val="000000"/>
                <w:highlight w:val="none"/>
              </w:rPr>
              <w:t xml:space="preserve">因落实政府采购政策进行价格调整的，以调整后的价格计算评标基准价和投标报价。</w:t>
            </w:r>
            <w:r>
              <w:rPr>
                <w:rFonts w:ascii="宋体" w:hAnsi="宋体" w:cs="宋体"/>
                <w:color w:val="000000"/>
                <w:highlight w:val="none"/>
              </w:rPr>
            </w:r>
            <w:r/>
          </w:p>
        </w:tc>
        <w:tc>
          <w:tcPr>
            <w:tcW w:w="573" w:type="dxa"/>
            <w:vAlign w:val="center"/>
            <w:textDirection w:val="lrTb"/>
            <w:noWrap w:val="false"/>
          </w:tcPr>
          <w:p>
            <w:pPr>
              <w:pStyle w:val="869"/>
              <w:jc w:val="center"/>
              <w:spacing w:before="68" w:line="264" w:lineRule="auto"/>
              <w:rPr>
                <w:rFonts w:hint="eastAsia" w:ascii="宋体" w:hAnsi="宋体" w:cs="宋体"/>
                <w:color w:val="000000"/>
                <w:spacing w:val="-4"/>
                <w:highlight w:val="none"/>
              </w:rPr>
            </w:pPr>
            <w:r>
              <w:rPr>
                <w:rFonts w:hint="eastAsia" w:ascii="宋体" w:hAnsi="宋体" w:cs="宋体"/>
                <w:color w:val="000000"/>
                <w:spacing w:val="-4"/>
                <w:highlight w:val="none"/>
              </w:rPr>
              <w:t xml:space="preserve">15</w:t>
            </w:r>
            <w:r>
              <w:rPr>
                <w:rFonts w:hint="eastAsia" w:ascii="宋体" w:hAnsi="宋体" w:cs="宋体"/>
                <w:color w:val="000000"/>
                <w:spacing w:val="-4"/>
                <w:highlight w:val="none"/>
              </w:rPr>
            </w:r>
            <w:r/>
          </w:p>
        </w:tc>
        <w:tc>
          <w:tcPr>
            <w:tcW w:w="861" w:type="dxa"/>
            <w:vAlign w:val="center"/>
            <w:textDirection w:val="lrTb"/>
            <w:noWrap w:val="false"/>
          </w:tcPr>
          <w:p>
            <w:pPr>
              <w:pStyle w:val="869"/>
              <w:jc w:val="center"/>
              <w:spacing w:before="68" w:line="264" w:lineRule="auto"/>
              <w:rPr>
                <w:rFonts w:hint="eastAsia" w:ascii="宋体" w:hAnsi="宋体" w:cs="宋体"/>
                <w:color w:val="000000"/>
                <w:spacing w:val="-4"/>
                <w:highlight w:val="none"/>
              </w:rPr>
            </w:pPr>
            <w:r>
              <w:rPr>
                <w:rFonts w:hint="eastAsia" w:ascii="宋体" w:hAnsi="宋体" w:cs="宋体"/>
                <w:color w:val="000000"/>
                <w:spacing w:val="-4"/>
                <w:highlight w:val="none"/>
              </w:rPr>
              <w:t xml:space="preserve">价格分</w:t>
            </w:r>
            <w:r>
              <w:rPr>
                <w:rFonts w:hint="eastAsia" w:ascii="宋体" w:hAnsi="宋体" w:cs="宋体"/>
                <w:color w:val="000000"/>
                <w:spacing w:val="-4"/>
                <w:highlight w:val="none"/>
              </w:rPr>
            </w:r>
            <w:r/>
          </w:p>
        </w:tc>
      </w:tr>
      <w:tr>
        <w:trPr>
          <w:trHeight w:val="465"/>
        </w:trPr>
        <w:tc>
          <w:tcPr>
            <w:gridSpan w:val="5"/>
            <w:tcW w:w="9757" w:type="dxa"/>
            <w:vAlign w:val="top"/>
            <w:textDirection w:val="lrTb"/>
            <w:noWrap w:val="false"/>
          </w:tcPr>
          <w:p>
            <w:pPr>
              <w:pStyle w:val="869"/>
              <w:ind w:left="11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2.服务</w:t>
            </w:r>
            <w:r>
              <w:rPr>
                <w:rFonts w:ascii="宋体" w:hAnsi="宋体" w:cs="宋体"/>
                <w:color w:val="000000"/>
                <w:highlight w:val="none"/>
              </w:rPr>
            </w:r>
            <w:r/>
          </w:p>
        </w:tc>
      </w:tr>
      <w:tr>
        <w:trPr>
          <w:trHeight w:val="895"/>
        </w:trPr>
        <w:tc>
          <w:tcPr>
            <w:tcW w:w="519" w:type="dxa"/>
            <w:vAlign w:val="center"/>
            <w:textDirection w:val="lrTb"/>
            <w:noWrap w:val="false"/>
          </w:tcPr>
          <w:p>
            <w:pPr>
              <w:pStyle w:val="869"/>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2.1</w:t>
            </w:r>
            <w:r>
              <w:rPr>
                <w:rFonts w:ascii="宋体" w:hAnsi="宋体" w:cs="宋体"/>
                <w:color w:val="000000"/>
                <w:spacing w:val="-2"/>
                <w:highlight w:val="none"/>
              </w:rPr>
            </w:r>
            <w:r/>
          </w:p>
        </w:tc>
        <w:tc>
          <w:tcPr>
            <w:tcW w:w="1472" w:type="dxa"/>
            <w:vAlign w:val="center"/>
            <w:textDirection w:val="lrTb"/>
            <w:noWrap w:val="false"/>
          </w:tcPr>
          <w:p>
            <w:pPr>
              <w:pStyle w:val="869"/>
              <w:jc w:val="left"/>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产品技术参数</w:t>
            </w:r>
            <w:r>
              <w:rPr>
                <w:rFonts w:ascii="宋体" w:hAnsi="宋体" w:cs="宋体"/>
                <w:color w:val="000000"/>
                <w:spacing w:val="-2"/>
                <w:highlight w:val="none"/>
              </w:rPr>
            </w:r>
            <w:r/>
          </w:p>
        </w:tc>
        <w:tc>
          <w:tcPr>
            <w:tcW w:w="6332" w:type="dxa"/>
            <w:vAlign w:val="center"/>
            <w:textDirection w:val="lrTb"/>
            <w:noWrap w:val="false"/>
          </w:tcPr>
          <w:p>
            <w:pPr>
              <w:pStyle w:val="869"/>
              <w:spacing w:line="264" w:lineRule="auto"/>
              <w:rPr>
                <w:rFonts w:hint="eastAsia" w:ascii="宋体" w:hAnsi="宋体" w:eastAsia="宋体" w:cs="宋体"/>
                <w:color w:val="000000"/>
                <w:spacing w:val="1"/>
                <w:highlight w:val="none"/>
                <w:lang w:eastAsia="zh-CN"/>
              </w:rPr>
            </w:pPr>
            <w:r>
              <w:rPr>
                <w:rFonts w:hint="eastAsia" w:ascii="宋体" w:hAnsi="宋体" w:cs="宋体"/>
                <w:color w:val="000000"/>
                <w:highlight w:val="none"/>
              </w:rPr>
              <w:t xml:space="preserve">产品技术参数全部满足招标文件技术要求的得满分，打★指标为必须满足项，如有负偏离将作为无效投标，打▲指标为重要指标，有1项负偏离扣1</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分，其余指标有1项负偏离扣</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扣完为止</w:t>
            </w:r>
            <w:r>
              <w:rPr>
                <w:rFonts w:hint="eastAsia" w:ascii="宋体" w:hAnsi="宋体" w:cs="宋体"/>
                <w:color w:val="000000"/>
                <w:highlight w:val="none"/>
                <w:lang w:eastAsia="zh-CN"/>
              </w:rPr>
              <w:t xml:space="preserve">。</w:t>
            </w:r>
            <w:r>
              <w:rPr>
                <w:rFonts w:hint="eastAsia" w:ascii="宋体" w:hAnsi="宋体" w:eastAsia="宋体" w:cs="宋体"/>
                <w:color w:val="000000"/>
                <w:spacing w:val="1"/>
                <w:highlight w:val="none"/>
                <w:lang w:eastAsia="zh-CN"/>
              </w:rPr>
            </w:r>
            <w:r/>
          </w:p>
        </w:tc>
        <w:tc>
          <w:tcPr>
            <w:tcW w:w="573" w:type="dxa"/>
            <w:vAlign w:val="center"/>
            <w:textDirection w:val="lrTb"/>
            <w:noWrap w:val="false"/>
          </w:tcPr>
          <w:p>
            <w:pPr>
              <w:pStyle w:val="869"/>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32</w:t>
            </w:r>
            <w:r>
              <w:rPr>
                <w:rFonts w:ascii="宋体" w:hAnsi="宋体" w:cs="宋体"/>
                <w:color w:val="000000"/>
                <w:highlight w:val="none"/>
              </w:rPr>
            </w:r>
            <w:r/>
          </w:p>
        </w:tc>
        <w:tc>
          <w:tcPr>
            <w:tcW w:w="861" w:type="dxa"/>
            <w:vAlign w:val="center"/>
            <w:textDirection w:val="lrTb"/>
            <w:noWrap w:val="false"/>
          </w:tcPr>
          <w:p>
            <w:pPr>
              <w:pStyle w:val="869"/>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hint="eastAsia" w:ascii="宋体" w:hAnsi="宋体" w:cs="宋体"/>
                <w:color w:val="000000"/>
                <w:highlight w:val="none"/>
              </w:rPr>
            </w:r>
            <w:r/>
          </w:p>
        </w:tc>
      </w:tr>
      <w:tr>
        <w:trPr>
          <w:trHeight w:val="895"/>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highlight w:val="none"/>
              </w:rPr>
            </w:pPr>
            <w:r>
              <w:rPr>
                <w:rFonts w:ascii="宋体" w:hAnsi="宋体" w:cs="宋体"/>
                <w:color w:val="000000"/>
                <w:spacing w:val="-2"/>
                <w:highlight w:val="none"/>
              </w:rPr>
              <w:t xml:space="preserve">2.</w:t>
            </w:r>
            <w:r>
              <w:rPr>
                <w:rFonts w:hint="eastAsia" w:ascii="宋体" w:hAnsi="宋体" w:cs="宋体"/>
                <w:color w:val="000000"/>
                <w:spacing w:val="-2"/>
                <w:highlight w:val="none"/>
              </w:rPr>
              <w:t xml:space="preserve">2</w:t>
            </w:r>
            <w:r>
              <w:rPr>
                <w:rFonts w:hint="eastAsia" w:ascii="宋体" w:hAnsi="宋体" w:cs="宋体"/>
                <w:color w:val="000000"/>
                <w:spacing w:val="-2"/>
                <w:highlight w:val="none"/>
              </w:rPr>
            </w:r>
            <w:r/>
          </w:p>
        </w:tc>
        <w:tc>
          <w:tcPr>
            <w:tcW w:w="1472" w:type="dxa"/>
            <w:vAlign w:val="center"/>
            <w:textDirection w:val="lrTb"/>
            <w:noWrap w:val="false"/>
          </w:tcPr>
          <w:p>
            <w:pPr>
              <w:pStyle w:val="869"/>
              <w:ind w:right="108"/>
              <w:jc w:val="left"/>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项目实施方案</w:t>
            </w:r>
            <w:r>
              <w:rPr>
                <w:rFonts w:hint="eastAsia" w:ascii="宋体" w:hAnsi="宋体" w:cs="宋体"/>
                <w:color w:val="000000"/>
                <w:spacing w:val="-2"/>
                <w:highlight w:val="none"/>
              </w:rPr>
            </w:r>
            <w:r/>
          </w:p>
        </w:tc>
        <w:tc>
          <w:tcPr>
            <w:tcW w:w="6332" w:type="dxa"/>
            <w:vAlign w:val="center"/>
            <w:textDirection w:val="lrTb"/>
            <w:noWrap w:val="false"/>
          </w:tcPr>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根据采购需求及相关要求编制项目实施方案，内容包含：1.实施组织及人员安排、2.实施计划及进度控制、3.安装部署及系统对接、4.变更及风险控制、5.测试验收及文档交付。结合医院现状和本项目采购内容,以上每项内容逐条阐述。</w:t>
            </w:r>
            <w:r>
              <w:rPr>
                <w:rFonts w:hint="eastAsia" w:ascii="宋体" w:hAnsi="宋体" w:eastAsia="宋体" w:cs="宋体"/>
                <w:color w:val="000000"/>
                <w:highlight w:val="none"/>
                <w:lang w:val="en-US" w:eastAsia="zh-CN"/>
              </w:rPr>
            </w:r>
            <w:r/>
          </w:p>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内容完整、科学合理，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rPr>
                <w:rFonts w:hint="eastAsia" w:ascii="宋体" w:hAnsi="宋体" w:eastAsia="宋体" w:cs="宋体"/>
                <w:color w:val="000000"/>
                <w:highlight w:val="none"/>
                <w:lang w:val="en-US" w:eastAsia="zh-CN"/>
              </w:rPr>
            </w:r>
            <w:r/>
          </w:p>
        </w:tc>
        <w:tc>
          <w:tcPr>
            <w:tcW w:w="573" w:type="dxa"/>
            <w:vAlign w:val="center"/>
            <w:textDirection w:val="lrTb"/>
            <w:noWrap w:val="false"/>
          </w:tcPr>
          <w:p>
            <w:pPr>
              <w:pStyle w:val="869"/>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861" w:type="dxa"/>
            <w:vAlign w:val="center"/>
            <w:textDirection w:val="lrTb"/>
            <w:noWrap w:val="false"/>
          </w:tcPr>
          <w:p>
            <w:pPr>
              <w:pStyle w:val="869"/>
              <w:jc w:val="center"/>
              <w:spacing w:before="68" w:line="264" w:lineRule="auto"/>
              <w:rPr>
                <w:rFonts w:ascii="宋体" w:hAnsi="宋体" w:cs="宋体"/>
                <w:color w:val="000000"/>
                <w:spacing w:val="-6"/>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spacing w:val="-6"/>
                <w:highlight w:val="none"/>
              </w:rPr>
            </w:r>
            <w:r/>
          </w:p>
        </w:tc>
      </w:tr>
      <w:tr>
        <w:trPr>
          <w:trHeight w:val="895"/>
        </w:trPr>
        <w:tc>
          <w:tcPr>
            <w:tcW w:w="519" w:type="dxa"/>
            <w:vAlign w:val="center"/>
            <w:textDirection w:val="lrTb"/>
            <w:noWrap w:val="false"/>
          </w:tcPr>
          <w:p>
            <w:pPr>
              <w:pStyle w:val="869"/>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2.3</w:t>
            </w:r>
            <w:r>
              <w:rPr>
                <w:rFonts w:ascii="宋体" w:hAnsi="宋体" w:cs="宋体"/>
                <w:color w:val="000000"/>
                <w:spacing w:val="-2"/>
                <w:highlight w:val="none"/>
              </w:rPr>
            </w:r>
            <w:r/>
          </w:p>
        </w:tc>
        <w:tc>
          <w:tcPr>
            <w:tcW w:w="1472" w:type="dxa"/>
            <w:vAlign w:val="center"/>
            <w:textDirection w:val="lrTb"/>
            <w:noWrap w:val="false"/>
          </w:tcPr>
          <w:p>
            <w:pPr>
              <w:pStyle w:val="869"/>
              <w:jc w:val="left"/>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整体设计方案</w:t>
            </w:r>
            <w:r>
              <w:rPr>
                <w:rFonts w:hint="eastAsia" w:ascii="宋体" w:hAnsi="宋体" w:cs="宋体"/>
                <w:color w:val="000000"/>
                <w:spacing w:val="-2"/>
                <w:highlight w:val="none"/>
              </w:rPr>
            </w:r>
            <w:r/>
          </w:p>
        </w:tc>
        <w:tc>
          <w:tcPr>
            <w:tcW w:w="6332" w:type="dxa"/>
            <w:vAlign w:val="center"/>
            <w:textDirection w:val="lrTb"/>
            <w:noWrap w:val="false"/>
          </w:tcPr>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投标人根据采购需求及相关要求编制整体设计方案，内容包含：1.整体设计思路、2.总体架构及部署设计、3.产品及服务协同设计、4.安全及数据保护设计、5.扩展性及可靠性设计”</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结合医院现状和本项目采购内容,以上每项内容逐条阐述。</w:t>
            </w:r>
            <w:r>
              <w:rPr>
                <w:rFonts w:hint="eastAsia" w:ascii="宋体" w:hAnsi="宋体" w:eastAsia="宋体" w:cs="宋体"/>
                <w:color w:val="000000"/>
                <w:highlight w:val="none"/>
                <w:lang w:val="en-US" w:eastAsia="zh-CN"/>
              </w:rPr>
            </w:r>
            <w:r/>
          </w:p>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方案内容</w:t>
            </w:r>
            <w:r>
              <w:rPr>
                <w:rFonts w:hint="eastAsia" w:ascii="宋体" w:hAnsi="宋体" w:eastAsia="宋体" w:cs="宋体"/>
                <w:color w:val="000000"/>
                <w:highlight w:val="none"/>
                <w:lang w:val="zh-CN" w:eastAsia="zh-CN"/>
              </w:rPr>
              <w:t xml:space="preserve">完整、科学合理，</w:t>
            </w:r>
            <w:r>
              <w:rPr>
                <w:rFonts w:hint="eastAsia" w:ascii="宋体" w:hAnsi="宋体" w:eastAsia="宋体" w:cs="宋体"/>
                <w:color w:val="000000"/>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highlight w:val="none"/>
                <w:lang w:val="en-US" w:eastAsia="zh-CN"/>
              </w:rPr>
            </w:r>
            <w:r/>
          </w:p>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上述每项内容符合得1分；部分符合得0.5分；不符合或不提供不得分。</w:t>
            </w:r>
            <w:r>
              <w:rPr>
                <w:rFonts w:hint="eastAsia" w:ascii="宋体" w:hAnsi="宋体" w:eastAsia="宋体" w:cs="宋体"/>
                <w:color w:val="000000"/>
                <w:highlight w:val="none"/>
                <w:lang w:val="en-US" w:eastAsia="zh-CN"/>
              </w:rPr>
            </w:r>
            <w:r/>
          </w:p>
        </w:tc>
        <w:tc>
          <w:tcPr>
            <w:tcW w:w="573" w:type="dxa"/>
            <w:vAlign w:val="center"/>
            <w:textDirection w:val="lrTb"/>
            <w:noWrap w:val="false"/>
          </w:tcPr>
          <w:p>
            <w:pPr>
              <w:pStyle w:val="869"/>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861" w:type="dxa"/>
            <w:vAlign w:val="center"/>
            <w:textDirection w:val="lrTb"/>
            <w:noWrap w:val="false"/>
          </w:tcPr>
          <w:p>
            <w:pPr>
              <w:pStyle w:val="869"/>
              <w:jc w:val="center"/>
              <w:spacing w:before="68" w:line="264" w:lineRule="auto"/>
              <w:rPr>
                <w:rFonts w:hint="eastAsia" w:ascii="宋体" w:hAnsi="宋体" w:cs="宋体"/>
                <w:color w:val="000000"/>
                <w:spacing w:val="-6"/>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pacing w:val="-6"/>
                <w:highlight w:val="none"/>
              </w:rPr>
            </w:r>
            <w:r/>
          </w:p>
        </w:tc>
      </w:tr>
      <w:tr>
        <w:trPr>
          <w:trHeight w:val="895"/>
        </w:trPr>
        <w:tc>
          <w:tcPr>
            <w:tcW w:w="519" w:type="dxa"/>
            <w:vAlign w:val="center"/>
            <w:textDirection w:val="lrTb"/>
            <w:noWrap w:val="false"/>
          </w:tcPr>
          <w:p>
            <w:pPr>
              <w:pStyle w:val="869"/>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2.4</w:t>
            </w:r>
            <w:r>
              <w:rPr>
                <w:rFonts w:ascii="宋体" w:hAnsi="宋体" w:cs="宋体"/>
                <w:color w:val="000000"/>
                <w:spacing w:val="-2"/>
                <w:highlight w:val="none"/>
              </w:rPr>
            </w:r>
            <w:r/>
          </w:p>
        </w:tc>
        <w:tc>
          <w:tcPr>
            <w:tcW w:w="1472" w:type="dxa"/>
            <w:vAlign w:val="center"/>
            <w:textDirection w:val="lrTb"/>
            <w:noWrap w:val="false"/>
          </w:tcPr>
          <w:p>
            <w:pPr>
              <w:pStyle w:val="869"/>
              <w:jc w:val="left"/>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项目技术方案</w:t>
            </w:r>
            <w:r>
              <w:rPr>
                <w:rFonts w:hint="eastAsia" w:ascii="宋体" w:hAnsi="宋体" w:cs="宋体"/>
                <w:color w:val="000000"/>
                <w:spacing w:val="-2"/>
                <w:highlight w:val="none"/>
              </w:rPr>
            </w:r>
            <w:r/>
          </w:p>
        </w:tc>
        <w:tc>
          <w:tcPr>
            <w:tcW w:w="6332" w:type="dxa"/>
            <w:vAlign w:val="center"/>
            <w:textDirection w:val="lrTb"/>
            <w:noWrap w:val="false"/>
          </w:tcPr>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根据采购需求及相关要求编制项目技术方案，内容包含：1.MSS安全运营服务方案、2.DNS及SSL安全服务方案、3.安全防护系统扩容方案、4.算力租赁服务方案、5.算力资源管理工作站方案。结合医院现状和本项目采购内容,以上每项内容逐条阐述。</w:t>
            </w:r>
            <w:r>
              <w:rPr>
                <w:rFonts w:hint="eastAsia" w:ascii="宋体" w:hAnsi="宋体" w:eastAsia="宋体" w:cs="宋体"/>
                <w:color w:val="000000"/>
                <w:highlight w:val="none"/>
                <w:lang w:val="en-US" w:eastAsia="zh-CN"/>
              </w:rPr>
            </w:r>
            <w:r/>
          </w:p>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内容完整、科学合理，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rPr>
                <w:rFonts w:hint="eastAsia" w:ascii="宋体" w:hAnsi="宋体" w:eastAsia="宋体" w:cs="宋体"/>
                <w:color w:val="000000"/>
                <w:highlight w:val="none"/>
                <w:lang w:val="en-US" w:eastAsia="zh-CN"/>
              </w:rPr>
            </w:r>
            <w:r/>
          </w:p>
        </w:tc>
        <w:tc>
          <w:tcPr>
            <w:tcW w:w="573" w:type="dxa"/>
            <w:vAlign w:val="center"/>
            <w:textDirection w:val="lrTb"/>
            <w:noWrap w:val="false"/>
          </w:tcPr>
          <w:p>
            <w:pPr>
              <w:pStyle w:val="869"/>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861" w:type="dxa"/>
            <w:vAlign w:val="center"/>
            <w:textDirection w:val="lrTb"/>
            <w:noWrap w:val="false"/>
          </w:tcPr>
          <w:p>
            <w:pPr>
              <w:pStyle w:val="869"/>
              <w:jc w:val="center"/>
              <w:spacing w:before="68" w:line="264" w:lineRule="auto"/>
              <w:rPr>
                <w:rFonts w:hint="eastAsia" w:ascii="宋体" w:hAnsi="宋体" w:cs="宋体"/>
                <w:color w:val="000000"/>
                <w:spacing w:val="-6"/>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pacing w:val="-6"/>
                <w:highlight w:val="none"/>
              </w:rPr>
            </w:r>
            <w:r/>
          </w:p>
        </w:tc>
      </w:tr>
      <w:tr>
        <w:trPr>
          <w:trHeight w:val="895"/>
        </w:trPr>
        <w:tc>
          <w:tcPr>
            <w:tcW w:w="519" w:type="dxa"/>
            <w:vAlign w:val="center"/>
            <w:textDirection w:val="lrTb"/>
            <w:noWrap w:val="false"/>
          </w:tcPr>
          <w:p>
            <w:pPr>
              <w:pStyle w:val="869"/>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2.5</w:t>
            </w:r>
            <w:r>
              <w:rPr>
                <w:rFonts w:ascii="宋体" w:hAnsi="宋体" w:cs="宋体"/>
                <w:color w:val="000000"/>
                <w:spacing w:val="-2"/>
                <w:highlight w:val="none"/>
              </w:rPr>
            </w:r>
            <w:r/>
          </w:p>
        </w:tc>
        <w:tc>
          <w:tcPr>
            <w:tcW w:w="1472" w:type="dxa"/>
            <w:vAlign w:val="center"/>
            <w:textDirection w:val="lrTb"/>
            <w:noWrap w:val="false"/>
          </w:tcPr>
          <w:p>
            <w:pPr>
              <w:pStyle w:val="869"/>
              <w:jc w:val="left"/>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项目培训方案</w:t>
            </w:r>
            <w:r>
              <w:rPr>
                <w:rFonts w:hint="eastAsia" w:ascii="宋体" w:hAnsi="宋体" w:cs="宋体"/>
                <w:color w:val="000000"/>
                <w:spacing w:val="-2"/>
                <w:highlight w:val="none"/>
              </w:rPr>
            </w:r>
            <w:r/>
          </w:p>
        </w:tc>
        <w:tc>
          <w:tcPr>
            <w:tcW w:w="6332" w:type="dxa"/>
            <w:vAlign w:val="center"/>
            <w:textDirection w:val="lrTb"/>
            <w:noWrap w:val="false"/>
          </w:tcPr>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根据采购需求及相关要求编制项目培训方案，内容包含：1.培训对象及培训计划、2.培训内容设计、3.培训方式及师资安排、4.实际操作及应急演练、5.培训考核及成果交付。结合医院现状和本项目采购内容,以上每项内容逐条阐述。</w:t>
            </w:r>
            <w:r>
              <w:rPr>
                <w:rFonts w:hint="eastAsia" w:ascii="宋体" w:hAnsi="宋体" w:eastAsia="宋体" w:cs="宋体"/>
                <w:color w:val="000000"/>
                <w:highlight w:val="none"/>
                <w:lang w:val="en-US" w:eastAsia="zh-CN"/>
              </w:rPr>
            </w:r>
            <w:r/>
          </w:p>
          <w:p>
            <w:pPr>
              <w:pStyle w:val="869"/>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方案内容完整、科学合理，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861" w:type="dxa"/>
            <w:vAlign w:val="center"/>
            <w:textDirection w:val="lrTb"/>
            <w:noWrap w:val="false"/>
          </w:tcPr>
          <w:p>
            <w:pPr>
              <w:pStyle w:val="869"/>
              <w:jc w:val="center"/>
              <w:spacing w:before="68" w:line="264" w:lineRule="auto"/>
              <w:rPr>
                <w:rFonts w:hint="eastAsia" w:ascii="宋体" w:hAnsi="宋体" w:cs="宋体"/>
                <w:color w:val="000000"/>
                <w:spacing w:val="-6"/>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pacing w:val="-6"/>
                <w:highlight w:val="none"/>
              </w:rPr>
            </w:r>
            <w:r/>
          </w:p>
        </w:tc>
      </w:tr>
      <w:tr>
        <w:trPr>
          <w:trHeight w:val="895"/>
        </w:trPr>
        <w:tc>
          <w:tcPr>
            <w:tcW w:w="519" w:type="dxa"/>
            <w:vAlign w:val="center"/>
            <w:textDirection w:val="lrTb"/>
            <w:noWrap w:val="false"/>
          </w:tcPr>
          <w:p>
            <w:pPr>
              <w:pStyle w:val="869"/>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2.6</w:t>
            </w:r>
            <w:r>
              <w:rPr>
                <w:rFonts w:ascii="宋体" w:hAnsi="宋体" w:cs="宋体"/>
                <w:color w:val="000000"/>
                <w:spacing w:val="-2"/>
                <w:highlight w:val="none"/>
              </w:rPr>
            </w:r>
            <w:r/>
          </w:p>
        </w:tc>
        <w:tc>
          <w:tcPr>
            <w:tcW w:w="1472" w:type="dxa"/>
            <w:vAlign w:val="center"/>
            <w:textDirection w:val="lrTb"/>
            <w:noWrap w:val="false"/>
          </w:tcPr>
          <w:p>
            <w:pPr>
              <w:pStyle w:val="869"/>
              <w:jc w:val="left"/>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售后服务方案</w:t>
            </w:r>
            <w:r>
              <w:rPr>
                <w:rFonts w:hint="eastAsia" w:ascii="宋体" w:hAnsi="宋体" w:cs="宋体"/>
                <w:color w:val="000000"/>
                <w:spacing w:val="-2"/>
                <w:highlight w:val="none"/>
              </w:rPr>
            </w:r>
            <w:r/>
          </w:p>
        </w:tc>
        <w:tc>
          <w:tcPr>
            <w:tcW w:w="6332" w:type="dxa"/>
            <w:vAlign w:val="center"/>
            <w:textDirection w:val="lrTb"/>
            <w:noWrap w:val="false"/>
          </w:tcPr>
          <w:p>
            <w:pPr>
              <w:pStyle w:val="869"/>
              <w:spacing w:line="264"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根据采购需求及相关要求编制售后服务方案，内容包含：1.售后服务组织、2.服务响应及故障处理、3.日常运维及巡检服务、4.应急及业务连续性保障、5.服务报告及安全保密。结合医院现状和本项目采购内容,以上每项内容逐条阐述</w:t>
            </w:r>
            <w:r>
              <w:rPr>
                <w:rFonts w:hint="eastAsia" w:ascii="宋体" w:hAnsi="宋体" w:eastAsia="宋体" w:cs="宋体"/>
                <w:color w:val="000000"/>
                <w:highlight w:val="none"/>
                <w:lang w:val="en-US" w:eastAsia="zh-CN"/>
              </w:rPr>
              <w:t xml:space="preserve">。</w:t>
            </w:r>
            <w:r/>
          </w:p>
          <w:p>
            <w:pPr>
              <w:pStyle w:val="869"/>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方案内容完整、科学合理，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861" w:type="dxa"/>
            <w:vAlign w:val="center"/>
            <w:textDirection w:val="lrTb"/>
            <w:noWrap w:val="false"/>
          </w:tcPr>
          <w:p>
            <w:pPr>
              <w:pStyle w:val="869"/>
              <w:jc w:val="center"/>
              <w:spacing w:before="68" w:line="264" w:lineRule="auto"/>
              <w:rPr>
                <w:rFonts w:hint="eastAsia" w:ascii="宋体" w:hAnsi="宋体" w:cs="宋体"/>
                <w:color w:val="000000"/>
                <w:spacing w:val="-6"/>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pacing w:val="-6"/>
                <w:highlight w:val="none"/>
              </w:rPr>
            </w:r>
            <w:r/>
          </w:p>
        </w:tc>
      </w:tr>
      <w:tr>
        <w:trPr>
          <w:trHeight w:val="460"/>
        </w:trPr>
        <w:tc>
          <w:tcPr>
            <w:gridSpan w:val="5"/>
            <w:tcW w:w="9757" w:type="dxa"/>
            <w:vAlign w:val="center"/>
            <w:textDirection w:val="lrTb"/>
            <w:noWrap w:val="false"/>
          </w:tcPr>
          <w:p>
            <w:pPr>
              <w:pStyle w:val="869"/>
              <w:spacing w:line="264" w:lineRule="auto"/>
              <w:rPr>
                <w:rFonts w:ascii="宋体" w:hAnsi="宋体" w:cs="宋体"/>
                <w:color w:val="000000"/>
                <w:highlight w:val="none"/>
              </w:rPr>
            </w:pPr>
            <w:r>
              <w:rPr>
                <w:rFonts w:hint="eastAsia" w:ascii="宋体" w:hAnsi="宋体" w:cs="宋体"/>
                <w:b/>
                <w:bCs/>
                <w:color w:val="000000"/>
                <w:spacing w:val="-3"/>
                <w:highlight w:val="none"/>
              </w:rPr>
              <w:t xml:space="preserve">3.业绩</w:t>
            </w:r>
            <w:r>
              <w:rPr>
                <w:rFonts w:ascii="宋体" w:hAnsi="宋体" w:cs="宋体"/>
                <w:color w:val="000000"/>
                <w:highlight w:val="none"/>
              </w:rPr>
            </w:r>
            <w:r/>
          </w:p>
        </w:tc>
      </w:tr>
      <w:tr>
        <w:trPr>
          <w:trHeight w:val="1019"/>
        </w:trPr>
        <w:tc>
          <w:tcPr>
            <w:tcW w:w="519" w:type="dxa"/>
            <w:vAlign w:val="center"/>
            <w:textDirection w:val="lrTb"/>
            <w:noWrap w:val="false"/>
          </w:tcPr>
          <w:p>
            <w:pPr>
              <w:pStyle w:val="869"/>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3.1</w:t>
            </w:r>
            <w:r>
              <w:rPr>
                <w:rFonts w:ascii="宋体" w:hAnsi="宋体" w:cs="宋体"/>
                <w:color w:val="000000"/>
                <w:spacing w:val="-2"/>
                <w:highlight w:val="none"/>
              </w:rPr>
            </w:r>
            <w:r/>
          </w:p>
        </w:tc>
        <w:tc>
          <w:tcPr>
            <w:tcW w:w="1472" w:type="dxa"/>
            <w:vAlign w:val="center"/>
            <w:textDirection w:val="lrTb"/>
            <w:noWrap w:val="false"/>
          </w:tcPr>
          <w:p>
            <w:pPr>
              <w:pStyle w:val="869"/>
              <w:spacing w:before="69" w:line="264" w:lineRule="auto"/>
              <w:rPr>
                <w:rFonts w:ascii="宋体" w:hAnsi="宋体" w:cs="宋体"/>
                <w:color w:val="000000"/>
                <w:spacing w:val="-2"/>
                <w:highlight w:val="none"/>
              </w:rPr>
            </w:pPr>
            <w:r>
              <w:rPr>
                <w:rFonts w:hint="eastAsia" w:ascii="宋体" w:hAnsi="宋体" w:cs="宋体"/>
                <w:color w:val="000000"/>
                <w:spacing w:val="-1"/>
                <w:highlight w:val="none"/>
              </w:rPr>
              <w:t xml:space="preserve">投标人业绩</w:t>
            </w:r>
            <w:r>
              <w:rPr>
                <w:rFonts w:ascii="宋体" w:hAnsi="宋体" w:cs="宋体"/>
                <w:color w:val="000000"/>
                <w:spacing w:val="-2"/>
                <w:highlight w:val="none"/>
              </w:rPr>
            </w:r>
            <w:r/>
          </w:p>
        </w:tc>
        <w:tc>
          <w:tcPr>
            <w:tcW w:w="6332" w:type="dxa"/>
            <w:vAlign w:val="center"/>
            <w:textDirection w:val="lrTb"/>
            <w:noWrap w:val="false"/>
          </w:tcPr>
          <w:p>
            <w:pPr>
              <w:pStyle w:val="869"/>
              <w:spacing w:line="264" w:lineRule="auto"/>
              <w:rPr>
                <w:rFonts w:ascii="宋体" w:hAnsi="宋体" w:cs="宋体"/>
                <w:color w:val="000000"/>
                <w:highlight w:val="none"/>
              </w:rPr>
            </w:pPr>
            <w:r>
              <w:rPr>
                <w:rFonts w:hint="eastAsia" w:ascii="宋体" w:hAnsi="宋体" w:cs="宋体"/>
                <w:color w:val="000000"/>
                <w:highlight w:val="none"/>
              </w:rPr>
              <w:t xml:space="preserve">投标人提供2023年1月1日（含）以来的类似算力服务或安全服务项目业绩，每提供1个得2分，最多得6分。（提供合同，时间以合同签订时间为准，合同页须清晰可见相应内容）</w:t>
            </w:r>
            <w:r>
              <w:rPr>
                <w:rFonts w:ascii="宋体" w:hAnsi="宋体" w:cs="宋体"/>
                <w:color w:val="000000"/>
                <w:highlight w:val="none"/>
              </w:rPr>
            </w:r>
            <w:r/>
          </w:p>
        </w:tc>
        <w:tc>
          <w:tcPr>
            <w:tcW w:w="573" w:type="dxa"/>
            <w:vAlign w:val="center"/>
            <w:textDirection w:val="lrTb"/>
            <w:noWrap w:val="false"/>
          </w:tcPr>
          <w:p>
            <w:pPr>
              <w:pStyle w:val="869"/>
              <w:jc w:val="center"/>
              <w:spacing w:line="264"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861" w:type="dxa"/>
            <w:vAlign w:val="center"/>
            <w:textDirection w:val="lrTb"/>
            <w:noWrap w:val="false"/>
          </w:tcPr>
          <w:p>
            <w:pPr>
              <w:pStyle w:val="869"/>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hint="eastAsia" w:ascii="宋体" w:hAnsi="宋体" w:cs="宋体"/>
                <w:color w:val="000000"/>
                <w:highlight w:val="none"/>
              </w:rPr>
            </w:r>
            <w:r/>
          </w:p>
        </w:tc>
      </w:tr>
      <w:tr>
        <w:trPr>
          <w:trHeight w:val="427"/>
        </w:trPr>
        <w:tc>
          <w:tcPr>
            <w:gridSpan w:val="5"/>
            <w:tcW w:w="9757" w:type="dxa"/>
            <w:vAlign w:val="top"/>
            <w:textDirection w:val="lrTb"/>
            <w:noWrap w:val="false"/>
          </w:tcPr>
          <w:p>
            <w:pPr>
              <w:pStyle w:val="869"/>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4.履约能力</w:t>
            </w:r>
            <w:r>
              <w:rPr>
                <w:rFonts w:ascii="宋体" w:hAnsi="宋体" w:cs="宋体"/>
                <w:color w:val="000000"/>
                <w:highlight w:val="none"/>
              </w:rPr>
            </w:r>
            <w:r/>
          </w:p>
        </w:tc>
      </w:tr>
      <w:tr>
        <w:trPr>
          <w:trHeight w:val="672"/>
        </w:trPr>
        <w:tc>
          <w:tcPr>
            <w:tcW w:w="519" w:type="dxa"/>
            <w:vAlign w:val="center"/>
            <w:textDirection w:val="lrTb"/>
            <w:noWrap w:val="false"/>
          </w:tcPr>
          <w:p>
            <w:pPr>
              <w:pStyle w:val="869"/>
              <w:jc w:val="center"/>
              <w:spacing w:before="0" w:line="240" w:lineRule="auto"/>
              <w:rPr>
                <w:rFonts w:hint="eastAsia" w:ascii="宋体" w:hAnsi="宋体" w:eastAsia="宋体" w:cs="宋体"/>
                <w:color w:val="000000"/>
                <w:spacing w:val="0"/>
                <w:highlight w:val="none"/>
                <w:lang w:bidi="ar"/>
              </w:rPr>
            </w:pPr>
            <w:r>
              <w:rPr>
                <w:rFonts w:hint="eastAsia" w:ascii="宋体" w:hAnsi="宋体" w:eastAsia="宋体" w:cs="宋体"/>
                <w:color w:val="000000"/>
                <w:spacing w:val="0"/>
                <w:highlight w:val="none"/>
                <w:lang w:bidi="ar"/>
              </w:rPr>
              <w:t xml:space="preserve">4.1</w:t>
            </w:r>
            <w:r>
              <w:rPr>
                <w:rFonts w:hint="eastAsia" w:ascii="宋体" w:hAnsi="宋体" w:eastAsia="宋体" w:cs="宋体"/>
                <w:color w:val="000000"/>
                <w:spacing w:val="0"/>
                <w:highlight w:val="none"/>
                <w:lang w:bidi="ar"/>
              </w:rPr>
            </w:r>
            <w:r/>
          </w:p>
        </w:tc>
        <w:tc>
          <w:tcPr>
            <w:tcW w:w="1472" w:type="dxa"/>
            <w:vAlign w:val="center"/>
            <w:textDirection w:val="lrTb"/>
            <w:noWrap w:val="false"/>
          </w:tcPr>
          <w:p>
            <w:pPr>
              <w:pStyle w:val="869"/>
              <w:jc w:val="center"/>
              <w:spacing w:before="0" w:line="240" w:lineRule="auto"/>
              <w:rPr>
                <w:rFonts w:hint="eastAsia" w:ascii="宋体" w:hAnsi="宋体" w:eastAsia="宋体" w:cs="宋体"/>
                <w:color w:val="000000"/>
                <w:spacing w:val="0"/>
                <w:highlight w:val="none"/>
                <w:lang w:bidi="ar"/>
              </w:rPr>
            </w:pPr>
            <w:r>
              <w:rPr>
                <w:rFonts w:hint="eastAsia" w:ascii="宋体" w:hAnsi="宋体" w:eastAsia="宋体" w:cs="宋体"/>
                <w:color w:val="000000"/>
                <w:spacing w:val="0"/>
                <w:highlight w:val="none"/>
                <w:lang w:bidi="ar"/>
              </w:rPr>
              <w:t xml:space="preserve">履约能力1</w:t>
            </w:r>
            <w:r>
              <w:rPr>
                <w:rFonts w:hint="eastAsia" w:ascii="宋体" w:hAnsi="宋体" w:eastAsia="宋体" w:cs="宋体"/>
                <w:color w:val="000000"/>
                <w:spacing w:val="0"/>
                <w:highlight w:val="none"/>
                <w:lang w:bidi="ar"/>
              </w:rPr>
            </w:r>
            <w:r/>
          </w:p>
        </w:tc>
        <w:tc>
          <w:tcPr>
            <w:tcW w:w="6332" w:type="dxa"/>
            <w:vAlign w:val="center"/>
            <w:textDirection w:val="lrTb"/>
            <w:noWrap w:val="false"/>
          </w:tcPr>
          <w:p>
            <w:pPr>
              <w:pStyle w:val="869"/>
              <w:spacing w:line="264" w:lineRule="auto"/>
              <w:rPr>
                <w:rFonts w:hint="eastAsia" w:ascii="宋体" w:hAnsi="宋体" w:cs="宋体"/>
                <w:color w:val="000000"/>
                <w:highlight w:val="none"/>
                <w:lang w:eastAsia="zh-CN"/>
              </w:rPr>
            </w:pPr>
            <w:r>
              <w:rPr>
                <w:rFonts w:hint="eastAsia" w:ascii="宋体" w:hAnsi="宋体" w:cs="宋体"/>
                <w:color w:val="000000"/>
                <w:highlight w:val="none"/>
              </w:rPr>
              <w:t xml:space="preserve">投标人拟投入本项目的项目经理需要具备</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869"/>
              <w:spacing w:line="264" w:lineRule="auto"/>
              <w:rPr>
                <w:rFonts w:hint="eastAsia" w:ascii="宋体" w:hAnsi="宋体" w:cs="宋体"/>
                <w:color w:val="000000"/>
                <w:highlight w:val="none"/>
              </w:rPr>
            </w:pPr>
            <w:r>
              <w:rPr>
                <w:rFonts w:hint="eastAsia" w:ascii="宋体" w:hAnsi="宋体" w:cs="宋体"/>
                <w:color w:val="000000"/>
                <w:highlight w:val="none"/>
              </w:rPr>
              <w:t xml:space="preserve">人社部门</w:t>
            </w:r>
            <w:r>
              <w:rPr>
                <w:rFonts w:hint="eastAsia" w:ascii="宋体" w:hAnsi="宋体" w:cs="宋体"/>
                <w:color w:val="000000"/>
                <w:highlight w:val="none"/>
                <w:lang w:eastAsia="zh-CN"/>
              </w:rPr>
              <w:t xml:space="preserve">颁发</w:t>
            </w:r>
            <w:r>
              <w:rPr>
                <w:rFonts w:hint="eastAsia" w:ascii="宋体" w:hAnsi="宋体" w:cs="宋体"/>
                <w:color w:val="000000"/>
                <w:highlight w:val="none"/>
                <w:lang w:val="en-US" w:eastAsia="zh-CN"/>
              </w:rPr>
              <w:t xml:space="preserve">的</w:t>
            </w:r>
            <w:r>
              <w:rPr>
                <w:rFonts w:hint="eastAsia" w:ascii="宋体" w:hAnsi="宋体" w:cs="宋体"/>
                <w:color w:val="000000"/>
                <w:highlight w:val="none"/>
              </w:rPr>
              <w:t xml:space="preserve">高级工程师</w:t>
            </w:r>
            <w:r>
              <w:rPr>
                <w:rFonts w:hint="eastAsia" w:ascii="宋体" w:hAnsi="宋体" w:cs="宋体"/>
                <w:color w:val="000000"/>
                <w:highlight w:val="none"/>
                <w:lang w:val="en-US" w:eastAsia="zh-CN"/>
              </w:rPr>
              <w:t xml:space="preserve">证书</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9"/>
              <w:spacing w:line="264" w:lineRule="auto"/>
              <w:rPr>
                <w:rFonts w:hint="eastAsia" w:ascii="宋体" w:hAnsi="宋体" w:cs="宋体"/>
                <w:color w:val="000000"/>
                <w:highlight w:val="none"/>
              </w:rPr>
            </w:pPr>
            <w:r>
              <w:rPr>
                <w:rFonts w:hint="eastAsia" w:ascii="宋体" w:hAnsi="宋体" w:cs="宋体"/>
                <w:color w:val="000000"/>
                <w:highlight w:val="none"/>
              </w:rPr>
              <w:t xml:space="preserve">工信部门和人社部门</w:t>
            </w:r>
            <w:r>
              <w:rPr>
                <w:rFonts w:hint="eastAsia" w:ascii="宋体" w:hAnsi="宋体" w:cs="宋体"/>
                <w:color w:val="000000"/>
                <w:highlight w:val="none"/>
                <w:lang w:eastAsia="zh-CN"/>
              </w:rPr>
              <w:t xml:space="preserve">颁发的</w:t>
            </w:r>
            <w:r>
              <w:rPr>
                <w:rFonts w:hint="eastAsia" w:ascii="宋体" w:hAnsi="宋体" w:cs="宋体"/>
                <w:color w:val="000000"/>
                <w:highlight w:val="none"/>
              </w:rPr>
              <w:t xml:space="preserve">信息系统项目管理师</w:t>
            </w:r>
            <w:r>
              <w:rPr>
                <w:rFonts w:hint="eastAsia" w:ascii="宋体" w:hAnsi="宋体" w:cs="宋体"/>
                <w:color w:val="000000"/>
                <w:highlight w:val="none"/>
                <w:lang w:val="en-US" w:eastAsia="zh-CN"/>
              </w:rPr>
              <w:t xml:space="preserve">证书</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9"/>
              <w:spacing w:line="264" w:lineRule="auto"/>
              <w:rPr>
                <w:rFonts w:hint="eastAsia" w:ascii="宋体" w:hAnsi="宋体" w:cs="宋体"/>
                <w:color w:val="000000"/>
                <w:highlight w:val="none"/>
              </w:rPr>
            </w:pPr>
            <w:r>
              <w:rPr>
                <w:rFonts w:hint="eastAsia" w:ascii="宋体" w:hAnsi="宋体" w:cs="宋体"/>
                <w:color w:val="000000"/>
                <w:highlight w:val="none"/>
              </w:rPr>
              <w:t xml:space="preserve">中国信息安全测评中心</w:t>
            </w:r>
            <w:r>
              <w:rPr>
                <w:rFonts w:hint="eastAsia" w:ascii="宋体" w:hAnsi="宋体" w:cs="宋体"/>
                <w:color w:val="000000"/>
                <w:highlight w:val="none"/>
                <w:lang w:eastAsia="zh-CN"/>
              </w:rPr>
              <w:t xml:space="preserve">颁发的</w:t>
            </w:r>
            <w:r>
              <w:rPr>
                <w:rFonts w:hint="eastAsia" w:ascii="宋体" w:hAnsi="宋体" w:cs="宋体"/>
                <w:color w:val="000000"/>
                <w:highlight w:val="none"/>
              </w:rPr>
              <w:t xml:space="preserve">注册信息安全管理人员CISO</w:t>
            </w:r>
            <w:r>
              <w:rPr>
                <w:rFonts w:hint="eastAsia" w:ascii="宋体" w:hAnsi="宋体" w:cs="宋体"/>
                <w:color w:val="000000"/>
                <w:highlight w:val="none"/>
                <w:lang w:val="en-US" w:eastAsia="zh-CN"/>
              </w:rPr>
              <w:t xml:space="preserve">证书</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9"/>
              <w:spacing w:line="264" w:lineRule="auto"/>
              <w:rPr>
                <w:rFonts w:hint="eastAsia" w:ascii="宋体" w:hAnsi="宋体" w:cs="宋体"/>
                <w:color w:val="000000"/>
                <w:highlight w:val="none"/>
              </w:rPr>
            </w:pPr>
            <w:r>
              <w:rPr>
                <w:rFonts w:hint="eastAsia" w:ascii="宋体" w:hAnsi="宋体" w:cs="宋体"/>
                <w:color w:val="000000"/>
                <w:highlight w:val="none"/>
              </w:rPr>
              <w:t xml:space="preserve">中国电子技术标准化研究院</w:t>
            </w:r>
            <w:r>
              <w:rPr>
                <w:rFonts w:hint="eastAsia" w:ascii="宋体" w:hAnsi="宋体" w:cs="宋体"/>
                <w:color w:val="000000"/>
                <w:highlight w:val="none"/>
                <w:lang w:eastAsia="zh-CN"/>
              </w:rPr>
              <w:t xml:space="preserve">颁发的</w:t>
            </w:r>
            <w:r>
              <w:rPr>
                <w:rFonts w:hint="eastAsia" w:ascii="宋体" w:hAnsi="宋体" w:cs="宋体"/>
                <w:color w:val="000000"/>
                <w:highlight w:val="none"/>
              </w:rPr>
              <w:t xml:space="preserve">ITSS-IT服务项目经理证书、</w:t>
            </w:r>
            <w:r>
              <w:rPr>
                <w:rFonts w:hint="eastAsia" w:ascii="宋体" w:hAnsi="宋体" w:cs="宋体"/>
                <w:color w:val="000000"/>
                <w:highlight w:val="none"/>
              </w:rPr>
            </w:r>
            <w:r/>
          </w:p>
          <w:p>
            <w:pPr>
              <w:pStyle w:val="869"/>
              <w:spacing w:line="264" w:lineRule="auto"/>
              <w:rPr>
                <w:rFonts w:hint="eastAsia" w:ascii="宋体" w:hAnsi="宋体" w:cs="宋体"/>
                <w:color w:val="000000"/>
                <w:highlight w:val="none"/>
              </w:rPr>
            </w:pPr>
            <w:r>
              <w:rPr>
                <w:rFonts w:hint="eastAsia" w:ascii="宋体" w:hAnsi="宋体" w:cs="宋体"/>
                <w:color w:val="000000"/>
                <w:highlight w:val="none"/>
              </w:rPr>
              <w:t xml:space="preserve">中国网络安全审查认证和市场监管大数据中心发放的CISAW信息安全保障人员（应急服务）专业级</w:t>
            </w:r>
            <w:r>
              <w:rPr>
                <w:rFonts w:hint="eastAsia" w:ascii="宋体" w:hAnsi="宋体" w:cs="宋体"/>
                <w:color w:val="000000"/>
                <w:highlight w:val="none"/>
                <w:lang w:val="en-US" w:eastAsia="zh-CN"/>
              </w:rPr>
              <w:t xml:space="preserve">证书</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9"/>
              <w:spacing w:line="264" w:lineRule="auto"/>
              <w:rPr>
                <w:rFonts w:hint="eastAsia" w:ascii="宋体" w:hAnsi="宋体" w:cs="宋体"/>
                <w:color w:val="000000"/>
                <w:highlight w:val="none"/>
              </w:rPr>
            </w:pPr>
            <w:r>
              <w:rPr>
                <w:rFonts w:hint="eastAsia" w:ascii="宋体" w:hAnsi="宋体" w:cs="宋体"/>
                <w:color w:val="000000"/>
                <w:highlight w:val="none"/>
              </w:rPr>
              <w:t xml:space="preserve">每提供1种证书得1分，最多得5分。（提供证书扫描件及投标人为其缴纳的2026年1月以来任意一个月的社保证明材料，证明材料缺项或未提供的不得分。）</w:t>
            </w:r>
            <w:r>
              <w:rPr>
                <w:rFonts w:hint="eastAsia" w:ascii="宋体" w:hAnsi="宋体" w:cs="宋体"/>
                <w:color w:val="000000"/>
                <w:highlight w:val="none"/>
              </w:rPr>
            </w:r>
            <w:r/>
          </w:p>
        </w:tc>
        <w:tc>
          <w:tcPr>
            <w:tcW w:w="573" w:type="dxa"/>
            <w:vAlign w:val="center"/>
            <w:textDirection w:val="lrTb"/>
            <w:noWrap w:val="false"/>
          </w:tcPr>
          <w:p>
            <w:pPr>
              <w:pStyle w:val="869"/>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861" w:type="dxa"/>
            <w:vAlign w:val="center"/>
            <w:textDirection w:val="lrTb"/>
            <w:noWrap w:val="false"/>
          </w:tcPr>
          <w:p>
            <w:pPr>
              <w:pStyle w:val="869"/>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672"/>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4.2</w:t>
            </w:r>
            <w:r>
              <w:rPr>
                <w:rFonts w:hint="eastAsia" w:ascii="宋体" w:hAnsi="宋体" w:cs="宋体"/>
                <w:color w:val="000000"/>
                <w:spacing w:val="-2"/>
                <w:highlight w:val="none"/>
              </w:rPr>
            </w:r>
            <w:r/>
          </w:p>
        </w:tc>
        <w:tc>
          <w:tcPr>
            <w:tcW w:w="1472" w:type="dxa"/>
            <w:vAlign w:val="center"/>
            <w:textDirection w:val="lrTb"/>
            <w:noWrap w:val="false"/>
          </w:tcPr>
          <w:p>
            <w:pPr>
              <w:pStyle w:val="869"/>
              <w:jc w:val="center"/>
              <w:rPr>
                <w:rFonts w:ascii="宋体" w:hAnsi="宋体" w:cs="宋体"/>
                <w:color w:val="000000"/>
                <w:highlight w:val="none"/>
                <w:lang w:bidi="ar"/>
              </w:rPr>
            </w:pPr>
            <w:r>
              <w:rPr>
                <w:rFonts w:hint="eastAsia" w:ascii="宋体" w:hAnsi="宋体" w:cs="宋体"/>
                <w:color w:val="000000"/>
                <w:highlight w:val="none"/>
                <w:lang w:bidi="ar"/>
              </w:rPr>
              <w:t xml:space="preserve">履约能力2</w:t>
            </w:r>
            <w:r>
              <w:rPr>
                <w:rFonts w:ascii="宋体" w:hAnsi="宋体" w:cs="宋体"/>
                <w:color w:val="000000"/>
                <w:highlight w:val="none"/>
                <w:lang w:bidi="ar"/>
              </w:rPr>
            </w:r>
            <w:r/>
          </w:p>
        </w:tc>
        <w:tc>
          <w:tcPr>
            <w:tcW w:w="6332" w:type="dxa"/>
            <w:vAlign w:val="center"/>
            <w:textDirection w:val="lrTb"/>
            <w:noWrap w:val="false"/>
          </w:tcPr>
          <w:p>
            <w:pPr>
              <w:pStyle w:val="869"/>
              <w:rPr>
                <w:rFonts w:hint="eastAsia" w:ascii="宋体" w:hAnsi="宋体" w:cs="宋体"/>
                <w:color w:val="000000"/>
                <w:highlight w:val="none"/>
                <w:lang w:eastAsia="zh-CN"/>
              </w:rPr>
            </w:pPr>
            <w:r>
              <w:rPr>
                <w:rFonts w:hint="eastAsia" w:ascii="宋体" w:hAnsi="宋体" w:cs="宋体"/>
                <w:color w:val="000000"/>
                <w:highlight w:val="none"/>
              </w:rPr>
              <w:t xml:space="preserve">投标人拟投入本项目的项目技术负责人具备</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869"/>
              <w:rPr>
                <w:rFonts w:hint="eastAsia" w:ascii="宋体" w:hAnsi="宋体" w:cs="宋体"/>
                <w:color w:val="000000"/>
                <w:highlight w:val="none"/>
              </w:rPr>
            </w:pPr>
            <w:r>
              <w:rPr>
                <w:rFonts w:hint="eastAsia" w:ascii="宋体" w:hAnsi="宋体" w:cs="宋体"/>
                <w:color w:val="000000"/>
                <w:highlight w:val="none"/>
              </w:rPr>
              <w:t xml:space="preserve">工信部门和人社部门</w:t>
            </w:r>
            <w:r>
              <w:rPr>
                <w:rFonts w:hint="eastAsia" w:ascii="宋体" w:hAnsi="宋体" w:cs="宋体"/>
                <w:color w:val="000000"/>
                <w:highlight w:val="none"/>
                <w:lang w:eastAsia="zh-CN"/>
              </w:rPr>
              <w:t xml:space="preserve">颁发的</w:t>
            </w:r>
            <w:r>
              <w:rPr>
                <w:rFonts w:hint="eastAsia" w:ascii="宋体" w:hAnsi="宋体" w:cs="宋体"/>
                <w:color w:val="000000"/>
                <w:highlight w:val="none"/>
              </w:rPr>
              <w:t xml:space="preserve">通信工程师</w:t>
            </w:r>
            <w:r>
              <w:rPr>
                <w:rFonts w:hint="eastAsia" w:ascii="宋体" w:hAnsi="宋体" w:cs="宋体"/>
                <w:color w:val="000000"/>
                <w:highlight w:val="none"/>
                <w:lang w:val="en-US" w:eastAsia="zh-CN"/>
              </w:rPr>
              <w:t xml:space="preserve">证书</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9"/>
              <w:rPr>
                <w:rFonts w:hint="eastAsia" w:ascii="宋体" w:hAnsi="宋体" w:cs="宋体"/>
                <w:color w:val="000000"/>
                <w:highlight w:val="none"/>
              </w:rPr>
            </w:pPr>
            <w:r>
              <w:rPr>
                <w:rFonts w:hint="eastAsia" w:ascii="宋体" w:hAnsi="宋体" w:cs="宋体"/>
                <w:color w:val="000000"/>
                <w:highlight w:val="none"/>
              </w:rPr>
              <w:t xml:space="preserve">工信部门和人社部门</w:t>
            </w:r>
            <w:r>
              <w:rPr>
                <w:rFonts w:hint="eastAsia" w:ascii="宋体" w:hAnsi="宋体" w:cs="宋体"/>
                <w:color w:val="000000"/>
                <w:highlight w:val="none"/>
                <w:lang w:eastAsia="zh-CN"/>
              </w:rPr>
              <w:t xml:space="preserve">颁发的</w:t>
            </w:r>
            <w:r>
              <w:rPr>
                <w:rFonts w:hint="eastAsia" w:ascii="宋体" w:hAnsi="宋体" w:cs="宋体"/>
                <w:color w:val="000000"/>
                <w:highlight w:val="none"/>
              </w:rPr>
              <w:t xml:space="preserve">网络工程师证书、</w:t>
            </w:r>
            <w:r>
              <w:rPr>
                <w:rFonts w:hint="eastAsia" w:ascii="宋体" w:hAnsi="宋体" w:cs="宋体"/>
                <w:color w:val="000000"/>
                <w:highlight w:val="none"/>
              </w:rPr>
            </w:r>
            <w:r/>
          </w:p>
          <w:p>
            <w:pPr>
              <w:pStyle w:val="869"/>
              <w:rPr>
                <w:rFonts w:hint="eastAsia" w:ascii="宋体" w:hAnsi="宋体" w:cs="宋体"/>
                <w:color w:val="000000"/>
                <w:highlight w:val="none"/>
              </w:rPr>
            </w:pPr>
            <w:r>
              <w:rPr>
                <w:rFonts w:hint="eastAsia" w:ascii="宋体" w:hAnsi="宋体" w:cs="宋体"/>
                <w:color w:val="000000"/>
                <w:highlight w:val="none"/>
              </w:rPr>
              <w:t xml:space="preserve">工信部门和人社部门</w:t>
            </w:r>
            <w:r>
              <w:rPr>
                <w:rFonts w:hint="eastAsia" w:ascii="宋体" w:hAnsi="宋体" w:cs="宋体"/>
                <w:color w:val="000000"/>
                <w:highlight w:val="none"/>
                <w:lang w:eastAsia="zh-CN"/>
              </w:rPr>
              <w:t xml:space="preserve">颁发的</w:t>
            </w:r>
            <w:r>
              <w:rPr>
                <w:rFonts w:hint="eastAsia" w:ascii="宋体" w:hAnsi="宋体" w:cs="宋体"/>
                <w:color w:val="000000"/>
                <w:highlight w:val="none"/>
              </w:rPr>
              <w:t xml:space="preserve">信息系统项目管理师证书、</w:t>
            </w:r>
            <w:r>
              <w:rPr>
                <w:rFonts w:hint="eastAsia" w:ascii="宋体" w:hAnsi="宋体" w:cs="宋体"/>
                <w:color w:val="000000"/>
                <w:highlight w:val="none"/>
              </w:rPr>
            </w:r>
            <w:r/>
          </w:p>
          <w:p>
            <w:pPr>
              <w:pStyle w:val="869"/>
              <w:rPr>
                <w:rFonts w:hint="eastAsia" w:ascii="宋体" w:hAnsi="宋体" w:cs="宋体"/>
                <w:color w:val="000000"/>
                <w:highlight w:val="none"/>
              </w:rPr>
            </w:pPr>
            <w:r>
              <w:rPr>
                <w:rFonts w:hint="eastAsia" w:ascii="宋体" w:hAnsi="宋体" w:cs="宋体"/>
                <w:color w:val="000000"/>
                <w:highlight w:val="none"/>
              </w:rPr>
              <w:t xml:space="preserve">中国电子技术标准化研究院</w:t>
            </w:r>
            <w:r>
              <w:rPr>
                <w:rFonts w:hint="eastAsia" w:ascii="宋体" w:hAnsi="宋体" w:cs="宋体"/>
                <w:color w:val="000000"/>
                <w:highlight w:val="none"/>
                <w:lang w:eastAsia="zh-CN"/>
              </w:rPr>
              <w:t xml:space="preserve">颁发的</w:t>
            </w:r>
            <w:r>
              <w:rPr>
                <w:rFonts w:hint="eastAsia" w:ascii="宋体" w:hAnsi="宋体" w:cs="宋体"/>
                <w:color w:val="000000"/>
                <w:highlight w:val="none"/>
              </w:rPr>
              <w:t xml:space="preserve">ITSS-信息技术应用创新服务工程师证书、</w:t>
            </w:r>
            <w:r>
              <w:rPr>
                <w:rFonts w:hint="eastAsia" w:ascii="宋体" w:hAnsi="宋体" w:cs="宋体"/>
                <w:color w:val="000000"/>
                <w:highlight w:val="none"/>
              </w:rPr>
            </w:r>
            <w:r/>
          </w:p>
          <w:p>
            <w:pPr>
              <w:pStyle w:val="869"/>
              <w:rPr>
                <w:rFonts w:hint="eastAsia" w:ascii="宋体" w:hAnsi="宋体" w:cs="宋体"/>
                <w:color w:val="000000"/>
                <w:highlight w:val="none"/>
              </w:rPr>
            </w:pPr>
            <w:r>
              <w:rPr>
                <w:rFonts w:hint="eastAsia" w:ascii="宋体" w:hAnsi="宋体" w:cs="宋体"/>
                <w:color w:val="000000"/>
                <w:highlight w:val="none"/>
              </w:rPr>
              <w:t xml:space="preserve">中国电子技术标准化研究院</w:t>
            </w:r>
            <w:r>
              <w:rPr>
                <w:rFonts w:hint="eastAsia" w:ascii="宋体" w:hAnsi="宋体" w:cs="宋体"/>
                <w:color w:val="000000"/>
                <w:highlight w:val="none"/>
                <w:lang w:eastAsia="zh-CN"/>
              </w:rPr>
              <w:t xml:space="preserve">颁发的</w:t>
            </w:r>
            <w:r>
              <w:rPr>
                <w:rFonts w:hint="eastAsia" w:ascii="宋体" w:hAnsi="宋体" w:cs="宋体"/>
                <w:color w:val="000000"/>
                <w:highlight w:val="none"/>
              </w:rPr>
              <w:t xml:space="preserve">ITSS-IT服务工程师证书，</w:t>
            </w:r>
            <w:r>
              <w:rPr>
                <w:rFonts w:hint="eastAsia" w:ascii="宋体" w:hAnsi="宋体" w:cs="宋体"/>
                <w:color w:val="000000"/>
                <w:highlight w:val="none"/>
              </w:rPr>
            </w:r>
            <w:r/>
          </w:p>
          <w:p>
            <w:pPr>
              <w:pStyle w:val="869"/>
              <w:rPr>
                <w:rFonts w:ascii="宋体" w:hAnsi="宋体" w:cs="宋体"/>
                <w:color w:val="000000"/>
                <w:highlight w:val="none"/>
              </w:rPr>
            </w:pPr>
            <w:r>
              <w:rPr>
                <w:rFonts w:hint="eastAsia" w:ascii="宋体" w:hAnsi="宋体" w:cs="宋体"/>
                <w:color w:val="000000"/>
                <w:highlight w:val="none"/>
              </w:rPr>
              <w:t xml:space="preserve">每提供1种证书得1分，最多得5分。技术负责人与项目经理不得为同一人。</w:t>
            </w:r>
            <w:r>
              <w:rPr>
                <w:rFonts w:ascii="宋体" w:hAnsi="宋体" w:cs="宋体"/>
                <w:color w:val="000000"/>
                <w:highlight w:val="none"/>
              </w:rPr>
            </w:r>
            <w:r/>
          </w:p>
          <w:p>
            <w:pPr>
              <w:pStyle w:val="869"/>
              <w:rPr>
                <w:rFonts w:ascii="宋体" w:hAnsi="宋体" w:cs="宋体"/>
                <w:color w:val="000000"/>
                <w:highlight w:val="none"/>
              </w:rPr>
            </w:pPr>
            <w:r>
              <w:rPr>
                <w:rFonts w:hint="eastAsia" w:ascii="宋体" w:hAnsi="宋体" w:cs="宋体"/>
                <w:color w:val="000000"/>
                <w:highlight w:val="none"/>
              </w:rPr>
              <w:t xml:space="preserve">（提供项目技术负责人证书扫描件及投标人为其缴纳的2026年1月以来任意一个月的社保证明材料，证明材料缺项或未提供的不得分。）</w:t>
            </w:r>
            <w:r>
              <w:rPr>
                <w:rFonts w:ascii="宋体" w:hAnsi="宋体" w:cs="宋体"/>
                <w:color w:val="000000"/>
                <w:highlight w:val="none"/>
              </w:rPr>
            </w:r>
            <w:r/>
          </w:p>
        </w:tc>
        <w:tc>
          <w:tcPr>
            <w:tcW w:w="573" w:type="dxa"/>
            <w:vAlign w:val="center"/>
            <w:textDirection w:val="lrTb"/>
            <w:noWrap w:val="false"/>
          </w:tcPr>
          <w:p>
            <w:pPr>
              <w:pStyle w:val="869"/>
              <w:jc w:val="center"/>
              <w:rPr>
                <w:rFonts w:ascii="宋体" w:hAnsi="宋体" w:cs="宋体"/>
                <w:color w:val="000000"/>
                <w:highlight w:val="none"/>
                <w:lang w:bidi="ar"/>
              </w:rPr>
            </w:pPr>
            <w:r>
              <w:rPr>
                <w:rFonts w:hint="eastAsia" w:ascii="宋体" w:hAnsi="宋体" w:cs="宋体"/>
                <w:color w:val="000000"/>
                <w:highlight w:val="none"/>
                <w:lang w:bidi="ar"/>
              </w:rPr>
              <w:t xml:space="preserve">5</w:t>
            </w:r>
            <w:r>
              <w:rPr>
                <w:rFonts w:ascii="宋体" w:hAnsi="宋体" w:cs="宋体"/>
                <w:color w:val="000000"/>
                <w:highlight w:val="none"/>
                <w:lang w:bidi="ar"/>
              </w:rPr>
            </w:r>
            <w:r/>
          </w:p>
        </w:tc>
        <w:tc>
          <w:tcPr>
            <w:tcW w:w="861" w:type="dxa"/>
            <w:vAlign w:val="center"/>
            <w:textDirection w:val="lrTb"/>
            <w:noWrap w:val="false"/>
          </w:tcPr>
          <w:p>
            <w:pPr>
              <w:pStyle w:val="869"/>
              <w:jc w:val="center"/>
              <w:rPr>
                <w:rFonts w:ascii="宋体" w:hAnsi="宋体" w:cs="宋体"/>
                <w:color w:val="000000"/>
                <w:highlight w:val="none"/>
                <w:lang w:bidi="ar"/>
              </w:rPr>
            </w:pPr>
            <w:r>
              <w:rPr>
                <w:rFonts w:hint="eastAsia" w:ascii="宋体" w:hAnsi="宋体" w:cs="宋体"/>
                <w:color w:val="000000"/>
                <w:highlight w:val="none"/>
                <w:lang w:bidi="ar"/>
              </w:rPr>
              <w:t xml:space="preserve">客观分</w:t>
            </w:r>
            <w:r>
              <w:rPr>
                <w:rFonts w:ascii="宋体" w:hAnsi="宋体" w:cs="宋体"/>
                <w:color w:val="000000"/>
                <w:highlight w:val="none"/>
                <w:lang w:bidi="ar"/>
              </w:rPr>
            </w:r>
            <w:r/>
          </w:p>
        </w:tc>
      </w:tr>
      <w:tr>
        <w:trPr>
          <w:trHeight w:val="672"/>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4.3</w:t>
            </w:r>
            <w:r>
              <w:rPr>
                <w:rFonts w:hint="eastAsia" w:ascii="宋体" w:hAnsi="宋体" w:cs="宋体"/>
                <w:color w:val="000000"/>
                <w:spacing w:val="-2"/>
                <w:highlight w:val="none"/>
              </w:rPr>
            </w:r>
            <w:r/>
          </w:p>
        </w:tc>
        <w:tc>
          <w:tcPr>
            <w:tcW w:w="1472" w:type="dxa"/>
            <w:vAlign w:val="center"/>
            <w:textDirection w:val="lrTb"/>
            <w:noWrap w:val="false"/>
          </w:tcPr>
          <w:p>
            <w:pPr>
              <w:pStyle w:val="869"/>
              <w:jc w:val="center"/>
              <w:rPr>
                <w:rFonts w:ascii="宋体" w:hAnsi="宋体" w:cs="宋体"/>
                <w:color w:val="000000"/>
                <w:highlight w:val="none"/>
                <w:lang w:bidi="ar"/>
              </w:rPr>
            </w:pPr>
            <w:r>
              <w:rPr>
                <w:rFonts w:hint="eastAsia" w:ascii="宋体" w:hAnsi="宋体" w:cs="宋体"/>
                <w:color w:val="000000"/>
                <w:highlight w:val="none"/>
                <w:lang w:bidi="ar"/>
              </w:rPr>
              <w:t xml:space="preserve">履约能力3</w:t>
            </w:r>
            <w:r>
              <w:rPr>
                <w:rFonts w:ascii="宋体" w:hAnsi="宋体" w:cs="宋体"/>
                <w:color w:val="000000"/>
                <w:highlight w:val="none"/>
                <w:lang w:bidi="ar"/>
              </w:rPr>
            </w:r>
            <w:r/>
          </w:p>
        </w:tc>
        <w:tc>
          <w:tcPr>
            <w:tcW w:w="6332" w:type="dxa"/>
            <w:vAlign w:val="center"/>
            <w:textDirection w:val="lrTb"/>
            <w:noWrap w:val="false"/>
          </w:tcPr>
          <w:p>
            <w:pPr>
              <w:pStyle w:val="869"/>
              <w:spacing w:line="264" w:lineRule="auto"/>
              <w:rPr>
                <w:rFonts w:ascii="宋体" w:hAnsi="宋体" w:cs="宋体"/>
                <w:color w:val="000000"/>
                <w:highlight w:val="none"/>
              </w:rPr>
            </w:pPr>
            <w:r>
              <w:rPr>
                <w:rFonts w:hint="eastAsia" w:ascii="宋体" w:hAnsi="宋体" w:cs="宋体"/>
                <w:color w:val="000000"/>
                <w:highlight w:val="none"/>
              </w:rPr>
              <w:t xml:space="preserve">投标人拟投入本项目的项目实施团队能力（不含项目经理和技术负责人）：</w:t>
            </w:r>
            <w:r>
              <w:rPr>
                <w:rFonts w:ascii="宋体" w:hAnsi="宋体" w:cs="宋体"/>
                <w:color w:val="000000"/>
                <w:highlight w:val="none"/>
              </w:rPr>
            </w:r>
            <w:r/>
          </w:p>
          <w:p>
            <w:pPr>
              <w:pStyle w:val="869"/>
              <w:spacing w:line="264" w:lineRule="auto"/>
              <w:rPr>
                <w:rFonts w:hint="eastAsia" w:ascii="宋体" w:hAnsi="宋体" w:eastAsia="宋体" w:cs="宋体"/>
                <w:color w:val="000000"/>
                <w:highlight w:val="none"/>
              </w:rPr>
            </w:pPr>
            <w:r>
              <w:rPr>
                <w:rFonts w:hint="eastAsia" w:ascii="宋体" w:hAnsi="宋体" w:cs="宋体"/>
                <w:color w:val="000000"/>
                <w:highlight w:val="none"/>
              </w:rPr>
              <w:t xml:space="preserve">具有人</w:t>
            </w:r>
            <w:r>
              <w:rPr>
                <w:rFonts w:hint="eastAsia" w:ascii="宋体" w:hAnsi="宋体" w:eastAsia="宋体" w:cs="宋体"/>
                <w:color w:val="000000"/>
                <w:highlight w:val="none"/>
              </w:rPr>
              <w:t xml:space="preserve">社部门</w:t>
            </w:r>
            <w:r>
              <w:rPr>
                <w:rFonts w:hint="eastAsia" w:ascii="宋体" w:hAnsi="宋体" w:eastAsia="宋体" w:cs="宋体"/>
                <w:color w:val="000000"/>
                <w:highlight w:val="none"/>
                <w:lang w:eastAsia="zh-CN"/>
              </w:rPr>
              <w:t xml:space="preserve">颁发的</w:t>
            </w:r>
            <w:r>
              <w:rPr>
                <w:rFonts w:hint="eastAsia" w:ascii="宋体" w:hAnsi="宋体" w:eastAsia="宋体" w:cs="宋体"/>
                <w:color w:val="000000"/>
                <w:highlight w:val="none"/>
              </w:rPr>
              <w:t xml:space="preserve">网络工程师人社部门</w:t>
            </w:r>
            <w:r>
              <w:rPr>
                <w:rFonts w:hint="eastAsia" w:ascii="宋体" w:hAnsi="宋体" w:eastAsia="宋体" w:cs="宋体"/>
                <w:color w:val="000000"/>
                <w:highlight w:val="none"/>
                <w:lang w:eastAsia="zh-CN"/>
              </w:rPr>
              <w:t xml:space="preserve">颁发的</w:t>
            </w:r>
            <w:r>
              <w:rPr>
                <w:rFonts w:hint="eastAsia" w:ascii="宋体" w:hAnsi="宋体" w:eastAsia="宋体" w:cs="宋体"/>
                <w:color w:val="000000"/>
                <w:highlight w:val="none"/>
              </w:rPr>
              <w:t xml:space="preserve">网络工程师</w:t>
            </w:r>
            <w:r>
              <w:rPr>
                <w:rFonts w:hint="eastAsia" w:ascii="宋体" w:hAnsi="宋体" w:eastAsia="宋体" w:cs="宋体"/>
                <w:color w:val="000000"/>
                <w:highlight w:val="none"/>
                <w:lang w:val="en-US" w:eastAsia="zh-CN"/>
              </w:rPr>
              <w:t xml:space="preserve">证书</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69"/>
              <w:spacing w:line="264"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中国信息安全测评中心</w:t>
            </w:r>
            <w:r>
              <w:rPr>
                <w:rFonts w:hint="eastAsia" w:ascii="宋体" w:hAnsi="宋体" w:eastAsia="宋体" w:cs="宋体"/>
                <w:color w:val="000000"/>
                <w:sz w:val="21"/>
                <w:szCs w:val="21"/>
                <w:highlight w:val="none"/>
                <w:lang w:val="en-US" w:eastAsia="zh-CN"/>
              </w:rPr>
              <w:t xml:space="preserve">颁发的</w:t>
            </w:r>
            <w:r>
              <w:rPr>
                <w:rFonts w:hint="eastAsia" w:ascii="宋体" w:hAnsi="宋体" w:eastAsia="宋体" w:cs="宋体"/>
                <w:color w:val="000000"/>
                <w:highlight w:val="none"/>
              </w:rPr>
              <w:t xml:space="preserve">注册信息安全工程师CISP-CISE证书，</w:t>
            </w:r>
            <w:r>
              <w:rPr>
                <w:rFonts w:hint="eastAsia" w:ascii="宋体" w:hAnsi="宋体" w:eastAsia="宋体" w:cs="宋体"/>
                <w:color w:val="000000"/>
                <w:highlight w:val="none"/>
              </w:rPr>
            </w:r>
            <w:r/>
          </w:p>
          <w:p>
            <w:pPr>
              <w:pStyle w:val="869"/>
              <w:spacing w:line="26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每提供1个证书得2分，最高得4分。</w:t>
            </w:r>
            <w:r>
              <w:rPr>
                <w:rFonts w:hint="eastAsia" w:ascii="宋体" w:hAnsi="宋体" w:eastAsia="宋体" w:cs="宋体"/>
                <w:color w:val="000000"/>
                <w:highlight w:val="none"/>
              </w:rPr>
            </w:r>
            <w:r/>
          </w:p>
          <w:p>
            <w:pPr>
              <w:pStyle w:val="869"/>
              <w:rPr>
                <w:rFonts w:ascii="宋体" w:hAnsi="宋体" w:cs="宋体"/>
                <w:color w:val="000000"/>
                <w:highlight w:val="none"/>
              </w:rPr>
            </w:pPr>
            <w:r>
              <w:rPr>
                <w:rFonts w:hint="eastAsia" w:ascii="宋体" w:hAnsi="宋体" w:cs="宋体"/>
                <w:color w:val="000000"/>
                <w:highlight w:val="none"/>
              </w:rPr>
              <w:t xml:space="preserve">（多人一证、一人多证不重复计分，提供团队成员证书及投标人为其缴纳的2026年1月以来任意一个月的社保证明材料，证明材料缺项或未提供的不得分。）</w:t>
            </w:r>
            <w:r>
              <w:rPr>
                <w:rFonts w:ascii="宋体" w:hAnsi="宋体" w:cs="宋体"/>
                <w:color w:val="000000"/>
                <w:highlight w:val="none"/>
              </w:rPr>
            </w:r>
            <w:r/>
          </w:p>
        </w:tc>
        <w:tc>
          <w:tcPr>
            <w:tcW w:w="573" w:type="dxa"/>
            <w:vAlign w:val="center"/>
            <w:textDirection w:val="lrTb"/>
            <w:noWrap w:val="false"/>
          </w:tcPr>
          <w:p>
            <w:pPr>
              <w:pStyle w:val="869"/>
              <w:jc w:val="center"/>
              <w:rPr>
                <w:rFonts w:ascii="宋体" w:hAnsi="宋体" w:cs="宋体"/>
                <w:color w:val="000000"/>
                <w:highlight w:val="none"/>
                <w:lang w:bidi="ar"/>
              </w:rPr>
            </w:pPr>
            <w:r>
              <w:rPr>
                <w:rFonts w:hint="eastAsia" w:ascii="宋体" w:hAnsi="宋体" w:cs="宋体"/>
                <w:color w:val="000000"/>
                <w:highlight w:val="none"/>
                <w:lang w:bidi="ar"/>
              </w:rPr>
              <w:t xml:space="preserve">4</w:t>
            </w:r>
            <w:r>
              <w:rPr>
                <w:rFonts w:ascii="宋体" w:hAnsi="宋体" w:cs="宋体"/>
                <w:color w:val="000000"/>
                <w:highlight w:val="none"/>
                <w:lang w:bidi="ar"/>
              </w:rPr>
            </w:r>
            <w:r/>
          </w:p>
        </w:tc>
        <w:tc>
          <w:tcPr>
            <w:tcW w:w="861" w:type="dxa"/>
            <w:vAlign w:val="center"/>
            <w:textDirection w:val="lrTb"/>
            <w:noWrap w:val="false"/>
          </w:tcPr>
          <w:p>
            <w:pPr>
              <w:pStyle w:val="869"/>
              <w:jc w:val="center"/>
              <w:spacing w:before="68" w:line="264" w:lineRule="auto"/>
              <w:rPr>
                <w:rFonts w:hint="eastAsia" w:ascii="宋体" w:hAnsi="宋体" w:cs="宋体"/>
                <w:color w:val="000000"/>
                <w:spacing w:val="-6"/>
                <w:highlight w:val="none"/>
              </w:rPr>
            </w:pPr>
            <w:r>
              <w:rPr>
                <w:rFonts w:hint="eastAsia" w:ascii="宋体" w:hAnsi="宋体" w:cs="宋体"/>
                <w:color w:val="000000"/>
                <w:highlight w:val="none"/>
                <w:lang w:bidi="ar"/>
              </w:rPr>
              <w:t xml:space="preserve">客观分</w:t>
            </w:r>
            <w:r>
              <w:rPr>
                <w:rFonts w:hint="eastAsia" w:ascii="宋体" w:hAnsi="宋体" w:cs="宋体"/>
                <w:color w:val="000000"/>
                <w:spacing w:val="-6"/>
                <w:highlight w:val="none"/>
              </w:rPr>
            </w:r>
            <w:r/>
          </w:p>
        </w:tc>
      </w:tr>
      <w:tr>
        <w:trPr>
          <w:trHeight w:val="672"/>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4.4</w:t>
            </w:r>
            <w:r>
              <w:rPr>
                <w:rFonts w:hint="eastAsia" w:ascii="宋体" w:hAnsi="宋体" w:cs="宋体"/>
                <w:color w:val="000000"/>
                <w:spacing w:val="-2"/>
                <w:highlight w:val="none"/>
              </w:rPr>
            </w:r>
            <w:r/>
          </w:p>
        </w:tc>
        <w:tc>
          <w:tcPr>
            <w:tcW w:w="1472" w:type="dxa"/>
            <w:vAlign w:val="center"/>
            <w:textDirection w:val="lrTb"/>
            <w:noWrap w:val="false"/>
          </w:tcPr>
          <w:p>
            <w:pPr>
              <w:pStyle w:val="869"/>
              <w:jc w:val="center"/>
              <w:widowControl/>
              <w:rPr>
                <w:rFonts w:ascii="宋体" w:hAnsi="宋体" w:cs="宋体"/>
                <w:color w:val="000000"/>
                <w:highlight w:val="none"/>
                <w:lang w:bidi="ar"/>
              </w:rPr>
            </w:pPr>
            <w:r>
              <w:rPr>
                <w:rFonts w:hint="eastAsia" w:ascii="宋体" w:hAnsi="宋体" w:cs="宋体"/>
                <w:color w:val="000000"/>
                <w:highlight w:val="none"/>
                <w:lang w:bidi="ar"/>
              </w:rPr>
              <w:t xml:space="preserve">履约能力4</w:t>
            </w:r>
            <w:r>
              <w:rPr>
                <w:rFonts w:ascii="宋体" w:hAnsi="宋体" w:cs="宋体"/>
                <w:color w:val="000000"/>
                <w:highlight w:val="none"/>
                <w:lang w:bidi="ar"/>
              </w:rPr>
            </w:r>
            <w:r/>
          </w:p>
        </w:tc>
        <w:tc>
          <w:tcPr>
            <w:tcW w:w="6332" w:type="dxa"/>
            <w:vAlign w:val="center"/>
            <w:textDirection w:val="lrTb"/>
            <w:noWrap w:val="false"/>
          </w:tcPr>
          <w:p>
            <w:pPr>
              <w:pStyle w:val="869"/>
              <w:jc w:val="left"/>
              <w:widowControl/>
              <w:rPr>
                <w:rFonts w:ascii="宋体" w:hAnsi="宋体" w:cs="宋体"/>
                <w:color w:val="000000"/>
                <w:highlight w:val="none"/>
              </w:rPr>
            </w:pPr>
            <w:r>
              <w:rPr>
                <w:rFonts w:hint="eastAsia" w:ascii="宋体" w:hAnsi="宋体" w:cs="宋体"/>
                <w:color w:val="000000"/>
                <w:highlight w:val="none"/>
              </w:rPr>
              <w:t xml:space="preserve">投标人具有本项目相关的软件著作权证书，软件名称包括“安全云监管”、 “接口安全”、“AI能力平台”、“网络智能监测”，每提供一个有效的软著证书得2分，最高得8分。</w:t>
            </w:r>
            <w:r>
              <w:rPr>
                <w:rFonts w:ascii="宋体" w:hAnsi="宋体" w:cs="宋体"/>
                <w:color w:val="000000"/>
                <w:highlight w:val="none"/>
              </w:rPr>
            </w:r>
            <w:r/>
          </w:p>
          <w:p>
            <w:pPr>
              <w:pStyle w:val="869"/>
              <w:jc w:val="left"/>
              <w:widowControl/>
              <w:rPr>
                <w:rFonts w:ascii="宋体" w:hAnsi="宋体" w:cs="宋体"/>
                <w:color w:val="000000"/>
                <w:highlight w:val="none"/>
              </w:rPr>
            </w:pPr>
            <w:r>
              <w:rPr>
                <w:rFonts w:hint="eastAsia" w:ascii="宋体" w:hAnsi="宋体" w:cs="宋体"/>
                <w:color w:val="000000"/>
                <w:highlight w:val="none"/>
              </w:rPr>
              <w:t xml:space="preserve">注：所提供证书“软件名称”与评分细则规定不同时，应提供符合上述要求的内容（功能）说明及关键信息，否则不予认可。</w:t>
            </w:r>
            <w:r>
              <w:rPr>
                <w:rFonts w:ascii="宋体" w:hAnsi="宋体" w:cs="宋体"/>
                <w:color w:val="000000"/>
                <w:highlight w:val="none"/>
              </w:rPr>
            </w:r>
            <w:r/>
          </w:p>
        </w:tc>
        <w:tc>
          <w:tcPr>
            <w:tcW w:w="573" w:type="dxa"/>
            <w:vAlign w:val="center"/>
            <w:textDirection w:val="lrTb"/>
            <w:noWrap w:val="false"/>
          </w:tcPr>
          <w:p>
            <w:pPr>
              <w:pStyle w:val="869"/>
              <w:jc w:val="center"/>
              <w:widowControl/>
              <w:rPr>
                <w:rFonts w:ascii="宋体" w:hAnsi="宋体" w:cs="宋体"/>
                <w:color w:val="000000"/>
                <w:highlight w:val="none"/>
                <w:lang w:bidi="ar"/>
              </w:rPr>
            </w:pPr>
            <w:r>
              <w:rPr>
                <w:rFonts w:hint="eastAsia" w:ascii="宋体" w:hAnsi="宋体" w:cs="宋体"/>
                <w:color w:val="000000"/>
                <w:highlight w:val="none"/>
                <w:lang w:bidi="ar"/>
              </w:rPr>
              <w:t xml:space="preserve">8</w:t>
            </w:r>
            <w:r>
              <w:rPr>
                <w:rFonts w:ascii="宋体" w:hAnsi="宋体" w:cs="宋体"/>
                <w:color w:val="000000"/>
                <w:highlight w:val="none"/>
                <w:lang w:bidi="ar"/>
              </w:rPr>
            </w:r>
            <w:r/>
          </w:p>
        </w:tc>
        <w:tc>
          <w:tcPr>
            <w:tcW w:w="861" w:type="dxa"/>
            <w:vAlign w:val="center"/>
            <w:textDirection w:val="lrTb"/>
            <w:noWrap w:val="false"/>
          </w:tcPr>
          <w:p>
            <w:pPr>
              <w:pStyle w:val="869"/>
              <w:jc w:val="center"/>
              <w:widowControl/>
              <w:rPr>
                <w:rFonts w:ascii="宋体" w:hAnsi="宋体" w:cs="宋体"/>
                <w:color w:val="000000"/>
                <w:highlight w:val="none"/>
                <w:lang w:bidi="ar"/>
              </w:rPr>
            </w:pPr>
            <w:r>
              <w:rPr>
                <w:rFonts w:hint="eastAsia" w:ascii="宋体" w:hAnsi="宋体" w:cs="宋体"/>
                <w:color w:val="000000"/>
                <w:highlight w:val="none"/>
                <w:lang w:bidi="ar"/>
              </w:rPr>
              <w:t xml:space="preserve">客观分</w:t>
            </w:r>
            <w:r>
              <w:rPr>
                <w:rFonts w:ascii="宋体" w:hAnsi="宋体" w:cs="宋体"/>
                <w:color w:val="000000"/>
                <w:highlight w:val="none"/>
                <w:lang w:bidi="ar"/>
              </w:rPr>
            </w:r>
            <w:r/>
          </w:p>
        </w:tc>
      </w:tr>
      <w:tr>
        <w:trPr>
          <w:trHeight w:val="474"/>
        </w:trPr>
        <w:tc>
          <w:tcPr>
            <w:tcW w:w="519" w:type="dxa"/>
            <w:vAlign w:val="center"/>
            <w:textDirection w:val="lrTb"/>
            <w:noWrap w:val="false"/>
          </w:tcPr>
          <w:p>
            <w:pPr>
              <w:pStyle w:val="869"/>
              <w:jc w:val="center"/>
              <w:spacing w:line="264" w:lineRule="auto"/>
              <w:rPr>
                <w:rFonts w:hint="eastAsia" w:ascii="宋体" w:hAnsi="宋体" w:cs="宋体"/>
                <w:color w:val="000000"/>
                <w:highlight w:val="none"/>
              </w:rPr>
            </w:pPr>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rPr>
                <w:rFonts w:hint="eastAsia" w:ascii="宋体" w:hAnsi="宋体" w:cs="宋体"/>
                <w:color w:val="000000"/>
                <w:highlight w:val="none"/>
              </w:rPr>
            </w:r>
            <w:r/>
          </w:p>
        </w:tc>
        <w:tc>
          <w:tcPr>
            <w:gridSpan w:val="2"/>
            <w:tcW w:w="7804" w:type="dxa"/>
            <w:vAlign w:val="center"/>
            <w:textDirection w:val="lrTb"/>
            <w:noWrap w:val="false"/>
          </w:tcPr>
          <w:p>
            <w:pPr>
              <w:pStyle w:val="869"/>
              <w:ind w:left="172"/>
              <w:jc w:val="center"/>
              <w:spacing w:before="123" w:line="264" w:lineRule="auto"/>
              <w:rPr>
                <w:rFonts w:ascii="宋体" w:hAnsi="宋体" w:cs="宋体"/>
                <w:color w:val="000000"/>
                <w:spacing w:val="-2"/>
                <w:highlight w:val="none"/>
              </w:rPr>
            </w:pPr>
            <w:r>
              <w:rPr>
                <w:rFonts w:ascii="宋体" w:hAnsi="宋体" w:cs="宋体"/>
                <w:color w:val="000000"/>
                <w:spacing w:val="-2"/>
                <w:highlight w:val="none"/>
              </w:rPr>
            </w:r>
            <w:r/>
          </w:p>
        </w:tc>
        <w:tc>
          <w:tcPr>
            <w:gridSpan w:val="2"/>
            <w:tcW w:w="1434" w:type="dxa"/>
            <w:vAlign w:val="center"/>
            <w:textDirection w:val="lrTb"/>
            <w:noWrap w:val="false"/>
          </w:tcPr>
          <w:p>
            <w:pPr>
              <w:pStyle w:val="869"/>
              <w:jc w:val="center"/>
              <w:spacing w:line="264" w:lineRule="auto"/>
              <w:rPr>
                <w:rFonts w:hint="eastAsia" w:ascii="宋体" w:hAnsi="宋体" w:cs="宋体"/>
                <w:color w:val="000000"/>
                <w:highlight w:val="none"/>
              </w:rPr>
            </w:pPr>
            <w:r>
              <w:rPr>
                <w:rFonts w:ascii="宋体" w:hAnsi="宋体" w:cs="宋体"/>
                <w:color w:val="000000"/>
                <w:spacing w:val="-11"/>
                <w:highlight w:val="none"/>
              </w:rPr>
              <w:t xml:space="preserve">100分</w:t>
            </w:r>
            <w:r>
              <w:rPr>
                <w:rFonts w:hint="eastAsia" w:ascii="宋体" w:hAnsi="宋体" w:cs="宋体"/>
                <w:color w:val="000000"/>
                <w:highlight w:val="none"/>
              </w:rPr>
            </w:r>
            <w:r/>
          </w:p>
        </w:tc>
      </w:tr>
    </w:tbl>
    <w:p>
      <w:pPr>
        <w:pStyle w:val="869"/>
        <w:jc w:val="center"/>
        <w:spacing w:line="264"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宋体" w:hAnsi="宋体" w:cs="宋体"/>
          <w:b/>
          <w:bCs/>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4"/>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869"/>
        <w:jc w:val="center"/>
        <w:rPr>
          <w:rFonts w:hint="eastAsia" w:ascii="宋体" w:hAnsi="宋体"/>
          <w:b/>
          <w:color w:val="000000"/>
          <w:sz w:val="72"/>
          <w:highlight w:val="none"/>
        </w:rPr>
      </w:pPr>
      <w:r/>
      <w:bookmarkStart w:id="65" w:name="_Hlt26671244"/>
      <w:r/>
      <w:bookmarkEnd w:id="65"/>
      <w:r/>
      <w:bookmarkStart w:id="66" w:name="_Hlt26955039"/>
      <w:r/>
      <w:bookmarkEnd w:id="66"/>
      <w:r/>
      <w:bookmarkStart w:id="67" w:name="_Toc26554094"/>
      <w:r/>
      <w:bookmarkStart w:id="68" w:name="_Toc49090576"/>
      <w:r/>
      <w:bookmarkStart w:id="69" w:name="_Toc120614282"/>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6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6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869"/>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highlight w:val="none"/>
        </w:rPr>
      </w:pPr>
      <w:r>
        <w:rPr>
          <w:rFonts w:ascii="宋体" w:hAnsi="宋体"/>
          <w:color w:val="000000"/>
          <w:highlight w:val="none"/>
        </w:rPr>
      </w:r>
      <w:r/>
    </w:p>
    <w:p>
      <w:pPr>
        <w:pStyle w:val="869"/>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二、法定代表人授权委托书</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三、投标函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四、开标一览表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五、投标分项报价表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六、技术要求响应及偏离表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七、商务要求响应及偏离表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八、中小企业声明函（如有）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九、残疾人福利性单位声明函（如有）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十一、关于符合本国产品标准的声明函（如有）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十二、分包情况说明及分包意向协议（如有）</w:t>
      </w:r>
      <w:r>
        <w:rPr>
          <w:rFonts w:hint="eastAsia" w:ascii="宋体" w:hAnsi="宋体" w:cs="宋体"/>
          <w:color w:val="000000"/>
          <w:sz w:val="28"/>
          <w:szCs w:val="28"/>
          <w:highlight w:val="none"/>
        </w:rPr>
      </w:r>
      <w:r/>
    </w:p>
    <w:p>
      <w:pPr>
        <w:pStyle w:val="947"/>
        <w:rPr>
          <w:rFonts w:hint="eastAsia"/>
          <w:color w:val="000000"/>
          <w:highlight w:val="none"/>
        </w:rPr>
      </w:pPr>
      <w:r>
        <w:rPr>
          <w:rFonts w:hint="eastAsia"/>
          <w:color w:val="000000"/>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951"/>
        <w:rPr>
          <w:color w:val="000000"/>
          <w:sz w:val="24"/>
          <w:highlight w:val="none"/>
        </w:rPr>
      </w:pPr>
      <w:r>
        <w:rPr>
          <w:color w:val="000000"/>
          <w:sz w:val="24"/>
          <w:highlight w:val="none"/>
        </w:rPr>
      </w:r>
      <w:r/>
    </w:p>
    <w:p>
      <w:pPr>
        <w:pStyle w:val="951"/>
        <w:rPr>
          <w:color w:val="000000"/>
          <w:sz w:val="24"/>
          <w:highlight w:val="none"/>
        </w:rPr>
      </w:pPr>
      <w:r>
        <w:rPr>
          <w:color w:val="000000"/>
          <w:sz w:val="24"/>
          <w:highlight w:val="none"/>
        </w:rPr>
      </w:r>
      <w:r/>
    </w:p>
    <w:p>
      <w:pPr>
        <w:pStyle w:val="951"/>
        <w:rPr>
          <w:color w:val="000000"/>
          <w:sz w:val="24"/>
          <w:highlight w:val="none"/>
        </w:rPr>
      </w:pPr>
      <w:r>
        <w:rPr>
          <w:color w:val="000000"/>
          <w:sz w:val="24"/>
          <w:highlight w:val="none"/>
        </w:rPr>
      </w:r>
      <w:r/>
    </w:p>
    <w:p>
      <w:pPr>
        <w:pStyle w:val="951"/>
        <w:rPr>
          <w:color w:val="000000"/>
          <w:sz w:val="24"/>
          <w:highlight w:val="none"/>
        </w:rPr>
      </w:pPr>
      <w:r>
        <w:rPr>
          <w:color w:val="000000"/>
          <w:sz w:val="24"/>
          <w:highlight w:val="none"/>
        </w:rPr>
      </w:r>
      <w:r/>
    </w:p>
    <w:p>
      <w:pPr>
        <w:pStyle w:val="951"/>
        <w:rPr>
          <w:color w:val="000000"/>
          <w:sz w:val="24"/>
          <w:highlight w:val="none"/>
        </w:rPr>
      </w:pPr>
      <w:r>
        <w:rPr>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highlight w:val="none"/>
          <w:u w:val="single"/>
        </w:rPr>
      </w:r>
      <w:r>
        <w:rPr>
          <w:rFonts w:hint="eastAsia" w:ascii="黑体" w:hAnsi="黑体" w:eastAsia="黑体"/>
          <w:i/>
          <w:color w:val="000000"/>
          <w:sz w:val="32"/>
          <w:szCs w:val="32"/>
          <w:highlight w:val="none"/>
          <w:u w:val="single"/>
        </w:rPr>
      </w:r>
      <w:r/>
    </w:p>
    <w:p>
      <w:pPr>
        <w:rPr>
          <w:rFonts w:hint="eastAsia" w:ascii="黑体" w:hAnsi="黑体" w:eastAsia="黑体"/>
          <w:bCs/>
          <w:i/>
          <w:color w:val="000000"/>
          <w:sz w:val="32"/>
          <w:szCs w:val="32"/>
          <w:highlight w:val="none"/>
          <w:u w:val="single"/>
        </w:rPr>
      </w:pPr>
      <w:r>
        <w:rPr>
          <w:rFonts w:hint="eastAsia" w:ascii="黑体" w:hAnsi="黑体" w:eastAsia="黑体"/>
          <w:bCs/>
          <w:i/>
          <w:color w:val="000000"/>
          <w:sz w:val="32"/>
          <w:szCs w:val="32"/>
          <w:highlight w:val="none"/>
          <w:u w:val="single"/>
        </w:rPr>
      </w:r>
      <w:r>
        <w:rPr>
          <w:rFonts w:hint="eastAsia" w:ascii="黑体" w:hAnsi="黑体" w:eastAsia="黑体"/>
          <w:bCs/>
          <w:i/>
          <w:color w:val="000000"/>
          <w:sz w:val="32"/>
          <w:szCs w:val="32"/>
          <w:highlight w:val="none"/>
          <w:u w:val="single"/>
        </w:rPr>
      </w:r>
      <w:r/>
    </w:p>
    <w:p>
      <w:pPr>
        <w:rPr>
          <w:rFonts w:hint="eastAsia" w:ascii="黑体" w:hAnsi="黑体" w:eastAsia="黑体"/>
          <w:bCs/>
          <w:i/>
          <w:color w:val="000000"/>
          <w:sz w:val="32"/>
          <w:szCs w:val="32"/>
          <w:highlight w:val="none"/>
          <w:u w:val="single"/>
        </w:rPr>
      </w:pPr>
      <w:r>
        <w:rPr>
          <w:rFonts w:hint="eastAsia" w:ascii="黑体" w:hAnsi="黑体" w:eastAsia="黑体"/>
          <w:bCs/>
          <w:i/>
          <w:color w:val="000000"/>
          <w:sz w:val="32"/>
          <w:szCs w:val="32"/>
          <w:highlight w:val="none"/>
          <w:u w:val="single"/>
        </w:rPr>
      </w:r>
      <w:r>
        <w:rPr>
          <w:rFonts w:hint="eastAsia" w:ascii="黑体" w:hAnsi="黑体" w:eastAsia="黑体"/>
          <w:bCs/>
          <w:i/>
          <w:color w:val="000000"/>
          <w:sz w:val="32"/>
          <w:szCs w:val="32"/>
          <w:highlight w:val="none"/>
          <w:u w:val="single"/>
        </w:rPr>
      </w:r>
      <w:r/>
    </w:p>
    <w:p>
      <w:pPr>
        <w:rPr>
          <w:rFonts w:hint="eastAsia" w:ascii="黑体" w:hAnsi="黑体" w:eastAsia="黑体"/>
          <w:bCs/>
          <w:i/>
          <w:color w:val="000000"/>
          <w:sz w:val="32"/>
          <w:szCs w:val="32"/>
          <w:highlight w:val="none"/>
          <w:u w:val="single"/>
        </w:rPr>
      </w:pPr>
      <w:r>
        <w:rPr>
          <w:rFonts w:hint="eastAsia" w:ascii="黑体" w:hAnsi="黑体" w:eastAsia="黑体"/>
          <w:bCs/>
          <w:i/>
          <w:color w:val="000000"/>
          <w:sz w:val="32"/>
          <w:szCs w:val="32"/>
          <w:highlight w:val="none"/>
          <w:u w:val="single"/>
        </w:rPr>
      </w:r>
      <w:r>
        <w:rPr>
          <w:rFonts w:hint="eastAsia" w:ascii="黑体" w:hAnsi="黑体" w:eastAsia="黑体"/>
          <w:bCs/>
          <w:i/>
          <w:color w:val="000000"/>
          <w:sz w:val="32"/>
          <w:szCs w:val="32"/>
          <w:highlight w:val="none"/>
          <w:u w:val="single"/>
        </w:rPr>
      </w:r>
      <w:r/>
    </w:p>
    <w:p>
      <w:pPr>
        <w:rPr>
          <w:rFonts w:hint="eastAsia" w:ascii="黑体" w:hAnsi="黑体" w:eastAsia="黑体"/>
          <w:bCs/>
          <w:i/>
          <w:color w:val="000000"/>
          <w:sz w:val="32"/>
          <w:szCs w:val="32"/>
          <w:highlight w:val="none"/>
          <w:u w:val="single"/>
        </w:rPr>
      </w:pPr>
      <w:r>
        <w:rPr>
          <w:rFonts w:hint="eastAsia" w:ascii="黑体" w:hAnsi="黑体" w:eastAsia="黑体"/>
          <w:bCs/>
          <w:i/>
          <w:color w:val="000000"/>
          <w:sz w:val="32"/>
          <w:szCs w:val="32"/>
          <w:highlight w:val="none"/>
          <w:u w:val="single"/>
        </w:rPr>
      </w:r>
      <w:r>
        <w:rPr>
          <w:rFonts w:hint="eastAsia" w:ascii="黑体" w:hAnsi="黑体" w:eastAsia="黑体"/>
          <w:bCs/>
          <w:i/>
          <w:color w:val="000000"/>
          <w:sz w:val="32"/>
          <w:szCs w:val="32"/>
          <w:highlight w:val="none"/>
          <w:u w:val="single"/>
        </w:rPr>
      </w:r>
      <w:r/>
    </w:p>
    <w:p>
      <w:pPr>
        <w:rPr>
          <w:rFonts w:hint="eastAsia" w:ascii="黑体" w:hAnsi="黑体" w:eastAsia="黑体"/>
          <w:bCs/>
          <w:i/>
          <w:color w:val="000000"/>
          <w:sz w:val="32"/>
          <w:szCs w:val="32"/>
          <w:highlight w:val="none"/>
          <w:u w:val="single"/>
        </w:rPr>
      </w:pPr>
      <w:r>
        <w:rPr>
          <w:rFonts w:hint="eastAsia" w:ascii="黑体" w:hAnsi="黑体" w:eastAsia="黑体"/>
          <w:bCs/>
          <w:i/>
          <w:color w:val="000000"/>
          <w:sz w:val="32"/>
          <w:szCs w:val="32"/>
          <w:highlight w:val="none"/>
          <w:u w:val="single"/>
        </w:rPr>
      </w:r>
      <w:r>
        <w:rPr>
          <w:rFonts w:hint="eastAsia" w:ascii="黑体" w:hAnsi="黑体" w:eastAsia="黑体"/>
          <w:bCs/>
          <w:i/>
          <w:color w:val="000000"/>
          <w:sz w:val="32"/>
          <w:szCs w:val="32"/>
          <w:highlight w:val="none"/>
          <w:u w:val="single"/>
        </w:rPr>
      </w:r>
      <w:r/>
    </w:p>
    <w:p>
      <w:pPr>
        <w:pStyle w:val="869"/>
        <w:rPr>
          <w:rFonts w:hint="eastAsia" w:ascii="黑体" w:hAnsi="黑体" w:eastAsia="黑体"/>
          <w:bCs/>
          <w:i/>
          <w:color w:val="000000"/>
          <w:sz w:val="32"/>
          <w:szCs w:val="32"/>
          <w:highlight w:val="none"/>
          <w:u w:val="single"/>
        </w:rPr>
      </w:pPr>
      <w:r/>
      <w:bookmarkEnd w:id="67"/>
      <w:r/>
      <w:bookmarkEnd w:id="68"/>
      <w:r/>
      <w:bookmarkEnd w:id="69"/>
      <w:r/>
      <w:bookmarkStart w:id="70" w:name="_Toc120614284"/>
      <w:r>
        <w:rPr>
          <w:rFonts w:hint="eastAsia" w:ascii="黑体" w:hAnsi="黑体" w:eastAsia="黑体"/>
          <w:i/>
          <w:color w:val="000000"/>
          <w:sz w:val="32"/>
          <w:szCs w:val="32"/>
          <w:highlight w:val="none"/>
          <w:u w:val="single"/>
        </w:rPr>
      </w:r>
      <w:r/>
    </w:p>
    <w:p>
      <w:pPr>
        <w:pStyle w:val="86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一、信用承诺函</w:t>
      </w:r>
      <w:r>
        <w:rPr>
          <w:rFonts w:hint="eastAsia"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rPr>
          <w:rFonts w:hint="eastAsia" w:ascii="方正小标宋简体" w:hAnsi="方正小标宋简体" w:eastAsia="方正小标宋简体" w:cs="方正小标宋简体"/>
          <w:color w:val="000000"/>
          <w:sz w:val="32"/>
          <w:szCs w:val="32"/>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（投标人名称）郑重承诺，我公司（单位）符合下列要求：</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69"/>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highlight w:val="none"/>
        </w:rPr>
      </w:r>
      <w:r/>
    </w:p>
    <w:p>
      <w:pPr>
        <w:pStyle w:val="869"/>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如果我公司（单位）中标，将在中标结果公示后七个工作日内向采购人提供下列材料核验：</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8"/>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jc w:val="left"/>
        <w:spacing w:line="360" w:lineRule="auto"/>
        <w:rPr>
          <w:rFonts w:hint="eastAsia" w:ascii="黑体" w:hAnsi="黑体" w:eastAsia="黑体"/>
          <w:color w:val="000000"/>
          <w:sz w:val="32"/>
          <w:szCs w:val="32"/>
          <w:highlight w:val="none"/>
        </w:rPr>
      </w:pPr>
      <w:r>
        <w:rPr>
          <w:rFonts w:hint="eastAsia"/>
          <w:color w:val="000000"/>
          <w:highlight w:val="none"/>
        </w:rPr>
        <w:br w:type="page" w:clear="all"/>
      </w:r>
      <w:r>
        <w:rPr>
          <w:rFonts w:hint="eastAsia" w:ascii="黑体" w:hAnsi="黑体" w:eastAsia="黑体"/>
          <w:color w:val="000000"/>
          <w:sz w:val="32"/>
          <w:szCs w:val="32"/>
          <w:highlight w:val="none"/>
        </w:rPr>
        <w:t xml:space="preserve">二、法定代表人授权委托书</w:t>
      </w:r>
      <w:r>
        <w:rPr>
          <w:rFonts w:hint="eastAsia" w:ascii="黑体" w:hAnsi="黑体" w:eastAsia="黑体"/>
          <w:color w:val="000000"/>
          <w:sz w:val="32"/>
          <w:szCs w:val="32"/>
          <w:highlight w:val="none"/>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法定代表人授权委托书</w:t>
      </w:r>
      <w:r>
        <w:rPr>
          <w:rFonts w:hint="eastAsia" w:ascii="方正小标宋简体" w:hAnsi="方正小标宋简体" w:eastAsia="方正小标宋简体" w:cs="方正小标宋简体"/>
          <w:color w:val="000000"/>
          <w:sz w:val="32"/>
          <w:szCs w:val="32"/>
          <w:highlight w:val="none"/>
        </w:rPr>
      </w:r>
      <w:r/>
    </w:p>
    <w:p>
      <w:pPr>
        <w:pStyle w:val="96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本人</w:t>
      </w:r>
      <w:r>
        <w:rPr>
          <w:rFonts w:hint="eastAsia"/>
          <w:color w:val="000000"/>
          <w:sz w:val="24"/>
          <w:szCs w:val="24"/>
          <w:highlight w:val="none"/>
          <w:u w:val="single"/>
        </w:rPr>
        <w:t xml:space="preserve">    </w:t>
      </w:r>
      <w:r>
        <w:rPr>
          <w:rFonts w:hint="eastAsia"/>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（投标人名称）的法定代表人（单位负责人），现代表我单位授权委托</w:t>
      </w:r>
      <w:r>
        <w:rPr>
          <w:rFonts w:hint="eastAsia"/>
          <w:color w:val="000000"/>
          <w:sz w:val="24"/>
          <w:szCs w:val="24"/>
          <w:highlight w:val="none"/>
          <w:u w:val="single"/>
        </w:rPr>
        <w:t xml:space="preserve">    </w:t>
      </w:r>
      <w:r>
        <w:rPr>
          <w:rFonts w:hint="eastAsia"/>
          <w:color w:val="000000"/>
          <w:sz w:val="24"/>
          <w:szCs w:val="24"/>
          <w:highlight w:val="none"/>
        </w:rPr>
        <w:t xml:space="preserve">（姓名，职务）为我方合法代理人参加</w:t>
      </w:r>
      <w:r>
        <w:rPr>
          <w:rFonts w:hint="eastAsia"/>
          <w:color w:val="000000"/>
          <w:sz w:val="24"/>
          <w:szCs w:val="24"/>
          <w:highlight w:val="none"/>
          <w:u w:val="single"/>
        </w:rPr>
        <w:t xml:space="preserve">     </w:t>
      </w:r>
      <w:r>
        <w:rPr>
          <w:rFonts w:hint="eastAsia"/>
          <w:color w:val="000000"/>
          <w:sz w:val="24"/>
          <w:szCs w:val="24"/>
          <w:highlight w:val="none"/>
        </w:rPr>
        <w:t xml:space="preserve">（项目编号）</w:t>
      </w:r>
      <w:r>
        <w:rPr>
          <w:rFonts w:hint="eastAsia"/>
          <w:color w:val="000000"/>
          <w:sz w:val="24"/>
          <w:szCs w:val="24"/>
          <w:highlight w:val="none"/>
          <w:u w:val="single"/>
        </w:rPr>
        <w:t xml:space="preserve">      </w:t>
      </w:r>
      <w:r>
        <w:rPr>
          <w:rFonts w:hint="eastAsia"/>
          <w:color w:val="000000"/>
          <w:sz w:val="24"/>
          <w:szCs w:val="24"/>
          <w:highlight w:val="none"/>
        </w:rPr>
        <w:t xml:space="preserve">（项目名称）的政府采购活动，由其代表我方办理上述项目在投标、开标、澄清确认过程中的相关事宜，其法律后果由我方承担。</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0"/>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代理人无转委托权。</w:t>
      </w:r>
      <w:r>
        <w:rPr>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投标人名称（加盖公章）：________________</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法定代表人（单位负责人）（签字或签章）：________________</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代理人（签字或签章）：________________ </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日期：_____年______月______日</w:t>
      </w:r>
      <w:r>
        <w:rPr>
          <w:rFonts w:hint="eastAsia"/>
          <w:color w:val="000000"/>
          <w:sz w:val="24"/>
          <w:szCs w:val="24"/>
          <w:highlight w:val="none"/>
        </w:rPr>
      </w:r>
      <w:r/>
    </w:p>
    <w:p>
      <w:pPr>
        <w:pStyle w:val="960"/>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附：法定代表人（单位负责人）及代理人有效身份证明文件</w:t>
      </w:r>
      <w:r>
        <w:rPr>
          <w:color w:val="000000"/>
          <w:sz w:val="24"/>
          <w:szCs w:val="24"/>
          <w:highlight w:val="none"/>
        </w:rPr>
      </w:r>
      <w:r/>
    </w:p>
    <w:p>
      <w:pPr>
        <w:pStyle w:val="888"/>
        <w:ind w:firstLine="0"/>
        <w:rPr>
          <w:rFonts w:hint="eastAsia"/>
          <w:color w:val="000000"/>
          <w:highlight w:val="none"/>
        </w:rPr>
      </w:pPr>
      <w:r>
        <w:rPr>
          <w:rFonts w:hint="eastAsia"/>
          <w:color w:val="000000"/>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说明：</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3.投标人为自然人的，可不提供本《法定代表人授权委托书》。</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4.投标人应同时提供法定代表人（单位负责人）及代理人的身份证或护照等有效身份证明文件（彩色复印件或者彩色扫描件）。</w:t>
      </w:r>
      <w:r>
        <w:rPr>
          <w:rFonts w:hint="eastAsia"/>
          <w:b/>
          <w:bCs/>
          <w:color w:val="000000"/>
          <w:sz w:val="24"/>
          <w:szCs w:val="24"/>
          <w:highlight w:val="none"/>
        </w:rPr>
        <w:t xml:space="preserve">提供身份证的，应同时提供身份证双面</w:t>
      </w:r>
      <w:r>
        <w:rPr>
          <w:rFonts w:hint="eastAsia"/>
          <w:color w:val="000000"/>
          <w:sz w:val="24"/>
          <w:szCs w:val="24"/>
          <w:highlight w:val="none"/>
        </w:rPr>
        <w:t xml:space="preserve">。</w:t>
      </w:r>
      <w:r>
        <w:rPr>
          <w:rFonts w:hint="eastAsia"/>
          <w:color w:val="000000"/>
          <w:sz w:val="24"/>
          <w:szCs w:val="24"/>
          <w:highlight w:val="none"/>
        </w:rPr>
      </w:r>
      <w:r/>
    </w:p>
    <w:p>
      <w:pPr>
        <w:pStyle w:val="960"/>
        <w:ind w:firstLine="482"/>
        <w:spacing w:line="480" w:lineRule="exact"/>
        <w:tabs>
          <w:tab w:val="left" w:pos="360" w:leader="none"/>
        </w:tabs>
        <w:rPr>
          <w:rFonts w:hint="eastAsia"/>
          <w:b/>
          <w:bCs/>
          <w:color w:val="000000"/>
          <w:sz w:val="24"/>
          <w:szCs w:val="24"/>
          <w:highlight w:val="none"/>
        </w:rPr>
      </w:pPr>
      <w:r>
        <w:rPr>
          <w:rFonts w:hint="eastAsia"/>
          <w:b/>
          <w:bCs/>
          <w:color w:val="000000"/>
          <w:sz w:val="24"/>
          <w:szCs w:val="24"/>
          <w:highlight w:val="none"/>
        </w:rPr>
        <w:t xml:space="preserve">5.未按招标文件要求和格式提供《法定代表人授权委托书》的，将作为无效投标处理。</w:t>
      </w:r>
      <w:r>
        <w:rPr>
          <w:rFonts w:hint="eastAsia"/>
          <w:b/>
          <w:bCs/>
          <w:color w:val="000000"/>
          <w:sz w:val="24"/>
          <w:szCs w:val="24"/>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楷体" w:hAnsi="楷体" w:eastAsia="楷体"/>
          <w:bCs/>
          <w:color w:val="000000"/>
          <w:sz w:val="24"/>
          <w:szCs w:val="24"/>
          <w:highlight w:val="none"/>
        </w:rPr>
        <w:br w:type="page" w:clear="all"/>
      </w:r>
      <w:r>
        <w:rPr>
          <w:rFonts w:hint="eastAsia" w:ascii="黑体" w:hAnsi="黑体" w:eastAsia="黑体"/>
          <w:color w:val="000000"/>
          <w:sz w:val="32"/>
          <w:szCs w:val="32"/>
          <w:highlight w:val="none"/>
        </w:rPr>
        <w:t xml:space="preserve">三、投标函</w:t>
      </w:r>
      <w:r>
        <w:rPr>
          <w:rFonts w:hint="eastAsia"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62"/>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（采购人名称）</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rPr>
        <w:t xml:space="preserve">（项目编号）</w:t>
      </w:r>
      <w:r>
        <w:rPr>
          <w:rFonts w:hint="eastAsia" w:ascii="宋体" w:hAnsi="宋体"/>
          <w:color w:val="000000"/>
          <w:highlight w:val="none"/>
          <w:u w:val="single"/>
        </w:rPr>
        <w:t xml:space="preserve">                </w:t>
      </w:r>
      <w:r>
        <w:rPr>
          <w:rFonts w:hint="eastAsia" w:ascii="宋体" w:hAnsi="宋体"/>
          <w:color w:val="000000"/>
          <w:highlight w:val="none"/>
        </w:rPr>
        <w:t xml:space="preserve">（项目名称）的</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1.按招标文件规定的各项要求，向贵方提供所需服务（包含与服务相关的货物）。</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.一旦我方中标，我方将根据招标文件的规定，严格履行合同的责任和义务，并保证在招标文件规定的时间完成项目，交付贵方验收、使用。</w:t>
      </w:r>
      <w:r>
        <w:rPr>
          <w:rFonts w:hint="eastAsia" w:ascii="宋体" w:hAnsi="宋体"/>
          <w:color w:val="000000"/>
          <w:szCs w:val="21"/>
          <w:highlight w:val="none"/>
        </w:rPr>
      </w:r>
      <w:r/>
    </w:p>
    <w:p>
      <w:pPr>
        <w:pStyle w:val="869"/>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480"/>
        <w:rPr>
          <w:rFonts w:hint="eastAsia"/>
          <w:color w:val="000000"/>
          <w:sz w:val="24"/>
          <w:szCs w:val="24"/>
          <w:highlight w:val="none"/>
        </w:rPr>
      </w:pPr>
      <w:r>
        <w:rPr>
          <w:rFonts w:hint="eastAsia"/>
          <w:color w:val="000000"/>
          <w:sz w:val="24"/>
          <w:szCs w:val="24"/>
          <w:highlight w:val="none"/>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民营企业 </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非民营企业 </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事业单位或其他组织（在对应</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内打“√”）               </w:t>
      </w:r>
      <w:r>
        <w:rPr>
          <w:rFonts w:hint="eastAsia"/>
          <w:color w:val="000000"/>
          <w:sz w:val="24"/>
          <w:szCs w:val="24"/>
          <w:highlight w:val="none"/>
        </w:rPr>
      </w:r>
      <w:r/>
    </w:p>
    <w:p>
      <w:pPr>
        <w:pStyle w:val="881"/>
        <w:ind w:firstLine="480"/>
        <w:rPr>
          <w:rFonts w:hint="eastAsia"/>
          <w:color w:val="000000"/>
          <w:sz w:val="24"/>
          <w:szCs w:val="24"/>
          <w:highlight w:val="none"/>
        </w:rPr>
      </w:pPr>
      <w:r>
        <w:rPr>
          <w:rFonts w:hint="eastAsia"/>
          <w:color w:val="000000"/>
          <w:sz w:val="24"/>
          <w:szCs w:val="24"/>
          <w:highlight w:val="none"/>
        </w:rPr>
        <w:t xml:space="preserve">9.我方与本次投标有关信息</w:t>
      </w:r>
      <w:r>
        <w:rPr>
          <w:rFonts w:hint="eastAsia"/>
          <w:color w:val="000000"/>
          <w:sz w:val="24"/>
          <w:szCs w:val="24"/>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6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6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6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69"/>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四、开标一览表</w:t>
      </w:r>
      <w:r>
        <w:rPr>
          <w:rFonts w:hint="eastAsia" w:ascii="黑体" w:hAnsi="黑体" w:eastAsia="黑体"/>
          <w:color w:val="000000"/>
          <w:sz w:val="32"/>
          <w:szCs w:val="32"/>
          <w:highlight w:val="none"/>
        </w:rPr>
      </w:r>
      <w:r/>
    </w:p>
    <w:p>
      <w:pPr>
        <w:pStyle w:val="869"/>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69"/>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9"/>
        <w:spacing w:line="336"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spacing w:line="336"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2"/>
              <w:ind w:firstLine="0"/>
              <w:spacing w:before="0" w:after="0" w:line="336"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spacing w:line="336" w:lineRule="auto"/>
        <w:rPr>
          <w:rFonts w:ascii="宋体" w:hAnsi="宋体"/>
          <w:color w:val="000000"/>
          <w:sz w:val="24"/>
          <w:szCs w:val="24"/>
          <w:highlight w:val="none"/>
        </w:rPr>
      </w:pPr>
      <w:r>
        <w:rPr>
          <w:rFonts w:ascii="宋体" w:hAnsi="宋体"/>
          <w:color w:val="000000"/>
          <w:sz w:val="24"/>
          <w:szCs w:val="24"/>
          <w:highlight w:val="none"/>
        </w:rPr>
      </w:r>
      <w:r/>
    </w:p>
    <w:p>
      <w:pPr>
        <w:pStyle w:val="869"/>
        <w:ind w:firstLine="480"/>
        <w:spacing w:line="336"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6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6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1"/>
        <w:rPr>
          <w:rFonts w:hint="eastAsia"/>
          <w:color w:val="000000"/>
          <w:highlight w:val="none"/>
        </w:rPr>
      </w:pPr>
      <w:r>
        <w:rPr>
          <w:rFonts w:hint="eastAsia"/>
          <w:color w:val="000000"/>
          <w:highlight w:val="none"/>
        </w:rPr>
      </w:r>
      <w:r/>
    </w:p>
    <w:p>
      <w:pPr>
        <w:pStyle w:val="869"/>
        <w:jc w:val="center"/>
        <w:spacing w:line="336" w:lineRule="auto"/>
        <w:rPr>
          <w:rFonts w:hint="eastAsia"/>
          <w:color w:val="000000"/>
          <w:highlight w:val="none"/>
        </w:rPr>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color w:val="000000"/>
          <w:highlight w:val="none"/>
        </w:rPr>
      </w:r>
      <w:r/>
    </w:p>
    <w:p>
      <w:pPr>
        <w:pStyle w:val="869"/>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9"/>
        <w:ind w:firstLine="480"/>
        <w:spacing w:line="336"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480"/>
        <w:spacing w:line="336"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725"/>
        </w:trPr>
        <w:tc>
          <w:tcPr>
            <w:tcW w:w="9736" w:type="dxa"/>
            <w:vAlign w:val="center"/>
            <w:textDirection w:val="lrTb"/>
            <w:noWrap w:val="false"/>
          </w:tcPr>
          <w:p>
            <w:pPr>
              <w:pStyle w:val="869"/>
              <w:spacing w:line="336"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投标优惠率</w:t>
            </w:r>
            <w:r>
              <w:rPr>
                <w:rFonts w:hint="eastAsia" w:ascii="宋体" w:hAnsi="宋体"/>
                <w:color w:val="000000"/>
                <w:sz w:val="24"/>
                <w:szCs w:val="24"/>
                <w:highlight w:val="none"/>
              </w:rPr>
            </w:r>
            <w:r/>
          </w:p>
        </w:tc>
      </w:tr>
      <w:tr>
        <w:trPr>
          <w:cantSplit/>
          <w:trHeight w:val="612"/>
        </w:trPr>
        <w:tc>
          <w:tcPr>
            <w:tcW w:w="9736" w:type="dxa"/>
            <w:vAlign w:val="center"/>
            <w:textDirection w:val="lrTb"/>
            <w:noWrap w:val="false"/>
          </w:tcPr>
          <w:p>
            <w:pPr>
              <w:pStyle w:val="962"/>
              <w:ind w:firstLine="0"/>
              <w:spacing w:before="0" w:after="0" w:line="336" w:lineRule="auto"/>
              <w:rPr>
                <w:rFonts w:hint="eastAsia" w:ascii="宋体" w:hAnsi="宋体"/>
                <w:color w:val="000000"/>
                <w:szCs w:val="21"/>
                <w:highlight w:val="none"/>
              </w:rPr>
            </w:pPr>
            <w:r>
              <w:rPr>
                <w:rFonts w:hint="eastAsia" w:ascii="宋体" w:hAnsi="宋体" w:cs="宋体"/>
                <w:color w:val="000000"/>
                <w:highlight w:val="none"/>
              </w:rPr>
              <w:t xml:space="preserve">小写（%）：</w:t>
            </w:r>
            <w:r>
              <w:rPr>
                <w:rFonts w:hint="eastAsia" w:ascii="宋体" w:hAnsi="宋体"/>
                <w:color w:val="000000"/>
                <w:szCs w:val="21"/>
                <w:highlight w:val="none"/>
              </w:rPr>
            </w:r>
            <w:r/>
          </w:p>
        </w:tc>
      </w:tr>
    </w:tbl>
    <w:p>
      <w:pPr>
        <w:pStyle w:val="869"/>
        <w:spacing w:line="336" w:lineRule="auto"/>
        <w:rPr>
          <w:rFonts w:ascii="宋体" w:hAnsi="宋体"/>
          <w:color w:val="000000"/>
          <w:sz w:val="24"/>
          <w:szCs w:val="24"/>
          <w:highlight w:val="none"/>
        </w:rPr>
      </w:pPr>
      <w:r>
        <w:rPr>
          <w:rFonts w:ascii="宋体" w:hAnsi="宋体"/>
          <w:color w:val="000000"/>
          <w:sz w:val="24"/>
          <w:szCs w:val="24"/>
          <w:highlight w:val="none"/>
        </w:rPr>
      </w:r>
      <w:r/>
    </w:p>
    <w:p>
      <w:pPr>
        <w:pStyle w:val="869"/>
        <w:ind w:firstLine="480"/>
        <w:spacing w:line="336"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五、投标分项报价表</w:t>
      </w:r>
      <w:r>
        <w:rPr>
          <w:rFonts w:hint="eastAsia"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869"/>
        <w:ind w:right="180" w:firstLine="480"/>
        <w:spacing w:line="360" w:lineRule="auto"/>
        <w:rPr>
          <w:rFonts w:hint="eastAsia" w:ascii="宋体" w:hAnsi="宋体"/>
          <w:color w:val="000000"/>
          <w:sz w:val="24"/>
          <w:szCs w:val="24"/>
          <w:highlight w:val="none"/>
        </w:rPr>
      </w:pPr>
      <w:r/>
      <w:bookmarkStart w:id="71" w:name="OLE_LINK3"/>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9"/>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69"/>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采购包号：</w:t>
      </w:r>
      <w:bookmarkEnd w:id="71"/>
      <w:r>
        <w:rPr>
          <w:rFonts w:hint="eastAsia" w:ascii="宋体" w:hAnsi="宋体"/>
          <w:color w:val="000000"/>
          <w:sz w:val="24"/>
          <w:szCs w:val="24"/>
          <w:highlight w:val="none"/>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序序号</w:t>
            </w:r>
            <w:r>
              <w:rPr>
                <w:rFonts w:hint="eastAsia" w:ascii="宋体" w:hAnsi="宋体"/>
                <w:color w:val="000000"/>
                <w:sz w:val="24"/>
                <w:szCs w:val="24"/>
                <w:highlight w:val="none"/>
              </w:rPr>
            </w:r>
            <w:r/>
          </w:p>
        </w:tc>
        <w:tc>
          <w:tcPr>
            <w:tcW w:w="124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9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47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3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82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826"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434" w:type="dxa"/>
            <w:vAlign w:val="center"/>
            <w:textDirection w:val="lrTb"/>
            <w:noWrap w:val="false"/>
          </w:tcPr>
          <w:p>
            <w:pPr>
              <w:pStyle w:val="869"/>
              <w:ind w:right="180"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6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69"/>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本采购包中本公司（单位）提供的符合本国产品标准的产品成本之和 </w:t>
            </w:r>
            <w:r>
              <w:rPr>
                <w:rFonts w:ascii="Wingdings" w:hAnsi="Wingdings" w:eastAsia="Wingdings" w:cs="Wingdings"/>
                <w:b/>
                <w:bCs/>
                <w:color w:val="000000"/>
                <w:sz w:val="24"/>
                <w:szCs w:val="24"/>
                <w:highlight w:val="none"/>
                <w:u w:val="single"/>
              </w:rPr>
              <w:t xml:space="preserve">¨</w:t>
            </w:r>
            <w:r>
              <w:rPr>
                <w:rFonts w:hint="eastAsia" w:ascii="宋体" w:hAnsi="宋体"/>
                <w:b/>
                <w:bCs/>
                <w:color w:val="000000"/>
                <w:sz w:val="24"/>
                <w:szCs w:val="24"/>
                <w:highlight w:val="none"/>
                <w:u w:val="single"/>
              </w:rPr>
              <w:t xml:space="preserve">是 </w:t>
            </w:r>
            <w:r>
              <w:rPr>
                <w:rFonts w:ascii="Wingdings" w:hAnsi="Wingdings" w:eastAsia="Wingdings" w:cs="Wingdings"/>
                <w:b/>
                <w:bCs/>
                <w:color w:val="000000"/>
                <w:sz w:val="24"/>
                <w:szCs w:val="24"/>
                <w:highlight w:val="none"/>
                <w:u w:val="single"/>
              </w:rPr>
              <w:t xml:space="preserve">¨</w:t>
            </w:r>
            <w:r>
              <w:rPr>
                <w:rFonts w:hint="eastAsia" w:ascii="宋体" w:hAnsi="宋体"/>
                <w:b/>
                <w:bCs/>
                <w:color w:val="000000"/>
                <w:sz w:val="24"/>
                <w:szCs w:val="24"/>
                <w:highlight w:val="none"/>
                <w:u w:val="single"/>
              </w:rPr>
              <w:t xml:space="preserve">否 </w:t>
            </w:r>
            <w:r>
              <w:rPr>
                <w:rFonts w:hint="eastAsia" w:ascii="宋体" w:hAnsi="宋体"/>
                <w:b/>
                <w:bCs/>
                <w:color w:val="000000"/>
                <w:sz w:val="24"/>
                <w:szCs w:val="24"/>
                <w:highlight w:val="none"/>
              </w:rPr>
              <w:t xml:space="preserve">达到提供的全部产品成本之和的80%以上。</w:t>
            </w:r>
            <w:r>
              <w:rPr>
                <w:rFonts w:hint="eastAsia" w:ascii="宋体" w:hAnsi="宋体"/>
                <w:b/>
                <w:bCs/>
                <w:color w:val="000000"/>
                <w:sz w:val="24"/>
                <w:szCs w:val="24"/>
                <w:highlight w:val="none"/>
              </w:rPr>
            </w:r>
            <w:r/>
          </w:p>
          <w:p>
            <w:pPr>
              <w:pStyle w:val="86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spacing w:line="360" w:lineRule="auto"/>
        <w:rPr>
          <w:rFonts w:ascii="宋体" w:hAnsi="宋体"/>
          <w:color w:val="000000"/>
          <w:sz w:val="24"/>
          <w:highlight w:val="none"/>
        </w:rPr>
      </w:pPr>
      <w:r>
        <w:rPr>
          <w:rFonts w:ascii="宋体" w:hAnsi="宋体"/>
          <w:color w:val="000000"/>
          <w:sz w:val="24"/>
          <w:highlight w:val="none"/>
        </w:rPr>
      </w:r>
      <w:r/>
    </w:p>
    <w:p>
      <w:pPr>
        <w:pStyle w:val="934"/>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34"/>
        <w:ind w:firstLine="480"/>
        <w:jc w:val="both"/>
        <w:spacing w:before="0" w:beforeAutospacing="0" w:after="0" w:afterAutospacing="0" w:line="360" w:lineRule="auto"/>
        <w:rPr>
          <w:color w:val="000000"/>
          <w:highlight w:val="none"/>
        </w:rPr>
      </w:pPr>
      <w:r>
        <w:rPr>
          <w:rFonts w:hint="eastAsia"/>
          <w:color w:val="000000"/>
          <w:highlight w:val="none"/>
        </w:rPr>
        <w:t xml:space="preserve">3.</w:t>
      </w:r>
      <w:r>
        <w:rPr>
          <w:rFonts w:hint="eastAsia"/>
          <w:b/>
          <w:bCs/>
          <w:color w:val="000000"/>
          <w:highlight w:val="none"/>
        </w:rPr>
        <w:t xml:space="preserve">《投标分项报价表》中的分项名称须与“第四章采购需求-项目清单”中的分项名称一一对应，如有缺项、漏项，视为无效投标。</w:t>
      </w:r>
      <w:r>
        <w:rPr>
          <w:color w:val="000000"/>
          <w:highlight w:val="none"/>
        </w:rPr>
      </w:r>
      <w:r/>
    </w:p>
    <w:p>
      <w:pPr>
        <w:pStyle w:val="934"/>
        <w:ind w:firstLine="480"/>
        <w:jc w:val="both"/>
        <w:spacing w:before="0" w:beforeAutospacing="0" w:after="0" w:afterAutospacing="0" w:line="360" w:lineRule="auto"/>
        <w:rPr>
          <w:rFonts w:hint="eastAsia"/>
          <w:b/>
          <w:bCs/>
          <w:color w:val="000000"/>
          <w:highlight w:val="none"/>
        </w:rPr>
      </w:pPr>
      <w:r>
        <w:rPr>
          <w:rFonts w:hint="eastAsia"/>
          <w:color w:val="000000"/>
          <w:highlight w:val="none"/>
        </w:rPr>
        <w:t xml:space="preserve">4.</w:t>
      </w:r>
      <w:r>
        <w:rPr>
          <w:rFonts w:hint="eastAsia"/>
          <w:b/>
          <w:bCs/>
          <w:color w:val="000000"/>
          <w:highlight w:val="none"/>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869"/>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w:t>
      </w:r>
      <w:bookmarkEnd w:id="46"/>
      <w:r/>
      <w:bookmarkEnd w:id="47"/>
      <w:r/>
      <w:bookmarkEnd w:id="70"/>
      <w:r>
        <w:rPr>
          <w:rFonts w:hint="eastAsia" w:ascii="黑体" w:hAnsi="黑体" w:eastAsia="黑体"/>
          <w:color w:val="000000"/>
          <w:sz w:val="32"/>
          <w:szCs w:val="32"/>
          <w:highlight w:val="none"/>
        </w:rPr>
        <w:t xml:space="preserve">技术要求响应及偏离表</w:t>
      </w:r>
      <w:r>
        <w:rPr>
          <w:rFonts w:hint="eastAsia"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p>
      <w:pPr>
        <w:pStyle w:val="869"/>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9"/>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69"/>
        <w:ind w:right="180" w:firstLine="480"/>
        <w:spacing w:line="360" w:lineRule="auto"/>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spacing w:before="0" w:beforeAutospacing="0" w:after="0" w:afterAutospacing="0"/>
        <w:rPr>
          <w:color w:val="000000"/>
          <w:highlight w:val="none"/>
        </w:rPr>
      </w:pPr>
      <w:r>
        <w:rPr>
          <w:color w:val="000000"/>
          <w:highlight w:val="none"/>
        </w:rPr>
      </w:r>
      <w:r/>
    </w:p>
    <w:p>
      <w:pPr>
        <w:pStyle w:val="869"/>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1.投标人须对招标文件技术要求中的实质性要求（打“★”内容）作出明确响应，否则视为无效投标。</w:t>
      </w:r>
      <w:r>
        <w:rPr>
          <w:rFonts w:hint="eastAsia"/>
          <w:b/>
          <w:bCs/>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r>
      <w:r>
        <w:rPr>
          <w:rFonts w:hint="eastAsia" w:ascii="黑体" w:hAnsi="黑体" w:eastAsia="黑体"/>
          <w:iCs/>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r>
      <w:r>
        <w:rPr>
          <w:rFonts w:hint="eastAsia" w:ascii="黑体" w:hAnsi="黑体" w:eastAsia="黑体"/>
          <w:iCs/>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r>
      <w:r>
        <w:rPr>
          <w:rFonts w:hint="eastAsia" w:ascii="黑体" w:hAnsi="黑体" w:eastAsia="黑体"/>
          <w:iCs/>
          <w:color w:val="000000"/>
          <w:sz w:val="32"/>
          <w:szCs w:val="32"/>
          <w:highlight w:val="none"/>
        </w:rPr>
      </w:r>
      <w:r/>
    </w:p>
    <w:p>
      <w:pPr>
        <w:pStyle w:val="869"/>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七、商务要求响应及偏离表</w:t>
      </w:r>
      <w:r>
        <w:rPr>
          <w:rFonts w:hint="eastAsia" w:ascii="黑体" w:hAnsi="黑体" w:eastAsia="黑体"/>
          <w:iCs/>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869"/>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9"/>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69"/>
        <w:ind w:right="180" w:firstLine="480"/>
        <w:spacing w:line="360" w:lineRule="auto"/>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72" w:name="_Hlt26671372"/>
            <w:r/>
            <w:bookmarkEnd w:id="72"/>
            <w:r/>
            <w:bookmarkStart w:id="73" w:name="_Hlt26782999"/>
            <w:r/>
            <w:bookmarkEnd w:id="73"/>
            <w:r/>
            <w:bookmarkStart w:id="74" w:name="_Hlt24879081"/>
            <w:r/>
            <w:bookmarkEnd w:id="74"/>
            <w:r/>
            <w:bookmarkStart w:id="75" w:name="_Hlt26671343"/>
            <w:r/>
            <w:bookmarkEnd w:id="75"/>
            <w:r/>
            <w:bookmarkStart w:id="76" w:name="_Hlt26955056"/>
            <w:r/>
            <w:bookmarkEnd w:id="76"/>
            <w:r/>
            <w:bookmarkStart w:id="77" w:name="_Hlt26609391"/>
            <w:r/>
            <w:bookmarkEnd w:id="77"/>
            <w:r/>
            <w:bookmarkStart w:id="78" w:name="_Hlt26580838"/>
            <w:r/>
            <w:bookmarkEnd w:id="78"/>
            <w:r/>
            <w:bookmarkStart w:id="79" w:name="_Hlt26955064"/>
            <w:r/>
            <w:bookmarkEnd w:id="7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34"/>
        <w:ind w:firstLine="480"/>
        <w:jc w:val="both"/>
        <w:spacing w:before="0" w:beforeAutospacing="0" w:after="0" w:afterAutospacing="0" w:line="360" w:lineRule="auto"/>
        <w:rPr>
          <w:color w:val="000000"/>
          <w:highlight w:val="none"/>
        </w:rPr>
      </w:pPr>
      <w:r>
        <w:rPr>
          <w:rFonts w:hint="eastAsia"/>
          <w:color w:val="000000"/>
          <w:highlight w:val="none"/>
        </w:rPr>
        <w:t xml:space="preserve">1.</w:t>
      </w:r>
      <w:r>
        <w:rPr>
          <w:rFonts w:hint="eastAsia"/>
          <w:b/>
          <w:bCs/>
          <w:color w:val="000000"/>
          <w:highlight w:val="none"/>
        </w:rPr>
        <w:t xml:space="preserve">投标人须对招标文件商务要求中的实质性要求（打“★”内容）做出明确响应，否则视为无效投标。</w:t>
      </w:r>
      <w:r>
        <w:rPr>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69"/>
        <w:rPr>
          <w:color w:val="000000"/>
          <w:highlight w:val="none"/>
        </w:rPr>
      </w:pPr>
      <w:r>
        <w:rPr>
          <w:color w:val="000000"/>
          <w:highlight w:val="non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4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869"/>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八、中小企业声明函</w:t>
      </w:r>
      <w:r>
        <w:rPr>
          <w:rFonts w:hint="eastAsia" w:ascii="黑体" w:hAnsi="黑体" w:eastAsia="黑体"/>
          <w:iCs/>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8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服务全部由符合政策的中小企业承接。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hint="eastAsia" w:ascii="宋体" w:hAnsi="宋体"/>
          <w:color w:val="000000"/>
          <w:sz w:val="24"/>
          <w:szCs w:val="24"/>
          <w:highlight w:val="none"/>
        </w:rPr>
      </w:r>
      <w:r/>
    </w:p>
    <w:p>
      <w:pPr>
        <w:pStyle w:val="869"/>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69"/>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69"/>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4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360" w:lineRule="auto"/>
        <w:rPr>
          <w:rFonts w:hint="eastAsia"/>
          <w:color w:val="000000"/>
          <w:highlight w:val="none"/>
        </w:rPr>
      </w:pPr>
      <w:r>
        <w:rPr>
          <w:rFonts w:hint="eastAsia"/>
          <w:color w:val="000000"/>
          <w:highlight w:val="none"/>
        </w:rPr>
      </w:r>
      <w:r/>
    </w:p>
    <w:p>
      <w:pPr>
        <w:pStyle w:val="869"/>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69"/>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69"/>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869"/>
        <w:ind w:firstLine="480"/>
        <w:jc w:val="left"/>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2.</w:t>
      </w:r>
      <w:r>
        <w:rPr>
          <w:rFonts w:hint="eastAsia" w:ascii="宋体" w:hAnsi="宋体"/>
          <w:b/>
          <w:bCs/>
          <w:color w:val="000000"/>
          <w:sz w:val="24"/>
          <w:szCs w:val="24"/>
          <w:highlight w:val="none"/>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000000"/>
          <w:sz w:val="24"/>
          <w:szCs w:val="24"/>
          <w:highlight w:val="none"/>
        </w:rPr>
        <w:t xml:space="preserve">项目</w:t>
      </w:r>
      <w:r>
        <w:rPr>
          <w:rFonts w:hint="eastAsia" w:ascii="宋体" w:hAnsi="宋体"/>
          <w:b/>
          <w:bCs/>
          <w:color w:val="000000"/>
          <w:sz w:val="24"/>
          <w:szCs w:val="24"/>
          <w:highlight w:val="none"/>
        </w:rPr>
        <w:t xml:space="preserve">清单”中的“服务”产品需在此声明函中的“标的名称”中全部列明，并填写承接企业的具体情况。</w:t>
      </w:r>
      <w:r>
        <w:rPr>
          <w:rFonts w:hint="eastAsia" w:ascii="宋体" w:hAnsi="宋体"/>
          <w:b/>
          <w:bCs/>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rFonts w:hint="eastAsia" w:ascii="黑体" w:hAnsi="黑体" w:eastAsia="黑体"/>
          <w:color w:val="000000"/>
          <w:sz w:val="32"/>
          <w:szCs w:val="32"/>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w:t>
      </w:r>
      <w:r>
        <w:rPr>
          <w:rFonts w:hint="eastAsia" w:ascii="黑体" w:hAnsi="黑体" w:eastAsia="黑体"/>
          <w:iCs/>
          <w:color w:val="000000"/>
          <w:sz w:val="32"/>
          <w:szCs w:val="32"/>
          <w:highlight w:val="none"/>
        </w:rPr>
        <w:t xml:space="preserve">、</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4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360" w:lineRule="auto"/>
        <w:rPr>
          <w:rFonts w:hint="eastAsia"/>
          <w:color w:val="000000"/>
          <w:highlight w:val="none"/>
        </w:rPr>
      </w:pPr>
      <w:r>
        <w:rPr>
          <w:rFonts w:hint="eastAsia"/>
          <w:color w:val="000000"/>
          <w:highlight w:val="none"/>
        </w:rPr>
      </w:r>
      <w:r/>
    </w:p>
    <w:p>
      <w:pPr>
        <w:pStyle w:val="869"/>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69"/>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9"/>
        <w:ind w:firstLine="480"/>
        <w:spacing w:line="480" w:lineRule="exact"/>
        <w:rPr>
          <w:rFonts w:ascii="宋体" w:hAnsi="宋体"/>
          <w:color w:val="000000"/>
          <w:sz w:val="24"/>
          <w:highlight w:val="none"/>
        </w:rPr>
      </w:pPr>
      <w:r>
        <w:rPr>
          <w:rFonts w:ascii="宋体" w:hAnsi="宋体"/>
          <w:color w:val="000000"/>
          <w:sz w:val="24"/>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69"/>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t xml:space="preserve">十、联合体协议</w:t>
      </w:r>
      <w:r>
        <w:rPr>
          <w:rFonts w:hint="eastAsia" w:ascii="黑体" w:hAnsi="黑体" w:eastAsia="黑体"/>
          <w:iCs/>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69"/>
        <w:spacing w:line="360" w:lineRule="auto"/>
        <w:rPr>
          <w:rFonts w:ascii="宋体" w:hAnsi="宋体"/>
          <w:color w:val="000000"/>
          <w:sz w:val="24"/>
          <w:highlight w:val="none"/>
        </w:rPr>
      </w:pPr>
      <w:r>
        <w:rPr>
          <w:rFonts w:hint="eastAsia" w:ascii="宋体" w:hAnsi="宋体"/>
          <w:color w:val="000000"/>
          <w:sz w:val="24"/>
          <w:highlight w:val="none"/>
        </w:rPr>
        <w:t xml:space="preserve">（联合体中各投标人全称）在此达成以下协议：</w:t>
      </w:r>
      <w:r>
        <w:rPr>
          <w:rFonts w:ascii="宋体" w:hAnsi="宋体"/>
          <w:color w:val="000000"/>
          <w:sz w:val="24"/>
          <w:highlight w:val="none"/>
        </w:rPr>
      </w:r>
      <w:r/>
    </w:p>
    <w:p>
      <w:pPr>
        <w:pStyle w:val="869"/>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（投标人1），（投标人2）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（投标人名称）为牵头单位。</w:t>
      </w:r>
      <w:r>
        <w:rPr>
          <w:rFonts w:ascii="宋体" w:hAnsi="宋体"/>
          <w:color w:val="000000"/>
          <w:sz w:val="24"/>
          <w:highlight w:val="none"/>
        </w:rPr>
      </w:r>
      <w:r/>
    </w:p>
    <w:p>
      <w:pPr>
        <w:pStyle w:val="869"/>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（投标人名称）实施项目中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（投标人名称）实施项目中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（工作内容）部分工作，并承担相应的责任；……。（注：需明确联合体中各投标人所承担的工作和相应的责任）。</w:t>
      </w:r>
      <w:r>
        <w:rPr>
          <w:rFonts w:ascii="宋体" w:hAnsi="宋体"/>
          <w:color w:val="000000"/>
          <w:sz w:val="24"/>
          <w:highlight w:val="none"/>
        </w:rPr>
      </w:r>
      <w:r/>
    </w:p>
    <w:p>
      <w:pPr>
        <w:pStyle w:val="869"/>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9"/>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69"/>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联合体中各投标人全称：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69"/>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69"/>
        <w:ind w:firstLine="482"/>
        <w:spacing w:line="360" w:lineRule="auto"/>
        <w:rPr>
          <w:rFonts w:hint="eastAsia" w:ascii="宋体" w:hAnsi="宋体"/>
          <w:b/>
          <w:bCs/>
          <w:color w:val="000000"/>
          <w:sz w:val="24"/>
          <w:highlight w:val="none"/>
        </w:rPr>
      </w:pPr>
      <w:r>
        <w:rPr>
          <w:rFonts w:hint="eastAsia" w:ascii="宋体" w:hAnsi="宋体"/>
          <w:b/>
          <w:bCs/>
          <w:color w:val="000000"/>
          <w:sz w:val="24"/>
          <w:szCs w:val="24"/>
          <w:highlight w:val="none"/>
        </w:rPr>
        <w:t xml:space="preserve">2.</w:t>
      </w:r>
      <w:r>
        <w:rPr>
          <w:rFonts w:hint="eastAsia" w:ascii="宋体" w:hAnsi="宋体"/>
          <w:b/>
          <w:bCs/>
          <w:color w:val="000000"/>
          <w:sz w:val="24"/>
          <w:highlight w:val="none"/>
        </w:rPr>
        <w:t xml:space="preserve">除另有说明外，本招标文件要求加盖电子公章之处，加盖牵头单位的电子公章即可。</w:t>
      </w:r>
      <w:r>
        <w:rPr>
          <w:rFonts w:hint="eastAsia" w:ascii="宋体" w:hAnsi="宋体"/>
          <w:b/>
          <w:bCs/>
          <w:color w:val="000000"/>
          <w:sz w:val="24"/>
          <w:highlight w:val="none"/>
        </w:rPr>
      </w:r>
      <w:r/>
    </w:p>
    <w:p>
      <w:pPr>
        <w:pStyle w:val="881"/>
        <w:ind w:firstLine="480"/>
        <w:rPr>
          <w:rFonts w:hint="eastAsia"/>
          <w:color w:val="000000"/>
          <w:sz w:val="24"/>
          <w:highlight w:val="none"/>
        </w:rPr>
      </w:pPr>
      <w:r>
        <w:rPr>
          <w:rFonts w:hint="eastAsia"/>
          <w:color w:val="000000"/>
          <w:sz w:val="24"/>
          <w:highlight w:val="none"/>
        </w:rPr>
      </w:r>
      <w:r/>
    </w:p>
    <w:p>
      <w:pPr>
        <w:pStyle w:val="869"/>
        <w:rPr>
          <w:rFonts w:hint="eastAsia"/>
          <w:color w:val="000000"/>
          <w:highlight w:val="none"/>
        </w:rPr>
      </w:pPr>
      <w:r>
        <w:rPr>
          <w:rFonts w:hint="eastAsia"/>
          <w:color w:val="000000"/>
          <w:highlight w:val="none"/>
        </w:rPr>
      </w:r>
      <w:r/>
    </w:p>
    <w:p>
      <w:pPr>
        <w:pStyle w:val="869"/>
        <w:ind w:firstLine="645"/>
        <w:spacing w:line="560" w:lineRule="exact"/>
        <w:rPr>
          <w:rFonts w:ascii="宋体" w:hAnsi="宋体"/>
          <w:color w:val="000000"/>
          <w:sz w:val="24"/>
          <w:highlight w:val="none"/>
        </w:rPr>
      </w:pPr>
      <w:r>
        <w:rPr>
          <w:rFonts w:ascii="宋体" w:hAnsi="宋体"/>
          <w:color w:val="000000"/>
          <w:sz w:val="24"/>
          <w:highlight w:val="none"/>
        </w:rPr>
      </w:r>
      <w:r/>
    </w:p>
    <w:p>
      <w:pPr>
        <w:pStyle w:val="869"/>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48"/>
        <w:rPr>
          <w:rFonts w:hint="eastAsia" w:ascii="宋体" w:hAnsi="宋体"/>
          <w:color w:val="000000"/>
          <w:sz w:val="24"/>
          <w:highlight w:val="none"/>
        </w:rPr>
      </w:pPr>
      <w:r>
        <w:rPr>
          <w:rFonts w:hint="eastAsia" w:ascii="宋体" w:hAnsi="宋体"/>
          <w:color w:val="000000"/>
          <w:sz w:val="24"/>
          <w:highlight w:val="none"/>
        </w:rPr>
      </w:r>
      <w:r/>
    </w:p>
    <w:p>
      <w:pPr>
        <w:pStyle w:val="869"/>
        <w:jc w:val="left"/>
        <w:spacing w:line="360" w:lineRule="auto"/>
        <w:rPr>
          <w:rFonts w:hint="eastAsia" w:ascii="宋体" w:hAnsi="宋体"/>
          <w:color w:val="000000"/>
          <w:sz w:val="24"/>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黑体" w:hAnsi="黑体" w:eastAsia="黑体"/>
          <w:color w:val="000000"/>
          <w:sz w:val="32"/>
          <w:szCs w:val="32"/>
          <w:highlight w:val="none"/>
        </w:rPr>
        <w:t xml:space="preserve">十一、关于符合本国产品标准的声明函</w:t>
      </w:r>
      <w:r>
        <w:rPr>
          <w:rFonts w:hint="eastAsia" w:ascii="宋体" w:hAnsi="宋体"/>
          <w:color w:val="000000"/>
          <w:sz w:val="24"/>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4"/>
          <w:rFonts w:hint="eastAsia"/>
          <w:i w:val="0"/>
          <w:color w:val="000000"/>
          <w:highlight w:val="none"/>
          <w:u w:val="single"/>
          <w:shd w:val="clear" w:color="auto" w:fill="ffffff"/>
        </w:rPr>
        <w:t xml:space="preserve">（产品名称1）</w:t>
      </w:r>
      <w:r>
        <w:rPr>
          <w:rStyle w:val="944"/>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4"/>
          <w:rFonts w:hint="eastAsia"/>
          <w:i w:val="0"/>
          <w:color w:val="000000"/>
          <w:highlight w:val="none"/>
          <w:u w:val="single"/>
          <w:shd w:val="clear" w:color="auto" w:fill="ffffff"/>
        </w:rPr>
        <w:t xml:space="preserve">（厂名）</w:t>
      </w:r>
      <w:r>
        <w:rPr>
          <w:rStyle w:val="944"/>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4"/>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的中国境内生产的组件成本占比≥</w:t>
      </w:r>
      <w:r>
        <w:rPr>
          <w:rStyle w:val="944"/>
          <w:rFonts w:hint="eastAsia"/>
          <w:i w:val="0"/>
          <w:color w:val="000000"/>
          <w:highlight w:val="none"/>
          <w:u w:val="single"/>
          <w:shd w:val="clear" w:color="auto" w:fill="ffffff"/>
        </w:rPr>
        <w:t xml:space="preserve">（规定比例）</w:t>
      </w:r>
      <w:r>
        <w:rPr>
          <w:rStyle w:val="944"/>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944"/>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44"/>
          <w:rFonts w:hint="eastAsia"/>
          <w:i w:val="0"/>
          <w:color w:val="000000"/>
          <w:highlight w:val="none"/>
          <w:u w:val="single"/>
          <w:shd w:val="clear" w:color="auto" w:fill="ffffff"/>
        </w:rPr>
        <w:t xml:space="preserve">（关键组件）</w:t>
      </w:r>
      <w:r>
        <w:rPr>
          <w:rStyle w:val="944"/>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944"/>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44"/>
          <w:rFonts w:hint="eastAsia"/>
          <w:i w:val="0"/>
          <w:color w:val="000000"/>
          <w:highlight w:val="none"/>
          <w:u w:val="single"/>
          <w:shd w:val="clear" w:color="auto" w:fill="ffffff"/>
        </w:rPr>
        <w:t xml:space="preserve">（关键工序）</w:t>
      </w:r>
      <w:r>
        <w:rPr>
          <w:rStyle w:val="944"/>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w:t>
      </w:r>
      <w:r>
        <w:rPr>
          <w:rStyle w:val="94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4"/>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944"/>
          <w:rFonts w:hint="eastAsia"/>
          <w:i w:val="0"/>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94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44"/>
          <w:rFonts w:hint="eastAsia"/>
          <w:i w:val="0"/>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94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44"/>
          <w:rFonts w:hint="eastAsia"/>
          <w:i w:val="0"/>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934"/>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4"/>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934"/>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4"/>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4"/>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w:t>
      </w:r>
      <w:r>
        <w:rPr>
          <w:rFonts w:hint="eastAsia"/>
          <w:color w:val="000000"/>
          <w:sz w:val="21"/>
          <w:szCs w:val="21"/>
          <w:highlight w:val="none"/>
        </w:rPr>
      </w:r>
      <w:r/>
    </w:p>
    <w:p>
      <w:pPr>
        <w:pStyle w:val="934"/>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w:t>
      </w:r>
      <w:r>
        <w:rPr>
          <w:rFonts w:hint="eastAsia"/>
          <w:color w:val="00000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5.该产品的关键工序要求实施前，“关键工序”栏可不填。</w:t>
      </w:r>
      <w:r>
        <w:rPr>
          <w:rFonts w:hint="eastAsia"/>
          <w:color w:val="000000"/>
          <w:sz w:val="21"/>
          <w:szCs w:val="21"/>
          <w:highlight w:val="none"/>
          <w:shd w:val="clear" w:color="auto" w:fill="ffffff"/>
        </w:rPr>
      </w:r>
      <w:r/>
    </w:p>
    <w:p>
      <w:pPr>
        <w:pStyle w:val="934"/>
        <w:ind w:firstLine="420"/>
        <w:spacing w:before="24" w:beforeAutospacing="0" w:after="24" w:afterAutospacing="0" w:line="360" w:lineRule="auto"/>
        <w:shd w:val="clear" w:color="auto" w:fill="ffffff"/>
        <w:rPr>
          <w:color w:val="000000"/>
          <w:highlight w:val="none"/>
        </w:rPr>
      </w:pPr>
      <w:r>
        <w:rPr>
          <w:color w:val="000000"/>
          <w:highlight w:val="none"/>
        </w:rPr>
      </w:r>
      <w:r/>
    </w:p>
    <w:p>
      <w:pPr>
        <w:pStyle w:val="869"/>
        <w:jc w:val="left"/>
        <w:spacing w:line="360" w:lineRule="auto"/>
        <w:widowControl/>
        <w:rPr>
          <w:color w:val="000000"/>
          <w:highlight w:val="none"/>
        </w:rPr>
      </w:pPr>
      <w:r>
        <w:rPr>
          <w:rFonts w:hint="eastAsia"/>
          <w:color w:val="000000"/>
          <w:highlight w:val="none"/>
          <w:shd w:val="clear" w:color="auto" w:fill="ffffff"/>
        </w:rPr>
        <w:br w:type="page" w:clear="all"/>
      </w:r>
      <w:r>
        <w:rPr>
          <w:rFonts w:hint="eastAsia" w:ascii="黑体" w:hAnsi="黑体" w:eastAsia="黑体"/>
          <w:iCs/>
          <w:color w:val="000000"/>
          <w:sz w:val="32"/>
          <w:szCs w:val="32"/>
          <w:highlight w:val="none"/>
        </w:rPr>
        <w:t xml:space="preserve">十二、分包情况说明及分包意向协议</w:t>
      </w:r>
      <w:r>
        <w:rPr>
          <w:color w:val="000000"/>
          <w:highlight w:val="none"/>
        </w:rPr>
      </w:r>
      <w:r/>
    </w:p>
    <w:p>
      <w:pPr>
        <w:pStyle w:val="869"/>
        <w:jc w:val="center"/>
        <w:widowControl/>
        <w:rPr>
          <w:color w:val="000000"/>
          <w:highlight w:val="none"/>
        </w:rPr>
      </w:pPr>
      <w:r>
        <w:rPr>
          <w:rFonts w:ascii="宋体" w:hAnsi="宋体" w:cs="宋体"/>
          <w:b/>
          <w:bCs/>
          <w:color w:val="000000"/>
          <w:sz w:val="36"/>
          <w:szCs w:val="36"/>
          <w:highlight w:val="none"/>
          <w:lang w:bidi="ar"/>
        </w:rPr>
        <w:t xml:space="preserve">分包情况说明</w:t>
      </w:r>
      <w:r>
        <w:rPr>
          <w:color w:val="000000"/>
          <w:highlight w:val="none"/>
        </w:rPr>
      </w:r>
      <w:r/>
    </w:p>
    <w:p>
      <w:pPr>
        <w:pStyle w:val="869"/>
        <w:jc w:val="left"/>
        <w:widowControl/>
        <w:rPr>
          <w:color w:val="000000"/>
          <w:highlight w:val="none"/>
        </w:rPr>
      </w:pPr>
      <w:r>
        <w:rPr>
          <w:rFonts w:hint="eastAsia" w:ascii="宋体" w:hAnsi="宋体" w:cs="宋体"/>
          <w:color w:val="000000"/>
          <w:sz w:val="24"/>
          <w:szCs w:val="24"/>
          <w:highlight w:val="none"/>
          <w:lang w:bidi="ar"/>
        </w:rPr>
        <w:t xml:space="preserve">致：</w:t>
      </w:r>
      <w:r>
        <w:rPr>
          <w:rFonts w:hint="eastAsia"/>
          <w:color w:val="000000"/>
          <w:sz w:val="24"/>
          <w:szCs w:val="24"/>
          <w:highlight w:val="none"/>
          <w:u w:val="single"/>
          <w:lang w:bidi="ar"/>
        </w:rPr>
        <w:t xml:space="preserve">                </w:t>
      </w:r>
      <w:r>
        <w:rPr>
          <w:rFonts w:ascii="宋体" w:hAnsi="宋体" w:cs="宋体"/>
          <w:b/>
          <w:bCs/>
          <w:color w:val="000000"/>
          <w:sz w:val="24"/>
          <w:szCs w:val="24"/>
          <w:highlight w:val="none"/>
          <w:lang w:bidi="ar"/>
        </w:rPr>
        <w:t xml:space="preserve">（采购人名称） </w:t>
      </w:r>
      <w:r>
        <w:rPr>
          <w:color w:val="000000"/>
          <w:highlight w:val="none"/>
        </w:rPr>
      </w:r>
      <w:r/>
    </w:p>
    <w:p>
      <w:pPr>
        <w:pStyle w:val="869"/>
        <w:ind w:firstLine="480"/>
        <w:jc w:val="left"/>
        <w:widowControl/>
        <w:rPr>
          <w:color w:val="000000"/>
          <w:highlight w:val="none"/>
        </w:rPr>
      </w:pPr>
      <w:r>
        <w:rPr>
          <w:rFonts w:hint="eastAsia" w:ascii="宋体" w:hAnsi="宋体" w:cs="宋体"/>
          <w:color w:val="000000"/>
          <w:sz w:val="24"/>
          <w:szCs w:val="24"/>
          <w:highlight w:val="none"/>
          <w:lang w:bidi="ar"/>
        </w:rPr>
        <w:t xml:space="preserve">我单位参加项目编号为</w:t>
      </w:r>
      <w:r>
        <w:rPr>
          <w:color w:val="000000"/>
          <w:sz w:val="24"/>
          <w:szCs w:val="24"/>
          <w:highlight w:val="none"/>
          <w:lang w:bidi="ar"/>
        </w:rPr>
        <w:t xml:space="preserve">_______</w:t>
      </w:r>
      <w:r>
        <w:rPr>
          <w:rFonts w:hint="eastAsia" w:ascii="宋体" w:hAnsi="宋体" w:cs="宋体"/>
          <w:color w:val="000000"/>
          <w:sz w:val="24"/>
          <w:szCs w:val="24"/>
          <w:highlight w:val="none"/>
          <w:lang w:bidi="ar"/>
        </w:rPr>
        <w:t xml:space="preserve">的</w:t>
      </w:r>
      <w:r>
        <w:rPr>
          <w:color w:val="000000"/>
          <w:sz w:val="24"/>
          <w:szCs w:val="24"/>
          <w:highlight w:val="none"/>
          <w:lang w:bidi="ar"/>
        </w:rPr>
        <w:t xml:space="preserve">_________</w:t>
      </w:r>
      <w:r>
        <w:rPr>
          <w:rFonts w:hint="eastAsia" w:ascii="宋体" w:hAnsi="宋体" w:cs="宋体"/>
          <w:color w:val="000000"/>
          <w:sz w:val="24"/>
          <w:szCs w:val="24"/>
          <w:highlight w:val="none"/>
          <w:lang w:bidi="ar"/>
        </w:rPr>
        <w:t xml:space="preserve">项目（项目名称）中</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69"/>
              <w:jc w:val="center"/>
              <w:widowControl/>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543" w:type="dxa"/>
            <w:vAlign w:val="center"/>
            <w:textDirection w:val="lrTb"/>
            <w:noWrap w:val="false"/>
          </w:tcPr>
          <w:p>
            <w:pPr>
              <w:pStyle w:val="869"/>
              <w:jc w:val="center"/>
              <w:widowControl/>
              <w:rPr>
                <w:color w:val="000000"/>
                <w:highlight w:val="none"/>
              </w:rPr>
            </w:pPr>
            <w:r>
              <w:rPr>
                <w:rFonts w:hint="eastAsia"/>
                <w:color w:val="000000"/>
                <w:highlight w:val="none"/>
              </w:rPr>
              <w:t xml:space="preserve">分包承担主体名称</w:t>
            </w:r>
            <w:r>
              <w:rPr>
                <w:color w:val="000000"/>
                <w:highlight w:val="none"/>
              </w:rPr>
            </w:r>
            <w:r/>
          </w:p>
        </w:tc>
        <w:tc>
          <w:tcPr>
            <w:tcW w:w="1543" w:type="dxa"/>
            <w:vAlign w:val="center"/>
            <w:textDirection w:val="lrTb"/>
            <w:noWrap w:val="false"/>
          </w:tcPr>
          <w:p>
            <w:pPr>
              <w:pStyle w:val="869"/>
              <w:jc w:val="center"/>
              <w:widowControl/>
              <w:rPr>
                <w:color w:val="000000"/>
                <w:highlight w:val="none"/>
              </w:rPr>
            </w:pPr>
            <w:r>
              <w:rPr>
                <w:rFonts w:hint="eastAsia"/>
                <w:color w:val="000000"/>
                <w:highlight w:val="none"/>
              </w:rPr>
              <w:t xml:space="preserve">分包承担主体类型（大型、中型、小型、微型）</w:t>
            </w:r>
            <w:r>
              <w:rPr>
                <w:color w:val="000000"/>
                <w:highlight w:val="none"/>
              </w:rPr>
            </w:r>
            <w:r/>
          </w:p>
        </w:tc>
        <w:tc>
          <w:tcPr>
            <w:tcW w:w="1596" w:type="dxa"/>
            <w:vAlign w:val="center"/>
            <w:textDirection w:val="lrTb"/>
            <w:noWrap w:val="false"/>
          </w:tcPr>
          <w:p>
            <w:pPr>
              <w:pStyle w:val="869"/>
              <w:jc w:val="center"/>
              <w:widowControl/>
              <w:rPr>
                <w:color w:val="000000"/>
                <w:highlight w:val="none"/>
              </w:rPr>
            </w:pPr>
            <w:r>
              <w:rPr>
                <w:rFonts w:hint="eastAsia"/>
                <w:color w:val="000000"/>
                <w:highlight w:val="none"/>
              </w:rPr>
              <w:t xml:space="preserve">分包承担主体资质</w:t>
            </w:r>
            <w:r>
              <w:rPr>
                <w:color w:val="000000"/>
                <w:highlight w:val="none"/>
              </w:rPr>
            </w:r>
            <w:r/>
          </w:p>
        </w:tc>
        <w:tc>
          <w:tcPr>
            <w:tcW w:w="1811" w:type="dxa"/>
            <w:vAlign w:val="center"/>
            <w:textDirection w:val="lrTb"/>
            <w:noWrap w:val="false"/>
          </w:tcPr>
          <w:p>
            <w:pPr>
              <w:pStyle w:val="869"/>
              <w:jc w:val="center"/>
              <w:widowControl/>
              <w:rPr>
                <w:color w:val="000000"/>
                <w:highlight w:val="none"/>
              </w:rPr>
            </w:pPr>
            <w:r>
              <w:rPr>
                <w:rFonts w:hint="eastAsia"/>
                <w:color w:val="000000"/>
                <w:highlight w:val="none"/>
              </w:rPr>
              <w:t xml:space="preserve">分包标的内容</w:t>
            </w:r>
            <w:r>
              <w:rPr>
                <w:color w:val="000000"/>
                <w:highlight w:val="none"/>
              </w:rPr>
            </w:r>
            <w:r/>
          </w:p>
        </w:tc>
        <w:tc>
          <w:tcPr>
            <w:tcW w:w="1586" w:type="dxa"/>
            <w:vAlign w:val="center"/>
            <w:textDirection w:val="lrTb"/>
            <w:noWrap w:val="false"/>
          </w:tcPr>
          <w:p>
            <w:pPr>
              <w:pStyle w:val="869"/>
              <w:jc w:val="center"/>
              <w:widowControl/>
              <w:rPr>
                <w:color w:val="000000"/>
                <w:highlight w:val="none"/>
              </w:rPr>
            </w:pPr>
            <w:r>
              <w:rPr>
                <w:rFonts w:hint="eastAsia"/>
                <w:color w:val="000000"/>
                <w:highlight w:val="none"/>
              </w:rPr>
              <w:t xml:space="preserve">分包合同金额（元）</w:t>
            </w:r>
            <w:r>
              <w:rPr>
                <w:color w:val="000000"/>
                <w:highlight w:val="none"/>
              </w:rPr>
            </w:r>
            <w:r/>
          </w:p>
        </w:tc>
        <w:tc>
          <w:tcPr>
            <w:tcW w:w="1287" w:type="dxa"/>
            <w:vAlign w:val="center"/>
            <w:textDirection w:val="lrTb"/>
            <w:noWrap w:val="false"/>
          </w:tcPr>
          <w:p>
            <w:pPr>
              <w:pStyle w:val="869"/>
              <w:jc w:val="center"/>
              <w:widowControl/>
              <w:rPr>
                <w:color w:val="000000"/>
                <w:highlight w:val="none"/>
              </w:rPr>
            </w:pPr>
            <w:r>
              <w:rPr>
                <w:rFonts w:hint="eastAsia"/>
                <w:color w:val="000000"/>
                <w:highlight w:val="none"/>
              </w:rPr>
              <w:t xml:space="preserve">占合同总额的比例（%）</w:t>
            </w:r>
            <w:r>
              <w:rPr>
                <w:color w:val="000000"/>
                <w:highlight w:val="none"/>
              </w:rPr>
            </w:r>
            <w:r/>
          </w:p>
        </w:tc>
      </w:tr>
      <w:tr>
        <w:trPr>
          <w:trHeight w:val="488"/>
        </w:trPr>
        <w:tc>
          <w:tcPr>
            <w:tcW w:w="596" w:type="dxa"/>
            <w:vAlign w:val="center"/>
            <w:textDirection w:val="lrTb"/>
            <w:noWrap w:val="false"/>
          </w:tcPr>
          <w:p>
            <w:pPr>
              <w:pStyle w:val="869"/>
              <w:jc w:val="center"/>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W w:w="1543" w:type="dxa"/>
            <w:vAlign w:val="center"/>
            <w:textDirection w:val="lrTb"/>
            <w:noWrap w:val="false"/>
          </w:tcPr>
          <w:p>
            <w:pPr>
              <w:pStyle w:val="869"/>
              <w:jc w:val="center"/>
              <w:widowControl/>
              <w:rPr>
                <w:color w:val="000000"/>
                <w:highlight w:val="none"/>
              </w:rPr>
            </w:pPr>
            <w:r>
              <w:rPr>
                <w:color w:val="000000"/>
                <w:highlight w:val="none"/>
              </w:rPr>
            </w:r>
            <w:r/>
          </w:p>
        </w:tc>
        <w:tc>
          <w:tcPr>
            <w:tcW w:w="1543" w:type="dxa"/>
            <w:vAlign w:val="center"/>
            <w:textDirection w:val="lrTb"/>
            <w:noWrap w:val="false"/>
          </w:tcPr>
          <w:p>
            <w:pPr>
              <w:pStyle w:val="869"/>
              <w:jc w:val="center"/>
              <w:widowControl/>
              <w:rPr>
                <w:color w:val="000000"/>
                <w:highlight w:val="none"/>
              </w:rPr>
            </w:pPr>
            <w:r>
              <w:rPr>
                <w:color w:val="000000"/>
                <w:highlight w:val="none"/>
              </w:rPr>
            </w:r>
            <w:r/>
          </w:p>
        </w:tc>
        <w:tc>
          <w:tcPr>
            <w:tcW w:w="1596" w:type="dxa"/>
            <w:vAlign w:val="center"/>
            <w:textDirection w:val="lrTb"/>
            <w:noWrap w:val="false"/>
          </w:tcPr>
          <w:p>
            <w:pPr>
              <w:pStyle w:val="869"/>
              <w:jc w:val="center"/>
              <w:widowControl/>
              <w:rPr>
                <w:color w:val="000000"/>
                <w:highlight w:val="none"/>
              </w:rPr>
            </w:pPr>
            <w:r>
              <w:rPr>
                <w:color w:val="000000"/>
                <w:highlight w:val="none"/>
              </w:rPr>
            </w:r>
            <w:r/>
          </w:p>
        </w:tc>
        <w:tc>
          <w:tcPr>
            <w:tcW w:w="1811" w:type="dxa"/>
            <w:vAlign w:val="center"/>
            <w:textDirection w:val="lrTb"/>
            <w:noWrap w:val="false"/>
          </w:tcPr>
          <w:p>
            <w:pPr>
              <w:pStyle w:val="869"/>
              <w:jc w:val="center"/>
              <w:widowControl/>
              <w:rPr>
                <w:color w:val="000000"/>
                <w:highlight w:val="none"/>
              </w:rPr>
            </w:pPr>
            <w:r>
              <w:rPr>
                <w:color w:val="000000"/>
                <w:highlight w:val="none"/>
              </w:rPr>
            </w:r>
            <w:r/>
          </w:p>
        </w:tc>
        <w:tc>
          <w:tcPr>
            <w:tcW w:w="1586" w:type="dxa"/>
            <w:vAlign w:val="center"/>
            <w:textDirection w:val="lrTb"/>
            <w:noWrap w:val="false"/>
          </w:tcPr>
          <w:p>
            <w:pPr>
              <w:pStyle w:val="869"/>
              <w:jc w:val="center"/>
              <w:widowControl/>
              <w:rPr>
                <w:color w:val="000000"/>
                <w:highlight w:val="none"/>
              </w:rPr>
            </w:pPr>
            <w:r>
              <w:rPr>
                <w:color w:val="000000"/>
                <w:highlight w:val="none"/>
              </w:rPr>
            </w:r>
            <w:r/>
          </w:p>
        </w:tc>
        <w:tc>
          <w:tcPr>
            <w:tcW w:w="1287" w:type="dxa"/>
            <w:vAlign w:val="center"/>
            <w:textDirection w:val="lrTb"/>
            <w:noWrap w:val="false"/>
          </w:tcPr>
          <w:p>
            <w:pPr>
              <w:pStyle w:val="869"/>
              <w:jc w:val="center"/>
              <w:widowControl/>
              <w:rPr>
                <w:color w:val="000000"/>
                <w:highlight w:val="none"/>
              </w:rPr>
            </w:pPr>
            <w:r>
              <w:rPr>
                <w:color w:val="000000"/>
                <w:highlight w:val="none"/>
              </w:rPr>
            </w:r>
            <w:r/>
          </w:p>
        </w:tc>
      </w:tr>
      <w:tr>
        <w:trPr>
          <w:trHeight w:val="488"/>
        </w:trPr>
        <w:tc>
          <w:tcPr>
            <w:tcW w:w="596" w:type="dxa"/>
            <w:vAlign w:val="center"/>
            <w:textDirection w:val="lrTb"/>
            <w:noWrap w:val="false"/>
          </w:tcPr>
          <w:p>
            <w:pPr>
              <w:pStyle w:val="869"/>
              <w:jc w:val="center"/>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W w:w="1543" w:type="dxa"/>
            <w:vAlign w:val="center"/>
            <w:textDirection w:val="lrTb"/>
            <w:noWrap w:val="false"/>
          </w:tcPr>
          <w:p>
            <w:pPr>
              <w:pStyle w:val="869"/>
              <w:jc w:val="center"/>
              <w:widowControl/>
              <w:rPr>
                <w:color w:val="000000"/>
                <w:highlight w:val="none"/>
              </w:rPr>
            </w:pPr>
            <w:r>
              <w:rPr>
                <w:color w:val="000000"/>
                <w:highlight w:val="none"/>
              </w:rPr>
            </w:r>
            <w:r/>
          </w:p>
        </w:tc>
        <w:tc>
          <w:tcPr>
            <w:tcW w:w="1543" w:type="dxa"/>
            <w:vAlign w:val="center"/>
            <w:textDirection w:val="lrTb"/>
            <w:noWrap w:val="false"/>
          </w:tcPr>
          <w:p>
            <w:pPr>
              <w:pStyle w:val="869"/>
              <w:jc w:val="center"/>
              <w:widowControl/>
              <w:rPr>
                <w:color w:val="000000"/>
                <w:highlight w:val="none"/>
              </w:rPr>
            </w:pPr>
            <w:r>
              <w:rPr>
                <w:color w:val="000000"/>
                <w:highlight w:val="none"/>
              </w:rPr>
            </w:r>
            <w:r/>
          </w:p>
        </w:tc>
        <w:tc>
          <w:tcPr>
            <w:tcW w:w="1596" w:type="dxa"/>
            <w:vAlign w:val="center"/>
            <w:textDirection w:val="lrTb"/>
            <w:noWrap w:val="false"/>
          </w:tcPr>
          <w:p>
            <w:pPr>
              <w:pStyle w:val="869"/>
              <w:jc w:val="center"/>
              <w:widowControl/>
              <w:rPr>
                <w:color w:val="000000"/>
                <w:highlight w:val="none"/>
              </w:rPr>
            </w:pPr>
            <w:r>
              <w:rPr>
                <w:color w:val="000000"/>
                <w:highlight w:val="none"/>
              </w:rPr>
            </w:r>
            <w:r/>
          </w:p>
        </w:tc>
        <w:tc>
          <w:tcPr>
            <w:tcW w:w="1811" w:type="dxa"/>
            <w:vAlign w:val="center"/>
            <w:textDirection w:val="lrTb"/>
            <w:noWrap w:val="false"/>
          </w:tcPr>
          <w:p>
            <w:pPr>
              <w:pStyle w:val="869"/>
              <w:jc w:val="center"/>
              <w:widowControl/>
              <w:rPr>
                <w:color w:val="000000"/>
                <w:highlight w:val="none"/>
              </w:rPr>
            </w:pPr>
            <w:r>
              <w:rPr>
                <w:color w:val="000000"/>
                <w:highlight w:val="none"/>
              </w:rPr>
            </w:r>
            <w:r/>
          </w:p>
        </w:tc>
        <w:tc>
          <w:tcPr>
            <w:tcW w:w="1586" w:type="dxa"/>
            <w:vAlign w:val="center"/>
            <w:textDirection w:val="lrTb"/>
            <w:noWrap w:val="false"/>
          </w:tcPr>
          <w:p>
            <w:pPr>
              <w:pStyle w:val="869"/>
              <w:jc w:val="center"/>
              <w:widowControl/>
              <w:rPr>
                <w:color w:val="000000"/>
                <w:highlight w:val="none"/>
              </w:rPr>
            </w:pPr>
            <w:r>
              <w:rPr>
                <w:color w:val="000000"/>
                <w:highlight w:val="none"/>
              </w:rPr>
            </w:r>
            <w:r/>
          </w:p>
        </w:tc>
        <w:tc>
          <w:tcPr>
            <w:tcW w:w="1287" w:type="dxa"/>
            <w:vAlign w:val="center"/>
            <w:textDirection w:val="lrTb"/>
            <w:noWrap w:val="false"/>
          </w:tcPr>
          <w:p>
            <w:pPr>
              <w:pStyle w:val="869"/>
              <w:jc w:val="center"/>
              <w:widowControl/>
              <w:rPr>
                <w:color w:val="000000"/>
                <w:highlight w:val="none"/>
              </w:rPr>
            </w:pPr>
            <w:r>
              <w:rPr>
                <w:color w:val="000000"/>
                <w:highlight w:val="none"/>
              </w:rPr>
            </w:r>
            <w:r/>
          </w:p>
        </w:tc>
      </w:tr>
      <w:tr>
        <w:trPr>
          <w:trHeight w:val="456"/>
        </w:trPr>
        <w:tc>
          <w:tcPr>
            <w:tcW w:w="596" w:type="dxa"/>
            <w:vAlign w:val="center"/>
            <w:textDirection w:val="lrTb"/>
            <w:noWrap w:val="false"/>
          </w:tcPr>
          <w:p>
            <w:pPr>
              <w:pStyle w:val="869"/>
              <w:jc w:val="center"/>
              <w:widowControl/>
              <w:rPr>
                <w:color w:val="000000"/>
                <w:highlight w:val="none"/>
              </w:rPr>
            </w:pPr>
            <w:r>
              <w:rPr>
                <w:rFonts w:hint="eastAsia"/>
                <w:color w:val="000000"/>
                <w:highlight w:val="none"/>
              </w:rPr>
              <w:t xml:space="preserve">...</w:t>
            </w:r>
            <w:r>
              <w:rPr>
                <w:color w:val="000000"/>
                <w:highlight w:val="none"/>
              </w:rPr>
            </w:r>
            <w:r/>
          </w:p>
        </w:tc>
        <w:tc>
          <w:tcPr>
            <w:tcW w:w="1543" w:type="dxa"/>
            <w:vAlign w:val="center"/>
            <w:textDirection w:val="lrTb"/>
            <w:noWrap w:val="false"/>
          </w:tcPr>
          <w:p>
            <w:pPr>
              <w:pStyle w:val="869"/>
              <w:jc w:val="center"/>
              <w:widowControl/>
              <w:rPr>
                <w:color w:val="000000"/>
                <w:highlight w:val="none"/>
              </w:rPr>
            </w:pPr>
            <w:r>
              <w:rPr>
                <w:color w:val="000000"/>
                <w:highlight w:val="none"/>
              </w:rPr>
            </w:r>
            <w:r/>
          </w:p>
        </w:tc>
        <w:tc>
          <w:tcPr>
            <w:tcW w:w="1543" w:type="dxa"/>
            <w:vAlign w:val="center"/>
            <w:textDirection w:val="lrTb"/>
            <w:noWrap w:val="false"/>
          </w:tcPr>
          <w:p>
            <w:pPr>
              <w:pStyle w:val="869"/>
              <w:jc w:val="center"/>
              <w:widowControl/>
              <w:rPr>
                <w:color w:val="000000"/>
                <w:highlight w:val="none"/>
              </w:rPr>
            </w:pPr>
            <w:r>
              <w:rPr>
                <w:color w:val="000000"/>
                <w:highlight w:val="none"/>
              </w:rPr>
            </w:r>
            <w:r/>
          </w:p>
        </w:tc>
        <w:tc>
          <w:tcPr>
            <w:tcW w:w="1596" w:type="dxa"/>
            <w:vAlign w:val="center"/>
            <w:textDirection w:val="lrTb"/>
            <w:noWrap w:val="false"/>
          </w:tcPr>
          <w:p>
            <w:pPr>
              <w:pStyle w:val="869"/>
              <w:jc w:val="center"/>
              <w:widowControl/>
              <w:rPr>
                <w:color w:val="000000"/>
                <w:highlight w:val="none"/>
              </w:rPr>
            </w:pPr>
            <w:r>
              <w:rPr>
                <w:color w:val="000000"/>
                <w:highlight w:val="none"/>
              </w:rPr>
            </w:r>
            <w:r/>
          </w:p>
        </w:tc>
        <w:tc>
          <w:tcPr>
            <w:tcW w:w="1811" w:type="dxa"/>
            <w:vAlign w:val="center"/>
            <w:textDirection w:val="lrTb"/>
            <w:noWrap w:val="false"/>
          </w:tcPr>
          <w:p>
            <w:pPr>
              <w:pStyle w:val="869"/>
              <w:jc w:val="center"/>
              <w:widowControl/>
              <w:rPr>
                <w:color w:val="000000"/>
                <w:highlight w:val="none"/>
              </w:rPr>
            </w:pPr>
            <w:r>
              <w:rPr>
                <w:color w:val="000000"/>
                <w:highlight w:val="none"/>
              </w:rPr>
            </w:r>
            <w:r/>
          </w:p>
        </w:tc>
        <w:tc>
          <w:tcPr>
            <w:tcW w:w="1586" w:type="dxa"/>
            <w:vAlign w:val="center"/>
            <w:textDirection w:val="lrTb"/>
            <w:noWrap w:val="false"/>
          </w:tcPr>
          <w:p>
            <w:pPr>
              <w:pStyle w:val="869"/>
              <w:jc w:val="center"/>
              <w:widowControl/>
              <w:rPr>
                <w:color w:val="000000"/>
                <w:highlight w:val="none"/>
              </w:rPr>
            </w:pPr>
            <w:r>
              <w:rPr>
                <w:color w:val="000000"/>
                <w:highlight w:val="none"/>
              </w:rPr>
            </w:r>
            <w:r/>
          </w:p>
        </w:tc>
        <w:tc>
          <w:tcPr>
            <w:tcW w:w="1287" w:type="dxa"/>
            <w:vAlign w:val="center"/>
            <w:textDirection w:val="lrTb"/>
            <w:noWrap w:val="false"/>
          </w:tcPr>
          <w:p>
            <w:pPr>
              <w:pStyle w:val="869"/>
              <w:jc w:val="center"/>
              <w:widowControl/>
              <w:rPr>
                <w:color w:val="000000"/>
                <w:highlight w:val="none"/>
              </w:rPr>
            </w:pPr>
            <w:r>
              <w:rPr>
                <w:color w:val="000000"/>
                <w:highlight w:val="none"/>
              </w:rPr>
            </w:r>
            <w:r/>
          </w:p>
        </w:tc>
      </w:tr>
      <w:tr>
        <w:trPr>
          <w:trHeight w:val="475"/>
        </w:trPr>
        <w:tc>
          <w:tcPr>
            <w:gridSpan w:val="5"/>
            <w:tcW w:w="7089" w:type="dxa"/>
            <w:vAlign w:val="center"/>
            <w:textDirection w:val="lrTb"/>
            <w:noWrap w:val="false"/>
          </w:tcPr>
          <w:p>
            <w:pPr>
              <w:pStyle w:val="869"/>
              <w:jc w:val="center"/>
              <w:widowControl/>
              <w:rPr>
                <w:rFonts w:hint="eastAsia"/>
                <w:color w:val="000000"/>
                <w:highlight w:val="none"/>
              </w:rPr>
            </w:pPr>
            <w:r>
              <w:rPr>
                <w:rFonts w:hint="eastAsia"/>
                <w:color w:val="000000"/>
                <w:highlight w:val="none"/>
              </w:rPr>
              <w:t xml:space="preserve">合计</w:t>
            </w:r>
            <w:r>
              <w:rPr>
                <w:rFonts w:hint="eastAsia"/>
                <w:color w:val="000000"/>
                <w:highlight w:val="none"/>
              </w:rPr>
            </w:r>
            <w:r/>
          </w:p>
        </w:tc>
        <w:tc>
          <w:tcPr>
            <w:tcW w:w="1586" w:type="dxa"/>
            <w:vAlign w:val="center"/>
            <w:textDirection w:val="lrTb"/>
            <w:noWrap w:val="false"/>
          </w:tcPr>
          <w:p>
            <w:pPr>
              <w:pStyle w:val="869"/>
              <w:jc w:val="center"/>
              <w:widowControl/>
              <w:rPr>
                <w:color w:val="000000"/>
                <w:highlight w:val="none"/>
              </w:rPr>
            </w:pPr>
            <w:r>
              <w:rPr>
                <w:color w:val="000000"/>
                <w:highlight w:val="none"/>
              </w:rPr>
            </w:r>
            <w:r/>
          </w:p>
        </w:tc>
        <w:tc>
          <w:tcPr>
            <w:tcW w:w="1287" w:type="dxa"/>
            <w:vAlign w:val="center"/>
            <w:textDirection w:val="lrTb"/>
            <w:noWrap w:val="false"/>
          </w:tcPr>
          <w:p>
            <w:pPr>
              <w:pStyle w:val="869"/>
              <w:jc w:val="center"/>
              <w:widowControl/>
              <w:rPr>
                <w:color w:val="000000"/>
                <w:highlight w:val="none"/>
              </w:rPr>
            </w:pPr>
            <w:r>
              <w:rPr>
                <w:color w:val="000000"/>
                <w:highlight w:val="none"/>
              </w:rPr>
            </w:r>
            <w:r/>
          </w:p>
        </w:tc>
      </w:tr>
    </w:tbl>
    <w:p>
      <w:pPr>
        <w:pStyle w:val="869"/>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69"/>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69"/>
        <w:ind w:firstLine="480"/>
        <w:jc w:val="right"/>
        <w:widowControl/>
        <w:rPr>
          <w:color w:val="000000"/>
          <w:highlight w:val="none"/>
        </w:rPr>
      </w:pPr>
      <w:r>
        <w:rPr>
          <w:rFonts w:hint="eastAsia" w:ascii="宋体" w:hAnsi="宋体" w:cs="宋体"/>
          <w:color w:val="000000"/>
          <w:sz w:val="24"/>
          <w:szCs w:val="24"/>
          <w:highlight w:val="none"/>
          <w:lang w:bidi="ar"/>
        </w:rPr>
        <w:t xml:space="preserve">投标人名称（加盖公章）：</w:t>
      </w:r>
      <w:r>
        <w:rPr>
          <w:color w:val="000000"/>
          <w:sz w:val="24"/>
          <w:szCs w:val="24"/>
          <w:highlight w:val="none"/>
          <w:lang w:bidi="ar"/>
        </w:rPr>
        <w:t xml:space="preserve">______ </w:t>
      </w:r>
      <w:r>
        <w:rPr>
          <w:color w:val="000000"/>
          <w:highlight w:val="none"/>
        </w:rPr>
      </w:r>
      <w:r/>
    </w:p>
    <w:p>
      <w:pPr>
        <w:pStyle w:val="869"/>
        <w:ind w:firstLine="480"/>
        <w:jc w:val="right"/>
        <w:widowControl/>
        <w:rPr>
          <w:color w:val="000000"/>
          <w:highlight w:val="none"/>
        </w:rPr>
      </w:pPr>
      <w:r>
        <w:rPr>
          <w:rFonts w:hint="eastAsia" w:ascii="宋体" w:hAnsi="宋体" w:cs="宋体"/>
          <w:color w:val="000000"/>
          <w:sz w:val="24"/>
          <w:szCs w:val="24"/>
          <w:highlight w:val="none"/>
          <w:lang w:bidi="ar"/>
        </w:rPr>
        <w:t xml:space="preserve">日期：</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年</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月</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日</w:t>
      </w:r>
      <w:r>
        <w:rPr>
          <w:color w:val="000000"/>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869"/>
        <w:ind w:firstLine="480"/>
        <w:jc w:val="left"/>
        <w:widowControl/>
        <w:rPr>
          <w:color w:val="000000"/>
          <w:highlight w:val="none"/>
        </w:rPr>
      </w:pPr>
      <w:r>
        <w:rPr>
          <w:rFonts w:hint="eastAsia" w:ascii="宋体" w:hAnsi="宋体" w:cs="宋体"/>
          <w:color w:val="000000"/>
          <w:sz w:val="24"/>
          <w:szCs w:val="24"/>
          <w:highlight w:val="none"/>
          <w:lang w:bidi="ar"/>
        </w:rPr>
        <w:t xml:space="preserve">注： </w:t>
      </w:r>
      <w:r>
        <w:rPr>
          <w:color w:val="000000"/>
          <w:highlight w:val="none"/>
        </w:rPr>
      </w:r>
      <w:r/>
    </w:p>
    <w:p>
      <w:pPr>
        <w:pStyle w:val="869"/>
        <w:ind w:firstLine="480"/>
        <w:jc w:val="left"/>
        <w:widowControl/>
        <w:rPr>
          <w:color w:val="000000"/>
          <w:highlight w:val="none"/>
        </w:rPr>
      </w:pPr>
      <w:r>
        <w:rPr>
          <w:color w:val="000000"/>
          <w:sz w:val="24"/>
          <w:szCs w:val="24"/>
          <w:highlight w:val="none"/>
          <w:lang w:bidi="ar"/>
        </w:rPr>
        <w:t xml:space="preserve">1.</w:t>
      </w:r>
      <w:r>
        <w:rPr>
          <w:rFonts w:hint="eastAsia" w:ascii="宋体" w:hAnsi="宋体" w:cs="宋体"/>
          <w:color w:val="000000"/>
          <w:sz w:val="24"/>
          <w:szCs w:val="24"/>
          <w:highlight w:val="none"/>
          <w:lang w:bidi="ar"/>
        </w:rPr>
        <w:t xml:space="preserve">如本项目（包）允许分包，且投标人拟在中标后进行分包的，必须在投标文件中提供分包情况说明。 </w:t>
      </w:r>
      <w:r>
        <w:rPr>
          <w:color w:val="000000"/>
          <w:highlight w:val="none"/>
        </w:rPr>
      </w:r>
      <w:r/>
    </w:p>
    <w:p>
      <w:pPr>
        <w:pStyle w:val="869"/>
        <w:ind w:firstLine="480"/>
        <w:jc w:val="left"/>
        <w:widowControl/>
        <w:rPr>
          <w:rFonts w:hint="eastAsia"/>
          <w:color w:val="000000"/>
          <w:highlight w:val="none"/>
        </w:rPr>
      </w:pPr>
      <w:r>
        <w:rPr>
          <w:color w:val="000000"/>
          <w:sz w:val="24"/>
          <w:szCs w:val="24"/>
          <w:highlight w:val="none"/>
          <w:lang w:bidi="ar"/>
        </w:rPr>
        <w:t xml:space="preserve">2.</w:t>
      </w:r>
      <w:r>
        <w:rPr>
          <w:rFonts w:hint="eastAsia" w:ascii="宋体" w:hAnsi="宋体" w:cs="宋体"/>
          <w:color w:val="000000"/>
          <w:sz w:val="24"/>
          <w:szCs w:val="24"/>
          <w:highlight w:val="none"/>
          <w:lang w:bidi="ar"/>
        </w:rPr>
        <w:t xml:space="preserve">如本招标文件载明本项目分包承担主体应具备的相应资质条件，则投标人须在本表中列明分包承担主体的资质等级，并提供资质证书。</w:t>
      </w:r>
      <w:r>
        <w:rPr>
          <w:rFonts w:hint="eastAsia"/>
          <w:color w:val="000000"/>
          <w:highlight w:val="none"/>
        </w:rPr>
      </w:r>
      <w:r/>
    </w:p>
    <w:p>
      <w:pPr>
        <w:pStyle w:val="869"/>
        <w:jc w:val="center"/>
        <w:spacing w:line="360" w:lineRule="auto"/>
        <w:widowControl/>
        <w:rPr>
          <w:color w:val="000000"/>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分包意向协议</w:t>
      </w:r>
      <w:r>
        <w:rPr>
          <w:color w:val="000000"/>
          <w:highlight w:val="none"/>
        </w:rPr>
      </w:r>
      <w:r/>
    </w:p>
    <w:p>
      <w:pPr>
        <w:pStyle w:val="869"/>
        <w:ind w:firstLine="480"/>
        <w:jc w:val="left"/>
        <w:widowControl/>
        <w:rPr>
          <w:color w:val="000000"/>
          <w:highlight w:val="none"/>
        </w:rPr>
      </w:pPr>
      <w:r>
        <w:rPr>
          <w:rFonts w:hint="eastAsia" w:ascii="宋体" w:hAnsi="宋体" w:cs="宋体"/>
          <w:color w:val="000000"/>
          <w:sz w:val="24"/>
          <w:szCs w:val="24"/>
          <w:highlight w:val="none"/>
          <w:lang w:bidi="ar"/>
        </w:rPr>
        <w:t xml:space="preserve">甲方（投标人）：</w:t>
      </w:r>
      <w:r>
        <w:rPr>
          <w:color w:val="000000"/>
          <w:sz w:val="24"/>
          <w:szCs w:val="24"/>
          <w:highlight w:val="none"/>
          <w:lang w:bidi="ar"/>
        </w:rPr>
        <w:t xml:space="preserve">________ </w:t>
      </w:r>
      <w:r>
        <w:rPr>
          <w:color w:val="000000"/>
          <w:highlight w:val="none"/>
        </w:rPr>
      </w:r>
      <w:r/>
    </w:p>
    <w:p>
      <w:pPr>
        <w:pStyle w:val="869"/>
        <w:ind w:firstLine="480"/>
        <w:jc w:val="left"/>
        <w:widowControl/>
        <w:rPr>
          <w:color w:val="000000"/>
          <w:highlight w:val="none"/>
        </w:rPr>
      </w:pPr>
      <w:r>
        <w:rPr>
          <w:rFonts w:hint="eastAsia" w:ascii="宋体" w:hAnsi="宋体" w:cs="宋体"/>
          <w:color w:val="000000"/>
          <w:sz w:val="24"/>
          <w:szCs w:val="24"/>
          <w:highlight w:val="none"/>
          <w:lang w:bidi="ar"/>
        </w:rPr>
        <w:t xml:space="preserve">乙方（分包承担主体）：</w:t>
      </w:r>
      <w:r>
        <w:rPr>
          <w:color w:val="000000"/>
          <w:sz w:val="24"/>
          <w:szCs w:val="24"/>
          <w:highlight w:val="none"/>
          <w:lang w:bidi="ar"/>
        </w:rPr>
        <w:t xml:space="preserve">________ </w:t>
      </w:r>
      <w:r>
        <w:rPr>
          <w:color w:val="000000"/>
          <w:highlight w:val="none"/>
        </w:rPr>
      </w:r>
      <w:r/>
    </w:p>
    <w:p>
      <w:pPr>
        <w:pStyle w:val="869"/>
        <w:ind w:firstLine="480"/>
        <w:jc w:val="left"/>
        <w:widowControl/>
        <w:rPr>
          <w:color w:val="000000"/>
          <w:highlight w:val="none"/>
        </w:rPr>
      </w:pPr>
      <w:r>
        <w:rPr>
          <w:rFonts w:hint="eastAsia" w:ascii="宋体" w:hAnsi="宋体" w:cs="宋体"/>
          <w:color w:val="000000"/>
          <w:sz w:val="24"/>
          <w:szCs w:val="24"/>
          <w:highlight w:val="none"/>
          <w:lang w:bidi="ar"/>
        </w:rPr>
        <w:t xml:space="preserve">甲方承诺，一旦在项目编号为</w:t>
      </w:r>
      <w:r>
        <w:rPr>
          <w:color w:val="000000"/>
          <w:sz w:val="24"/>
          <w:szCs w:val="24"/>
          <w:highlight w:val="none"/>
          <w:lang w:bidi="ar"/>
        </w:rPr>
        <w:t xml:space="preserve">_______</w:t>
      </w:r>
      <w:r>
        <w:rPr>
          <w:rFonts w:hint="eastAsia" w:ascii="宋体" w:hAnsi="宋体" w:cs="宋体"/>
          <w:color w:val="000000"/>
          <w:sz w:val="24"/>
          <w:szCs w:val="24"/>
          <w:highlight w:val="none"/>
          <w:lang w:bidi="ar"/>
        </w:rPr>
        <w:t xml:space="preserve">的</w:t>
      </w:r>
      <w:r>
        <w:rPr>
          <w:color w:val="000000"/>
          <w:sz w:val="24"/>
          <w:szCs w:val="24"/>
          <w:highlight w:val="none"/>
          <w:lang w:bidi="ar"/>
        </w:rPr>
        <w:t xml:space="preserve">_________</w:t>
      </w:r>
      <w:r>
        <w:rPr>
          <w:rFonts w:hint="eastAsia" w:ascii="宋体" w:hAnsi="宋体" w:cs="宋体"/>
          <w:color w:val="000000"/>
          <w:sz w:val="24"/>
          <w:szCs w:val="24"/>
          <w:highlight w:val="none"/>
          <w:lang w:bidi="ar"/>
        </w:rPr>
        <w:t xml:space="preserve">项目（项目名称）</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（采购包号）中获得采购合同，将按照下述约定将合同项下部分内容分包给乙方： </w:t>
      </w:r>
      <w:r>
        <w:rPr>
          <w:color w:val="000000"/>
          <w:highlight w:val="none"/>
        </w:rPr>
      </w:r>
      <w:r/>
    </w:p>
    <w:p>
      <w:pPr>
        <w:pStyle w:val="869"/>
        <w:ind w:firstLine="480"/>
        <w:jc w:val="left"/>
        <w:widowControl/>
        <w:rPr>
          <w:color w:val="000000"/>
          <w:highlight w:val="none"/>
        </w:rPr>
      </w:pPr>
      <w:r>
        <w:rPr>
          <w:color w:val="000000"/>
          <w:sz w:val="24"/>
          <w:szCs w:val="24"/>
          <w:highlight w:val="none"/>
          <w:lang w:bidi="ar"/>
        </w:rPr>
        <w:t xml:space="preserve">1.</w:t>
      </w:r>
      <w:r>
        <w:rPr>
          <w:rFonts w:hint="eastAsia" w:ascii="宋体" w:hAnsi="宋体" w:cs="宋体"/>
          <w:color w:val="000000"/>
          <w:sz w:val="24"/>
          <w:szCs w:val="24"/>
          <w:highlight w:val="none"/>
          <w:lang w:bidi="ar"/>
        </w:rPr>
        <w:t xml:space="preserve">分包内容：</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 </w:t>
      </w:r>
      <w:r>
        <w:rPr>
          <w:color w:val="000000"/>
          <w:highlight w:val="none"/>
        </w:rPr>
      </w:r>
      <w:r/>
    </w:p>
    <w:p>
      <w:pPr>
        <w:pStyle w:val="869"/>
        <w:ind w:firstLine="480"/>
        <w:jc w:val="left"/>
        <w:widowControl/>
        <w:rPr>
          <w:color w:val="000000"/>
          <w:highlight w:val="none"/>
        </w:rPr>
      </w:pPr>
      <w:r>
        <w:rPr>
          <w:color w:val="000000"/>
          <w:sz w:val="24"/>
          <w:szCs w:val="24"/>
          <w:highlight w:val="none"/>
          <w:lang w:bidi="ar"/>
        </w:rPr>
        <w:t xml:space="preserve">2.</w:t>
      </w:r>
      <w:r>
        <w:rPr>
          <w:rFonts w:hint="eastAsia" w:ascii="宋体" w:hAnsi="宋体" w:cs="宋体"/>
          <w:color w:val="000000"/>
          <w:sz w:val="24"/>
          <w:szCs w:val="24"/>
          <w:highlight w:val="none"/>
          <w:lang w:bidi="ar"/>
        </w:rPr>
        <w:t xml:space="preserve">分包金额：</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，该金额占该采购包合同金额的比例为</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 </w:t>
      </w:r>
      <w:r>
        <w:rPr>
          <w:color w:val="000000"/>
          <w:highlight w:val="none"/>
        </w:rPr>
      </w:r>
      <w:r/>
    </w:p>
    <w:p>
      <w:pPr>
        <w:pStyle w:val="869"/>
        <w:ind w:firstLine="480"/>
        <w:jc w:val="left"/>
        <w:widowControl/>
        <w:rPr>
          <w:color w:val="000000"/>
          <w:highlight w:val="none"/>
        </w:rPr>
      </w:pPr>
      <w:r>
        <w:rPr>
          <w:rFonts w:hint="eastAsia" w:ascii="宋体" w:hAnsi="宋体" w:cs="宋体"/>
          <w:color w:val="000000"/>
          <w:sz w:val="24"/>
          <w:szCs w:val="24"/>
          <w:highlight w:val="none"/>
          <w:lang w:bidi="ar"/>
        </w:rPr>
        <w:t xml:space="preserve">乙方承诺将在上述情况下与甲方签订分包合同。 </w:t>
      </w:r>
      <w:r>
        <w:rPr>
          <w:color w:val="000000"/>
          <w:highlight w:val="none"/>
        </w:rPr>
      </w:r>
      <w:r/>
    </w:p>
    <w:p>
      <w:pPr>
        <w:pStyle w:val="869"/>
        <w:ind w:firstLine="480"/>
        <w:jc w:val="left"/>
        <w:widowControl/>
        <w:rPr>
          <w:color w:val="000000"/>
          <w:highlight w:val="none"/>
        </w:rPr>
      </w:pPr>
      <w:r>
        <w:rPr>
          <w:rFonts w:hint="eastAsia" w:ascii="宋体" w:hAnsi="宋体" w:cs="宋体"/>
          <w:color w:val="000000"/>
          <w:sz w:val="24"/>
          <w:szCs w:val="24"/>
          <w:highlight w:val="none"/>
          <w:lang w:bidi="ar"/>
        </w:rPr>
        <w:t xml:space="preserve">本协议自各方盖章之日起生效，如甲方未在该项目（采购包）中标，本协议自动终止。 </w:t>
      </w:r>
      <w:r>
        <w:rPr>
          <w:color w:val="000000"/>
          <w:highlight w:val="none"/>
        </w:rPr>
      </w:r>
      <w:r/>
    </w:p>
    <w:p>
      <w:pPr>
        <w:pStyle w:val="869"/>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69"/>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69"/>
        <w:ind w:firstLine="480"/>
        <w:jc w:val="right"/>
        <w:widowControl/>
        <w:rPr>
          <w:color w:val="000000"/>
          <w:highlight w:val="none"/>
        </w:rPr>
      </w:pPr>
      <w:r>
        <w:rPr>
          <w:rFonts w:hint="eastAsia" w:ascii="宋体" w:hAnsi="宋体" w:cs="宋体"/>
          <w:color w:val="000000"/>
          <w:sz w:val="24"/>
          <w:szCs w:val="24"/>
          <w:highlight w:val="none"/>
          <w:lang w:bidi="ar"/>
        </w:rPr>
        <w:t xml:space="preserve">甲方（盖章）：</w:t>
      </w:r>
      <w:r>
        <w:rPr>
          <w:color w:val="000000"/>
          <w:sz w:val="24"/>
          <w:szCs w:val="24"/>
          <w:highlight w:val="none"/>
          <w:lang w:bidi="ar"/>
        </w:rPr>
        <w:t xml:space="preserve">_________ </w:t>
      </w:r>
      <w:r>
        <w:rPr>
          <w:color w:val="000000"/>
          <w:highlight w:val="none"/>
        </w:rPr>
      </w:r>
      <w:r/>
    </w:p>
    <w:p>
      <w:pPr>
        <w:pStyle w:val="869"/>
        <w:ind w:firstLine="480"/>
        <w:jc w:val="right"/>
        <w:widowControl/>
        <w:rPr>
          <w:color w:val="000000"/>
          <w:highlight w:val="none"/>
        </w:rPr>
      </w:pPr>
      <w:r>
        <w:rPr>
          <w:rFonts w:hint="eastAsia" w:ascii="宋体" w:hAnsi="宋体" w:cs="宋体"/>
          <w:color w:val="000000"/>
          <w:sz w:val="24"/>
          <w:szCs w:val="24"/>
          <w:highlight w:val="none"/>
          <w:lang w:bidi="ar"/>
        </w:rPr>
        <w:t xml:space="preserve">乙方（盖章）：</w:t>
      </w:r>
      <w:r>
        <w:rPr>
          <w:color w:val="000000"/>
          <w:sz w:val="24"/>
          <w:szCs w:val="24"/>
          <w:highlight w:val="none"/>
          <w:lang w:bidi="ar"/>
        </w:rPr>
        <w:t xml:space="preserve">_________ </w:t>
      </w:r>
      <w:r>
        <w:rPr>
          <w:color w:val="000000"/>
          <w:highlight w:val="none"/>
        </w:rPr>
      </w:r>
      <w:r/>
    </w:p>
    <w:p>
      <w:pPr>
        <w:pStyle w:val="869"/>
        <w:ind w:firstLine="480"/>
        <w:jc w:val="right"/>
        <w:widowControl/>
        <w:rPr>
          <w:color w:val="000000"/>
          <w:highlight w:val="none"/>
        </w:rPr>
      </w:pPr>
      <w:r>
        <w:rPr>
          <w:rFonts w:hint="eastAsia" w:ascii="宋体" w:hAnsi="宋体" w:cs="宋体"/>
          <w:color w:val="000000"/>
          <w:sz w:val="24"/>
          <w:szCs w:val="24"/>
          <w:highlight w:val="none"/>
          <w:lang w:bidi="ar"/>
        </w:rPr>
        <w:t xml:space="preserve">日期：</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年</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月</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日</w:t>
      </w:r>
      <w:r>
        <w:rPr>
          <w:color w:val="000000"/>
          <w:sz w:val="24"/>
          <w:szCs w:val="24"/>
          <w:highlight w:val="none"/>
          <w:lang w:bidi="ar"/>
        </w:rPr>
        <w:t xml:space="preserve"> </w:t>
      </w:r>
      <w:r>
        <w:rPr>
          <w:color w:val="000000"/>
          <w:highlight w:val="none"/>
        </w:rPr>
      </w:r>
      <w:r/>
    </w:p>
    <w:p>
      <w:pPr>
        <w:pStyle w:val="869"/>
        <w:ind w:firstLine="480"/>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69"/>
        <w:ind w:firstLine="480"/>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69"/>
        <w:ind w:firstLine="480"/>
        <w:jc w:val="left"/>
        <w:widowControl/>
        <w:rPr>
          <w:color w:val="000000"/>
          <w:highlight w:val="none"/>
        </w:rPr>
      </w:pPr>
      <w:r>
        <w:rPr>
          <w:rFonts w:hint="eastAsia" w:ascii="宋体" w:hAnsi="宋体" w:cs="宋体"/>
          <w:color w:val="000000"/>
          <w:sz w:val="24"/>
          <w:szCs w:val="24"/>
          <w:highlight w:val="none"/>
          <w:lang w:bidi="ar"/>
        </w:rPr>
        <w:t xml:space="preserve">注： </w:t>
      </w:r>
      <w:r>
        <w:rPr>
          <w:color w:val="000000"/>
          <w:highlight w:val="none"/>
        </w:rPr>
      </w:r>
      <w:r/>
    </w:p>
    <w:p>
      <w:pPr>
        <w:pStyle w:val="869"/>
        <w:ind w:firstLine="480"/>
        <w:jc w:val="left"/>
        <w:widowControl/>
        <w:rPr>
          <w:color w:val="000000"/>
          <w:highlight w:val="none"/>
        </w:rPr>
      </w:pPr>
      <w:r>
        <w:rPr>
          <w:color w:val="000000"/>
          <w:sz w:val="24"/>
          <w:szCs w:val="24"/>
          <w:highlight w:val="none"/>
          <w:lang w:bidi="ar"/>
        </w:rPr>
        <w:t xml:space="preserve">1. 如本项目（</w:t>
      </w:r>
      <w:r>
        <w:rPr>
          <w:rFonts w:hint="eastAsia"/>
          <w:color w:val="000000"/>
          <w:sz w:val="24"/>
          <w:szCs w:val="24"/>
          <w:highlight w:val="none"/>
          <w:lang w:bidi="ar"/>
        </w:rPr>
        <w:t xml:space="preserve">采购</w:t>
      </w:r>
      <w:r>
        <w:rPr>
          <w:color w:val="000000"/>
          <w:sz w:val="24"/>
          <w:szCs w:val="24"/>
          <w:highlight w:val="none"/>
          <w:lang w:bidi="ar"/>
        </w:rPr>
        <w:t xml:space="preserve">包）允许分包，且投标人拟</w:t>
      </w:r>
      <w:r>
        <w:rPr>
          <w:rFonts w:hint="eastAsia"/>
          <w:color w:val="000000"/>
          <w:sz w:val="24"/>
          <w:szCs w:val="24"/>
          <w:highlight w:val="none"/>
          <w:lang w:bidi="ar"/>
        </w:rPr>
        <w:t xml:space="preserve">在中标后</w:t>
      </w:r>
      <w:r>
        <w:rPr>
          <w:color w:val="000000"/>
          <w:sz w:val="24"/>
          <w:szCs w:val="24"/>
          <w:highlight w:val="none"/>
          <w:lang w:bidi="ar"/>
        </w:rPr>
        <w:t xml:space="preserve">进行分包</w:t>
      </w:r>
      <w:r>
        <w:rPr>
          <w:rFonts w:hint="eastAsia"/>
          <w:color w:val="000000"/>
          <w:sz w:val="24"/>
          <w:szCs w:val="24"/>
          <w:highlight w:val="none"/>
          <w:lang w:bidi="ar"/>
        </w:rPr>
        <w:t xml:space="preserve">的</w:t>
      </w:r>
      <w:r>
        <w:rPr>
          <w:color w:val="000000"/>
          <w:sz w:val="24"/>
          <w:szCs w:val="24"/>
          <w:highlight w:val="none"/>
          <w:lang w:bidi="ar"/>
        </w:rPr>
        <w:t xml:space="preserve">，必须</w:t>
      </w:r>
      <w:r>
        <w:rPr>
          <w:rFonts w:hint="eastAsia"/>
          <w:color w:val="000000"/>
          <w:sz w:val="24"/>
          <w:szCs w:val="24"/>
          <w:highlight w:val="none"/>
          <w:lang w:bidi="ar"/>
        </w:rPr>
        <w:t xml:space="preserve">在投标文件中</w:t>
      </w:r>
      <w:r>
        <w:rPr>
          <w:color w:val="000000"/>
          <w:sz w:val="24"/>
          <w:szCs w:val="24"/>
          <w:highlight w:val="none"/>
          <w:lang w:bidi="ar"/>
        </w:rPr>
        <w:t xml:space="preserve">提供</w:t>
      </w:r>
      <w:r>
        <w:rPr>
          <w:rFonts w:hint="eastAsia"/>
          <w:color w:val="000000"/>
          <w:sz w:val="24"/>
          <w:szCs w:val="24"/>
          <w:highlight w:val="none"/>
          <w:lang w:bidi="ar"/>
        </w:rPr>
        <w:t xml:space="preserve">本协议</w:t>
      </w:r>
      <w:r>
        <w:rPr>
          <w:rFonts w:hint="eastAsia" w:ascii="宋体" w:hAnsi="宋体" w:cs="宋体"/>
          <w:color w:val="000000"/>
          <w:sz w:val="24"/>
          <w:szCs w:val="24"/>
          <w:highlight w:val="none"/>
          <w:lang w:bidi="ar"/>
        </w:rPr>
        <w:t xml:space="preserve">。 </w:t>
      </w:r>
      <w:r>
        <w:rPr>
          <w:color w:val="000000"/>
          <w:highlight w:val="none"/>
        </w:rPr>
      </w:r>
      <w:r/>
    </w:p>
    <w:p>
      <w:pPr>
        <w:pStyle w:val="869"/>
        <w:ind w:firstLine="480"/>
        <w:jc w:val="left"/>
        <w:widowControl/>
        <w:rPr>
          <w:color w:val="000000"/>
          <w:highlight w:val="none"/>
        </w:rPr>
      </w:pPr>
      <w:r>
        <w:rPr>
          <w:color w:val="000000"/>
          <w:sz w:val="24"/>
          <w:szCs w:val="24"/>
          <w:highlight w:val="none"/>
          <w:lang w:bidi="ar"/>
        </w:rPr>
        <w:t xml:space="preserve">2. </w:t>
      </w:r>
      <w:r>
        <w:rPr>
          <w:rFonts w:hint="eastAsia" w:ascii="宋体" w:hAnsi="宋体" w:cs="宋体"/>
          <w:color w:val="000000"/>
          <w:sz w:val="24"/>
          <w:szCs w:val="24"/>
          <w:highlight w:val="none"/>
          <w:lang w:bidi="ar"/>
        </w:rPr>
        <w:t xml:space="preserve">投标人满足《政府采购促进中小企业发展管理办法》（财库〔</w:t>
      </w:r>
      <w:r>
        <w:rPr>
          <w:color w:val="000000"/>
          <w:sz w:val="24"/>
          <w:szCs w:val="24"/>
          <w:highlight w:val="none"/>
          <w:lang w:bidi="ar"/>
        </w:rPr>
        <w:t xml:space="preserve">2020</w:t>
      </w:r>
      <w:r>
        <w:rPr>
          <w:rFonts w:hint="eastAsia" w:ascii="宋体" w:hAnsi="宋体" w:cs="宋体"/>
          <w:color w:val="000000"/>
          <w:sz w:val="24"/>
          <w:szCs w:val="24"/>
          <w:highlight w:val="none"/>
          <w:lang w:bidi="ar"/>
        </w:rPr>
        <w:t xml:space="preserve">〕</w:t>
      </w:r>
      <w:r>
        <w:rPr>
          <w:color w:val="000000"/>
          <w:sz w:val="24"/>
          <w:szCs w:val="24"/>
          <w:highlight w:val="none"/>
          <w:lang w:bidi="ar"/>
        </w:rPr>
        <w:t xml:space="preserve">46 </w:t>
      </w:r>
      <w:r>
        <w:rPr>
          <w:rFonts w:hint="eastAsia" w:ascii="宋体" w:hAnsi="宋体" w:cs="宋体"/>
          <w:color w:val="000000"/>
          <w:sz w:val="24"/>
          <w:szCs w:val="24"/>
          <w:highlight w:val="none"/>
          <w:lang w:bidi="ar"/>
        </w:rPr>
        <w:t xml:space="preserve">号）第九条 </w:t>
      </w:r>
      <w:r>
        <w:rPr>
          <w:color w:val="000000"/>
          <w:highlight w:val="none"/>
        </w:rPr>
      </w:r>
      <w:r/>
    </w:p>
    <w:p>
      <w:pPr>
        <w:pStyle w:val="869"/>
        <w:jc w:val="left"/>
        <w:widowControl/>
        <w:rPr>
          <w:color w:val="000000"/>
          <w:highlight w:val="none"/>
        </w:rPr>
      </w:pPr>
      <w:r>
        <w:rPr>
          <w:rFonts w:hint="eastAsia" w:ascii="宋体" w:hAnsi="宋体" w:cs="宋体"/>
          <w:color w:val="000000"/>
          <w:sz w:val="24"/>
          <w:szCs w:val="24"/>
          <w:highlight w:val="none"/>
          <w:lang w:bidi="ar"/>
        </w:rPr>
        <w:t xml:space="preserve">有关规定，拟享受中小企业政策优惠措施的，仍需提供本协议，否则不予认可； </w:t>
      </w:r>
      <w:r>
        <w:rPr>
          <w:color w:val="000000"/>
          <w:highlight w:val="none"/>
        </w:rPr>
      </w:r>
      <w:r/>
    </w:p>
    <w:p>
      <w:pPr>
        <w:pStyle w:val="869"/>
        <w:ind w:firstLine="480"/>
        <w:jc w:val="left"/>
        <w:widowControl/>
        <w:rPr>
          <w:color w:val="000000"/>
          <w:highlight w:val="none"/>
        </w:rPr>
      </w:pPr>
      <w:r>
        <w:rPr>
          <w:color w:val="000000"/>
          <w:sz w:val="24"/>
          <w:szCs w:val="24"/>
          <w:highlight w:val="none"/>
          <w:lang w:bidi="ar"/>
        </w:rPr>
        <w:t xml:space="preserve">3. </w:t>
      </w:r>
      <w:r>
        <w:rPr>
          <w:rFonts w:hint="eastAsia" w:ascii="宋体" w:hAnsi="宋体" w:cs="宋体"/>
          <w:color w:val="000000"/>
          <w:sz w:val="24"/>
          <w:szCs w:val="24"/>
          <w:highlight w:val="none"/>
          <w:lang w:bidi="ar"/>
        </w:rPr>
        <w:t xml:space="preserve">投标人须按分包情况说明与所有拟分包承担主体分别签订《分包意向协议》，并在投标文件中提交。</w:t>
      </w:r>
      <w:r>
        <w:rPr>
          <w:color w:val="000000"/>
          <w:highlight w:val="none"/>
        </w:rPr>
      </w:r>
      <w:r/>
    </w:p>
    <w:p>
      <w:pPr>
        <w:pStyle w:val="86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69"/>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69"/>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69"/>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１５</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1"/>
      <w:lang w:val="en-US" w:eastAsia="zh-CN" w:bidi="ar-SA"/>
    </w:rPr>
  </w:style>
  <w:style w:type="paragraph" w:styleId="870">
    <w:name w:val="标题 1"/>
    <w:basedOn w:val="869"/>
    <w:next w:val="869"/>
    <w:link w:val="886"/>
    <w:qFormat/>
    <w:pPr>
      <w:jc w:val="center"/>
      <w:keepNext/>
      <w:outlineLvl w:val="0"/>
    </w:pPr>
    <w:rPr>
      <w:rFonts w:ascii="楷体_GB2312" w:eastAsia="楷体_GB2312"/>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69"/>
    <w:link w:val="890"/>
    <w:qFormat/>
    <w:pPr>
      <w:keepLines/>
      <w:keepNext/>
      <w:spacing w:before="260" w:after="260" w:line="416" w:lineRule="auto"/>
      <w:outlineLvl w:val="2"/>
    </w:pPr>
    <w:rPr>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firstLine="420"/>
      <w:spacing w:line="360" w:lineRule="auto"/>
    </w:pPr>
    <w:rPr>
      <w:rFonts w:ascii="宋体" w:hAnsi="宋体" w:eastAsia="宋体"/>
      <w:sz w:val="21"/>
      <w:szCs w:val="20"/>
    </w:rPr>
  </w:style>
  <w:style w:type="paragraph" w:styleId="882">
    <w:name w:val="正文文本缩进"/>
    <w:basedOn w:val="869"/>
    <w:next w:val="884"/>
    <w:link w:val="883"/>
    <w:pPr>
      <w:ind w:firstLine="645"/>
    </w:pPr>
    <w:rPr>
      <w:rFonts w:ascii="楷体_GB2312" w:eastAsia="楷体_GB2312"/>
      <w:sz w:val="32"/>
      <w:szCs w:val="32"/>
    </w:rPr>
  </w:style>
  <w:style w:type="character" w:styleId="883">
    <w:name w:val="正文文本缩进 字符"/>
    <w:next w:val="883"/>
    <w:link w:val="882"/>
    <w:rPr>
      <w:rFonts w:ascii="楷体_GB2312" w:hAnsi="Times New Roman" w:eastAsia="楷体_GB2312" w:cs="Times New Roman"/>
      <w:sz w:val="32"/>
      <w:szCs w:val="32"/>
    </w:rPr>
  </w:style>
  <w:style w:type="paragraph" w:styleId="884">
    <w:name w:val="寄信人地址"/>
    <w:basedOn w:val="869"/>
    <w:next w:val="884"/>
    <w:link w:val="869"/>
    <w:qFormat/>
    <w:rPr>
      <w:rFonts w:ascii="Arial" w:hAnsi="Arial" w:eastAsia="宋体" w:cs="宋体"/>
    </w:rPr>
  </w:style>
  <w:style w:type="character" w:styleId="885">
    <w:name w:val="正文首行缩进 2 字符"/>
    <w:next w:val="885"/>
    <w:link w:val="881"/>
    <w:rPr>
      <w:rFonts w:ascii="宋体" w:hAnsi="宋体" w:eastAsia="宋体" w:cs="Times New Roman"/>
      <w:sz w:val="32"/>
      <w:szCs w:val="20"/>
    </w:rPr>
  </w:style>
  <w:style w:type="character" w:styleId="886">
    <w:name w:val="标题 1 字符"/>
    <w:next w:val="886"/>
    <w:link w:val="870"/>
    <w:rPr>
      <w:rFonts w:ascii="楷体_GB2312" w:hAnsi="Times New Roman" w:eastAsia="楷体_GB2312" w:cs="Times New Roman"/>
      <w:sz w:val="28"/>
      <w:szCs w:val="28"/>
    </w:rPr>
  </w:style>
  <w:style w:type="character" w:styleId="887">
    <w:name w:val="标题 2 字符"/>
    <w:next w:val="887"/>
    <w:link w:val="871"/>
    <w:rPr>
      <w:rFonts w:ascii="Arial" w:hAnsi="Arial" w:eastAsia="幼圆" w:cs="Arial"/>
      <w:b/>
      <w:bCs/>
      <w:sz w:val="44"/>
      <w:szCs w:val="44"/>
    </w:rPr>
  </w:style>
  <w:style w:type="paragraph" w:styleId="888">
    <w:name w:val="正文缩进"/>
    <w:basedOn w:val="869"/>
    <w:next w:val="888"/>
    <w:link w:val="889"/>
    <w:pPr>
      <w:ind w:firstLine="420"/>
    </w:pPr>
  </w:style>
  <w:style w:type="character" w:styleId="889">
    <w:name w:val="正文缩进 字符"/>
    <w:next w:val="889"/>
    <w:link w:val="888"/>
    <w:rPr>
      <w:rFonts w:ascii="Times New Roman" w:hAnsi="Times New Roman" w:eastAsia="宋体" w:cs="Times New Roman"/>
      <w:szCs w:val="21"/>
    </w:rPr>
  </w:style>
  <w:style w:type="character" w:styleId="890">
    <w:name w:val="标题 3 字符"/>
    <w:next w:val="890"/>
    <w:link w:val="872"/>
    <w:rPr>
      <w:rFonts w:ascii="Times New Roman" w:hAnsi="Times New Roman" w:eastAsia="宋体" w:cs="Times New Roman"/>
      <w:b/>
      <w:bCs/>
      <w:sz w:val="32"/>
      <w:szCs w:val="32"/>
    </w:rPr>
  </w:style>
  <w:style w:type="character" w:styleId="891">
    <w:name w:val="标题 4 字符"/>
    <w:next w:val="891"/>
    <w:link w:val="873"/>
    <w:rPr>
      <w:rFonts w:ascii="Arial" w:hAnsi="Arial" w:eastAsia="黑体" w:cs="Arial"/>
      <w:b/>
      <w:bCs/>
      <w:sz w:val="28"/>
      <w:szCs w:val="28"/>
    </w:rPr>
  </w:style>
  <w:style w:type="character" w:styleId="892">
    <w:name w:val="标题 5 字符"/>
    <w:next w:val="892"/>
    <w:link w:val="874"/>
    <w:rPr>
      <w:rFonts w:ascii="宋体" w:hAnsi="Times New Roman" w:eastAsia="宋体" w:cs="Times New Roman"/>
      <w:color w:val="000000"/>
      <w:sz w:val="28"/>
      <w:szCs w:val="28"/>
    </w:rPr>
  </w:style>
  <w:style w:type="character" w:styleId="893">
    <w:name w:val="标题 6 字符"/>
    <w:next w:val="893"/>
    <w:link w:val="875"/>
    <w:rPr>
      <w:rFonts w:ascii="Arial" w:hAnsi="Arial" w:eastAsia="黑体" w:cs="Times New Roman"/>
      <w:b/>
      <w:bCs/>
      <w:sz w:val="24"/>
      <w:szCs w:val="24"/>
    </w:rPr>
  </w:style>
  <w:style w:type="character" w:styleId="894">
    <w:name w:val="标题 7 字符"/>
    <w:next w:val="894"/>
    <w:link w:val="876"/>
    <w:rPr>
      <w:rFonts w:ascii="Times New Roman" w:hAnsi="Times New Roman" w:eastAsia="宋体" w:cs="Times New Roman"/>
      <w:b/>
      <w:bCs/>
      <w:sz w:val="24"/>
      <w:szCs w:val="24"/>
    </w:rPr>
  </w:style>
  <w:style w:type="character" w:styleId="895">
    <w:name w:val="标题 8 字符"/>
    <w:next w:val="895"/>
    <w:link w:val="877"/>
    <w:rPr>
      <w:rFonts w:ascii="Arial" w:hAnsi="Arial" w:eastAsia="黑体" w:cs="Times New Roman"/>
      <w:sz w:val="24"/>
      <w:szCs w:val="24"/>
    </w:rPr>
  </w:style>
  <w:style w:type="character" w:styleId="896">
    <w:name w:val="标题 9 字符"/>
    <w:next w:val="896"/>
    <w:link w:val="878"/>
    <w:rPr>
      <w:rFonts w:ascii="Arial" w:hAnsi="Arial" w:eastAsia="黑体" w:cs="Times New Roman"/>
      <w:szCs w:val="21"/>
    </w:rPr>
  </w:style>
  <w:style w:type="paragraph" w:styleId="897">
    <w:name w:val="列表 3"/>
    <w:basedOn w:val="869"/>
    <w:next w:val="897"/>
    <w:link w:val="869"/>
    <w:pPr>
      <w:ind w:left="100" w:hanging="200"/>
    </w:pPr>
  </w:style>
  <w:style w:type="paragraph" w:styleId="898">
    <w:name w:val="目录 7"/>
    <w:basedOn w:val="869"/>
    <w:next w:val="869"/>
    <w:link w:val="869"/>
    <w:semiHidden/>
    <w:pPr>
      <w:ind w:left="1260"/>
      <w:jc w:val="left"/>
    </w:pPr>
  </w:style>
  <w:style w:type="paragraph" w:styleId="899">
    <w:name w:val="文档结构图"/>
    <w:basedOn w:val="869"/>
    <w:next w:val="899"/>
    <w:link w:val="900"/>
    <w:semiHidden/>
    <w:pPr>
      <w:shd w:val="clear" w:color="auto" w:fill="000080"/>
    </w:pPr>
  </w:style>
  <w:style w:type="character" w:styleId="900">
    <w:name w:val="文档结构图 字符"/>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semiHidden/>
    <w:pPr>
      <w:jc w:val="left"/>
    </w:pPr>
  </w:style>
  <w:style w:type="character" w:styleId="902">
    <w:name w:val="批注文字 字符"/>
    <w:next w:val="902"/>
    <w:link w:val="901"/>
    <w:semiHidden/>
    <w:rPr>
      <w:rFonts w:ascii="Times New Roman" w:hAnsi="Times New Roman" w:eastAsia="宋体" w:cs="Times New Roman"/>
      <w:szCs w:val="21"/>
    </w:rPr>
  </w:style>
  <w:style w:type="paragraph" w:styleId="903">
    <w:name w:val="正文文本 3"/>
    <w:basedOn w:val="869"/>
    <w:next w:val="903"/>
    <w:link w:val="904"/>
    <w:rPr>
      <w:rFonts w:ascii="仿宋_GB2312" w:hAnsi="Arial" w:eastAsia="仿宋_GB2312"/>
      <w:sz w:val="32"/>
      <w:szCs w:val="32"/>
    </w:rPr>
  </w:style>
  <w:style w:type="character" w:styleId="904">
    <w:name w:val="正文文本 3 字符"/>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sz w:val="28"/>
      <w:szCs w:val="28"/>
    </w:rPr>
  </w:style>
  <w:style w:type="character" w:styleId="906">
    <w:name w:val="正文文本 字符"/>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style>
  <w:style w:type="paragraph" w:styleId="908">
    <w:name w:val="目录 5"/>
    <w:basedOn w:val="869"/>
    <w:next w:val="869"/>
    <w:link w:val="869"/>
    <w:semiHidden/>
    <w:pPr>
      <w:ind w:left="840"/>
      <w:jc w:val="left"/>
    </w:pPr>
  </w:style>
  <w:style w:type="paragraph" w:styleId="909">
    <w:name w:val="目录 3"/>
    <w:basedOn w:val="869"/>
    <w:next w:val="869"/>
    <w:link w:val="869"/>
    <w:semiHidden/>
    <w:pPr>
      <w:ind w:left="420"/>
      <w:jc w:val="left"/>
    </w:pPr>
    <w:rPr>
      <w:i/>
      <w:iCs/>
      <w:szCs w:val="24"/>
    </w:rPr>
  </w:style>
  <w:style w:type="paragraph" w:styleId="910">
    <w:name w:val="纯文本"/>
    <w:basedOn w:val="869"/>
    <w:next w:val="910"/>
    <w:link w:val="911"/>
    <w:rPr>
      <w:rFonts w:ascii="宋体" w:hAnsi="Courier New" w:cs="Courier New"/>
    </w:rPr>
  </w:style>
  <w:style w:type="character" w:styleId="911">
    <w:name w:val="纯文本 字符"/>
    <w:next w:val="911"/>
    <w:link w:val="910"/>
    <w:rPr>
      <w:rFonts w:ascii="宋体" w:hAnsi="Courier New" w:eastAsia="宋体" w:cs="Courier New"/>
      <w:szCs w:val="21"/>
    </w:rPr>
  </w:style>
  <w:style w:type="paragraph" w:styleId="912">
    <w:name w:val="目录 8"/>
    <w:basedOn w:val="869"/>
    <w:next w:val="869"/>
    <w:link w:val="869"/>
    <w:semiHidden/>
    <w:pPr>
      <w:ind w:left="1470"/>
      <w:jc w:val="left"/>
    </w:pPr>
  </w:style>
  <w:style w:type="paragraph" w:styleId="913">
    <w:name w:val="日期"/>
    <w:basedOn w:val="869"/>
    <w:next w:val="869"/>
    <w:link w:val="914"/>
    <w:rPr>
      <w:sz w:val="24"/>
      <w:szCs w:val="24"/>
    </w:rPr>
  </w:style>
  <w:style w:type="character" w:styleId="914">
    <w:name w:val="日期 字符"/>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字符"/>
    <w:next w:val="916"/>
    <w:link w:val="915"/>
    <w:rPr>
      <w:rFonts w:ascii="Arial" w:hAnsi="Arial" w:eastAsia="仿宋_GB2312" w:cs="Arial"/>
      <w:sz w:val="32"/>
      <w:szCs w:val="32"/>
    </w:rPr>
  </w:style>
  <w:style w:type="paragraph" w:styleId="917">
    <w:name w:val="批注框文本"/>
    <w:basedOn w:val="869"/>
    <w:next w:val="917"/>
    <w:link w:val="918"/>
    <w:semiHidden/>
    <w:rPr>
      <w:sz w:val="18"/>
      <w:szCs w:val="18"/>
    </w:rPr>
  </w:style>
  <w:style w:type="character" w:styleId="918">
    <w:name w:val="批注框文本 字符"/>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sz w:val="18"/>
      <w:szCs w:val="18"/>
    </w:rPr>
  </w:style>
  <w:style w:type="character" w:styleId="920">
    <w:name w:val="页脚 字符"/>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字符"/>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69"/>
    <w:next w:val="869"/>
    <w:link w:val="869"/>
    <w:semiHidden/>
    <w:pPr>
      <w:ind w:left="630"/>
      <w:jc w:val="left"/>
    </w:pPr>
  </w:style>
  <w:style w:type="paragraph" w:styleId="925">
    <w:name w:val="列表"/>
    <w:basedOn w:val="869"/>
    <w:next w:val="925"/>
    <w:link w:val="869"/>
    <w:pPr>
      <w:ind w:left="200" w:hanging="200"/>
    </w:pPr>
  </w:style>
  <w:style w:type="paragraph" w:styleId="926">
    <w:name w:val="目录 6"/>
    <w:basedOn w:val="869"/>
    <w:next w:val="869"/>
    <w:link w:val="869"/>
    <w:semiHidden/>
    <w:pPr>
      <w:ind w:left="1050"/>
      <w:jc w:val="left"/>
    </w:p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字符"/>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style>
  <w:style w:type="paragraph" w:styleId="930">
    <w:name w:val="目录 2"/>
    <w:basedOn w:val="869"/>
    <w:next w:val="869"/>
    <w:link w:val="869"/>
    <w:semiHidden/>
    <w:pPr>
      <w:ind w:left="210"/>
      <w:jc w:val="left"/>
    </w:pPr>
    <w:rPr>
      <w:smallCaps/>
      <w:szCs w:val="24"/>
    </w:rPr>
  </w:style>
  <w:style w:type="paragraph" w:styleId="931">
    <w:name w:val="目录 9"/>
    <w:basedOn w:val="869"/>
    <w:next w:val="869"/>
    <w:link w:val="869"/>
    <w:semiHidden/>
    <w:pPr>
      <w:ind w:left="1680"/>
      <w:jc w:val="left"/>
    </w:pPr>
  </w:style>
  <w:style w:type="paragraph" w:styleId="932">
    <w:name w:val="正文文本 2"/>
    <w:basedOn w:val="869"/>
    <w:next w:val="932"/>
    <w:link w:val="933"/>
    <w:pPr>
      <w:jc w:val="center"/>
      <w:widowControl/>
    </w:pPr>
    <w:rPr>
      <w:rFonts w:ascii="楷体_GB2312" w:eastAsia="楷体_GB2312"/>
      <w:sz w:val="28"/>
      <w:szCs w:val="28"/>
    </w:rPr>
  </w:style>
  <w:style w:type="character" w:styleId="933">
    <w:name w:val="正文文本 2 字符"/>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cs="宋体"/>
      <w:sz w:val="24"/>
      <w:szCs w:val="24"/>
    </w:rPr>
  </w:style>
  <w:style w:type="paragraph" w:styleId="935">
    <w:name w:val="索引 1"/>
    <w:basedOn w:val="869"/>
    <w:next w:val="869"/>
    <w:link w:val="869"/>
    <w:semiHidden/>
    <w:pPr>
      <w:spacing w:line="240" w:lineRule="atLeast"/>
    </w:pPr>
    <w:rPr>
      <w:b/>
      <w:bCs/>
    </w:rPr>
  </w:style>
  <w:style w:type="paragraph" w:styleId="936">
    <w:name w:val="批注主题"/>
    <w:basedOn w:val="901"/>
    <w:next w:val="901"/>
    <w:link w:val="937"/>
    <w:semiHidden/>
    <w:rPr>
      <w:b/>
      <w:bCs/>
    </w:rPr>
  </w:style>
  <w:style w:type="character" w:styleId="937">
    <w:name w:val="批注主题 字符"/>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eastAsia="仿宋_GB2312"/>
      <w:sz w:val="30"/>
      <w:szCs w:val="30"/>
    </w:rPr>
  </w:style>
  <w:style w:type="character" w:styleId="939">
    <w:name w:val="正文首行缩进 字符"/>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1"/>
    <w:basedOn w:val="869"/>
    <w:next w:val="947"/>
    <w:link w:val="869"/>
    <w:qFormat/>
    <w:pPr>
      <w:ind w:left="350" w:firstLine="0"/>
    </w:pPr>
    <w:rPr>
      <w:rFonts w:cs="Times New Roman"/>
      <w:sz w:val="20"/>
      <w:szCs w:val="24"/>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缩进1"/>
    <w:basedOn w:val="869"/>
    <w:next w:val="950"/>
    <w:link w:val="869"/>
    <w:unhideWhenUsed/>
    <w:qFormat/>
    <w:pPr>
      <w:ind w:left="420"/>
      <w:spacing w:after="120"/>
    </w:pPr>
  </w:style>
  <w:style w:type="paragraph" w:styleId="950">
    <w:name w:val="正文首行缩进 21"/>
    <w:basedOn w:val="949"/>
    <w:next w:val="950"/>
    <w:link w:val="869"/>
    <w:qFormat/>
    <w:pPr>
      <w:ind w:left="0" w:firstLine="420"/>
      <w:spacing w:after="0" w:line="360" w:lineRule="auto"/>
    </w:pPr>
    <w:rPr>
      <w:rFonts w:ascii="宋体" w:hAnsi="宋体"/>
      <w:sz w:val="20"/>
      <w:szCs w:val="20"/>
      <w:lang w:val="en-US" w:eastAsia="en-US"/>
    </w:rPr>
  </w:style>
  <w:style w:type="paragraph" w:styleId="951">
    <w:name w:val="正文文本12"/>
    <w:basedOn w:val="869"/>
    <w:next w:val="951"/>
    <w:link w:val="869"/>
    <w:uiPriority w:val="1"/>
    <w:qFormat/>
    <w:pPr>
      <w:ind w:left="120"/>
    </w:pPr>
    <w:rPr>
      <w:rFonts w:ascii="宋体" w:hAnsi="宋体" w:eastAsia="宋体" w:cs="宋体"/>
      <w:sz w:val="21"/>
      <w:szCs w:val="21"/>
      <w:lang w:val="zh-CN" w:eastAsia="zh-CN" w:bidi="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eastAsia="宋体" w:cs="Times New Roman"/>
      <w:sz w:val="24"/>
      <w:szCs w:val="24"/>
      <w:lang w:eastAsia="en-US" w:bidi="en-US"/>
    </w:rPr>
  </w:style>
  <w:style w:type="paragraph" w:styleId="957">
    <w:name w:val="Body Text(ch)"/>
    <w:basedOn w:val="869"/>
    <w:next w:val="905"/>
    <w:link w:val="869"/>
    <w:pPr>
      <w:spacing w:after="120"/>
    </w:pPr>
    <w:rPr>
      <w:rFonts w:ascii="宋体" w:hAnsi="Arial"/>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name w:val="Char"/>
    <w:basedOn w:val="869"/>
    <w:next w:val="960"/>
    <w:link w:val="869"/>
    <w:pPr>
      <w:ind w:firstLine="200"/>
      <w:tabs>
        <w:tab w:val="left" w:pos="360" w:leader="none"/>
      </w:tabs>
    </w:pPr>
    <w:rPr>
      <w:sz w:val="28"/>
      <w:szCs w:val="30"/>
    </w:rPr>
  </w:style>
  <w:style w:type="paragraph" w:styleId="961">
    <w:name w:val=" Char"/>
    <w:basedOn w:val="899"/>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sz w:val="24"/>
      <w:szCs w:val="24"/>
    </w:rPr>
  </w:style>
  <w:style w:type="paragraph" w:styleId="963">
    <w:name w:val="table_lines"/>
    <w:basedOn w:val="869"/>
    <w:next w:val="963"/>
    <w:link w:val="869"/>
    <w:pPr>
      <w:jc w:val="left"/>
      <w:widowControl/>
    </w:pPr>
    <w:rPr>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sz w:val="18"/>
      <w:szCs w:val="18"/>
    </w:rPr>
  </w:style>
  <w:style w:type="paragraph" w:styleId="966">
    <w:name w:val=" Char Char Char Char"/>
    <w:basedOn w:val="899"/>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sz w:val="24"/>
      <w:szCs w:val="24"/>
      <w:lang w:eastAsia="en-US" w:bidi="en-US"/>
    </w:rPr>
  </w:style>
  <w:style w:type="paragraph" w:styleId="968">
    <w:name w:val="4"/>
    <w:basedOn w:val="869"/>
    <w:next w:val="927"/>
    <w:link w:val="869"/>
    <w:pPr>
      <w:ind w:firstLine="420"/>
      <w:spacing w:line="360" w:lineRule="auto"/>
    </w:pPr>
    <w:rPr>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sz w:val="24"/>
      <w:szCs w:val="24"/>
    </w:rPr>
  </w:style>
  <w:style w:type="paragraph" w:styleId="970">
    <w:name w:val=" Char Char Char Char Char Char Char Char Char Char"/>
    <w:basedOn w:val="869"/>
    <w:next w:val="970"/>
    <w:link w:val="869"/>
    <w:pPr>
      <w:spacing w:line="360" w:lineRule="auto"/>
    </w:pPr>
    <w:rPr>
      <w:sz w:val="24"/>
      <w:szCs w:val="20"/>
    </w:rPr>
  </w:style>
  <w:style w:type="paragraph" w:styleId="971">
    <w:name w:val="样式1"/>
    <w:basedOn w:val="869"/>
    <w:next w:val="971"/>
    <w:link w:val="869"/>
    <w:pPr>
      <w:numPr>
        <w:ilvl w:val="0"/>
        <w:numId w:val="3"/>
      </w:numPr>
      <w:tabs>
        <w:tab w:val="left" w:pos="709" w:leader="none"/>
      </w:tabs>
    </w:pPr>
    <w:rPr>
      <w:rFonts w:ascii="宋体" w:hAnsi="宋体"/>
    </w:rPr>
  </w:style>
  <w:style w:type="paragraph" w:styleId="972">
    <w:name w:val="font6"/>
    <w:basedOn w:val="869"/>
    <w:next w:val="972"/>
    <w:link w:val="869"/>
    <w:pPr>
      <w:jc w:val="left"/>
      <w:spacing w:before="100" w:beforeAutospacing="1" w:after="100" w:afterAutospacing="1"/>
      <w:widowControl/>
    </w:pPr>
    <w:rPr>
      <w:rFonts w:hint="eastAsia" w:ascii="宋体" w:hAnsi="宋体"/>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name w:val="标题3"/>
    <w:basedOn w:val="869"/>
    <w:next w:val="869"/>
    <w:link w:val="869"/>
    <w:pPr>
      <w:ind w:firstLine="624"/>
      <w:spacing w:line="590" w:lineRule="atLeast"/>
    </w:pPr>
    <w:rPr>
      <w:rFonts w:ascii="方正黑体_GBK" w:eastAsia="方正黑体_GBK"/>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b/>
      <w:bCs/>
      <w:sz w:val="36"/>
      <w:szCs w:val="36"/>
    </w:rPr>
  </w:style>
  <w:style w:type="paragraph" w:styleId="982">
    <w:name w:val="Char Char Char Char"/>
    <w:basedOn w:val="899"/>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name w:val="修订"/>
    <w:next w:val="986"/>
    <w:link w:val="869"/>
    <w:uiPriority w:val="99"/>
    <w:semiHidden/>
    <w:rPr>
      <w:sz w:val="21"/>
      <w:szCs w:val="21"/>
      <w:lang w:val="en-US" w:eastAsia="zh-CN" w:bidi="ar-SA"/>
    </w:rPr>
  </w:style>
  <w:style w:type="paragraph" w:styleId="987">
    <w:name w:val="无间隔"/>
    <w:next w:val="987"/>
    <w:link w:val="869"/>
    <w:uiPriority w:val="99"/>
    <w:qFormat/>
    <w:pPr>
      <w:jc w:val="both"/>
      <w:widowControl w:val="off"/>
    </w:pPr>
    <w:rPr>
      <w:sz w:val="21"/>
      <w:szCs w:val="21"/>
      <w:lang w:val="en-US" w:eastAsia="zh-CN" w:bidi="ar-SA"/>
    </w:rPr>
  </w:style>
  <w:style w:type="paragraph" w:styleId="988">
    <w:name w:val="正文文本 211"/>
    <w:basedOn w:val="869"/>
    <w:next w:val="988"/>
    <w:link w:val="869"/>
    <w:uiPriority w:val="99"/>
    <w:qFormat/>
    <w:pPr>
      <w:jc w:val="center"/>
    </w:pPr>
    <w:rPr>
      <w:b/>
      <w:bCs/>
      <w:sz w:val="20"/>
      <w:szCs w:val="20"/>
    </w:rPr>
  </w:style>
  <w:style w:type="table" w:styleId="989">
    <w:name w:val="Table Normal"/>
    <w:next w:val="989"/>
    <w:link w:val="869"/>
    <w:qFormat/>
    <w:rPr>
      <w:lang w:val="en-US" w:eastAsia="zh-CN" w:bidi="ar-SA"/>
    </w:rPr>
    <w:tblPr/>
  </w:style>
  <w:style w:type="paragraph" w:styleId="990">
    <w:name w:val="正文文本1"/>
    <w:basedOn w:val="869"/>
    <w:next w:val="869"/>
    <w:link w:val="869"/>
    <w:semiHidden/>
    <w:qFormat/>
    <w:rPr>
      <w:rFonts w:ascii="Arial" w:hAnsi="Arial" w:eastAsia="Arial" w:cs="Arial"/>
      <w:sz w:val="21"/>
      <w:szCs w:val="21"/>
      <w:lang w:val="en-US" w:eastAsia="en-US" w:bidi="ar-SA"/>
    </w:rPr>
  </w:style>
  <w:style w:type="paragraph" w:styleId="991">
    <w:name w:val="纯文本1"/>
    <w:basedOn w:val="869"/>
    <w:next w:val="991"/>
    <w:link w:val="869"/>
    <w:qFormat/>
    <w:rPr>
      <w:rFonts w:ascii="宋体" w:hAnsi="Courier New" w:cs="Courier New"/>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rPr>
      <w:lang w:val="en-US" w:eastAsia="zh-CN" w:bidi="ar-SA"/>
    </w:rPr>
    <w:tblPr/>
  </w:style>
  <w:style w:type="paragraph" w:styleId="994">
    <w:name w:val="Table Paragraph"/>
    <w:basedOn w:val="869"/>
    <w:next w:val="994"/>
    <w:link w:val="869"/>
    <w:uiPriority w:val="1"/>
    <w:qFormat/>
    <w:pPr>
      <w:jc w:val="left"/>
    </w:pPr>
    <w:rPr>
      <w:rFonts w:ascii="宋体" w:hAnsi="宋体" w:eastAsia="宋体" w:cs="宋体"/>
      <w:sz w:val="22"/>
      <w:szCs w:val="22"/>
      <w:lang w:val="zh-CN" w:bidi="zh-CN"/>
    </w:rPr>
  </w:style>
  <w:style w:type="character" w:styleId="995">
    <w:name w:val="15"/>
    <w:next w:val="995"/>
    <w:link w:val="869"/>
    <w:rPr>
      <w:rFonts w:ascii="Times New Roman" w:hAnsi="Times New Roman" w:cs="Times New Roman"/>
    </w:rPr>
  </w:style>
  <w:style w:type="character" w:styleId="996">
    <w:name w:val="正文文本 Char2"/>
    <w:next w:val="996"/>
    <w:link w:val="869"/>
    <w:uiPriority w:val="99"/>
    <w:qFormat/>
    <w:rPr>
      <w:rFonts w:ascii="Times New Roman" w:hAnsi="Times New Roman"/>
      <w:sz w:val="21"/>
      <w:szCs w:val="24"/>
    </w:rPr>
  </w:style>
  <w:style w:type="table" w:styleId="997">
    <w:name w:val="网格型2"/>
    <w:basedOn w:val="880"/>
    <w:next w:val="997"/>
    <w:link w:val="869"/>
    <w:qFormat/>
    <w:rPr>
      <w:rFonts w:ascii="等线" w:hAnsi="等线" w:eastAsia="等线"/>
      <w:sz w:val="21"/>
      <w:szCs w:val="22"/>
    </w:rPr>
    <w:tbl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9</cp:revision>
  <dcterms:created xsi:type="dcterms:W3CDTF">2026-08-28T00:13:00Z</dcterms:created>
  <dcterms:modified xsi:type="dcterms:W3CDTF">2026-09-09T01:14:00Z</dcterms:modified>
</cp:coreProperties>
</file>