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hint="eastAsia" w:cs="仿宋" w:asciiTheme="minorEastAsia" w:hAnsiTheme="minorEastAsia" w:eastAsiaTheme="minorEastAsia"/>
          <w:b/>
          <w:i/>
          <w:color w:val="000000" w:themeColor="text1"/>
          <w:sz w:val="21"/>
          <w:szCs w:val="21"/>
          <w:highlight w:val="none"/>
          <w14:textFill>
            <w14:solidFill>
              <w14:schemeClr w14:val="tx1"/>
            </w14:solidFill>
          </w14:textFill>
        </w:rPr>
      </w:pPr>
      <w:r>
        <w:rPr>
          <w:rFonts w:hint="eastAsia" w:cs="仿宋" w:asciiTheme="minorEastAsia" w:hAnsiTheme="minorEastAsia" w:eastAsiaTheme="minorEastAsia"/>
          <w:b/>
          <w:color w:val="000000" w:themeColor="text1"/>
          <w:sz w:val="72"/>
          <w:highlight w:val="none"/>
          <w14:textFill>
            <w14:solidFill>
              <w14:schemeClr w14:val="tx1"/>
            </w14:solidFill>
          </w14:textFill>
        </w:rPr>
        <w:tab/>
      </w:r>
      <w:r/>
    </w:p>
    <w:p>
      <w:pPr>
        <w:jc w:val="center"/>
        <w:rPr>
          <w:rFonts w:hint="eastAsia" w:cs="仿宋" w:asciiTheme="minorEastAsia" w:hAnsiTheme="minorEastAsia" w:eastAsiaTheme="minorEastAsia"/>
          <w:b/>
          <w:color w:val="000000" w:themeColor="text1"/>
          <w:sz w:val="72"/>
          <w:highlight w:val="none"/>
          <w14:textFill>
            <w14:solidFill>
              <w14:schemeClr w14:val="tx1"/>
            </w14:solidFill>
          </w14:textFill>
        </w:rPr>
      </w:pPr>
      <w:r>
        <w:rPr>
          <w:rFonts w:hint="eastAsia" w:cs="仿宋" w:asciiTheme="minorEastAsia" w:hAnsiTheme="minorEastAsia" w:eastAsiaTheme="minorEastAsia"/>
          <w:b/>
          <w:color w:val="000000" w:themeColor="text1"/>
          <w:sz w:val="72"/>
          <w:highlight w:val="none"/>
          <w14:textFill>
            <w14:solidFill>
              <w14:schemeClr w14:val="tx1"/>
            </w14:solidFill>
          </w14:textFill>
        </w:rPr>
      </w:r>
      <w:r/>
    </w:p>
    <w:p>
      <w:pPr>
        <w:jc w:val="center"/>
        <w:spacing w:line="360" w:lineRule="auto"/>
        <w:rPr>
          <w:rFonts w:hint="eastAsia" w:cs="仿宋" w:asciiTheme="minorEastAsia" w:hAnsiTheme="minorEastAsia" w:eastAsiaTheme="minorEastAsia"/>
          <w:bCs/>
          <w:color w:val="000000" w:themeColor="text1"/>
          <w:spacing w:val="20"/>
          <w:sz w:val="72"/>
          <w:szCs w:val="72"/>
          <w:highlight w:val="none"/>
          <w14:textFill>
            <w14:solidFill>
              <w14:schemeClr w14:val="tx1"/>
            </w14:solidFill>
          </w14:textFill>
        </w:rPr>
      </w:pPr>
      <w:r>
        <w:rPr>
          <w:rFonts w:hint="eastAsia" w:cs="仿宋" w:asciiTheme="minorEastAsia" w:hAnsiTheme="minorEastAsia" w:eastAsiaTheme="minorEastAsia"/>
          <w:bCs/>
          <w:color w:val="000000" w:themeColor="text1"/>
          <w:spacing w:val="20"/>
          <w:sz w:val="72"/>
          <w:szCs w:val="72"/>
          <w:highlight w:val="none"/>
          <w14:textFill>
            <w14:solidFill>
              <w14:schemeClr w14:val="tx1"/>
            </w14:solidFill>
          </w14:textFill>
        </w:rPr>
        <w:t xml:space="preserve">泰州市政府采购</w:t>
      </w:r>
      <w:r/>
    </w:p>
    <w:p>
      <w:pPr>
        <w:jc w:val="center"/>
        <w:spacing w:line="360" w:lineRule="auto"/>
        <w:rPr>
          <w:rFonts w:hint="eastAsia" w:cs="仿宋" w:asciiTheme="minorEastAsia" w:hAnsiTheme="minorEastAsia" w:eastAsiaTheme="minorEastAsia"/>
          <w:bCs/>
          <w:color w:val="000000" w:themeColor="text1"/>
          <w:spacing w:val="20"/>
          <w:sz w:val="52"/>
          <w:szCs w:val="52"/>
          <w:highlight w:val="none"/>
          <w14:textFill>
            <w14:solidFill>
              <w14:schemeClr w14:val="tx1"/>
            </w14:solidFill>
          </w14:textFill>
        </w:rPr>
      </w:pPr>
      <w:r>
        <w:rPr>
          <w:rFonts w:hint="eastAsia" w:cs="仿宋" w:asciiTheme="minorEastAsia" w:hAnsiTheme="minorEastAsia" w:eastAsiaTheme="minorEastAsia"/>
          <w:bCs/>
          <w:color w:val="000000" w:themeColor="text1"/>
          <w:spacing w:val="20"/>
          <w:sz w:val="52"/>
          <w:szCs w:val="52"/>
          <w:highlight w:val="none"/>
          <w14:textFill>
            <w14:solidFill>
              <w14:schemeClr w14:val="tx1"/>
            </w14:solidFill>
          </w14:textFill>
        </w:rPr>
        <w:t xml:space="preserve">公开</w:t>
      </w:r>
      <w:r>
        <w:rPr>
          <w:rFonts w:hint="eastAsia" w:asciiTheme="minorEastAsia" w:hAnsiTheme="minorEastAsia" w:eastAsiaTheme="minorEastAsia"/>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-113665</wp:posOffset>
                </wp:positionH>
                <wp:positionV relativeFrom="paragraph">
                  <wp:posOffset>197485</wp:posOffset>
                </wp:positionV>
                <wp:extent cx="635" cy="0"/>
                <wp:effectExtent l="0" t="4445" r="0" b="5080"/>
                <wp:wrapNone/>
                <wp:docPr id="3"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8.9pt,15.5pt" to="-8.9pt,15.5pt" filled="f" strokecolor="#000000"/>
            </w:pict>
          </mc:Fallback>
        </mc:AlternateContent>
      </w:r>
      <w:r>
        <w:rPr>
          <w:rFonts w:hint="eastAsia" w:cs="仿宋" w:asciiTheme="minorEastAsia" w:hAnsiTheme="minorEastAsia" w:eastAsiaTheme="minorEastAsia"/>
          <w:bCs/>
          <w:color w:val="000000" w:themeColor="text1"/>
          <w:spacing w:val="20"/>
          <w:sz w:val="52"/>
          <w:szCs w:val="52"/>
          <w:highlight w:val="none"/>
          <w14:textFill>
            <w14:solidFill>
              <w14:schemeClr w14:val="tx1"/>
            </w14:solidFill>
          </w14:textFill>
        </w:rPr>
        <w:t xml:space="preserve">招标文件</w:t>
      </w:r>
      <w:r/>
    </w:p>
    <w:p>
      <w:pPr>
        <w:jc w:val="center"/>
        <w:rPr>
          <w:rFonts w:hint="eastAsia" w:cs="仿宋" w:asciiTheme="minorEastAsia" w:hAnsiTheme="minorEastAsia" w:eastAsiaTheme="minorEastAsia"/>
          <w:b/>
          <w:color w:val="000000" w:themeColor="text1"/>
          <w:sz w:val="72"/>
          <w:szCs w:val="72"/>
          <w:highlight w:val="none"/>
          <w14:textFill>
            <w14:solidFill>
              <w14:schemeClr w14:val="tx1"/>
            </w14:solidFill>
          </w14:textFill>
        </w:rPr>
      </w:pPr>
      <w:r>
        <w:rPr>
          <w:rFonts w:hint="eastAsia" w:cs="仿宋" w:asciiTheme="minorEastAsia" w:hAnsiTheme="minorEastAsia" w:eastAsiaTheme="minorEastAsia"/>
          <w:bCs/>
          <w:color w:val="000000" w:themeColor="text1"/>
          <w:sz w:val="30"/>
          <w:highlight w:val="none"/>
          <w14:textFill>
            <w14:solidFill>
              <w14:schemeClr w14:val="tx1"/>
            </w14:solidFill>
          </w14:textFill>
        </w:rPr>
        <w:t xml:space="preserve">（全流程电子化不见面开标）</w:t>
      </w:r>
      <w:r/>
    </w:p>
    <w:p>
      <w:pPr>
        <w:rPr>
          <w:rFonts w:hint="eastAsia" w:cs="仿宋" w:asciiTheme="minorEastAsia" w:hAnsiTheme="minorEastAsia" w:eastAsiaTheme="minorEastAsia"/>
          <w:b/>
          <w:color w:val="000000" w:themeColor="text1"/>
          <w:sz w:val="72"/>
          <w:highlight w:val="none"/>
          <w14:textFill>
            <w14:solidFill>
              <w14:schemeClr w14:val="tx1"/>
            </w14:solidFill>
          </w14:textFill>
        </w:rPr>
      </w:pPr>
      <w:r>
        <w:rPr>
          <w:rFonts w:hint="eastAsia" w:cs="仿宋" w:asciiTheme="minorEastAsia" w:hAnsiTheme="minorEastAsia" w:eastAsiaTheme="minorEastAsia"/>
          <w:b/>
          <w:color w:val="000000" w:themeColor="text1"/>
          <w:sz w:val="72"/>
          <w:highlight w:val="none"/>
          <w14:textFill>
            <w14:solidFill>
              <w14:schemeClr w14:val="tx1"/>
            </w14:solidFill>
          </w14:textFill>
        </w:rPr>
      </w:r>
      <w:r/>
    </w:p>
    <w:p>
      <w:pPr>
        <w:pStyle w:val="934"/>
        <w:ind w:firstLine="568"/>
        <w:rPr>
          <w:rFonts w:hint="eastAsia" w:cs="仿宋" w:asciiTheme="minorEastAsia" w:hAnsiTheme="minorEastAsia" w:eastAsiaTheme="minorEastAsia"/>
          <w:color w:val="000000" w:themeColor="text1"/>
          <w:highlight w:val="none"/>
          <w14:textFill>
            <w14:solidFill>
              <w14:schemeClr w14:val="tx1"/>
            </w14:solidFill>
          </w14:textFill>
        </w:rPr>
      </w:pPr>
      <w:r>
        <w:rPr>
          <w:rFonts w:hint="eastAsia" w:cs="仿宋" w:asciiTheme="minorEastAsia" w:hAnsiTheme="minorEastAsia" w:eastAsiaTheme="minorEastAsia"/>
          <w:color w:val="000000" w:themeColor="text1"/>
          <w:highlight w:val="none"/>
          <w14:textFill>
            <w14:solidFill>
              <w14:schemeClr w14:val="tx1"/>
            </w14:solidFill>
          </w14:textFill>
        </w:rPr>
      </w:r>
      <w:r/>
    </w:p>
    <w:p>
      <w:pPr>
        <w:pStyle w:val="934"/>
        <w:ind w:firstLine="568"/>
        <w:rPr>
          <w:rFonts w:hint="eastAsia" w:cs="仿宋" w:asciiTheme="minorEastAsia" w:hAnsiTheme="minorEastAsia" w:eastAsiaTheme="minorEastAsia"/>
          <w:color w:val="000000" w:themeColor="text1"/>
          <w:highlight w:val="none"/>
          <w14:textFill>
            <w14:solidFill>
              <w14:schemeClr w14:val="tx1"/>
            </w14:solidFill>
          </w14:textFill>
        </w:rPr>
      </w:pPr>
      <w:r>
        <w:rPr>
          <w:rFonts w:hint="eastAsia" w:cs="仿宋" w:asciiTheme="minorEastAsia" w:hAnsiTheme="minorEastAsia" w:eastAsiaTheme="minorEastAsia"/>
          <w:color w:val="000000" w:themeColor="text1"/>
          <w:highlight w:val="none"/>
          <w14:textFill>
            <w14:solidFill>
              <w14:schemeClr w14:val="tx1"/>
            </w14:solidFill>
          </w14:textFill>
        </w:rPr>
      </w:r>
      <w:r/>
    </w:p>
    <w:p>
      <w:pPr>
        <w:jc w:val="center"/>
        <w:spacing w:line="360" w:lineRule="auto"/>
        <w:rPr>
          <w:rFonts w:hint="eastAsia" w:cs="仿宋" w:asciiTheme="minorEastAsia" w:hAnsiTheme="minorEastAsia" w:eastAsiaTheme="minorEastAsia"/>
          <w:b/>
          <w:bCs/>
          <w:color w:val="000000" w:themeColor="text1"/>
          <w:sz w:val="28"/>
          <w:szCs w:val="28"/>
          <w:highlight w:val="none"/>
          <w14:textFill>
            <w14:solidFill>
              <w14:schemeClr w14:val="tx1"/>
            </w14:solidFill>
          </w14:textFill>
        </w:rPr>
      </w:pPr>
      <w:r>
        <w:rPr>
          <w:rFonts w:hint="eastAsia" w:cs="仿宋" w:asciiTheme="minorEastAsia" w:hAnsiTheme="minorEastAsia" w:eastAsiaTheme="minorEastAsia"/>
          <w:b/>
          <w:bCs/>
          <w:color w:val="000000" w:themeColor="text1"/>
          <w:sz w:val="28"/>
          <w:szCs w:val="28"/>
          <w:highlight w:val="none"/>
          <w14:textFill>
            <w14:solidFill>
              <w14:schemeClr w14:val="tx1"/>
            </w14:solidFill>
          </w14:textFill>
        </w:rPr>
        <w:t xml:space="preserve">项目编号：JSZC-321202-HWZX-G2026-0366</w:t>
      </w:r>
      <w:r/>
    </w:p>
    <w:p>
      <w:pPr>
        <w:jc w:val="center"/>
        <w:spacing w:line="360" w:lineRule="auto"/>
        <w:rPr>
          <w:rFonts w:hint="eastAsia" w:cs="仿宋" w:asciiTheme="minorEastAsia" w:hAnsiTheme="minorEastAsia" w:eastAsiaTheme="minorEastAsia"/>
          <w:b/>
          <w:bCs/>
          <w:color w:val="000000" w:themeColor="text1"/>
          <w:sz w:val="28"/>
          <w:szCs w:val="28"/>
          <w:highlight w:val="none"/>
          <w14:textFill>
            <w14:solidFill>
              <w14:schemeClr w14:val="tx1"/>
            </w14:solidFill>
          </w14:textFill>
        </w:rPr>
      </w:pPr>
      <w:r>
        <w:rPr>
          <w:rFonts w:hint="eastAsia" w:cs="仿宋" w:asciiTheme="minorEastAsia" w:hAnsiTheme="minorEastAsia" w:eastAsiaTheme="minorEastAsia"/>
          <w:b/>
          <w:bCs/>
          <w:color w:val="000000" w:themeColor="text1"/>
          <w:szCs w:val="28"/>
          <w:highlight w:val="none"/>
          <w14:textFill>
            <w14:solidFill>
              <w14:schemeClr w14:val="tx1"/>
            </w14:solidFill>
          </w14:textFill>
        </w:rPr>
        <w:t xml:space="preserve">采</w:t>
      </w:r>
      <w:r>
        <w:rPr>
          <w:rFonts w:hint="eastAsia" w:cs="仿宋" w:asciiTheme="minorEastAsia" w:hAnsiTheme="minorEastAsia" w:eastAsiaTheme="minorEastAsia"/>
          <w:b/>
          <w:bCs/>
          <w:color w:val="000000" w:themeColor="text1"/>
          <w:sz w:val="28"/>
          <w:szCs w:val="28"/>
          <w:highlight w:val="none"/>
          <w14:textFill>
            <w14:solidFill>
              <w14:schemeClr w14:val="tx1"/>
            </w14:solidFill>
          </w14:textFill>
        </w:rPr>
        <w:t xml:space="preserve">购代理编号：0675-266JOC003527</w:t>
      </w:r>
      <w:r/>
    </w:p>
    <w:p>
      <w:pPr>
        <w:jc w:val="center"/>
        <w:spacing w:line="360" w:lineRule="auto"/>
        <w:rPr>
          <w:rFonts w:hint="eastAsia" w:cs="仿宋" w:asciiTheme="minorEastAsia" w:hAnsiTheme="minorEastAsia" w:eastAsiaTheme="minorEastAsia"/>
          <w:b/>
          <w:bCs/>
          <w:color w:val="000000" w:themeColor="text1"/>
          <w:sz w:val="28"/>
          <w:szCs w:val="28"/>
          <w:highlight w:val="none"/>
          <w14:textFill>
            <w14:solidFill>
              <w14:schemeClr w14:val="tx1"/>
            </w14:solidFill>
          </w14:textFill>
        </w:rPr>
      </w:pPr>
      <w:r>
        <w:rPr>
          <w:rFonts w:hint="eastAsia" w:cs="仿宋" w:asciiTheme="minorEastAsia" w:hAnsiTheme="minorEastAsia" w:eastAsiaTheme="minorEastAsia"/>
          <w:b/>
          <w:bCs/>
          <w:color w:val="000000" w:themeColor="text1"/>
          <w:sz w:val="28"/>
          <w:szCs w:val="28"/>
          <w:highlight w:val="none"/>
          <w14:textFill>
            <w14:solidFill>
              <w14:schemeClr w14:val="tx1"/>
            </w14:solidFill>
          </w14:textFill>
        </w:rPr>
        <w:t xml:space="preserve">项目名称：药学部自动化发药系统</w:t>
      </w:r>
      <w:r/>
    </w:p>
    <w:p>
      <w:pPr>
        <w:ind w:firstLine="419"/>
        <w:jc w:val="center"/>
        <w:spacing w:line="360" w:lineRule="auto"/>
        <w:rPr>
          <w:rFonts w:hint="eastAsia" w:cs="仿宋" w:asciiTheme="minorEastAsia" w:hAnsiTheme="minorEastAsia" w:eastAsiaTheme="minorEastAsia"/>
          <w:b/>
          <w:bCs/>
          <w:color w:val="000000" w:themeColor="text1"/>
          <w:sz w:val="28"/>
          <w:szCs w:val="28"/>
          <w:highlight w:val="none"/>
          <w14:textFill>
            <w14:solidFill>
              <w14:schemeClr w14:val="tx1"/>
            </w14:solidFill>
          </w14:textFill>
        </w:rPr>
      </w:pPr>
      <w:r>
        <w:rPr>
          <w:rFonts w:hint="eastAsia" w:cs="仿宋" w:asciiTheme="minorEastAsia" w:hAnsiTheme="minorEastAsia" w:eastAsiaTheme="minorEastAsia"/>
          <w:b/>
          <w:bCs/>
          <w:color w:val="000000" w:themeColor="text1"/>
          <w:sz w:val="28"/>
          <w:szCs w:val="28"/>
          <w:highlight w:val="none"/>
          <w14:textFill>
            <w14:solidFill>
              <w14:schemeClr w14:val="tx1"/>
            </w14:solidFill>
          </w14:textFill>
        </w:rPr>
      </w:r>
      <w:r/>
    </w:p>
    <w:p>
      <w:pPr>
        <w:ind w:firstLine="419"/>
        <w:spacing w:line="360" w:lineRule="auto"/>
        <w:rPr>
          <w:rFonts w:hint="eastAsia" w:cs="仿宋" w:asciiTheme="minorEastAsia" w:hAnsiTheme="minorEastAsia" w:eastAsiaTheme="minorEastAsia"/>
          <w:b/>
          <w:bCs/>
          <w:color w:val="000000" w:themeColor="text1"/>
          <w:sz w:val="28"/>
          <w:szCs w:val="28"/>
          <w:highlight w:val="none"/>
          <w14:textFill>
            <w14:solidFill>
              <w14:schemeClr w14:val="tx1"/>
            </w14:solidFill>
          </w14:textFill>
        </w:rPr>
      </w:pPr>
      <w:r/>
      <w:bookmarkStart w:id="62" w:name="_GoBack"/>
      <w:r/>
      <w:bookmarkEnd w:id="62"/>
      <w:r/>
      <w:r/>
    </w:p>
    <w:p>
      <w:pPr>
        <w:ind w:firstLine="419"/>
        <w:spacing w:line="360" w:lineRule="auto"/>
        <w:rPr>
          <w:rFonts w:hint="eastAsia" w:cs="仿宋" w:asciiTheme="minorEastAsia" w:hAnsiTheme="minorEastAsia" w:eastAsiaTheme="minorEastAsia"/>
          <w:b/>
          <w:bCs/>
          <w:color w:val="000000" w:themeColor="text1"/>
          <w:sz w:val="28"/>
          <w:szCs w:val="28"/>
          <w:highlight w:val="none"/>
          <w14:textFill>
            <w14:solidFill>
              <w14:schemeClr w14:val="tx1"/>
            </w14:solidFill>
          </w14:textFill>
        </w:rPr>
      </w:pPr>
      <w:r>
        <w:rPr>
          <w:rFonts w:hint="eastAsia" w:cs="仿宋" w:asciiTheme="minorEastAsia" w:hAnsiTheme="minorEastAsia" w:eastAsiaTheme="minorEastAsia"/>
          <w:b/>
          <w:bCs/>
          <w:color w:val="000000" w:themeColor="text1"/>
          <w:sz w:val="28"/>
          <w:szCs w:val="28"/>
          <w:highlight w:val="none"/>
          <w14:textFill>
            <w14:solidFill>
              <w14:schemeClr w14:val="tx1"/>
            </w14:solidFill>
          </w14:textFill>
        </w:rPr>
      </w:r>
      <w:r/>
    </w:p>
    <w:p>
      <w:pPr>
        <w:ind w:firstLine="419"/>
        <w:spacing w:line="360" w:lineRule="auto"/>
        <w:rPr>
          <w:rFonts w:hint="eastAsia" w:cs="仿宋" w:asciiTheme="minorEastAsia" w:hAnsiTheme="minorEastAsia" w:eastAsiaTheme="minorEastAsia"/>
          <w:b/>
          <w:bCs/>
          <w:color w:val="000000" w:themeColor="text1"/>
          <w:sz w:val="28"/>
          <w:szCs w:val="28"/>
          <w:highlight w:val="none"/>
          <w14:textFill>
            <w14:solidFill>
              <w14:schemeClr w14:val="tx1"/>
            </w14:solidFill>
          </w14:textFill>
        </w:rPr>
      </w:pPr>
      <w:r>
        <w:rPr>
          <w:rFonts w:hint="eastAsia" w:cs="仿宋" w:asciiTheme="minorEastAsia" w:hAnsiTheme="minorEastAsia" w:eastAsiaTheme="minorEastAsia"/>
          <w:b/>
          <w:bCs/>
          <w:color w:val="000000" w:themeColor="text1"/>
          <w:sz w:val="28"/>
          <w:szCs w:val="28"/>
          <w:highlight w:val="none"/>
          <w14:textFill>
            <w14:solidFill>
              <w14:schemeClr w14:val="tx1"/>
            </w14:solidFill>
          </w14:textFill>
        </w:rPr>
      </w:r>
      <w:r/>
    </w:p>
    <w:p>
      <w:pPr>
        <w:ind w:firstLine="419"/>
        <w:spacing w:line="360" w:lineRule="auto"/>
        <w:rPr>
          <w:rFonts w:hint="eastAsia" w:cs="仿宋" w:asciiTheme="minorEastAsia" w:hAnsiTheme="minorEastAsia" w:eastAsiaTheme="minorEastAsia"/>
          <w:b/>
          <w:bCs/>
          <w:color w:val="000000" w:themeColor="text1"/>
          <w:sz w:val="28"/>
          <w:szCs w:val="28"/>
          <w:highlight w:val="none"/>
          <w14:textFill>
            <w14:solidFill>
              <w14:schemeClr w14:val="tx1"/>
            </w14:solidFill>
          </w14:textFill>
        </w:rPr>
      </w:pPr>
      <w:r>
        <w:rPr>
          <w:rFonts w:hint="eastAsia" w:cs="仿宋" w:asciiTheme="minorEastAsia" w:hAnsiTheme="minorEastAsia" w:eastAsiaTheme="minorEastAsia"/>
          <w:b/>
          <w:bCs/>
          <w:color w:val="000000" w:themeColor="text1"/>
          <w:sz w:val="28"/>
          <w:szCs w:val="28"/>
          <w:highlight w:val="none"/>
          <w14:textFill>
            <w14:solidFill>
              <w14:schemeClr w14:val="tx1"/>
            </w14:solidFill>
          </w14:textFill>
        </w:rPr>
      </w:r>
      <w:r/>
    </w:p>
    <w:p>
      <w:pPr>
        <w:spacing w:line="360" w:lineRule="auto"/>
        <w:rPr>
          <w:rFonts w:hint="eastAsia" w:cs="仿宋" w:asciiTheme="minorEastAsia" w:hAnsiTheme="minorEastAsia" w:eastAsiaTheme="minorEastAsia"/>
          <w:b/>
          <w:bCs/>
          <w:color w:val="000000" w:themeColor="text1"/>
          <w:sz w:val="28"/>
          <w:szCs w:val="28"/>
          <w:highlight w:val="none"/>
          <w14:textFill>
            <w14:solidFill>
              <w14:schemeClr w14:val="tx1"/>
            </w14:solidFill>
          </w14:textFill>
        </w:rPr>
      </w:pPr>
      <w:r>
        <w:rPr>
          <w:rFonts w:hint="eastAsia" w:cs="仿宋" w:asciiTheme="minorEastAsia" w:hAnsiTheme="minorEastAsia" w:eastAsiaTheme="minorEastAsia"/>
          <w:b/>
          <w:bCs/>
          <w:color w:val="000000" w:themeColor="text1"/>
          <w:sz w:val="28"/>
          <w:szCs w:val="28"/>
          <w:highlight w:val="none"/>
          <w14:textFill>
            <w14:solidFill>
              <w14:schemeClr w14:val="tx1"/>
            </w14:solidFill>
          </w14:textFill>
        </w:rPr>
      </w:r>
      <w:r/>
    </w:p>
    <w:p>
      <w:pPr>
        <w:spacing w:line="360" w:lineRule="auto"/>
        <w:rPr>
          <w:rFonts w:hint="eastAsia" w:cs="仿宋" w:asciiTheme="minorEastAsia" w:hAnsiTheme="minorEastAsia" w:eastAsiaTheme="minorEastAsia"/>
          <w:b/>
          <w:bCs/>
          <w:color w:val="000000" w:themeColor="text1"/>
          <w:sz w:val="28"/>
          <w:szCs w:val="28"/>
          <w:highlight w:val="none"/>
          <w14:textFill>
            <w14:solidFill>
              <w14:schemeClr w14:val="tx1"/>
            </w14:solidFill>
          </w14:textFill>
        </w:rPr>
      </w:pPr>
      <w:r>
        <w:rPr>
          <w:rFonts w:hint="eastAsia" w:cs="仿宋" w:asciiTheme="minorEastAsia" w:hAnsiTheme="minorEastAsia" w:eastAsiaTheme="minorEastAsia"/>
          <w:b/>
          <w:bCs/>
          <w:color w:val="000000" w:themeColor="text1"/>
          <w:sz w:val="28"/>
          <w:szCs w:val="28"/>
          <w:highlight w:val="none"/>
          <w14:textFill>
            <w14:solidFill>
              <w14:schemeClr w14:val="tx1"/>
            </w14:solidFill>
          </w14:textFill>
        </w:rPr>
      </w:r>
      <w:r/>
    </w:p>
    <w:p>
      <w:pPr>
        <w:spacing w:line="360" w:lineRule="auto"/>
        <w:rPr>
          <w:rFonts w:hint="eastAsia" w:cs="仿宋" w:asciiTheme="minorEastAsia" w:hAnsiTheme="minorEastAsia" w:eastAsiaTheme="minorEastAsia"/>
          <w:b/>
          <w:bCs/>
          <w:color w:val="000000" w:themeColor="text1"/>
          <w:sz w:val="28"/>
          <w:szCs w:val="28"/>
          <w:highlight w:val="none"/>
          <w14:textFill>
            <w14:solidFill>
              <w14:schemeClr w14:val="tx1"/>
            </w14:solidFill>
          </w14:textFill>
        </w:rPr>
      </w:pPr>
      <w:r>
        <w:rPr>
          <w:rFonts w:hint="eastAsia" w:cs="仿宋" w:asciiTheme="minorEastAsia" w:hAnsiTheme="minorEastAsia" w:eastAsiaTheme="minorEastAsia"/>
          <w:b/>
          <w:bCs/>
          <w:color w:val="000000" w:themeColor="text1"/>
          <w:sz w:val="28"/>
          <w:szCs w:val="28"/>
          <w:highlight w:val="none"/>
          <w14:textFill>
            <w14:solidFill>
              <w14:schemeClr w14:val="tx1"/>
            </w14:solidFill>
          </w14:textFill>
        </w:rPr>
      </w:r>
      <w:r/>
    </w:p>
    <w:p>
      <w:pPr>
        <w:jc w:val="center"/>
        <w:spacing w:line="360" w:lineRule="auto"/>
        <w:rPr>
          <w:rFonts w:hint="eastAsia" w:cs="仿宋" w:asciiTheme="minorEastAsia" w:hAnsiTheme="minorEastAsia" w:eastAsiaTheme="minorEastAsia"/>
          <w:b/>
          <w:bCs/>
          <w:color w:val="000000" w:themeColor="text1"/>
          <w:sz w:val="28"/>
          <w:szCs w:val="28"/>
          <w:highlight w:val="none"/>
          <w14:textFill>
            <w14:solidFill>
              <w14:schemeClr w14:val="tx1"/>
            </w14:solidFill>
          </w14:textFill>
        </w:rPr>
      </w:pPr>
      <w:r>
        <w:rPr>
          <w:rFonts w:hint="eastAsia" w:cs="仿宋" w:asciiTheme="minorEastAsia" w:hAnsiTheme="minorEastAsia" w:eastAsiaTheme="minorEastAsia"/>
          <w:b/>
          <w:bCs/>
          <w:color w:val="000000" w:themeColor="text1"/>
          <w:sz w:val="28"/>
          <w:szCs w:val="28"/>
          <w:highlight w:val="none"/>
          <w14:textFill>
            <w14:solidFill>
              <w14:schemeClr w14:val="tx1"/>
            </w14:solidFill>
          </w14:textFill>
        </w:rPr>
        <w:t xml:space="preserve">采   购   人：泰州市第四人民医院</w:t>
      </w:r>
      <w:r/>
    </w:p>
    <w:p>
      <w:pPr>
        <w:pStyle w:val="781"/>
        <w:ind w:firstLine="0"/>
        <w:jc w:val="center"/>
        <w:rPr>
          <w:rFonts w:hint="eastAsia" w:cs="仿宋" w:asciiTheme="minorEastAsia" w:hAnsiTheme="minorEastAsia" w:eastAsiaTheme="minorEastAsia"/>
          <w:color w:val="000000" w:themeColor="text1"/>
          <w:highlight w:val="none"/>
          <w14:textFill>
            <w14:solidFill>
              <w14:schemeClr w14:val="tx1"/>
            </w14:solidFill>
          </w14:textFill>
        </w:rPr>
      </w:pPr>
      <w:r>
        <w:rPr>
          <w:rFonts w:hint="eastAsia" w:cs="仿宋" w:asciiTheme="minorEastAsia" w:hAnsiTheme="minorEastAsia" w:eastAsiaTheme="minorEastAsia"/>
          <w:color w:val="000000" w:themeColor="text1"/>
          <w:highlight w:val="none"/>
          <w14:textFill>
            <w14:solidFill>
              <w14:schemeClr w14:val="tx1"/>
            </w14:solidFill>
          </w14:textFill>
        </w:rPr>
      </w:r>
      <w:r/>
    </w:p>
    <w:p>
      <w:pPr>
        <w:jc w:val="center"/>
        <w:spacing w:line="360" w:lineRule="auto"/>
        <w:rPr>
          <w:rFonts w:hint="eastAsia" w:cs="仿宋" w:asciiTheme="minorEastAsia" w:hAnsiTheme="minorEastAsia" w:eastAsiaTheme="minorEastAsia"/>
          <w:b/>
          <w:bCs/>
          <w:color w:val="000000" w:themeColor="text1"/>
          <w:sz w:val="28"/>
          <w:szCs w:val="28"/>
          <w:highlight w:val="none"/>
          <w14:textFill>
            <w14:solidFill>
              <w14:schemeClr w14:val="tx1"/>
            </w14:solidFill>
          </w14:textFill>
        </w:rPr>
      </w:pPr>
      <w:r>
        <w:rPr>
          <w:rFonts w:hint="eastAsia" w:cs="仿宋" w:asciiTheme="minorEastAsia" w:hAnsiTheme="minorEastAsia" w:eastAsiaTheme="minorEastAsia"/>
          <w:b/>
          <w:bCs/>
          <w:color w:val="000000" w:themeColor="text1"/>
          <w:sz w:val="28"/>
          <w:szCs w:val="28"/>
          <w:highlight w:val="none"/>
          <w14:textFill>
            <w14:solidFill>
              <w14:schemeClr w14:val="tx1"/>
            </w14:solidFill>
          </w14:textFill>
        </w:rPr>
        <w:t xml:space="preserve">采购代理机构：江苏海外集团国际工程咨询有限公司</w:t>
      </w:r>
      <w:r/>
    </w:p>
    <w:p>
      <w:pPr>
        <w:jc w:val="center"/>
        <w:rPr>
          <w:rFonts w:hint="eastAsia" w:cs="仿宋" w:asciiTheme="minorEastAsia" w:hAnsiTheme="minorEastAsia" w:eastAsiaTheme="minorEastAsia"/>
          <w:b/>
          <w:color w:val="000000" w:themeColor="text1"/>
          <w:sz w:val="28"/>
          <w:szCs w:val="28"/>
          <w:highlight w:val="none"/>
          <w14:textFill>
            <w14:solidFill>
              <w14:schemeClr w14:val="tx1"/>
            </w14:solidFill>
          </w14:textFill>
        </w:rPr>
      </w:pPr>
      <w:r>
        <w:rPr>
          <w:rFonts w:hint="eastAsia" w:cs="仿宋" w:asciiTheme="minorEastAsia" w:hAnsiTheme="minorEastAsia" w:eastAsiaTheme="minorEastAsia"/>
          <w:b/>
          <w:color w:val="000000" w:themeColor="text1"/>
          <w:sz w:val="28"/>
          <w:szCs w:val="28"/>
          <w:highlight w:val="none"/>
          <w14:textFill>
            <w14:solidFill>
              <w14:schemeClr w14:val="tx1"/>
            </w14:solidFill>
          </w14:textFill>
        </w:rPr>
      </w:r>
      <w:r/>
    </w:p>
    <w:p>
      <w:pPr>
        <w:jc w:val="center"/>
        <w:rPr>
          <w:rFonts w:hint="eastAsia" w:cs="仿宋" w:asciiTheme="minorEastAsia" w:hAnsiTheme="minorEastAsia" w:eastAsiaTheme="minorEastAsia"/>
          <w:b/>
          <w:color w:val="000000" w:themeColor="text1"/>
          <w:sz w:val="28"/>
          <w:szCs w:val="28"/>
          <w:highlight w:val="none"/>
          <w14:textFill>
            <w14:solidFill>
              <w14:schemeClr w14:val="tx1"/>
            </w14:solidFill>
          </w14:textFill>
        </w:rPr>
      </w:pPr>
      <w:r>
        <w:rPr>
          <w:rFonts w:hint="eastAsia" w:cs="仿宋" w:asciiTheme="minorEastAsia" w:hAnsiTheme="minorEastAsia" w:eastAsiaTheme="minorEastAsia"/>
          <w:b/>
          <w:color w:val="000000" w:themeColor="text1"/>
          <w:sz w:val="28"/>
          <w:szCs w:val="28"/>
          <w:highlight w:val="none"/>
          <w14:textFill>
            <w14:solidFill>
              <w14:schemeClr w14:val="tx1"/>
            </w14:solidFill>
          </w14:textFill>
        </w:rPr>
        <w:t xml:space="preserve">2026年</w:t>
      </w:r>
      <w:r>
        <w:rPr>
          <w:rFonts w:hint="eastAsia" w:cs="仿宋" w:asciiTheme="minorEastAsia" w:hAnsiTheme="minorEastAsia" w:eastAsiaTheme="minorEastAsia"/>
          <w:b/>
          <w:color w:val="000000" w:themeColor="text1"/>
          <w:sz w:val="28"/>
          <w:szCs w:val="28"/>
          <w:highlight w:val="none"/>
          <w:lang w:val="en-US" w:eastAsia="zh-CN"/>
          <w14:textFill>
            <w14:solidFill>
              <w14:schemeClr w14:val="tx1"/>
            </w14:solidFill>
          </w14:textFill>
        </w:rPr>
        <w:t xml:space="preserve">7</w:t>
      </w:r>
      <w:r>
        <w:rPr>
          <w:rFonts w:hint="eastAsia" w:cs="仿宋" w:asciiTheme="minorEastAsia" w:hAnsiTheme="minorEastAsia" w:eastAsiaTheme="minorEastAsia"/>
          <w:b/>
          <w:color w:val="000000" w:themeColor="text1"/>
          <w:sz w:val="28"/>
          <w:szCs w:val="28"/>
          <w:highlight w:val="none"/>
          <w14:textFill>
            <w14:solidFill>
              <w14:schemeClr w14:val="tx1"/>
            </w14:solidFill>
          </w14:textFill>
        </w:rPr>
        <w:t xml:space="preserve">月</w:t>
      </w:r>
      <w:r/>
    </w:p>
    <w:p>
      <w:pPr>
        <w:jc w:val="center"/>
        <w:spacing w:line="360" w:lineRule="auto"/>
        <w:widowControl/>
        <w:rPr>
          <w:rFonts w:hint="eastAsia" w:cs="仿宋" w:asciiTheme="minorEastAsia" w:hAnsiTheme="minorEastAsia" w:eastAsiaTheme="minorEastAsia"/>
          <w:b/>
          <w:color w:val="000000" w:themeColor="text1"/>
          <w:sz w:val="28"/>
          <w:szCs w:val="28"/>
          <w:highlight w:val="none"/>
          <w14:textFill>
            <w14:solidFill>
              <w14:schemeClr w14:val="tx1"/>
            </w14:solidFill>
          </w14:textFill>
        </w:rPr>
      </w:pPr>
      <w:r>
        <w:rPr>
          <w:rFonts w:hint="eastAsia" w:cs="仿宋" w:asciiTheme="minorEastAsia" w:hAnsiTheme="minorEastAsia" w:eastAsiaTheme="minorEastAsia"/>
          <w:b/>
          <w:color w:val="000000" w:themeColor="text1"/>
          <w:sz w:val="28"/>
          <w:szCs w:val="28"/>
          <w:highlight w:val="none"/>
          <w14:textFill>
            <w14:solidFill>
              <w14:schemeClr w14:val="tx1"/>
            </w14:solidFill>
          </w14:textFill>
        </w:rPr>
        <w:br w:type="page" w:clear="all"/>
      </w:r>
      <w:r/>
    </w:p>
    <w:p>
      <w:pPr>
        <w:jc w:val="center"/>
        <w:spacing w:line="360" w:lineRule="auto"/>
        <w:widowControl/>
        <w:rPr>
          <w:rFonts w:hint="eastAsia" w:cs="仿宋" w:asciiTheme="minorEastAsia" w:hAnsiTheme="minorEastAsia" w:eastAsiaTheme="minorEastAsia"/>
          <w:b/>
          <w:color w:val="000000" w:themeColor="text1"/>
          <w:sz w:val="36"/>
          <w:szCs w:val="36"/>
          <w:highlight w:val="none"/>
          <w14:textFill>
            <w14:solidFill>
              <w14:schemeClr w14:val="tx1"/>
            </w14:solidFill>
          </w14:textFill>
        </w:rPr>
      </w:pPr>
      <w:r>
        <w:rPr>
          <w:rFonts w:hint="eastAsia" w:cs="仿宋" w:asciiTheme="minorEastAsia" w:hAnsiTheme="minorEastAsia" w:eastAsiaTheme="minorEastAsia"/>
          <w:b/>
          <w:color w:val="000000" w:themeColor="text1"/>
          <w:sz w:val="36"/>
          <w:szCs w:val="36"/>
          <w:highlight w:val="none"/>
          <w14:textFill>
            <w14:solidFill>
              <w14:schemeClr w14:val="tx1"/>
            </w14:solidFill>
          </w14:textFill>
        </w:rPr>
        <w:t xml:space="preserve">目  录</w:t>
      </w:r>
      <w:r/>
    </w:p>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r>
      <w:r/>
    </w:p>
    <w:p>
      <w:pPr>
        <w:pStyle w:val="935"/>
        <w:spacing w:line="480" w:lineRule="auto"/>
        <w:tabs>
          <w:tab w:val="right" w:pos="9344" w:leader="dot"/>
        </w:tabs>
        <w:rPr>
          <w:rFonts w:hint="eastAsia" w:cs="仿宋" w:asciiTheme="minorEastAsia" w:hAnsiTheme="minorEastAsia" w:eastAsiaTheme="minorEastAsia"/>
          <w:b/>
          <w:color w:val="000000" w:themeColor="text1"/>
          <w:sz w:val="28"/>
          <w:szCs w:val="21"/>
          <w:highlight w:val="none"/>
          <w14:textFill>
            <w14:solidFill>
              <w14:schemeClr w14:val="tx1"/>
            </w14:solidFill>
          </w14:textFill>
        </w:rPr>
      </w:pPr>
      <w:r>
        <w:rPr>
          <w:rFonts w:hint="eastAsia" w:cs="仿宋" w:asciiTheme="minorEastAsia" w:hAnsiTheme="minorEastAsia" w:eastAsiaTheme="minorEastAsia"/>
          <w:b/>
          <w:color w:val="000000" w:themeColor="text1"/>
          <w:sz w:val="28"/>
          <w:szCs w:val="21"/>
          <w:highlight w:val="none"/>
          <w14:textFill>
            <w14:solidFill>
              <w14:schemeClr w14:val="tx1"/>
            </w14:solidFill>
          </w14:textFill>
        </w:rPr>
        <w:fldChar w:fldCharType="begin"/>
      </w:r>
      <w:r>
        <w:rPr>
          <w:rFonts w:hint="eastAsia" w:cs="仿宋" w:asciiTheme="minorEastAsia" w:hAnsiTheme="minorEastAsia" w:eastAsiaTheme="minorEastAsia"/>
          <w:b/>
          <w:color w:val="000000" w:themeColor="text1"/>
          <w:sz w:val="28"/>
          <w:szCs w:val="21"/>
          <w:highlight w:val="none"/>
          <w14:textFill>
            <w14:solidFill>
              <w14:schemeClr w14:val="tx1"/>
            </w14:solidFill>
          </w14:textFill>
        </w:rPr>
        <w:instrText xml:space="preserve">TOC  \* MERGEFORMAT</w:instrText>
      </w:r>
      <w:r>
        <w:rPr>
          <w:rFonts w:hint="eastAsia" w:cs="仿宋" w:asciiTheme="minorEastAsia" w:hAnsiTheme="minorEastAsia" w:eastAsiaTheme="minorEastAsia"/>
          <w:b/>
          <w:color w:val="000000" w:themeColor="text1"/>
          <w:sz w:val="28"/>
          <w:szCs w:val="21"/>
          <w:highlight w:val="none"/>
          <w14:textFill>
            <w14:solidFill>
              <w14:schemeClr w14:val="tx1"/>
            </w14:solidFill>
          </w14:textFill>
        </w:rPr>
        <w:fldChar w:fldCharType="separate"/>
      </w:r>
      <w:r>
        <w:rPr>
          <w:rFonts w:hint="eastAsia" w:cs="仿宋" w:asciiTheme="minorEastAsia" w:hAnsiTheme="minorEastAsia" w:eastAsiaTheme="minorEastAsia"/>
          <w:b/>
          <w:color w:val="000000" w:themeColor="text1"/>
          <w:sz w:val="28"/>
          <w:szCs w:val="21"/>
          <w:highlight w:val="none"/>
          <w14:textFill>
            <w14:solidFill>
              <w14:schemeClr w14:val="tx1"/>
            </w14:solidFill>
          </w14:textFill>
        </w:rPr>
        <w:t xml:space="preserve">第一章 招标公告</w:t>
      </w:r>
      <w:r/>
    </w:p>
    <w:p>
      <w:pPr>
        <w:pStyle w:val="935"/>
        <w:spacing w:line="480" w:lineRule="auto"/>
        <w:tabs>
          <w:tab w:val="right" w:pos="9344" w:leader="dot"/>
        </w:tabs>
        <w:rPr>
          <w:rFonts w:hint="eastAsia" w:cs="仿宋" w:asciiTheme="minorEastAsia" w:hAnsiTheme="minorEastAsia" w:eastAsiaTheme="minorEastAsia"/>
          <w:b/>
          <w:color w:val="000000" w:themeColor="text1"/>
          <w:sz w:val="28"/>
          <w:szCs w:val="21"/>
          <w:highlight w:val="none"/>
          <w14:textFill>
            <w14:solidFill>
              <w14:schemeClr w14:val="tx1"/>
            </w14:solidFill>
          </w14:textFill>
        </w:rPr>
      </w:pPr>
      <w:r>
        <w:rPr>
          <w:rFonts w:hint="eastAsia" w:cs="仿宋" w:asciiTheme="minorEastAsia" w:hAnsiTheme="minorEastAsia" w:eastAsiaTheme="minorEastAsia"/>
          <w:b/>
          <w:color w:val="000000" w:themeColor="text1"/>
          <w:sz w:val="28"/>
          <w:szCs w:val="21"/>
          <w:highlight w:val="none"/>
          <w14:textFill>
            <w14:solidFill>
              <w14:schemeClr w14:val="tx1"/>
            </w14:solidFill>
          </w14:textFill>
        </w:rPr>
        <w:t xml:space="preserve">第二章 投标人须知</w:t>
      </w:r>
      <w:r/>
    </w:p>
    <w:p>
      <w:pPr>
        <w:pStyle w:val="935"/>
        <w:spacing w:line="480" w:lineRule="auto"/>
        <w:tabs>
          <w:tab w:val="right" w:pos="9344" w:leader="dot"/>
        </w:tabs>
        <w:rPr>
          <w:rFonts w:hint="eastAsia" w:cs="仿宋" w:asciiTheme="minorEastAsia" w:hAnsiTheme="minorEastAsia" w:eastAsiaTheme="minorEastAsia"/>
          <w:b/>
          <w:color w:val="000000" w:themeColor="text1"/>
          <w:sz w:val="28"/>
          <w:szCs w:val="21"/>
          <w:highlight w:val="none"/>
          <w14:textFill>
            <w14:solidFill>
              <w14:schemeClr w14:val="tx1"/>
            </w14:solidFill>
          </w14:textFill>
        </w:rPr>
      </w:pPr>
      <w:r>
        <w:rPr>
          <w:rFonts w:hint="eastAsia" w:cs="仿宋" w:asciiTheme="minorEastAsia" w:hAnsiTheme="minorEastAsia" w:eastAsiaTheme="minorEastAsia"/>
          <w:b/>
          <w:color w:val="000000" w:themeColor="text1"/>
          <w:sz w:val="28"/>
          <w:szCs w:val="21"/>
          <w:highlight w:val="none"/>
          <w14:textFill>
            <w14:solidFill>
              <w14:schemeClr w14:val="tx1"/>
            </w14:solidFill>
          </w14:textFill>
        </w:rPr>
        <w:t xml:space="preserve">第三章 采购需求</w:t>
      </w:r>
      <w:r/>
    </w:p>
    <w:p>
      <w:pPr>
        <w:pStyle w:val="935"/>
        <w:spacing w:line="480" w:lineRule="auto"/>
        <w:tabs>
          <w:tab w:val="right" w:pos="9344" w:leader="dot"/>
        </w:tabs>
        <w:rPr>
          <w:rFonts w:hint="eastAsia" w:cs="仿宋" w:asciiTheme="minorEastAsia" w:hAnsiTheme="minorEastAsia" w:eastAsiaTheme="minorEastAsia"/>
          <w:b/>
          <w:color w:val="000000" w:themeColor="text1"/>
          <w:sz w:val="28"/>
          <w:szCs w:val="21"/>
          <w:highlight w:val="none"/>
          <w14:textFill>
            <w14:solidFill>
              <w14:schemeClr w14:val="tx1"/>
            </w14:solidFill>
          </w14:textFill>
        </w:rPr>
      </w:pPr>
      <w:r>
        <w:rPr>
          <w:rFonts w:hint="eastAsia" w:cs="仿宋" w:asciiTheme="minorEastAsia" w:hAnsiTheme="minorEastAsia" w:eastAsiaTheme="minorEastAsia"/>
          <w:b/>
          <w:color w:val="000000" w:themeColor="text1"/>
          <w:sz w:val="28"/>
          <w:szCs w:val="21"/>
          <w:highlight w:val="none"/>
          <w14:textFill>
            <w14:solidFill>
              <w14:schemeClr w14:val="tx1"/>
            </w14:solidFill>
          </w14:textFill>
        </w:rPr>
        <w:t xml:space="preserve">第四章 评标办法及标准</w:t>
      </w:r>
      <w:r/>
    </w:p>
    <w:p>
      <w:pPr>
        <w:pStyle w:val="935"/>
        <w:spacing w:line="480" w:lineRule="auto"/>
        <w:tabs>
          <w:tab w:val="right" w:pos="9344" w:leader="dot"/>
        </w:tabs>
        <w:rPr>
          <w:rFonts w:hint="eastAsia" w:cs="仿宋" w:asciiTheme="minorEastAsia" w:hAnsiTheme="minorEastAsia" w:eastAsiaTheme="minorEastAsia"/>
          <w:b/>
          <w:color w:val="000000" w:themeColor="text1"/>
          <w:sz w:val="28"/>
          <w:szCs w:val="21"/>
          <w:highlight w:val="none"/>
          <w14:textFill>
            <w14:solidFill>
              <w14:schemeClr w14:val="tx1"/>
            </w14:solidFill>
          </w14:textFill>
        </w:rPr>
      </w:pPr>
      <w:r>
        <w:rPr>
          <w:rFonts w:hint="eastAsia" w:cs="仿宋" w:asciiTheme="minorEastAsia" w:hAnsiTheme="minorEastAsia" w:eastAsiaTheme="minorEastAsia"/>
          <w:b/>
          <w:color w:val="000000" w:themeColor="text1"/>
          <w:sz w:val="28"/>
          <w:szCs w:val="21"/>
          <w:highlight w:val="none"/>
          <w14:textFill>
            <w14:solidFill>
              <w14:schemeClr w14:val="tx1"/>
            </w14:solidFill>
          </w14:textFill>
        </w:rPr>
        <w:t xml:space="preserve">第五章 合同条款</w:t>
      </w:r>
      <w:r/>
    </w:p>
    <w:p>
      <w:pPr>
        <w:pStyle w:val="935"/>
        <w:spacing w:line="480" w:lineRule="auto"/>
        <w:tabs>
          <w:tab w:val="right" w:pos="9344" w:leader="dot"/>
        </w:tabs>
        <w:rPr>
          <w:rFonts w:hint="eastAsia" w:cs="仿宋" w:asciiTheme="minorEastAsia" w:hAnsiTheme="minorEastAsia" w:eastAsiaTheme="minorEastAsia"/>
          <w:b/>
          <w:color w:val="000000" w:themeColor="text1"/>
          <w:sz w:val="28"/>
          <w:szCs w:val="21"/>
          <w:highlight w:val="none"/>
          <w14:textFill>
            <w14:solidFill>
              <w14:schemeClr w14:val="tx1"/>
            </w14:solidFill>
          </w14:textFill>
        </w:rPr>
      </w:pPr>
      <w:r>
        <w:rPr>
          <w:rFonts w:hint="eastAsia" w:cs="仿宋" w:asciiTheme="minorEastAsia" w:hAnsiTheme="minorEastAsia" w:eastAsiaTheme="minorEastAsia"/>
          <w:b/>
          <w:color w:val="000000" w:themeColor="text1"/>
          <w:sz w:val="28"/>
          <w:szCs w:val="21"/>
          <w:highlight w:val="none"/>
          <w14:textFill>
            <w14:solidFill>
              <w14:schemeClr w14:val="tx1"/>
            </w14:solidFill>
          </w14:textFill>
        </w:rPr>
        <w:fldChar w:fldCharType="end"/>
      </w:r>
      <w:r>
        <w:rPr>
          <w:rFonts w:hint="eastAsia" w:cs="仿宋" w:asciiTheme="minorEastAsia" w:hAnsiTheme="minorEastAsia" w:eastAsiaTheme="minorEastAsia"/>
          <w:b/>
          <w:color w:val="000000" w:themeColor="text1"/>
          <w:sz w:val="28"/>
          <w:szCs w:val="21"/>
          <w:highlight w:val="none"/>
          <w14:textFill>
            <w14:solidFill>
              <w14:schemeClr w14:val="tx1"/>
            </w14:solidFill>
          </w14:textFill>
        </w:rPr>
        <w:t xml:space="preserve">第六章 投标文件格式</w:t>
      </w:r>
      <w:r/>
    </w:p>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r>
      <w:r/>
    </w:p>
    <w:p>
      <w:pPr>
        <w:spacing w:line="360" w:lineRule="auto"/>
        <w:rPr>
          <w:rFonts w:hint="eastAsia" w:cs="仿宋" w:asciiTheme="minorEastAsia" w:hAnsiTheme="minorEastAsia" w:eastAsiaTheme="minorEastAsia"/>
          <w:b/>
          <w:color w:val="000000" w:themeColor="text1"/>
          <w:sz w:val="21"/>
          <w:szCs w:val="21"/>
          <w:highlight w:val="none"/>
          <w14:textFill>
            <w14:solidFill>
              <w14:schemeClr w14:val="tx1"/>
            </w14:solidFill>
          </w14:textFill>
        </w:rPr>
      </w:pPr>
      <w:r>
        <w:rPr>
          <w:rFonts w:hint="eastAsia" w:cs="仿宋" w:asciiTheme="minorEastAsia" w:hAnsiTheme="minorEastAsia" w:eastAsiaTheme="minorEastAsia"/>
          <w:b/>
          <w:color w:val="000000" w:themeColor="text1"/>
          <w:sz w:val="21"/>
          <w:szCs w:val="21"/>
          <w:highlight w:val="none"/>
          <w14:textFill>
            <w14:solidFill>
              <w14:schemeClr w14:val="tx1"/>
            </w14:solidFill>
          </w14:textFill>
        </w:rPr>
      </w:r>
      <w:r/>
    </w:p>
    <w:p>
      <w:pPr>
        <w:spacing w:line="360" w:lineRule="auto"/>
        <w:rPr>
          <w:rFonts w:hint="eastAsia" w:cs="仿宋" w:asciiTheme="minorEastAsia" w:hAnsiTheme="minorEastAsia" w:eastAsiaTheme="minorEastAsia"/>
          <w:b/>
          <w:color w:val="000000" w:themeColor="text1"/>
          <w:sz w:val="21"/>
          <w:szCs w:val="21"/>
          <w:highlight w:val="none"/>
          <w14:textFill>
            <w14:solidFill>
              <w14:schemeClr w14:val="tx1"/>
            </w14:solidFill>
          </w14:textFill>
        </w:rPr>
      </w:pPr>
      <w:r>
        <w:rPr>
          <w:rFonts w:hint="eastAsia" w:cs="仿宋" w:asciiTheme="minorEastAsia" w:hAnsiTheme="minorEastAsia" w:eastAsiaTheme="minorEastAsia"/>
          <w:b/>
          <w:color w:val="000000" w:themeColor="text1"/>
          <w:sz w:val="21"/>
          <w:szCs w:val="21"/>
          <w:highlight w:val="none"/>
          <w14:textFill>
            <w14:solidFill>
              <w14:schemeClr w14:val="tx1"/>
            </w14:solidFill>
          </w14:textFill>
        </w:rPr>
      </w:r>
      <w:r/>
    </w:p>
    <w:p>
      <w:pPr>
        <w:spacing w:line="360" w:lineRule="auto"/>
        <w:rPr>
          <w:rFonts w:hint="eastAsia" w:cs="仿宋" w:asciiTheme="minorEastAsia" w:hAnsiTheme="minorEastAsia" w:eastAsiaTheme="minorEastAsia"/>
          <w:b/>
          <w:color w:val="000000" w:themeColor="text1"/>
          <w:sz w:val="21"/>
          <w:szCs w:val="21"/>
          <w:highlight w:val="none"/>
          <w14:textFill>
            <w14:solidFill>
              <w14:schemeClr w14:val="tx1"/>
            </w14:solidFill>
          </w14:textFill>
        </w:rPr>
      </w:pPr>
      <w:r>
        <w:rPr>
          <w:rFonts w:hint="eastAsia" w:cs="仿宋" w:asciiTheme="minorEastAsia" w:hAnsiTheme="minorEastAsia" w:eastAsiaTheme="minorEastAsia"/>
          <w:b/>
          <w:color w:val="000000" w:themeColor="text1"/>
          <w:sz w:val="21"/>
          <w:szCs w:val="21"/>
          <w:highlight w:val="none"/>
          <w14:textFill>
            <w14:solidFill>
              <w14:schemeClr w14:val="tx1"/>
            </w14:solidFill>
          </w14:textFill>
        </w:rPr>
      </w:r>
      <w:r/>
    </w:p>
    <w:p>
      <w:pPr>
        <w:spacing w:line="360" w:lineRule="auto"/>
        <w:rPr>
          <w:rFonts w:hint="eastAsia" w:cs="仿宋" w:asciiTheme="minorEastAsia" w:hAnsiTheme="minorEastAsia" w:eastAsiaTheme="minorEastAsia"/>
          <w:b/>
          <w:color w:val="000000" w:themeColor="text1"/>
          <w:sz w:val="21"/>
          <w:szCs w:val="21"/>
          <w:highlight w:val="none"/>
          <w14:textFill>
            <w14:solidFill>
              <w14:schemeClr w14:val="tx1"/>
            </w14:solidFill>
          </w14:textFill>
        </w:rPr>
      </w:pPr>
      <w:r>
        <w:rPr>
          <w:rFonts w:hint="eastAsia" w:cs="仿宋" w:asciiTheme="minorEastAsia" w:hAnsiTheme="minorEastAsia" w:eastAsiaTheme="minorEastAsia"/>
          <w:b/>
          <w:color w:val="000000" w:themeColor="text1"/>
          <w:sz w:val="21"/>
          <w:szCs w:val="21"/>
          <w:highlight w:val="none"/>
          <w14:textFill>
            <w14:solidFill>
              <w14:schemeClr w14:val="tx1"/>
            </w14:solidFill>
          </w14:textFill>
        </w:rPr>
      </w:r>
      <w:r/>
    </w:p>
    <w:p>
      <w:pPr>
        <w:jc w:val="center"/>
        <w:spacing w:line="360" w:lineRule="auto"/>
        <w:widowControl/>
        <w:rPr>
          <w:rFonts w:hint="eastAsia" w:cs="仿宋" w:asciiTheme="minorEastAsia" w:hAnsiTheme="minorEastAsia" w:eastAsiaTheme="minorEastAsia"/>
          <w:b/>
          <w:color w:val="000000" w:themeColor="text1"/>
          <w:spacing w:val="15"/>
          <w:sz w:val="32"/>
          <w:szCs w:val="32"/>
          <w:highlight w:val="none"/>
          <w14:textFill>
            <w14:solidFill>
              <w14:schemeClr w14:val="tx1"/>
            </w14:solidFill>
          </w14:textFill>
        </w:rPr>
      </w:pPr>
      <w:r>
        <w:rPr>
          <w:rFonts w:hint="eastAsia" w:cs="仿宋" w:asciiTheme="minorEastAsia" w:hAnsiTheme="minorEastAsia" w:eastAsiaTheme="minorEastAsia"/>
          <w:color w:val="000000" w:themeColor="text1"/>
          <w:sz w:val="21"/>
          <w:szCs w:val="21"/>
          <w:highlight w:val="none"/>
          <w14:textFill>
            <w14:solidFill>
              <w14:schemeClr w14:val="tx1"/>
            </w14:solidFill>
          </w14:textFill>
        </w:rPr>
        <w:br w:type="page" w:clear="all"/>
      </w:r>
      <w:bookmarkStart w:id="0" w:name="_Toc388026584"/>
      <w:r/>
      <w:bookmarkStart w:id="1" w:name="_Toc409438817"/>
      <w:r>
        <w:rPr>
          <w:rFonts w:hint="eastAsia" w:cs="仿宋" w:asciiTheme="minorEastAsia" w:hAnsiTheme="minorEastAsia" w:eastAsiaTheme="minorEastAsia"/>
          <w:b/>
          <w:color w:val="000000" w:themeColor="text1"/>
          <w:spacing w:val="15"/>
          <w:sz w:val="32"/>
          <w:szCs w:val="32"/>
          <w:highlight w:val="none"/>
          <w14:textFill>
            <w14:solidFill>
              <w14:schemeClr w14:val="tx1"/>
            </w14:solidFill>
          </w14:textFill>
        </w:rPr>
        <w:t xml:space="preserve">第一章</w:t>
      </w:r>
      <w:r>
        <w:rPr>
          <w:rFonts w:hint="eastAsia" w:cs="宋体" w:asciiTheme="minorEastAsia" w:hAnsiTheme="minorEastAsia" w:eastAsiaTheme="minorEastAsia"/>
          <w:color w:val="000000" w:themeColor="text1"/>
          <w:sz w:val="32"/>
          <w:szCs w:val="32"/>
          <w:highlight w:val="none"/>
          <w14:textFill>
            <w14:solidFill>
              <w14:schemeClr w14:val="tx1"/>
            </w14:solidFill>
          </w14:textFill>
        </w:rPr>
        <w:t xml:space="preserve"> </w:t>
      </w:r>
      <w:bookmarkStart w:id="2" w:name="_Toc417477665"/>
      <w:r/>
      <w:bookmarkEnd w:id="2"/>
      <w:r/>
      <w:bookmarkStart w:id="3" w:name="_Toc258329824"/>
      <w:r/>
      <w:bookmarkEnd w:id="3"/>
      <w:r/>
      <w:bookmarkStart w:id="4" w:name="_Toc228679947"/>
      <w:r/>
      <w:bookmarkEnd w:id="4"/>
      <w:r>
        <w:rPr>
          <w:rFonts w:hint="eastAsia" w:cs="仿宋" w:asciiTheme="minorEastAsia" w:hAnsiTheme="minorEastAsia" w:eastAsiaTheme="minorEastAsia"/>
          <w:b/>
          <w:color w:val="000000" w:themeColor="text1"/>
          <w:spacing w:val="15"/>
          <w:sz w:val="32"/>
          <w:szCs w:val="32"/>
          <w:highlight w:val="none"/>
          <w14:textFill>
            <w14:solidFill>
              <w14:schemeClr w14:val="tx1"/>
            </w14:solidFill>
          </w14:textFill>
        </w:rPr>
        <w:t xml:space="preserve">招标公告</w:t>
      </w:r>
      <w:r/>
    </w:p>
    <w:p>
      <w:pPr>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项目概况</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t xml:space="preserve">药学部自动化发药系统</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招标项目的潜在投标人可在“江苏政府采购网</w:t>
      </w:r>
      <w:r>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t xml:space="preserve">-苏采云”系统</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自行下载招标文件 </w:t>
      </w:r>
      <w:r>
        <w:rPr>
          <w:highlight w:val="none"/>
        </w:rPr>
        <w:fldChar w:fldCharType="begin"/>
      </w:r>
      <w:r>
        <w:rPr>
          <w:highlight w:val="none"/>
        </w:rPr>
        <w:instrText xml:space="preserve"> HYPERLINK "http://jszfcg.jsczt.cn/）获取招标文件，并于2023年11月" \o "http://jszfcg.jsczt.cn/）获取招标文件，并于2023年11月" </w:instrText>
      </w:r>
      <w:r>
        <w:rPr>
          <w:highlight w:val="none"/>
        </w:rPr>
        <w:fldChar w:fldCharType="separate"/>
      </w:r>
      <w:r>
        <w:rPr>
          <w:rStyle w:val="785"/>
          <w:rFonts w:hint="eastAsia" w:cs="仿宋" w:asciiTheme="minorEastAsia" w:hAnsiTheme="minorEastAsia" w:eastAsiaTheme="minorEastAsia"/>
          <w:color w:val="000000" w:themeColor="text1"/>
          <w:sz w:val="24"/>
          <w:szCs w:val="24"/>
          <w:highlight w:val="none"/>
          <w:u w:val="none"/>
          <w14:textFill>
            <w14:solidFill>
              <w14:schemeClr w14:val="tx1"/>
            </w14:solidFill>
          </w14:textFill>
        </w:rPr>
        <w:t xml:space="preserve">，并于</w:t>
      </w:r>
      <w:r>
        <w:rPr>
          <w:rStyle w:val="785"/>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202</w:t>
      </w:r>
      <w:r>
        <w:rPr>
          <w:rStyle w:val="785"/>
          <w:rFonts w:cs="仿宋" w:asciiTheme="minorEastAsia" w:hAnsiTheme="minorEastAsia" w:eastAsiaTheme="minorEastAsia"/>
          <w:color w:val="000000" w:themeColor="text1"/>
          <w:sz w:val="24"/>
          <w:szCs w:val="24"/>
          <w:highlight w:val="none"/>
          <w14:textFill>
            <w14:solidFill>
              <w14:schemeClr w14:val="tx1"/>
            </w14:solidFill>
          </w14:textFill>
        </w:rPr>
        <w:t xml:space="preserve">6</w:t>
      </w:r>
      <w:r>
        <w:rPr>
          <w:rStyle w:val="785"/>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年</w:t>
      </w:r>
      <w:r>
        <w:rPr>
          <w:rStyle w:val="785"/>
          <w:rFonts w:hint="eastAsia"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08</w:t>
      </w:r>
      <w:r>
        <w:rPr>
          <w:rStyle w:val="785"/>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月</w:t>
      </w:r>
      <w:r>
        <w:rPr>
          <w:rStyle w:val="785"/>
          <w:rFonts w:hint="eastAsia" w:cs="仿宋" w:asciiTheme="minorEastAsia" w:hAnsiTheme="minorEastAsia" w:eastAsiaTheme="minorEastAsia"/>
          <w:color w:val="000000" w:themeColor="text1"/>
          <w:sz w:val="24"/>
          <w:szCs w:val="24"/>
          <w:highlight w:val="none"/>
          <w14:textFill>
            <w14:solidFill>
              <w14:schemeClr w14:val="tx1"/>
            </w14:solidFill>
          </w14:textFill>
        </w:rPr>
        <w:fldChar w:fldCharType="end"/>
      </w:r>
      <w:r>
        <w:rPr>
          <w:rStyle w:val="785"/>
          <w:rFonts w:hint="eastAsia"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10</w:t>
      </w:r>
      <w:r>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t xml:space="preserve">日</w:t>
      </w:r>
      <w:r>
        <w:rPr>
          <w:rFonts w:hint="eastAsia" w:cs="仿宋" w:asciiTheme="minorEastAsia" w:hAnsiTheme="minorEastAsia" w:eastAsiaTheme="minorEastAsia"/>
          <w:color w:val="000000" w:themeColor="text1"/>
          <w:sz w:val="24"/>
          <w:szCs w:val="24"/>
          <w:highlight w:val="none"/>
          <w:u w:val="single"/>
          <w:lang w:val="en-US" w:eastAsia="zh-CN"/>
          <w14:textFill>
            <w14:solidFill>
              <w14:schemeClr w14:val="tx1"/>
            </w14:solidFill>
          </w14:textFill>
        </w:rPr>
        <w:t xml:space="preserve">14</w:t>
      </w:r>
      <w:r>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t xml:space="preserve">时</w:t>
      </w:r>
      <w:r>
        <w:rPr>
          <w:rFonts w:hint="eastAsia" w:cs="仿宋" w:asciiTheme="minorEastAsia" w:hAnsiTheme="minorEastAsia" w:eastAsiaTheme="minorEastAsia"/>
          <w:color w:val="000000" w:themeColor="text1"/>
          <w:sz w:val="24"/>
          <w:szCs w:val="24"/>
          <w:highlight w:val="none"/>
          <w:u w:val="single"/>
          <w:lang w:val="en-US" w:eastAsia="zh-CN"/>
          <w14:textFill>
            <w14:solidFill>
              <w14:schemeClr w14:val="tx1"/>
            </w14:solidFill>
          </w14:textFill>
        </w:rPr>
        <w:t xml:space="preserve">3</w:t>
      </w:r>
      <w:r>
        <w:rPr>
          <w:rFonts w:cs="仿宋" w:asciiTheme="minorEastAsia" w:hAnsiTheme="minorEastAsia" w:eastAsiaTheme="minorEastAsia"/>
          <w:color w:val="000000" w:themeColor="text1"/>
          <w:sz w:val="24"/>
          <w:szCs w:val="24"/>
          <w:highlight w:val="none"/>
          <w:u w:val="single"/>
          <w14:textFill>
            <w14:solidFill>
              <w14:schemeClr w14:val="tx1"/>
            </w14:solidFill>
          </w14:textFill>
        </w:rPr>
        <w:t xml:space="preserve">0</w:t>
      </w:r>
      <w:r>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t xml:space="preserve">分</w:t>
      </w:r>
      <w:r>
        <w:rPr>
          <w:rFonts w:hint="eastAsia" w:cs="仿宋" w:asciiTheme="minorEastAsia" w:hAnsiTheme="minorEastAsia" w:eastAsiaTheme="minorEastAsia"/>
          <w:bCs/>
          <w:color w:val="000000" w:themeColor="text1"/>
          <w:sz w:val="24"/>
          <w:szCs w:val="24"/>
          <w:highlight w:val="none"/>
          <w14:textFill>
            <w14:solidFill>
              <w14:schemeClr w14:val="tx1"/>
            </w14:solidFill>
          </w14:textFill>
        </w:rPr>
        <w:t xml:space="preserve">（北京时间）前上传投标文件</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w:t>
      </w:r>
      <w:r/>
    </w:p>
    <w:p>
      <w:pPr>
        <w:pStyle w:val="936"/>
        <w:spacing w:before="0" w:after="0" w:line="360" w:lineRule="auto"/>
        <w:rPr>
          <w:rFonts w:hint="eastAsia" w:cs="仿宋" w:asciiTheme="minorEastAsia" w:hAnsiTheme="minorEastAsia" w:eastAsiaTheme="minorEastAsia"/>
          <w:bCs w:val="0"/>
          <w:color w:val="000000" w:themeColor="text1"/>
          <w:sz w:val="24"/>
          <w:szCs w:val="24"/>
          <w:highlight w:val="none"/>
          <w14:textFill>
            <w14:solidFill>
              <w14:schemeClr w14:val="tx1"/>
            </w14:solidFill>
          </w14:textFill>
        </w:rPr>
      </w:pPr>
      <w:r/>
      <w:bookmarkStart w:id="5" w:name="_Toc28359002"/>
      <w:r/>
      <w:bookmarkStart w:id="6" w:name="_Toc28359079"/>
      <w:r/>
      <w:bookmarkStart w:id="7" w:name="_Toc35393790"/>
      <w:r/>
      <w:bookmarkStart w:id="8" w:name="_Toc35393621"/>
      <w:r/>
      <w:bookmarkStart w:id="9" w:name="_Hlk24379207"/>
      <w:r>
        <w:rPr>
          <w:rFonts w:hint="eastAsia" w:cs="仿宋" w:asciiTheme="minorEastAsia" w:hAnsiTheme="minorEastAsia" w:eastAsiaTheme="minorEastAsia"/>
          <w:bCs w:val="0"/>
          <w:color w:val="000000" w:themeColor="text1"/>
          <w:sz w:val="24"/>
          <w:szCs w:val="24"/>
          <w:highlight w:val="none"/>
          <w14:textFill>
            <w14:solidFill>
              <w14:schemeClr w14:val="tx1"/>
            </w14:solidFill>
          </w14:textFill>
        </w:rPr>
        <w:t xml:space="preserve">一、项目基本情况</w:t>
      </w:r>
      <w:bookmarkEnd w:id="5"/>
      <w:r/>
      <w:bookmarkEnd w:id="6"/>
      <w:r/>
      <w:bookmarkEnd w:id="7"/>
      <w:r/>
      <w:bookmarkEnd w:id="8"/>
      <w:r/>
      <w:r/>
    </w:p>
    <w:p>
      <w:pPr>
        <w:ind w:firstLine="48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项目编号：JSZC-321202-HWZX-G2026-0366  </w:t>
      </w:r>
      <w:r/>
    </w:p>
    <w:p>
      <w:pPr>
        <w:ind w:firstLine="48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采购代理编号：0675-266JOC003527</w:t>
      </w:r>
      <w:r>
        <w:rPr>
          <w:rFonts w:cs="仿宋" w:asciiTheme="minorEastAsia" w:hAnsiTheme="minorEastAsia" w:eastAsiaTheme="minorEastAsia"/>
          <w:color w:val="000000" w:themeColor="text1"/>
          <w:sz w:val="24"/>
          <w:szCs w:val="24"/>
          <w:highlight w:val="none"/>
          <w14:textFill>
            <w14:solidFill>
              <w14:schemeClr w14:val="tx1"/>
            </w14:solidFill>
          </w14:textFill>
        </w:rPr>
        <w:t xml:space="preserve"> </w:t>
      </w:r>
      <w:r/>
    </w:p>
    <w:p>
      <w:pPr>
        <w:ind w:firstLine="48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项目名称：</w:t>
      </w:r>
      <w:bookmarkEnd w:id="9"/>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药学部自动化发药系统</w:t>
      </w:r>
      <w:r/>
    </w:p>
    <w:p>
      <w:pPr>
        <w:ind w:firstLine="48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预算金额：560</w:t>
      </w:r>
      <w:r>
        <w:rPr>
          <w:rFonts w:hint="eastAsia" w:cs="仿宋" w:asciiTheme="minorEastAsia" w:hAnsiTheme="minorEastAsia" w:eastAsiaTheme="minorEastAsia"/>
          <w:color w:val="000000" w:themeColor="text1"/>
          <w:sz w:val="24"/>
          <w:szCs w:val="24"/>
          <w:highlight w:val="none"/>
          <w:lang w:eastAsia="zh-CN"/>
          <w14:textFill>
            <w14:solidFill>
              <w14:schemeClr w14:val="tx1"/>
            </w14:solidFill>
          </w14:textFill>
        </w:rPr>
        <w:t xml:space="preserve">万</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元</w:t>
      </w:r>
      <w:r/>
    </w:p>
    <w:p>
      <w:pPr>
        <w:ind w:firstLine="48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最高限价：480万元</w:t>
      </w:r>
      <w:r/>
    </w:p>
    <w:p>
      <w:pPr>
        <w:ind w:firstLine="480"/>
        <w:jc w:val="left"/>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采购需求：</w:t>
      </w:r>
      <w:r/>
    </w:p>
    <w:tbl>
      <w:tblPr>
        <w:tblStyle w:val="937"/>
        <w:tblW w:w="5000"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816"/>
        <w:gridCol w:w="3440"/>
        <w:gridCol w:w="1136"/>
        <w:gridCol w:w="1846"/>
        <w:gridCol w:w="1068"/>
      </w:tblGrid>
      <w:tr>
        <w:trPr>
          <w:jc w:val="center"/>
          <w:trHeight w:val="1041"/>
        </w:trPr>
        <w:tc>
          <w:tcPr>
            <w:tcW w:w="491"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包号</w:t>
            </w:r>
            <w:r/>
          </w:p>
        </w:tc>
        <w:tc>
          <w:tcPr>
            <w:tcW w:w="2071"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tc>
        <w:tc>
          <w:tcPr>
            <w:tcW w:w="684"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tcW w:w="1111"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预算/最高限价</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p>
        </w:tc>
        <w:tc>
          <w:tcPr>
            <w:tcW w:w="643"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是否接受进口产品</w:t>
            </w:r>
            <w:r/>
          </w:p>
        </w:tc>
      </w:tr>
      <w:tr>
        <w:trPr>
          <w:jc w:val="center"/>
          <w:trHeight w:val="939" w:hRule="exact"/>
        </w:trPr>
        <w:tc>
          <w:tcPr>
            <w:shd w:val="clear" w:color="auto" w:fill="ffffff"/>
            <w:tcW w:w="491"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shd w:val="clear" w:color="auto" w:fill="ffffff"/>
            <w:tcW w:w="2071"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药学部自动化发药系统</w:t>
            </w:r>
            <w:r/>
          </w:p>
        </w:tc>
        <w:tc>
          <w:tcPr>
            <w:shd w:val="clear" w:color="auto" w:fill="ffffff"/>
            <w:tcW w:w="684"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1套</w:t>
            </w:r>
            <w:r/>
          </w:p>
        </w:tc>
        <w:tc>
          <w:tcPr>
            <w:shd w:val="clear" w:color="auto" w:fill="ffffff"/>
            <w:tcW w:w="1111"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560/480</w:t>
            </w:r>
            <w:r/>
          </w:p>
        </w:tc>
        <w:tc>
          <w:tcPr>
            <w:shd w:val="clear" w:color="auto" w:fill="ffffff"/>
            <w:tcW w:w="643"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否</w:t>
            </w:r>
            <w:r/>
          </w:p>
        </w:tc>
      </w:tr>
    </w:tbl>
    <w:p>
      <w:pPr>
        <w:pStyle w:val="938"/>
        <w:ind w:firstLine="480"/>
        <w:spacing w:line="360" w:lineRule="auto"/>
        <w:rPr>
          <w:rFonts w:hint="eastAsia"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r>
      <w:r/>
    </w:p>
    <w:p>
      <w:pPr>
        <w:pStyle w:val="938"/>
        <w:ind w:firstLine="480"/>
        <w:spacing w:line="360" w:lineRule="auto"/>
        <w:rPr>
          <w:rFonts w:hint="eastAsia"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 xml:space="preserve">合同履行期</w:t>
      </w:r>
      <w:r>
        <w:rPr>
          <w:rFonts w:hint="eastAsia" w:asciiTheme="minorEastAsia" w:hAnsiTheme="minorEastAsia" w:eastAsiaTheme="minorEastAsia"/>
          <w:color w:val="000000" w:themeColor="text1"/>
          <w:highlight w:val="none"/>
          <w14:textFill>
            <w14:solidFill>
              <w14:schemeClr w14:val="tx1"/>
            </w14:solidFill>
          </w14:textFill>
        </w:rPr>
        <w:t xml:space="preserve">限：合同签订后14天内完成交货</w:t>
      </w:r>
      <w:r/>
    </w:p>
    <w:p>
      <w:pPr>
        <w:pStyle w:val="938"/>
        <w:ind w:firstLine="480"/>
        <w:spacing w:line="360" w:lineRule="auto"/>
        <w:rPr>
          <w:rFonts w:hint="eastAsia"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 xml:space="preserve">本项目不接受联合体投标。</w:t>
      </w:r>
      <w:r/>
    </w:p>
    <w:p>
      <w:pPr>
        <w:pStyle w:val="936"/>
        <w:spacing w:before="0" w:after="0" w:line="360" w:lineRule="auto"/>
        <w:rPr>
          <w:rFonts w:hint="eastAsia" w:cs="仿宋" w:asciiTheme="minorEastAsia" w:hAnsiTheme="minorEastAsia" w:eastAsiaTheme="minorEastAsia"/>
          <w:bCs w:val="0"/>
          <w:color w:val="000000" w:themeColor="text1"/>
          <w:sz w:val="24"/>
          <w:szCs w:val="24"/>
          <w:highlight w:val="none"/>
          <w14:textFill>
            <w14:solidFill>
              <w14:schemeClr w14:val="tx1"/>
            </w14:solidFill>
          </w14:textFill>
        </w:rPr>
      </w:pPr>
      <w:r/>
      <w:bookmarkStart w:id="10" w:name="_Toc28359003"/>
      <w:r/>
      <w:bookmarkStart w:id="11" w:name="_Toc35393791"/>
      <w:r/>
      <w:bookmarkStart w:id="12" w:name="_Toc35393622"/>
      <w:r/>
      <w:bookmarkStart w:id="13" w:name="_Toc28359080"/>
      <w:r>
        <w:rPr>
          <w:rFonts w:hint="eastAsia" w:cs="仿宋" w:asciiTheme="minorEastAsia" w:hAnsiTheme="minorEastAsia" w:eastAsiaTheme="minorEastAsia"/>
          <w:bCs w:val="0"/>
          <w:color w:val="000000" w:themeColor="text1"/>
          <w:sz w:val="24"/>
          <w:szCs w:val="24"/>
          <w:highlight w:val="none"/>
          <w14:textFill>
            <w14:solidFill>
              <w14:schemeClr w14:val="tx1"/>
            </w14:solidFill>
          </w14:textFill>
        </w:rPr>
        <w:t xml:space="preserve">二、申请人的资格要求：</w:t>
      </w:r>
      <w:bookmarkEnd w:id="10"/>
      <w:r/>
      <w:bookmarkEnd w:id="11"/>
      <w:r/>
      <w:bookmarkEnd w:id="12"/>
      <w:r/>
      <w:bookmarkEnd w:id="13"/>
      <w:r/>
      <w:r/>
    </w:p>
    <w:p>
      <w:pPr>
        <w:ind w:firstLine="482"/>
        <w:spacing w:line="360" w:lineRule="auto"/>
        <w:rPr>
          <w:rFonts w:hint="eastAsia" w:ascii="宋体" w:hAnsi="宋体" w:eastAsia="宋体" w:cs="Arial"/>
          <w:b/>
          <w:bCs/>
          <w:sz w:val="24"/>
          <w:szCs w:val="21"/>
          <w:highlight w:val="none"/>
        </w:rPr>
      </w:pPr>
      <w:r/>
      <w:bookmarkStart w:id="14" w:name="_Hlk142317588"/>
      <w:r/>
      <w:bookmarkStart w:id="15" w:name="_Toc28359081"/>
      <w:r/>
      <w:bookmarkStart w:id="16" w:name="_Toc28359004"/>
      <w:r/>
      <w:bookmarkStart w:id="17" w:name="_Toc35393792"/>
      <w:r/>
      <w:bookmarkStart w:id="18" w:name="_Toc35393623"/>
      <w:r>
        <w:rPr>
          <w:rFonts w:hint="eastAsia" w:ascii="宋体" w:hAnsi="宋体" w:eastAsia="宋体" w:cs="Arial"/>
          <w:b/>
          <w:bCs/>
          <w:sz w:val="24"/>
          <w:szCs w:val="21"/>
          <w:highlight w:val="none"/>
        </w:rPr>
        <w:t xml:space="preserve">（一）通用资格要求</w:t>
      </w:r>
      <w:bookmarkEnd w:id="14"/>
      <w:r/>
      <w:r/>
    </w:p>
    <w:p>
      <w:pPr>
        <w:ind w:firstLine="480"/>
        <w:spacing w:line="360" w:lineRule="auto"/>
        <w:rPr>
          <w:rFonts w:hint="eastAsia" w:cs="Arial" w:asciiTheme="minorEastAsia" w:hAnsiTheme="minorEastAsia" w:eastAsiaTheme="minorEastAsia"/>
          <w:sz w:val="24"/>
          <w:szCs w:val="24"/>
          <w:highlight w:val="none"/>
        </w:rPr>
      </w:pPr>
      <w:r>
        <w:rPr>
          <w:rFonts w:hint="eastAsia" w:cs="Arial" w:asciiTheme="minorEastAsia" w:hAnsiTheme="minorEastAsia" w:eastAsiaTheme="minorEastAsia"/>
          <w:sz w:val="24"/>
          <w:szCs w:val="21"/>
          <w:highlight w:val="none"/>
        </w:rPr>
        <w:t xml:space="preserve">1、满足《中华人民共和国政府采购法》第二十二条规定，并提供下列材料：</w:t>
      </w:r>
      <w:r/>
    </w:p>
    <w:p>
      <w:pPr>
        <w:ind w:firstLine="480"/>
        <w:spacing w:line="360" w:lineRule="auto"/>
        <w:rPr>
          <w:rFonts w:hint="eastAsia" w:cs="Arial" w:asciiTheme="minorEastAsia" w:hAnsiTheme="minorEastAsia" w:eastAsiaTheme="minorEastAsia"/>
          <w:sz w:val="24"/>
          <w:szCs w:val="24"/>
          <w:highlight w:val="none"/>
        </w:rPr>
      </w:pPr>
      <w:r>
        <w:rPr>
          <w:rFonts w:hint="eastAsia" w:cs="Arial" w:asciiTheme="minorEastAsia" w:hAnsiTheme="minorEastAsia" w:eastAsiaTheme="minorEastAsia"/>
          <w:sz w:val="24"/>
          <w:szCs w:val="21"/>
          <w:highlight w:val="none"/>
        </w:rPr>
        <w:t xml:space="preserve">1.1具有独立承担民事责任的能力（提供法人或者其他组织的营业执照等证明文件，自然人的身份证明）；</w:t>
      </w:r>
      <w:r/>
    </w:p>
    <w:p>
      <w:pPr>
        <w:ind w:firstLine="480"/>
        <w:spacing w:line="360" w:lineRule="auto"/>
        <w:rPr>
          <w:rFonts w:hint="eastAsia" w:cs="Arial" w:asciiTheme="minorEastAsia" w:hAnsiTheme="minorEastAsia" w:eastAsiaTheme="minorEastAsia"/>
          <w:sz w:val="24"/>
          <w:szCs w:val="24"/>
          <w:highlight w:val="none"/>
        </w:rPr>
      </w:pPr>
      <w:r>
        <w:rPr>
          <w:rFonts w:hint="eastAsia" w:cs="Arial" w:asciiTheme="minorEastAsia" w:hAnsiTheme="minorEastAsia" w:eastAsiaTheme="minorEastAsia"/>
          <w:sz w:val="24"/>
          <w:szCs w:val="21"/>
          <w:highlight w:val="none"/>
        </w:rPr>
        <w:t xml:space="preserve">1.2具有良好的商业信誉和健全的财务会计制度（提供上一年度的财务状况报告或提供2024年或2025年任意一个年度的会计师事务所出具的审计报告，成立不满一年的需提供银行资信证明）；</w:t>
      </w:r>
      <w:r/>
    </w:p>
    <w:p>
      <w:pPr>
        <w:ind w:firstLine="482"/>
        <w:spacing w:line="360" w:lineRule="auto"/>
        <w:rPr>
          <w:rFonts w:hint="eastAsia" w:cs="Arial" w:asciiTheme="minorEastAsia" w:hAnsiTheme="minorEastAsia" w:eastAsiaTheme="minorEastAsia"/>
          <w:sz w:val="24"/>
          <w:szCs w:val="24"/>
          <w:highlight w:val="none"/>
        </w:rPr>
      </w:pPr>
      <w:r>
        <w:rPr>
          <w:rFonts w:hint="eastAsia" w:cs="Arial" w:asciiTheme="minorEastAsia" w:hAnsiTheme="minorEastAsia" w:eastAsiaTheme="minorEastAsia"/>
          <w:b/>
          <w:sz w:val="24"/>
          <w:szCs w:val="21"/>
          <w:highlight w:val="none"/>
        </w:rPr>
        <w:t xml:space="preserve">1.3有依法缴纳税收和社会保障资金的良好记录（提供供应商参加本次政府采购活动前6个月内</w:t>
      </w:r>
      <w:r>
        <w:rPr>
          <w:rFonts w:hint="eastAsia" w:cs="宋体" w:asciiTheme="minorEastAsia" w:hAnsiTheme="minorEastAsia" w:eastAsiaTheme="minorEastAsia"/>
          <w:b/>
          <w:sz w:val="24"/>
          <w:szCs w:val="21"/>
          <w:highlight w:val="none"/>
        </w:rPr>
        <w:t xml:space="preserve">（即2026年1月-2026年6月期间）</w:t>
      </w:r>
      <w:r>
        <w:rPr>
          <w:rFonts w:hint="eastAsia" w:cs="Arial" w:asciiTheme="minorEastAsia" w:hAnsiTheme="minorEastAsia" w:eastAsiaTheme="minorEastAsia"/>
          <w:sz w:val="24"/>
          <w:szCs w:val="21"/>
          <w:highlight w:val="none"/>
        </w:rPr>
        <w:t xml:space="preserve">至少一个月缴纳税收及缴纳社会保障资金的证明材料。供应商依法享受缓缴、免缴税收、社会保障资金的提供证明材料）；</w:t>
      </w:r>
      <w:r/>
    </w:p>
    <w:p>
      <w:pPr>
        <w:ind w:firstLine="480"/>
        <w:spacing w:line="360" w:lineRule="auto"/>
        <w:rPr>
          <w:rFonts w:hint="eastAsia" w:cs="Arial" w:asciiTheme="minorEastAsia" w:hAnsiTheme="minorEastAsia" w:eastAsiaTheme="minorEastAsia"/>
          <w:sz w:val="24"/>
          <w:szCs w:val="24"/>
          <w:highlight w:val="none"/>
        </w:rPr>
      </w:pPr>
      <w:r>
        <w:rPr>
          <w:rFonts w:hint="eastAsia" w:cs="Arial" w:asciiTheme="minorEastAsia" w:hAnsiTheme="minorEastAsia" w:eastAsiaTheme="minorEastAsia"/>
          <w:sz w:val="24"/>
          <w:szCs w:val="21"/>
          <w:highlight w:val="none"/>
        </w:rPr>
        <w:t xml:space="preserve">1.4具有履行合同所必需的设备和专业技术能力（提供书面声明）；</w:t>
      </w:r>
      <w:r/>
    </w:p>
    <w:p>
      <w:pPr>
        <w:ind w:firstLine="480"/>
        <w:spacing w:line="360" w:lineRule="auto"/>
        <w:rPr>
          <w:rFonts w:hint="eastAsia" w:cs="Arial" w:asciiTheme="minorEastAsia" w:hAnsiTheme="minorEastAsia" w:eastAsiaTheme="minorEastAsia"/>
          <w:sz w:val="24"/>
          <w:szCs w:val="24"/>
          <w:highlight w:val="none"/>
        </w:rPr>
      </w:pPr>
      <w:r>
        <w:rPr>
          <w:rFonts w:cs="Arial" w:asciiTheme="minorEastAsia" w:hAnsiTheme="minorEastAsia" w:eastAsiaTheme="minorEastAsia"/>
          <w:sz w:val="24"/>
          <w:szCs w:val="21"/>
          <w:highlight w:val="none"/>
        </w:rPr>
        <w:t xml:space="preserve">1.5参加政府采购活动前3年内在经营活动中没有重大违法记录（提供书面声明）。</w:t>
      </w:r>
      <w:r/>
    </w:p>
    <w:p>
      <w:pPr>
        <w:ind w:firstLine="480"/>
        <w:spacing w:line="360" w:lineRule="auto"/>
        <w:rPr>
          <w:rFonts w:hint="eastAsia" w:cs="Arial" w:asciiTheme="minorEastAsia" w:hAnsiTheme="minorEastAsia" w:eastAsiaTheme="minorEastAsia"/>
          <w:sz w:val="24"/>
          <w:szCs w:val="24"/>
          <w:highlight w:val="none"/>
        </w:rPr>
      </w:pPr>
      <w:r>
        <w:rPr>
          <w:rFonts w:hint="eastAsia" w:cs="Arial" w:asciiTheme="minorEastAsia" w:hAnsiTheme="minorEastAsia" w:eastAsiaTheme="minorEastAsia"/>
          <w:sz w:val="24"/>
          <w:szCs w:val="21"/>
          <w:highlight w:val="none"/>
        </w:rPr>
        <w:t xml:space="preserve">1.6法人代表授权书（需提供法定代表人授权书原件，同时提供法定代表人和被授权人的身份证扫描件、被授权人近三个月内至少一个月的供应商为其缴纳社会保障资金记录；如法定代表人签署文件则无需出具授权书，仅需提供法定代表人身份证扫描件。供应商依法享受缓缴、免缴社会保障资金的提供证明材料，如若因成立时间未进行缴纳社会保障资金的，需提供说明）</w:t>
      </w:r>
      <w:r/>
    </w:p>
    <w:p>
      <w:pPr>
        <w:ind w:firstLine="480"/>
        <w:spacing w:line="360" w:lineRule="auto"/>
        <w:rPr>
          <w:rFonts w:hint="eastAsia" w:ascii="宋体" w:hAnsi="宋体" w:eastAsia="宋体"/>
          <w:bCs/>
          <w:sz w:val="24"/>
          <w:szCs w:val="24"/>
          <w:highlight w:val="none"/>
        </w:rPr>
      </w:pPr>
      <w:r>
        <w:rPr>
          <w:rFonts w:hint="eastAsia" w:cs="Arial" w:asciiTheme="minorEastAsia" w:hAnsiTheme="minorEastAsia" w:eastAsiaTheme="minorEastAsia"/>
          <w:sz w:val="24"/>
          <w:szCs w:val="21"/>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hint="eastAsia" w:ascii="宋体" w:hAnsi="宋体" w:eastAsia="宋体" w:cs="仿宋"/>
          <w:b/>
          <w:bCs/>
          <w:sz w:val="24"/>
          <w:szCs w:val="24"/>
          <w:highlight w:val="none"/>
        </w:rPr>
      </w:pPr>
      <w:r>
        <w:rPr>
          <w:rFonts w:hint="eastAsia" w:ascii="宋体" w:hAnsi="宋体" w:eastAsia="宋体" w:cs="仿宋"/>
          <w:b/>
          <w:bCs/>
          <w:sz w:val="24"/>
          <w:szCs w:val="24"/>
          <w:highlight w:val="none"/>
        </w:rPr>
        <w:t xml:space="preserve">2、落实政府采购政策需满足的资格要求：</w:t>
      </w:r>
      <w:r/>
    </w:p>
    <w:p>
      <w:pPr>
        <w:ind w:firstLine="480"/>
        <w:spacing w:line="360" w:lineRule="auto"/>
        <w:rPr>
          <w:rFonts w:hint="eastAsia" w:ascii="宋体" w:hAnsi="宋体" w:eastAsia="宋体" w:cs="仿宋"/>
          <w:bCs/>
          <w:sz w:val="24"/>
          <w:szCs w:val="24"/>
          <w:highlight w:val="none"/>
        </w:rPr>
      </w:pPr>
      <w:r>
        <w:rPr>
          <w:rFonts w:hint="eastAsia" w:ascii="宋体" w:hAnsi="宋体" w:eastAsia="宋体" w:cs="仿宋"/>
          <w:bCs/>
          <w:sz w:val="24"/>
          <w:szCs w:val="24"/>
          <w:highlight w:val="none"/>
        </w:rPr>
        <w:t xml:space="preserve">2.1</w:t>
      </w:r>
      <w:r>
        <w:rPr>
          <w:rFonts w:ascii="宋体" w:hAnsi="宋体" w:eastAsia="宋体" w:cs="仿宋"/>
          <w:bCs/>
          <w:sz w:val="24"/>
          <w:szCs w:val="24"/>
          <w:highlight w:val="none"/>
        </w:rPr>
        <w:t xml:space="preserve">本项目属于</w:t>
      </w:r>
      <w:r>
        <w:rPr>
          <w:rFonts w:ascii="宋体" w:hAnsi="宋体" w:eastAsia="宋体" w:cs="仿宋"/>
          <w:bCs/>
          <w:sz w:val="24"/>
          <w:szCs w:val="24"/>
          <w:highlight w:val="none"/>
          <w:u w:val="single"/>
        </w:rPr>
        <w:t xml:space="preserve">货物类</w:t>
      </w:r>
      <w:r>
        <w:rPr>
          <w:rFonts w:ascii="宋体" w:hAnsi="宋体" w:eastAsia="宋体" w:cs="仿宋"/>
          <w:bCs/>
          <w:sz w:val="24"/>
          <w:szCs w:val="24"/>
          <w:highlight w:val="none"/>
        </w:rPr>
        <w:t xml:space="preserve">采购。</w:t>
      </w:r>
      <w:r>
        <w:rPr>
          <w:rFonts w:hint="eastAsia" w:ascii="宋体" w:hAnsi="宋体" w:eastAsia="宋体" w:cs="仿宋"/>
          <w:bCs/>
          <w:sz w:val="24"/>
          <w:szCs w:val="24"/>
          <w:highlight w:val="none"/>
        </w:rPr>
        <w:t xml:space="preserve">不专门面向中小企业采购。</w:t>
      </w:r>
      <w:r>
        <w:rPr>
          <w:rFonts w:ascii="宋体" w:hAnsi="宋体" w:eastAsia="宋体" w:cs="仿宋"/>
          <w:bCs/>
          <w:sz w:val="24"/>
          <w:szCs w:val="24"/>
          <w:highlight w:val="none"/>
        </w:rPr>
        <w:t xml:space="preserve">根</w:t>
      </w:r>
      <w:r>
        <w:rPr>
          <w:rFonts w:ascii="宋体" w:hAnsi="宋体" w:eastAsia="宋体" w:cs="仿宋"/>
          <w:bCs/>
          <w:sz w:val="24"/>
          <w:szCs w:val="24"/>
          <w:highlight w:val="none"/>
        </w:rPr>
        <w:t xml:space="preserve">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ascii="宋体" w:hAnsi="宋体" w:eastAsia="宋体" w:cs="仿宋"/>
          <w:bCs/>
          <w:sz w:val="24"/>
          <w:szCs w:val="24"/>
          <w:highlight w:val="none"/>
        </w:rPr>
        <w:t xml:space="preserve">供应商</w:t>
      </w:r>
      <w:r>
        <w:rPr>
          <w:rFonts w:ascii="宋体" w:hAnsi="宋体" w:eastAsia="宋体" w:cs="仿宋"/>
          <w:bCs/>
          <w:sz w:val="24"/>
          <w:szCs w:val="24"/>
          <w:highlight w:val="none"/>
        </w:rPr>
        <w:t xml:space="preserve">企业规模。（</w:t>
      </w:r>
      <w:r>
        <w:rPr>
          <w:rFonts w:hint="eastAsia" w:ascii="宋体" w:hAnsi="宋体" w:eastAsia="宋体" w:cs="仿宋"/>
          <w:bCs/>
          <w:sz w:val="24"/>
          <w:szCs w:val="24"/>
          <w:highlight w:val="none"/>
        </w:rPr>
        <w:t xml:space="preserve">供应商</w:t>
      </w:r>
      <w:r>
        <w:rPr>
          <w:rFonts w:ascii="宋体" w:hAnsi="宋体" w:eastAsia="宋体" w:cs="仿宋"/>
          <w:bCs/>
          <w:sz w:val="24"/>
          <w:szCs w:val="24"/>
          <w:highlight w:val="none"/>
        </w:rPr>
        <w:t xml:space="preserve">必须提供</w:t>
      </w:r>
      <w:r>
        <w:rPr>
          <w:rFonts w:hint="eastAsia" w:ascii="宋体" w:hAnsi="宋体" w:eastAsia="宋体" w:cs="仿宋"/>
          <w:bCs/>
          <w:sz w:val="24"/>
          <w:szCs w:val="24"/>
          <w:highlight w:val="none"/>
        </w:rPr>
        <w:t xml:space="preserve">中小企业声明函</w:t>
      </w:r>
      <w:r>
        <w:rPr>
          <w:rFonts w:ascii="宋体" w:hAnsi="宋体" w:eastAsia="宋体" w:cs="仿宋"/>
          <w:bCs/>
          <w:sz w:val="24"/>
          <w:szCs w:val="24"/>
          <w:highlight w:val="none"/>
        </w:rPr>
        <w:t xml:space="preserve">（见格式））</w:t>
      </w:r>
      <w:r/>
    </w:p>
    <w:p>
      <w:pPr>
        <w:ind w:firstLine="480"/>
        <w:spacing w:line="360" w:lineRule="auto"/>
        <w:rPr>
          <w:rFonts w:hint="eastAsia" w:ascii="宋体" w:hAnsi="宋体" w:eastAsia="宋体" w:cs="仿宋"/>
          <w:bCs/>
          <w:sz w:val="24"/>
          <w:szCs w:val="24"/>
          <w:highlight w:val="none"/>
        </w:rPr>
      </w:pPr>
      <w:r>
        <w:rPr>
          <w:rFonts w:hint="eastAsia" w:ascii="宋体" w:hAnsi="宋体" w:eastAsia="宋体" w:cs="仿宋"/>
          <w:bCs/>
          <w:sz w:val="24"/>
          <w:szCs w:val="24"/>
          <w:highlight w:val="none"/>
        </w:rPr>
        <w:t xml:space="preserve">2</w:t>
      </w:r>
      <w:r>
        <w:rPr>
          <w:rFonts w:ascii="宋体" w:hAnsi="宋体" w:eastAsia="宋体" w:cs="仿宋"/>
          <w:bCs/>
          <w:sz w:val="24"/>
          <w:szCs w:val="24"/>
          <w:highlight w:val="none"/>
        </w:rPr>
        <w:t xml:space="preserve">.2中小微企业划型标准请对照《关于印发中小企业划型标准规定的通知》（工信部联企业〔2011〕300号）（详见</w:t>
      </w:r>
      <w:r>
        <w:rPr>
          <w:rFonts w:hint="eastAsia" w:ascii="宋体" w:hAnsi="宋体" w:eastAsia="宋体" w:cs="仿宋"/>
          <w:bCs/>
          <w:sz w:val="24"/>
          <w:szCs w:val="24"/>
          <w:highlight w:val="none"/>
        </w:rPr>
        <w:t xml:space="preserve">格式</w:t>
      </w:r>
      <w:r>
        <w:rPr>
          <w:rFonts w:ascii="宋体" w:hAnsi="宋体" w:eastAsia="宋体" w:cs="仿宋"/>
          <w:bCs/>
          <w:sz w:val="24"/>
          <w:szCs w:val="24"/>
          <w:highlight w:val="none"/>
        </w:rPr>
        <w:t xml:space="preserve">）。本项目采购标的对应的行业主要为</w:t>
      </w:r>
      <w:r>
        <w:rPr>
          <w:rFonts w:ascii="宋体" w:hAnsi="宋体" w:eastAsia="宋体" w:cs="仿宋"/>
          <w:bCs/>
          <w:sz w:val="24"/>
          <w:szCs w:val="24"/>
          <w:highlight w:val="none"/>
          <w:u w:val="single"/>
        </w:rPr>
        <w:t xml:space="preserve">工业</w:t>
      </w:r>
      <w:r>
        <w:rPr>
          <w:rFonts w:ascii="宋体" w:hAnsi="宋体" w:eastAsia="宋体" w:cs="仿宋"/>
          <w:bCs/>
          <w:sz w:val="24"/>
          <w:szCs w:val="24"/>
          <w:highlight w:val="none"/>
        </w:rPr>
        <w:t xml:space="preserve">。</w:t>
      </w:r>
      <w:r/>
    </w:p>
    <w:p>
      <w:pPr>
        <w:ind w:firstLine="480"/>
        <w:spacing w:line="360" w:lineRule="auto"/>
        <w:rPr>
          <w:rFonts w:hint="eastAsia" w:ascii="宋体" w:hAnsi="宋体" w:eastAsia="宋体" w:cs="仿宋"/>
          <w:b/>
          <w:bCs/>
          <w:sz w:val="24"/>
          <w:szCs w:val="24"/>
          <w:highlight w:val="none"/>
        </w:rPr>
      </w:pPr>
      <w:r>
        <w:rPr>
          <w:rFonts w:hint="eastAsia" w:ascii="宋体" w:hAnsi="宋体" w:eastAsia="宋体" w:cs="仿宋"/>
          <w:b/>
          <w:bCs/>
          <w:sz w:val="24"/>
          <w:szCs w:val="24"/>
          <w:highlight w:val="none"/>
        </w:rPr>
        <w:t xml:space="preserve">3、本项目的特定资格要求：</w:t>
      </w:r>
      <w:r/>
    </w:p>
    <w:p>
      <w:pPr>
        <w:pStyle w:val="936"/>
        <w:ind w:firstLine="480"/>
        <w:spacing w:before="0" w:after="0" w:line="360" w:lineRule="auto"/>
        <w:rPr>
          <w:rFonts w:hint="eastAsia" w:cs="仿宋" w:asciiTheme="minorEastAsia" w:hAnsiTheme="minorEastAsia" w:eastAsiaTheme="minorEastAsia"/>
          <w:b w:val="0"/>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val="0"/>
          <w:color w:val="000000" w:themeColor="text1"/>
          <w:sz w:val="24"/>
          <w:szCs w:val="24"/>
          <w:highlight w:val="none"/>
          <w14:textFill>
            <w14:solidFill>
              <w14:schemeClr w14:val="tx1"/>
            </w14:solidFill>
          </w14:textFill>
        </w:rPr>
        <w:t xml:space="preserve">投标产品属于医疗器械的，须具有有效的《医疗器械注册证》,非医疗器械类设备须符合国家及药学自动化行业相关标准。</w:t>
      </w:r>
      <w:r/>
    </w:p>
    <w:p>
      <w:pPr>
        <w:pStyle w:val="936"/>
        <w:spacing w:before="0" w:after="0" w:line="360" w:lineRule="auto"/>
        <w:rPr>
          <w:rFonts w:hint="eastAsia" w:cs="仿宋" w:asciiTheme="minorEastAsia" w:hAnsiTheme="minorEastAsia" w:eastAsiaTheme="minorEastAsia"/>
          <w:bCs w:val="0"/>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Cs w:val="0"/>
          <w:color w:val="000000" w:themeColor="text1"/>
          <w:sz w:val="24"/>
          <w:szCs w:val="24"/>
          <w:highlight w:val="none"/>
          <w14:textFill>
            <w14:solidFill>
              <w14:schemeClr w14:val="tx1"/>
            </w14:solidFill>
          </w14:textFill>
        </w:rPr>
        <w:t xml:space="preserve">三、获取招标文件</w:t>
      </w:r>
      <w:bookmarkEnd w:id="15"/>
      <w:r/>
      <w:bookmarkEnd w:id="16"/>
      <w:r/>
      <w:bookmarkEnd w:id="17"/>
      <w:r/>
      <w:bookmarkEnd w:id="18"/>
      <w:r>
        <w:rPr>
          <w:rFonts w:hint="eastAsia" w:cs="仿宋" w:asciiTheme="minorEastAsia" w:hAnsiTheme="minorEastAsia" w:eastAsiaTheme="minorEastAsia"/>
          <w:bCs w:val="0"/>
          <w:color w:val="000000" w:themeColor="text1"/>
          <w:sz w:val="24"/>
          <w:szCs w:val="24"/>
          <w:highlight w:val="none"/>
          <w14:textFill>
            <w14:solidFill>
              <w14:schemeClr w14:val="tx1"/>
            </w14:solidFill>
          </w14:textFill>
        </w:rPr>
        <w:t xml:space="preserve">：</w:t>
      </w:r>
      <w:r/>
    </w:p>
    <w:p>
      <w:pPr>
        <w:spacing w:line="360" w:lineRule="auto"/>
        <w:rPr>
          <w:rFonts w:hint="eastAsia" w:ascii="宋体" w:hAnsi="宋体" w:eastAsia="宋体" w:cs="宋体"/>
          <w:sz w:val="24"/>
          <w:szCs w:val="24"/>
          <w:highlight w:val="none"/>
        </w:rPr>
      </w:pPr>
      <w:r/>
      <w:bookmarkStart w:id="19" w:name="_Toc28359082"/>
      <w:r/>
      <w:bookmarkStart w:id="20" w:name="_Toc28359005"/>
      <w:r/>
      <w:bookmarkStart w:id="21" w:name="_Toc35393624"/>
      <w:r/>
      <w:bookmarkStart w:id="22" w:name="_Toc35393793"/>
      <w:r>
        <w:rPr>
          <w:rFonts w:hint="eastAsia" w:ascii="宋体" w:hAnsi="宋体" w:eastAsia="宋体" w:cs="宋体"/>
          <w:sz w:val="24"/>
          <w:szCs w:val="24"/>
          <w:highlight w:val="none"/>
        </w:rPr>
        <w:t xml:space="preserve">1、时间：2026年</w:t>
      </w:r>
      <w:r>
        <w:rPr>
          <w:rFonts w:hint="eastAsia" w:ascii="宋体" w:hAnsi="宋体" w:eastAsia="宋体" w:cs="宋体"/>
          <w:sz w:val="24"/>
          <w:szCs w:val="24"/>
          <w:highlight w:val="none"/>
          <w:lang w:val="en-US" w:eastAsia="zh-CN"/>
        </w:rPr>
        <w:t xml:space="preserve">07</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09</w:t>
      </w:r>
      <w:r>
        <w:rPr>
          <w:rFonts w:hint="eastAsia" w:ascii="宋体" w:hAnsi="宋体" w:eastAsia="宋体" w:cs="宋体"/>
          <w:sz w:val="24"/>
          <w:szCs w:val="24"/>
          <w:highlight w:val="none"/>
        </w:rPr>
        <w:t xml:space="preserve">日起至2026年</w:t>
      </w:r>
      <w:r>
        <w:rPr>
          <w:rFonts w:hint="eastAsia" w:ascii="宋体" w:hAnsi="宋体" w:eastAsia="宋体" w:cs="宋体"/>
          <w:sz w:val="24"/>
          <w:szCs w:val="24"/>
          <w:highlight w:val="none"/>
          <w:lang w:val="en-US" w:eastAsia="zh-CN"/>
        </w:rPr>
        <w:t xml:space="preserve">07</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日止，2026年</w:t>
      </w:r>
      <w:r>
        <w:rPr>
          <w:rFonts w:hint="eastAsia" w:ascii="宋体" w:hAnsi="宋体" w:eastAsia="宋体" w:cs="宋体"/>
          <w:sz w:val="24"/>
          <w:szCs w:val="24"/>
          <w:highlight w:val="none"/>
          <w:lang w:val="en-US" w:eastAsia="zh-CN"/>
        </w:rPr>
        <w:t xml:space="preserve">07</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日后仍可以下载招标文件，2026年</w:t>
      </w:r>
      <w:r>
        <w:rPr>
          <w:rFonts w:hint="eastAsia" w:ascii="宋体" w:hAnsi="宋体" w:eastAsia="宋体" w:cs="宋体"/>
          <w:sz w:val="24"/>
          <w:szCs w:val="24"/>
          <w:highlight w:val="none"/>
          <w:lang w:val="en-US" w:eastAsia="zh-CN"/>
        </w:rPr>
        <w:t xml:space="preserve">07</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日后下载的招标文件，超出有效报名时间且不作为供应商权益受到损害的证明材料和依据。</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2.地点：苏采云系统</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3.获取方式：本项目采用网上注册登记方式。</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3.1潜在供应商访问电子招标响应交易平台的网络地址和方法：</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3.2潜在供应商访问“苏采云”系统的网络地址和方法：“苏采云”系统的网址：http://jszfcg.jsczt.cn/。</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3.3“CA数字证书”的获取：</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响应供应商需办理“CA 数字证书”，CA办理指南及“苏采云”操作手册可至江苏省政府采购网―办事指南-资料下载中心下载。</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通过苏采云系统首页（http://jszfcg.jscz.gov.cn/）的“苏采云控件驱动下载”，选择“政务CA、方正签章控件驱动安装包及安装说明”下载安装，具体安装方法详见下载文件内的《安装说明》。</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3.4采购文件（后缀名为“.kedt”）、供应商操作手册及政府采购客户端工具可通过“苏采云”系统--已报名项目--报名详情页面内相应链接进行下载。</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3.5采购人或采购代理机构将数据电文形式的采购文件加载至“苏采云”系统，供潜在供应商下载或者查阅。</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3.6请潜在供应商提前安装相应的控件（详见《江苏省政府采购管理交易系统（苏采云）供应商操作手册》）并使用谷歌浏览器登录“苏采云”系统参与不见面开评标。</w:t>
      </w:r>
      <w:r/>
    </w:p>
    <w:p>
      <w:pPr>
        <w:spacing w:line="360" w:lineRule="auto"/>
        <w:shd w:val="clear" w:color="auto" w:fill="ffffff"/>
        <w:widowControl/>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注：如潜在供应商未按上述要求操作，将自行承担所产生的风险。</w:t>
      </w:r>
      <w:r/>
    </w:p>
    <w:p>
      <w:pPr>
        <w:pStyle w:val="936"/>
        <w:spacing w:before="0" w:after="0" w:line="360" w:lineRule="auto"/>
        <w:rPr>
          <w:rFonts w:hint="eastAsia" w:cs="仿宋" w:asciiTheme="minorEastAsia" w:hAnsiTheme="minorEastAsia" w:eastAsiaTheme="minorEastAsia"/>
          <w:bCs w:val="0"/>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Cs w:val="0"/>
          <w:color w:val="000000" w:themeColor="text1"/>
          <w:sz w:val="24"/>
          <w:szCs w:val="24"/>
          <w:highlight w:val="none"/>
          <w14:textFill>
            <w14:solidFill>
              <w14:schemeClr w14:val="tx1"/>
            </w14:solidFill>
          </w14:textFill>
        </w:rPr>
        <w:t xml:space="preserve">四、提交投标文件</w:t>
      </w:r>
      <w:bookmarkEnd w:id="19"/>
      <w:r/>
      <w:bookmarkEnd w:id="20"/>
      <w:r>
        <w:rPr>
          <w:rFonts w:hint="eastAsia" w:cs="仿宋" w:asciiTheme="minorEastAsia" w:hAnsiTheme="minorEastAsia" w:eastAsiaTheme="minorEastAsia"/>
          <w:bCs w:val="0"/>
          <w:color w:val="000000" w:themeColor="text1"/>
          <w:sz w:val="24"/>
          <w:szCs w:val="24"/>
          <w:highlight w:val="none"/>
          <w14:textFill>
            <w14:solidFill>
              <w14:schemeClr w14:val="tx1"/>
            </w14:solidFill>
          </w14:textFill>
        </w:rPr>
        <w:t xml:space="preserve">截止时间、开标时间和地点</w:t>
      </w:r>
      <w:bookmarkEnd w:id="21"/>
      <w:r/>
      <w:bookmarkEnd w:id="22"/>
      <w:r/>
      <w:r/>
    </w:p>
    <w:p>
      <w:pPr>
        <w:ind w:firstLine="12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时间：202</w:t>
      </w:r>
      <w:r>
        <w:rPr>
          <w:rFonts w:cs="仿宋" w:asciiTheme="minorEastAsia" w:hAnsiTheme="minorEastAsia" w:eastAsiaTheme="minorEastAsia"/>
          <w:color w:val="000000" w:themeColor="text1"/>
          <w:sz w:val="24"/>
          <w:szCs w:val="24"/>
          <w:highlight w:val="none"/>
          <w14:textFill>
            <w14:solidFill>
              <w14:schemeClr w14:val="tx1"/>
            </w14:solidFill>
          </w14:textFill>
        </w:rPr>
        <w:t xml:space="preserve">6</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年</w:t>
      </w:r>
      <w:r>
        <w:rPr>
          <w:rFonts w:hint="eastAsia"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08</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月</w:t>
      </w:r>
      <w:r>
        <w:rPr>
          <w:rFonts w:hint="eastAsia"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10</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日</w:t>
      </w:r>
      <w:r>
        <w:rPr>
          <w:rFonts w:cs="仿宋" w:asciiTheme="minorEastAsia" w:hAnsiTheme="minorEastAsia" w:eastAsiaTheme="minorEastAsia"/>
          <w:color w:val="000000" w:themeColor="text1"/>
          <w:sz w:val="24"/>
          <w:szCs w:val="24"/>
          <w:highlight w:val="none"/>
          <w14:textFill>
            <w14:solidFill>
              <w14:schemeClr w14:val="tx1"/>
            </w14:solidFill>
          </w14:textFill>
        </w:rPr>
        <w:t xml:space="preserve">1</w:t>
      </w:r>
      <w:r>
        <w:rPr>
          <w:rFonts w:hint="eastAsia"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4</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时</w:t>
      </w:r>
      <w:r>
        <w:rPr>
          <w:rFonts w:hint="eastAsia"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3</w:t>
      </w:r>
      <w:r>
        <w:rPr>
          <w:rFonts w:cs="仿宋" w:asciiTheme="minorEastAsia" w:hAnsiTheme="minorEastAsia" w:eastAsiaTheme="minorEastAsia"/>
          <w:color w:val="000000" w:themeColor="text1"/>
          <w:sz w:val="24"/>
          <w:szCs w:val="24"/>
          <w:highlight w:val="none"/>
          <w14:textFill>
            <w14:solidFill>
              <w14:schemeClr w14:val="tx1"/>
            </w14:solidFill>
          </w14:textFill>
        </w:rPr>
        <w:t xml:space="preserve">0</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分（北京时间）</w:t>
      </w:r>
      <w:r/>
    </w:p>
    <w:p>
      <w:pPr>
        <w:ind w:firstLine="120"/>
        <w:spacing w:line="360" w:lineRule="auto"/>
        <w:rPr>
          <w:rFonts w:hint="eastAsia" w:ascii="宋体" w:hAnsi="宋体" w:eastAsia="宋体"/>
          <w:bCs/>
          <w:sz w:val="24"/>
          <w:szCs w:val="24"/>
          <w:highlight w:val="none"/>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地点：</w:t>
      </w:r>
      <w:r>
        <w:rPr>
          <w:rFonts w:hint="eastAsia" w:ascii="宋体" w:hAnsi="宋体" w:eastAsia="宋体"/>
          <w:bCs/>
          <w:sz w:val="24"/>
          <w:szCs w:val="24"/>
          <w:highlight w:val="none"/>
        </w:rPr>
        <w:t xml:space="preserve">江苏省政府采购交易系统（以下简称“苏采云系统”）网上开标大厅</w:t>
      </w:r>
      <w:r/>
    </w:p>
    <w:p>
      <w:pPr>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投标文件的解密：开标当天各供应商及时登录不见面开标大厅，投标文件递交截止时间后，采购人将在系统内公布供应商名单，然后通</w:t>
      </w:r>
      <w:r>
        <w:rPr>
          <w:rFonts w:hint="eastAsia" w:ascii="宋体" w:hAnsi="宋体" w:eastAsia="宋体"/>
          <w:bCs/>
          <w:sz w:val="24"/>
          <w:szCs w:val="24"/>
          <w:highlight w:val="none"/>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936"/>
        <w:spacing w:before="0" w:after="0" w:line="360" w:lineRule="auto"/>
        <w:rPr>
          <w:rFonts w:hint="eastAsia" w:cs="仿宋" w:asciiTheme="minorEastAsia" w:hAnsiTheme="minorEastAsia" w:eastAsiaTheme="minorEastAsia"/>
          <w:bCs w:val="0"/>
          <w:color w:val="000000" w:themeColor="text1"/>
          <w:sz w:val="24"/>
          <w:szCs w:val="24"/>
          <w:highlight w:val="none"/>
          <w14:textFill>
            <w14:solidFill>
              <w14:schemeClr w14:val="tx1"/>
            </w14:solidFill>
          </w14:textFill>
        </w:rPr>
      </w:pPr>
      <w:r/>
      <w:bookmarkStart w:id="23" w:name="_Toc35393625"/>
      <w:r/>
      <w:bookmarkStart w:id="24" w:name="_Toc28359007"/>
      <w:r/>
      <w:bookmarkStart w:id="25" w:name="_Toc35393794"/>
      <w:r/>
      <w:bookmarkStart w:id="26" w:name="_Toc28359084"/>
      <w:r>
        <w:rPr>
          <w:rFonts w:hint="eastAsia" w:cs="仿宋" w:asciiTheme="minorEastAsia" w:hAnsiTheme="minorEastAsia" w:eastAsiaTheme="minorEastAsia"/>
          <w:bCs w:val="0"/>
          <w:color w:val="000000" w:themeColor="text1"/>
          <w:sz w:val="24"/>
          <w:szCs w:val="24"/>
          <w:highlight w:val="none"/>
          <w14:textFill>
            <w14:solidFill>
              <w14:schemeClr w14:val="tx1"/>
            </w14:solidFill>
          </w14:textFill>
        </w:rPr>
        <w:t xml:space="preserve">五、公告期限</w:t>
      </w:r>
      <w:bookmarkEnd w:id="23"/>
      <w:r/>
      <w:bookmarkEnd w:id="24"/>
      <w:r/>
      <w:bookmarkEnd w:id="25"/>
      <w:r/>
      <w:bookmarkEnd w:id="26"/>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自本公告发布之日起5个工作日。</w:t>
      </w:r>
      <w:r/>
    </w:p>
    <w:p>
      <w:pPr>
        <w:pStyle w:val="936"/>
        <w:spacing w:before="0" w:after="0" w:line="360" w:lineRule="auto"/>
        <w:rPr>
          <w:rFonts w:hint="eastAsia" w:cs="仿宋" w:asciiTheme="minorEastAsia" w:hAnsiTheme="minorEastAsia" w:eastAsiaTheme="minorEastAsia"/>
          <w:bCs w:val="0"/>
          <w:color w:val="000000" w:themeColor="text1"/>
          <w:sz w:val="24"/>
          <w:szCs w:val="24"/>
          <w:highlight w:val="none"/>
          <w14:textFill>
            <w14:solidFill>
              <w14:schemeClr w14:val="tx1"/>
            </w14:solidFill>
          </w14:textFill>
        </w:rPr>
      </w:pPr>
      <w:r/>
      <w:bookmarkStart w:id="27" w:name="_Toc35393795"/>
      <w:r/>
      <w:bookmarkStart w:id="28" w:name="_Toc35393626"/>
      <w:r>
        <w:rPr>
          <w:rFonts w:hint="eastAsia" w:cs="仿宋" w:asciiTheme="minorEastAsia" w:hAnsiTheme="minorEastAsia" w:eastAsiaTheme="minorEastAsia"/>
          <w:bCs w:val="0"/>
          <w:color w:val="000000" w:themeColor="text1"/>
          <w:sz w:val="24"/>
          <w:szCs w:val="24"/>
          <w:highlight w:val="none"/>
          <w14:textFill>
            <w14:solidFill>
              <w14:schemeClr w14:val="tx1"/>
            </w14:solidFill>
          </w14:textFill>
        </w:rPr>
        <w:t xml:space="preserve">六、其他补充事宜</w:t>
      </w:r>
      <w:bookmarkEnd w:id="27"/>
      <w:r/>
      <w:bookmarkEnd w:id="28"/>
      <w:r/>
      <w:r/>
    </w:p>
    <w:p>
      <w:pPr>
        <w:ind w:firstLine="480"/>
        <w:spacing w:line="360" w:lineRule="auto"/>
        <w:rPr>
          <w:rFonts w:hint="eastAsia" w:ascii="宋体" w:hAnsi="宋体" w:eastAsia="宋体"/>
          <w:bCs/>
          <w:sz w:val="24"/>
          <w:szCs w:val="24"/>
          <w:highlight w:val="none"/>
        </w:rPr>
      </w:pPr>
      <w:r/>
      <w:bookmarkStart w:id="29" w:name="_Toc28359085"/>
      <w:r/>
      <w:bookmarkStart w:id="30" w:name="_Toc35393796"/>
      <w:r/>
      <w:bookmarkStart w:id="31" w:name="_Toc28359008"/>
      <w:r/>
      <w:bookmarkStart w:id="32" w:name="_Toc35393627"/>
      <w:r>
        <w:rPr>
          <w:rFonts w:hint="eastAsia" w:ascii="宋体" w:hAnsi="宋体" w:eastAsia="宋体"/>
          <w:bCs/>
          <w:sz w:val="24"/>
          <w:szCs w:val="24"/>
          <w:highlight w:val="none"/>
        </w:rPr>
        <w:t xml:space="preserve">1、本项目不收取</w:t>
      </w:r>
      <w:r>
        <w:rPr>
          <w:rFonts w:ascii="宋体" w:hAnsi="宋体" w:eastAsia="宋体"/>
          <w:bCs/>
          <w:sz w:val="24"/>
          <w:szCs w:val="24"/>
          <w:highlight w:val="none"/>
        </w:rPr>
        <w:t xml:space="preserve">投标</w:t>
      </w:r>
      <w:r>
        <w:rPr>
          <w:rFonts w:hint="eastAsia" w:ascii="宋体" w:hAnsi="宋体" w:eastAsia="宋体"/>
          <w:bCs/>
          <w:sz w:val="24"/>
          <w:szCs w:val="24"/>
          <w:highlight w:val="none"/>
        </w:rPr>
        <w:t xml:space="preserve">保证金</w:t>
      </w:r>
      <w:r>
        <w:rPr>
          <w:rFonts w:ascii="宋体" w:hAnsi="宋体" w:eastAsia="宋体"/>
          <w:bCs/>
          <w:sz w:val="24"/>
          <w:szCs w:val="24"/>
          <w:highlight w:val="none"/>
        </w:rPr>
        <w:t xml:space="preserve">；</w:t>
      </w:r>
      <w:r/>
    </w:p>
    <w:p>
      <w:pPr>
        <w:ind w:firstLine="480"/>
        <w:spacing w:line="360" w:lineRule="auto"/>
        <w:rPr>
          <w:rFonts w:hint="eastAsia" w:ascii="宋体" w:hAnsi="宋体" w:eastAsia="宋体" w:cs="宋体"/>
          <w:bCs/>
          <w:sz w:val="24"/>
          <w:szCs w:val="24"/>
          <w:highlight w:val="none"/>
        </w:rPr>
      </w:pPr>
      <w:r>
        <w:rPr>
          <w:rFonts w:ascii="宋体" w:hAnsi="宋体" w:eastAsia="宋体"/>
          <w:bCs/>
          <w:sz w:val="24"/>
          <w:szCs w:val="24"/>
          <w:highlight w:val="none"/>
        </w:rPr>
        <w:t xml:space="preserve">2</w:t>
      </w:r>
      <w:r>
        <w:rPr>
          <w:rFonts w:hint="eastAsia" w:ascii="宋体" w:hAnsi="宋体" w:eastAsia="宋体"/>
          <w:bCs/>
          <w:sz w:val="24"/>
          <w:szCs w:val="24"/>
          <w:highlight w:val="none"/>
        </w:rPr>
        <w:t xml:space="preserve">、</w:t>
      </w:r>
      <w:bookmarkStart w:id="33" w:name="_Hlk142317669"/>
      <w:r>
        <w:rPr>
          <w:rFonts w:hint="eastAsia" w:ascii="宋体" w:hAnsi="宋体" w:eastAsia="宋体" w:cs="宋体"/>
          <w:bCs/>
          <w:sz w:val="24"/>
          <w:szCs w:val="24"/>
          <w:highlight w:val="none"/>
        </w:rPr>
        <w:t xml:space="preserve">本项目支持</w:t>
      </w:r>
      <w:bookmarkEnd w:id="33"/>
      <w:r>
        <w:rPr>
          <w:rFonts w:hint="eastAsia" w:ascii="宋体" w:hAnsi="宋体" w:eastAsia="宋体" w:cs="宋体"/>
          <w:bCs/>
          <w:sz w:val="24"/>
          <w:szCs w:val="24"/>
          <w:highlight w:val="none"/>
        </w:rPr>
        <w:t xml:space="preserve">1）.小微企业价格扣除《江苏省财政厅关于进一步加大政府采购支持中小企业力度的通知》（苏财购〔2022〕45号）2）.节能、环保产</w:t>
      </w:r>
      <w:r>
        <w:rPr>
          <w:rFonts w:hint="eastAsia" w:ascii="宋体" w:hAnsi="宋体" w:eastAsia="宋体" w:cs="宋体"/>
          <w:bCs/>
          <w:sz w:val="24"/>
          <w:szCs w:val="24"/>
          <w:highlight w:val="none"/>
        </w:rPr>
        <w:t xml:space="preserve">品政策《江苏省财政厅关于加强政府绿色采购有关事项的通知》（苏财购〔2023〕65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号）4）.电子履约保函（保险）《关于在全省政府采购领域推行电子履约保函（保险）的通知》（苏财购〔2023〕150 号）等政策。5）.本项目对采购本国产品给予政策支持，具体内容见招标文件“第四章 评标办法及标准”</w:t>
      </w:r>
      <w:r/>
    </w:p>
    <w:p>
      <w:pPr>
        <w:spacing w:line="360" w:lineRule="auto"/>
        <w:rPr>
          <w:rFonts w:hint="eastAsia" w:ascii="宋体" w:hAnsi="宋体" w:eastAsia="宋体"/>
          <w:position w:val="-10"/>
          <w:sz w:val="24"/>
          <w:szCs w:val="24"/>
          <w:highlight w:val="none"/>
        </w:rPr>
      </w:pPr>
      <w:r>
        <w:rPr>
          <w:rFonts w:hint="eastAsia" w:ascii="宋体" w:hAnsi="宋体" w:eastAsia="宋体"/>
          <w:b/>
          <w:position w:val="-10"/>
          <w:sz w:val="28"/>
          <w:szCs w:val="28"/>
          <w:highlight w:val="none"/>
        </w:rPr>
        <w:t xml:space="preserve"> </w:t>
      </w:r>
      <w:r>
        <w:rPr>
          <w:rFonts w:hint="eastAsia" w:ascii="宋体" w:hAnsi="宋体" w:eastAsia="宋体"/>
          <w:position w:val="-10"/>
          <w:sz w:val="24"/>
          <w:szCs w:val="24"/>
          <w:highlight w:val="none"/>
        </w:rPr>
        <w:t xml:space="preserve">  3、本项目不属于专门面向中小企业采购的项目</w:t>
      </w:r>
      <w:r/>
    </w:p>
    <w:p>
      <w:pPr>
        <w:pStyle w:val="936"/>
        <w:spacing w:before="0" w:after="0"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七、对本次招标提出询问，请按以下方式联系。</w:t>
      </w:r>
      <w:bookmarkEnd w:id="29"/>
      <w:r/>
      <w:bookmarkEnd w:id="30"/>
      <w:r/>
      <w:bookmarkEnd w:id="31"/>
      <w:r/>
      <w:bookmarkEnd w:id="32"/>
      <w:r/>
      <w:r/>
    </w:p>
    <w:p>
      <w:pPr>
        <w:jc w:val="left"/>
        <w:spacing w:line="360" w:lineRule="auto"/>
        <w:widowControl/>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　　1.采购人信息</w:t>
      </w:r>
      <w:r/>
    </w:p>
    <w:p>
      <w:pPr>
        <w:ind w:firstLine="452"/>
        <w:jc w:val="left"/>
        <w:spacing w:line="360" w:lineRule="auto"/>
        <w:shd w:val="clear" w:color="auto" w:fill="ffffff"/>
        <w:widowControl/>
        <w:rPr>
          <w:rFonts w:hint="eastAsia" w:asciiTheme="minorEastAsia" w:hAnsiTheme="minorEastAsia" w:eastAsiaTheme="minorEastAsia"/>
          <w:spacing w:val="8"/>
          <w:sz w:val="24"/>
          <w:szCs w:val="24"/>
          <w:highlight w:val="none"/>
        </w:rPr>
      </w:pPr>
      <w:r/>
      <w:bookmarkStart w:id="34" w:name="_Toc28359009"/>
      <w:r/>
      <w:bookmarkStart w:id="35" w:name="_Toc28359086"/>
      <w:r>
        <w:rPr>
          <w:rFonts w:hint="eastAsia" w:asciiTheme="minorEastAsia" w:hAnsiTheme="minorEastAsia" w:eastAsiaTheme="minorEastAsia"/>
          <w:spacing w:val="8"/>
          <w:sz w:val="24"/>
          <w:szCs w:val="24"/>
          <w:highlight w:val="none"/>
        </w:rPr>
        <w:t xml:space="preserve">名称：泰州市第四人民医院 </w:t>
      </w:r>
      <w:r/>
    </w:p>
    <w:p>
      <w:pPr>
        <w:ind w:firstLine="452"/>
        <w:jc w:val="left"/>
        <w:spacing w:line="360" w:lineRule="auto"/>
        <w:shd w:val="clear" w:color="auto" w:fill="ffffff"/>
        <w:widowControl/>
        <w:rPr>
          <w:rFonts w:hint="eastAsia" w:asciiTheme="minorEastAsia" w:hAnsiTheme="minorEastAsia" w:eastAsiaTheme="minorEastAsia"/>
          <w:spacing w:val="8"/>
          <w:sz w:val="24"/>
          <w:szCs w:val="24"/>
          <w:highlight w:val="none"/>
          <w:lang w:val="zh-CN"/>
        </w:rPr>
      </w:pPr>
      <w:r>
        <w:rPr>
          <w:rFonts w:asciiTheme="minorEastAsia" w:hAnsiTheme="minorEastAsia" w:eastAsiaTheme="minorEastAsia"/>
          <w:spacing w:val="8"/>
          <w:sz w:val="24"/>
          <w:szCs w:val="24"/>
          <w:highlight w:val="none"/>
          <w:lang w:val="zh-CN"/>
        </w:rPr>
        <w:t xml:space="preserve">地址：</w:t>
      </w:r>
      <w:r>
        <w:rPr>
          <w:rFonts w:hint="eastAsia" w:asciiTheme="minorEastAsia" w:hAnsiTheme="minorEastAsia" w:eastAsiaTheme="minorEastAsia"/>
          <w:spacing w:val="8"/>
          <w:sz w:val="24"/>
          <w:szCs w:val="24"/>
          <w:highlight w:val="none"/>
          <w:lang w:val="zh-CN"/>
        </w:rPr>
        <w:t xml:space="preserve">泰州市海陵区鼓楼北路99号  </w:t>
      </w:r>
      <w:r/>
    </w:p>
    <w:p>
      <w:pPr>
        <w:ind w:firstLine="452"/>
        <w:jc w:val="left"/>
        <w:spacing w:line="360" w:lineRule="auto"/>
        <w:shd w:val="clear" w:color="auto" w:fill="ffffff"/>
        <w:widowControl/>
        <w:rPr>
          <w:rFonts w:hint="eastAsia" w:asciiTheme="minorEastAsia" w:hAnsiTheme="minorEastAsia" w:eastAsiaTheme="minorEastAsia"/>
          <w:spacing w:val="8"/>
          <w:sz w:val="24"/>
          <w:szCs w:val="24"/>
          <w:highlight w:val="none"/>
        </w:rPr>
      </w:pPr>
      <w:r>
        <w:rPr>
          <w:rFonts w:hint="eastAsia" w:asciiTheme="minorEastAsia" w:hAnsiTheme="minorEastAsia" w:eastAsiaTheme="minorEastAsia"/>
          <w:spacing w:val="8"/>
          <w:sz w:val="24"/>
          <w:szCs w:val="24"/>
          <w:highlight w:val="none"/>
          <w:lang w:val="zh-CN"/>
        </w:rPr>
        <w:t xml:space="preserve">联系人：</w:t>
      </w:r>
      <w:bookmarkStart w:id="36" w:name="OLE_LINK2"/>
      <w:r>
        <w:rPr>
          <w:rFonts w:hint="eastAsia" w:asciiTheme="minorEastAsia" w:hAnsiTheme="minorEastAsia" w:eastAsiaTheme="minorEastAsia"/>
          <w:spacing w:val="8"/>
          <w:sz w:val="24"/>
          <w:szCs w:val="24"/>
          <w:highlight w:val="none"/>
        </w:rPr>
        <w:t xml:space="preserve">陈</w:t>
      </w:r>
      <w:r>
        <w:rPr>
          <w:rFonts w:hint="eastAsia" w:asciiTheme="minorEastAsia" w:hAnsiTheme="minorEastAsia" w:eastAsiaTheme="minorEastAsia"/>
          <w:spacing w:val="8"/>
          <w:sz w:val="24"/>
          <w:szCs w:val="24"/>
          <w:highlight w:val="none"/>
          <w:lang w:val="zh-CN"/>
        </w:rPr>
        <w:t xml:space="preserve">老师</w:t>
      </w:r>
      <w:bookmarkEnd w:id="36"/>
      <w:r>
        <w:rPr>
          <w:rFonts w:hint="eastAsia" w:asciiTheme="minorEastAsia" w:hAnsiTheme="minorEastAsia" w:eastAsiaTheme="minorEastAsia"/>
          <w:spacing w:val="8"/>
          <w:sz w:val="24"/>
          <w:szCs w:val="24"/>
          <w:highlight w:val="none"/>
          <w:lang w:val="zh-CN"/>
        </w:rPr>
        <w:t xml:space="preserve">   </w:t>
      </w:r>
      <w:r/>
    </w:p>
    <w:p>
      <w:pPr>
        <w:ind w:firstLine="480"/>
        <w:jc w:val="left"/>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asciiTheme="minorEastAsia" w:hAnsiTheme="minorEastAsia" w:eastAsiaTheme="minorEastAsia"/>
          <w:spacing w:val="8"/>
          <w:sz w:val="24"/>
          <w:szCs w:val="24"/>
          <w:highlight w:val="none"/>
          <w:lang w:val="zh-CN"/>
        </w:rPr>
        <w:t xml:space="preserve">联系方式：0523-8018509</w:t>
      </w:r>
      <w:r>
        <w:rPr>
          <w:rFonts w:hint="eastAsia" w:asciiTheme="minorEastAsia" w:hAnsiTheme="minorEastAsia" w:eastAsiaTheme="minorEastAsia"/>
          <w:spacing w:val="8"/>
          <w:sz w:val="24"/>
          <w:szCs w:val="24"/>
          <w:highlight w:val="none"/>
        </w:rPr>
        <w:t xml:space="preserve">8</w:t>
      </w:r>
      <w:r>
        <w:rPr>
          <w:rFonts w:asciiTheme="minorEastAsia" w:hAnsiTheme="minorEastAsia" w:eastAsiaTheme="minorEastAsia"/>
          <w:spacing w:val="8"/>
          <w:sz w:val="24"/>
          <w:szCs w:val="24"/>
          <w:highlight w:val="none"/>
          <w:lang w:val="zh-CN"/>
        </w:rPr>
        <w:t xml:space="preserve">  </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   </w:t>
      </w:r>
      <w:r/>
    </w:p>
    <w:p>
      <w:pPr>
        <w:ind w:firstLine="480"/>
        <w:jc w:val="left"/>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2.采购代理机构信息</w:t>
      </w:r>
      <w:bookmarkEnd w:id="34"/>
      <w:r/>
      <w:bookmarkEnd w:id="35"/>
      <w:r/>
      <w:r/>
    </w:p>
    <w:p>
      <w:pPr>
        <w:ind w:firstLine="48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名 称：江苏海外集团国际工程咨询有限公司</w:t>
      </w:r>
      <w:r/>
    </w:p>
    <w:p>
      <w:pPr>
        <w:ind w:firstLine="48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地　址：南京市建邺区云龙山路58号大唐科技大厦A座高区15楼  </w:t>
      </w:r>
      <w:r/>
    </w:p>
    <w:p>
      <w:pPr>
        <w:ind w:firstLine="48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联系方式：</w:t>
      </w:r>
      <w:bookmarkStart w:id="37" w:name="_Toc28359087"/>
      <w:r/>
      <w:bookmarkStart w:id="38" w:name="_Toc28359010"/>
      <w:r>
        <w:rPr>
          <w:rFonts w:cs="仿宋" w:asciiTheme="minorEastAsia" w:hAnsiTheme="minorEastAsia" w:eastAsiaTheme="minorEastAsia"/>
          <w:color w:val="000000" w:themeColor="text1"/>
          <w:sz w:val="24"/>
          <w:szCs w:val="24"/>
          <w:highlight w:val="none"/>
          <w14:textFill>
            <w14:solidFill>
              <w14:schemeClr w14:val="tx1"/>
            </w14:solidFill>
          </w14:textFill>
        </w:rPr>
        <w:t xml:space="preserve">025-84795469 </w:t>
      </w:r>
      <w:r/>
    </w:p>
    <w:p>
      <w:pPr>
        <w:ind w:firstLine="48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3.项目联系方式</w:t>
      </w:r>
      <w:bookmarkEnd w:id="37"/>
      <w:r/>
      <w:bookmarkEnd w:id="38"/>
      <w:r/>
      <w:r/>
    </w:p>
    <w:p>
      <w:pPr>
        <w:pStyle w:val="939"/>
        <w:ind w:firstLine="48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项目联系人：马先生、徐先生、陆先生</w:t>
      </w:r>
      <w:r/>
    </w:p>
    <w:p>
      <w:pPr>
        <w:ind w:firstLine="48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电　话：1</w:t>
      </w:r>
      <w:r>
        <w:rPr>
          <w:rFonts w:cs="仿宋" w:asciiTheme="minorEastAsia" w:hAnsiTheme="minorEastAsia" w:eastAsiaTheme="minorEastAsia"/>
          <w:color w:val="000000" w:themeColor="text1"/>
          <w:sz w:val="24"/>
          <w:szCs w:val="24"/>
          <w:highlight w:val="none"/>
          <w14:textFill>
            <w14:solidFill>
              <w14:schemeClr w14:val="tx1"/>
            </w14:solidFill>
          </w14:textFill>
        </w:rPr>
        <w:t xml:space="preserve">8905161867</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w:t>
      </w:r>
      <w:r>
        <w:rPr>
          <w:rFonts w:cs="仿宋" w:asciiTheme="minorEastAsia" w:hAnsiTheme="minorEastAsia" w:eastAsiaTheme="minorEastAsia"/>
          <w:color w:val="000000" w:themeColor="text1"/>
          <w:sz w:val="24"/>
          <w:szCs w:val="24"/>
          <w:highlight w:val="none"/>
          <w14:textFill>
            <w14:solidFill>
              <w14:schemeClr w14:val="tx1"/>
            </w14:solidFill>
          </w14:textFill>
        </w:rPr>
        <w:t xml:space="preserve">8351006888</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、19850429971</w:t>
      </w:r>
      <w:r/>
    </w:p>
    <w:p>
      <w:pPr>
        <w:ind w:right="840" w:firstLine="530"/>
        <w:jc w:val="center"/>
        <w:spacing w:line="360" w:lineRule="auto"/>
        <w:widowControl/>
        <w:rPr>
          <w:rFonts w:hint="eastAsia" w:cs="仿宋" w:asciiTheme="minorEastAsia" w:hAnsiTheme="minorEastAsia" w:eastAsiaTheme="minorEastAsia"/>
          <w:b/>
          <w:color w:val="000000" w:themeColor="text1"/>
          <w:szCs w:val="22"/>
          <w:highlight w:val="none"/>
          <w14:textFill>
            <w14:solidFill>
              <w14:schemeClr w14:val="tx1"/>
            </w14:solidFill>
          </w14:textFill>
        </w:rPr>
      </w:pPr>
      <w:r>
        <w:rPr>
          <w:rFonts w:hint="eastAsia" w:cs="仿宋" w:asciiTheme="minorEastAsia" w:hAnsiTheme="minorEastAsia" w:eastAsiaTheme="minorEastAsia"/>
          <w:b/>
          <w:color w:val="000000" w:themeColor="text1"/>
          <w:szCs w:val="22"/>
          <w:highlight w:val="none"/>
          <w14:textFill>
            <w14:solidFill>
              <w14:schemeClr w14:val="tx1"/>
            </w14:solidFill>
          </w14:textFill>
        </w:rPr>
      </w:r>
      <w:r/>
    </w:p>
    <w:p>
      <w:pPr>
        <w:jc w:val="center"/>
        <w:spacing w:line="500" w:lineRule="exact"/>
        <w:widowControl/>
        <w:rPr>
          <w:rFonts w:hint="eastAsia" w:cs="仿宋" w:asciiTheme="minorEastAsia" w:hAnsiTheme="minorEastAsia" w:eastAsiaTheme="minorEastAsia"/>
          <w:b/>
          <w:color w:val="000000" w:themeColor="text1"/>
          <w:sz w:val="32"/>
          <w:szCs w:val="32"/>
          <w:highlight w:val="none"/>
          <w14:textFill>
            <w14:solidFill>
              <w14:schemeClr w14:val="tx1"/>
            </w14:solidFill>
          </w14:textFill>
        </w:rPr>
      </w:pPr>
      <w:r>
        <w:rPr>
          <w:rFonts w:cs="仿宋" w:asciiTheme="minorEastAsia" w:hAnsiTheme="minorEastAsia" w:eastAsiaTheme="minorEastAsia"/>
          <w:b/>
          <w:color w:val="000000" w:themeColor="text1"/>
          <w:sz w:val="32"/>
          <w:szCs w:val="32"/>
          <w:highlight w:val="none"/>
          <w14:textFill>
            <w14:solidFill>
              <w14:schemeClr w14:val="tx1"/>
            </w14:solidFill>
          </w14:textFill>
        </w:rPr>
        <w:br w:type="page" w:clear="all"/>
      </w:r>
      <w:r/>
    </w:p>
    <w:p>
      <w:pPr>
        <w:jc w:val="center"/>
        <w:spacing w:line="500" w:lineRule="exact"/>
        <w:widowControl/>
        <w:rPr>
          <w:rFonts w:hint="eastAsia" w:cs="仿宋" w:asciiTheme="minorEastAsia" w:hAnsiTheme="minorEastAsia" w:eastAsiaTheme="minorEastAsia"/>
          <w:b/>
          <w:color w:val="000000" w:themeColor="text1"/>
          <w:sz w:val="32"/>
          <w:szCs w:val="32"/>
          <w:highlight w:val="none"/>
          <w14:textFill>
            <w14:solidFill>
              <w14:schemeClr w14:val="tx1"/>
            </w14:solidFill>
          </w14:textFill>
        </w:rPr>
      </w:pPr>
      <w:r>
        <w:rPr>
          <w:rFonts w:hint="eastAsia" w:cs="仿宋" w:asciiTheme="minorEastAsia" w:hAnsiTheme="minorEastAsia" w:eastAsiaTheme="minorEastAsia"/>
          <w:b/>
          <w:color w:val="000000" w:themeColor="text1"/>
          <w:sz w:val="32"/>
          <w:szCs w:val="32"/>
          <w:highlight w:val="none"/>
          <w14:textFill>
            <w14:solidFill>
              <w14:schemeClr w14:val="tx1"/>
            </w14:solidFill>
          </w14:textFill>
        </w:rPr>
        <w:t xml:space="preserve">第二章 投标人须知</w:t>
      </w:r>
      <w:bookmarkEnd w:id="0"/>
      <w:r/>
      <w:bookmarkEnd w:id="1"/>
      <w:r/>
      <w:r/>
    </w:p>
    <w:p>
      <w:pPr>
        <w:jc w:val="center"/>
        <w:spacing w:line="500" w:lineRule="exact"/>
        <w:widowControl/>
        <w:rPr>
          <w:rFonts w:hint="eastAsia" w:cs="仿宋" w:asciiTheme="minorEastAsia" w:hAnsiTheme="minorEastAsia" w:eastAsiaTheme="minorEastAsia"/>
          <w:b/>
          <w:color w:val="000000" w:themeColor="text1"/>
          <w:sz w:val="28"/>
          <w:szCs w:val="28"/>
          <w:highlight w:val="none"/>
          <w14:textFill>
            <w14:solidFill>
              <w14:schemeClr w14:val="tx1"/>
            </w14:solidFill>
          </w14:textFill>
        </w:rPr>
      </w:pPr>
      <w:r>
        <w:rPr>
          <w:rFonts w:hint="eastAsia" w:cs="仿宋" w:asciiTheme="minorEastAsia" w:hAnsiTheme="minorEastAsia" w:eastAsiaTheme="minorEastAsia"/>
          <w:b/>
          <w:color w:val="000000" w:themeColor="text1"/>
          <w:sz w:val="28"/>
          <w:szCs w:val="28"/>
          <w:highlight w:val="none"/>
          <w14:textFill>
            <w14:solidFill>
              <w14:schemeClr w14:val="tx1"/>
            </w14:solidFill>
          </w14:textFill>
        </w:rPr>
        <w:t xml:space="preserve">    投标人须知前附表</w:t>
      </w:r>
      <w:r/>
    </w:p>
    <w:tbl>
      <w:tblPr>
        <w:tblStyle w:val="756"/>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8"/>
        <w:gridCol w:w="1494"/>
        <w:gridCol w:w="6249"/>
      </w:tblGrid>
      <w:tr>
        <w:trPr>
          <w:jc w:val="center"/>
          <w:trHeight w:val="558"/>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序号</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项目</w:t>
            </w:r>
            <w:r/>
          </w:p>
        </w:tc>
        <w:tc>
          <w:tcPr>
            <w:tcW w:w="6249"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内容</w:t>
            </w:r>
            <w:r/>
          </w:p>
        </w:tc>
      </w:tr>
      <w:tr>
        <w:trPr>
          <w:jc w:val="center"/>
          <w:trHeight w:val="557"/>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项目名称</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药学部自动化发药系统</w:t>
            </w:r>
            <w:r/>
          </w:p>
        </w:tc>
      </w:tr>
      <w:tr>
        <w:trPr>
          <w:jc w:val="center"/>
          <w:trHeight w:val="543"/>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招标内容</w:t>
            </w:r>
            <w:r/>
          </w:p>
        </w:tc>
        <w:tc>
          <w:tcPr>
            <w:tcW w:w="6249" w:type="dxa"/>
            <w:vAlign w:val="center"/>
            <w:textDirection w:val="lrTb"/>
            <w:noWrap w:val="false"/>
          </w:tcPr>
          <w:p>
            <w:pPr>
              <w:rPr>
                <w:rFonts w:hint="eastAsia" w:cs="仿宋" w:asciiTheme="minorEastAsia" w:hAnsiTheme="minorEastAsia" w:eastAsiaTheme="minorEastAsia"/>
                <w:color w:val="000000" w:themeColor="text1"/>
                <w:szCs w:val="21"/>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详见第三章采购需求</w:t>
            </w:r>
            <w:r/>
          </w:p>
        </w:tc>
      </w:tr>
      <w:tr>
        <w:trPr>
          <w:jc w:val="center"/>
          <w:trHeight w:val="744"/>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3</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供货期及供货地点</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交货期：合同签订后14天内完成交货</w:t>
            </w:r>
            <w:r/>
          </w:p>
          <w:p>
            <w:p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交货地点：供应商负责将货物运到采购人指定地点，由供应商负责办理运输和装卸等，费用由供应商负责，由采购人组织验收，检验不合格或不符合质量要求，供应商除无条件退货、返工外，还应承担采购人的一切损失。</w:t>
            </w:r>
            <w:r/>
          </w:p>
          <w:p>
            <w:p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本项目实施过程中涉及的产品包装及运输事宜，要严格执行《商品包装政府采购需求标准（试行）》《快递包装政府采购需求标准（试行）》（财办库〔2020〕123 号）的要求。</w:t>
            </w:r>
            <w:r/>
          </w:p>
        </w:tc>
      </w:tr>
      <w:tr>
        <w:trPr>
          <w:jc w:val="center"/>
          <w:trHeight w:val="732"/>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4</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最高投标限价</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iCs/>
                <w:color w:val="000000" w:themeColor="text1"/>
                <w:sz w:val="24"/>
                <w:szCs w:val="24"/>
                <w:highlight w:val="none"/>
                <w14:textFill>
                  <w14:solidFill>
                    <w14:schemeClr w14:val="tx1"/>
                  </w14:solidFill>
                </w14:textFill>
              </w:rPr>
              <w:t xml:space="preserve">预算金额：560</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万元</w:t>
            </w:r>
            <w:r/>
          </w:p>
          <w:p>
            <w:p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iCs/>
                <w:color w:val="000000" w:themeColor="text1"/>
                <w:sz w:val="24"/>
                <w:szCs w:val="24"/>
                <w:highlight w:val="none"/>
                <w14:textFill>
                  <w14:solidFill>
                    <w14:schemeClr w14:val="tx1"/>
                  </w14:solidFill>
                </w14:textFill>
              </w:rPr>
              <w:t xml:space="preserve">最高限价：480</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万元</w:t>
            </w:r>
            <w:r/>
          </w:p>
          <w:p>
            <w:p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ascii="宋体" w:hAnsi="宋体" w:eastAsia="宋体"/>
                <w:sz w:val="24"/>
                <w:szCs w:val="24"/>
                <w:highlight w:val="none"/>
              </w:rPr>
              <w:t xml:space="preserve">投标单位报价不得高于最高限价且投标单价不得高于清单单价，否则视为无效投标文件。</w:t>
            </w:r>
            <w:r/>
          </w:p>
        </w:tc>
      </w:tr>
      <w:tr>
        <w:trPr>
          <w:jc w:val="center"/>
          <w:trHeight w:val="672"/>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5</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合格投标人资格要求</w:t>
            </w:r>
            <w:r/>
          </w:p>
        </w:tc>
        <w:tc>
          <w:tcPr>
            <w:tcW w:w="6249" w:type="dxa"/>
            <w:vAlign w:val="center"/>
            <w:textDirection w:val="lrTb"/>
            <w:noWrap w:val="false"/>
          </w:tcPr>
          <w:p>
            <w:pPr>
              <w:jc w:val="left"/>
              <w:widowControl/>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详见招标公告</w:t>
            </w:r>
            <w:r/>
          </w:p>
        </w:tc>
      </w:tr>
      <w:tr>
        <w:trPr>
          <w:jc w:val="center"/>
          <w:trHeight w:val="834"/>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6</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联合体投标</w:t>
            </w:r>
            <w:r/>
          </w:p>
        </w:tc>
        <w:tc>
          <w:tcPr>
            <w:tcW w:w="6249" w:type="dxa"/>
            <w:vAlign w:val="center"/>
            <w:textDirection w:val="lrTb"/>
            <w:noWrap w:val="false"/>
          </w:tcPr>
          <w:p>
            <w:pPr>
              <w:rPr>
                <w:rFonts w:hint="eastAsia" w:ascii="宋体" w:hAnsi="宋体" w:eastAsia="宋体"/>
                <w:sz w:val="24"/>
                <w:szCs w:val="24"/>
                <w:highlight w:val="none"/>
              </w:rPr>
            </w:pPr>
            <w:r>
              <w:rPr>
                <w:rFonts w:hint="eastAsia" w:ascii="MS Mincho" w:hAnsi="MS Mincho" w:eastAsia="MS Mincho" w:cs="MS Mincho"/>
                <w:highlight w:val="none"/>
              </w:rPr>
              <w:t xml:space="preserve">☑</w:t>
            </w:r>
            <w:r>
              <w:rPr>
                <w:rFonts w:hint="eastAsia" w:ascii="宋体" w:hAnsi="宋体" w:eastAsia="宋体"/>
                <w:sz w:val="24"/>
                <w:szCs w:val="24"/>
                <w:highlight w:val="none"/>
              </w:rPr>
              <w:t xml:space="preserve">不接受，招标文件中有关联合体规定均不适用。</w:t>
            </w:r>
            <w:r/>
          </w:p>
          <w:p>
            <w:pPr>
              <w:pStyle w:val="941"/>
              <w:numPr>
                <w:ilvl w:val="0"/>
                <w:numId w:val="1"/>
              </w:num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ascii="宋体" w:hAnsi="宋体" w:eastAsia="宋体"/>
                <w:sz w:val="24"/>
                <w:szCs w:val="24"/>
                <w:highlight w:val="none"/>
              </w:rPr>
              <w:t xml:space="preserve">接受</w:t>
            </w:r>
            <w:r/>
          </w:p>
        </w:tc>
      </w:tr>
      <w:tr>
        <w:trPr>
          <w:jc w:val="center"/>
          <w:trHeight w:val="1385"/>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7</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现场勘察</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ascii="MS Mincho" w:hAnsi="MS Mincho" w:eastAsia="MS Mincho" w:cs="MS Mincho"/>
                <w:highlight w:val="none"/>
              </w:rPr>
              <w:t xml:space="preserve">☑</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不组织，自行勘察;如投标人需自行勘察,费用自理。</w:t>
            </w:r>
            <w:r/>
          </w:p>
          <w:p>
            <w:pPr>
              <w:pStyle w:val="941"/>
              <w:numPr>
                <w:ilvl w:val="0"/>
                <w:numId w:val="1"/>
              </w:num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组织，勘察时间： 年月日时</w:t>
            </w:r>
            <w:r/>
          </w:p>
          <w:p>
            <w:p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        集合地点：</w:t>
            </w:r>
            <w:r/>
          </w:p>
          <w:p>
            <w:pPr>
              <w:ind w:firstLine="975"/>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联系人：联系电话：</w:t>
            </w:r>
            <w:r/>
          </w:p>
        </w:tc>
      </w:tr>
      <w:tr>
        <w:trPr>
          <w:jc w:val="center"/>
          <w:trHeight w:val="1067"/>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8</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投标答疑会</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ascii="MS Mincho" w:hAnsi="MS Mincho" w:eastAsia="MS Mincho" w:cs="MS Mincho"/>
                <w:highlight w:val="none"/>
              </w:rPr>
              <w:t xml:space="preserve">☑</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不召开</w:t>
            </w:r>
            <w:r/>
          </w:p>
          <w:p>
            <w:p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口召开，召开时间：年月日时</w:t>
            </w:r>
            <w:r/>
          </w:p>
          <w:p>
            <w:pPr>
              <w:ind w:firstLine="975"/>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召开地点：</w:t>
            </w:r>
            <w:r/>
          </w:p>
        </w:tc>
      </w:tr>
      <w:tr>
        <w:trPr>
          <w:jc w:val="center"/>
          <w:trHeight w:val="420"/>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9</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投标货币</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人民币</w:t>
            </w:r>
            <w:r/>
          </w:p>
        </w:tc>
      </w:tr>
      <w:tr>
        <w:trPr>
          <w:jc w:val="center"/>
          <w:trHeight w:val="768"/>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10</w:t>
            </w:r>
            <w:r/>
          </w:p>
        </w:tc>
        <w:tc>
          <w:tcPr>
            <w:tcW w:w="1494" w:type="dxa"/>
            <w:vAlign w:val="center"/>
            <w:textDirection w:val="lrTb"/>
            <w:noWrap w:val="false"/>
          </w:tcPr>
          <w:p>
            <w:pPr>
              <w:jc w:val="center"/>
              <w:rPr>
                <w:rFonts w:hint="eastAsia"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 xml:space="preserve">核心产品</w:t>
            </w:r>
            <w:r/>
          </w:p>
        </w:tc>
        <w:tc>
          <w:tcPr>
            <w:tcW w:w="6249" w:type="dxa"/>
            <w:vAlign w:val="center"/>
            <w:textDirection w:val="lrTb"/>
            <w:noWrap w:val="false"/>
          </w:tcPr>
          <w:p>
            <w:pPr>
              <w:jc w:val="left"/>
              <w:widowControl/>
              <w:rPr>
                <w:rFonts w:hint="eastAsia"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 xml:space="preserve">不适用</w:t>
            </w:r>
            <w:r/>
          </w:p>
        </w:tc>
      </w:tr>
      <w:tr>
        <w:trPr>
          <w:jc w:val="center"/>
          <w:trHeight w:val="604"/>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11</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投标保证金</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本项目不收取投标保证金。</w:t>
            </w:r>
            <w:r/>
          </w:p>
        </w:tc>
      </w:tr>
      <w:tr>
        <w:trPr>
          <w:jc w:val="center"/>
          <w:trHeight w:val="429"/>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12</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投标文件有效期</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t xml:space="preserve"> </w:t>
            </w:r>
            <w:r>
              <w:rPr>
                <w:rFonts w:cs="仿宋" w:asciiTheme="minorEastAsia" w:hAnsiTheme="minorEastAsia" w:eastAsiaTheme="minorEastAsia"/>
                <w:color w:val="000000" w:themeColor="text1"/>
                <w:sz w:val="24"/>
                <w:szCs w:val="24"/>
                <w:highlight w:val="none"/>
                <w:u w:val="single"/>
                <w14:textFill>
                  <w14:solidFill>
                    <w14:schemeClr w14:val="tx1"/>
                  </w14:solidFill>
                </w14:textFill>
              </w:rPr>
              <w:t xml:space="preserve">9</w:t>
            </w:r>
            <w:r>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t xml:space="preserve">0 </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日历天（从投标截止之日算起）</w:t>
            </w:r>
            <w:r/>
          </w:p>
        </w:tc>
      </w:tr>
      <w:tr>
        <w:trPr>
          <w:cantSplit/>
          <w:jc w:val="center"/>
          <w:trHeight w:val="406"/>
        </w:trPr>
        <w:tc>
          <w:tcPr>
            <w:tcW w:w="768" w:type="dxa"/>
            <w:vAlign w:val="center"/>
            <w:vMerge w:val="restart"/>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13</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投标截止时间</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时间：</w:t>
            </w:r>
            <w:r>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t xml:space="preserve"> 202</w:t>
            </w:r>
            <w:r>
              <w:rPr>
                <w:rFonts w:cs="仿宋" w:asciiTheme="minorEastAsia" w:hAnsiTheme="minorEastAsia" w:eastAsiaTheme="minorEastAsia"/>
                <w:color w:val="000000" w:themeColor="text1"/>
                <w:sz w:val="24"/>
                <w:szCs w:val="24"/>
                <w:highlight w:val="none"/>
                <w:u w:val="single"/>
                <w14:textFill>
                  <w14:solidFill>
                    <w14:schemeClr w14:val="tx1"/>
                  </w14:solidFill>
                </w14:textFill>
              </w:rPr>
              <w:t xml:space="preserve">6</w:t>
            </w:r>
            <w:r>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t xml:space="preserve"> </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年</w:t>
            </w:r>
            <w:r>
              <w:rPr>
                <w:rFonts w:hint="eastAsia"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08</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月</w:t>
            </w:r>
            <w:r>
              <w:rPr>
                <w:rFonts w:hint="eastAsia"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10</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日</w:t>
            </w:r>
            <w:r>
              <w:rPr>
                <w:rFonts w:hint="eastAsia"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14</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时</w:t>
            </w:r>
            <w:r>
              <w:rPr>
                <w:rFonts w:hint="eastAsia"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30</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分</w:t>
            </w:r>
            <w:r/>
          </w:p>
        </w:tc>
      </w:tr>
      <w:tr>
        <w:trPr>
          <w:cantSplit/>
          <w:jc w:val="center"/>
          <w:trHeight w:val="535"/>
        </w:trPr>
        <w:tc>
          <w:tcPr>
            <w:tcW w:w="768" w:type="dxa"/>
            <w:vAlign w:val="center"/>
            <w:vMerge w:val="continue"/>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r>
            <w:r/>
          </w:p>
        </w:tc>
        <w:tc>
          <w:tcPr>
            <w:tcW w:w="1494" w:type="dxa"/>
            <w:vAlign w:val="center"/>
            <w:textDirection w:val="lrTb"/>
            <w:noWrap w:val="false"/>
          </w:tcPr>
          <w:p>
            <w:p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投标地点</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地点：江苏政府采购“苏采云”系统不见面开标大厅 </w:t>
            </w:r>
            <w:r/>
          </w:p>
        </w:tc>
      </w:tr>
      <w:tr>
        <w:trPr>
          <w:jc w:val="center"/>
          <w:trHeight w:val="752"/>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14</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开标时间和地点</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时间：</w:t>
            </w:r>
            <w:r>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t xml:space="preserve"> 202</w:t>
            </w:r>
            <w:r>
              <w:rPr>
                <w:rFonts w:cs="仿宋" w:asciiTheme="minorEastAsia" w:hAnsiTheme="minorEastAsia" w:eastAsiaTheme="minorEastAsia"/>
                <w:color w:val="000000" w:themeColor="text1"/>
                <w:sz w:val="24"/>
                <w:szCs w:val="24"/>
                <w:highlight w:val="none"/>
                <w:u w:val="single"/>
                <w14:textFill>
                  <w14:solidFill>
                    <w14:schemeClr w14:val="tx1"/>
                  </w14:solidFill>
                </w14:textFill>
              </w:rPr>
              <w:t xml:space="preserve">6</w:t>
            </w:r>
            <w:r>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t xml:space="preserve"> </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年</w:t>
            </w:r>
            <w:r>
              <w:rPr>
                <w:rFonts w:hint="eastAsia"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08</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月</w:t>
            </w:r>
            <w:r>
              <w:rPr>
                <w:rFonts w:hint="eastAsia"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10</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日1</w:t>
            </w:r>
            <w:r>
              <w:rPr>
                <w:rFonts w:hint="eastAsia"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4</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时</w:t>
            </w:r>
            <w:r>
              <w:rPr>
                <w:rFonts w:hint="eastAsia"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3</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0分</w:t>
            </w:r>
            <w:r/>
          </w:p>
          <w:p>
            <w:p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地点：江苏政府采购“苏采云”系统不见面开标大厅 </w:t>
            </w:r>
            <w:r/>
          </w:p>
        </w:tc>
      </w:tr>
      <w:tr>
        <w:trPr>
          <w:jc w:val="center"/>
          <w:trHeight w:val="539"/>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15</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评标办法</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ascii="MS Mincho" w:hAnsi="MS Mincho" w:eastAsia="MS Mincho" w:cs="MS Mincho"/>
                <w:sz w:val="24"/>
                <w:szCs w:val="24"/>
                <w:highlight w:val="none"/>
              </w:rPr>
              <w:t xml:space="preserve">☑</w:t>
            </w:r>
            <w:r>
              <w:rPr>
                <w:rFonts w:hint="eastAsia" w:ascii="宋体" w:hAnsi="宋体" w:eastAsia="宋体"/>
                <w:sz w:val="24"/>
                <w:szCs w:val="24"/>
                <w:highlight w:val="none"/>
              </w:rPr>
              <w:t xml:space="preserve">综合评分</w:t>
            </w:r>
            <w:r>
              <w:rPr>
                <w:rFonts w:ascii="宋体" w:hAnsi="宋体" w:eastAsia="宋体"/>
                <w:sz w:val="24"/>
                <w:szCs w:val="24"/>
                <w:highlight w:val="none"/>
              </w:rPr>
              <w:t xml:space="preserve">法</w:t>
            </w:r>
            <w:r/>
          </w:p>
        </w:tc>
      </w:tr>
      <w:tr>
        <w:trPr>
          <w:jc w:val="center"/>
          <w:trHeight w:val="539"/>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16</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定标办法</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采购人根据评标委员会推荐的中标候选供应商顺序确定中标人。</w:t>
            </w:r>
            <w:r/>
          </w:p>
        </w:tc>
      </w:tr>
      <w:tr>
        <w:trPr>
          <w:jc w:val="center"/>
          <w:trHeight w:val="2065"/>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17</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履约保证金</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ascii="MS Mincho" w:hAnsi="MS Mincho" w:eastAsia="宋体" w:cs="MS Mincho"/>
                <w:highlight w:val="none"/>
              </w:rPr>
              <w:t xml:space="preserve">□</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不提交，招标文件中有关履约保证金的规定均不适用</w:t>
            </w:r>
            <w:r/>
          </w:p>
          <w:p>
            <w:pPr>
              <w:pStyle w:val="941"/>
              <w:ind w:firstLine="0"/>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ascii="MS Mincho" w:hAnsi="MS Mincho" w:eastAsia="宋体" w:cs="MS Mincho"/>
                <w:highlight w:val="none"/>
              </w:rPr>
              <w:t xml:space="preserve">☑</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提交</w:t>
            </w:r>
            <w:r/>
          </w:p>
          <w:p>
            <w:p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金额：中标价的5% </w:t>
            </w:r>
            <w:r/>
          </w:p>
          <w:p>
            <w:pPr>
              <w:pStyle w:val="940"/>
              <w:ind w:firstLine="0"/>
              <w:rPr>
                <w:rFonts w:hint="eastAsia" w:cs="仿宋" w:asciiTheme="minorEastAsia" w:hAnsiTheme="minorEastAsia" w:eastAsiaTheme="minorEastAsia"/>
                <w:color w:val="000000" w:themeColor="text1"/>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形式：保证保险、保函、电汇、转账、汇票、支票、本票等非现金形式</w:t>
            </w:r>
            <w:r/>
          </w:p>
          <w:p>
            <w:p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提交时间：收到中标通知书后签订合同前。</w:t>
            </w:r>
            <w:r/>
          </w:p>
          <w:p>
            <w:p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退还时间：服务期满且经验收合格后无息退还。</w:t>
            </w:r>
            <w:r/>
          </w:p>
        </w:tc>
      </w:tr>
      <w:tr>
        <w:trPr>
          <w:jc w:val="center"/>
          <w:trHeight w:val="792"/>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18</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签订合同</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中标通知书发出之日起</w:t>
            </w:r>
            <w:r>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t xml:space="preserve"> 30 </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日内</w:t>
            </w:r>
            <w:r/>
          </w:p>
        </w:tc>
      </w:tr>
      <w:tr>
        <w:trPr>
          <w:jc w:val="center"/>
          <w:trHeight w:val="848"/>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19</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付款方式</w:t>
            </w:r>
            <w:r/>
          </w:p>
        </w:tc>
        <w:tc>
          <w:tcPr>
            <w:tcW w:w="6249" w:type="dxa"/>
            <w:vAlign w:val="center"/>
            <w:textDirection w:val="lrTb"/>
            <w:noWrap w:val="false"/>
          </w:tcPr>
          <w:p>
            <w:pPr>
              <w:ind w:right="-119"/>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1.所有设备安装调试完毕后，采购人收到供应商出具的合法有效发票后，于30个工作日内支付合同总价款的30%。</w:t>
            </w:r>
            <w:r/>
          </w:p>
          <w:p>
            <w:pPr>
              <w:ind w:right="-119"/>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2. 系统稳定运行3个月以上并验收合格后，采购人收到供应商出具的合法有效发票后，于30个工作日内支付合同总价款的60%。 </w:t>
            </w:r>
            <w:r/>
          </w:p>
          <w:p>
            <w:pPr>
              <w:ind w:right="-119"/>
              <w:jc w:val="left"/>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ascii="宋体" w:hAnsi="宋体" w:eastAsia="宋体" w:cs="宋体"/>
                <w:bCs/>
                <w:sz w:val="24"/>
                <w:szCs w:val="24"/>
                <w:highlight w:val="none"/>
              </w:rPr>
              <w:t xml:space="preserve">3. 自验收合格满一年后，设备无运行障碍且售后服务到位，采购人收到供应商出具的合法有效发票后，于7个工作日内无息付清合同总价款的10%。</w:t>
            </w:r>
            <w:r>
              <w:rPr>
                <w:rFonts w:hint="eastAsia" w:ascii="宋体" w:hAnsi="宋体" w:eastAsia="宋体" w:cs="宋体"/>
                <w:bCs/>
                <w:sz w:val="24"/>
                <w:szCs w:val="24"/>
                <w:highlight w:val="none"/>
                <w:lang w:val="zh-CN"/>
              </w:rPr>
              <w:t xml:space="preserve">（如果中标人为中小企业，按&lt;&lt;保障中小企业款项支付条例&gt;&gt;(国令第802号)相关要求执行） </w:t>
            </w:r>
            <w:r/>
          </w:p>
        </w:tc>
      </w:tr>
      <w:tr>
        <w:trPr>
          <w:jc w:val="center"/>
          <w:trHeight w:val="1355"/>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20</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招标代理服务费</w:t>
            </w:r>
            <w:r/>
          </w:p>
        </w:tc>
        <w:tc>
          <w:tcPr>
            <w:tcW w:w="6249" w:type="dxa"/>
            <w:textDirection w:val="lrTb"/>
            <w:noWrap w:val="false"/>
          </w:tcPr>
          <w:p>
            <w:pPr>
              <w:ind w:firstLine="480"/>
              <w:jc w:val="left"/>
              <w:spacing w:line="360" w:lineRule="auto"/>
              <w:rPr>
                <w:rFonts w:hint="eastAsia" w:ascii="宋体" w:hAnsi="宋体" w:eastAsia="宋体" w:cs="仿宋"/>
                <w:sz w:val="24"/>
                <w:szCs w:val="24"/>
                <w:highlight w:val="none"/>
              </w:rPr>
            </w:pPr>
            <w:r>
              <w:rPr>
                <w:rFonts w:ascii="宋体" w:hAnsi="宋体" w:eastAsia="宋体" w:cs="仿宋"/>
                <w:sz w:val="24"/>
                <w:szCs w:val="24"/>
                <w:highlight w:val="none"/>
              </w:rPr>
              <w:t xml:space="preserve">根据苏财规﹝2026﹞1号文的相关要求，本项目代理服务费由采购人支付，采购人自收到招标存档资料后10日内按照《江苏省政府采购代理服务收费指导意见》苏政采协[2024]20号文收费标准的</w:t>
            </w:r>
            <w:r>
              <w:rPr>
                <w:rFonts w:hint="eastAsia" w:ascii="宋体" w:hAnsi="宋体" w:eastAsia="宋体" w:cs="仿宋"/>
                <w:sz w:val="24"/>
                <w:szCs w:val="24"/>
                <w:highlight w:val="none"/>
              </w:rPr>
              <w:t xml:space="preserve">55</w:t>
            </w:r>
            <w:r>
              <w:rPr>
                <w:rFonts w:ascii="宋体" w:hAnsi="宋体" w:eastAsia="宋体" w:cs="仿宋"/>
                <w:sz w:val="24"/>
                <w:szCs w:val="24"/>
                <w:highlight w:val="none"/>
              </w:rPr>
              <w:t xml:space="preserve">%向采购代理机构支付代理服务费。</w:t>
            </w:r>
            <w:r>
              <w:rPr>
                <w:rFonts w:hint="eastAsia" w:ascii="宋体" w:hAnsi="宋体" w:eastAsia="宋体" w:cs="仿宋"/>
                <w:sz w:val="24"/>
                <w:szCs w:val="24"/>
                <w:highlight w:val="none"/>
              </w:rPr>
              <w:t xml:space="preserve">备注266-003527代理服务费。 </w:t>
            </w:r>
            <w:r/>
          </w:p>
          <w:p>
            <w:pPr>
              <w:ind w:firstLine="420"/>
              <w:spacing w:line="360" w:lineRule="auto"/>
              <w:rPr>
                <w:rFonts w:hint="eastAsia" w:ascii="宋体" w:hAnsi="宋体" w:eastAsia="宋体"/>
                <w:bCs/>
                <w:sz w:val="24"/>
                <w:szCs w:val="24"/>
                <w:highlight w:val="none"/>
              </w:rPr>
            </w:pPr>
            <w:r>
              <w:rPr>
                <w:rFonts w:hint="eastAsia" w:ascii="宋体" w:hAnsi="宋体" w:eastAsia="宋体"/>
                <w:sz w:val="24"/>
                <w:szCs w:val="24"/>
                <w:highlight w:val="none"/>
              </w:rPr>
              <w:t xml:space="preserve">银行信息：</w:t>
            </w:r>
            <w:r/>
          </w:p>
          <w:p>
            <w:pPr>
              <w:ind w:firstLine="420"/>
              <w:spacing w:line="360" w:lineRule="auto"/>
              <w:rPr>
                <w:rFonts w:hint="eastAsia" w:ascii="宋体" w:hAnsi="宋体" w:eastAsia="宋体"/>
                <w:bCs/>
                <w:sz w:val="24"/>
                <w:szCs w:val="24"/>
                <w:highlight w:val="none"/>
              </w:rPr>
            </w:pPr>
            <w:r>
              <w:rPr>
                <w:rFonts w:hint="eastAsia" w:ascii="宋体" w:hAnsi="宋体" w:eastAsia="宋体"/>
                <w:sz w:val="24"/>
                <w:szCs w:val="24"/>
                <w:highlight w:val="none"/>
              </w:rPr>
              <w:t xml:space="preserve">户名：江苏海外集团国际工程咨询有限公司</w:t>
            </w:r>
            <w:r/>
          </w:p>
          <w:p>
            <w:pPr>
              <w:ind w:firstLine="420"/>
              <w:spacing w:line="360" w:lineRule="auto"/>
              <w:rPr>
                <w:rFonts w:hint="eastAsia" w:ascii="宋体" w:hAnsi="宋体" w:eastAsia="宋体"/>
                <w:bCs/>
                <w:sz w:val="24"/>
                <w:szCs w:val="24"/>
                <w:highlight w:val="none"/>
              </w:rPr>
            </w:pPr>
            <w:r>
              <w:rPr>
                <w:rFonts w:hint="eastAsia" w:ascii="宋体" w:hAnsi="宋体" w:eastAsia="宋体"/>
                <w:sz w:val="24"/>
                <w:szCs w:val="24"/>
                <w:highlight w:val="none"/>
              </w:rPr>
              <w:t xml:space="preserve">开户银行：交行江苏省分行营业部</w:t>
            </w:r>
            <w:r/>
          </w:p>
          <w:p>
            <w:pPr>
              <w:ind w:firstLine="420"/>
              <w:spacing w:line="360" w:lineRule="auto"/>
              <w:rPr>
                <w:rFonts w:hint="eastAsia" w:ascii="宋体" w:hAnsi="宋体" w:eastAsia="宋体"/>
                <w:bCs/>
                <w:sz w:val="24"/>
                <w:szCs w:val="24"/>
                <w:highlight w:val="none"/>
              </w:rPr>
            </w:pPr>
            <w:r>
              <w:rPr>
                <w:rFonts w:hint="eastAsia" w:ascii="宋体" w:hAnsi="宋体" w:eastAsia="宋体"/>
                <w:sz w:val="24"/>
                <w:szCs w:val="24"/>
                <w:highlight w:val="none"/>
              </w:rPr>
              <w:t xml:space="preserve">账号：320006607010141124109</w:t>
            </w:r>
            <w:r/>
          </w:p>
          <w:p>
            <w:pPr>
              <w:jc w:val="center"/>
              <w:spacing w:line="360" w:lineRule="auto"/>
              <w:rPr>
                <w:rFonts w:hint="eastAsia"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 xml:space="preserve">江苏省政府采购代理常规服务收费指导价</w:t>
            </w:r>
            <w:r/>
          </w:p>
          <w:tbl>
            <w:tblPr>
              <w:tblStyle w:val="756"/>
              <w:tblW w:w="4740" w:type="dxa"/>
              <w:jc w:val="center"/>
              <w:tblLayout w:type="autofit"/>
              <w:tblCellMar>
                <w:left w:w="108" w:type="dxa"/>
                <w:top w:w="0" w:type="dxa"/>
                <w:right w:w="108" w:type="dxa"/>
                <w:bottom w:w="0" w:type="dxa"/>
              </w:tblCellMar>
              <w:tblLook w:val="04A0" w:firstRow="1" w:lastRow="0" w:firstColumn="1" w:lastColumn="0" w:noHBand="0" w:noVBand="1"/>
            </w:tblPr>
            <w:tblGrid>
              <w:gridCol w:w="3660"/>
              <w:gridCol w:w="1080"/>
            </w:tblGrid>
            <w:tr>
              <w:trPr>
                <w:jc w:val="center"/>
                <w:trHeight w:val="285"/>
              </w:trPr>
              <w:tc>
                <w:tcPr>
                  <w:shd w:val="clear" w:color="000000" w:fill="dce9f9"/>
                  <w:tcBorders>
                    <w:top w:val="single" w:color="auto" w:sz="4" w:space="0"/>
                    <w:left w:val="single" w:color="auto" w:sz="4" w:space="0"/>
                    <w:bottom w:val="single" w:color="auto" w:sz="4" w:space="0"/>
                    <w:right w:val="single" w:color="auto" w:sz="4" w:space="0"/>
                  </w:tcBorders>
                  <w:tcW w:w="3660" w:type="dxa"/>
                  <w:vAlign w:val="center"/>
                  <w:textDirection w:val="lrTb"/>
                  <w:noWrap w:val="false"/>
                </w:tcPr>
                <w:p>
                  <w:pPr>
                    <w:jc w:val="center"/>
                    <w:spacing w:line="360" w:lineRule="auto"/>
                    <w:widowControl/>
                    <w:rPr>
                      <w:rFonts w:hint="eastAsia" w:ascii="宋体" w:hAnsi="宋体" w:eastAsia="宋体" w:cs="宋体"/>
                      <w:b/>
                      <w:bCs/>
                      <w:color w:val="1b1c21"/>
                      <w:sz w:val="24"/>
                      <w:szCs w:val="24"/>
                      <w:highlight w:val="none"/>
                    </w:rPr>
                  </w:pPr>
                  <w:r>
                    <w:rPr>
                      <w:rFonts w:hint="eastAsia" w:ascii="宋体" w:hAnsi="宋体" w:eastAsia="宋体" w:cs="宋体"/>
                      <w:b/>
                      <w:bCs/>
                      <w:color w:val="1b1c21"/>
                      <w:sz w:val="24"/>
                      <w:szCs w:val="24"/>
                      <w:highlight w:val="none"/>
                    </w:rPr>
                    <w:t xml:space="preserve">中标或者成交金额</w:t>
                  </w:r>
                  <w:r/>
                </w:p>
              </w:tc>
              <w:tc>
                <w:tcPr>
                  <w:shd w:val="clear" w:color="000000" w:fill="dce9f9"/>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宋体" w:hAnsi="宋体" w:eastAsia="宋体" w:cs="宋体"/>
                      <w:b/>
                      <w:bCs/>
                      <w:color w:val="1b1c21"/>
                      <w:sz w:val="24"/>
                      <w:szCs w:val="24"/>
                      <w:highlight w:val="none"/>
                    </w:rPr>
                  </w:pPr>
                  <w:r>
                    <w:rPr>
                      <w:rFonts w:hint="eastAsia" w:ascii="宋体" w:hAnsi="宋体" w:eastAsia="宋体" w:cs="宋体"/>
                      <w:b/>
                      <w:bCs/>
                      <w:color w:val="1b1c21"/>
                      <w:sz w:val="24"/>
                      <w:szCs w:val="24"/>
                      <w:highlight w:val="none"/>
                    </w:rPr>
                    <w:t xml:space="preserve">费率</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spacing w:line="360" w:lineRule="auto"/>
                    <w:widowControl/>
                    <w:rPr>
                      <w:rFonts w:hint="eastAsia" w:ascii="宋体" w:hAnsi="宋体" w:eastAsia="宋体" w:cs="宋体"/>
                      <w:color w:val="1b1c21"/>
                      <w:sz w:val="24"/>
                      <w:szCs w:val="24"/>
                      <w:highlight w:val="none"/>
                    </w:rPr>
                  </w:pPr>
                  <w:r>
                    <w:rPr>
                      <w:rFonts w:hint="eastAsia" w:ascii="宋体" w:hAnsi="宋体" w:eastAsia="宋体" w:cs="宋体"/>
                      <w:color w:val="1b1c21"/>
                      <w:sz w:val="24"/>
                      <w:szCs w:val="24"/>
                      <w:highlight w:val="none"/>
                    </w:rPr>
                    <w:t xml:space="preserve">最低收费金额（每个委托项目）</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宋体" w:hAnsi="宋体" w:eastAsia="宋体" w:cs="宋体"/>
                      <w:color w:val="1b1c21"/>
                      <w:sz w:val="24"/>
                      <w:szCs w:val="24"/>
                      <w:highlight w:val="none"/>
                    </w:rPr>
                  </w:pPr>
                  <w:r>
                    <w:rPr>
                      <w:rFonts w:hint="eastAsia" w:ascii="宋体" w:hAnsi="宋体" w:eastAsia="宋体" w:cs="宋体"/>
                      <w:color w:val="1b1c21"/>
                      <w:sz w:val="24"/>
                      <w:szCs w:val="24"/>
                      <w:highlight w:val="none"/>
                    </w:rPr>
                    <w:t xml:space="preserve">5000元</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spacing w:line="360" w:lineRule="auto"/>
                    <w:widowControl/>
                    <w:rPr>
                      <w:rFonts w:hint="eastAsia" w:ascii="宋体" w:hAnsi="宋体" w:eastAsia="宋体" w:cs="宋体"/>
                      <w:color w:val="1b1c21"/>
                      <w:sz w:val="24"/>
                      <w:szCs w:val="24"/>
                      <w:highlight w:val="none"/>
                    </w:rPr>
                  </w:pPr>
                  <w:r>
                    <w:rPr>
                      <w:rFonts w:hint="eastAsia" w:ascii="宋体" w:hAnsi="宋体" w:eastAsia="宋体" w:cs="宋体"/>
                      <w:color w:val="1b1c21"/>
                      <w:sz w:val="24"/>
                      <w:szCs w:val="24"/>
                      <w:highlight w:val="none"/>
                    </w:rPr>
                    <w:t xml:space="preserve">50万元以下（含50万元）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宋体" w:hAnsi="宋体" w:eastAsia="宋体" w:cs="宋体"/>
                      <w:color w:val="1b1c21"/>
                      <w:sz w:val="24"/>
                      <w:szCs w:val="24"/>
                      <w:highlight w:val="none"/>
                    </w:rPr>
                  </w:pPr>
                  <w:r>
                    <w:rPr>
                      <w:rFonts w:hint="eastAsia" w:ascii="宋体" w:hAnsi="宋体" w:eastAsia="宋体" w:cs="宋体"/>
                      <w:color w:val="1b1c21"/>
                      <w:sz w:val="24"/>
                      <w:szCs w:val="24"/>
                      <w:highlight w:val="none"/>
                    </w:rPr>
                    <w:t xml:space="preserve">1.6%</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spacing w:line="360" w:lineRule="auto"/>
                    <w:widowControl/>
                    <w:rPr>
                      <w:rFonts w:hint="eastAsia" w:ascii="宋体" w:hAnsi="宋体" w:eastAsia="宋体" w:cs="宋体"/>
                      <w:color w:val="1b1c21"/>
                      <w:sz w:val="24"/>
                      <w:szCs w:val="24"/>
                      <w:highlight w:val="none"/>
                    </w:rPr>
                  </w:pPr>
                  <w:r>
                    <w:rPr>
                      <w:rFonts w:hint="eastAsia" w:ascii="宋体" w:hAnsi="宋体" w:eastAsia="宋体" w:cs="宋体"/>
                      <w:color w:val="1b1c21"/>
                      <w:sz w:val="24"/>
                      <w:szCs w:val="24"/>
                      <w:highlight w:val="none"/>
                    </w:rPr>
                    <w:t xml:space="preserve">50-400万元（含400万元）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宋体" w:hAnsi="宋体" w:eastAsia="宋体" w:cs="宋体"/>
                      <w:color w:val="1b1c21"/>
                      <w:sz w:val="24"/>
                      <w:szCs w:val="24"/>
                      <w:highlight w:val="none"/>
                    </w:rPr>
                  </w:pPr>
                  <w:r>
                    <w:rPr>
                      <w:rFonts w:hint="eastAsia" w:ascii="宋体" w:hAnsi="宋体" w:eastAsia="宋体" w:cs="宋体"/>
                      <w:color w:val="1b1c21"/>
                      <w:sz w:val="24"/>
                      <w:szCs w:val="24"/>
                      <w:highlight w:val="none"/>
                    </w:rPr>
                    <w:t xml:space="preserve">1.5%</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spacing w:line="360" w:lineRule="auto"/>
                    <w:widowControl/>
                    <w:rPr>
                      <w:rFonts w:hint="eastAsia" w:ascii="宋体" w:hAnsi="宋体" w:eastAsia="宋体" w:cs="宋体"/>
                      <w:color w:val="1b1c21"/>
                      <w:sz w:val="24"/>
                      <w:szCs w:val="24"/>
                      <w:highlight w:val="none"/>
                    </w:rPr>
                  </w:pPr>
                  <w:r>
                    <w:rPr>
                      <w:rFonts w:hint="eastAsia" w:ascii="宋体" w:hAnsi="宋体" w:eastAsia="宋体" w:cs="宋体"/>
                      <w:color w:val="1b1c21"/>
                      <w:sz w:val="24"/>
                      <w:szCs w:val="24"/>
                      <w:highlight w:val="none"/>
                    </w:rPr>
                    <w:t xml:space="preserve">400-1000万元（含1000万元）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宋体" w:hAnsi="宋体" w:eastAsia="宋体" w:cs="宋体"/>
                      <w:color w:val="1b1c21"/>
                      <w:sz w:val="24"/>
                      <w:szCs w:val="24"/>
                      <w:highlight w:val="none"/>
                    </w:rPr>
                  </w:pPr>
                  <w:r>
                    <w:rPr>
                      <w:rFonts w:hint="eastAsia" w:ascii="宋体" w:hAnsi="宋体" w:eastAsia="宋体" w:cs="宋体"/>
                      <w:color w:val="1b1c21"/>
                      <w:sz w:val="24"/>
                      <w:szCs w:val="24"/>
                      <w:highlight w:val="none"/>
                    </w:rPr>
                    <w:t xml:space="preserve">1.1%</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spacing w:line="360" w:lineRule="auto"/>
                    <w:widowControl/>
                    <w:rPr>
                      <w:rFonts w:hint="eastAsia" w:ascii="宋体" w:hAnsi="宋体" w:eastAsia="宋体" w:cs="宋体"/>
                      <w:color w:val="1b1c21"/>
                      <w:sz w:val="24"/>
                      <w:szCs w:val="24"/>
                      <w:highlight w:val="none"/>
                    </w:rPr>
                  </w:pPr>
                  <w:r>
                    <w:rPr>
                      <w:rFonts w:hint="eastAsia" w:ascii="宋体" w:hAnsi="宋体" w:eastAsia="宋体" w:cs="宋体"/>
                      <w:color w:val="1b1c21"/>
                      <w:sz w:val="24"/>
                      <w:szCs w:val="24"/>
                      <w:highlight w:val="none"/>
                    </w:rPr>
                    <w:t xml:space="preserve">1000-5000万元（含5000万元）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宋体" w:hAnsi="宋体" w:eastAsia="宋体" w:cs="宋体"/>
                      <w:color w:val="1b1c21"/>
                      <w:sz w:val="24"/>
                      <w:szCs w:val="24"/>
                      <w:highlight w:val="none"/>
                    </w:rPr>
                  </w:pPr>
                  <w:r>
                    <w:rPr>
                      <w:rFonts w:hint="eastAsia" w:ascii="宋体" w:hAnsi="宋体" w:eastAsia="宋体" w:cs="宋体"/>
                      <w:color w:val="1b1c21"/>
                      <w:sz w:val="24"/>
                      <w:szCs w:val="24"/>
                      <w:highlight w:val="none"/>
                    </w:rPr>
                    <w:t xml:space="preserve">0.8%</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spacing w:line="360" w:lineRule="auto"/>
                    <w:widowControl/>
                    <w:rPr>
                      <w:rFonts w:hint="eastAsia" w:ascii="宋体" w:hAnsi="宋体" w:eastAsia="宋体" w:cs="宋体"/>
                      <w:color w:val="1b1c21"/>
                      <w:sz w:val="24"/>
                      <w:szCs w:val="24"/>
                      <w:highlight w:val="none"/>
                    </w:rPr>
                  </w:pPr>
                  <w:r>
                    <w:rPr>
                      <w:rFonts w:hint="eastAsia" w:ascii="宋体" w:hAnsi="宋体" w:eastAsia="宋体" w:cs="宋体"/>
                      <w:color w:val="1b1c21"/>
                      <w:sz w:val="24"/>
                      <w:szCs w:val="24"/>
                      <w:highlight w:val="none"/>
                    </w:rPr>
                    <w:t xml:space="preserve">5000-1亿元（含1亿元）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宋体" w:hAnsi="宋体" w:eastAsia="宋体" w:cs="宋体"/>
                      <w:color w:val="1b1c21"/>
                      <w:sz w:val="24"/>
                      <w:szCs w:val="24"/>
                      <w:highlight w:val="none"/>
                    </w:rPr>
                  </w:pPr>
                  <w:r>
                    <w:rPr>
                      <w:rFonts w:hint="eastAsia" w:ascii="宋体" w:hAnsi="宋体" w:eastAsia="宋体" w:cs="宋体"/>
                      <w:color w:val="1b1c21"/>
                      <w:sz w:val="24"/>
                      <w:szCs w:val="24"/>
                      <w:highlight w:val="none"/>
                    </w:rPr>
                    <w:t xml:space="preserve">0.25%</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spacing w:line="360" w:lineRule="auto"/>
                    <w:widowControl/>
                    <w:rPr>
                      <w:rFonts w:hint="eastAsia" w:ascii="宋体" w:hAnsi="宋体" w:eastAsia="宋体" w:cs="宋体"/>
                      <w:color w:val="1b1c21"/>
                      <w:sz w:val="24"/>
                      <w:szCs w:val="24"/>
                      <w:highlight w:val="none"/>
                    </w:rPr>
                  </w:pPr>
                  <w:r>
                    <w:rPr>
                      <w:rFonts w:hint="eastAsia" w:ascii="宋体" w:hAnsi="宋体" w:eastAsia="宋体" w:cs="宋体"/>
                      <w:color w:val="1b1c21"/>
                      <w:sz w:val="24"/>
                      <w:szCs w:val="24"/>
                      <w:highlight w:val="none"/>
                    </w:rPr>
                    <w:t xml:space="preserve">1-10亿元（含10亿元）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宋体" w:hAnsi="宋体" w:eastAsia="宋体" w:cs="宋体"/>
                      <w:color w:val="1b1c21"/>
                      <w:sz w:val="24"/>
                      <w:szCs w:val="24"/>
                      <w:highlight w:val="none"/>
                    </w:rPr>
                  </w:pPr>
                  <w:r>
                    <w:rPr>
                      <w:rFonts w:hint="eastAsia" w:ascii="宋体" w:hAnsi="宋体" w:eastAsia="宋体" w:cs="宋体"/>
                      <w:color w:val="1b1c21"/>
                      <w:sz w:val="24"/>
                      <w:szCs w:val="24"/>
                      <w:highlight w:val="none"/>
                    </w:rPr>
                    <w:t xml:space="preserve">0.05%</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spacing w:line="360" w:lineRule="auto"/>
                    <w:widowControl/>
                    <w:rPr>
                      <w:rFonts w:hint="eastAsia" w:ascii="宋体" w:hAnsi="宋体" w:eastAsia="宋体" w:cs="宋体"/>
                      <w:color w:val="1b1c21"/>
                      <w:sz w:val="24"/>
                      <w:szCs w:val="24"/>
                      <w:highlight w:val="none"/>
                    </w:rPr>
                  </w:pPr>
                  <w:r>
                    <w:rPr>
                      <w:rFonts w:hint="eastAsia" w:ascii="宋体" w:hAnsi="宋体" w:eastAsia="宋体" w:cs="宋体"/>
                      <w:color w:val="1b1c21"/>
                      <w:sz w:val="24"/>
                      <w:szCs w:val="24"/>
                      <w:highlight w:val="none"/>
                    </w:rPr>
                    <w:t xml:space="preserve">10-50亿元（含50亿元）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宋体" w:hAnsi="宋体" w:eastAsia="宋体" w:cs="宋体"/>
                      <w:color w:val="1b1c21"/>
                      <w:sz w:val="24"/>
                      <w:szCs w:val="24"/>
                      <w:highlight w:val="none"/>
                    </w:rPr>
                  </w:pPr>
                  <w:r>
                    <w:rPr>
                      <w:rFonts w:hint="eastAsia" w:ascii="宋体" w:hAnsi="宋体" w:eastAsia="宋体" w:cs="宋体"/>
                      <w:color w:val="1b1c21"/>
                      <w:sz w:val="24"/>
                      <w:szCs w:val="24"/>
                      <w:highlight w:val="none"/>
                    </w:rPr>
                    <w:t xml:space="preserve">0.01%</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spacing w:line="360" w:lineRule="auto"/>
                    <w:widowControl/>
                    <w:rPr>
                      <w:rFonts w:hint="eastAsia" w:ascii="宋体" w:hAnsi="宋体" w:eastAsia="宋体" w:cs="宋体"/>
                      <w:color w:val="1b1c21"/>
                      <w:sz w:val="24"/>
                      <w:szCs w:val="24"/>
                      <w:highlight w:val="none"/>
                    </w:rPr>
                  </w:pPr>
                  <w:r>
                    <w:rPr>
                      <w:rFonts w:hint="eastAsia" w:ascii="宋体" w:hAnsi="宋体" w:eastAsia="宋体" w:cs="宋体"/>
                      <w:color w:val="1b1c21"/>
                      <w:sz w:val="24"/>
                      <w:szCs w:val="24"/>
                      <w:highlight w:val="none"/>
                    </w:rPr>
                    <w:t xml:space="preserve">50亿元以上</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宋体" w:hAnsi="宋体" w:eastAsia="宋体" w:cs="宋体"/>
                      <w:color w:val="1b1c21"/>
                      <w:sz w:val="24"/>
                      <w:szCs w:val="24"/>
                      <w:highlight w:val="none"/>
                    </w:rPr>
                  </w:pPr>
                  <w:r>
                    <w:rPr>
                      <w:rFonts w:hint="eastAsia" w:ascii="宋体" w:hAnsi="宋体" w:eastAsia="宋体" w:cs="宋体"/>
                      <w:color w:val="1b1c21"/>
                      <w:sz w:val="24"/>
                      <w:szCs w:val="24"/>
                      <w:highlight w:val="none"/>
                    </w:rPr>
                    <w:t xml:space="preserve">0.005%</w:t>
                  </w:r>
                  <w:r/>
                </w:p>
              </w:tc>
            </w:tr>
          </w:tbl>
          <w:p>
            <w:pPr>
              <w:pStyle w:val="940"/>
              <w:ind w:firstLine="0"/>
              <w:jc w:val="both"/>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r>
            <w:r/>
          </w:p>
        </w:tc>
      </w:tr>
      <w:tr>
        <w:trPr>
          <w:jc w:val="center"/>
          <w:trHeight w:val="1090"/>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21</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其他</w:t>
            </w:r>
            <w:r/>
          </w:p>
        </w:tc>
        <w:tc>
          <w:tcPr>
            <w:tcW w:w="6249" w:type="dxa"/>
            <w:vAlign w:val="center"/>
            <w:textDirection w:val="lrTb"/>
            <w:noWrap w:val="false"/>
          </w:tcPr>
          <w:p>
            <w:pPr>
              <w:pStyle w:val="940"/>
              <w:ind w:firstLine="0"/>
              <w:rPr>
                <w:rFonts w:hint="eastAsia" w:cs="仿宋" w:asciiTheme="minorEastAsia" w:hAnsiTheme="minorEastAsia" w:eastAsiaTheme="minorEastAsia"/>
                <w:b/>
                <w:bCs/>
                <w:color w:val="000000" w:themeColor="text1"/>
                <w:szCs w:val="24"/>
                <w:highlight w:val="none"/>
                <w14:textFill>
                  <w14:solidFill>
                    <w14:schemeClr w14:val="tx1"/>
                  </w14:solidFill>
                </w14:textFill>
              </w:rPr>
            </w:pPr>
            <w:r>
              <w:rPr>
                <w:rFonts w:hint="eastAsia" w:cs="仿宋" w:asciiTheme="minorEastAsia" w:hAnsiTheme="minorEastAsia" w:eastAsiaTheme="minorEastAsia"/>
                <w:b/>
                <w:bCs/>
                <w:color w:val="000000" w:themeColor="text1"/>
                <w:szCs w:val="24"/>
                <w:highlight w:val="none"/>
                <w14:textFill>
                  <w14:solidFill>
                    <w14:schemeClr w14:val="tx1"/>
                  </w14:solidFill>
                </w14:textFill>
              </w:rPr>
              <w:t xml:space="preserve">投标文件的制作要求</w:t>
            </w:r>
            <w:r/>
          </w:p>
          <w:p>
            <w:pPr>
              <w:pStyle w:val="940"/>
              <w:ind w:firstLine="240"/>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本次采购采用“苏采云”系统进行政府采购活动。</w:t>
            </w:r>
            <w:r/>
          </w:p>
          <w:p>
            <w:pPr>
              <w:pStyle w:val="940"/>
              <w:ind w:firstLine="240"/>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投标人如确定参加投标，可自行下载招标文件及有关资料，按</w:t>
            </w: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r/>
          </w:p>
        </w:tc>
      </w:tr>
    </w:tbl>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一、说明和释义</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1.说明  </w:t>
      </w:r>
      <w:r/>
    </w:p>
    <w:p>
      <w:pPr>
        <w:pStyle w:val="940"/>
        <w:ind w:firstLine="480"/>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1.1本招标文件仅适用于本采购项目的招标、投标、评审、确定中标单位、验收、合同履约、付款等（法律、法规另有规定的，从其规定）。</w:t>
      </w:r>
      <w:r/>
    </w:p>
    <w:p>
      <w:pPr>
        <w:pStyle w:val="940"/>
        <w:ind w:firstLine="480"/>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1.2本次招标活动及因本次招标产生的合同受中国法律制约和保护。</w:t>
      </w:r>
      <w:r/>
    </w:p>
    <w:p>
      <w:pPr>
        <w:pStyle w:val="940"/>
        <w:ind w:firstLine="480"/>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1.3本招标文件的解释权属于采购人（代理机构）。</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2.词语释义</w:t>
      </w:r>
      <w:r/>
    </w:p>
    <w:p>
      <w:pPr>
        <w:pStyle w:val="940"/>
        <w:ind w:firstLine="480"/>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2.1采购人：指依法进行采购的国家机关、事业单位、团体组织。</w:t>
      </w:r>
      <w:r/>
    </w:p>
    <w:p>
      <w:pPr>
        <w:pStyle w:val="940"/>
        <w:ind w:firstLine="480"/>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2.2 供应商、投标人：指向采购人提供货物、工程或服务的法人、其他组织或者自然人，不包括其分公司。</w:t>
      </w:r>
      <w:r/>
    </w:p>
    <w:p>
      <w:pPr>
        <w:ind w:firstLine="48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2.3采购代理机构：指依法接受采购人委托，从事货物、工程和服务等采购招标代理业务的社会中介机构。</w:t>
      </w:r>
      <w:r/>
    </w:p>
    <w:p>
      <w:pPr>
        <w:ind w:firstLine="48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2.4招标采购单位：采购人及采购代理机构的统称。</w:t>
      </w:r>
      <w:r/>
    </w:p>
    <w:p>
      <w:pPr>
        <w:ind w:firstLine="48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2.6响应：投标人根据采购人或采购代理机构发售的招标文件，编制投标文件并按规定投标的行为。</w:t>
      </w:r>
      <w:r/>
    </w:p>
    <w:p>
      <w:pPr>
        <w:ind w:firstLine="48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2.7知识产权：指专利权、商标权、著作权等无形财产专有权的统称。</w:t>
      </w:r>
      <w:r/>
    </w:p>
    <w:p>
      <w:pPr>
        <w:ind w:firstLine="48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2.8天：日历天。</w:t>
      </w:r>
      <w:r/>
    </w:p>
    <w:p>
      <w:pPr>
        <w:ind w:firstLine="48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2.9服务地点：合同中明确约定的乙方履行服务的最终地点。</w:t>
      </w:r>
      <w:r/>
    </w:p>
    <w:p>
      <w:pPr>
        <w:ind w:firstLine="48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2.10不可抗力：不能预见、不能避免并且不能克服的客观情况。</w:t>
      </w:r>
      <w:r/>
    </w:p>
    <w:p>
      <w:pPr>
        <w:ind w:firstLine="48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2.11 实质性响应：满足有关本次采购标的、数量、质量、价款或者报酬、履行期限、履行地点和方式、违约责任和解决争议方法等要求。</w:t>
      </w:r>
      <w:r/>
    </w:p>
    <w:p>
      <w:pPr>
        <w:ind w:firstLine="48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2.12书面形式：指书面文字、合同书、信件等可以有形地表现所载内容的形式。</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二、投标人</w:t>
      </w:r>
      <w:r/>
    </w:p>
    <w:p>
      <w:pPr>
        <w:spacing w:line="360" w:lineRule="auto"/>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t xml:space="preserve">3.合格投标人资格要求</w:t>
      </w:r>
      <w:r/>
    </w:p>
    <w:p>
      <w:pPr>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3.1详见投标人须知前附表规定。</w:t>
      </w:r>
      <w:r/>
    </w:p>
    <w:p>
      <w:pPr>
        <w:spacing w:line="360" w:lineRule="auto"/>
        <w:rPr>
          <w:rFonts w:hint="eastAsia" w:cs="仿宋" w:asciiTheme="minorEastAsia" w:hAnsiTheme="minorEastAsia" w:eastAsiaTheme="minorEastAsia"/>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4.</w:t>
      </w:r>
      <w:r>
        <w:rPr>
          <w:rFonts w:hint="eastAsia" w:cs="仿宋" w:asciiTheme="minorEastAsia" w:hAnsiTheme="minorEastAsia" w:eastAsiaTheme="minorEastAsia"/>
          <w:bCs/>
          <w:color w:val="000000" w:themeColor="text1"/>
          <w:sz w:val="24"/>
          <w:szCs w:val="24"/>
          <w:highlight w:val="none"/>
          <w14:textFill>
            <w14:solidFill>
              <w14:schemeClr w14:val="tx1"/>
            </w14:solidFill>
          </w14:textFill>
        </w:rPr>
        <w:t xml:space="preserve">投标人应在江苏政府采购“苏采云”系统（http://jszfcg.jsczt.cn/，下同）下载招标文件及有关资料，按招标文件要求提交全部资料并对招标文件各项内容做出实质性响应。</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5.投标人代表</w:t>
      </w:r>
      <w:r/>
    </w:p>
    <w:p>
      <w:pPr>
        <w:ind w:firstLine="366"/>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5.1指全权代表投标人参加投标活动并签署投标文件的人，如果投标人代表不是法人代表，须具有《法人代表授权委托书》（详见统一格式）。</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6.不接受联合体投标。</w:t>
      </w:r>
      <w:r/>
    </w:p>
    <w:p>
      <w:pPr>
        <w:jc w:val="left"/>
        <w:spacing w:line="360" w:lineRule="auto"/>
        <w:widowControl/>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t xml:space="preserve">7.投标人有下列情形之一的不能参加本次投标：</w:t>
      </w:r>
      <w:r/>
    </w:p>
    <w:p>
      <w:pPr>
        <w:ind w:firstLine="480"/>
        <w:jc w:val="left"/>
        <w:spacing w:line="360" w:lineRule="auto"/>
        <w:widowControl/>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（1）因重大经济问题正在接受国家有关部门审查的；</w:t>
      </w:r>
      <w:r/>
    </w:p>
    <w:p>
      <w:pPr>
        <w:ind w:firstLine="480"/>
        <w:jc w:val="left"/>
        <w:spacing w:line="360" w:lineRule="auto"/>
        <w:widowControl/>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（2）正在被其他企业兼并（或收购）或因重大经济纠纷正在进行诉讼或仲裁的；</w:t>
      </w:r>
      <w:r/>
    </w:p>
    <w:p>
      <w:pPr>
        <w:ind w:firstLine="480"/>
        <w:jc w:val="left"/>
        <w:spacing w:line="360" w:lineRule="auto"/>
        <w:widowControl/>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（3）因腐败和欺诈行为而被有关部门处理的。</w:t>
      </w:r>
      <w:r/>
    </w:p>
    <w:p>
      <w:pPr>
        <w:ind w:firstLine="480"/>
        <w:jc w:val="left"/>
        <w:spacing w:line="360" w:lineRule="auto"/>
        <w:widowControl/>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（4）被责令停业的； </w:t>
      </w:r>
      <w:r/>
    </w:p>
    <w:p>
      <w:pPr>
        <w:ind w:firstLine="480"/>
        <w:jc w:val="left"/>
        <w:spacing w:line="360" w:lineRule="auto"/>
        <w:widowControl/>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（5）被暂停或取消投标资格的； </w:t>
      </w:r>
      <w:r/>
    </w:p>
    <w:p>
      <w:pPr>
        <w:ind w:firstLine="480"/>
        <w:jc w:val="left"/>
        <w:spacing w:line="360" w:lineRule="auto"/>
        <w:widowControl/>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（6）财产被接管或冻结的；</w:t>
      </w:r>
      <w:r/>
    </w:p>
    <w:p>
      <w:pPr>
        <w:ind w:firstLine="480"/>
        <w:jc w:val="left"/>
        <w:spacing w:line="360" w:lineRule="auto"/>
        <w:widowControl/>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（7）在最近三年内有骗取中标或严重违约或重大工程质量问题的；</w:t>
      </w:r>
      <w:r/>
    </w:p>
    <w:p>
      <w:pPr>
        <w:ind w:firstLine="480"/>
        <w:jc w:val="left"/>
        <w:spacing w:line="360" w:lineRule="auto"/>
        <w:widowControl/>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（8）在投标过程中弄虚作假、行贿或有其他违法违规行为的；</w:t>
      </w:r>
      <w:r/>
    </w:p>
    <w:p>
      <w:pPr>
        <w:ind w:firstLine="480"/>
        <w:jc w:val="left"/>
        <w:spacing w:line="360" w:lineRule="auto"/>
        <w:widowControl/>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（9）违反法律法规相关规定的。</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三、招标文件说明</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8.招标文件</w:t>
      </w:r>
      <w:r/>
    </w:p>
    <w:p>
      <w:pPr>
        <w:ind w:firstLine="509"/>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否决。</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9.现场勘察 </w:t>
      </w:r>
      <w:r/>
    </w:p>
    <w:p>
      <w:pPr>
        <w:ind w:firstLine="48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9.1投标人应按</w:t>
      </w:r>
      <w:r>
        <w:rPr>
          <w:rFonts w:hint="eastAsia" w:cs="仿宋" w:asciiTheme="minorEastAsia" w:hAnsiTheme="minorEastAsia" w:eastAsiaTheme="minorEastAsia"/>
          <w:bCs/>
          <w:color w:val="000000" w:themeColor="text1"/>
          <w:sz w:val="24"/>
          <w:szCs w:val="24"/>
          <w:highlight w:val="none"/>
          <w14:textFill>
            <w14:solidFill>
              <w14:schemeClr w14:val="tx1"/>
            </w14:solidFill>
          </w14:textFill>
        </w:rPr>
        <w:t xml:space="preserve">招标文件中所述时间</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对有关现场和周围环境进行勘察，以获取编制投标文件和签署合同所需的信息。勘察现场所发生的费用由投标人自己承担。</w:t>
      </w:r>
      <w:r/>
    </w:p>
    <w:p>
      <w:pPr>
        <w:pStyle w:val="940"/>
        <w:ind w:firstLine="480"/>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940"/>
        <w:ind w:firstLine="480"/>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9.3 经招标采购单位允许，投标人可为勘察目的进入招标采购单位的项目现场，但投标人不得因此使招标采购单位承担有关的责任和蒙受损失。投标人应承担勘察现场的责任和风险。</w:t>
      </w:r>
      <w:r/>
    </w:p>
    <w:p>
      <w:pPr>
        <w:pStyle w:val="940"/>
        <w:ind w:firstLine="480"/>
        <w:jc w:val="both"/>
        <w:spacing w:line="360" w:lineRule="auto"/>
        <w:rPr>
          <w:rFonts w:hint="eastAsia" w:cs="仿宋" w:asciiTheme="minorEastAsia" w:hAnsiTheme="minorEastAsia" w:eastAsiaTheme="minorEastAsia"/>
          <w:b/>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9.4采购人不组织勘察现场或答疑，各投标人可在每天 9：00-11：30，14：00- 17：00（北京时间，节假日除外）自行联系采购人。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spacing w:line="360" w:lineRule="auto"/>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t xml:space="preserve">10.招标文件的澄清和修改</w:t>
      </w:r>
      <w:r/>
    </w:p>
    <w:p>
      <w:pPr>
        <w:ind w:firstLine="488"/>
        <w:spacing w:line="360" w:lineRule="auto"/>
        <w:rPr>
          <w:rFonts w:hint="eastAsia" w:cs="仿宋" w:asciiTheme="minorEastAsia" w:hAnsiTheme="minorEastAsia" w:eastAsiaTheme="minorEastAsia"/>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Cs/>
          <w:color w:val="000000" w:themeColor="text1"/>
          <w:sz w:val="24"/>
          <w:szCs w:val="24"/>
          <w:highlight w:val="none"/>
          <w14:textFill>
            <w14:solidFill>
              <w14:schemeClr w14:val="tx1"/>
            </w14:solidFill>
          </w14:textFill>
        </w:rPr>
        <w:t xml:space="preserve">10.1 投标人应认真阅读本招标文件，发现其中有误或有不合理要求的，投标人应当于收到招标文件之日或者招标文件公告期限届满之日后7个工作日内以书面形式要求招标人或代理机构澄清。</w:t>
      </w:r>
      <w:r/>
    </w:p>
    <w:p>
      <w:pPr>
        <w:ind w:firstLine="420"/>
        <w:spacing w:line="360" w:lineRule="auto"/>
        <w:rPr>
          <w:rFonts w:hint="eastAsia" w:cs="仿宋" w:asciiTheme="minorEastAsia" w:hAnsiTheme="minorEastAsia" w:eastAsiaTheme="minorEastAsia"/>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Cs/>
          <w:color w:val="000000" w:themeColor="text1"/>
          <w:sz w:val="24"/>
          <w:szCs w:val="24"/>
          <w:highlight w:val="none"/>
          <w14:textFill>
            <w14:solidFill>
              <w14:schemeClr w14:val="tx1"/>
            </w14:solidFill>
          </w14:textFill>
        </w:rPr>
        <w:t xml:space="preserve">10.2招标人或代理机构对已发出的招标文件进行必要澄清、答复、修改或补充的，将在江苏政府采购网上发布更正公告，请投标人自行到网上查看和下载，投标人因漏看带来的后果由投标人自行承担。</w:t>
      </w:r>
      <w:r/>
    </w:p>
    <w:p>
      <w:pPr>
        <w:ind w:firstLine="420"/>
        <w:spacing w:line="360" w:lineRule="auto"/>
        <w:rPr>
          <w:rFonts w:hint="eastAsia" w:cs="仿宋" w:asciiTheme="minorEastAsia" w:hAnsiTheme="minorEastAsia" w:eastAsiaTheme="minorEastAsia"/>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Cs/>
          <w:color w:val="000000" w:themeColor="text1"/>
          <w:sz w:val="24"/>
          <w:szCs w:val="24"/>
          <w:highlight w:val="none"/>
          <w14:textFill>
            <w14:solidFill>
              <w14:schemeClr w14:val="tx1"/>
            </w14:solidFill>
          </w14:textFill>
        </w:rPr>
        <w:t xml:space="preserve">10.3招标文件澄清、答复、修改、补充的内容为本文件的组成部分。当招标文件与招标文件的答复、澄清、修改、补充通知就同一内容的表述不一致时，以最后发出的文件为准。</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四、投标文件说明</w:t>
      </w:r>
      <w:r/>
    </w:p>
    <w:p>
      <w:pPr>
        <w:spacing w:line="360" w:lineRule="auto"/>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t xml:space="preserve">11.投标文件计量单位和使用文字</w:t>
      </w:r>
      <w:r/>
    </w:p>
    <w:p>
      <w:pPr>
        <w:pStyle w:val="940"/>
        <w:ind w:firstLine="509"/>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11.1投标文件中所使用的计量单位，除招标文件中有特殊要求外，均应使用中华人民共和国法定计量单位。</w:t>
      </w:r>
      <w:r/>
    </w:p>
    <w:p>
      <w:pPr>
        <w:ind w:firstLine="509"/>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939"/>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11.3投标人应当同时凭CA数字证书登录“江苏政府采购“苏采云”系统”，并在投标截止时间前上传电子投标文件。</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1</w:t>
      </w:r>
      <w:bookmarkStart w:id="39" w:name="_Toc217446047"/>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2.知识产权</w:t>
      </w:r>
      <w:bookmarkEnd w:id="39"/>
      <w:r/>
      <w:r/>
    </w:p>
    <w:p>
      <w:pPr>
        <w:pStyle w:val="940"/>
        <w:ind w:firstLine="509"/>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13.投标文件的组成</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投标函（格式见附件）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资格、资信证明文件：</w:t>
      </w:r>
      <w:r/>
    </w:p>
    <w:p>
      <w:pPr>
        <w:pStyle w:val="941"/>
        <w:numPr>
          <w:ilvl w:val="1"/>
          <w:numId w:val="2"/>
        </w:numPr>
        <w:ind w:left="0" w:firstLine="567"/>
        <w:spacing w:line="360" w:lineRule="auto"/>
        <w:tabs>
          <w:tab w:val="left" w:pos="1276" w:leader="none"/>
        </w:tabs>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资格证明文件（格式见附件）</w:t>
      </w:r>
      <w:r/>
    </w:p>
    <w:p>
      <w:pPr>
        <w:pStyle w:val="941"/>
        <w:numPr>
          <w:ilvl w:val="1"/>
          <w:numId w:val="2"/>
        </w:numPr>
        <w:ind w:left="0" w:firstLine="567"/>
        <w:spacing w:line="360" w:lineRule="auto"/>
        <w:tabs>
          <w:tab w:val="left" w:pos="1276" w:leader="none"/>
        </w:tabs>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法人或其他组织的营业执照或相关部门的登记证明文件； </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投标人近六个月中任意一个月份(不含投标文件递交当月)的财务状况报告（资产负债表和利润表）或由会计师事务所出具的近两年中任意一个年度的审计报告和所附已审财务报告，其他组织、自然人及成立未满一年的法人应提供银行出具的资信证明； </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投标人近六个月中任意一个月份(不含投标文件递交当月)的依法缴纳税收的相关材料（提供相关主管部门证明或银行代扣证明）（依法免缴或缓缴的供应商，应提供相应文件证明其依法免税的证明材料）；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投标人近六个月中任意一个月份(不含投标文件递交当月)的依法缴纳社会保障资金的相关材料（提供相关主管部门证明或银行代扣证明）复印件（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承诺书（格式见附件）；</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中小企业声明函（格式见附件）；</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采购人要求的特定资质证明（详见“采购公告”-“本项目特定资格要求”之3中要求）。</w:t>
      </w:r>
      <w:r/>
    </w:p>
    <w:p>
      <w:pPr>
        <w:pStyle w:val="942"/>
        <w:rPr>
          <w:rFonts w:hint="eastAsia" w:cs="仿宋" w:asciiTheme="minorEastAsia" w:hAnsiTheme="minorEastAsia" w:eastAsiaTheme="minorEastAsia"/>
          <w:color w:val="000000" w:themeColor="text1"/>
          <w:highlight w:val="none"/>
          <w14:textFill>
            <w14:solidFill>
              <w14:schemeClr w14:val="tx1"/>
            </w14:solidFill>
          </w14:textFill>
        </w:rPr>
      </w:pPr>
      <w:r>
        <w:rPr>
          <w:rFonts w:hint="eastAsia" w:cs="仿宋" w:asciiTheme="minorEastAsia" w:hAnsiTheme="minorEastAsia" w:eastAsiaTheme="minorEastAsia"/>
          <w:color w:val="000000" w:themeColor="text1"/>
          <w:highlight w:val="none"/>
          <w14:textFill>
            <w14:solidFill>
              <w14:schemeClr w14:val="tx1"/>
            </w14:solidFill>
          </w14:textFill>
        </w:rPr>
        <w:t xml:space="preserve">（9）未被列入“信用中国”网站(www.creditchina.gov.cn)失信被执行人名单、重大税收违法案件当事人名单和中国政府采购网(www.ccgp.gov.cn)政府采购严重违法失信行为记录名单（网页截图）。</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开标一览表（格式见附件）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投标报价明细表（格式见附件）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商务偏离表（格式见附件）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技术偏离表（格式见附件）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评分标准中对应的其它所需证明材料（如有自行添加）</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其它（投标人认为有必要提供的声明和文件，如有自拟并自行添加）</w:t>
      </w:r>
      <w:r/>
    </w:p>
    <w:p>
      <w:pPr>
        <w:ind w:firstLine="609"/>
        <w:spacing w:line="360" w:lineRule="auto"/>
        <w:tabs>
          <w:tab w:val="left" w:pos="2850" w:leader="none"/>
          <w:tab w:val="center" w:pos="4153" w:leader="none"/>
        </w:tabs>
        <w:rPr>
          <w:rFonts w:hint="eastAsia" w:cs="仿宋" w:asciiTheme="minorEastAsia" w:hAnsiTheme="minorEastAsia" w:eastAsiaTheme="minorEastAsia"/>
          <w:b/>
          <w:color w:val="000000" w:themeColor="text1"/>
          <w:sz w:val="24"/>
          <w:highlight w:val="none"/>
          <w:u w:val="singl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上述1-6项投标人必须按要求全部提供，否则投标文件无效。如上述资格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14.投标文件编制及递交要求</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14.1所有文件、往来函件均应使用</w:t>
      </w:r>
      <w:r>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t xml:space="preserve">简体中文</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（规格、型号辅助符号例外）。</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14.3如无特别说明，投标人报价一律以人民币为投标结算货币,结算单位为“元”。</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14.4投标文件不应有涂改、增删和潦草之处，如有必须修改时，修改处必须有投标人盖章、法定代表人或法定代表人授权代表的签字。</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14.5投标费用自理。</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14.6投标人应当同时凭CA数字证书登录“江苏政府采购“苏采云”系统”，并在投标截止时间前上传电子投标文件。</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15.投标报价（编制）要求的说明</w:t>
      </w:r>
      <w:r/>
    </w:p>
    <w:p>
      <w:pPr>
        <w:pStyle w:val="940"/>
        <w:ind w:firstLine="505"/>
        <w:jc w:val="both"/>
        <w:spacing w:line="360" w:lineRule="auto"/>
        <w:rPr>
          <w:rFonts w:hint="eastAsia" w:cs="仿宋" w:asciiTheme="minorEastAsia" w:hAnsiTheme="minorEastAsia" w:eastAsiaTheme="minorEastAsia"/>
          <w:b/>
          <w:bCs/>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15.1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规费、税金、有关文件规定的政策性调价等以及各种可能发生的风险费用以及招标文件约定的其他等各项费用。</w:t>
      </w:r>
      <w:r/>
    </w:p>
    <w:p>
      <w:pPr>
        <w:pStyle w:val="940"/>
        <w:ind w:firstLine="505"/>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投标人要认真阅读清单，慎重报价。采购人不再支付报价以外的任何费用。</w:t>
      </w:r>
      <w:r/>
    </w:p>
    <w:p>
      <w:pPr>
        <w:pStyle w:val="940"/>
        <w:ind w:firstLine="505"/>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15.2投标人应对招标文件内所要采购的全部内容进行报价，只投其中部分内容者，其标书将被拒绝。</w:t>
      </w:r>
      <w:r/>
    </w:p>
    <w:p>
      <w:pPr>
        <w:pStyle w:val="940"/>
        <w:ind w:firstLine="505"/>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15.3一项投标内容只允许一个报价，招标采购单位不接受任何有选择性的投标报价。</w:t>
      </w:r>
      <w:r/>
    </w:p>
    <w:p>
      <w:pPr>
        <w:pStyle w:val="940"/>
        <w:ind w:firstLine="502"/>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15.4投标文件报价中的单价和总价全部采用人民币表示，除非合同的特殊条款另有规定。</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16.投标保证金</w:t>
      </w:r>
      <w:r/>
    </w:p>
    <w:p>
      <w:pPr>
        <w:pStyle w:val="943"/>
        <w:ind w:firstLine="480"/>
        <w:keepLines w:val="0"/>
        <w:keepNext w:val="0"/>
        <w:spacing w:before="0" w:after="0" w:line="360" w:lineRule="auto"/>
        <w:rPr>
          <w:rFonts w:hint="eastAsia" w:cs="仿宋" w:asciiTheme="minorEastAsia" w:hAnsiTheme="minorEastAsia" w:eastAsiaTheme="minorEastAsia"/>
          <w:b w:val="0"/>
          <w:bCs w:val="0"/>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val="0"/>
          <w:bCs w:val="0"/>
          <w:color w:val="000000" w:themeColor="text1"/>
          <w:sz w:val="24"/>
          <w:szCs w:val="24"/>
          <w:highlight w:val="none"/>
          <w14:textFill>
            <w14:solidFill>
              <w14:schemeClr w14:val="tx1"/>
            </w14:solidFill>
          </w14:textFill>
        </w:rPr>
        <w:t xml:space="preserve">根据苏财购〔2020〕52号文件，本项目不收取投标保证金。 </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17.投标文件的有效期</w:t>
      </w:r>
      <w:r/>
    </w:p>
    <w:p>
      <w:pPr>
        <w:ind w:firstLine="502"/>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17.1在本招标文件前附表规定的投标文件有效期内，投标人所提交的投标文件应保持有效。有效期短于这个规定期限的投标文件，将被认定为未实质性响应招标文件要求。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18.投标文件的拒收</w:t>
      </w:r>
      <w:r/>
    </w:p>
    <w:p>
      <w:pPr>
        <w:pStyle w:val="940"/>
        <w:ind w:firstLine="431"/>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采购人拒绝接收在其规定的投标截止时间后上传的任何投标文件。</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五、投标文件的递交</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19.投标文件的递交</w:t>
      </w:r>
      <w:r/>
    </w:p>
    <w:p>
      <w:pPr>
        <w:ind w:firstLine="426"/>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19.1电子投标文件的递交</w:t>
      </w:r>
      <w:r/>
    </w:p>
    <w:p>
      <w:pPr>
        <w:ind w:firstLine="48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投标人应当按照《江苏省政府采购管理交易系统（苏采云）供应商操作手册及政府采购客户端》规定，在投标截止时间前制作并上传电子投标文件。</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20.投标截止日期</w:t>
      </w:r>
      <w:r/>
    </w:p>
    <w:p>
      <w:pPr>
        <w:ind w:firstLine="426"/>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21.投标文件的修改和撤回</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21.1投标文件的撤回</w:t>
      </w:r>
      <w:r/>
    </w:p>
    <w:p>
      <w:pPr>
        <w:ind w:firstLine="426"/>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投标人可在投标截止时间前，撤回其电子投标文件，具体操作方法见《江苏省政府采购管理交易系统（苏采云）供应商操作手册及政府采购客户端》。</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21.2 投标文件的修改</w:t>
      </w:r>
      <w:r/>
    </w:p>
    <w:p>
      <w:pPr>
        <w:ind w:firstLine="426"/>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投标人可在投标截止时间前，对其电子投标文件进行修改，具体操作方法见《江苏省政府采购管理交易系统（苏采云）供应商操作手册及政府采购客户端》。</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21.3在投标截止时间之后，投标人不得对其电子投标文件作任何修改。</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六、开标和评标</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22.开标</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22.1采购人将在招标公告中规定的时间和地点组织公开开标。投标人应当按照《江苏省政府采购管理交易系统（苏采云）供应商操作手册及政府采购客户端》规定，参加开标活动。</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22.2开标仪式由采购代理机构组织。“江苏政府采购“苏采云”系统”将自动对项目进行开标，并宣读各投标人的《开标一览表》。</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22.5开标时，投标文件中开标一览表内容与投标文件中明细表内容不一致的，以开标一览表为准。</w:t>
      </w:r>
      <w:r/>
    </w:p>
    <w:p>
      <w:pPr>
        <w:ind w:firstLine="480"/>
        <w:spacing w:line="360" w:lineRule="auto"/>
        <w:tabs>
          <w:tab w:val="center" w:pos="4479" w:leader="none"/>
        </w:tabs>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22.6投标人未参加开标的，视同认可开标结果。</w:t>
      </w:r>
      <w:r/>
    </w:p>
    <w:p>
      <w:pPr>
        <w:spacing w:line="360" w:lineRule="auto"/>
        <w:tabs>
          <w:tab w:val="center" w:pos="4479" w:leader="none"/>
        </w:tabs>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23.评标委员会</w:t>
      </w: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ab/>
      </w:r>
      <w:r/>
    </w:p>
    <w:p>
      <w:pPr>
        <w:pStyle w:val="940"/>
        <w:ind w:firstLine="426"/>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23.1评标委员会由招标采购单位依法组建，负责本项目的评标事务。</w:t>
      </w:r>
      <w:r/>
    </w:p>
    <w:p>
      <w:pPr>
        <w:pStyle w:val="940"/>
        <w:ind w:firstLine="426"/>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23.2评标委员会独立履行下列职责：</w:t>
      </w:r>
      <w:r/>
    </w:p>
    <w:p>
      <w:pPr>
        <w:pStyle w:val="940"/>
        <w:ind w:firstLine="426"/>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23.2.1审查投标文件是否符合招标文件的要求，并作出评价；</w:t>
      </w:r>
      <w:r/>
    </w:p>
    <w:p>
      <w:pPr>
        <w:pStyle w:val="940"/>
        <w:ind w:firstLine="426"/>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23.2.2可以要求投标供应商对投标文件有关事项作出解释或澄清；</w:t>
      </w:r>
      <w:r/>
    </w:p>
    <w:p>
      <w:pPr>
        <w:pStyle w:val="940"/>
        <w:ind w:firstLine="426"/>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23.2.3推荐中标候选供应商名单，或者受采购人委托按照事先确定的办法直接确定中标供应商；</w:t>
      </w:r>
      <w:r/>
    </w:p>
    <w:p>
      <w:pPr>
        <w:pStyle w:val="940"/>
        <w:ind w:firstLine="426"/>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23.2.4向招标采购单位或者有关部门报告非法干预评标工作的行为。</w:t>
      </w:r>
      <w:r/>
    </w:p>
    <w:p>
      <w:pPr>
        <w:pStyle w:val="940"/>
        <w:ind w:firstLine="426"/>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23.3评标委员会成员应当履行下列义务：</w:t>
      </w:r>
      <w:r/>
    </w:p>
    <w:p>
      <w:pPr>
        <w:pStyle w:val="940"/>
        <w:ind w:firstLine="426"/>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23.3.1遵纪守法，客观、公正、廉洁地履行职责；</w:t>
      </w:r>
      <w:r/>
    </w:p>
    <w:p>
      <w:pPr>
        <w:pStyle w:val="940"/>
        <w:ind w:firstLine="426"/>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23.3.2按照招标文件规定的评标办法和评标标准进行评标，对评审意见承担个人责任；</w:t>
      </w:r>
      <w:r/>
    </w:p>
    <w:p>
      <w:pPr>
        <w:pStyle w:val="940"/>
        <w:ind w:firstLine="426"/>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23.3.3对评标过程和结果，以及投标人的商业秘密保密；</w:t>
      </w:r>
      <w:r/>
    </w:p>
    <w:p>
      <w:pPr>
        <w:pStyle w:val="940"/>
        <w:ind w:firstLine="426"/>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23.3.4参与评标报告的起草；</w:t>
      </w:r>
      <w:r/>
    </w:p>
    <w:p>
      <w:pPr>
        <w:pStyle w:val="940"/>
        <w:ind w:firstLine="426"/>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23.3.5配合相关部门的投诉处理工作；</w:t>
      </w:r>
      <w:r/>
    </w:p>
    <w:p>
      <w:pPr>
        <w:pStyle w:val="940"/>
        <w:ind w:firstLine="426"/>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23.3.6配合招标采购单位答复投标供应商提出的质疑。</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24.评标内容的保密</w:t>
      </w:r>
      <w:r/>
    </w:p>
    <w:p>
      <w:pPr>
        <w:pStyle w:val="940"/>
        <w:ind w:firstLine="426"/>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24.1公开开标后，直到宣布授予中标人合同为止，凡属于审查、澄清、评价和比较投标的所有资料，有关授予合同的信息都不应向投标人或与评标无关的其他人泄露。</w:t>
      </w:r>
      <w:r/>
    </w:p>
    <w:p>
      <w:pPr>
        <w:pStyle w:val="940"/>
        <w:ind w:firstLine="426"/>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24.2 在投标文件的审查、澄清、评价和比较以及授予合同的过程中，投标人对招标采购单位和评标委员会成员施加影响的任何行为，都将取消其投标资格。</w:t>
      </w:r>
      <w:r/>
    </w:p>
    <w:p>
      <w:pPr>
        <w:pStyle w:val="940"/>
        <w:ind w:firstLine="426"/>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24.3在评标期间，招标采购单位将通过指定联络人与投标人进行联系。</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25.对投标文件初审</w:t>
      </w:r>
      <w:r/>
    </w:p>
    <w:p>
      <w:pPr>
        <w:pStyle w:val="940"/>
        <w:ind w:firstLine="488"/>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25.1投标文件初审分为资格性检查和符合性检查。</w:t>
      </w:r>
      <w:r/>
    </w:p>
    <w:p>
      <w:pPr>
        <w:pStyle w:val="940"/>
        <w:ind w:firstLine="488"/>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25.1.1资格性检查。依据法律法规和招标文件的规定，对投标文件中的资格证明、投标保证金等进行审查，以确定投标供应商是否具备投标资格。</w:t>
      </w:r>
      <w:r/>
    </w:p>
    <w:p>
      <w:pPr>
        <w:ind w:firstLine="488"/>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25.1.2符合性检查。依据招标文件的规定，从投标文件的有效性、完整性和对招标文件的响应程度进行审查，以确定是否对招标文件的实质性要求作出响应。</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投标人有下列情况之一者，投标文件无效：</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1）投标人未在规定时间内成功解密电子投标文件的；</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2）投标人未按照招标文件要求上传电子投标文件的；</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3）投标文件未按照招标文件要求加盖电子签章；</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4）招标人的法定代表人授权代表，无法定代表人授权委托书的；</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5）不具备招标文件中规定的资格要求或未按招标文件规定的要求提供资格、资信证明文件的；</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6）被“信用中国”网站（www.creditchina.gov.cn）列入失信执行人、重大税收违法案件当事人名单、中国政府采购网(www.ccgp.gov.cn)政府采购严重违法失信行为记录名单的；</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7）投标文件未按招标文件规定的内容和要求填写的；</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8）投标文件中有招标文件未允许提供的选择性内容；</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9）不同投标人的投标文件由同一单位或者个人编制的；</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10）不同投标人委托同一单位或者个人办理投标事宜的；</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11）不同投标人的投标文件载明的项目管理成员为同一人的；</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12）不同投标人的投标文件异常一致或者投标报价呈规律性差异的；</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13）不同投标人的单位负责人为同一人或者存在直接控股、管理关系的；</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14）项目（标段）投标总价或单价超过本项目（标段）预算或最高限价的；</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15）提供虚假材料的（包括工商营业执照、财务报表、资格证明文件等）；</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16）投标文件含有采购人不能接受的附加条件的；</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17）评审中出现下列情形之一的，评审委员会应当启动异常低价投标（响应）审查程序： </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 </w:t>
      </w:r>
      <w:r/>
    </w:p>
    <w:p>
      <w:pPr>
        <w:ind w:firstLine="48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 </w:t>
      </w:r>
      <w:r/>
    </w:p>
    <w:p>
      <w:pPr>
        <w:ind w:firstLine="48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3.投标（响应）报价低于采购项目最高限价45%的，即投标（响应）报价&lt;采购项目最高限价×45%； </w:t>
      </w:r>
      <w:r/>
    </w:p>
    <w:p>
      <w:pPr>
        <w:ind w:firstLine="48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4.评审委员会基于专业判断，认为供应商报价过低，有可能影响产品质量或者不能诚信履约的其他情形。 </w:t>
      </w:r>
      <w:r/>
    </w:p>
    <w:p>
      <w:pPr>
        <w:ind w:firstLine="48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18）除单一来源采购项目外，为采购项目提供整体设计、规范编制或者项目管理、监理、检测等服务的；</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19）投标文件内容不全或不符合招标文件中规定的其它实质性要求的；</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20）法律法规和招标文件规定的其它无效情形；</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21）改变招标文件清单给出的名称、实施范围、工作内容、计量单位、工程量、养护标准等。</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25.5招标采购单位对投标文件的判定，只依据投标内容本身，不依靠开标后的任何外来证明。</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25.6招标采购单位将拒绝被确定为非实质性响应的投标，投标人不能通过修正或撤销不符之处而使其投标成为实质性响应的投标。</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26.投标的澄清</w:t>
      </w:r>
      <w:r/>
    </w:p>
    <w:p>
      <w:pPr>
        <w:pStyle w:val="940"/>
        <w:ind w:firstLine="502"/>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26.1对投标文件中含义不明确</w:t>
      </w: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27.废标</w:t>
      </w:r>
      <w:r/>
    </w:p>
    <w:p>
      <w:pPr>
        <w:ind w:firstLine="575"/>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27.1 在招标采购中，出现下列情形之一的，应予废标：</w:t>
      </w:r>
      <w:r/>
    </w:p>
    <w:p>
      <w:pPr>
        <w:ind w:firstLine="575"/>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1．符合专业条件的投标人或者对招标文件作出实质性响应的投标人不足三家；</w:t>
      </w:r>
      <w:r/>
    </w:p>
    <w:p>
      <w:pPr>
        <w:ind w:firstLine="575"/>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2．出现影响采购公正的违法、违规行为；</w:t>
      </w:r>
      <w:r/>
    </w:p>
    <w:p>
      <w:pPr>
        <w:ind w:firstLine="575"/>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3．投标人的报价均超过采购预算，采购人不能支付的；</w:t>
      </w:r>
      <w:r/>
    </w:p>
    <w:p>
      <w:pPr>
        <w:ind w:firstLine="575"/>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4．因重大变故，采购任务取消。</w:t>
      </w:r>
      <w:r/>
    </w:p>
    <w:p>
      <w:pPr>
        <w:ind w:left="485" w:firstLine="85"/>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5．因“江苏政府采购“苏采云”系统”系统重大故障原因无法继续开评标的。</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28.投标文件的评价和比较</w:t>
      </w:r>
      <w:r/>
    </w:p>
    <w:p>
      <w:pPr>
        <w:pStyle w:val="940"/>
        <w:ind w:firstLine="609"/>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28.1评标委员会按招标文件规定的评标方法和标准，对符合性检查合格的投标文件进行商务和技术评估，综合比较与评价。</w:t>
      </w:r>
      <w:r/>
    </w:p>
    <w:p>
      <w:pPr>
        <w:pStyle w:val="940"/>
        <w:ind w:firstLine="609"/>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28.2最低的投标报价或最高的折扣比例是中标的重要条件，但不是唯一条件。</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七、授予合同</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29.中标人的确认</w:t>
      </w:r>
      <w:r/>
    </w:p>
    <w:p>
      <w:pPr>
        <w:pStyle w:val="940"/>
        <w:ind w:firstLine="502"/>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29.1评标委员会按招标文件规定的评标方法和标准进行详细评审后，按招标采购单位的委托向招标采购单位推荐中标候选单位或根据采购人授权直接确定中标供应商。</w:t>
      </w:r>
      <w:r/>
    </w:p>
    <w:p>
      <w:pPr>
        <w:pStyle w:val="940"/>
        <w:ind w:firstLine="502"/>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29.2中标无效的确认：</w:t>
      </w:r>
      <w:r/>
    </w:p>
    <w:p>
      <w:pPr>
        <w:pStyle w:val="940"/>
        <w:ind w:firstLine="502"/>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（1）提供虚假材料谋取中标的；</w:t>
      </w:r>
      <w:r/>
    </w:p>
    <w:p>
      <w:pPr>
        <w:pStyle w:val="940"/>
        <w:ind w:firstLine="502"/>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（2）采取不正当手段诋毁、排挤其他投标人的；</w:t>
      </w:r>
      <w:r/>
    </w:p>
    <w:p>
      <w:pPr>
        <w:pStyle w:val="940"/>
        <w:ind w:firstLine="502"/>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（3）与招标采购单位、其他投标人恶意串通的；</w:t>
      </w:r>
      <w:r/>
    </w:p>
    <w:p>
      <w:pPr>
        <w:pStyle w:val="940"/>
        <w:ind w:firstLine="502"/>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（4）向招标采购单位行贿或者提供其他不正当利益的；</w:t>
      </w:r>
      <w:r/>
    </w:p>
    <w:p>
      <w:pPr>
        <w:pStyle w:val="940"/>
        <w:ind w:firstLine="502"/>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（5）在招标过程中与招标采购单位进行协商谈判、不按照招标文件和中标供应商的投标文件订立合同，或者与采购人另行订立背离合同实质性内容的协议的；</w:t>
      </w:r>
      <w:r/>
    </w:p>
    <w:p>
      <w:pPr>
        <w:pStyle w:val="940"/>
        <w:ind w:firstLine="502"/>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（6）拒绝有关部门监督检查或者提供虚假情况的。</w:t>
      </w:r>
      <w:r/>
    </w:p>
    <w:p>
      <w:pPr>
        <w:pStyle w:val="940"/>
        <w:ind w:firstLine="502"/>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940"/>
        <w:ind w:firstLine="502"/>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29.3经评标委员</w:t>
      </w: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29.4供应商应当在法定质疑期内一次性提出针对同一采购程序环节的质疑。供应商如在法定期限内对同一采购程序环节提出多次质疑的，招标人（或代理机构）将只对供应商第一次质疑作出答复。</w:t>
      </w:r>
      <w:r/>
    </w:p>
    <w:p>
      <w:pPr>
        <w:ind w:firstLine="48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29.5质疑函必须按照《质疑函范本》要求的格式和内容进行填写。投标人如组成联合体参加的，则《质疑函范本》中要求签字、盖章、加盖公章之处，联合体各方均须按要求签字、盖章、加盖公章。</w:t>
      </w:r>
      <w:r/>
    </w:p>
    <w:p>
      <w:pPr>
        <w:ind w:firstLine="48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29.6本项目只接收以纸质原件形式送达的质疑，联系方式详见招标公告。</w:t>
      </w:r>
      <w:r/>
    </w:p>
    <w:p>
      <w:pPr>
        <w:ind w:firstLine="48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29.7以下情形的质疑不予受理</w:t>
      </w:r>
      <w:r/>
    </w:p>
    <w:p>
      <w:pPr>
        <w:ind w:firstLine="48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（1）质疑主体和内容不符合《政府采购质疑和投诉办法》第十一条、第十二条规定的；</w:t>
      </w:r>
      <w:r/>
    </w:p>
    <w:p>
      <w:pPr>
        <w:ind w:firstLine="48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（2）供应商超过法定质疑期提出质疑的；</w:t>
      </w:r>
      <w:r/>
    </w:p>
    <w:p>
      <w:pPr>
        <w:ind w:firstLine="48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（3）供应商以传真、电子邮件等方式递交的非原件形式的；</w:t>
      </w:r>
      <w:r/>
    </w:p>
    <w:p>
      <w:pPr>
        <w:ind w:firstLine="48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（4）供应商组成联合体参加投标（响应）的，联合体中任何一方或多方未按要求签字、盖章、加盖公章的；</w:t>
      </w:r>
      <w:r/>
    </w:p>
    <w:p>
      <w:pPr>
        <w:ind w:firstLine="48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（5）供应商对自身提出质疑的。</w:t>
      </w:r>
      <w:r/>
    </w:p>
    <w:p>
      <w:pPr>
        <w:ind w:firstLine="48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29.8供应商提出书面质疑必须有理、有据，不得捏造事实、提供虚假材料进行恶意质疑。否则，报请政府采购监管部门对该供应商进行相应的行政处罚和记录该供应商的失信信息。</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30.合同授予标准</w:t>
      </w:r>
      <w:r/>
    </w:p>
    <w:p>
      <w:pPr>
        <w:ind w:firstLine="502"/>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30.1招标采购单位将把合同授予其投标文件在实质上响应招标文件要求且综合评分得分最高的投标人。</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31.中标通知书</w:t>
      </w:r>
      <w:r/>
    </w:p>
    <w:p>
      <w:pPr>
        <w:pStyle w:val="940"/>
        <w:ind w:firstLine="502"/>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940"/>
        <w:ind w:firstLine="502"/>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31.2中标通知书将成为合同的组成部分。</w:t>
      </w:r>
      <w:r/>
    </w:p>
    <w:p>
      <w:pPr>
        <w:pStyle w:val="940"/>
        <w:ind w:firstLine="502"/>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31.3招标采购单位对未中标供应商不承担解释未中标原因的义务。</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outlineLvl w:val="0"/>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32.履约保证金</w:t>
      </w:r>
      <w:r/>
    </w:p>
    <w:p>
      <w:pPr>
        <w:pStyle w:val="940"/>
        <w:ind w:firstLine="431"/>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32.1中标人应按规定提交履约保证金。</w:t>
      </w:r>
      <w:r/>
    </w:p>
    <w:p>
      <w:pPr>
        <w:pStyle w:val="940"/>
        <w:ind w:firstLine="431"/>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32.2中标人必须在合同签订前按规定将履约保证金交至采购人指定账户。中标人未按上述要求提交履约保证金的,采购人可取消其中标资格。</w:t>
      </w:r>
      <w:r/>
    </w:p>
    <w:p>
      <w:pPr>
        <w:pStyle w:val="940"/>
        <w:ind w:firstLine="431"/>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32.3履约保证金（无息）将在合同期结束且经双方验收合格后，采购人凭中标人的收款收据在七个工作日内无息退返给中标单位。</w:t>
      </w:r>
      <w:r/>
    </w:p>
    <w:p>
      <w:pPr>
        <w:ind w:firstLine="478"/>
        <w:spacing w:line="360" w:lineRule="auto"/>
        <w:tabs>
          <w:tab w:val="left" w:pos="900" w:leader="none"/>
        </w:tabs>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32.3履约保证金用以约束供应商在合同履行中的行为，弥补合同执行中由于自身行为可能给采购人带来的各种损失。</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33.合同的签订</w:t>
      </w:r>
      <w:r/>
    </w:p>
    <w:p>
      <w:pPr>
        <w:pStyle w:val="940"/>
        <w:ind w:firstLine="431"/>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33.1中标人应按中标通知书中规定的时间和地点，由法定代表人或委托代理人与采购人代表签订合同。</w:t>
      </w:r>
      <w:r/>
    </w:p>
    <w:p>
      <w:pPr>
        <w:pStyle w:val="940"/>
        <w:ind w:firstLine="431"/>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33.2签订合同及合同条款应以招标文件和中标人的投标文件及其澄清文件为依据。</w:t>
      </w:r>
      <w:r/>
    </w:p>
    <w:p>
      <w:pPr>
        <w:ind w:firstLine="431"/>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33.3中标人无正当理由拒签合同的，或在签订合同时向采购人提出附加条件或者更改合同实质性内容的，采购人可取消其中标资格，同时由中标人承担相应的法律责任。</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34.特别提醒</w:t>
      </w:r>
      <w:r/>
    </w:p>
    <w:p>
      <w:pPr>
        <w:pStyle w:val="940"/>
        <w:ind w:firstLine="431"/>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34.1投标单位如有提供不实评审材料，弄虚作假者，一律作废标处理，该不良行为将予以公示。</w:t>
      </w:r>
      <w:r/>
    </w:p>
    <w:p>
      <w:pPr>
        <w:pStyle w:val="940"/>
        <w:ind w:firstLine="431"/>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940"/>
        <w:ind w:firstLine="431"/>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bookmarkStart w:id="40" w:name="_Toc409438818"/>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34.3政府采购线上合同信用融资功能告知提醒</w:t>
      </w:r>
      <w:r/>
    </w:p>
    <w:p>
      <w:pPr>
        <w:pStyle w:val="940"/>
        <w:ind w:firstLine="431"/>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我区已正式启用“苏采云”系统，目前已全面开通政府采购线上合同信用融资（以下简称“政采贷”）功能。成交供应商可凭政府采购合同在中征平台发起贷款申请贷款。</w:t>
      </w:r>
      <w:r/>
    </w:p>
    <w:p>
      <w:pPr>
        <w:pStyle w:val="940"/>
        <w:ind w:firstLine="431"/>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34.3.1.“政采贷”业务流程</w:t>
      </w:r>
      <w:r/>
    </w:p>
    <w:p>
      <w:pPr>
        <w:pStyle w:val="940"/>
        <w:ind w:firstLine="431"/>
        <w:jc w:val="center"/>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cs="仿宋" w:asciiTheme="minorEastAsia" w:hAnsiTheme="minorEastAsia" w:eastAsiaTheme="minorEastAsia"/>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5141595" cy="1518285"/>
                <wp:effectExtent l="0" t="0" r="1905" b="5715"/>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pic:cNvPicPr>
                          <a:picLocks noChangeAspect="1"/>
                        </pic:cNvPicPr>
                        <pic:nvPr/>
                      </pic:nvPicPr>
                      <pic:blipFill>
                        <a:blip r:embed="rId14"/>
                        <a:stretch/>
                      </pic:blipFill>
                      <pic:spPr bwMode="auto">
                        <a:xfrm>
                          <a:off x="0" y="0"/>
                          <a:ext cx="5141595" cy="1518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04.8pt;height:119.5pt;mso-wrap-distance-left:0.0pt;mso-wrap-distance-top:0.0pt;mso-wrap-distance-right:0.0pt;mso-wrap-distance-bottom:0.0pt;" stroked="f">
                <v:path textboxrect="0,0,0,0"/>
                <v:imagedata r:id="rId14" o:title=""/>
              </v:shape>
            </w:pict>
          </mc:Fallback>
        </mc:AlternateContent>
      </w:r>
      <w:r/>
    </w:p>
    <w:p>
      <w:pPr>
        <w:pStyle w:val="940"/>
        <w:ind w:firstLine="431"/>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34.3.2.操作流程</w:t>
      </w:r>
      <w:r/>
    </w:p>
    <w:p>
      <w:pPr>
        <w:pStyle w:val="940"/>
        <w:ind w:firstLine="431"/>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940"/>
        <w:ind w:firstLine="431"/>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34.3.3.常见问题</w:t>
      </w:r>
      <w:r/>
    </w:p>
    <w:p>
      <w:pPr>
        <w:pStyle w:val="940"/>
        <w:ind w:firstLine="431"/>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Q1：哪些企业能申请“政采贷”？</w:t>
      </w:r>
      <w:r/>
    </w:p>
    <w:p>
      <w:pPr>
        <w:pStyle w:val="940"/>
        <w:ind w:firstLine="431"/>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答：江苏省内采用国库集中支付的政府采购项目的中标供应商，可凭政府采购合同申请"政采贷"。</w:t>
      </w:r>
      <w:r/>
    </w:p>
    <w:p>
      <w:pPr>
        <w:pStyle w:val="940"/>
        <w:ind w:firstLine="431"/>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Q2：供应商在哪里申请“政采贷”？</w:t>
      </w:r>
      <w:r/>
    </w:p>
    <w:p>
      <w:pPr>
        <w:pStyle w:val="940"/>
        <w:ind w:firstLine="431"/>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答：中标供应商在“中征应收账款融资服务平台”（简称“中征平台”）上向意向银行发起融资申请</w:t>
      </w:r>
      <w:r/>
    </w:p>
    <w:p>
      <w:pPr>
        <w:pStyle w:val="940"/>
        <w:ind w:firstLine="431"/>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Q3：中标供应商要注意什么？</w:t>
      </w:r>
      <w:r/>
    </w:p>
    <w:p>
      <w:pPr>
        <w:pStyle w:val="940"/>
        <w:ind w:firstLine="431"/>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答：中标供应商要加强和采购单位的沟通协调，尽早确定融资需求。需要“政采贷”融资的，政府采购合同付款账号应当空置。</w:t>
      </w:r>
      <w:r/>
    </w:p>
    <w:p>
      <w:pPr>
        <w:pStyle w:val="940"/>
        <w:ind w:firstLine="431"/>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Q4：采购单位要做什么？</w:t>
      </w:r>
      <w:r/>
    </w:p>
    <w:p>
      <w:pPr>
        <w:pStyle w:val="940"/>
        <w:ind w:firstLine="431"/>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答：采购单位在“苏采云”系统中公示政府采购合同时，要勾选融资标识，为中标供应商融资提供便利。如后续融资失败，采购单位要及时维护中标供应商相关账号信息，按时支付款项。</w:t>
      </w:r>
      <w:r/>
    </w:p>
    <w:p>
      <w:pPr>
        <w:pStyle w:val="940"/>
        <w:ind w:firstLine="431"/>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Q5：“政采贷”融资失败怎么办？</w:t>
      </w:r>
      <w:r/>
    </w:p>
    <w:p>
      <w:pPr>
        <w:pStyle w:val="940"/>
        <w:ind w:firstLine="431"/>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答：经合作银行审核后不予放款，或者贷款审核时间超过10个工作日的，视为融资失败，该项目回到财政预算管理一体化系统中支付资金。融资失败的，无法重新线上申请“政采贷”。</w:t>
      </w:r>
      <w:r/>
    </w:p>
    <w:p>
      <w:pPr>
        <w:pStyle w:val="940"/>
        <w:ind w:firstLine="431"/>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34.3.4.网址及联系方式</w:t>
      </w:r>
      <w:r/>
    </w:p>
    <w:p>
      <w:pPr>
        <w:pStyle w:val="940"/>
        <w:ind w:firstLine="431"/>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政采贷：http://www.ccgp-jiangsu.gov.cn/jiangsu/paying.html</w:t>
      </w:r>
      <w:r/>
    </w:p>
    <w:p>
      <w:pPr>
        <w:pStyle w:val="940"/>
        <w:ind w:firstLine="431"/>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中征平台：https://www.crcrfsp.com/</w:t>
      </w:r>
      <w:r/>
    </w:p>
    <w:p>
      <w:pPr>
        <w:pStyle w:val="940"/>
        <w:ind w:firstLine="431"/>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联系人：翟先生           联系电话：0523-88816349</w:t>
      </w:r>
      <w:r/>
    </w:p>
    <w:p>
      <w:pPr>
        <w:pStyle w:val="940"/>
        <w:numPr>
          <w:ilvl w:val="0"/>
          <w:numId w:val="3"/>
        </w:numPr>
        <w:ind w:firstLine="431"/>
        <w:jc w:val="both"/>
        <w:spacing w:line="360" w:lineRule="auto"/>
        <w:rPr>
          <w:rFonts w:hint="eastAsia" w:cs="仿宋" w:asciiTheme="minorEastAsia" w:hAnsiTheme="minorEastAsia" w:eastAsiaTheme="minorEastAsia"/>
          <w:b/>
          <w:color w:val="000000" w:themeColor="text1"/>
          <w:szCs w:val="24"/>
          <w:highlight w:val="none"/>
          <w14:textFill>
            <w14:solidFill>
              <w14:schemeClr w14:val="tx1"/>
            </w14:solidFill>
          </w14:textFill>
        </w:rPr>
      </w:pPr>
      <w:r>
        <w:rPr>
          <w:rFonts w:hint="eastAsia" w:cs="仿宋" w:asciiTheme="minorEastAsia" w:hAnsiTheme="minorEastAsia" w:eastAsiaTheme="minorEastAsia"/>
          <w:b/>
          <w:color w:val="000000" w:themeColor="text1"/>
          <w:szCs w:val="24"/>
          <w:highlight w:val="none"/>
          <w14:textFill>
            <w14:solidFill>
              <w14:schemeClr w14:val="tx1"/>
            </w14:solidFill>
          </w14:textFill>
        </w:rPr>
        <w:t xml:space="preserve">货物（包含与货物相关的服务）的追加</w:t>
      </w:r>
      <w:r/>
    </w:p>
    <w:p>
      <w:pPr>
        <w:pStyle w:val="940"/>
        <w:ind w:firstLine="431"/>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40"/>
      <w:r/>
      <w:bookmarkStart w:id="41" w:name="_Toc388026586"/>
      <w:r>
        <w:rPr>
          <w:rFonts w:hint="eastAsia" w:cs="仿宋" w:asciiTheme="minorEastAsia" w:hAnsiTheme="minorEastAsia" w:eastAsiaTheme="minorEastAsia"/>
          <w:color w:val="000000" w:themeColor="text1"/>
          <w:szCs w:val="24"/>
          <w:highlight w:val="none"/>
          <w14:textFill>
            <w14:solidFill>
              <w14:schemeClr w14:val="tx1"/>
            </w14:solidFill>
          </w14:textFill>
        </w:rPr>
        <w:br w:type="page" w:clear="all"/>
      </w:r>
      <w:r/>
    </w:p>
    <w:p>
      <w:pPr>
        <w:pStyle w:val="940"/>
        <w:numPr>
          <w:ilvl w:val="0"/>
          <w:numId w:val="4"/>
        </w:numPr>
        <w:ind w:firstLine="0"/>
        <w:jc w:val="center"/>
        <w:spacing w:line="360" w:lineRule="auto"/>
        <w:rPr>
          <w:rFonts w:hint="eastAsia" w:cs="仿宋" w:asciiTheme="minorEastAsia" w:hAnsiTheme="minorEastAsia" w:eastAsiaTheme="minorEastAsia"/>
          <w:b/>
          <w:color w:val="000000" w:themeColor="text1"/>
          <w:sz w:val="32"/>
          <w:szCs w:val="32"/>
          <w:highlight w:val="none"/>
          <w14:textFill>
            <w14:solidFill>
              <w14:schemeClr w14:val="tx1"/>
            </w14:solidFill>
          </w14:textFill>
        </w:rPr>
      </w:pPr>
      <w:r>
        <w:rPr>
          <w:rFonts w:hint="eastAsia" w:cs="仿宋" w:asciiTheme="minorEastAsia" w:hAnsiTheme="minorEastAsia" w:eastAsiaTheme="minorEastAsia"/>
          <w:b/>
          <w:color w:val="000000" w:themeColor="text1"/>
          <w:sz w:val="32"/>
          <w:szCs w:val="32"/>
          <w:highlight w:val="none"/>
          <w14:textFill>
            <w14:solidFill>
              <w14:schemeClr w14:val="tx1"/>
            </w14:solidFill>
          </w14:textFill>
        </w:rPr>
        <w:t xml:space="preserve"> 采购</w:t>
      </w:r>
      <w:bookmarkEnd w:id="41"/>
      <w:r>
        <w:rPr>
          <w:rFonts w:hint="eastAsia" w:cs="仿宋" w:asciiTheme="minorEastAsia" w:hAnsiTheme="minorEastAsia" w:eastAsiaTheme="minorEastAsia"/>
          <w:b/>
          <w:color w:val="000000" w:themeColor="text1"/>
          <w:sz w:val="32"/>
          <w:szCs w:val="32"/>
          <w:highlight w:val="none"/>
          <w14:textFill>
            <w14:solidFill>
              <w14:schemeClr w14:val="tx1"/>
            </w14:solidFill>
          </w14:textFill>
        </w:rPr>
        <w:t xml:space="preserve">需求</w:t>
      </w:r>
      <w:r/>
    </w:p>
    <w:p>
      <w:pPr>
        <w:ind w:firstLine="482"/>
        <w:spacing w:line="360" w:lineRule="auto"/>
        <w:rPr>
          <w:rFonts w:eastAsia="仿宋" w:cs="Arial"/>
          <w:b/>
          <w:bCs/>
          <w:sz w:val="24"/>
          <w:szCs w:val="24"/>
          <w:highlight w:val="none"/>
        </w:rPr>
      </w:pPr>
      <w:r/>
      <w:bookmarkStart w:id="42" w:name="_Toc409438821"/>
      <w:r/>
      <w:bookmarkStart w:id="43" w:name="_Toc388026588"/>
      <w:r>
        <w:rPr>
          <w:rFonts w:hint="eastAsia" w:ascii="宋体" w:hAnsi="宋体" w:eastAsia="宋体" w:cs="宋体"/>
          <w:b/>
          <w:bCs/>
          <w:sz w:val="24"/>
          <w:szCs w:val="24"/>
          <w:highlight w:val="none"/>
        </w:rPr>
        <w:t xml:space="preserve">一、配置需求清单</w:t>
      </w:r>
      <w:r>
        <w:rPr>
          <w:rFonts w:hint="eastAsia" w:ascii="宋体" w:hAnsi="宋体" w:eastAsia="宋体" w:cs="宋体"/>
          <w:b/>
          <w:bCs/>
          <w:sz w:val="24"/>
          <w:szCs w:val="24"/>
          <w:highlight w:val="none"/>
        </w:rPr>
        <w:t xml:space="preserve">（投标供应商须在分项报价表中对下述配置做分项报价）</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1.快速发药机：1台</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2.高速发药机（含传送皮带等配套设施）：1套</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3.全自动补药系统：1套</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4.全流程整处方传输与出药缓冲系统：1套</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5.直发追溯码采集系统（对应既定直发窗口）：2套</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6.窗口缓存架：6个</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7.智能药篮及处方绑定交互系统（含≥250个药篮；2台绑定台）：1套</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8.排队叫号及自助签到系统（含控制软件及终端硬件）：1套</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9.自动化药房管理系统软件：1套</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10.手边药品小推车（存放异形且用量较大的药品）：6个</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11.卷门药柜（采用卷门设计的药品存储柜，关闭时卷门可以完全封闭柜体，起到防尘、防潮、避光的作用，保护柜内药品，同时卷门设计相比传统开门更节省空间，方便存取常用的药品）：1个</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12.普通药品货架：30台</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13.可调节货架：6台</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14.单剂量分包机：1台</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方形密封盒（药房专用的密封存储盒，采用密封防潮设计，用于存放拆零后的药品，可以有效隔绝空气中的水分、灰尘和光线，防止拆零药品受潮、变质，延长药品的保质期，同时方便分类存放不同的拆零药品。）：50个</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16.长方形密封盒（与方形密封盒功能类似，只是尺寸为长方形，用于存放尺寸较长的药品或者数量较多的拆零药品，适配不同规格的拆零药品存储需求，同样具备密封防潮的功能。）：5个</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17.中号塑料方盆（用于药房内部的药品分拣、临时存放的容器，在药品盘点、补药或者拆零调配时，用来临时盛放药品，PP 材质安全无毒，耐磨损，方便药师操作，同时便于清洁消毒。）：50个</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18.智能毒麻药品管理柜：1台</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19.智能回转药柜：1台</w:t>
      </w:r>
      <w:r/>
    </w:p>
    <w:p>
      <w:pPr>
        <w:ind w:firstLine="480"/>
        <w:spacing w:line="360" w:lineRule="auto"/>
        <w:rPr>
          <w:rFonts w:ascii="Calibri" w:hAnsi="Calibri" w:eastAsia="宋体" w:cs="Arial"/>
          <w:sz w:val="24"/>
          <w:szCs w:val="24"/>
          <w:highlight w:val="none"/>
        </w:rPr>
      </w:pPr>
      <w:r>
        <w:rPr>
          <w:rFonts w:hint="eastAsia" w:ascii="宋体" w:hAnsi="宋体" w:eastAsia="宋体" w:cs="宋体"/>
          <w:sz w:val="24"/>
          <w:szCs w:val="24"/>
          <w:highlight w:val="none"/>
        </w:rPr>
        <w:t xml:space="preserve">20.设备安装相关装修改造：满足整体需求</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二、总体基本要求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以下要求构成了系统整体运作的底层框架：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1.发药机组成部分：主体结构为模块化设计，所有部件均能简易拆装，搬运时均可经过对应科室（门诊、病区）大门，对场地无特殊要求，方便安装和维护。</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2.占地空间限制：符合门诊、病区实际使用即可（含：储药主机系统、加药系统和发药窗口传送系统、药品提升系统等）。</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3.★HIS无缝对接：所有涉及电子信息的设备均可与医院HIS系统实现无缝对接。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4.▲信息安全认证：为保障医院用药数据安全及系统运行安全，设备生产厂家或软件平台提供方应具备完善的信息安全管理能力，可提供ISO27001信息安全管理体系认证或同等信息安全能力证明材料。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5.电气安全底线：设备通过电气强度试验及漏电流试验，电压2500Vac,设备对地漏电流5mA,测试时间定时为 5s~10s。（提供相关证明材料）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6.快速发药机、高速发药机、智能毒麻药品管理柜、智能回转药柜需、智能药篮提供10年可换原厂配件的承诺书。</w:t>
      </w:r>
      <w:r/>
    </w:p>
    <w:p>
      <w:pPr>
        <w:numPr>
          <w:ilvl w:val="0"/>
          <w:numId w:val="5"/>
        </w:numPr>
        <w:spacing w:line="520" w:lineRule="exact"/>
        <w:tabs>
          <w:tab w:val="left" w:pos="1260" w:leader="none"/>
        </w:tabs>
        <w:rPr>
          <w:rFonts w:hint="eastAsia" w:ascii="宋体" w:hAnsi="宋体" w:eastAsia="宋体"/>
          <w:b/>
          <w:sz w:val="24"/>
          <w:szCs w:val="24"/>
          <w:highlight w:val="none"/>
        </w:rPr>
      </w:pPr>
      <w:r>
        <w:rPr>
          <w:rFonts w:ascii="宋体" w:hAnsi="宋体" w:eastAsia="宋体"/>
          <w:b/>
          <w:sz w:val="24"/>
          <w:szCs w:val="24"/>
          <w:highlight w:val="none"/>
        </w:rPr>
        <w:br w:type="page" w:clear="all"/>
      </w:r>
      <w:r/>
    </w:p>
    <w:p>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三、配置清单中各项货物的详细技术要求</w:t>
      </w:r>
      <w:r/>
    </w:p>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品目一：快速发药机</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1.★核心存储架构：具备有效防卡药及防错机制；系统需具备物理层面的独立药槽/药仓隔离，或算法/视觉层面的精准定位防混机制，以确保发药准确。（提供设备部件的实物图片及技术说明书证明）</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存储稳定性：发药机内储存的药品应按照单品种独立存放。为确保系统高速运行时的稳定性和防止卡药，药品放置与滑落方式需高度匹配其底层架构设计（斜槽式需满足特定摆放以保障顺滑流转）。（提供设备内药品储存照片证明）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3.储位泛用性：设备内的储药通道、药槽或储药格位/药仓应具备灵活性，能通过调节宽度/高度/隔板等方式，适用各类不同规格及大小的盒装药品。</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4.快速发药机药品储存要求：品种数≥1000种，储药量≥12000盒。</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5.▲极限并发处理能力：发药机发药速度达到每小时不少于 2500 盒，处理处方能力不低于每小时 500 张。（提供具有国家认证的第三方检测报告证明）</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6.应急出药保障：发药机发药方式需满足在设备遇到突发故障或停电时，可快速进行人工应急发药操作，保障门诊业务不中断。（提供相关证明材料）</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7补发并行：发药机在发药的同时能进行药品的补充，且补药动作不干扰正常发药流程。（提供设备技术说明书证明）</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8.▲加药速度：不间断人工补药处理速度：≥2000盒/小时。（提供具有国家认证的第三方检测报告证明）</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9.补药确认：通过扫描药品二维码、条形码或者快速输入药品名称等方式确认补药品种。</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10.防呆二次提醒：对相同药品不同规格、形似药品、高危药品具备自动二次防错拦截与提醒功能，确保药品补充 100% 正确。（提供技术资料证明并说明二次提醒及拦截方式）</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11.▲人身安全防护：主机加药机械机构与操作人员之间，需通过物理隔离门、光栅安全网或批量补药缓存通道等手段实现人机间隔，以提高补药速度并杜绝人员夹伤等安全隐患。（提供相关证明材料）</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12.无人盘点与实时库存：具备自动、无人干预的实时库存盘点功能，确保账物相符。盘点方式需采用成熟可靠的自动化感知技术（如激光扫描计数、红外传感、或 AI 视觉识别等）。</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13.冗余补药系统：发药机补药系统需具备两套可各自独立运行的补药机制（如全自动双轨，或自动化+半自动/人工双轨）。（提供设备工作照片或技术说明书证明材料）</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品目二：高速发药机</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1.核心场景：与HIS系统或快速发药系统对接，接收处方信息用于高频次、高使用量盒装药品的自动快速分发。</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2.槽位数要求：≥46个槽位（满足大部分慢性病集采药盒大小的存储需求）</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3.极速发药速度：每个轨道独立控制，可多通道同时出药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4.补药逻辑：多通道人工批量补药。</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5.通道硬件配置：可实时检测单通道内库存、可药师便捷调整宽度。</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6.▲安全机制：急停按钮/缺药报警/电机过热、过流、过载、自动故障显示、定位。</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品目三：全自动补药系统</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双轨补药模式：发药机需具备全自动无人补药系统和人工（或半自动批量）补药系统双模式。全自动补药系统需能覆盖发药机内绝大部分常规盒装药品的无人化补充；同时需配备人工/批量补药端口，允许药师将成批量的同种类药品快速添加至系统。（提供设备工作照片和技术说明书证明材料）</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闭环自动流转：系统需具备完善的缺药预警与自动流转机制。发药机内一旦缺药，系统自动提示并生成补药单。药房人员依据补药单领取药品放入补充缓存装置（支持无序多品种混合放入后由系统自主抓取/识别，或支持整盘/整箱规则放置后由系统批量高效入库），后续的识别与上架全过程无需人员持续干预。（提供相关证明材料）</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3.无缝对接：全自动补药机必须与发药机控制系统及物理通道实现无缝对接。</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4.占地限制：含在总体要求中。</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大容量与混合缓存机制：具备一定容量进药预缓存系统，可一次性存放总量≥2000盒的常规药品。缓存区支持药品的无序多品种混合堆放，或高密度整位/矩阵缓存。且扫描进药与机械机构自动上药必须可同步进行，互不等待。（提供相关证明材料）</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6.抓取与上药技术：补药方式采用高效的自动化机械机构（如协作机械臂抓取、真空吸盘、推杆或自动平移轨道等成熟技术）进行自动上药。</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7.▲综合补药效能：支持批量自动补药或多品种自动分拣补药，综合补药处理效率必须匹配发药机满载运行需求，全自动补药速度≥700盒/小时。（提供具有国家认证的第三方检测报告证明）</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8.自主分拣与多任务并行：具备在无人值守情况下自主分拣并向发药机输送药品的能力。全自动预补药工作、加药上架动作与前端发药机的出药动作互不干涉，三者可完全同步进行。（提供相关证明材料）</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9.全自动扫码与品种识别：进药自动检测系统需能全自动进行药品的身份识别与确认（支持多维视觉AI识别，或高速条形码/二维码扫描识别），全过程无需人工逐盒确认。（提供实物图片或技术说明书证明）</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异常拦截与错误自排除：具备防呆防错及异常隔离机制。系统能自动拒绝错误药品或破损包装进入主机通道（自动回收或剔除至异常品隔离区）；在剔除异常品后，设备无需人工干预即可自动继续进行下一种或下一盒药品的添加作业。（提供设备运行照片并说明工作原理及剔除机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11.机械灵活性要求：内部补药机械机构（分拣机器人或传输模组）需运行平稳、定位精准，满足所有常规盒型药品的安全加药规则，杜绝运行中挤压破损。</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12.人机混动无缝衔接：全自动补药机的自动流转程序可与发药机的人工批量/应急补药动作进行逻辑层面的无缝衔接，不产生系统冲突。</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品目四：全流程整处方传输与出药缓冲系统</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1.前端发药通道与出药缓冲装置</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材质与防损结构：主体支撑框架需采用优质钢材。必须配备可靠的物理缓冲结构（包容并支持螺旋滑道、垂直升降机构或柔性缓冲传输带等各家成熟方案），确保药品从发药机高处流转至下方的过程中达到“零物理破损”。</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（2）防阻碍净空设计：前端发药传输通道的空间布局必须合理，能够让药师在药房内的正常直立行走与人工作业，杜绝安全隐患。</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（3）平滑衔接：前端出药缓冲需与后端主传输线高度协同，实现药品出机后的无缝、无助力平滑过渡。</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2.后端整处方主传输线</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（1）传输方式与速度：采用皮带式、辊筒式或同等平稳传输结构的自动化流水线。传输速度支持动态可调（提供相关证明材料）。</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（2）承载力与精度：单处方（或单药筐）最大承载重量≥5kg；保证传输及停靠定位精度（提供相关证明材料）。</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（3）并行与吞吐能力：主线需支持并发传输及分配的发药窗口数量≥6个；单条传输线最大处方综合处理能力≥350张/小时（提供相关证明材料）。</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（4）运行环境标准：设备运行噪音需严格控制，满载运行时噪音≤60dB (A)（提供相关证明材料），确保药房工作环境符合职业健康要求。</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3.智能化流转闭环与系统对接</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（1）整处方自动流转：系统需实现药品出机后自动完成装盒/入筐，并根据中控系统的智能调度指令，将装载整处方药品的药筐精准分配并输送至对应的空闲发药窗口，同时具备声光或屏幕提示提醒药师取药。</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（2）防拥堵与异常监控：支持多窗口并行独立传输，具备物理设计及算法层面的防拥堵机制。系统后台可实时监控药筐传输状态，遇卡阻或异常情况需能自动报警并在界面上精准定位故障节点。</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（3）空筐自动回收系统：配套空智能药筐的自动回收流转底线/支线，实现空筐从药师窗口自动回流至发药机补充端的全闭环流转，全程无需人工搬运。</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（4）系统协同与追溯：</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1）上下游打通：向上必须与医院现有 HIS/电子处方系统无缝对接（实现处方自动调取、发药状态实时回写）；向下与发药机系统底层打通，出药完成即自动触发传输动作。</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2）开放接口：提供开放各类所需接口，全面对接医院自动化药房管理系统，接口联调费用由中标方承担。</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3）日志留存：所有药筐的流转轨迹及操作日志需全程记录，并支持条件检索与追溯，数据本地保存期限≥3年。</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品目五：直发窗口追溯码采集系统</w:t>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1.自动六面扫码，不增加药品流转时间；</w:t>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2.可将扫码结果分屏至使用窗口，提示药师扫码结果；</w:t>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3.有错误的情况下单独醒目提示。</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品目六：窗口缓存架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1.总缓存量：药筐自动缓存量：≥ 12个。</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2.独立感应：所有自动缓存货位具备独立传感器，可自动感知新到药筐和被取走药筐情况。</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3.即拿即走：可拿取任意一个自动货位上的当前患者药筐，无需另行识别药筐信息。</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4.工作量统计：具备药师工作卡读卡装置，可对后台调配药师进行工作量的统计。</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5.追溯体系：具备对后台药师所调配处方进行追溯功能。</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品目七：智能药篮及处方绑定交互系统</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1.智能药筐与定位系统：智能药筐配置数量需≥250个。必须具备高精度智能药筐定位功能，系统后台可实时追踪每个药筐的位置与状态。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药筐流转防混机制：智能药筐必须具备唯一识别码（RFID或底部二维码）。药篮与处方信息唯一绑定，可通过传输系统自由流转至任意发药窗口，无需固定存放位置。当同一患者的处方被分配到多个药筐时，系统必须有物理或电子防错机制，同时实时对应到相对应的病人，确保窗口药师及时定位，确保合单发药时不会与其他患者的药筐混淆。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3.续航能力：采用可充电锂电池，满电累计连续使用≥12天（提供相关证明材料）</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4.指示功能：具备红/绿等颜色的双色自发光指示灯，亮度可调节，可视距离适宜</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5.识别方式：支持 RFID 射频识别，识别准确率≥99.99%</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6.单篮最大承载：≥4kg，适配绝大多数门诊处方药品</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7.核心功能要求</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（1）取药提示：药篮到达指定窗口后自动亮灯提示，药师取药完成后灯光自动熄灭</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（2）状态实时监控：系统可实时显示所有药篮的位置、电量、对应处方号、药品信息</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（3）低电量预警：药篮电量低于 20% 时自动提示充电，充电时间能够不影响第二天使用；整体设计需节省空间、操作省力。供电方案优选多筐叠加式无线/有线快速充电方式，次选可拆卸电池充电方式。电池需具备长续航能力，且在衰减或出现故障时，支持药房人员快速便捷地进行更换。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（4）智能识别系统软件：实现药篮管理、处方绑定、状态监控、数据统计功能</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（5）无线基站：覆盖整个药房区域，实现药篮与系统的实时无线通信</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（6）专用服务器：存储药篮运行数据与操作日志，日志保存≥3 年</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（7）自发光智能药筐：采用高强度医疗级材料，具备优异的抗冲击性、耐磨性及防静电特性，确保内部 RFID 芯片及电子元件安全。材质需耐酸碱腐蚀，表面光滑无死角，完全符合医院院感日常消毒要求。可堆叠存放</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品目八：排队叫号及自助签到系统（含控制软件及终端硬件）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1.系统核心控制与调度功能</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（1）自动联动叫号：系统需与本次招标的自动化发药系统无缝对接，当处方药品在发药机内完成调配并传输至窗口时，系统自动触发叫号，实现“药等患者”，无需药师手动干预。</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（2）★智能窗口调度：系统具备智能分配算法，可自动将处方及患者分配至空闲或排队较少的发药窗口，均衡各窗口工作量，有效避免单窗口排队过长。</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（3）优先叫号功能：支持排队规则自定义，能够针对急诊处方、绿色通道、老年人、孕妇、残疾人等特殊人群设置优先叫号规则。</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（4）人工干预功能：支持药师端的手动接管，包含手动叫号、重呼、过号处理、特殊插队叫号等功能。</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（5）统计报表功能：后台可自动生成日/月叫号量、患者平均等待时间、各窗口/药师工作量等统计分析报表。</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（6）自定义设置：支持对叫号语音内容、显示屏排版格式、排队及过号规则进行院方自定义配置。</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（7）系统对接要求：供货方需提供开放 API 接口，负责与医院现有 HIS 系统无缝对接（自动获取患者处方及身份信息），及与药房发药系统底层联动，相关接口开发费用由中标方承担。</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2.自助取号/签到终端（硬件设备，配置2台）</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（1）整机与屏幕：配备工控级稳定主机（适应医院 0℃~40℃ 大厅环境，运行无卡顿），采用主流大尺寸电容式触摸屏（分辨率≥1920×1080），支持多点触控。患者端功能主打便捷签到/取号。</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（2）多介质识别模块：内置综合识读设备，支持缴费单条形码(保留二代身份证、实体医保卡、电子医保凭证/电子健康码功能)的快速识别。界面需简洁明了。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（3）自助取号与自动排队：患者通过刷卡/扫码成功签到后，系统自动将其加入后台排队队列，并同步联动前台大屏与叫号逻辑。支持语音及画面双重提示操作，引导患者完成取号流程。</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（4）凭证打印系统：内置防卡纸设计的高速热敏打印机，纸卷容量需满足门诊高峰期使用。打印凭证内容需至少包含：患者姓名、取药号、当前等待人数等（支持自定义模板及添加医院 Logo）。</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（5）智能预警与自检：设备具备开机硬件自检功能（异常自动报警）；打印机纸量不足时，系统需自动弹窗提示并向后台管理人员发送缺纸预警。</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3.窗口显示与外设交互</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（1）语音播报系统：支持标准普通话清晰播报，音量 0-100% 独立可调，外放声场需清晰覆盖整个取药大厅，支持语音叫号与屏幕显示同步联动。</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（2）综合显示屏：</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1）主叫号大屏：支持显示当前叫号、等待叫号列表、各窗口开放状态及院方温馨提示等综合信息。</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2）窗口条屏：每个发药窗口配置 1 台 LED 或 LCD 窗口显示屏，患者能够在清晰看到当前窗口号及正在办理的患者姓名/取药号（敏感信息可按 HIS 要求做脱敏隐藏处理）。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3）药师呼叫外设：每个发药窗口需配置呼叫控制端（支持物理实体叫号按键器或系统软件界面一键叫号面板），支持一键叫号、重呼、过号等高频操作。系统整体响应时间≤1 秒。</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品目九：自动化药房管理系统软件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1.统一设备管理：集中管控本次招标所有自动化设备（发药机、补药机、回转药柜、传输系统、缓存机等），实时监控设备运行状态。</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2.全流程药品追溯：记录每盒药品从入库到发药的全生命周期轨迹，支持批号、效期、操作人全程追溯。</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3.★智能库存管理：自动生成补货计划，支持动态盘点、静态盘点，库存准确率100%</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4.处方智能调度：根据窗口工作量、处方类型自动分配处方，均衡负载</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5.多用户权限管理：按角色分配不同操作权限，操作日志不可篡改，保存≥3 年</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6.丰富报表功能：自动生成库存、发药、工作量、效期等各类统计报表，支持导出</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7.异常报警管理：设备故障、药品过期、库存不足、冷链异常等情况自动声光报警</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8.数据呈现：各环节实时数据展现在中心屏幕上</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9.系统对接要求：</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（1）与医院现有系统无缝对接，实现处方自动获取、发药状态实时回写</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（2）★与本次招标所有硬件设备原生对接，无需第三方中间件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（3）提供开放 API 接口，支持后续功能扩展与新设备接入</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（4）支持数据自动备份与异地备份，保障数据安全</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品目十：手边药品小推车</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1.整体尺寸：合适大小且能适配发药窗口侧边空间</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2.层数：≥2 层开放式置物层，整体高度≥1米；层间距、整体高度可调节</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3.单层最大承重：≥20kg，满足大输液等重质药品存放需求</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4.移动轮：配备 4 个静音万向轮，其中2个带刹车装置，推行无噪音、固定稳固</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5.配备双侧扶手，方便推动；边角全部做圆角处理，防止磕碰</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6.功能与配置要求：</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7.每层配备可移动分隔板，支持药品灵活分类摆放</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8.预留标签卡槽，可清晰标注药品名称与规格</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9.整体结构稳固，满载推行时无晃动、无异响</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10.闲置时可堆叠存放，节省药房空间</w:t>
      </w:r>
      <w:r/>
    </w:p>
    <w:p>
      <w:pPr>
        <w:spacing w:line="360" w:lineRule="auto"/>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品目十一：卷门药柜</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1.整体尺寸：约1800mm（高）×1200mm（宽）×500mm（深），±5%误差范围之类</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2.层数：6 层，层间距可调节，单层承重≥80kg</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3.锁具：配备双锁防盗装置，实行双人双锁管理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4.卷门：采用金属卷帘门，关闭时完全封闭柜体，防尘、防潮、避光</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5.每层配备标签卡槽与分隔板</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品目十二：普通药品货架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1.整体尺寸：约2000mm（高）×1200mm（宽）×500mm（深），±5%误差范围之类</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2.层数：6 层，层间距约300mm（固定），±5%误差范围之类</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3.单层最大承重：≥50kg</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4.材质：立柱采用≥1.5mm 冷轧钢板，层板采用≥1.0mm 冷轧钢板，表面静电喷塑抗菌处理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5.每层配备标签卡槽，清晰标注药品信息</w:t>
      </w:r>
      <w:r/>
    </w:p>
    <w:p>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品目十三：可调节货架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1.专门用于存放不同尺寸规格的药品，层板高度可灵活调整，最大化利用存储空间。</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2.核心技术参数</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（1）整体尺寸：2000mm（高）×1200mm（宽）×500mm（深）</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（2）层数：6 层，层间距 50mm 一档任意调节</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（3）单层最大承重：≥80kg</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（4）配备专用层板卡扣，调节便捷且固定牢固</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（5）每层配备可移动分隔板，支持药品灵活分类</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品目十四：单剂量分包机</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1.★分包速度与分装准确率：≥60 袋/分钟，提供第三方检测报告。分装准确率≥99%，提供近3年3家及以上三级医院实际运行数据证明。</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2.▲储药盒数量：系统标配有效储药盒（药仓）数量≥350个，支持特殊药品的手工半自动加药托盘（DTA），支持不同规格圆形/椭圆形药片、胶囊及异形片剂存储。</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3.包装形式：四边封独立药袋，具备防尘、防潮、密闭封装环境</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4.药袋打印信息：自动打印患者姓名、床号、住院号、药品名称、规格、剂量、服用时间、批号、效期及追溯二维码（内容可自定义）。</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5.识别系统：内置药盒芯片识别系统，自动检测药品位置错误并终止流程。药品更换厂家后可免费维护更新相关信息。</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6.支持半粒药/掰片药手工入药功能，配备专用手工入药轨道。</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7.运行噪音：≤65dB (A)，提供相关证明材料。</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8.HIS 系统无缝对接：实时读取医院 HIS 系统医嘱数据，支持长期医嘱、临时医嘱、首日量、出院带药等全类型医嘱自动处理，无丢包、无乱码。</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9.批号与效期管理：按批号先进先出自动发药，支持二维码全程追溯，临近效期药品自动预警，过期药品自动锁定。</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10.▲智能核对功能：内置多重核对机制，自动检测错药、漏药、多药情况，异常时立即声光报警并做标识。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11.断网断电保护：断网时支持本地缓存医嘱继续分包，恢复网络后自动同步数据；断电后数据不丢失，来电后支持断点续包。</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12.库存管理：自动统计药品库存，低于安全库存时自动提醒补货，生成库存报表。</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13.操作日志追溯：自动记录所有操作人、操作时间、分包记录、异常情况，日志保存时间≥3 年。</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耗材开放性声明：投标机型必须支持使用符合国家医疗标准及医院感控要求的市面通用耗材（包含但不限于包药纸、打印碳带等），严禁通过硬件芯片加密、软件锁死等任何技术手段强制绑定独家品牌耗材。中标后若发现耗材垄断，院方有权无条件退机并追究违约责任。（提示：①确定整套耗材单价；②费用打分权重上，耗材分数要比机器高。）</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15.近 3 年具有 3 家及以上三甲综合医院或精神专科医院同类项目业绩，且单院日均分包量≥2000 袋，提供合同复印件及验收报告。</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品目十五：方形密封盒</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1.尺寸：约200mm×200mm×150mm，±5%误差范围之类</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2.材质：食品级 PP 材质，无毒无味，耐酸碱，实现整体遮光</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3.密封性能：硅胶密封圈，防潮、防尘、避光</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4.配备标签卡槽，标注药品名称、规格、批号、效期</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品目十六：长方形密封盒</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1.尺寸：约400mm×200mm×150mm，±5%误差范围之类</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2.材质：食品级 PP 材质，无毒无味，耐酸碱，实现整体遮光</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3.密封性能：硅胶密封圈，防潮、防尘、避光</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4.配备标签卡槽</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5.可堆叠存放，节省空间</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品目十七：中号塑料方盆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1.尺寸：约300mm×200mm×100mm，±5%误差范围之类</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2.材质：食品级 PP 材质，安全无毒，耐磨损</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3.耐温范围：-20℃~120℃，可高温消毒</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4.边角圆润，无毛刺，方便手持</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5.可堆叠存放，便于清洁</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品目十八：智能毒麻药品管理柜</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1.模块化与占地控制：设备外观与占地面积需适配药房现场空间。需采用模块化设计，支持针剂、盒装、瓶装等多种包装形态药品的混合存放与发放，并支持后期按需增加扩展副柜。</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单支/单剂量精准管控：支持精确到单支（针剂）的独立管控与发放；支持精确到单粒级别的管控。非授权状态下的其他药品保持严密的物理隔离或锁定状态，避免多拿、错拿及连带夹带。（提供实物照片或技术说明书证明）</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双保险授权防范：必须严格符合国家毒麻精放药品“双人双锁”管理规范。具备高强度的物理锁具及电子身份认证（支持双指纹、人脸识别、静脉或双账号密码等形式组合）双重防范机制。系统须自动记录所有开关门及取药动作日志，并提供相应的声光或语音防错提示。机器需自带摄像头，存储内容需要≥180天。</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严密应急兜底机制：具备在全院断电或网络宕机极端情况下的“机械双人双锁”应急开柜取药机制。同时软件必须支持急救状态下的“无医嘱紧急借药/提前拿药”模式，并在事后强制进行账目与医嘱的闭环核销。</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5.精麻管理核心软件与闭环：</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（1）深度对接：核心控制软件需与院方 HIS、电子处方及精麻管理系统深度原生对接。</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（2）库存管理：支持库存的实时动态盘点与日结盲盘。</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（3）▲防混淆机制：系统需具备严格的并发处方防混淆控制逻辑（例如：在当前操作者的发药处方未完成确认前，系统强制挂起、隔离或拦截新处方的加工作业，确保一处方一清）。</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（4）效期与追溯：具备效期自动预警功能（近效期、过期红黄警示），并能自动生成符合卫健委审计要求的全面药品流转与人员操作追溯报表。</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品目十九：智能回转药柜</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1.回转定位精度：回转定位精准，停靠偏差≤±3mm。</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2.单循环回转速度：单循环（或单次调取）速度≤15秒/层。</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3.支持双电机冗余驱动：一套电机故障时另一套可独立运行。</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4.支持断电手动回转功能：断电后可手动摇转柜体取药。</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5.单柜有效存储层数：≥30 层具体需根据医院药房实际净层高进行量身定制与极限利用）。</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6.单层最大承载重量：≥20kg。</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7.支持自动旋转定位取药：输入/扫描药品名称/条码后，对应药格自动旋转至取药口。</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8.支持动态盘点功能：边取药边自动盘点，不影响正常使用。</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9.支持批量补药功能：可一次性批量补入同品种药品，系统自动分配仓位。</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10.支持效期管理：临近效期药品自动预警，过期药品自动锁定。</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11.支持库存预警：低于安全库存自动提醒补货。</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12.柜体、回转链条使用寿命≥10 年</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13.▲配备急停按钮、防夹手保护、过载保护、漏电保护；取药口配备安全光幕，异物进入时自动停止运行</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14.支持多用户权限管理：不同角色分配不同操作权限</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15.支持操作日志追溯：自动记录所有操作人、操作时间、操作内容</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16.支持报表生成：自动生成库存报表、出入库报表、效期报表</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17.支持与医院现有 HIS 系统无缝对接，实现处方自动调取、库存实时同步（参照总体基本要求）</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18.支持与医院自动化药房管理系统对接，实现与发药机、补药机数据互通</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19.数据安全：支持数据自动备份与恢复；支持数据加密存储；支持操作日志不可篡改</w:t>
      </w:r>
      <w:r/>
    </w:p>
    <w:p>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品目二十：设备安装相关装修改造</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1.满足设备使用需求</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2.所有改造工程符合国家相关建筑施工规范与电气安全规范</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3.满足设备安装调试的所有技术要求，不影响设备正常运行</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4.施工完成后场地清洁整齐，无安全隐患</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5.提供完整的竣工图纸与验收资料</w:t>
      </w:r>
      <w:r/>
    </w:p>
    <w:p>
      <w:pPr>
        <w:jc w:val="left"/>
        <w:spacing w:line="360" w:lineRule="auto"/>
        <w:tabs>
          <w:tab w:val="left" w:pos="1260" w:leader="none"/>
        </w:tabs>
        <w:rPr>
          <w:rFonts w:hint="eastAsia" w:asciiTheme="minorEastAsia" w:hAnsiTheme="minorEastAsia" w:eastAsiaTheme="minorEastAsia"/>
          <w:b/>
          <w:sz w:val="28"/>
          <w:szCs w:val="28"/>
          <w:highlight w:val="none"/>
        </w:rPr>
      </w:pPr>
      <w:r>
        <w:rPr>
          <w:rFonts w:hint="eastAsia" w:asciiTheme="minorEastAsia" w:hAnsiTheme="minorEastAsia" w:eastAsiaTheme="minorEastAsia"/>
          <w:b/>
          <w:sz w:val="28"/>
          <w:szCs w:val="28"/>
          <w:highlight w:val="none"/>
        </w:rPr>
        <w:br w:type="page" w:clear="all"/>
      </w:r>
      <w:r/>
    </w:p>
    <w:p>
      <w:pPr>
        <w:numPr>
          <w:ilvl w:val="0"/>
          <w:numId w:val="6"/>
        </w:numPr>
        <w:spacing w:line="360" w:lineRule="auto"/>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t xml:space="preserve">商务要求</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1. </w:t>
      </w:r>
      <w:r>
        <w:rPr>
          <w:rFonts w:hint="eastAsia" w:ascii="宋体" w:hAnsi="宋体" w:eastAsia="宋体" w:cs="宋体"/>
          <w:b/>
          <w:bCs/>
          <w:sz w:val="24"/>
          <w:szCs w:val="24"/>
          <w:highlight w:val="none"/>
        </w:rPr>
        <w:t xml:space="preserve">质保期与全免费承诺：</w:t>
      </w:r>
      <w:r>
        <w:rPr>
          <w:rFonts w:hint="eastAsia" w:ascii="宋体" w:hAnsi="宋体" w:eastAsia="宋体" w:cs="宋体"/>
          <w:sz w:val="24"/>
          <w:szCs w:val="24"/>
          <w:highlight w:val="none"/>
        </w:rPr>
        <w:t xml:space="preserve"> 整机及所有配套子系统（含主发药机、嵌入式系统、智能药筐、麻精柜及调配终端等）全免费质保≥5年（自最终验收合格之日起算）。质保期内包含所有人工、零配件更换、日常巡检维修、系统维护及软件升级的所有费用。</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2. </w:t>
      </w:r>
      <w:r>
        <w:rPr>
          <w:rFonts w:hint="eastAsia" w:ascii="宋体" w:hAnsi="宋体" w:eastAsia="宋体" w:cs="宋体"/>
          <w:b/>
          <w:bCs/>
          <w:sz w:val="24"/>
          <w:szCs w:val="24"/>
          <w:highlight w:val="none"/>
        </w:rPr>
        <w:t xml:space="preserve">响应时效与应急处理：</w:t>
      </w:r>
      <w:r>
        <w:rPr>
          <w:rFonts w:hint="eastAsia" w:ascii="宋体" w:hAnsi="宋体" w:eastAsia="宋体" w:cs="宋体"/>
          <w:sz w:val="24"/>
          <w:szCs w:val="24"/>
          <w:highlight w:val="none"/>
        </w:rPr>
        <w:t xml:space="preserve"> 提供7×24小时技术支持服务。（1）远程响应：接报修后≤0.5小时内响应并提供解决方案。 （2）现场响应：如远程无法解决，工程师须在接到报修后≤3小时到达我院现场进行抢修。 （3）宕机补偿（新增）： 质保期内，因设备本身质量或软件系统缺陷导致系统整体瘫痪单次超过24小时的，停机 1 天，原质保期顺延 3 天。</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w:t>
      </w:r>
      <w:r>
        <w:rPr>
          <w:rFonts w:hint="eastAsia" w:ascii="宋体" w:hAnsi="宋体" w:eastAsia="宋体" w:cs="宋体"/>
          <w:b/>
          <w:bCs/>
          <w:sz w:val="24"/>
          <w:szCs w:val="24"/>
          <w:highlight w:val="none"/>
        </w:rPr>
        <w:t xml:space="preserve">驻场保障服务：</w:t>
      </w:r>
      <w:r>
        <w:rPr>
          <w:rFonts w:hint="eastAsia" w:ascii="宋体" w:hAnsi="宋体" w:eastAsia="宋体" w:cs="宋体"/>
          <w:sz w:val="24"/>
          <w:szCs w:val="24"/>
          <w:highlight w:val="none"/>
        </w:rPr>
        <w:t xml:space="preserve">鉴于门诊药房业务的特殊性与连续性，设备正式上线运行后的3个自然月内，中标人必须指派1名熟练的驻场工程师全天候在药房现场值守保障，确保突发卡药、系统卡顿或操作失误时能“秒级”介入处理，平稳度过磨合期。</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 </w:t>
      </w:r>
      <w:r>
        <w:rPr>
          <w:rFonts w:hint="eastAsia" w:ascii="宋体" w:hAnsi="宋体" w:eastAsia="宋体" w:cs="宋体"/>
          <w:b/>
          <w:bCs/>
          <w:sz w:val="24"/>
          <w:szCs w:val="24"/>
          <w:highlight w:val="none"/>
        </w:rPr>
        <w:t xml:space="preserve">服务网点与备件保障</w:t>
      </w:r>
      <w:r>
        <w:rPr>
          <w:rFonts w:hint="eastAsia" w:ascii="宋体" w:hAnsi="宋体" w:eastAsia="宋体" w:cs="宋体"/>
          <w:sz w:val="24"/>
          <w:szCs w:val="24"/>
          <w:highlight w:val="none"/>
        </w:rPr>
        <w:t xml:space="preserve"> ：（1）服务网点：投标人（或生产厂家）须在江苏省内设有合法注册的售后服务网点及零配件仓库，须提供营业执照或房产租赁证明。 （2）备件保障：质保期内，中标人须在江苏省内服务网点常备设备关键易损耗备件（如：主控板、电机、机械臂抓手、轨道皮带、光电传感器、智能药筐备件等），确保故障修复时效，绝不因“等待原厂发件”而延误抢修。</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5. </w:t>
      </w:r>
      <w:r>
        <w:rPr>
          <w:rFonts w:hint="eastAsia" w:ascii="宋体" w:hAnsi="宋体" w:eastAsia="宋体" w:cs="宋体"/>
          <w:b/>
          <w:bCs/>
          <w:sz w:val="24"/>
          <w:szCs w:val="24"/>
          <w:highlight w:val="none"/>
        </w:rPr>
        <w:t xml:space="preserve">政策性系统维护与免费升级</w:t>
      </w:r>
      <w:r>
        <w:rPr>
          <w:rFonts w:hint="eastAsia" w:ascii="宋体" w:hAnsi="宋体" w:eastAsia="宋体" w:cs="宋体"/>
          <w:sz w:val="24"/>
          <w:szCs w:val="24"/>
          <w:highlight w:val="none"/>
        </w:rPr>
        <w:t xml:space="preserve">：免费提供软硬件系统的长期升级及与 HIS/合理用药/电子医保凭证系统的接口维护服务。特别承诺：未来因国家、江苏省或泰州市的医保及药监政策变动（如医保追溯码规则变更、前置审核规则改变等）而需要进行的接口修改与软件升级，无论是否在质保期内，中标人均须免费提供，不得以任何理由收取开发费或接口维护费。</w:t>
      </w:r>
      <w:r/>
    </w:p>
    <w:p>
      <w:pPr>
        <w:pStyle w:val="778"/>
        <w:numPr>
          <w:ilvl w:val="0"/>
          <w:numId w:val="7"/>
        </w:numPr>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多层级培训服务：</w:t>
      </w:r>
      <w:r>
        <w:rPr>
          <w:rFonts w:hint="eastAsia" w:ascii="宋体" w:hAnsi="宋体" w:eastAsia="宋体" w:cs="宋体"/>
          <w:sz w:val="24"/>
          <w:szCs w:val="24"/>
          <w:highlight w:val="none"/>
        </w:rPr>
        <w:t xml:space="preserve"> 免费为我院药学部及设备处提供专业培训，直到人员完全掌握并签字确认。培训分为： （1）操作药师培训：日常发药操作、智能药筐更换、直发/混发模式切换、简单卡药处理及应急预案演练。（2）管理人员培训：智慧后台管理、数据统计报表导出、库存预警设置、权限分配等。（3）设备科培训：硬件日常巡检保养、易损件更换及常规故障排查。</w:t>
      </w:r>
      <w:r/>
    </w:p>
    <w:p>
      <w:pPr>
        <w:pStyle w:val="778"/>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7.接口要求：</w:t>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7.1接口开发费用包含在投标报价中，中标人不得以任何理由另行收费。</w:t>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7.2中标人须在设备验收后30日内，向采购人提供完整的接口技术文档（包括接口协议、数据结构、调用方式等）。</w:t>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7.3中标人须承诺设备投入使用后，无条件配合采购人未来HIS升级或其他信息系统对接，不得另行收费。</w:t>
      </w:r>
      <w:r/>
    </w:p>
    <w:p>
      <w:pPr>
        <w:pStyle w:val="778"/>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8.配送与安装：</w:t>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8.1中标人负责将设备免费运送至采购人指定地点，并承担运输、保险、装卸等全部费用。</w:t>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8.2中标人须在接到采购人安装通知后7日内派工程师到场安装调试。</w:t>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8.3安装调试期间，中标人须遵守医院相关管理规定，做好现场防护，不得影响医院正常诊疗秩序。</w:t>
      </w:r>
      <w:r/>
    </w:p>
    <w:p>
      <w:pPr>
        <w:pStyle w:val="778"/>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9.保密要求：</w:t>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9.1中标人须与采购人签订《保密协议》，对接触到的患者信息、药品处方信息、HIS系统数据等承担严格保密义务。</w:t>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9.2未经采购人书面同意，中标人不得将上述数据用于任何商业目的或泄露给第三方。</w:t>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9.3违反保密义务的，中标人须承担由此造成的一切法律责任和经济损失。</w:t>
      </w:r>
      <w:r/>
    </w:p>
    <w:p>
      <w:pPr>
        <w:pStyle w:val="778"/>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10.知识产权归属：</w:t>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10.1设备硬件及内置软件的知识产权归中标人（或原厂）所有。</w:t>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10.2接口开发中产生的适配性代码及文档，中标人须向采购人开放使用权，采购人可无偿用于系统维护和升级。</w:t>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10.3因本项目产生的、专门为采购人定制开发的功能模块，其知识产权归属由双方另行约定，但中标人不得以此为由限制采购人对设备的使用。</w:t>
      </w:r>
      <w:r/>
    </w:p>
    <w:p>
      <w:pPr>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11.付款方式：</w:t>
      </w:r>
      <w:r/>
    </w:p>
    <w:p>
      <w:pPr>
        <w:ind w:right="-119"/>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1.所有设备安装调试完毕后，采购人收到供应商出具的合法有效发票后，于30个工作日内支付合同总价款的30%。</w:t>
      </w:r>
      <w:r/>
    </w:p>
    <w:p>
      <w:pPr>
        <w:ind w:right="-119"/>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2. 系统稳定运行3个月以上并验收合格后，采购人收到供应商出具的合法有效发票后，于30个工作日内支付合同总价款的60%。 </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3. 自验收合格满一年后，设备无运行障碍且售后服务到位，采购人收到供应商出具的合法有效发票后，于7个工作日内无息付清合同总价款的10%。</w:t>
      </w:r>
      <w:r/>
    </w:p>
    <w:p>
      <w:pPr>
        <w:numPr>
          <w:ilvl w:val="0"/>
          <w:numId w:val="8"/>
        </w:numPr>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履约保证金</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12.1合同签订前支付合同总金额的5%作为履约保证金。</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12.2履约保证金以银行转账、保函或采购人认可的其他形式提交。</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rPr>
          <w:rFonts w:hint="eastAsia" w:ascii="宋体" w:hAnsi="宋体" w:eastAsia="宋体" w:cs="宋体"/>
          <w:sz w:val="24"/>
          <w:szCs w:val="24"/>
          <w:highlight w:val="none"/>
        </w:rPr>
        <w:t xml:space="preserve">.3验收合格且</w:t>
      </w:r>
      <w:r>
        <w:rPr>
          <w:rFonts w:hint="eastAsia" w:ascii="宋体" w:hAnsi="宋体" w:eastAsia="宋体" w:cs="宋体"/>
          <w:sz w:val="24"/>
          <w:szCs w:val="24"/>
          <w:highlight w:val="none"/>
        </w:rPr>
        <w:t xml:space="preserve">中标人无未了结的违约事项后，采购人于30个工作日内无息退还履约保证金。</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12.4中标人出现下列情形之一的，采购人有权扣除部分或全部履约保证金：</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（1）未按合同约定时间交货，逾期超过7天；</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（2）最终验收不合格，且未在整改期内完成整改；</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（4）违反耗材兼容性承诺，设置技术壁垒限制使用通用耗材。</w:t>
      </w:r>
      <w:r/>
    </w:p>
    <w:p>
      <w:pPr>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13.违约金</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13.1交货逾期：每逾期一天，按合同总价的0.5%支付违约金。逾期超过15天，采购人有权单方解除合同，没收履约保证金。</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13.2验收不合格：中标人须在7日内完成整改；整改后仍不合格的，采购人有权解除合同，没收履约保证金，并要求赔偿全部损失。</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13.3售后违约：未在规定时间内到达现场的，每次扣合同总价的0.5%。累计超过3次，采购人有权委托第三方维修，费用由中标人承担。</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13.4耗材违约：违反耗材兼容性承诺，设置技术壁垒限制使用通用耗材的，采购人有权解除合同，没收履约保证金，并追究法律责任。</w:t>
      </w:r>
      <w:r/>
    </w:p>
    <w:p>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14.到货与安装验收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 实物核对：检查设备铭牌、型号与合同及投标文件一致。若包含属于医疗器械管理的部件，须核对《医疗器械注册证》。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14.2 清单核对：按照招标文件和合同清单，逐项核对快速发药主机、嵌入式高频发药系统、智能药筐（≥250个）、配套小推</w:t>
      </w:r>
      <w:r>
        <w:rPr>
          <w:rFonts w:hint="eastAsia" w:ascii="宋体" w:hAnsi="宋体" w:eastAsia="宋体" w:cs="宋体"/>
          <w:color w:val="auto"/>
          <w:sz w:val="24"/>
          <w:szCs w:val="24"/>
          <w:highlight w:val="none"/>
        </w:rPr>
        <w:t xml:space="preserve">车（6辆）</w:t>
      </w:r>
      <w:r>
        <w:rPr>
          <w:rFonts w:hint="eastAsia" w:ascii="宋体" w:hAnsi="宋体" w:eastAsia="宋体" w:cs="宋体"/>
          <w:sz w:val="24"/>
          <w:szCs w:val="24"/>
          <w:highlight w:val="none"/>
        </w:rPr>
        <w:t xml:space="preserve">、打印与贴签终端、通用耗材（打印纸、碳带），以及整体方案内包含的智能麻精柜、智能调配终端等配套设备。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14.3 外观与机械检查：表面无划痕，轨道、机械臂、传送带、加药抽屉及各活动部件平整、顺滑，无卡顿干涉。</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14.4 性能实测验收（核心）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14.4.1 效率与并发实测：在门诊业务高峰期或模拟高负荷状态下，连续运行60分钟。实测6个发药窗口独立并发处理能力，确认是否出现排队阻塞，总体发药速度必须≥药房原人工发药峰值速度。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14.4.2 准确率验证：随机抽取并追踪≥500张不同类型的处方（含单品种、多品种混合、大体积包装等），统计调配准确率。若出现1次药品错发或漏发，视为本项验收不合格。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14.4.3 防呆与拦截验证（智能纠错）：人为将药品扫码后放入错误槽位或轨道，测试设备加药系统是否100%识别、报警并物理锁定该通道禁止出药。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14.5 柔性传输与扫码测试：</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14.5.1防损测试： 模拟同一批次大量体积较大药品出药，验证系统是否能自动分批次转运，确保不因药筐过载而导致机器内部挤压、药品破损。</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14.5.2扫码测试： 随机投入带有国家医保追溯码的药品，验证系统扫码准确率是否达100%，且单盒扫码耗时低于人工高拍仪操作。</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14.6.系统对接与压力测试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14.6.1 数据闭环测试：模拟对接HIS系统及合理用药系统，发送各类门诊医嘱（含常规处方、急诊处方、儿科处方）。验证设备实时接收、库存精准扣减、医嘱状态回传等逻辑是否正确；测试“患者退号/退药”时，系统能否及时拦截未发出的药品。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14.6.2 断网与灾备续传：人为切断网络或服务器连接10分钟后恢复，验证设备本地数据缓存及断点续发能力，确保处方数据不丢失、不重复发药。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14.6.3 模式动态切换测试：验证系统后台能否按需无缝将指定窗口的属性在“直发模式”与“混发模式”之间进行切换，且不影响正在流转的药筐。</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14.7. 试运行期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14.7.1 安装调试并联调完毕后，设置连续30天的科室真实试运行期。试运行期内设备须承接门诊药房实际业务，由药学部人员实际上机操作。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14.7.2 故障率要求：试运行期间，非人为原因导致的严重机械/软件故障（如主轨道卡死、机械臂宕机、大面积软件瘫痪）次数不得超过 2次。单次导致全线停机无法发药超过 4小时，试运行期须重新计算。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14.7.3 培训与考核：药学部操作人员需通过厂家系统培训，能独立完成日常开机/结账、上药/加药、直发混发切换、卡药清理及简单故障排除。须提供详细的培训大纲、签到表及考核合格记录。</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14.8 最终验收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14.8.1 试运行期满，且试运行期间发现的所有软硬件问题均已由厂家整改完毕后，由采购人组织院内验收小组签署最终验收报告。</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14.8.2 退货条款：如设备在试运行期间反复出现重大故障，或各项核心指标（如发药速度、防呆拦截、追溯码上传）始终无法满足科室招标时的既定要求，采购人有权作退货退款处理，由此造成的院方损失及拆装清运费用均由中标方承担。</w:t>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★15.耗材兼容性要求（下述要求投标人请单独提供承诺函，无需在商务偏离表中响应）</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投标人须在投标文件中提供《耗材兼容性承诺函》，格式及内容要求如下：</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《耗材兼容性承诺函》</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致：____________________（采购人名称）</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我方作为____________________（项目名称）的投标人，郑重承诺如下：</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用耗材兼容：本次投标所供全自动单剂量分包机（型号：____________________）完全兼容通用开放式耗材，包括但不限于包装膜和碳带。设备不设置任何形式的专用芯片、加密狗、电子识别码、物理结构限制或其他技术壁垒，以阻止或限制医院使用符合国家标准的非原厂耗材。</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质保不受影响：我方承诺，医院使用符合国家标准的通用耗材，不会影响设备的正常性能，也不会导致设备质保服务失效、系统功能受限或软件升级受阻。</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价格锁定：我方承诺，质保期内，如医院选择采购我方供应耗材，供货价格不高于投标报价中列明的单包成本。</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违约后果：如我方违反上述承诺，包括但不限于设备在使用通用耗材时出现性能下降、系统报错、质保被单方面终止、或设置任何形式的技术限制，采购人有权：视为我方虚假应标，取消中标资格或解除合同；没收履约保证金；列入医院供应商黑名单，通报上级主管部门；</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追究我方相应法律责任。</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本承诺函作为投标文件的组成部分，与投标文件具有同等法律效力。</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投标人名称（加盖公章）：____________________</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法定代表人或授权代表（签字）：____________________</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日期：____________________</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16接口开发费用条款（下述两项投标人请单独提供承诺函，无需在商务偏离表中响应）</w:t>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★16.1接口费用承诺</w:t>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投标人须在投标文件中提供《接口费用承诺函》，格式及内容要求如下：</w:t>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78"/>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《接口费用承诺函》</w:t>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致：____________________（采购人名称）</w:t>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我方作为____________________（项目名称）的投标人，就本项目涉及的HIS系统对接事宜，郑重承诺如下：</w:t>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费用包含：本项目投标总价已包含与医院HIS系统对接所需的全部费用，包括但不限于接口开发、调试、测试、文档编制及后续维护费用。我方承诺在合同履行过程中，不以任何理由（包括但不限于接口复杂、需求变更、系统升级等）向采购人另行收取接口相关费用。</w:t>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2.费用明细（供参考，不作为收费依据）：</w:t>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接口开发费：______元</w:t>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接口调试费：______元</w:t>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接口文档编制费：______元</w:t>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接口维护费（质保期内）：______元</w:t>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本承诺函作为投标文件的组成部分，与投标文件具有同等法律效力。</w:t>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投标人名称（加盖公章）：____________________</w:t>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法定代表人或授权代表（签字）：____________________</w:t>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日期：____________________</w:t>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 长期接口维护承诺</w:t>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中标人须在投标文件中提供《长期接口维护承诺函》，格式及内容要求如下：</w:t>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78"/>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《长期接口维护承诺函》</w:t>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致：____________________（采购人名称）</w:t>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我方作为____________________（项目名称）的投标人，就本项目涉及的HIS系统接口长期维护事宜，郑重承诺如下：</w:t>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1.质保期内：质保期内，我院HIS系统如发生升级、变更或替换，我方承诺无条件配合接口适配调整，确保设备与HIS系统的正常对接，不另行收取任何费用。</w:t>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2.质保期满后：质保期满后，我院HIS系统如发生升级、变更或替换，我方承诺：</w:t>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①提供接口适配调整服务，仅收取合理人工成本（按实际工时×______元/小时计算）；</w:t>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②不设置任何技术壁垒或利用接口捆绑销售；</w:t>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③提前30日书面通知采购人接口适配所需时间及费用。</w:t>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3.接口开放承诺：我方承诺，不对接口设置任何形式的访问限制、调用次数限制、加密锁或授权机制，确保采购人及采购人授权的第三方能够正常调用接口进行系统维护和开发。</w:t>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4.违约后果：如我方违反上述承诺，包括但不限于利用接口技术壁垒拒绝配合、要求不合理高额费用、或设置技术限制的，采购人有权：</w:t>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①视为我方严重违约，解除合同；</w:t>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②没收履约保证金；</w:t>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③列入供应商黑名单。</w:t>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本承诺函作为投标文件的组成部分，与投标文件具有同等法律效力。</w:t>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投标人名称（加盖公章）：____________________</w:t>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法定代表人或授权代表（签字）：____________________</w:t>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日期：____________________</w:t>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4"/>
        <w:numPr>
          <w:ilvl w:val="0"/>
          <w:numId w:val="9"/>
        </w:numPr>
        <w:jc w:val="center"/>
        <w:spacing w:before="0" w:after="0" w:line="240" w:lineRule="auto"/>
        <w:rPr>
          <w:rFonts w:hint="eastAsia" w:cs="仿宋" w:asciiTheme="minorEastAsia" w:hAnsiTheme="minorEastAsia" w:eastAsiaTheme="minorEastAsia"/>
          <w:color w:val="000000" w:themeColor="text1"/>
          <w:sz w:val="32"/>
          <w:szCs w:val="32"/>
          <w:highlight w:val="none"/>
          <w14:textFill>
            <w14:solidFill>
              <w14:schemeClr w14:val="tx1"/>
            </w14:solidFill>
          </w14:textFill>
        </w:rPr>
      </w:pPr>
      <w:r>
        <w:rPr>
          <w:rFonts w:hint="eastAsia" w:cs="仿宋" w:asciiTheme="minorEastAsia" w:hAnsiTheme="minorEastAsia" w:eastAsiaTheme="minorEastAsia"/>
          <w:color w:val="000000" w:themeColor="text1"/>
          <w:sz w:val="32"/>
          <w:szCs w:val="32"/>
          <w:highlight w:val="none"/>
          <w14:textFill>
            <w14:solidFill>
              <w14:schemeClr w14:val="tx1"/>
            </w14:solidFill>
          </w14:textFill>
        </w:rPr>
        <w:t xml:space="preserve">评标办法及标准</w:t>
      </w:r>
      <w:bookmarkEnd w:id="42"/>
      <w:r/>
      <w:bookmarkEnd w:id="43"/>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一、评标办法：</w:t>
      </w:r>
      <w:r/>
    </w:p>
    <w:p>
      <w:pPr>
        <w:pStyle w:val="77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t xml:space="preserve">本项目评标采用综合评分法，总分为100分。合格投标人的综合得分为各评分项目汇总</w:t>
      </w:r>
      <w:r>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t xml:space="preserve">得分，最终得分为各评委所评定综合得分分值的平均值，并按高低顺序排列。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pStyle w:val="779"/>
        <w:ind w:firstLine="420"/>
        <w:jc w:val="both"/>
        <w:spacing w:before="0" w:beforeAutospacing="0" w:after="0" w:afterAutospacing="0" w:line="360" w:lineRule="auto"/>
        <w:shd w:val="clear" w:color="auto" w:fill="ffffff"/>
        <w:rPr>
          <w:rFonts w:hint="eastAsia" w:cs="仿宋" w:asciiTheme="minorEastAsia" w:hAnsiTheme="minorEastAsia" w:eastAsiaTheme="minorEastAsia"/>
          <w:b/>
          <w:bCs/>
          <w:color w:val="000000" w:themeColor="text1"/>
          <w:highlight w:val="none"/>
          <w:shd w:val="clear" w:color="auto" w:fill="ffffff"/>
          <w14:textFill>
            <w14:solidFill>
              <w14:schemeClr w14:val="tx1"/>
            </w14:solidFill>
          </w14:textFill>
        </w:rPr>
      </w:pPr>
      <w:r>
        <w:rPr>
          <w:rFonts w:hint="eastAsia" w:cs="仿宋" w:asciiTheme="minorEastAsia" w:hAnsiTheme="minorEastAsia" w:eastAsiaTheme="minorEastAsia"/>
          <w:b/>
          <w:bCs/>
          <w:color w:val="000000" w:themeColor="text1"/>
          <w:highlight w:val="none"/>
          <w:shd w:val="clear" w:color="auto" w:fill="ffffff"/>
          <w14:textFill>
            <w14:solidFill>
              <w14:schemeClr w14:val="tx1"/>
            </w14:solidFill>
          </w14:textFill>
        </w:rPr>
        <w:t xml:space="preserve">政府采购政策功能落实</w:t>
      </w:r>
      <w:r/>
    </w:p>
    <w:p>
      <w:pPr>
        <w:pStyle w:val="77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t xml:space="preserve">1、小微型企业价格扣除</w:t>
      </w:r>
      <w:r/>
    </w:p>
    <w:p>
      <w:pPr>
        <w:pStyle w:val="77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t xml:space="preserve">（1）本项目对小型和微型企业产品给予10%的扣除价格，用扣除后的价格参与评审。</w:t>
      </w:r>
      <w:r/>
    </w:p>
    <w:p>
      <w:pPr>
        <w:pStyle w:val="77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t xml:space="preserve">（2）供应商需按照采购文件的要求提供相应的《中小企业声明函》。</w:t>
      </w:r>
      <w:r/>
    </w:p>
    <w:p>
      <w:pPr>
        <w:pStyle w:val="77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t xml:space="preserve">（3）企业标准请参照《关于印发中小企业划型标准规定的通知》（工信部联企业[2011]300号）文件规定自行填写。</w:t>
      </w:r>
      <w:r/>
    </w:p>
    <w:p>
      <w:pPr>
        <w:pStyle w:val="77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t xml:space="preserve">2、残疾人福利单位价格扣除</w:t>
      </w:r>
      <w:r/>
    </w:p>
    <w:p>
      <w:pPr>
        <w:pStyle w:val="77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t xml:space="preserve">（1）本项目对残疾人福利性单位视同小型、微型企业，给予10%的价格扣除，用扣除后的价格参与评审。</w:t>
      </w:r>
      <w:r/>
    </w:p>
    <w:p>
      <w:pPr>
        <w:pStyle w:val="77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t xml:space="preserve">（2）残疾人福利单位需按照采购文件的要求提供《残疾人福利性单位声明函》。</w:t>
      </w:r>
      <w:r/>
    </w:p>
    <w:p>
      <w:pPr>
        <w:pStyle w:val="77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t xml:space="preserve">（3）残疾人福利单位标准请参照《关于促进残疾人就业政府采购政策的通知》（财库〔2017〕141号）。</w:t>
      </w:r>
      <w:r/>
    </w:p>
    <w:p>
      <w:pPr>
        <w:pStyle w:val="77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t xml:space="preserve">3、监狱和戒毒企业价格扣除</w:t>
      </w:r>
      <w:r/>
    </w:p>
    <w:p>
      <w:pPr>
        <w:pStyle w:val="77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t xml:space="preserve">（1）本项目对监狱和戒毒企业（简称监狱企业）视同小型、微型企业，给予10%的价格扣除，用扣除后的价格参与评审。</w:t>
      </w:r>
      <w:r/>
    </w:p>
    <w:p>
      <w:pPr>
        <w:pStyle w:val="77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7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t xml:space="preserve">（3）监狱企业标准请参照《关于政府采购支持监狱企业发展有关问题的通知》（财库[2014]68号）。</w:t>
      </w:r>
      <w:r/>
    </w:p>
    <w:p>
      <w:pPr>
        <w:pStyle w:val="77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t xml:space="preserve">4、残疾人福利单位、监狱企业属于小型、微型企业的，不重复享受政策。</w:t>
      </w:r>
      <w:r/>
    </w:p>
    <w:p>
      <w:pPr>
        <w:pStyle w:val="77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77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t xml:space="preserve">6、联合体各方均为小型、微型企业（残疾人福利单位、监狱企业）的，联合体享受10%价格扣除，用扣除后的价格参与评审。</w:t>
      </w:r>
      <w:r/>
    </w:p>
    <w:p>
      <w:pPr>
        <w:pStyle w:val="77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t xml:space="preserve">7、专门面向中小企业采购的项目，小微企业不再享受价格扣除优惠政策。</w:t>
      </w:r>
      <w:r/>
    </w:p>
    <w:p>
      <w:pPr>
        <w:pStyle w:val="77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t xml:space="preserve">8、采购本国产品的支持政策</w:t>
      </w:r>
      <w:r/>
    </w:p>
    <w:p>
      <w:pPr>
        <w:pStyle w:val="77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t xml:space="preserve">8.1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7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t xml:space="preserve">8.2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7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t xml:space="preserve">8.3 本项目政府采购活动中既有本国产品又有非本国产品参与竞争的，依法对本国产品给予价格评审优惠，对本国产品的报价给予  20%的价格扣除，用扣除后的价格参与评审。</w:t>
      </w:r>
      <w:r/>
    </w:p>
    <w:p>
      <w:pPr>
        <w:pStyle w:val="77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t xml:space="preserve">8.4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7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t xml:space="preserve">8.5 供应商需按照招标文件的要求提供《关于符合本国产品标准的声明函》（以下简称《声明函》），如不提供将不享受本国产品价格评审优惠。</w:t>
      </w:r>
      <w:r/>
    </w:p>
    <w:p>
      <w:pPr>
        <w:pStyle w:val="77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t xml:space="preserve">8.6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7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t xml:space="preserve">8.7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81"/>
        <w:ind w:firstLine="0"/>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bookmarkStart w:id="44" w:name="_Hlk147842034"/>
      <w:r>
        <w:rPr>
          <w:rFonts w:hint="eastAsia" w:ascii="宋体" w:hAnsi="宋体" w:eastAsia="宋体"/>
          <w:b/>
          <w:sz w:val="24"/>
          <w:szCs w:val="24"/>
          <w:highlight w:val="none"/>
        </w:rPr>
        <w:t xml:space="preserve">评标内容及标准</w:t>
      </w: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 </w:t>
      </w:r>
      <w:r/>
    </w:p>
    <w:tbl>
      <w:tblPr>
        <w:tblStyle w:val="7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1110"/>
        <w:gridCol w:w="45"/>
        <w:gridCol w:w="5753"/>
      </w:tblGrid>
      <w:tr>
        <w:trPr/>
        <w:tc>
          <w:tcPr>
            <w:gridSpan w:val="4"/>
            <w:tcW w:w="8522" w:type="dxa"/>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一、价格分（30分）</w:t>
            </w:r>
            <w:r/>
          </w:p>
          <w:p>
            <w:pPr>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1.1 设备价格分（25分）</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评审办法：采用评标基准价法。</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计算公式：投标报价得分 =（评标基准价 ÷ 投标报价）× 25分</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（1）有效投标报价指通过资格性审查和符合性审查且经评审无异常低价的投标报价。</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（2）因落实政府采购政策进行价格扣除的，以扣除后的价格参与基准价计算及评分。</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（3）投标报价高于最高限价（480万元）的，作无效投标处理。</w:t>
            </w:r>
            <w:r/>
          </w:p>
          <w:p>
            <w:pPr>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1.2 分包机耗材价格分（5分）</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评审办法：采用评标基准价法，计算方式同设备价格分。</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针对品目十四“单剂量分包机”配套耗材的单套单价进行评审。</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计算公式：耗材报价得分 =（耗材评标基准价 ÷ 投标人耗材报价）× 5分</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评标基准价的确定方式：独立计算，规则同设备价格分。</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投标人须在投标文件中单独提供《耗材报价明细表》，明确列明分包机配套耗材的规格、品牌及单价。未提供明细表的，本项得0分。</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【异常低价审查】（依据财库〔2026〕2号）</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评审中出现下列情形之一的，评审委员会应当启动异常低价审查程序：</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投标报价 &lt; 全部通过符合性审查供应商报价平均值 × 50%</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投标报价 &lt; 通过符合性审查的次低报价 × 50%</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投标报价 &lt; 最高限价 × 45%</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评审委员会基于专业判断，认为报价过低可能影响产品质量或诚信履约</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本项目以法定标准为审查启动条件，不提高至65%，以加大防范低价风险的力度。</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审查程序：</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评审委员会启动审查后，要求相关供应商在评审现场合理时间内提供书面说明及成本构成证明材料（包括但不限于原材料成本、人工成本、制造费用等），给予时间一般不少于30分钟。</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评审委员会参考同类项目价格、类似产品市场价格、行业人工费用标准、行业平均成本等对报价合理性进行判断。</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供应商不能提供说明、证明材料，或提供的材料不能证明报价合理性的，评审委员会应当将其作为无效投标处理。</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异常低价审查的启动原因、审查意见和审查结果应当在评审报告中记录，并随供应商提供的相关书面说明及证明材料一并归档。</w:t>
            </w:r>
            <w:r/>
          </w:p>
        </w:tc>
      </w:tr>
      <w:tr>
        <w:trPr/>
        <w:tc>
          <w:tcPr>
            <w:gridSpan w:val="4"/>
            <w:tcW w:w="8522" w:type="dxa"/>
            <w:textDirection w:val="lrTb"/>
            <w:noWrap w:val="false"/>
          </w:tcPr>
          <w:p>
            <w:pPr>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二、技术分（35分）</w:t>
            </w:r>
            <w:r/>
          </w:p>
          <w:p>
            <w:pPr>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2.1 技术评分总体规则</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评标委员会根据招标文件中《技术及商务要求》，结合投标文件提供的佐证材料等进行评审：</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基本规则：</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（1）全部满足技术指标基本要求（即所有非★、非▲的一般技术指标全部满足），得35分（技术分满分）。正偏离不加分。</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（2）有一项★号指标负偏离，做废标处理。</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（3）有一项▲号指标负偏离，扣3分。</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（4）有一项非★、非▲的一般指标负偏离，扣1分，扣完35分为止。</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佐证材料要求：</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★号、▲号指标须提供相关证明材料（包括但不限于制造商盖章的技术白皮书、Data Sheet、国家承认的第三方机构出具的检测报告、厂家公开发行的宣传彩页、音视频截图等），并在投标文件技术参数偏离表备注栏中标注相应证明文件页码，未标注页码的视为负偏离。</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失效判定（一票否决） ：</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技术部分负偏离项数超过全部技术指标总项数的半数，或技术得分经扣分后为0分，或经评委会评议负偏离可能实质性影响使用的，将判定为实质性不符合采购要求，做无效响应处理。</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验收追责条款：</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交付验收时，招标人将对技术规格要求中的★号、▲号指标进行逐一核实验收。如发现虚假应标，或无法实现关键技术指标功能的，招标人有权向采购主管部门进行举报，由中标供应商承担一切法律责任，并按相关法律法规条款处理。</w:t>
            </w:r>
            <w:r/>
          </w:p>
          <w:p>
            <w:pPr>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2.2无效响应触发条件</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出现下列情形之一的，判定为实质性不符合采购要求，做无效响应处理：</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（1）任一项★号指标负偏离；</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（2）技术得分经扣分后为0分；</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（3）技术部分负偏离项数超过全部技术指标总项数的半数；</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（4）经评委会评议，负偏离可能实质性影响使用。</w:t>
            </w:r>
            <w:r/>
          </w:p>
        </w:tc>
      </w:tr>
      <w:tr>
        <w:trPr/>
        <w:tc>
          <w:tcPr>
            <w:gridSpan w:val="4"/>
            <w:tcW w:w="8522" w:type="dxa"/>
            <w:textDirection w:val="lrTb"/>
            <w:noWrap w:val="false"/>
          </w:tcPr>
          <w:p>
            <w:pPr>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三、业绩分（</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分）</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提供2023年1月1日（含）以来（时间以合同签订时间为准）与本次投标产品同品牌同型号产品的销售业绩，每提供一个有效成功案例得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分，本项最高得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分，未提供不得分（提供销售合同复印件，其中合同关键信息如：品牌、型号、合同双方名称公章签订时间等信息需清晰可见无遮挡涂改</w:t>
            </w:r>
            <w:r/>
          </w:p>
        </w:tc>
      </w:tr>
      <w:tr>
        <w:trPr/>
        <w:tc>
          <w:tcPr>
            <w:gridSpan w:val="4"/>
            <w:tcW w:w="8522" w:type="dxa"/>
            <w:textDirection w:val="lrTb"/>
            <w:noWrap w:val="false"/>
          </w:tcPr>
          <w:p>
            <w:pPr>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w:t>
            </w:r>
            <w:r>
              <w:rPr>
                <w:rFonts w:hint="eastAsia" w:ascii="宋体" w:hAnsi="宋体" w:eastAsia="宋体" w:cs="宋体"/>
                <w:b/>
                <w:bCs/>
                <w:sz w:val="24"/>
                <w:szCs w:val="24"/>
                <w:highlight w:val="none"/>
              </w:rPr>
              <w:t xml:space="preserve">、培训服务方案（</w:t>
            </w:r>
            <w:r>
              <w:rPr>
                <w:rFonts w:hint="eastAsia" w:ascii="宋体" w:hAnsi="宋体" w:eastAsia="宋体" w:cs="宋体"/>
                <w:b/>
                <w:bCs/>
                <w:sz w:val="24"/>
                <w:szCs w:val="24"/>
                <w:highlight w:val="none"/>
                <w:lang w:val="en-US" w:eastAsia="zh-CN"/>
              </w:rPr>
              <w:t xml:space="preserve">9</w:t>
            </w:r>
            <w:r>
              <w:rPr>
                <w:rFonts w:hint="eastAsia" w:ascii="宋体" w:hAnsi="宋体" w:eastAsia="宋体" w:cs="宋体"/>
                <w:b/>
                <w:bCs/>
                <w:sz w:val="24"/>
                <w:szCs w:val="24"/>
                <w:highlight w:val="none"/>
              </w:rPr>
              <w:t xml:space="preserve">分）</w:t>
            </w:r>
            <w:r/>
          </w:p>
        </w:tc>
      </w:tr>
      <w:tr>
        <w:trPr/>
        <w:tc>
          <w:tcPr>
            <w:tcW w:w="1609" w:type="dxa"/>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评审等级</w:t>
            </w:r>
            <w:r/>
          </w:p>
        </w:tc>
        <w:tc>
          <w:tcPr>
            <w:tcW w:w="1111" w:type="dxa"/>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分值</w:t>
            </w:r>
            <w:r/>
          </w:p>
        </w:tc>
        <w:tc>
          <w:tcPr>
            <w:gridSpan w:val="2"/>
            <w:tcW w:w="5802" w:type="dxa"/>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评审标准</w:t>
            </w:r>
            <w:r/>
          </w:p>
        </w:tc>
      </w:tr>
      <w:tr>
        <w:trPr/>
        <w:tc>
          <w:tcPr>
            <w:tcW w:w="160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优秀</w:t>
            </w:r>
            <w:r/>
          </w:p>
        </w:tc>
        <w:tc>
          <w:tcPr>
            <w:tcW w:w="111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p>
        </w:tc>
        <w:tc>
          <w:tcPr>
            <w:gridSpan w:val="2"/>
            <w:tcW w:w="5802" w:type="dxa"/>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三类人员差异化培训，总时长≥5天，有考核机制，提供全套资料及≥3个月在线答疑，有复训承诺。</w:t>
            </w:r>
            <w:r/>
          </w:p>
        </w:tc>
      </w:tr>
      <w:tr>
        <w:trPr/>
        <w:tc>
          <w:tcPr>
            <w:tcW w:w="160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良好</w:t>
            </w:r>
            <w:r/>
          </w:p>
        </w:tc>
        <w:tc>
          <w:tcPr>
            <w:tcW w:w="111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分</w:t>
            </w:r>
            <w:r/>
          </w:p>
        </w:tc>
        <w:tc>
          <w:tcPr>
            <w:gridSpan w:val="2"/>
            <w:tcW w:w="5802" w:type="dxa"/>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区分三类对象，培训≥3天，有考核记录，资料完整。</w:t>
            </w:r>
            <w:r/>
          </w:p>
        </w:tc>
      </w:tr>
      <w:tr>
        <w:trPr/>
        <w:tc>
          <w:tcPr>
            <w:tcW w:w="160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一般</w:t>
            </w:r>
            <w:r/>
          </w:p>
        </w:tc>
        <w:tc>
          <w:tcPr>
            <w:tcW w:w="111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tc>
        <w:tc>
          <w:tcPr>
            <w:gridSpan w:val="2"/>
            <w:tcW w:w="5802" w:type="dxa"/>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对象区分不清晰，培训≥1天，考核不明确，资料不完整。</w:t>
            </w:r>
            <w:r/>
          </w:p>
        </w:tc>
      </w:tr>
      <w:tr>
        <w:trPr/>
        <w:tc>
          <w:tcPr>
            <w:tcW w:w="160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较差</w:t>
            </w:r>
            <w:r/>
          </w:p>
        </w:tc>
        <w:tc>
          <w:tcPr>
            <w:tcW w:w="111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1分</w:t>
            </w:r>
            <w:r/>
          </w:p>
        </w:tc>
        <w:tc>
          <w:tcPr>
            <w:gridSpan w:val="2"/>
            <w:tcW w:w="5802" w:type="dxa"/>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方案粗略，未说明时长/对象/方式，与本项目关联弱。</w:t>
            </w:r>
            <w:r/>
          </w:p>
        </w:tc>
      </w:tr>
      <w:tr>
        <w:trPr/>
        <w:tc>
          <w:tcPr>
            <w:tcW w:w="160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无方案</w:t>
            </w:r>
            <w:r/>
          </w:p>
        </w:tc>
        <w:tc>
          <w:tcPr>
            <w:tcW w:w="111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0分</w:t>
            </w:r>
            <w:r/>
          </w:p>
        </w:tc>
        <w:tc>
          <w:tcPr>
            <w:gridSpan w:val="2"/>
            <w:tcW w:w="5802" w:type="dxa"/>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未提供培训方案。</w:t>
            </w:r>
            <w:r/>
          </w:p>
        </w:tc>
      </w:tr>
      <w:tr>
        <w:trPr/>
        <w:tc>
          <w:tcPr>
            <w:gridSpan w:val="4"/>
            <w:tcW w:w="8522" w:type="dxa"/>
            <w:textDirection w:val="lrTb"/>
            <w:noWrap w:val="false"/>
          </w:tcPr>
          <w:p>
            <w:pPr>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五、售后服务方案（1</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分）</w:t>
            </w:r>
            <w:r/>
          </w:p>
        </w:tc>
      </w:tr>
      <w:tr>
        <w:trPr/>
        <w:tc>
          <w:tcPr>
            <w:gridSpan w:val="4"/>
            <w:tcW w:w="8522" w:type="dxa"/>
            <w:textDirection w:val="lrTb"/>
            <w:noWrap w:val="false"/>
          </w:tcPr>
          <w:p>
            <w:pPr>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5.1 质保期加分（3分）</w:t>
            </w:r>
            <w:r/>
          </w:p>
        </w:tc>
      </w:tr>
      <w:tr>
        <w:trPr/>
        <w:tc>
          <w:tcPr>
            <w:gridSpan w:val="2"/>
            <w:tcW w:w="2720" w:type="dxa"/>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质保期限</w:t>
            </w:r>
            <w:r/>
          </w:p>
        </w:tc>
        <w:tc>
          <w:tcPr>
            <w:gridSpan w:val="2"/>
            <w:tcW w:w="5802" w:type="dxa"/>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得分</w:t>
            </w:r>
            <w:r/>
          </w:p>
        </w:tc>
      </w:tr>
      <w:tr>
        <w:trPr/>
        <w:tc>
          <w:tcPr>
            <w:gridSpan w:val="2"/>
            <w:tcW w:w="2720"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满足5年全免费质保</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（基础要求）</w:t>
            </w:r>
            <w:r/>
          </w:p>
        </w:tc>
        <w:tc>
          <w:tcPr>
            <w:gridSpan w:val="2"/>
            <w:tcW w:w="5802"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0分</w:t>
            </w:r>
            <w:r/>
          </w:p>
        </w:tc>
      </w:tr>
      <w:tr>
        <w:trPr/>
        <w:tc>
          <w:tcPr>
            <w:gridSpan w:val="2"/>
            <w:tcW w:w="2720"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额外增加1年</w:t>
            </w:r>
            <w:r/>
          </w:p>
        </w:tc>
        <w:tc>
          <w:tcPr>
            <w:gridSpan w:val="2"/>
            <w:tcW w:w="5802"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1.5分</w:t>
            </w:r>
            <w:r/>
          </w:p>
        </w:tc>
      </w:tr>
      <w:tr>
        <w:trPr/>
        <w:tc>
          <w:tcPr>
            <w:gridSpan w:val="2"/>
            <w:tcW w:w="2720"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额外增加2年及以上</w:t>
            </w:r>
            <w:r/>
          </w:p>
        </w:tc>
        <w:tc>
          <w:tcPr>
            <w:gridSpan w:val="2"/>
            <w:tcW w:w="5802"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3分</w:t>
            </w:r>
            <w:r/>
          </w:p>
        </w:tc>
      </w:tr>
      <w:tr>
        <w:trPr/>
        <w:tc>
          <w:tcPr>
            <w:gridSpan w:val="4"/>
            <w:tcW w:w="8522" w:type="dxa"/>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质保期不足5年的，按无效投标处理。须提供《原厂质保承诺函》并加盖制造商公章，否则本项不得分。</w:t>
            </w:r>
            <w:r/>
          </w:p>
        </w:tc>
      </w:tr>
      <w:tr>
        <w:trPr/>
        <w:tc>
          <w:tcPr>
            <w:gridSpan w:val="4"/>
            <w:tcW w:w="8522" w:type="dxa"/>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5.2 </w:t>
            </w:r>
            <w:r>
              <w:rPr>
                <w:rFonts w:hint="eastAsia" w:ascii="宋体" w:hAnsi="宋体" w:eastAsia="宋体" w:cs="宋体"/>
                <w:b/>
                <w:bCs/>
                <w:sz w:val="24"/>
                <w:szCs w:val="24"/>
                <w:highlight w:val="none"/>
              </w:rPr>
              <w:t xml:space="preserve">售后服务方案质量（</w:t>
            </w:r>
            <w:r>
              <w:rPr>
                <w:rFonts w:hint="eastAsia" w:ascii="宋体" w:hAnsi="宋体" w:eastAsia="宋体" w:cs="宋体"/>
                <w:b/>
                <w:bCs/>
                <w:sz w:val="24"/>
                <w:szCs w:val="24"/>
                <w:highlight w:val="none"/>
                <w:lang w:val="en-US" w:eastAsia="zh-CN"/>
              </w:rPr>
              <w:t xml:space="preserve">9</w:t>
            </w:r>
            <w:r>
              <w:rPr>
                <w:rFonts w:hint="eastAsia" w:ascii="宋体" w:hAnsi="宋体" w:eastAsia="宋体" w:cs="宋体"/>
                <w:b/>
                <w:bCs/>
                <w:sz w:val="24"/>
                <w:szCs w:val="24"/>
                <w:highlight w:val="none"/>
              </w:rPr>
              <w:t xml:space="preserve">分）</w:t>
            </w:r>
            <w:r/>
          </w:p>
        </w:tc>
      </w:tr>
      <w:tr>
        <w:trPr/>
        <w:tc>
          <w:tcPr>
            <w:tcW w:w="1609" w:type="dxa"/>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评审等级</w:t>
            </w:r>
            <w:r/>
          </w:p>
        </w:tc>
        <w:tc>
          <w:tcPr>
            <w:gridSpan w:val="2"/>
            <w:tcW w:w="1156" w:type="dxa"/>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分值</w:t>
            </w:r>
            <w:r/>
          </w:p>
        </w:tc>
        <w:tc>
          <w:tcPr>
            <w:tcW w:w="5757" w:type="dxa"/>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评审标准</w:t>
            </w:r>
            <w:r/>
          </w:p>
        </w:tc>
      </w:tr>
      <w:tr>
        <w:trPr/>
        <w:tc>
          <w:tcPr>
            <w:tcW w:w="160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优秀</w:t>
            </w:r>
            <w:r/>
          </w:p>
        </w:tc>
        <w:tc>
          <w:tcPr>
            <w:gridSpan w:val="2"/>
            <w:tcW w:w="115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p>
        </w:tc>
        <w:tc>
          <w:tcPr>
            <w:tcW w:w="5757"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7×24h，≤0.5h远程响应，≤2h到场；驻场≥6个月；江苏实体备件库（附证明），备件≥15%；季度巡检；终身免费接口升级；专属团队。</w:t>
            </w:r>
            <w:r/>
          </w:p>
        </w:tc>
      </w:tr>
      <w:tr>
        <w:trPr/>
        <w:tc>
          <w:tcPr>
            <w:tcW w:w="160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良好</w:t>
            </w:r>
            <w:r/>
          </w:p>
        </w:tc>
        <w:tc>
          <w:tcPr>
            <w:gridSpan w:val="2"/>
            <w:tcW w:w="115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分</w:t>
            </w:r>
            <w:r/>
          </w:p>
        </w:tc>
        <w:tc>
          <w:tcPr>
            <w:tcW w:w="5757"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7×24h，≤1h远程响应，≤3h到场；驻场3个月；江苏服务网点及备件库，备件≥10%；半年巡检；提供承诺函。</w:t>
            </w:r>
            <w:r/>
          </w:p>
        </w:tc>
      </w:tr>
      <w:tr>
        <w:trPr/>
        <w:tc>
          <w:tcPr>
            <w:tcW w:w="160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一般</w:t>
            </w:r>
            <w:r/>
          </w:p>
        </w:tc>
        <w:tc>
          <w:tcPr>
            <w:gridSpan w:val="2"/>
            <w:tcW w:w="115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tc>
        <w:tc>
          <w:tcPr>
            <w:tcW w:w="5757"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响应时效模糊；驻场＜1个月或无明确；备件证明缺失；巡检缺失或模糊。</w:t>
            </w:r>
            <w:r/>
          </w:p>
        </w:tc>
      </w:tr>
      <w:tr>
        <w:trPr/>
        <w:tc>
          <w:tcPr>
            <w:tcW w:w="160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较差</w:t>
            </w:r>
            <w:r/>
          </w:p>
        </w:tc>
        <w:tc>
          <w:tcPr>
            <w:gridSpan w:val="2"/>
            <w:tcW w:w="115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1分</w:t>
            </w:r>
            <w:r/>
          </w:p>
        </w:tc>
        <w:tc>
          <w:tcPr>
            <w:tcW w:w="5757"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仅承诺质保年限，无具体响应/备件/巡检内容；核心承诺函缺失。</w:t>
            </w:r>
            <w:r/>
          </w:p>
        </w:tc>
      </w:tr>
      <w:tr>
        <w:trPr/>
        <w:tc>
          <w:tcPr>
            <w:tcW w:w="160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无方案</w:t>
            </w:r>
            <w:r/>
          </w:p>
        </w:tc>
        <w:tc>
          <w:tcPr>
            <w:gridSpan w:val="2"/>
            <w:tcW w:w="115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0分</w:t>
            </w:r>
            <w:r/>
          </w:p>
        </w:tc>
        <w:tc>
          <w:tcPr>
            <w:tcW w:w="5757"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未提供售后服务方案。</w:t>
            </w:r>
            <w:r/>
          </w:p>
        </w:tc>
      </w:tr>
      <w:tr>
        <w:trPr/>
        <w:tc>
          <w:tcPr>
            <w:gridSpan w:val="4"/>
            <w:tcW w:w="8522" w:type="dxa"/>
            <w:vAlign w:val="center"/>
            <w:textDirection w:val="lrTb"/>
            <w:noWrap w:val="false"/>
          </w:tcPr>
          <w:p>
            <w:pPr>
              <w:numPr>
                <w:ilvl w:val="0"/>
                <w:numId w:val="10"/>
              </w:numPr>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项目实施与风险管理方案（</w:t>
            </w:r>
            <w:r>
              <w:rPr>
                <w:rFonts w:hint="eastAsia" w:ascii="宋体" w:hAnsi="宋体" w:eastAsia="宋体" w:cs="宋体"/>
                <w:b/>
                <w:bCs/>
                <w:sz w:val="24"/>
                <w:szCs w:val="24"/>
                <w:highlight w:val="none"/>
                <w:lang w:val="en-US" w:eastAsia="zh-CN"/>
              </w:rPr>
              <w:t xml:space="preserve">9</w:t>
            </w:r>
            <w:r>
              <w:rPr>
                <w:rFonts w:hint="eastAsia" w:ascii="宋体" w:hAnsi="宋体" w:eastAsia="宋体" w:cs="宋体"/>
                <w:b/>
                <w:bCs/>
                <w:sz w:val="24"/>
                <w:szCs w:val="24"/>
                <w:highlight w:val="none"/>
              </w:rPr>
              <w:t xml:space="preserve">分）</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投标人须围绕以下三个核心要素提供完整的方案：</w:t>
            </w:r>
            <w:r/>
          </w:p>
          <w:p>
            <w:pPr>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要素一：并行切换方案</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本项目实施期间门诊药房须不间断营业。投标人须提供详细的新老系统/设备并行运行与平滑切换方案，须包含以下内容：</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（1）设备安装调试期间，药房如何维持正常发药业务；</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（2）从老系统/设备切换到新系统的具体时间节点（明确到“第X天完成XX工作”），如“第1-7天完成快速发药机安装，第8-14天完成系统联调，第15天启动试运行”；</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（3）试运行期间新老系统并行运行的过渡安排；</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（4）切换失败的回退预案（如发生切换失败时如何在规定时间内恢复原系统运行）。</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要素二：多部门协同方案</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本项目涉及医院HIS对接、资产验收、业务使用多部门协同。投标人须提供：</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（1）明确的项目组织架构图（含投标方项目经理、实施工程师、软件工程师等角色）；</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（2）各部门职责分工表；</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（3）项目各阶段的沟通协调机制。</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要素三：风险管理方案</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针对本项目三类核心风险，分别提供具体的应对预案：</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（1）设备到货延迟风险：如因生产、物流等原因导致设备无法按期到货（合同签订后14天内交货），投标人如何应对；</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（2）HIS对接失败风险：如因接口技术问题导致HIS无法正常对接，投标人的技术保障措施和时间承诺；</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（3）试运行重大故障风险：如试运行期间发生全线停机等严重影响药房发药的故障，投标人的应急抢修方案和业务保障措施（含驻场工程师快速介入的具体流程）。</w:t>
            </w:r>
            <w:r/>
          </w:p>
        </w:tc>
      </w:tr>
      <w:tr>
        <w:trPr/>
        <w:tc>
          <w:tcPr>
            <w:tcW w:w="1609" w:type="dxa"/>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评审等级</w:t>
            </w:r>
            <w:r/>
          </w:p>
        </w:tc>
        <w:tc>
          <w:tcPr>
            <w:gridSpan w:val="2"/>
            <w:tcW w:w="1156" w:type="dxa"/>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分值</w:t>
            </w:r>
            <w:r/>
          </w:p>
        </w:tc>
        <w:tc>
          <w:tcPr>
            <w:tcW w:w="5757" w:type="dxa"/>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评审标准</w:t>
            </w:r>
            <w:r/>
          </w:p>
        </w:tc>
      </w:tr>
      <w:tr>
        <w:trPr/>
        <w:tc>
          <w:tcPr>
            <w:tcW w:w="160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优秀</w:t>
            </w:r>
            <w:r/>
          </w:p>
        </w:tc>
        <w:tc>
          <w:tcPr>
            <w:gridSpan w:val="2"/>
            <w:tcW w:w="115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p>
        </w:tc>
        <w:tc>
          <w:tcPr>
            <w:tcW w:w="5757"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包含以上全部3项要素，且方案内容详实、时间节点明确（具体到天）、职责分工清晰、预案具体可操作。</w:t>
            </w:r>
            <w:r/>
          </w:p>
        </w:tc>
      </w:tr>
      <w:tr>
        <w:trPr/>
        <w:tc>
          <w:tcPr>
            <w:tcW w:w="160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良好</w:t>
            </w:r>
            <w:r/>
          </w:p>
        </w:tc>
        <w:tc>
          <w:tcPr>
            <w:gridSpan w:val="2"/>
            <w:tcW w:w="115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分</w:t>
            </w:r>
            <w:r/>
          </w:p>
        </w:tc>
        <w:tc>
          <w:tcPr>
            <w:tcW w:w="5757"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包含以上任意2项要素，方案较为完整。</w:t>
            </w:r>
            <w:r/>
          </w:p>
        </w:tc>
      </w:tr>
      <w:tr>
        <w:trPr>
          <w:trHeight w:val="279"/>
        </w:trPr>
        <w:tc>
          <w:tcPr>
            <w:tcW w:w="160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一般</w:t>
            </w:r>
            <w:r/>
          </w:p>
        </w:tc>
        <w:tc>
          <w:tcPr>
            <w:gridSpan w:val="2"/>
            <w:tcW w:w="115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tc>
        <w:tc>
          <w:tcPr>
            <w:tcW w:w="5757"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包含以上任意1项要素，方案基本完整。</w:t>
            </w:r>
            <w:r/>
          </w:p>
        </w:tc>
      </w:tr>
      <w:tr>
        <w:trPr/>
        <w:tc>
          <w:tcPr>
            <w:tcW w:w="160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较差</w:t>
            </w:r>
            <w:r/>
          </w:p>
        </w:tc>
        <w:tc>
          <w:tcPr>
            <w:gridSpan w:val="2"/>
            <w:tcW w:w="115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1分</w:t>
            </w:r>
            <w:r/>
          </w:p>
        </w:tc>
        <w:tc>
          <w:tcPr>
            <w:tcW w:w="5757"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方案内容粗略，仅简单提及，未包含上述要素或内容与本项目关联弱。</w:t>
            </w:r>
            <w:r/>
          </w:p>
        </w:tc>
      </w:tr>
      <w:tr>
        <w:trPr/>
        <w:tc>
          <w:tcPr>
            <w:tcW w:w="0" w:type="auto"/>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无方案</w:t>
            </w:r>
            <w:r/>
          </w:p>
        </w:tc>
        <w:tc>
          <w:tcPr>
            <w:gridSpan w:val="2"/>
            <w:tcW w:w="115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0分</w:t>
            </w:r>
            <w:r/>
          </w:p>
        </w:tc>
        <w:tc>
          <w:tcPr>
            <w:tcW w:w="5757" w:type="dxa"/>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未提供项目实施与风险管理方案相关内容。</w:t>
            </w:r>
            <w:r/>
          </w:p>
        </w:tc>
      </w:tr>
    </w:tbl>
    <w:p>
      <w:pPr>
        <w:pStyle w:val="781"/>
        <w:ind w:firstLine="0"/>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r>
      <w:r/>
    </w:p>
    <w:p>
      <w:pPr>
        <w:pStyle w:val="781"/>
        <w:ind w:firstLine="0"/>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三、推荐中标候选人:</w:t>
      </w:r>
      <w:r/>
    </w:p>
    <w:p>
      <w:pPr>
        <w:ind w:firstLine="488"/>
        <w:spacing w:line="360" w:lineRule="auto"/>
        <w:rPr>
          <w:rFonts w:hint="eastAsia" w:cs="仿宋" w:asciiTheme="minorEastAsia" w:hAnsiTheme="minorEastAsia" w:eastAsiaTheme="minorEastAsia"/>
          <w:bCs/>
          <w:color w:val="000000" w:themeColor="text1"/>
          <w:sz w:val="24"/>
          <w:szCs w:val="24"/>
          <w:highlight w:val="none"/>
          <w14:textFill>
            <w14:solidFill>
              <w14:schemeClr w14:val="tx1"/>
            </w14:solidFill>
          </w14:textFill>
        </w:rPr>
        <w:sectPr>
          <w:headerReference w:type="default" r:id="rId9"/>
          <w:footerReference w:type="default" r:id="rId10"/>
          <w:footerReference w:type="first" r:id="rId11"/>
          <w:footnotePr/>
          <w:endnotePr/>
          <w:type w:val="nextPage"/>
          <w:pgSz w:w="11906" w:h="16838" w:orient="portrait"/>
          <w:pgMar w:top="1440" w:right="1803" w:bottom="1440" w:left="1803" w:header="680" w:footer="737" w:gutter="0"/>
          <w:cols w:num="1" w:sep="0" w:space="1701" w:equalWidth="1"/>
          <w:docGrid w:linePitch="360"/>
          <w:titlePg/>
        </w:sectPr>
      </w:pPr>
      <w:r>
        <w:rPr>
          <w:rFonts w:hint="eastAsia" w:cs="仿宋" w:asciiTheme="minorEastAsia" w:hAnsiTheme="minorEastAsia" w:eastAsiaTheme="minorEastAsia"/>
          <w:bCs/>
          <w:color w:val="000000" w:themeColor="text1"/>
          <w:sz w:val="24"/>
          <w:szCs w:val="24"/>
          <w:highlight w:val="none"/>
          <w14:textFill>
            <w14:solidFill>
              <w14:schemeClr w14:val="tx1"/>
            </w14:solidFill>
          </w14:textFill>
        </w:rPr>
        <w:t xml:space="preserve">汇总上述各项分值（保留两位小数,小数点后第三位四舍五入），按总得分由高到低的顺序排列,综合得分最高的为中标候</w:t>
      </w:r>
      <w:bookmarkEnd w:id="44"/>
      <w:r/>
      <w:r/>
    </w:p>
    <w:p>
      <w:pPr>
        <w:spacing w:line="300" w:lineRule="auto"/>
        <w:rPr>
          <w:rFonts w:hint="eastAsia" w:cs="仿宋" w:asciiTheme="minorEastAsia" w:hAnsiTheme="minorEastAsia" w:eastAsiaTheme="minorEastAsia"/>
          <w:b/>
          <w:color w:val="000000" w:themeColor="text1"/>
          <w:sz w:val="32"/>
          <w:szCs w:val="32"/>
          <w:highlight w:val="none"/>
          <w14:textFill>
            <w14:solidFill>
              <w14:schemeClr w14:val="tx1"/>
            </w14:solidFill>
          </w14:textFill>
        </w:rPr>
        <w:outlineLvl w:val="0"/>
      </w:pPr>
      <w:r>
        <w:rPr>
          <w:rFonts w:hint="eastAsia" w:cs="仿宋" w:asciiTheme="minorEastAsia" w:hAnsiTheme="minorEastAsia" w:eastAsiaTheme="minorEastAsia"/>
          <w:b/>
          <w:color w:val="000000" w:themeColor="text1"/>
          <w:sz w:val="32"/>
          <w:szCs w:val="32"/>
          <w:highlight w:val="none"/>
          <w14:textFill>
            <w14:solidFill>
              <w14:schemeClr w14:val="tx1"/>
            </w14:solidFill>
          </w14:textFill>
        </w:rPr>
      </w:r>
      <w:r/>
    </w:p>
    <w:p>
      <w:pPr>
        <w:jc w:val="center"/>
        <w:spacing w:line="300" w:lineRule="auto"/>
        <w:rPr>
          <w:rFonts w:hint="eastAsia" w:cs="仿宋" w:asciiTheme="minorEastAsia" w:hAnsiTheme="minorEastAsia" w:eastAsiaTheme="minorEastAsia"/>
          <w:b/>
          <w:color w:val="000000" w:themeColor="text1"/>
          <w:sz w:val="32"/>
          <w:szCs w:val="32"/>
          <w:highlight w:val="none"/>
          <w14:textFill>
            <w14:solidFill>
              <w14:schemeClr w14:val="tx1"/>
            </w14:solidFill>
          </w14:textFill>
        </w:rPr>
        <w:outlineLvl w:val="0"/>
      </w:pPr>
      <w:r>
        <w:rPr>
          <w:rFonts w:hint="eastAsia" w:cs="仿宋" w:asciiTheme="minorEastAsia" w:hAnsiTheme="minorEastAsia" w:eastAsiaTheme="minorEastAsia"/>
          <w:b/>
          <w:color w:val="000000" w:themeColor="text1"/>
          <w:sz w:val="32"/>
          <w:szCs w:val="32"/>
          <w:highlight w:val="none"/>
          <w14:textFill>
            <w14:solidFill>
              <w14:schemeClr w14:val="tx1"/>
            </w14:solidFill>
          </w14:textFill>
        </w:rPr>
        <w:t xml:space="preserve">第五章 合同条款</w:t>
      </w:r>
      <w:r/>
    </w:p>
    <w:p>
      <w:pPr>
        <w:ind w:firstLine="567"/>
        <w:jc w:val="center"/>
        <w:rPr>
          <w:rFonts w:hint="eastAsia" w:ascii="宋体" w:hAnsi="宋体" w:eastAsia="宋体" w:cs="仿宋"/>
          <w:bCs/>
          <w:color w:val="000000" w:themeColor="text1"/>
          <w:sz w:val="24"/>
          <w:szCs w:val="24"/>
          <w:highlight w:val="none"/>
          <w14:textFill>
            <w14:solidFill>
              <w14:schemeClr w14:val="tx1"/>
            </w14:solidFill>
          </w14:textFill>
        </w:rPr>
      </w:pPr>
      <w:r>
        <w:rPr>
          <w:rFonts w:hint="eastAsia" w:ascii="宋体" w:hAnsi="宋体" w:eastAsia="宋体" w:cs="仿宋"/>
          <w:bCs/>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以下为成交后签订本项目合同的通用条款，成交供应商不得提出实质性的修改，关于专用条款将由采购人与成交供应商结合本项目具体情况协商后签订。</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设备采购合同</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委托方：                                         （以下简称甲方）</w:t>
      </w:r>
      <w:r/>
    </w:p>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  </w:t>
      </w:r>
      <w:r/>
    </w:p>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            电话：                 邮箱：</w:t>
      </w:r>
      <w:r/>
    </w:p>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受托方：泰州市第四人民医院                       （以下简称乙方）</w:t>
      </w:r>
      <w:r/>
    </w:p>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地址：泰州市海陵区鼓楼北路99号              </w:t>
      </w:r>
      <w:r/>
    </w:p>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            电话：                 邮箱：</w:t>
      </w:r>
      <w:r/>
    </w:p>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中标方：                                         （以下简称丙方）</w:t>
      </w:r>
      <w:r/>
    </w:p>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             </w:t>
      </w:r>
      <w:r/>
    </w:p>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            电话：                 邮箱：</w:t>
      </w:r>
      <w:r/>
    </w:p>
    <w:p>
      <w:pPr>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丙方在参与甲方委托乙方组织实施的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医疗设备采购项目中中标，根据《中华人民共和国民法典》及相关规定，甲、乙、丙三方就采购以下货物事宜，经友好协商，订立如下合同：</w:t>
      </w:r>
      <w:r/>
    </w:p>
    <w:p>
      <w:pPr>
        <w:jc w:val="left"/>
        <w:spacing w:line="36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一、委托范围及采购内容</w:t>
      </w:r>
      <w:r/>
    </w:p>
    <w:p>
      <w:pPr>
        <w:ind w:left="360" w:hanging="360"/>
        <w:jc w:val="left"/>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1、乙方接受甲方委托并以乙方名义对下述医疗设备实施采购。</w:t>
      </w:r>
      <w:r/>
    </w:p>
    <w:tbl>
      <w:tblPr>
        <w:tblStyle w:val="756"/>
        <w:tblpPr w:horzAnchor="page" w:tblpX="1525" w:vertAnchor="text" w:tblpY="37" w:leftFromText="180" w:topFromText="0" w:rightFromText="180" w:bottomFromText="0"/>
        <w:tblW w:w="92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1747"/>
        <w:gridCol w:w="1296"/>
        <w:gridCol w:w="1145"/>
        <w:gridCol w:w="1122"/>
        <w:gridCol w:w="570"/>
        <w:gridCol w:w="607"/>
        <w:gridCol w:w="1335"/>
        <w:gridCol w:w="1410"/>
      </w:tblGrid>
      <w:tr>
        <w:trPr>
          <w:trHeight w:val="450"/>
        </w:trPr>
        <w:tc>
          <w:tcPr>
            <w:tcBorders>
              <w:top w:val="single" w:color="auto" w:sz="4" w:space="0"/>
              <w:left w:val="single" w:color="auto" w:sz="4" w:space="0"/>
              <w:bottom w:val="single" w:color="auto" w:sz="4" w:space="0"/>
              <w:right w:val="single" w:color="auto" w:sz="4" w:space="0"/>
            </w:tcBorders>
            <w:tcW w:w="1747" w:type="dxa"/>
            <w:vAlign w:val="center"/>
            <w:textDirection w:val="lrTb"/>
            <w:noWrap w:val="false"/>
          </w:tcPr>
          <w:p>
            <w:pPr>
              <w:jc w:val="center"/>
              <w:spacing w:before="156"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设备名称</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jc w:val="center"/>
              <w:spacing w:before="156"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规格型号</w:t>
            </w:r>
            <w:r/>
          </w:p>
        </w:tc>
        <w:tc>
          <w:tcPr>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pPr>
              <w:spacing w:before="156"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品牌</w:t>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spacing w:before="156"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产地</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jc w:val="center"/>
              <w:spacing w:before="156"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607" w:type="dxa"/>
            <w:vAlign w:val="center"/>
            <w:textDirection w:val="lrTb"/>
            <w:noWrap w:val="false"/>
          </w:tcPr>
          <w:p>
            <w:pPr>
              <w:jc w:val="center"/>
              <w:spacing w:before="156"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jc w:val="center"/>
              <w:spacing w:before="156"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单价（元）</w:t>
            </w:r>
            <w:r/>
          </w:p>
        </w:tc>
        <w:tc>
          <w:tcPr>
            <w:tcBorders>
              <w:top w:val="single" w:color="auto" w:sz="4" w:space="0"/>
              <w:left w:val="single" w:color="auto" w:sz="4" w:space="0"/>
              <w:bottom w:val="single" w:color="auto" w:sz="4" w:space="0"/>
              <w:right w:val="single" w:color="auto" w:sz="4" w:space="0"/>
            </w:tcBorders>
            <w:tcW w:w="1410" w:type="dxa"/>
            <w:vAlign w:val="center"/>
            <w:textDirection w:val="lrTb"/>
            <w:noWrap w:val="false"/>
          </w:tcPr>
          <w:p>
            <w:pPr>
              <w:jc w:val="center"/>
              <w:spacing w:before="156"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总金额（元）</w:t>
            </w:r>
            <w:r/>
          </w:p>
        </w:tc>
      </w:tr>
      <w:tr>
        <w:trPr>
          <w:cantSplit/>
          <w:trHeight w:val="799"/>
        </w:trPr>
        <w:tc>
          <w:tcPr>
            <w:tcBorders>
              <w:top w:val="single" w:color="auto" w:sz="4" w:space="0"/>
              <w:left w:val="single" w:color="auto" w:sz="4" w:space="0"/>
              <w:bottom w:val="single" w:color="auto" w:sz="4" w:space="0"/>
              <w:right w:val="single" w:color="auto" w:sz="4" w:space="0"/>
            </w:tcBorders>
            <w:tcW w:w="1747"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607"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right w:val="single" w:color="auto" w:sz="4" w:space="0"/>
            </w:tcBorders>
            <w:tcW w:w="1410"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48"/>
        </w:trPr>
        <w:tc>
          <w:tcPr>
            <w:gridSpan w:val="8"/>
            <w:tcBorders>
              <w:top w:val="single" w:color="auto" w:sz="4" w:space="0"/>
              <w:left w:val="single" w:color="auto" w:sz="4" w:space="0"/>
              <w:bottom w:val="single" w:color="auto" w:sz="4" w:space="0"/>
              <w:right w:val="single" w:color="auto" w:sz="4" w:space="0"/>
            </w:tcBorders>
            <w:tcW w:w="9232"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合计（大写）：</w:t>
            </w:r>
            <w:r/>
          </w:p>
        </w:tc>
      </w:tr>
    </w:tbl>
    <w:p>
      <w:pPr>
        <w:spacing w:before="156"/>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本合同若有详细的乙、丙双方签字的配置清单，以配置清单内容为准。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设备的交付期 丙方在合同生效的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天内向甲方交付上述设备，逾期将按照本合同第五项索赔条款规定执行。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3、设备运输、安装和验收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3.1丙方确保设备安全无损地运抵甲方指定现场（乙方指定位置）,并承担设备的运费、保险费、装卸费等费用。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3.2甲乙双方对设备进行开箱清点检查验收，如果发现数量不足或有质量、技术等问题，丙方应在</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天内，按照甲或乙方的要求，采取补足、更换或退货等处理措施直至满足验收要求，且不得影响临床正常诊疗，由此引发的一切损失和费用由丙方承担。</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3.3设备到货后，丙方应在接到乙方通知后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天内安装调试完成，需要增加接口的，由丙方承担相应接口费等费用。</w:t>
      </w:r>
      <w:r/>
    </w:p>
    <w:p>
      <w:pPr>
        <w:ind w:firstLine="24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 设备安装完毕并稳定运行3个月，作为项目试运行期，试运行期满后验收。</w:t>
      </w:r>
      <w:r/>
    </w:p>
    <w:p>
      <w:pPr>
        <w:pStyle w:val="945"/>
        <w:ind w:firstLine="240"/>
        <w:spacing w:line="312" w:lineRule="atLeast"/>
        <w:rPr>
          <w:rFonts w:hint="eastAsia" w:eastAsia="宋体" w:cs="宋体"/>
          <w:b w:val="0"/>
          <w:sz w:val="24"/>
          <w:szCs w:val="24"/>
          <w:highlight w:val="none"/>
        </w:rPr>
      </w:pPr>
      <w:r>
        <w:rPr>
          <w:rFonts w:hint="eastAsia" w:eastAsia="宋体" w:cs="宋体"/>
          <w:b w:val="0"/>
          <w:sz w:val="24"/>
          <w:szCs w:val="24"/>
          <w:highlight w:val="none"/>
        </w:rPr>
        <w:t xml:space="preserve">3.5 设备运输、安装调试过程中，如发生安全事故（包括但不限于设备设施毁损灭失风险、车辆安全、人员安全及造成的第三方人身伤害或财产损失）由丙方自行承担经济损失和法律责任。</w:t>
      </w:r>
      <w:r/>
    </w:p>
    <w:p>
      <w:pPr>
        <w:ind w:firstLine="240"/>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3.6乙、丙双方在符合国家相关技术标准的基础上，根据合同的技术标准(见附件)进行技术验收，验收合格后，双方在《验收报告》上签字确认。</w:t>
      </w:r>
      <w:r/>
    </w:p>
    <w:p>
      <w:pPr>
        <w:jc w:val="left"/>
        <w:spacing w:line="360" w:lineRule="exact"/>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二、 </w:t>
      </w:r>
      <w:r>
        <w:rPr>
          <w:rFonts w:hint="eastAsia" w:ascii="宋体" w:hAnsi="宋体" w:eastAsia="宋体" w:cs="宋体"/>
          <w:b/>
          <w:sz w:val="24"/>
          <w:szCs w:val="24"/>
          <w:highlight w:val="none"/>
        </w:rPr>
        <w:t xml:space="preserve">合同总价和支付方式</w:t>
      </w:r>
      <w:r/>
    </w:p>
    <w:p>
      <w:pPr>
        <w:ind w:left="360" w:hanging="36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1、甲方同意支付合同总价人民币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。该合同总价包含货款及与设备采购有关的一切费用。</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2、甲方在合同生效后</w:t>
      </w:r>
      <w:r>
        <w:rPr>
          <w:rFonts w:hint="eastAsia" w:ascii="宋体" w:hAnsi="宋体" w:eastAsia="宋体" w:cs="宋体"/>
          <w:sz w:val="24"/>
          <w:szCs w:val="24"/>
          <w:highlight w:val="none"/>
          <w:u w:val="single"/>
        </w:rPr>
        <w:t xml:space="preserve">   日</w:t>
      </w:r>
      <w:r>
        <w:rPr>
          <w:rFonts w:hint="eastAsia" w:ascii="宋体" w:hAnsi="宋体" w:eastAsia="宋体" w:cs="宋体"/>
          <w:sz w:val="24"/>
          <w:szCs w:val="24"/>
          <w:highlight w:val="none"/>
        </w:rPr>
        <w:t xml:space="preserve">内先以</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方式预付货款</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%计</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元至丙方账户；安装调试验收合格正常使用后以</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方式付货款的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%计</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元至丙方账户，余款</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%自设备验收合格之日起满一年后7个工作日内付清（所有未付款均不计息）。甲方付款前丙方应提供正规有效的增值税发票，否则甲方有权顺延付款期限且不承担任何责任。</w:t>
      </w:r>
      <w:r/>
    </w:p>
    <w:p>
      <w:pPr>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三、 伴随服务</w:t>
      </w:r>
      <w:r>
        <w:rPr>
          <w:rFonts w:hint="eastAsia" w:ascii="宋体" w:hAnsi="宋体" w:eastAsia="宋体" w:cs="宋体"/>
          <w:sz w:val="24"/>
          <w:szCs w:val="24"/>
          <w:highlight w:val="none"/>
        </w:rPr>
        <w:t xml:space="preserve">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1、丙方应提供设备的技术文件，包括相应的图纸、操作手册、维护手册、质量保证文件、服务指南等，上述文件随同设备一起发运至乙方。</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2、丙方还应免费提供下列服务：</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2.1设备的现场安装、调试、维修、保养、检定、校准等；</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2.2提供设备安装和维修所需的专用工具和辅助材料； </w:t>
      </w:r>
      <w:r/>
    </w:p>
    <w:p>
      <w:pPr>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  2.3丙方应派专业技术人员在项目现场对乙方使用人员进行培训或指导，在使用一段时间后应根据乙方的要求另行安排培训计划。如设备软件升级，丙方免费提供软件升级服务。</w:t>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四、质量保证及售后服务</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1、丙方应保证所供设备为</w:t>
      </w:r>
      <w:r>
        <w:rPr>
          <w:rFonts w:hint="eastAsia" w:ascii="宋体" w:hAnsi="宋体" w:eastAsia="宋体" w:cs="宋体"/>
          <w:sz w:val="24"/>
          <w:szCs w:val="24"/>
          <w:highlight w:val="none"/>
          <w:u w:val="single"/>
        </w:rPr>
        <w:t xml:space="preserve">合同签订前一年内 </w:t>
      </w:r>
      <w:r>
        <w:rPr>
          <w:rFonts w:hint="eastAsia" w:ascii="宋体" w:hAnsi="宋体" w:eastAsia="宋体" w:cs="宋体"/>
          <w:sz w:val="24"/>
          <w:szCs w:val="24"/>
          <w:highlight w:val="none"/>
        </w:rPr>
        <w:t xml:space="preserve">生产的全新的、未使用过的，并符合国家有关标准、制造厂标准及合同技术标准要求的设备。如果设备的质量或规格与合同不符，或证实设备是有缺陷的，包括潜在的缺陷或使用不符合要求的材料等，丙方应在接到甲方通知后7天内负责采用符合合同规定的规格、质量和性能要求的新零件、部件或设备来更换有缺陷的部分或修补缺陷部分，所有费用由丙方负担。同时，丙方应按本合同规定，相应延长修补或更换件的质量保证期。因设备质量缺陷所引起的任何纠纷，丙方承担全部的法律和经济责任。</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2、丙方应提供原厂免费保修期</w:t>
      </w:r>
      <w:r>
        <w:rPr>
          <w:rFonts w:hint="eastAsia" w:ascii="宋体" w:hAnsi="宋体" w:eastAsia="宋体" w:cs="宋体"/>
          <w:sz w:val="24"/>
          <w:szCs w:val="24"/>
          <w:highlight w:val="none"/>
          <w:u w:val="single"/>
        </w:rPr>
        <w:t xml:space="preserve">    个</w:t>
      </w:r>
      <w:r>
        <w:rPr>
          <w:rFonts w:hint="eastAsia" w:ascii="宋体" w:hAnsi="宋体" w:eastAsia="宋体" w:cs="宋体"/>
          <w:sz w:val="24"/>
          <w:szCs w:val="24"/>
          <w:highlight w:val="none"/>
        </w:rPr>
        <w:t xml:space="preserve">月，保修期的期限应从乙丙双方的验收合格之日起计算，保修为全保(包括但不限于所有原厂设备的校准、质控、软硬件、所需配件、人工费、维修人员车旅费等）。</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3、设备报修响应时间为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小时，到场时间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小时,</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小时内修复或免费提供备用机，否则乙方可自行采取必要措施，由此产生的风险和费用由丙方承担。如有特殊情况，丙方应立即通知乙方不能响应的原因，经乙方同意后，方可推迟响应时间。</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4、保修期满后，人工费为单次故障不高于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元，丙方免费提供年度定期预防性维护保养次数，次数不少于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次/年（特殊情况具体协商）。</w:t>
      </w:r>
      <w:r/>
    </w:p>
    <w:p>
      <w:pPr>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5、保修期满后，丙方应继续提供优质的服务且对设备负责终身维修，储备足够的零配件备库，以市场零售价</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的优惠价供应维修零配件，消耗品的供应应由乙丙双方另设协议决定。</w:t>
      </w:r>
      <w:r/>
    </w:p>
    <w:p>
      <w:pPr>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五、索赔条款</w:t>
      </w:r>
      <w:r>
        <w:rPr>
          <w:rFonts w:hint="eastAsia" w:ascii="宋体" w:hAnsi="宋体" w:eastAsia="宋体" w:cs="宋体"/>
          <w:sz w:val="24"/>
          <w:szCs w:val="24"/>
          <w:highlight w:val="none"/>
        </w:rPr>
        <w:t xml:space="preserve">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1、如经国家相关机构检验确认货物不符合本合同约定，甲或乙方有权选择下列方式之一要求丙方进行补救：</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1.1同意甲或乙方退货，并将全额货款偿还甲方，并承担因退货所产生的一切直接经济损失。</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1.2按照货物的疵劣程度、损坏的范围及甲乙双方所遭受的损失，将货物对应贬值结算。</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1.3调换有瑕疵的货物，换货必须全新并符合本合同规定的规格，质量和性能，因此所产生的一切经济损失由丙方负责。</w:t>
      </w:r>
      <w:r/>
    </w:p>
    <w:p>
      <w:pPr>
        <w:rPr>
          <w:highlight w:val="none"/>
        </w:rPr>
      </w:pPr>
      <w:r>
        <w:rPr>
          <w:highlight w:val="none"/>
        </w:rPr>
        <w:t xml:space="preserve">2、</w:t>
      </w:r>
      <w:r>
        <w:rPr>
          <w:rFonts w:hint="eastAsia" w:ascii="宋体" w:hAnsi="宋体" w:eastAsia="宋体" w:cs="宋体"/>
          <w:sz w:val="24"/>
          <w:szCs w:val="24"/>
          <w:highlight w:val="none"/>
        </w:rPr>
        <w:t xml:space="preserve">如果丙方没有按照合同约定的时间地点完成交货和提供服务，在不影响合同项下的其他条款执行及临床正常诊疗的情况下的补救办法：每逾期一天，按合同总价的0.5%支付违约金。逾期超过15天，采购人有权单方解除合同，没收履约保证金。一旦达到误期赔偿的最高限额，甲方有权终止合同。</w:t>
      </w:r>
      <w:r/>
    </w:p>
    <w:p>
      <w:pPr>
        <w:numPr>
          <w:ilvl w:val="255"/>
          <w:numId w:val="0"/>
        </w:numPr>
        <w:rPr>
          <w:highlight w:val="none"/>
        </w:rPr>
      </w:pPr>
      <w:r>
        <w:rPr>
          <w:rFonts w:hint="eastAsia"/>
          <w:highlight w:val="none"/>
        </w:rPr>
        <w:t xml:space="preserve">3、如果丙方违反采购需求中的违约条款，如接口费用、耗材反垄断条款等，甲方有权终止合同。</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4、无论在保修期内或保修期外，丙方工程师均应至乙方维修本设备，必须与乙方医疗设备管理部门取得联系，在完成相应登记手续后，与乙方工程师共同完成维修工作。否则，引起的一切责任由丙方承担。</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丙方应保证甲方和乙方使用部门在使用该设备或其任何一部分时免受第三方提出侵犯其专利权、商标权或设备所有权等的起诉，否则丙方应承担由此引起的一切经济损失（包括但不限于甲方及乙方遭受的经济损失，因涉诉产生的律师费、诉讼费、差旅费及需支付的第三方经济赔偿等）和法律责任。</w:t>
      </w:r>
      <w:r/>
    </w:p>
    <w:p>
      <w:pPr>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6、如因丙方未按本合同约定履行义务导致本合同涉诉，丙方应承担甲方及乙方为主张权利而产生的全部费用（包括但不限于律师费、诉讼费、保全费、鉴定费、公证费、差旅费等）。</w:t>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六、丙方承诺：</w:t>
      </w:r>
      <w:r>
        <w:rPr>
          <w:rFonts w:hint="eastAsia" w:ascii="宋体" w:hAnsi="宋体" w:eastAsia="宋体" w:cs="宋体"/>
          <w:sz w:val="24"/>
          <w:szCs w:val="24"/>
          <w:highlight w:val="none"/>
        </w:rPr>
        <w:t xml:space="preserve">加强对销售代表的管理，任何销售代表不得在医疗设备的销售过程中，以不正当的手段提供错误的医疗设备及器械的相关信息，或进行不符实际的器械宣传以促进医院医疗设备、器械等物资的采购。同时销售代表不得向医院医学装备处、信息处等部门及相关人员索取有关信息(如库存、销售、临床科室或医务人员使用量等)。</w:t>
      </w:r>
      <w:r/>
    </w:p>
    <w:p>
      <w:pPr>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七、争议的解决 </w:t>
      </w:r>
      <w:r/>
    </w:p>
    <w:p>
      <w:pPr>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各方如在履行合同中发生纠纷，首先应友好协商，协商不成，各方均可向甲方所在地人民法院提起诉讼。</w:t>
      </w:r>
      <w:r/>
    </w:p>
    <w:p>
      <w:pPr>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八、 合同生效</w:t>
      </w:r>
      <w:r>
        <w:rPr>
          <w:rFonts w:hint="eastAsia" w:ascii="宋体" w:hAnsi="宋体" w:eastAsia="宋体" w:cs="宋体"/>
          <w:sz w:val="24"/>
          <w:szCs w:val="24"/>
          <w:highlight w:val="none"/>
        </w:rPr>
        <w:t xml:space="preserve">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1、本合同在甲、乙、丙三方签字盖章后生效。</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2、本合同一式</w:t>
      </w:r>
      <w:r>
        <w:rPr>
          <w:rFonts w:hint="eastAsia" w:ascii="宋体" w:hAnsi="宋体" w:eastAsia="宋体" w:cs="宋体"/>
          <w:sz w:val="24"/>
          <w:szCs w:val="24"/>
          <w:highlight w:val="none"/>
          <w:u w:val="single"/>
        </w:rPr>
        <w:t xml:space="preserve"> 肆 </w:t>
      </w:r>
      <w:r>
        <w:rPr>
          <w:rFonts w:hint="eastAsia" w:ascii="宋体" w:hAnsi="宋体" w:eastAsia="宋体" w:cs="宋体"/>
          <w:sz w:val="24"/>
          <w:szCs w:val="24"/>
          <w:highlight w:val="none"/>
        </w:rPr>
        <w:t xml:space="preserve">份，以中文书就，甲方执</w:t>
      </w:r>
      <w:r>
        <w:rPr>
          <w:rFonts w:hint="eastAsia" w:ascii="宋体" w:hAnsi="宋体" w:eastAsia="宋体" w:cs="宋体"/>
          <w:sz w:val="24"/>
          <w:szCs w:val="24"/>
          <w:highlight w:val="none"/>
          <w:u w:val="single"/>
        </w:rPr>
        <w:t xml:space="preserve"> 壹 </w:t>
      </w:r>
      <w:r>
        <w:rPr>
          <w:rFonts w:hint="eastAsia" w:ascii="宋体" w:hAnsi="宋体" w:eastAsia="宋体" w:cs="宋体"/>
          <w:sz w:val="24"/>
          <w:szCs w:val="24"/>
          <w:highlight w:val="none"/>
        </w:rPr>
        <w:t xml:space="preserve">份、乙方执</w:t>
      </w:r>
      <w:r>
        <w:rPr>
          <w:rFonts w:hint="eastAsia" w:ascii="宋体" w:hAnsi="宋体" w:eastAsia="宋体" w:cs="宋体"/>
          <w:sz w:val="24"/>
          <w:szCs w:val="24"/>
          <w:highlight w:val="none"/>
          <w:u w:val="single"/>
        </w:rPr>
        <w:t xml:space="preserve"> 贰 </w:t>
      </w:r>
      <w:r>
        <w:rPr>
          <w:rFonts w:hint="eastAsia" w:ascii="宋体" w:hAnsi="宋体" w:eastAsia="宋体" w:cs="宋体"/>
          <w:sz w:val="24"/>
          <w:szCs w:val="24"/>
          <w:highlight w:val="none"/>
        </w:rPr>
        <w:t xml:space="preserve">份，丙方执</w:t>
      </w:r>
      <w:r>
        <w:rPr>
          <w:rFonts w:hint="eastAsia" w:ascii="宋体" w:hAnsi="宋体" w:eastAsia="宋体" w:cs="宋体"/>
          <w:sz w:val="24"/>
          <w:szCs w:val="24"/>
          <w:highlight w:val="none"/>
          <w:u w:val="single"/>
        </w:rPr>
        <w:t xml:space="preserve"> 壹</w:t>
      </w:r>
      <w:r>
        <w:rPr>
          <w:rFonts w:hint="eastAsia" w:ascii="宋体" w:hAnsi="宋体" w:eastAsia="宋体" w:cs="宋体"/>
          <w:sz w:val="24"/>
          <w:szCs w:val="24"/>
          <w:highlight w:val="none"/>
        </w:rPr>
        <w:t xml:space="preserve">份具有相同的法律效应。</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3、合同附件： 合同附件是合同的不可分割的组成部分，与合同具有同等法律效力。</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3.1配置清单   □设备的配置清单</w:t>
      </w:r>
      <w:r/>
    </w:p>
    <w:p>
      <w:pPr>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    3.2技术标准   □投标文件的技术响应  □设备技术说明 </w:t>
      </w:r>
      <w:r/>
    </w:p>
    <w:p>
      <w:pPr>
        <w:numPr>
          <w:ilvl w:val="0"/>
          <w:numId w:val="11"/>
        </w:numPr>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特别约定：</w:t>
      </w:r>
      <w:r>
        <w:rPr>
          <w:rFonts w:hint="eastAsia" w:ascii="宋体" w:hAnsi="宋体" w:eastAsia="宋体" w:cs="宋体"/>
          <w:sz w:val="24"/>
          <w:szCs w:val="24"/>
          <w:highlight w:val="none"/>
        </w:rPr>
        <w:t xml:space="preserve">投标文件作为本合同的有效附件，与本合同具有同等效力。</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甲方（盖章）：                               乙方（盖章）：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法定代表人或授权委托人 ：                    法定代表人或授权委托人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日期：</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丙方（盖章）：</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法定代表人或授权委托人：</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w:t>
      </w:r>
      <w:r/>
    </w:p>
    <w:p>
      <w:p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br w:type="page" w:clear="all"/>
      </w:r>
      <w:r/>
    </w:p>
    <w:p>
      <w:pPr>
        <w:jc w:val="center"/>
        <w:spacing w:line="360" w:lineRule="auto"/>
        <w:rPr>
          <w:rFonts w:hint="eastAsia" w:asciiTheme="minorEastAsia" w:hAnsiTheme="minorEastAsia" w:eastAsia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设备配置清单</w:t>
      </w:r>
      <w:r/>
    </w:p>
    <w:p>
      <w:pPr>
        <w:spacing w:line="360" w:lineRule="auto"/>
        <w:rPr>
          <w:rFonts w:hint="eastAsia" w:asciiTheme="minorEastAsia" w:hAnsiTheme="minorEastAsia" w:eastAsia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b/>
          <w:color w:val="000000" w:themeColor="text1"/>
          <w:sz w:val="24"/>
          <w:szCs w:val="24"/>
          <w:highlight w:val="none"/>
          <w14:textFill>
            <w14:solidFill>
              <w14:schemeClr w14:val="tx1"/>
            </w14:solidFill>
          </w14:textFill>
        </w:rPr>
      </w:r>
      <w:r/>
    </w:p>
    <w:tbl>
      <w:tblPr>
        <w:tblStyle w:val="75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2188"/>
        <w:gridCol w:w="1244"/>
        <w:gridCol w:w="1224"/>
        <w:gridCol w:w="1769"/>
        <w:gridCol w:w="951"/>
        <w:gridCol w:w="984"/>
      </w:tblGrid>
      <w:tr>
        <w:trPr>
          <w:trHeight w:val="615"/>
        </w:trPr>
        <w:tc>
          <w:tcPr>
            <w:tcW w:w="430"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序</w:t>
            </w:r>
            <w:r/>
          </w:p>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号</w:t>
            </w:r>
            <w:r/>
          </w:p>
        </w:tc>
        <w:tc>
          <w:tcPr>
            <w:tcW w:w="1196"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配置部件名称</w:t>
            </w:r>
            <w:r/>
          </w:p>
        </w:tc>
        <w:tc>
          <w:tcPr>
            <w:tcW w:w="680"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品</w:t>
            </w:r>
            <w:r/>
          </w:p>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牌</w:t>
            </w:r>
            <w:r/>
          </w:p>
        </w:tc>
        <w:tc>
          <w:tcPr>
            <w:tcW w:w="669"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规</w:t>
            </w:r>
            <w:r>
              <w:rPr>
                <w:rFonts w:asciiTheme="minorEastAsia" w:hAnsiTheme="minorEastAsia" w:eastAsiaTheme="minorEastAsia"/>
                <w:bCs/>
                <w:color w:val="000000" w:themeColor="text1"/>
                <w:sz w:val="24"/>
                <w:szCs w:val="24"/>
                <w:highlight w:val="none"/>
                <w14:textFill>
                  <w14:solidFill>
                    <w14:schemeClr w14:val="tx1"/>
                  </w14:solidFill>
                </w14:textFill>
              </w:rPr>
              <w:t xml:space="preserve"> </w:t>
            </w: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格</w:t>
            </w:r>
            <w:r/>
          </w:p>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型</w:t>
            </w:r>
            <w:r>
              <w:rPr>
                <w:rFonts w:asciiTheme="minorEastAsia" w:hAnsiTheme="minorEastAsia" w:eastAsiaTheme="minorEastAsia"/>
                <w:bCs/>
                <w:color w:val="000000" w:themeColor="text1"/>
                <w:sz w:val="24"/>
                <w:szCs w:val="24"/>
                <w:highlight w:val="none"/>
                <w14:textFill>
                  <w14:solidFill>
                    <w14:schemeClr w14:val="tx1"/>
                  </w14:solidFill>
                </w14:textFill>
              </w:rPr>
              <w:t xml:space="preserve"> </w:t>
            </w: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号</w:t>
            </w:r>
            <w:r/>
          </w:p>
        </w:tc>
        <w:tc>
          <w:tcPr>
            <w:tcW w:w="967"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生</w:t>
            </w:r>
            <w:r>
              <w:rPr>
                <w:rFonts w:asciiTheme="minorEastAsia" w:hAnsiTheme="minorEastAsia" w:eastAsiaTheme="minorEastAsia"/>
                <w:bCs/>
                <w:color w:val="000000" w:themeColor="text1"/>
                <w:sz w:val="24"/>
                <w:szCs w:val="24"/>
                <w:highlight w:val="none"/>
                <w14:textFill>
                  <w14:solidFill>
                    <w14:schemeClr w14:val="tx1"/>
                  </w14:solidFill>
                </w14:textFill>
              </w:rPr>
              <w:t xml:space="preserve"> </w:t>
            </w: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产</w:t>
            </w:r>
            <w:r>
              <w:rPr>
                <w:rFonts w:asciiTheme="minorEastAsia" w:hAnsiTheme="minorEastAsia" w:eastAsiaTheme="minorEastAsia"/>
                <w:bCs/>
                <w:color w:val="000000" w:themeColor="text1"/>
                <w:sz w:val="24"/>
                <w:szCs w:val="24"/>
                <w:highlight w:val="none"/>
                <w14:textFill>
                  <w14:solidFill>
                    <w14:schemeClr w14:val="tx1"/>
                  </w14:solidFill>
                </w14:textFill>
              </w:rPr>
              <w:t xml:space="preserve"> </w:t>
            </w: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厂</w:t>
            </w:r>
            <w:r/>
          </w:p>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及</w:t>
            </w:r>
            <w:r>
              <w:rPr>
                <w:rFonts w:asciiTheme="minorEastAsia" w:hAnsiTheme="minorEastAsia" w:eastAsiaTheme="minorEastAsia"/>
                <w:bCs/>
                <w:color w:val="000000" w:themeColor="text1"/>
                <w:sz w:val="24"/>
                <w:szCs w:val="24"/>
                <w:highlight w:val="none"/>
                <w14:textFill>
                  <w14:solidFill>
                    <w14:schemeClr w14:val="tx1"/>
                  </w14:solidFill>
                </w14:textFill>
              </w:rPr>
              <w:t xml:space="preserve"> </w:t>
            </w: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产</w:t>
            </w:r>
            <w:r>
              <w:rPr>
                <w:rFonts w:asciiTheme="minorEastAsia" w:hAnsiTheme="minorEastAsia" w:eastAsiaTheme="minorEastAsia"/>
                <w:bCs/>
                <w:color w:val="000000" w:themeColor="text1"/>
                <w:sz w:val="24"/>
                <w:szCs w:val="24"/>
                <w:highlight w:val="none"/>
                <w14:textFill>
                  <w14:solidFill>
                    <w14:schemeClr w14:val="tx1"/>
                  </w14:solidFill>
                </w14:textFill>
              </w:rPr>
              <w:t xml:space="preserve"> </w:t>
            </w: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地</w:t>
            </w:r>
            <w:r/>
          </w:p>
        </w:tc>
        <w:tc>
          <w:tcPr>
            <w:tcW w:w="520"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数</w:t>
            </w:r>
            <w:r/>
          </w:p>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量</w:t>
            </w:r>
            <w:r/>
          </w:p>
        </w:tc>
        <w:tc>
          <w:tcPr>
            <w:tcW w:w="539"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备</w:t>
            </w:r>
            <w:r/>
          </w:p>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注</w:t>
            </w:r>
            <w:r/>
          </w:p>
        </w:tc>
      </w:tr>
      <w:tr>
        <w:trPr>
          <w:trHeight w:val="661" w:hRule="exact"/>
        </w:trPr>
        <w:tc>
          <w:tcPr>
            <w:tcW w:w="430"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1</w:t>
            </w:r>
            <w:r/>
          </w:p>
        </w:tc>
        <w:tc>
          <w:tcPr>
            <w:tcW w:w="1196"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r>
            <w:r/>
          </w:p>
        </w:tc>
        <w:tc>
          <w:tcPr>
            <w:tcW w:w="680"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66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967"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520"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r>
            <w:r/>
          </w:p>
        </w:tc>
        <w:tc>
          <w:tcPr>
            <w:tcW w:w="53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r>
      <w:tr>
        <w:trPr>
          <w:trHeight w:val="599" w:hRule="exact"/>
        </w:trPr>
        <w:tc>
          <w:tcPr>
            <w:tcW w:w="430"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2</w:t>
            </w:r>
            <w:r/>
          </w:p>
        </w:tc>
        <w:tc>
          <w:tcPr>
            <w:tcW w:w="1196"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r>
            <w:r/>
          </w:p>
        </w:tc>
        <w:tc>
          <w:tcPr>
            <w:tcW w:w="680"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66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967"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520"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r>
            <w:r/>
          </w:p>
        </w:tc>
        <w:tc>
          <w:tcPr>
            <w:tcW w:w="53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r>
      <w:tr>
        <w:trPr>
          <w:trHeight w:val="572" w:hRule="exact"/>
        </w:trPr>
        <w:tc>
          <w:tcPr>
            <w:tcW w:w="430"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3</w:t>
            </w:r>
            <w:r/>
          </w:p>
        </w:tc>
        <w:tc>
          <w:tcPr>
            <w:tcW w:w="1196"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r>
            <w:r/>
          </w:p>
        </w:tc>
        <w:tc>
          <w:tcPr>
            <w:tcW w:w="680"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66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967"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520"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r>
            <w:r/>
          </w:p>
        </w:tc>
        <w:tc>
          <w:tcPr>
            <w:tcW w:w="53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r>
      <w:tr>
        <w:trPr>
          <w:trHeight w:val="599" w:hRule="exact"/>
        </w:trPr>
        <w:tc>
          <w:tcPr>
            <w:tcW w:w="430"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4</w:t>
            </w:r>
            <w:r/>
          </w:p>
        </w:tc>
        <w:tc>
          <w:tcPr>
            <w:tcW w:w="1196"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r>
            <w:r/>
          </w:p>
        </w:tc>
        <w:tc>
          <w:tcPr>
            <w:tcW w:w="680"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66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967"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520"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r>
            <w:r/>
          </w:p>
        </w:tc>
        <w:tc>
          <w:tcPr>
            <w:tcW w:w="53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r>
      <w:tr>
        <w:trPr>
          <w:trHeight w:val="653" w:hRule="exact"/>
        </w:trPr>
        <w:tc>
          <w:tcPr>
            <w:tcW w:w="430"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5</w:t>
            </w:r>
            <w:r/>
          </w:p>
        </w:tc>
        <w:tc>
          <w:tcPr>
            <w:tcW w:w="1196"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r>
            <w:r/>
          </w:p>
        </w:tc>
        <w:tc>
          <w:tcPr>
            <w:tcW w:w="680"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66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967"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520"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r>
            <w:r/>
          </w:p>
        </w:tc>
        <w:tc>
          <w:tcPr>
            <w:tcW w:w="53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r>
      <w:tr>
        <w:trPr>
          <w:trHeight w:val="579" w:hRule="exact"/>
        </w:trPr>
        <w:tc>
          <w:tcPr>
            <w:tcW w:w="430"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6</w:t>
            </w:r>
            <w:r/>
          </w:p>
        </w:tc>
        <w:tc>
          <w:tcPr>
            <w:tcW w:w="1196"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r>
            <w:r/>
          </w:p>
        </w:tc>
        <w:tc>
          <w:tcPr>
            <w:tcW w:w="680"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66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967"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520"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r>
            <w:r/>
          </w:p>
        </w:tc>
        <w:tc>
          <w:tcPr>
            <w:tcW w:w="53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r>
      <w:tr>
        <w:trPr>
          <w:trHeight w:val="572" w:hRule="exact"/>
        </w:trPr>
        <w:tc>
          <w:tcPr>
            <w:tcW w:w="430"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7</w:t>
            </w:r>
            <w:r/>
          </w:p>
        </w:tc>
        <w:tc>
          <w:tcPr>
            <w:tcW w:w="1196"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r>
            <w:r/>
          </w:p>
        </w:tc>
        <w:tc>
          <w:tcPr>
            <w:tcW w:w="680"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66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967"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520"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r>
            <w:r/>
          </w:p>
        </w:tc>
        <w:tc>
          <w:tcPr>
            <w:tcW w:w="53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r>
      <w:tr>
        <w:trPr>
          <w:trHeight w:val="593" w:hRule="exact"/>
        </w:trPr>
        <w:tc>
          <w:tcPr>
            <w:tcW w:w="430"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8</w:t>
            </w:r>
            <w:r/>
          </w:p>
        </w:tc>
        <w:tc>
          <w:tcPr>
            <w:tcW w:w="1196"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r>
            <w:r/>
          </w:p>
        </w:tc>
        <w:tc>
          <w:tcPr>
            <w:tcW w:w="680"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66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967"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520"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r>
            <w:r/>
          </w:p>
        </w:tc>
        <w:tc>
          <w:tcPr>
            <w:tcW w:w="53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r>
      <w:tr>
        <w:trPr>
          <w:trHeight w:val="612" w:hRule="exact"/>
        </w:trPr>
        <w:tc>
          <w:tcPr>
            <w:tcW w:w="430"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9</w:t>
            </w:r>
            <w:r/>
          </w:p>
        </w:tc>
        <w:tc>
          <w:tcPr>
            <w:tcW w:w="1196"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r>
            <w:r/>
          </w:p>
        </w:tc>
        <w:tc>
          <w:tcPr>
            <w:tcW w:w="680"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66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967"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520"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r>
            <w:r/>
          </w:p>
        </w:tc>
        <w:tc>
          <w:tcPr>
            <w:tcW w:w="53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r>
      <w:tr>
        <w:trPr>
          <w:trHeight w:val="612" w:hRule="exact"/>
        </w:trPr>
        <w:tc>
          <w:tcPr>
            <w:tcW w:w="430"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10</w:t>
            </w:r>
            <w:r/>
          </w:p>
        </w:tc>
        <w:tc>
          <w:tcPr>
            <w:tcW w:w="1196"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r>
            <w:r/>
          </w:p>
        </w:tc>
        <w:tc>
          <w:tcPr>
            <w:tcW w:w="680"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66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967"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520"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r>
            <w:r/>
          </w:p>
        </w:tc>
        <w:tc>
          <w:tcPr>
            <w:tcW w:w="53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r>
      <w:tr>
        <w:trPr>
          <w:trHeight w:val="912" w:hRule="exact"/>
        </w:trPr>
        <w:tc>
          <w:tcPr>
            <w:tcW w:w="430"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11</w:t>
            </w:r>
            <w:r/>
          </w:p>
        </w:tc>
        <w:tc>
          <w:tcPr>
            <w:tcW w:w="1196" w:type="pct"/>
            <w:vAlign w:val="center"/>
            <w:textDirection w:val="lrTb"/>
            <w:noWrap w:val="false"/>
          </w:tcPr>
          <w:p>
            <w:pPr>
              <w:jc w:val="center"/>
              <w:spacing w:line="360" w:lineRule="auto"/>
              <w:widowControl/>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r>
            <w:r/>
          </w:p>
        </w:tc>
        <w:tc>
          <w:tcPr>
            <w:tcW w:w="680"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669"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967"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520" w:type="pct"/>
            <w:vAlign w:val="center"/>
            <w:textDirection w:val="lrTb"/>
            <w:noWrap w:val="false"/>
          </w:tcPr>
          <w:p>
            <w:pPr>
              <w:jc w:val="center"/>
              <w:spacing w:line="360" w:lineRule="auto"/>
              <w:widowControl/>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r>
            <w:r/>
          </w:p>
        </w:tc>
        <w:tc>
          <w:tcPr>
            <w:tcW w:w="539"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r>
    </w:tbl>
    <w:p>
      <w:pP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注：表格不够请自行添加！</w:t>
      </w:r>
      <w:r/>
    </w:p>
    <w:p>
      <w:pPr>
        <w:rPr>
          <w:rFonts w:hint="eastAsia" w:ascii="宋体" w:hAnsi="宋体" w:eastAsia="宋体" w:cs="仿宋"/>
          <w:sz w:val="21"/>
          <w:szCs w:val="21"/>
          <w:highlight w:val="none"/>
        </w:rPr>
      </w:pPr>
      <w:r>
        <w:rPr>
          <w:rFonts w:hint="eastAsia" w:ascii="宋体" w:hAnsi="宋体" w:eastAsia="宋体" w:cs="仿宋"/>
          <w:sz w:val="21"/>
          <w:szCs w:val="21"/>
          <w:highlight w:val="none"/>
        </w:rPr>
      </w:r>
      <w:r/>
    </w:p>
    <w:p>
      <w:pPr>
        <w:pStyle w:val="781"/>
        <w:rPr>
          <w:rFonts w:hint="eastAsia" w:ascii="宋体" w:hAnsi="宋体" w:eastAsia="宋体" w:cs="仿宋"/>
          <w:b/>
          <w:color w:val="000000" w:themeColor="text1"/>
          <w:sz w:val="30"/>
          <w:szCs w:val="30"/>
          <w:highlight w:val="none"/>
          <w14:textFill>
            <w14:solidFill>
              <w14:schemeClr w14:val="tx1"/>
            </w14:solidFill>
          </w14:textFill>
        </w:rPr>
      </w:pPr>
      <w:r>
        <w:rPr>
          <w:rFonts w:hint="eastAsia" w:ascii="宋体" w:hAnsi="宋体" w:eastAsia="宋体" w:cs="仿宋"/>
          <w:b/>
          <w:color w:val="000000" w:themeColor="text1"/>
          <w:sz w:val="30"/>
          <w:szCs w:val="30"/>
          <w:highlight w:val="none"/>
          <w14:textFill>
            <w14:solidFill>
              <w14:schemeClr w14:val="tx1"/>
            </w14:solidFill>
          </w14:textFill>
        </w:rPr>
      </w:r>
      <w:r/>
    </w:p>
    <w:p>
      <w:pPr>
        <w:rPr>
          <w:rFonts w:hint="eastAsia" w:cs="仿宋" w:asciiTheme="minorEastAsia" w:hAnsiTheme="minorEastAsia" w:eastAsiaTheme="minorEastAsia"/>
          <w:b/>
          <w:color w:val="000000" w:themeColor="text1"/>
          <w:sz w:val="30"/>
          <w:szCs w:val="30"/>
          <w:highlight w:val="none"/>
          <w14:textFill>
            <w14:solidFill>
              <w14:schemeClr w14:val="tx1"/>
            </w14:solidFill>
          </w14:textFill>
        </w:rPr>
      </w:pPr>
      <w:r>
        <w:rPr>
          <w:rFonts w:hint="eastAsia" w:cs="仿宋" w:asciiTheme="minorEastAsia" w:hAnsiTheme="minorEastAsia" w:eastAsiaTheme="minorEastAsia"/>
          <w:b/>
          <w:color w:val="000000" w:themeColor="text1"/>
          <w:sz w:val="30"/>
          <w:szCs w:val="30"/>
          <w:highlight w:val="none"/>
          <w14:textFill>
            <w14:solidFill>
              <w14:schemeClr w14:val="tx1"/>
            </w14:solidFill>
          </w14:textFill>
        </w:rPr>
      </w:r>
      <w:r/>
    </w:p>
    <w:p>
      <w:pPr>
        <w:pStyle w:val="781"/>
        <w:rPr>
          <w:rFonts w:hint="eastAsia" w:cs="仿宋" w:asciiTheme="minorEastAsia" w:hAnsiTheme="minorEastAsia" w:eastAsiaTheme="minorEastAsia"/>
          <w:b/>
          <w:color w:val="000000" w:themeColor="text1"/>
          <w:sz w:val="30"/>
          <w:szCs w:val="30"/>
          <w:highlight w:val="none"/>
          <w14:textFill>
            <w14:solidFill>
              <w14:schemeClr w14:val="tx1"/>
            </w14:solidFill>
          </w14:textFill>
        </w:rPr>
      </w:pPr>
      <w:r>
        <w:rPr>
          <w:rFonts w:hint="eastAsia" w:cs="仿宋" w:asciiTheme="minorEastAsia" w:hAnsiTheme="minorEastAsia" w:eastAsiaTheme="minorEastAsia"/>
          <w:b/>
          <w:color w:val="000000" w:themeColor="text1"/>
          <w:sz w:val="30"/>
          <w:szCs w:val="30"/>
          <w:highlight w:val="none"/>
          <w14:textFill>
            <w14:solidFill>
              <w14:schemeClr w14:val="tx1"/>
            </w14:solidFill>
          </w14:textFill>
        </w:rPr>
      </w:r>
      <w:r/>
    </w:p>
    <w:p>
      <w:pPr>
        <w:rPr>
          <w:rFonts w:hint="eastAsia" w:cs="仿宋" w:asciiTheme="minorEastAsia" w:hAnsiTheme="minorEastAsia" w:eastAsiaTheme="minorEastAsia"/>
          <w:b/>
          <w:color w:val="000000" w:themeColor="text1"/>
          <w:sz w:val="30"/>
          <w:szCs w:val="30"/>
          <w:highlight w:val="none"/>
          <w14:textFill>
            <w14:solidFill>
              <w14:schemeClr w14:val="tx1"/>
            </w14:solidFill>
          </w14:textFill>
        </w:rPr>
      </w:pPr>
      <w:r>
        <w:rPr>
          <w:rFonts w:hint="eastAsia" w:cs="仿宋" w:asciiTheme="minorEastAsia" w:hAnsiTheme="minorEastAsia" w:eastAsiaTheme="minorEastAsia"/>
          <w:b/>
          <w:color w:val="000000" w:themeColor="text1"/>
          <w:sz w:val="30"/>
          <w:szCs w:val="30"/>
          <w:highlight w:val="none"/>
          <w14:textFill>
            <w14:solidFill>
              <w14:schemeClr w14:val="tx1"/>
            </w14:solidFill>
          </w14:textFill>
        </w:rPr>
        <w:br w:type="page" w:clear="all"/>
      </w:r>
      <w:r/>
    </w:p>
    <w:p>
      <w:pPr>
        <w:jc w:val="center"/>
        <w:keepNext/>
        <w:rPr>
          <w:rFonts w:eastAsia="黑体"/>
          <w:bCs/>
          <w:sz w:val="44"/>
          <w:szCs w:val="28"/>
          <w:highlight w:val="none"/>
        </w:rPr>
        <w:outlineLvl w:val="0"/>
      </w:pPr>
      <w:r>
        <w:rPr>
          <w:rFonts w:hint="eastAsia" w:eastAsia="黑体"/>
          <w:bCs/>
          <w:sz w:val="44"/>
          <w:szCs w:val="28"/>
          <w:highlight w:val="none"/>
        </w:rPr>
        <w:t xml:space="preserve">第六章 投标文件格式 </w:t>
      </w:r>
      <w:r/>
    </w:p>
    <w:p>
      <w:pPr>
        <w:jc w:val="center"/>
        <w:rPr>
          <w:rFonts w:eastAsia="宋体"/>
          <w:b/>
          <w:sz w:val="72"/>
          <w:szCs w:val="21"/>
          <w:highlight w:val="none"/>
        </w:rPr>
      </w:pPr>
      <w:r/>
      <w:bookmarkStart w:id="45" w:name="_Hlt26671244"/>
      <w:r/>
      <w:bookmarkEnd w:id="45"/>
      <w:r/>
      <w:bookmarkStart w:id="46" w:name="_Hlt26955039"/>
      <w:r/>
      <w:bookmarkEnd w:id="46"/>
      <w:r/>
      <w:bookmarkStart w:id="47" w:name="_Toc26554094"/>
      <w:r/>
      <w:bookmarkStart w:id="48" w:name="_Toc49090576"/>
      <w:r/>
      <w:bookmarkStart w:id="49" w:name="_Toc120614282"/>
      <w:r/>
      <w:r/>
    </w:p>
    <w:p>
      <w:pPr>
        <w:jc w:val="center"/>
        <w:rPr>
          <w:rFonts w:eastAsia="宋体"/>
          <w:b/>
          <w:sz w:val="72"/>
          <w:szCs w:val="21"/>
          <w:highlight w:val="none"/>
        </w:rPr>
      </w:pPr>
      <w:r>
        <w:rPr>
          <w:rFonts w:hint="eastAsia" w:eastAsia="宋体"/>
          <w:b/>
          <w:sz w:val="72"/>
          <w:szCs w:val="21"/>
          <w:highlight w:val="none"/>
        </w:rPr>
        <w:t xml:space="preserve">投  标  文  件</w:t>
      </w:r>
      <w:r/>
    </w:p>
    <w:p>
      <w:pPr>
        <w:jc w:val="center"/>
        <w:rPr>
          <w:rFonts w:eastAsia="宋体"/>
          <w:b/>
          <w:sz w:val="72"/>
          <w:szCs w:val="21"/>
          <w:highlight w:val="none"/>
        </w:rPr>
      </w:pPr>
      <w:r>
        <w:rPr>
          <w:rFonts w:eastAsia="宋体"/>
          <w:b/>
          <w:sz w:val="72"/>
          <w:szCs w:val="21"/>
          <w:highlight w:val="none"/>
        </w:rPr>
      </w:r>
      <w:r/>
    </w:p>
    <w:p>
      <w:pPr>
        <w:jc w:val="center"/>
        <w:rPr>
          <w:rFonts w:eastAsia="宋体"/>
          <w:b/>
          <w:sz w:val="72"/>
          <w:szCs w:val="21"/>
          <w:highlight w:val="none"/>
        </w:rPr>
      </w:pPr>
      <w:r>
        <w:rPr>
          <w:rFonts w:eastAsia="宋体"/>
          <w:b/>
          <w:sz w:val="72"/>
          <w:szCs w:val="21"/>
          <w:highlight w:val="none"/>
        </w:rPr>
      </w:r>
      <w:r/>
    </w:p>
    <w:p>
      <w:pPr>
        <w:jc w:val="center"/>
        <w:rPr>
          <w:rFonts w:eastAsia="宋体"/>
          <w:b/>
          <w:sz w:val="36"/>
          <w:szCs w:val="21"/>
          <w:highlight w:val="none"/>
        </w:rPr>
      </w:pPr>
      <w:r>
        <w:rPr>
          <w:rFonts w:eastAsia="宋体"/>
          <w:b/>
          <w:sz w:val="36"/>
          <w:szCs w:val="21"/>
          <w:highlight w:val="none"/>
        </w:rPr>
      </w:r>
      <w:r/>
    </w:p>
    <w:p>
      <w:pPr>
        <w:jc w:val="center"/>
        <w:rPr>
          <w:rFonts w:eastAsia="宋体"/>
          <w:b/>
          <w:sz w:val="36"/>
          <w:szCs w:val="21"/>
          <w:highlight w:val="none"/>
        </w:rPr>
      </w:pPr>
      <w:r>
        <w:rPr>
          <w:rFonts w:eastAsia="宋体"/>
          <w:b/>
          <w:sz w:val="36"/>
          <w:szCs w:val="21"/>
          <w:highlight w:val="none"/>
        </w:rPr>
      </w:r>
      <w:r/>
    </w:p>
    <w:p>
      <w:pPr>
        <w:jc w:val="center"/>
        <w:rPr>
          <w:rFonts w:eastAsia="宋体"/>
          <w:b/>
          <w:sz w:val="36"/>
          <w:szCs w:val="21"/>
          <w:highlight w:val="none"/>
        </w:rPr>
      </w:pPr>
      <w:r>
        <w:rPr>
          <w:rFonts w:eastAsia="宋体"/>
          <w:b/>
          <w:sz w:val="36"/>
          <w:szCs w:val="21"/>
          <w:highlight w:val="none"/>
        </w:rPr>
      </w:r>
      <w:r/>
    </w:p>
    <w:p>
      <w:pPr>
        <w:ind w:firstLine="1084"/>
        <w:rPr>
          <w:rFonts w:eastAsia="宋体"/>
          <w:b/>
          <w:sz w:val="36"/>
          <w:szCs w:val="21"/>
          <w:highlight w:val="none"/>
        </w:rPr>
      </w:pPr>
      <w:r>
        <w:rPr>
          <w:rFonts w:hint="eastAsia" w:eastAsia="宋体"/>
          <w:b/>
          <w:sz w:val="36"/>
          <w:szCs w:val="21"/>
          <w:highlight w:val="none"/>
        </w:rPr>
        <w:t xml:space="preserve">项 目 名 称：</w:t>
      </w:r>
      <w:r>
        <w:rPr>
          <w:rFonts w:hint="eastAsia" w:eastAsia="宋体"/>
          <w:b/>
          <w:sz w:val="36"/>
          <w:szCs w:val="21"/>
          <w:highlight w:val="none"/>
          <w:u w:val="single"/>
        </w:rPr>
        <w:t xml:space="preserve">               </w:t>
      </w:r>
      <w:r/>
    </w:p>
    <w:p>
      <w:pPr>
        <w:ind w:firstLine="1084"/>
        <w:rPr>
          <w:rFonts w:eastAsia="宋体"/>
          <w:b/>
          <w:sz w:val="36"/>
          <w:szCs w:val="21"/>
          <w:highlight w:val="none"/>
          <w:u w:val="single"/>
        </w:rPr>
      </w:pPr>
      <w:r>
        <w:rPr>
          <w:rFonts w:hint="eastAsia" w:eastAsia="宋体"/>
          <w:b/>
          <w:sz w:val="36"/>
          <w:szCs w:val="21"/>
          <w:highlight w:val="none"/>
        </w:rPr>
        <w:t xml:space="preserve">项 目 编 号：</w:t>
      </w:r>
      <w:r>
        <w:rPr>
          <w:rFonts w:hint="eastAsia" w:eastAsia="宋体"/>
          <w:b/>
          <w:sz w:val="36"/>
          <w:szCs w:val="21"/>
          <w:highlight w:val="none"/>
          <w:u w:val="single"/>
        </w:rPr>
        <w:t xml:space="preserve">               </w:t>
      </w:r>
      <w:r/>
    </w:p>
    <w:p>
      <w:pPr>
        <w:rPr>
          <w:rFonts w:eastAsia="宋体"/>
          <w:b/>
          <w:sz w:val="36"/>
          <w:szCs w:val="21"/>
          <w:highlight w:val="none"/>
          <w:u w:val="single"/>
        </w:rPr>
      </w:pPr>
      <w:r>
        <w:rPr>
          <w:rFonts w:hint="eastAsia" w:eastAsia="宋体"/>
          <w:b/>
          <w:sz w:val="36"/>
          <w:szCs w:val="21"/>
          <w:highlight w:val="none"/>
        </w:rPr>
        <w:t xml:space="preserve">      投标人名称 ：</w:t>
      </w:r>
      <w:r>
        <w:rPr>
          <w:rFonts w:hint="eastAsia" w:eastAsia="宋体"/>
          <w:b/>
          <w:sz w:val="36"/>
          <w:szCs w:val="21"/>
          <w:highlight w:val="none"/>
          <w:u w:val="single"/>
        </w:rPr>
        <w:t xml:space="preserve">（加盖CA电子公章）</w:t>
      </w:r>
      <w:r/>
    </w:p>
    <w:p>
      <w:pPr>
        <w:rPr>
          <w:rFonts w:eastAsia="宋体"/>
          <w:b/>
          <w:sz w:val="36"/>
          <w:szCs w:val="21"/>
          <w:highlight w:val="none"/>
          <w:u w:val="single"/>
        </w:rPr>
      </w:pPr>
      <w:r>
        <w:rPr>
          <w:rFonts w:hint="eastAsia" w:eastAsia="宋体"/>
          <w:b/>
          <w:sz w:val="36"/>
          <w:szCs w:val="21"/>
          <w:highlight w:val="none"/>
        </w:rPr>
        <w:t xml:space="preserve">      日      期 ：</w:t>
      </w:r>
      <w:r>
        <w:rPr>
          <w:rFonts w:hint="eastAsia" w:eastAsia="宋体"/>
          <w:b/>
          <w:sz w:val="36"/>
          <w:szCs w:val="21"/>
          <w:highlight w:val="none"/>
          <w:u w:val="single"/>
        </w:rPr>
        <w:t xml:space="preserve">               </w:t>
      </w:r>
      <w:r/>
    </w:p>
    <w:p>
      <w:pPr>
        <w:jc w:val="center"/>
        <w:spacing w:line="440" w:lineRule="exact"/>
        <w:rPr>
          <w:rFonts w:eastAsia="宋体"/>
          <w:b/>
          <w:sz w:val="36"/>
          <w:szCs w:val="21"/>
          <w:highlight w:val="none"/>
          <w:u w:val="single"/>
        </w:rPr>
      </w:pPr>
      <w:r>
        <w:rPr>
          <w:rFonts w:eastAsia="宋体"/>
          <w:b/>
          <w:sz w:val="36"/>
          <w:szCs w:val="21"/>
          <w:highlight w:val="none"/>
          <w:u w:val="single"/>
        </w:rPr>
      </w:r>
      <w:r/>
    </w:p>
    <w:p>
      <w:pPr>
        <w:jc w:val="center"/>
        <w:spacing w:line="440" w:lineRule="exact"/>
        <w:rPr>
          <w:rFonts w:eastAsia="宋体"/>
          <w:b/>
          <w:sz w:val="36"/>
          <w:szCs w:val="21"/>
          <w:highlight w:val="none"/>
          <w:u w:val="single"/>
        </w:rPr>
      </w:pPr>
      <w:r>
        <w:rPr>
          <w:rFonts w:eastAsia="宋体"/>
          <w:b/>
          <w:sz w:val="36"/>
          <w:szCs w:val="21"/>
          <w:highlight w:val="none"/>
          <w:u w:val="single"/>
        </w:rPr>
      </w:r>
      <w:r/>
    </w:p>
    <w:p>
      <w:pPr>
        <w:jc w:val="center"/>
        <w:spacing w:line="440" w:lineRule="exact"/>
        <w:rPr>
          <w:rFonts w:eastAsia="宋体"/>
          <w:b/>
          <w:sz w:val="36"/>
          <w:szCs w:val="21"/>
          <w:highlight w:val="none"/>
          <w:u w:val="single"/>
        </w:rPr>
      </w:pPr>
      <w:r>
        <w:rPr>
          <w:rFonts w:eastAsia="宋体"/>
          <w:b/>
          <w:sz w:val="36"/>
          <w:szCs w:val="21"/>
          <w:highlight w:val="none"/>
          <w:u w:val="single"/>
        </w:rPr>
      </w:r>
      <w:r/>
    </w:p>
    <w:p>
      <w:pPr>
        <w:jc w:val="center"/>
        <w:spacing w:line="440" w:lineRule="exact"/>
        <w:rPr>
          <w:rFonts w:eastAsia="宋体"/>
          <w:b/>
          <w:sz w:val="36"/>
          <w:szCs w:val="21"/>
          <w:highlight w:val="none"/>
          <w:u w:val="single"/>
        </w:rPr>
      </w:pPr>
      <w:r>
        <w:rPr>
          <w:rFonts w:eastAsia="宋体"/>
          <w:b/>
          <w:sz w:val="36"/>
          <w:szCs w:val="21"/>
          <w:highlight w:val="none"/>
          <w:u w:val="single"/>
        </w:rPr>
      </w:r>
      <w:r/>
    </w:p>
    <w:p>
      <w:pPr>
        <w:jc w:val="center"/>
        <w:spacing w:line="440" w:lineRule="exact"/>
        <w:rPr>
          <w:rFonts w:eastAsia="宋体"/>
          <w:b/>
          <w:sz w:val="36"/>
          <w:szCs w:val="21"/>
          <w:highlight w:val="none"/>
          <w:u w:val="single"/>
        </w:rPr>
      </w:pPr>
      <w:r>
        <w:rPr>
          <w:rFonts w:eastAsia="宋体"/>
          <w:b/>
          <w:sz w:val="36"/>
          <w:szCs w:val="21"/>
          <w:highlight w:val="none"/>
          <w:u w:val="single"/>
        </w:rPr>
      </w:r>
      <w:r/>
    </w:p>
    <w:p>
      <w:pPr>
        <w:jc w:val="center"/>
        <w:spacing w:line="440" w:lineRule="exact"/>
        <w:rPr>
          <w:rFonts w:eastAsia="宋体"/>
          <w:b/>
          <w:sz w:val="36"/>
          <w:szCs w:val="21"/>
          <w:highlight w:val="none"/>
          <w:u w:val="single"/>
        </w:rPr>
      </w:pPr>
      <w:r>
        <w:rPr>
          <w:rFonts w:eastAsia="宋体"/>
          <w:b/>
          <w:sz w:val="36"/>
          <w:szCs w:val="21"/>
          <w:highlight w:val="none"/>
          <w:u w:val="single"/>
        </w:rPr>
      </w:r>
      <w:r/>
    </w:p>
    <w:p>
      <w:pPr>
        <w:jc w:val="center"/>
        <w:spacing w:line="440" w:lineRule="exact"/>
        <w:rPr>
          <w:rFonts w:eastAsia="宋体"/>
          <w:b/>
          <w:sz w:val="36"/>
          <w:szCs w:val="21"/>
          <w:highlight w:val="none"/>
          <w:u w:val="single"/>
        </w:rPr>
      </w:pPr>
      <w:r>
        <w:rPr>
          <w:rFonts w:eastAsia="宋体"/>
          <w:b/>
          <w:sz w:val="36"/>
          <w:szCs w:val="21"/>
          <w:highlight w:val="none"/>
          <w:u w:val="single"/>
        </w:rPr>
      </w:r>
      <w:r/>
    </w:p>
    <w:p>
      <w:pPr>
        <w:jc w:val="center"/>
        <w:spacing w:line="440" w:lineRule="exact"/>
        <w:rPr>
          <w:rFonts w:eastAsia="宋体"/>
          <w:b/>
          <w:sz w:val="36"/>
          <w:szCs w:val="21"/>
          <w:highlight w:val="none"/>
          <w:u w:val="single"/>
        </w:rPr>
      </w:pPr>
      <w:r>
        <w:rPr>
          <w:rFonts w:eastAsia="宋体"/>
          <w:b/>
          <w:sz w:val="36"/>
          <w:szCs w:val="21"/>
          <w:highlight w:val="none"/>
          <w:u w:val="single"/>
        </w:rPr>
      </w:r>
      <w:r/>
    </w:p>
    <w:p>
      <w:pPr>
        <w:jc w:val="center"/>
        <w:spacing w:line="440" w:lineRule="exact"/>
        <w:rPr>
          <w:rFonts w:eastAsia="宋体"/>
          <w:b/>
          <w:sz w:val="36"/>
          <w:szCs w:val="21"/>
          <w:highlight w:val="none"/>
          <w:u w:val="single"/>
        </w:rPr>
      </w:pPr>
      <w:r>
        <w:rPr>
          <w:rFonts w:eastAsia="宋体"/>
          <w:b/>
          <w:sz w:val="36"/>
          <w:szCs w:val="21"/>
          <w:highlight w:val="none"/>
          <w:u w:val="single"/>
        </w:rPr>
      </w:r>
      <w:r/>
    </w:p>
    <w:p>
      <w:pPr>
        <w:jc w:val="center"/>
        <w:spacing w:line="440" w:lineRule="exact"/>
        <w:rPr>
          <w:rFonts w:eastAsia="宋体"/>
          <w:b/>
          <w:sz w:val="36"/>
          <w:szCs w:val="21"/>
          <w:highlight w:val="none"/>
          <w:u w:val="single"/>
        </w:rPr>
      </w:pPr>
      <w:r>
        <w:rPr>
          <w:rFonts w:eastAsia="宋体"/>
          <w:b/>
          <w:sz w:val="36"/>
          <w:szCs w:val="21"/>
          <w:highlight w:val="none"/>
          <w:u w:val="single"/>
        </w:rPr>
      </w:r>
      <w:r/>
    </w:p>
    <w:p>
      <w:pPr>
        <w:jc w:val="center"/>
        <w:spacing w:line="440" w:lineRule="exact"/>
        <w:rPr>
          <w:rFonts w:eastAsia="宋体"/>
          <w:b/>
          <w:sz w:val="36"/>
          <w:szCs w:val="21"/>
          <w:highlight w:val="none"/>
          <w:u w:val="single"/>
        </w:rPr>
      </w:pPr>
      <w:r>
        <w:rPr>
          <w:rFonts w:eastAsia="宋体"/>
          <w:b/>
          <w:sz w:val="36"/>
          <w:szCs w:val="21"/>
          <w:highlight w:val="none"/>
          <w:u w:val="single"/>
        </w:rPr>
      </w:r>
      <w:r/>
    </w:p>
    <w:p>
      <w:pPr>
        <w:jc w:val="center"/>
        <w:spacing w:line="440" w:lineRule="exact"/>
        <w:rPr>
          <w:rFonts w:eastAsia="宋体"/>
          <w:b/>
          <w:sz w:val="36"/>
          <w:szCs w:val="21"/>
          <w:highlight w:val="none"/>
          <w:u w:val="single"/>
        </w:rPr>
      </w:pPr>
      <w:r>
        <w:rPr>
          <w:rFonts w:eastAsia="宋体"/>
          <w:b/>
          <w:sz w:val="36"/>
          <w:szCs w:val="21"/>
          <w:highlight w:val="none"/>
          <w:u w:val="single"/>
        </w:rPr>
      </w:r>
      <w:r/>
    </w:p>
    <w:p>
      <w:pPr>
        <w:jc w:val="center"/>
        <w:spacing w:line="440" w:lineRule="exact"/>
        <w:rPr>
          <w:rFonts w:eastAsia="宋体"/>
          <w:b/>
          <w:sz w:val="36"/>
          <w:szCs w:val="21"/>
          <w:highlight w:val="none"/>
          <w:u w:val="single"/>
        </w:rPr>
      </w:pPr>
      <w:r>
        <w:rPr>
          <w:rFonts w:eastAsia="宋体"/>
          <w:b/>
          <w:sz w:val="36"/>
          <w:szCs w:val="21"/>
          <w:highlight w:val="none"/>
          <w:u w:val="single"/>
        </w:rPr>
      </w:r>
      <w:r/>
    </w:p>
    <w:p>
      <w:pPr>
        <w:jc w:val="center"/>
        <w:spacing w:line="440" w:lineRule="exact"/>
        <w:rPr>
          <w:rFonts w:eastAsia="宋体"/>
          <w:b/>
          <w:sz w:val="36"/>
          <w:szCs w:val="21"/>
          <w:highlight w:val="none"/>
          <w:u w:val="single"/>
        </w:rPr>
      </w:pPr>
      <w:r>
        <w:rPr>
          <w:rFonts w:eastAsia="宋体"/>
          <w:b/>
          <w:sz w:val="36"/>
          <w:szCs w:val="21"/>
          <w:highlight w:val="none"/>
          <w:u w:val="single"/>
        </w:rPr>
      </w:r>
      <w:r/>
    </w:p>
    <w:p>
      <w:pPr>
        <w:jc w:val="center"/>
        <w:spacing w:line="440" w:lineRule="exact"/>
        <w:rPr>
          <w:rFonts w:eastAsia="宋体"/>
          <w:b/>
          <w:sz w:val="36"/>
          <w:szCs w:val="21"/>
          <w:highlight w:val="none"/>
          <w:u w:val="single"/>
        </w:rPr>
      </w:pPr>
      <w:r>
        <w:rPr>
          <w:rFonts w:eastAsia="宋体"/>
          <w:b/>
          <w:sz w:val="36"/>
          <w:szCs w:val="21"/>
          <w:highlight w:val="none"/>
          <w:u w:val="single"/>
        </w:rPr>
      </w:r>
      <w:r/>
    </w:p>
    <w:p>
      <w:pPr>
        <w:jc w:val="center"/>
        <w:spacing w:line="440" w:lineRule="exact"/>
        <w:rPr>
          <w:rFonts w:eastAsia="宋体"/>
          <w:b/>
          <w:bCs/>
          <w:sz w:val="32"/>
          <w:szCs w:val="32"/>
          <w:highlight w:val="none"/>
        </w:rPr>
      </w:pPr>
      <w:r>
        <w:rPr>
          <w:rFonts w:hint="eastAsia" w:eastAsia="宋体"/>
          <w:b/>
          <w:bCs/>
          <w:sz w:val="32"/>
          <w:szCs w:val="32"/>
          <w:highlight w:val="none"/>
        </w:rPr>
        <w:t xml:space="preserve">投标文件目录</w:t>
      </w:r>
      <w:r/>
    </w:p>
    <w:p>
      <w:pPr>
        <w:jc w:val="center"/>
        <w:spacing w:line="440" w:lineRule="exact"/>
        <w:rPr>
          <w:rFonts w:eastAsia="宋体"/>
          <w:b/>
          <w:bCs/>
          <w:sz w:val="32"/>
          <w:szCs w:val="32"/>
          <w:highlight w:val="none"/>
        </w:rPr>
      </w:pPr>
      <w:r>
        <w:rPr>
          <w:rFonts w:eastAsia="宋体"/>
          <w:b/>
          <w:bCs/>
          <w:sz w:val="32"/>
          <w:szCs w:val="32"/>
          <w:highlight w:val="none"/>
        </w:rPr>
      </w:r>
      <w:r/>
    </w:p>
    <w:p>
      <w:pPr>
        <w:ind w:firstLine="560"/>
        <w:spacing w:line="360" w:lineRule="auto"/>
        <w:rPr>
          <w:rFonts w:eastAsia="宋体" w:cs="宋体"/>
          <w:sz w:val="28"/>
          <w:szCs w:val="28"/>
          <w:highlight w:val="none"/>
        </w:rPr>
      </w:pPr>
      <w:r>
        <w:rPr>
          <w:rFonts w:hint="eastAsia" w:eastAsia="宋体" w:cs="宋体"/>
          <w:sz w:val="28"/>
          <w:szCs w:val="28"/>
          <w:highlight w:val="none"/>
        </w:rPr>
        <w:t xml:space="preserve">一、投标声明及承诺函</w:t>
      </w:r>
      <w:r/>
    </w:p>
    <w:p>
      <w:pPr>
        <w:ind w:firstLine="560"/>
        <w:spacing w:line="360" w:lineRule="auto"/>
        <w:rPr>
          <w:rFonts w:eastAsia="宋体" w:cs="宋体"/>
          <w:sz w:val="28"/>
          <w:szCs w:val="28"/>
          <w:highlight w:val="none"/>
        </w:rPr>
      </w:pPr>
      <w:r>
        <w:rPr>
          <w:rFonts w:hint="eastAsia" w:eastAsia="宋体" w:cs="宋体"/>
          <w:sz w:val="28"/>
          <w:szCs w:val="28"/>
          <w:highlight w:val="none"/>
        </w:rPr>
        <w:t xml:space="preserve">二、投标人基本情况</w:t>
      </w:r>
      <w:r/>
    </w:p>
    <w:p>
      <w:pPr>
        <w:ind w:firstLine="560"/>
        <w:spacing w:line="360" w:lineRule="auto"/>
        <w:rPr>
          <w:rFonts w:eastAsia="宋体" w:cs="宋体"/>
          <w:sz w:val="28"/>
          <w:szCs w:val="28"/>
          <w:highlight w:val="none"/>
        </w:rPr>
      </w:pPr>
      <w:r>
        <w:rPr>
          <w:rFonts w:hint="eastAsia" w:eastAsia="宋体" w:cs="宋体"/>
          <w:sz w:val="28"/>
          <w:szCs w:val="28"/>
          <w:highlight w:val="none"/>
        </w:rPr>
        <w:t xml:space="preserve">三、满足特定资格要求的证明文件（如果设置特定资格要求，则需要提供）</w:t>
      </w:r>
      <w:r/>
    </w:p>
    <w:p>
      <w:pPr>
        <w:ind w:firstLine="560"/>
        <w:spacing w:line="360" w:lineRule="auto"/>
        <w:rPr>
          <w:rFonts w:eastAsia="宋体" w:cs="宋体"/>
          <w:sz w:val="28"/>
          <w:szCs w:val="28"/>
          <w:highlight w:val="none"/>
        </w:rPr>
      </w:pPr>
      <w:r>
        <w:rPr>
          <w:rFonts w:hint="eastAsia" w:eastAsia="宋体" w:cs="宋体"/>
          <w:sz w:val="28"/>
          <w:szCs w:val="28"/>
          <w:highlight w:val="none"/>
        </w:rPr>
        <w:t xml:space="preserve">四、法人授权书</w:t>
      </w:r>
      <w:r/>
    </w:p>
    <w:p>
      <w:pPr>
        <w:ind w:firstLine="560"/>
        <w:spacing w:line="360" w:lineRule="auto"/>
        <w:rPr>
          <w:rFonts w:eastAsia="宋体" w:cs="宋体"/>
          <w:sz w:val="28"/>
          <w:szCs w:val="28"/>
          <w:highlight w:val="none"/>
        </w:rPr>
      </w:pPr>
      <w:r>
        <w:rPr>
          <w:rFonts w:hint="eastAsia" w:eastAsia="宋体" w:cs="宋体"/>
          <w:sz w:val="28"/>
          <w:szCs w:val="28"/>
          <w:highlight w:val="none"/>
        </w:rPr>
        <w:t xml:space="preserve">五、开标一览表</w:t>
      </w:r>
      <w:r/>
    </w:p>
    <w:p>
      <w:pPr>
        <w:ind w:firstLine="560"/>
        <w:spacing w:line="360" w:lineRule="auto"/>
        <w:rPr>
          <w:rFonts w:eastAsia="宋体" w:cs="宋体"/>
          <w:sz w:val="28"/>
          <w:szCs w:val="28"/>
          <w:highlight w:val="none"/>
        </w:rPr>
      </w:pPr>
      <w:r>
        <w:rPr>
          <w:rFonts w:hint="eastAsia" w:eastAsia="宋体" w:cs="宋体"/>
          <w:sz w:val="28"/>
          <w:szCs w:val="28"/>
          <w:highlight w:val="none"/>
        </w:rPr>
        <w:t xml:space="preserve">六、投标报价明细表</w:t>
      </w:r>
      <w:r/>
    </w:p>
    <w:p>
      <w:pPr>
        <w:ind w:firstLine="560"/>
        <w:spacing w:line="360" w:lineRule="auto"/>
        <w:rPr>
          <w:rFonts w:eastAsia="宋体" w:cs="宋体"/>
          <w:sz w:val="28"/>
          <w:szCs w:val="28"/>
          <w:highlight w:val="none"/>
        </w:rPr>
      </w:pPr>
      <w:r>
        <w:rPr>
          <w:rFonts w:hint="eastAsia" w:eastAsia="宋体" w:cs="宋体"/>
          <w:sz w:val="28"/>
          <w:szCs w:val="28"/>
          <w:highlight w:val="none"/>
        </w:rPr>
        <w:t xml:space="preserve">七、中小企业声明函</w:t>
      </w:r>
      <w:r/>
    </w:p>
    <w:p>
      <w:pPr>
        <w:ind w:firstLine="560"/>
        <w:spacing w:line="360" w:lineRule="auto"/>
        <w:rPr>
          <w:rFonts w:eastAsia="宋体" w:cs="宋体"/>
          <w:sz w:val="28"/>
          <w:szCs w:val="28"/>
          <w:highlight w:val="none"/>
        </w:rPr>
      </w:pPr>
      <w:r>
        <w:rPr>
          <w:rFonts w:hint="eastAsia" w:eastAsia="宋体" w:cs="宋体"/>
          <w:sz w:val="28"/>
          <w:szCs w:val="28"/>
          <w:highlight w:val="none"/>
        </w:rPr>
        <w:t xml:space="preserve">八、技术要求响应及偏离表</w:t>
      </w:r>
      <w:r/>
    </w:p>
    <w:p>
      <w:pPr>
        <w:ind w:firstLine="560"/>
        <w:spacing w:line="360" w:lineRule="auto"/>
        <w:rPr>
          <w:rFonts w:eastAsia="宋体" w:cs="宋体"/>
          <w:sz w:val="28"/>
          <w:szCs w:val="28"/>
          <w:highlight w:val="none"/>
        </w:rPr>
      </w:pPr>
      <w:r>
        <w:rPr>
          <w:rFonts w:hint="eastAsia" w:eastAsia="宋体" w:cs="宋体"/>
          <w:sz w:val="28"/>
          <w:szCs w:val="28"/>
          <w:highlight w:val="none"/>
        </w:rPr>
        <w:t xml:space="preserve">九、项目组成员</w:t>
      </w:r>
      <w:r/>
    </w:p>
    <w:p>
      <w:pPr>
        <w:ind w:firstLine="560"/>
        <w:spacing w:line="360" w:lineRule="auto"/>
        <w:rPr>
          <w:rFonts w:eastAsia="宋体" w:cs="宋体"/>
          <w:sz w:val="28"/>
          <w:szCs w:val="28"/>
          <w:highlight w:val="none"/>
        </w:rPr>
      </w:pPr>
      <w:r>
        <w:rPr>
          <w:rFonts w:hint="eastAsia" w:eastAsia="宋体" w:cs="宋体"/>
          <w:sz w:val="28"/>
          <w:szCs w:val="28"/>
          <w:highlight w:val="none"/>
        </w:rPr>
        <w:t xml:space="preserve">十、企业业绩</w:t>
      </w:r>
      <w:r/>
    </w:p>
    <w:p>
      <w:pPr>
        <w:ind w:firstLine="560"/>
        <w:spacing w:line="360" w:lineRule="auto"/>
        <w:rPr>
          <w:rFonts w:eastAsia="宋体" w:cs="宋体"/>
          <w:sz w:val="28"/>
          <w:szCs w:val="28"/>
          <w:highlight w:val="none"/>
        </w:rPr>
      </w:pPr>
      <w:r>
        <w:rPr>
          <w:rFonts w:hint="eastAsia" w:eastAsia="宋体" w:cs="宋体"/>
          <w:sz w:val="28"/>
          <w:szCs w:val="28"/>
          <w:highlight w:val="none"/>
        </w:rPr>
        <w:t xml:space="preserve">十一、投标所需其他材料</w:t>
      </w:r>
      <w:r/>
    </w:p>
    <w:p>
      <w:pPr>
        <w:pStyle w:val="759"/>
        <w:spacing w:line="360" w:lineRule="auto"/>
        <w:rPr>
          <w:rFonts w:hint="eastAsia" w:asciiTheme="minorEastAsia" w:hAnsiTheme="minorEastAsia" w:eastAsiaTheme="minorEastAsia"/>
          <w:szCs w:val="28"/>
          <w:highlight w:val="none"/>
        </w:rPr>
      </w:pPr>
      <w:r>
        <w:rPr>
          <w:rFonts w:hint="eastAsia"/>
          <w:highlight w:val="none"/>
        </w:rPr>
        <w:t xml:space="preserve">    </w:t>
      </w:r>
      <w:r>
        <w:rPr>
          <w:rFonts w:hint="eastAsia" w:asciiTheme="minorEastAsia" w:hAnsiTheme="minorEastAsia" w:eastAsiaTheme="minorEastAsia"/>
          <w:szCs w:val="28"/>
          <w:highlight w:val="none"/>
        </w:rPr>
        <w:t xml:space="preserve">十二、资格证明文件参考格式</w:t>
      </w:r>
      <w:r/>
    </w:p>
    <w:p>
      <w:pPr>
        <w:jc w:val="left"/>
        <w:spacing w:before="120" w:after="120" w:line="400" w:lineRule="exact"/>
        <w:tabs>
          <w:tab w:val="right" w:pos="8720" w:leader="dot"/>
        </w:tabs>
        <w:rPr>
          <w:rFonts w:eastAsia="宋体"/>
          <w:sz w:val="24"/>
          <w:szCs w:val="24"/>
          <w:highlight w:val="none"/>
        </w:rPr>
      </w:pPr>
      <w:r>
        <w:rPr>
          <w:rFonts w:eastAsia="宋体"/>
          <w:sz w:val="24"/>
          <w:szCs w:val="24"/>
          <w:highlight w:val="none"/>
        </w:rPr>
      </w:r>
      <w:r/>
    </w:p>
    <w:p>
      <w:pPr>
        <w:ind w:firstLine="480"/>
        <w:spacing w:line="440" w:lineRule="exact"/>
        <w:rPr>
          <w:rFonts w:eastAsia="宋体"/>
          <w:sz w:val="24"/>
          <w:szCs w:val="24"/>
          <w:highlight w:val="none"/>
        </w:rPr>
      </w:pPr>
      <w:r>
        <w:rPr>
          <w:rFonts w:eastAsia="宋体"/>
          <w:sz w:val="24"/>
          <w:szCs w:val="24"/>
          <w:highlight w:val="none"/>
        </w:rPr>
      </w:r>
      <w:r/>
    </w:p>
    <w:p>
      <w:pPr>
        <w:ind w:firstLine="480"/>
        <w:spacing w:line="440" w:lineRule="exact"/>
        <w:rPr>
          <w:rFonts w:eastAsia="宋体"/>
          <w:sz w:val="24"/>
          <w:szCs w:val="24"/>
          <w:highlight w:val="none"/>
        </w:rPr>
      </w:pPr>
      <w:r>
        <w:rPr>
          <w:rFonts w:eastAsia="宋体"/>
          <w:sz w:val="24"/>
          <w:szCs w:val="24"/>
          <w:highlight w:val="none"/>
        </w:rPr>
      </w:r>
      <w:r/>
    </w:p>
    <w:p>
      <w:pPr>
        <w:ind w:firstLine="480"/>
        <w:spacing w:line="440" w:lineRule="exact"/>
        <w:rPr>
          <w:rFonts w:eastAsia="宋体"/>
          <w:sz w:val="24"/>
          <w:szCs w:val="24"/>
          <w:highlight w:val="none"/>
        </w:rPr>
      </w:pPr>
      <w:r>
        <w:rPr>
          <w:rFonts w:eastAsia="宋体"/>
          <w:sz w:val="24"/>
          <w:szCs w:val="24"/>
          <w:highlight w:val="none"/>
        </w:rPr>
      </w:r>
      <w:r/>
    </w:p>
    <w:p>
      <w:pPr>
        <w:ind w:firstLine="480"/>
        <w:spacing w:line="440" w:lineRule="exact"/>
        <w:rPr>
          <w:rFonts w:eastAsia="宋体"/>
          <w:sz w:val="24"/>
          <w:szCs w:val="24"/>
          <w:highlight w:val="none"/>
        </w:rPr>
      </w:pPr>
      <w:r>
        <w:rPr>
          <w:rFonts w:eastAsia="宋体"/>
          <w:sz w:val="24"/>
          <w:szCs w:val="24"/>
          <w:highlight w:val="none"/>
        </w:rPr>
      </w:r>
      <w:r/>
    </w:p>
    <w:p>
      <w:pPr>
        <w:ind w:firstLine="480"/>
        <w:spacing w:line="440" w:lineRule="exact"/>
        <w:rPr>
          <w:rFonts w:eastAsia="宋体"/>
          <w:sz w:val="24"/>
          <w:szCs w:val="24"/>
          <w:highlight w:val="none"/>
        </w:rPr>
      </w:pPr>
      <w:r>
        <w:rPr>
          <w:rFonts w:eastAsia="宋体"/>
          <w:sz w:val="24"/>
          <w:szCs w:val="24"/>
          <w:highlight w:val="none"/>
        </w:rPr>
      </w:r>
      <w:r/>
    </w:p>
    <w:p>
      <w:pPr>
        <w:ind w:firstLine="480"/>
        <w:spacing w:line="440" w:lineRule="exact"/>
        <w:rPr>
          <w:rFonts w:eastAsia="宋体"/>
          <w:sz w:val="24"/>
          <w:szCs w:val="24"/>
          <w:highlight w:val="none"/>
        </w:rPr>
      </w:pPr>
      <w:r>
        <w:rPr>
          <w:rFonts w:eastAsia="宋体"/>
          <w:sz w:val="24"/>
          <w:szCs w:val="24"/>
          <w:highlight w:val="none"/>
        </w:rPr>
      </w:r>
      <w:r/>
    </w:p>
    <w:p>
      <w:pPr>
        <w:ind w:firstLine="480"/>
        <w:spacing w:line="440" w:lineRule="exact"/>
        <w:rPr>
          <w:rFonts w:eastAsia="宋体"/>
          <w:sz w:val="24"/>
          <w:szCs w:val="24"/>
          <w:highlight w:val="none"/>
        </w:rPr>
      </w:pPr>
      <w:r>
        <w:rPr>
          <w:rFonts w:eastAsia="宋体"/>
          <w:sz w:val="24"/>
          <w:szCs w:val="24"/>
          <w:highlight w:val="none"/>
        </w:rPr>
      </w:r>
      <w:r/>
    </w:p>
    <w:p>
      <w:pPr>
        <w:ind w:firstLine="480"/>
        <w:spacing w:line="440" w:lineRule="exact"/>
        <w:rPr>
          <w:rFonts w:eastAsia="宋体"/>
          <w:sz w:val="24"/>
          <w:szCs w:val="21"/>
          <w:highlight w:val="none"/>
        </w:rPr>
      </w:pPr>
      <w:r>
        <w:rPr>
          <w:rFonts w:eastAsia="宋体"/>
          <w:sz w:val="24"/>
          <w:szCs w:val="21"/>
          <w:highlight w:val="none"/>
        </w:rPr>
      </w:r>
      <w:r/>
    </w:p>
    <w:p>
      <w:pPr>
        <w:ind w:firstLine="480"/>
        <w:spacing w:line="440" w:lineRule="exact"/>
        <w:rPr>
          <w:rFonts w:eastAsia="宋体"/>
          <w:sz w:val="24"/>
          <w:szCs w:val="21"/>
          <w:highlight w:val="none"/>
        </w:rPr>
      </w:pPr>
      <w:r>
        <w:rPr>
          <w:rFonts w:eastAsia="宋体"/>
          <w:sz w:val="24"/>
          <w:szCs w:val="21"/>
          <w:highlight w:val="none"/>
        </w:rPr>
      </w:r>
      <w:r/>
    </w:p>
    <w:p>
      <w:pPr>
        <w:ind w:firstLine="480"/>
        <w:spacing w:line="440" w:lineRule="exact"/>
        <w:rPr>
          <w:rFonts w:eastAsia="宋体"/>
          <w:sz w:val="24"/>
          <w:szCs w:val="21"/>
          <w:highlight w:val="none"/>
        </w:rPr>
      </w:pPr>
      <w:r>
        <w:rPr>
          <w:rFonts w:eastAsia="宋体"/>
          <w:sz w:val="24"/>
          <w:szCs w:val="21"/>
          <w:highlight w:val="none"/>
        </w:rPr>
      </w:r>
      <w:r/>
    </w:p>
    <w:p>
      <w:pPr>
        <w:ind w:firstLine="480"/>
        <w:spacing w:line="440" w:lineRule="exact"/>
        <w:rPr>
          <w:rFonts w:eastAsia="宋体"/>
          <w:sz w:val="24"/>
          <w:szCs w:val="21"/>
          <w:highlight w:val="none"/>
        </w:rPr>
      </w:pPr>
      <w:r>
        <w:rPr>
          <w:rFonts w:eastAsia="宋体"/>
          <w:sz w:val="24"/>
          <w:szCs w:val="21"/>
          <w:highlight w:val="none"/>
        </w:rPr>
      </w:r>
      <w:r/>
    </w:p>
    <w:p>
      <w:pPr>
        <w:jc w:val="left"/>
        <w:widowControl/>
        <w:rPr>
          <w:rFonts w:eastAsiaTheme="minorEastAsia"/>
          <w:sz w:val="24"/>
          <w:szCs w:val="24"/>
          <w:highlight w:val="none"/>
        </w:rPr>
      </w:pPr>
      <w:r/>
      <w:bookmarkStart w:id="50" w:name="_Toc23838"/>
      <w:r/>
      <w:bookmarkEnd w:id="50"/>
      <w:r/>
      <w:r/>
    </w:p>
    <w:p>
      <w:pPr>
        <w:rPr>
          <w:rFonts w:hint="eastAsia" w:ascii="宋体" w:hAnsi="宋体" w:eastAsia="宋体"/>
          <w:b/>
          <w:sz w:val="32"/>
          <w:szCs w:val="32"/>
          <w:highlight w:val="none"/>
        </w:rPr>
      </w:pPr>
      <w:r>
        <w:rPr>
          <w:rFonts w:hint="eastAsia" w:ascii="宋体" w:hAnsi="宋体" w:eastAsia="宋体"/>
          <w:b/>
          <w:sz w:val="32"/>
          <w:szCs w:val="32"/>
          <w:highlight w:val="none"/>
        </w:rPr>
        <w:t xml:space="preserve">一、</w:t>
      </w:r>
      <w:bookmarkEnd w:id="47"/>
      <w:r/>
      <w:bookmarkEnd w:id="48"/>
      <w:r/>
      <w:bookmarkEnd w:id="49"/>
      <w:r/>
      <w:bookmarkStart w:id="51" w:name="_Toc120614284"/>
      <w:r>
        <w:rPr>
          <w:rFonts w:hint="eastAsia" w:ascii="宋体" w:hAnsi="宋体" w:eastAsia="宋体"/>
          <w:b/>
          <w:sz w:val="32"/>
          <w:szCs w:val="32"/>
          <w:highlight w:val="none"/>
        </w:rPr>
        <w:t xml:space="preserve">投标声明及承诺函</w:t>
      </w:r>
      <w:r/>
    </w:p>
    <w:p>
      <w:pPr>
        <w:jc w:val="left"/>
        <w:spacing w:line="500" w:lineRule="exact"/>
        <w:rPr>
          <w:rFonts w:hint="eastAsia" w:ascii="宋体" w:hAnsi="宋体" w:eastAsia="宋体"/>
          <w:sz w:val="24"/>
          <w:szCs w:val="24"/>
          <w:highlight w:val="none"/>
          <w:u w:val="single"/>
        </w:rPr>
      </w:pPr>
      <w:r>
        <w:rPr>
          <w:rFonts w:hint="eastAsia" w:ascii="宋体" w:hAnsi="宋体" w:eastAsia="宋体"/>
          <w:sz w:val="24"/>
          <w:szCs w:val="24"/>
          <w:highlight w:val="none"/>
          <w:u w:val="single"/>
        </w:rPr>
        <w:t xml:space="preserve">（采购单位名称）：</w:t>
      </w:r>
      <w:r/>
    </w:p>
    <w:p>
      <w:pPr>
        <w:ind w:firstLine="480"/>
        <w:jc w:val="left"/>
        <w:spacing w:line="5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根据已收到的项目编号为</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的</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项目的招标文件，我方在参加本项目招投标活动中，特做出如下承诺：</w:t>
      </w:r>
      <w:r/>
    </w:p>
    <w:p>
      <w:pPr>
        <w:ind w:firstLine="480"/>
        <w:jc w:val="left"/>
        <w:spacing w:line="500" w:lineRule="exact"/>
        <w:rPr>
          <w:rFonts w:hint="eastAsia" w:ascii="宋体" w:hAnsi="宋体" w:eastAsia="宋体"/>
          <w:sz w:val="24"/>
          <w:szCs w:val="22"/>
          <w:highlight w:val="none"/>
        </w:rPr>
      </w:pPr>
      <w:r>
        <w:rPr>
          <w:rFonts w:hint="eastAsia" w:ascii="宋体" w:hAnsi="宋体" w:eastAsia="宋体"/>
          <w:sz w:val="24"/>
          <w:szCs w:val="24"/>
          <w:highlight w:val="none"/>
        </w:rPr>
        <w:t xml:space="preserve">一、我方</w:t>
      </w:r>
      <w:r>
        <w:rPr>
          <w:rFonts w:ascii="宋体" w:hAnsi="宋体" w:eastAsia="宋体"/>
          <w:sz w:val="24"/>
          <w:szCs w:val="22"/>
          <w:highlight w:val="none"/>
        </w:rPr>
        <w:t xml:space="preserve">具备《中华人民共和国政府采购法》第二十二条第一款规定的6项条件；</w:t>
      </w:r>
      <w:r/>
    </w:p>
    <w:p>
      <w:pPr>
        <w:ind w:firstLine="480"/>
        <w:jc w:val="left"/>
        <w:spacing w:line="5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三、我方按招标文件要求提交投标文件，响应招标文件规定的投标有效期；</w:t>
      </w:r>
      <w:r/>
    </w:p>
    <w:p>
      <w:pPr>
        <w:ind w:firstLine="480"/>
        <w:jc w:val="left"/>
        <w:spacing w:line="5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5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五、我方若违背本声明及承诺约定，经查实，自愿接受采购人及相关主管部门相应的规定处理，并依法承担相应的法律责任。</w:t>
      </w:r>
      <w:r/>
    </w:p>
    <w:p>
      <w:pPr>
        <w:ind w:firstLine="480"/>
        <w:jc w:val="left"/>
        <w:spacing w:line="5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六、我方同意采购人、采购代理机构将本声明及承诺函上网公开。</w:t>
      </w:r>
      <w:r/>
    </w:p>
    <w:p>
      <w:pPr>
        <w:ind w:firstLine="480"/>
        <w:jc w:val="left"/>
        <w:spacing w:line="500" w:lineRule="exact"/>
        <w:rPr>
          <w:rFonts w:hint="eastAsia" w:ascii="宋体" w:hAnsi="宋体" w:eastAsia="宋体"/>
          <w:sz w:val="24"/>
          <w:szCs w:val="24"/>
          <w:highlight w:val="none"/>
        </w:rPr>
      </w:pPr>
      <w:r>
        <w:rPr>
          <w:rFonts w:hint="eastAsia" w:ascii="宋体" w:hAnsi="宋体" w:eastAsia="宋体"/>
          <w:sz w:val="24"/>
          <w:szCs w:val="24"/>
          <w:highlight w:val="none"/>
        </w:rPr>
      </w:r>
      <w:r/>
    </w:p>
    <w:p>
      <w:pPr>
        <w:jc w:val="left"/>
        <w:spacing w:line="500" w:lineRule="exact"/>
        <w:rPr>
          <w:rFonts w:hint="eastAsia" w:ascii="宋体" w:hAnsi="宋体" w:eastAsia="宋体"/>
          <w:sz w:val="24"/>
          <w:szCs w:val="24"/>
          <w:highlight w:val="none"/>
        </w:rPr>
      </w:pPr>
      <w:r>
        <w:rPr>
          <w:rFonts w:hint="eastAsia" w:ascii="宋体" w:hAnsi="宋体" w:eastAsia="宋体"/>
          <w:sz w:val="24"/>
          <w:szCs w:val="24"/>
          <w:highlight w:val="none"/>
        </w:rPr>
      </w:r>
      <w:r/>
    </w:p>
    <w:p>
      <w:pPr>
        <w:ind w:firstLine="480"/>
        <w:jc w:val="left"/>
        <w:spacing w:line="5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投标人名称： </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（加盖CA电子公章）</w:t>
      </w:r>
      <w:r/>
    </w:p>
    <w:p>
      <w:pPr>
        <w:ind w:firstLine="480"/>
        <w:rPr>
          <w:rFonts w:hint="eastAsia" w:ascii="宋体" w:hAnsi="宋体" w:eastAsia="宋体"/>
          <w:sz w:val="21"/>
          <w:szCs w:val="22"/>
          <w:highlight w:val="none"/>
        </w:rPr>
      </w:pPr>
      <w:r>
        <w:rPr>
          <w:rFonts w:hint="eastAsia" w:ascii="宋体" w:hAnsi="宋体" w:eastAsia="宋体"/>
          <w:sz w:val="24"/>
          <w:szCs w:val="24"/>
          <w:highlight w:val="none"/>
        </w:rPr>
        <w:t xml:space="preserve">日期：    年    月   日</w:t>
      </w:r>
      <w:r/>
    </w:p>
    <w:p>
      <w:pPr>
        <w:jc w:val="left"/>
        <w:widowControl/>
        <w:rPr>
          <w:rFonts w:hint="eastAsia" w:ascii="宋体" w:hAnsi="宋体" w:eastAsia="宋体"/>
          <w:sz w:val="24"/>
          <w:szCs w:val="24"/>
          <w:highlight w:val="none"/>
        </w:rPr>
      </w:pPr>
      <w:r>
        <w:rPr>
          <w:rFonts w:ascii="宋体" w:hAnsi="宋体" w:eastAsia="宋体"/>
          <w:sz w:val="24"/>
          <w:szCs w:val="24"/>
          <w:highlight w:val="none"/>
        </w:rPr>
        <w:br w:type="page" w:clear="all"/>
      </w:r>
      <w:r>
        <w:rPr>
          <w:rFonts w:hint="eastAsia" w:ascii="宋体" w:hAnsi="宋体" w:eastAsia="宋体"/>
          <w:b/>
          <w:sz w:val="32"/>
          <w:szCs w:val="32"/>
          <w:highlight w:val="none"/>
        </w:rPr>
        <w:t xml:space="preserve">二、投标人基本情况</w:t>
      </w:r>
      <w:r/>
    </w:p>
    <w:p>
      <w:pPr>
        <w:jc w:val="center"/>
        <w:rPr>
          <w:rFonts w:hint="eastAsia" w:ascii="宋体" w:hAnsi="宋体" w:eastAsia="宋体"/>
          <w:sz w:val="44"/>
          <w:szCs w:val="44"/>
          <w:highlight w:val="none"/>
        </w:rPr>
      </w:pPr>
      <w:r>
        <w:rPr>
          <w:rFonts w:hint="eastAsia" w:ascii="宋体" w:hAnsi="宋体" w:eastAsia="宋体"/>
          <w:sz w:val="44"/>
          <w:szCs w:val="44"/>
          <w:highlight w:val="none"/>
        </w:rPr>
        <w:t xml:space="preserve">投标人基本情况表</w:t>
      </w:r>
      <w:r/>
    </w:p>
    <w:tbl>
      <w:tblPr>
        <w:tblStyle w:val="7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投标人名称</w:t>
            </w:r>
            <w:r/>
          </w:p>
        </w:tc>
        <w:tc>
          <w:tcPr>
            <w:gridSpan w:val="3"/>
            <w:tcW w:w="6998"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法定代表人</w:t>
            </w:r>
            <w:r/>
          </w:p>
        </w:tc>
        <w:tc>
          <w:tcPr>
            <w:tcW w:w="3118"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r>
            <w:r/>
          </w:p>
        </w:tc>
        <w:tc>
          <w:tcPr>
            <w:tcW w:w="1276"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注册地区</w:t>
            </w:r>
            <w:r/>
          </w:p>
        </w:tc>
        <w:tc>
          <w:tcPr>
            <w:tcW w:w="2604"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地址</w:t>
            </w:r>
            <w:r/>
          </w:p>
        </w:tc>
        <w:tc>
          <w:tcPr>
            <w:tcW w:w="3118"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r>
            <w:r/>
          </w:p>
        </w:tc>
        <w:tc>
          <w:tcPr>
            <w:tcW w:w="1276"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邮政编码</w:t>
            </w:r>
            <w:r/>
          </w:p>
        </w:tc>
        <w:tc>
          <w:tcPr>
            <w:tcW w:w="2604"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成立时间</w:t>
            </w:r>
            <w:r/>
          </w:p>
        </w:tc>
        <w:tc>
          <w:tcPr>
            <w:tcW w:w="3118"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r>
            <w:r/>
          </w:p>
        </w:tc>
        <w:tc>
          <w:tcPr>
            <w:tcW w:w="1276"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单位性质</w:t>
            </w:r>
            <w:r/>
          </w:p>
        </w:tc>
        <w:tc>
          <w:tcPr>
            <w:tcW w:w="2604"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注册号或社会信用代码</w:t>
            </w:r>
            <w:r/>
          </w:p>
        </w:tc>
        <w:tc>
          <w:tcPr>
            <w:tcW w:w="3118"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r>
            <w:r/>
          </w:p>
        </w:tc>
        <w:tc>
          <w:tcPr>
            <w:tcW w:w="1276"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注册资本（万元）</w:t>
            </w:r>
            <w:r/>
          </w:p>
        </w:tc>
        <w:tc>
          <w:tcPr>
            <w:tcW w:w="2604"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投标人类别</w:t>
            </w:r>
            <w:r/>
          </w:p>
        </w:tc>
        <w:tc>
          <w:tcPr>
            <w:gridSpan w:val="3"/>
            <w:tcW w:w="6998"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开户银行</w:t>
            </w:r>
            <w:r/>
          </w:p>
        </w:tc>
        <w:tc>
          <w:tcPr>
            <w:tcW w:w="3118"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r>
            <w:r/>
          </w:p>
        </w:tc>
        <w:tc>
          <w:tcPr>
            <w:tcW w:w="1276"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账号</w:t>
            </w:r>
            <w:r/>
          </w:p>
        </w:tc>
        <w:tc>
          <w:tcPr>
            <w:tcW w:w="2604"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联系人</w:t>
            </w:r>
            <w:r/>
          </w:p>
        </w:tc>
        <w:tc>
          <w:tcPr>
            <w:tcW w:w="3118"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r>
            <w:r/>
          </w:p>
        </w:tc>
        <w:tc>
          <w:tcPr>
            <w:tcW w:w="1276"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联系电话</w:t>
            </w:r>
            <w:r/>
          </w:p>
        </w:tc>
        <w:tc>
          <w:tcPr>
            <w:tcW w:w="2604"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r>
            <w:r/>
          </w:p>
        </w:tc>
      </w:tr>
      <w:tr>
        <w:trPr>
          <w:trHeight w:val="2376"/>
        </w:trPr>
        <w:tc>
          <w:tcPr>
            <w:tcW w:w="1526" w:type="dxa"/>
            <w:vAlign w:val="center"/>
            <w:textDirection w:val="lrTb"/>
            <w:noWrap w:val="false"/>
          </w:tcPr>
          <w:p>
            <w:pPr>
              <w:jc w:val="center"/>
              <w:spacing w:line="56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经营范围</w:t>
            </w:r>
            <w:r/>
          </w:p>
        </w:tc>
        <w:tc>
          <w:tcPr>
            <w:gridSpan w:val="3"/>
            <w:tcW w:w="6998" w:type="dxa"/>
            <w:textDirection w:val="lrTb"/>
            <w:noWrap w:val="false"/>
          </w:tcPr>
          <w:p>
            <w:pPr>
              <w:ind w:firstLine="1432"/>
              <w:spacing w:line="560" w:lineRule="exact"/>
              <w:rPr>
                <w:rFonts w:hint="eastAsia" w:ascii="宋体" w:hAnsi="宋体" w:eastAsia="宋体"/>
                <w:sz w:val="24"/>
                <w:szCs w:val="24"/>
                <w:highlight w:val="none"/>
              </w:rPr>
            </w:pPr>
            <w:r>
              <w:rPr>
                <w:rFonts w:hint="eastAsia" w:ascii="宋体" w:hAnsi="宋体" w:eastAsia="宋体"/>
                <w:sz w:val="24"/>
                <w:szCs w:val="24"/>
                <w:highlight w:val="none"/>
              </w:rPr>
            </w:r>
            <w:r/>
          </w:p>
        </w:tc>
      </w:tr>
      <w:tr>
        <w:trPr>
          <w:trHeight w:val="1134"/>
        </w:trPr>
        <w:tc>
          <w:tcPr>
            <w:tcW w:w="1526" w:type="dxa"/>
            <w:vAlign w:val="center"/>
            <w:textDirection w:val="lrTb"/>
            <w:noWrap w:val="false"/>
          </w:tcPr>
          <w:p>
            <w:pPr>
              <w:jc w:val="center"/>
              <w:spacing w:line="56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备注</w:t>
            </w:r>
            <w:r/>
          </w:p>
        </w:tc>
        <w:tc>
          <w:tcPr>
            <w:gridSpan w:val="3"/>
            <w:tcW w:w="6998" w:type="dxa"/>
            <w:vAlign w:val="center"/>
            <w:textDirection w:val="lrTb"/>
            <w:noWrap w:val="false"/>
          </w:tcPr>
          <w:p>
            <w:pPr>
              <w:jc w:val="center"/>
              <w:spacing w:line="5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无需提供营业执照等证明材料</w:t>
            </w:r>
            <w:r/>
          </w:p>
        </w:tc>
      </w:tr>
    </w:tbl>
    <w:p>
      <w:pPr>
        <w:ind w:firstLine="480"/>
        <w:spacing w:line="440" w:lineRule="exact"/>
        <w:rPr>
          <w:rFonts w:hint="eastAsia" w:ascii="宋体" w:hAnsi="宋体" w:eastAsia="宋体"/>
          <w:sz w:val="24"/>
          <w:szCs w:val="21"/>
          <w:highlight w:val="none"/>
        </w:rPr>
      </w:pPr>
      <w:r>
        <w:rPr>
          <w:rFonts w:hint="eastAsia" w:ascii="宋体" w:hAnsi="宋体" w:eastAsia="宋体"/>
          <w:sz w:val="24"/>
          <w:szCs w:val="21"/>
          <w:highlight w:val="none"/>
        </w:rPr>
      </w:r>
      <w:r/>
    </w:p>
    <w:p>
      <w:pPr>
        <w:ind w:firstLine="480"/>
        <w:spacing w:line="440" w:lineRule="exact"/>
        <w:rPr>
          <w:rFonts w:hint="eastAsia" w:ascii="宋体" w:hAnsi="宋体" w:eastAsia="宋体"/>
          <w:sz w:val="24"/>
          <w:szCs w:val="21"/>
          <w:highlight w:val="none"/>
        </w:rPr>
      </w:pPr>
      <w:r>
        <w:rPr>
          <w:rFonts w:hint="eastAsia" w:ascii="宋体" w:hAnsi="宋体" w:eastAsia="宋体"/>
          <w:sz w:val="24"/>
          <w:szCs w:val="21"/>
          <w:highlight w:val="none"/>
        </w:rPr>
      </w:r>
      <w:r/>
    </w:p>
    <w:p>
      <w:pPr>
        <w:ind w:firstLine="480"/>
        <w:spacing w:line="440" w:lineRule="exact"/>
        <w:rPr>
          <w:rFonts w:hint="eastAsia" w:ascii="宋体" w:hAnsi="宋体" w:eastAsia="宋体"/>
          <w:sz w:val="24"/>
          <w:szCs w:val="21"/>
          <w:highlight w:val="none"/>
        </w:rPr>
      </w:pPr>
      <w:r>
        <w:rPr>
          <w:rFonts w:hint="eastAsia" w:ascii="宋体" w:hAnsi="宋体" w:eastAsia="宋体"/>
          <w:sz w:val="24"/>
          <w:szCs w:val="21"/>
          <w:highlight w:val="none"/>
        </w:rPr>
      </w:r>
      <w:r/>
    </w:p>
    <w:p>
      <w:pP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p>
    <w:p>
      <w:pPr>
        <w:rPr>
          <w:rFonts w:hint="eastAsia" w:ascii="宋体" w:hAnsi="宋体" w:eastAsia="宋体"/>
          <w:i/>
          <w:sz w:val="32"/>
          <w:szCs w:val="32"/>
          <w:highlight w:val="none"/>
          <w:u w:val="single"/>
        </w:rPr>
      </w:pPr>
      <w:r>
        <w:rPr>
          <w:rFonts w:ascii="宋体" w:hAnsi="宋体" w:eastAsia="宋体"/>
          <w:sz w:val="21"/>
          <w:szCs w:val="21"/>
          <w:highlight w:val="none"/>
        </w:rPr>
        <w:br w:type="page" w:clear="all"/>
      </w:r>
      <w:r>
        <w:rPr>
          <w:rFonts w:hint="eastAsia" w:ascii="宋体" w:hAnsi="宋体" w:eastAsia="宋体"/>
          <w:b/>
          <w:sz w:val="32"/>
          <w:szCs w:val="32"/>
          <w:highlight w:val="none"/>
        </w:rPr>
        <w:t xml:space="preserve">三、特定资格要求的证明文件</w:t>
      </w:r>
      <w:r/>
    </w:p>
    <w:p>
      <w:pPr>
        <w:spacing w:line="460" w:lineRule="exact"/>
        <w:rPr>
          <w:rFonts w:hint="eastAsia" w:ascii="宋体" w:hAnsi="宋体" w:eastAsia="宋体"/>
          <w:bCs/>
          <w:sz w:val="24"/>
          <w:szCs w:val="21"/>
          <w:highlight w:val="none"/>
        </w:rPr>
      </w:pPr>
      <w:r>
        <w:rPr>
          <w:rFonts w:hint="eastAsia" w:ascii="宋体" w:hAnsi="宋体" w:eastAsia="宋体"/>
          <w:sz w:val="24"/>
          <w:szCs w:val="21"/>
          <w:highlight w:val="none"/>
        </w:rPr>
        <w:t xml:space="preserve">    如果本项目申请人的特定资格要求中要求提供的，必须提供。</w:t>
      </w:r>
      <w:r/>
    </w:p>
    <w:p>
      <w:pPr>
        <w:spacing w:line="460" w:lineRule="exact"/>
        <w:rPr>
          <w:rFonts w:hint="eastAsia" w:ascii="宋体" w:hAnsi="宋体" w:eastAsia="宋体"/>
          <w:bCs/>
          <w:sz w:val="24"/>
          <w:szCs w:val="21"/>
          <w:highlight w:val="none"/>
        </w:rPr>
      </w:pPr>
      <w:r>
        <w:rPr>
          <w:rFonts w:hint="eastAsia" w:ascii="宋体" w:hAnsi="宋体" w:eastAsia="宋体"/>
          <w:bCs/>
          <w:sz w:val="24"/>
          <w:szCs w:val="21"/>
          <w:highlight w:val="none"/>
        </w:rPr>
      </w: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p>
    <w:p>
      <w:pPr>
        <w:ind w:firstLine="640"/>
        <w:jc w:val="left"/>
        <w:spacing w:line="560" w:lineRule="exact"/>
        <w:rPr>
          <w:rFonts w:hint="eastAsia" w:ascii="宋体" w:hAnsi="宋体" w:eastAsia="宋体" w:cs="仿宋_GB2312"/>
          <w:i/>
          <w:sz w:val="32"/>
          <w:szCs w:val="32"/>
          <w:highlight w:val="none"/>
          <w:u w:val="single"/>
        </w:rPr>
      </w:pPr>
      <w:r>
        <w:rPr>
          <w:rFonts w:hint="eastAsia" w:ascii="宋体" w:hAnsi="宋体" w:eastAsia="宋体" w:cs="仿宋_GB2312"/>
          <w:i/>
          <w:sz w:val="32"/>
          <w:szCs w:val="32"/>
          <w:highlight w:val="none"/>
          <w:u w:val="single"/>
        </w:rPr>
      </w:r>
      <w:r/>
    </w:p>
    <w:p>
      <w:pPr>
        <w:ind w:firstLine="640"/>
        <w:jc w:val="left"/>
        <w:spacing w:line="560" w:lineRule="exact"/>
        <w:rPr>
          <w:rFonts w:hint="eastAsia" w:ascii="宋体" w:hAnsi="宋体" w:eastAsia="宋体" w:cs="仿宋_GB2312"/>
          <w:bCs/>
          <w:i/>
          <w:sz w:val="32"/>
          <w:szCs w:val="32"/>
          <w:highlight w:val="none"/>
          <w:u w:val="single"/>
        </w:rPr>
      </w:pPr>
      <w:r>
        <w:rPr>
          <w:rFonts w:hint="eastAsia" w:ascii="宋体" w:hAnsi="宋体" w:eastAsia="宋体" w:cs="仿宋_GB2312"/>
          <w:bCs/>
          <w:i/>
          <w:sz w:val="32"/>
          <w:szCs w:val="32"/>
          <w:highlight w:val="none"/>
          <w:u w:val="single"/>
        </w:rPr>
      </w:r>
      <w:r/>
    </w:p>
    <w:p>
      <w:pPr>
        <w:ind w:firstLine="640"/>
        <w:jc w:val="left"/>
        <w:spacing w:line="560" w:lineRule="exact"/>
        <w:rPr>
          <w:rFonts w:hint="eastAsia" w:ascii="宋体" w:hAnsi="宋体" w:eastAsia="宋体" w:cs="仿宋_GB2312"/>
          <w:bCs/>
          <w:i/>
          <w:sz w:val="32"/>
          <w:szCs w:val="32"/>
          <w:highlight w:val="none"/>
          <w:u w:val="single"/>
        </w:rPr>
      </w:pPr>
      <w:r>
        <w:rPr>
          <w:rFonts w:hint="eastAsia" w:ascii="宋体" w:hAnsi="宋体" w:eastAsia="宋体" w:cs="仿宋_GB2312"/>
          <w:bCs/>
          <w:i/>
          <w:sz w:val="32"/>
          <w:szCs w:val="32"/>
          <w:highlight w:val="none"/>
          <w:u w:val="single"/>
        </w:rPr>
      </w:r>
      <w:r/>
    </w:p>
    <w:p>
      <w:pPr>
        <w:ind w:firstLine="640"/>
        <w:jc w:val="left"/>
        <w:spacing w:line="560" w:lineRule="exact"/>
        <w:rPr>
          <w:rFonts w:hint="eastAsia" w:ascii="宋体" w:hAnsi="宋体" w:eastAsia="宋体" w:cs="仿宋_GB2312"/>
          <w:bCs/>
          <w:i/>
          <w:sz w:val="32"/>
          <w:szCs w:val="32"/>
          <w:highlight w:val="none"/>
          <w:u w:val="single"/>
        </w:rPr>
      </w:pPr>
      <w:r>
        <w:rPr>
          <w:rFonts w:hint="eastAsia" w:ascii="宋体" w:hAnsi="宋体" w:eastAsia="宋体" w:cs="仿宋_GB2312"/>
          <w:bCs/>
          <w:i/>
          <w:sz w:val="32"/>
          <w:szCs w:val="32"/>
          <w:highlight w:val="none"/>
          <w:u w:val="single"/>
        </w:rPr>
      </w:r>
      <w:r/>
    </w:p>
    <w:p>
      <w:pPr>
        <w:ind w:firstLine="640"/>
        <w:jc w:val="left"/>
        <w:spacing w:line="560" w:lineRule="exact"/>
        <w:rPr>
          <w:rFonts w:hint="eastAsia" w:ascii="宋体" w:hAnsi="宋体" w:eastAsia="宋体" w:cs="仿宋_GB2312"/>
          <w:bCs/>
          <w:i/>
          <w:sz w:val="32"/>
          <w:szCs w:val="32"/>
          <w:highlight w:val="none"/>
          <w:u w:val="single"/>
        </w:rPr>
      </w:pPr>
      <w:r>
        <w:rPr>
          <w:rFonts w:hint="eastAsia" w:ascii="宋体" w:hAnsi="宋体" w:eastAsia="宋体" w:cs="仿宋_GB2312"/>
          <w:bCs/>
          <w:i/>
          <w:sz w:val="32"/>
          <w:szCs w:val="32"/>
          <w:highlight w:val="none"/>
          <w:u w:val="single"/>
        </w:rPr>
      </w:r>
      <w:r/>
    </w:p>
    <w:p>
      <w:pPr>
        <w:ind w:firstLine="640"/>
        <w:jc w:val="left"/>
        <w:spacing w:line="560" w:lineRule="exact"/>
        <w:rPr>
          <w:rFonts w:hint="eastAsia" w:ascii="宋体" w:hAnsi="宋体" w:eastAsia="宋体" w:cs="仿宋_GB2312"/>
          <w:bCs/>
          <w:i/>
          <w:sz w:val="32"/>
          <w:szCs w:val="32"/>
          <w:highlight w:val="none"/>
          <w:u w:val="single"/>
        </w:rPr>
      </w:pPr>
      <w:r>
        <w:rPr>
          <w:rFonts w:hint="eastAsia" w:ascii="宋体" w:hAnsi="宋体" w:eastAsia="宋体" w:cs="仿宋_GB2312"/>
          <w:bCs/>
          <w:i/>
          <w:sz w:val="32"/>
          <w:szCs w:val="32"/>
          <w:highlight w:val="none"/>
          <w:u w:val="single"/>
        </w:rPr>
      </w:r>
      <w:r/>
    </w:p>
    <w:p>
      <w:pPr>
        <w:ind w:firstLine="640"/>
        <w:jc w:val="left"/>
        <w:spacing w:line="560" w:lineRule="exact"/>
        <w:rPr>
          <w:rFonts w:hint="eastAsia" w:ascii="宋体" w:hAnsi="宋体" w:eastAsia="宋体" w:cs="仿宋_GB2312"/>
          <w:bCs/>
          <w:i/>
          <w:sz w:val="32"/>
          <w:szCs w:val="32"/>
          <w:highlight w:val="none"/>
          <w:u w:val="single"/>
        </w:rPr>
      </w:pPr>
      <w:r>
        <w:rPr>
          <w:rFonts w:hint="eastAsia" w:ascii="宋体" w:hAnsi="宋体" w:eastAsia="宋体" w:cs="仿宋_GB2312"/>
          <w:bCs/>
          <w:i/>
          <w:sz w:val="32"/>
          <w:szCs w:val="32"/>
          <w:highlight w:val="none"/>
          <w:u w:val="single"/>
        </w:rPr>
      </w:r>
      <w:r/>
    </w:p>
    <w:p>
      <w:pPr>
        <w:ind w:firstLine="640"/>
        <w:jc w:val="left"/>
        <w:spacing w:line="560" w:lineRule="exact"/>
        <w:rPr>
          <w:rFonts w:hint="eastAsia" w:ascii="宋体" w:hAnsi="宋体" w:eastAsia="宋体" w:cs="仿宋_GB2312"/>
          <w:bCs/>
          <w:i/>
          <w:sz w:val="32"/>
          <w:szCs w:val="32"/>
          <w:highlight w:val="none"/>
          <w:u w:val="single"/>
        </w:rPr>
      </w:pPr>
      <w:r>
        <w:rPr>
          <w:rFonts w:hint="eastAsia" w:ascii="宋体" w:hAnsi="宋体" w:eastAsia="宋体" w:cs="仿宋_GB2312"/>
          <w:bCs/>
          <w:i/>
          <w:sz w:val="32"/>
          <w:szCs w:val="32"/>
          <w:highlight w:val="none"/>
          <w:u w:val="single"/>
        </w:rPr>
      </w: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p>
    <w:p>
      <w:pPr>
        <w:jc w:val="center"/>
        <w:rPr>
          <w:rFonts w:hint="eastAsia" w:asciiTheme="minorEastAsia" w:hAnsiTheme="minorEastAsia" w:eastAsiaTheme="minorEastAsia"/>
          <w:i/>
          <w:sz w:val="32"/>
          <w:szCs w:val="32"/>
          <w:highlight w:val="none"/>
          <w:u w:val="single"/>
        </w:rPr>
      </w:pPr>
      <w:r>
        <w:rPr>
          <w:rFonts w:hint="eastAsia" w:asciiTheme="minorEastAsia" w:hAnsiTheme="minorEastAsia" w:eastAsiaTheme="minorEastAsia"/>
          <w:i/>
          <w:sz w:val="32"/>
          <w:szCs w:val="32"/>
          <w:highlight w:val="none"/>
          <w:u w:val="single"/>
        </w:rPr>
      </w: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p>
    <w:p>
      <w:pPr>
        <w:rPr>
          <w:rFonts w:hint="eastAsia" w:ascii="宋体" w:hAnsi="宋体" w:eastAsia="宋体"/>
          <w:b/>
          <w:sz w:val="32"/>
          <w:szCs w:val="32"/>
          <w:highlight w:val="none"/>
        </w:rPr>
      </w:pPr>
      <w:r>
        <w:rPr>
          <w:rFonts w:hint="eastAsia" w:ascii="宋体" w:hAnsi="宋体" w:eastAsia="宋体"/>
          <w:b/>
          <w:sz w:val="32"/>
          <w:szCs w:val="32"/>
          <w:highlight w:val="none"/>
        </w:rPr>
        <w:t xml:space="preserve">四、法人授权书</w:t>
      </w:r>
      <w:r/>
    </w:p>
    <w:p>
      <w:pPr>
        <w:ind w:firstLine="480"/>
        <w:tabs>
          <w:tab w:val="left" w:pos="360" w:leader="none"/>
        </w:tabs>
        <w:rPr>
          <w:rFonts w:hint="eastAsia" w:ascii="宋体" w:hAnsi="宋体" w:eastAsia="宋体"/>
          <w:sz w:val="24"/>
          <w:szCs w:val="24"/>
          <w:highlight w:val="none"/>
        </w:rPr>
      </w:pPr>
      <w:r>
        <w:rPr>
          <w:rFonts w:hint="eastAsia" w:ascii="宋体" w:hAnsi="宋体" w:eastAsia="宋体"/>
          <w:sz w:val="24"/>
          <w:szCs w:val="24"/>
          <w:highlight w:val="none"/>
        </w:rPr>
        <w:t xml:space="preserve">本授权书声明：____________（投标人名称）授权________________（被授权人的姓名）为我方就JSZC-</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号项目采购活动的合法代理人，以本单位名义全权处理一切与该项目采购有关的事务。</w:t>
      </w:r>
      <w:r/>
    </w:p>
    <w:p>
      <w:pPr>
        <w:ind w:firstLine="480"/>
        <w:tabs>
          <w:tab w:val="left" w:pos="360" w:leader="none"/>
        </w:tabs>
        <w:rPr>
          <w:rFonts w:hint="eastAsia" w:ascii="宋体" w:hAnsi="宋体" w:eastAsia="宋体"/>
          <w:sz w:val="24"/>
          <w:szCs w:val="24"/>
          <w:highlight w:val="none"/>
        </w:rPr>
      </w:pPr>
      <w:r>
        <w:rPr>
          <w:rFonts w:hint="eastAsia" w:ascii="宋体" w:hAnsi="宋体" w:eastAsia="宋体"/>
          <w:sz w:val="24"/>
          <w:szCs w:val="24"/>
          <w:highlight w:val="none"/>
        </w:rPr>
        <w:t xml:space="preserve">本授权书于______年____月____日起生效，特此声明。</w:t>
      </w:r>
      <w:r/>
    </w:p>
    <w:p>
      <w:pPr>
        <w:tabs>
          <w:tab w:val="left" w:pos="360" w:leader="none"/>
        </w:tabs>
        <w:rPr>
          <w:rFonts w:hint="eastAsia" w:ascii="宋体" w:hAnsi="宋体" w:eastAsia="宋体"/>
          <w:sz w:val="24"/>
          <w:szCs w:val="24"/>
          <w:highlight w:val="none"/>
          <w:u w:val="single"/>
        </w:rPr>
      </w:pPr>
      <w:r>
        <w:rPr>
          <w:rFonts w:hint="eastAsia" w:ascii="宋体" w:hAnsi="宋体" w:eastAsia="宋体"/>
          <w:sz w:val="24"/>
          <w:szCs w:val="24"/>
          <w:highlight w:val="none"/>
        </w:rPr>
        <w:t xml:space="preserve">          被授权人身份证号码：</w:t>
      </w:r>
      <w:r>
        <w:rPr>
          <w:rFonts w:hint="eastAsia" w:ascii="宋体" w:hAnsi="宋体" w:eastAsia="宋体"/>
          <w:sz w:val="24"/>
          <w:szCs w:val="24"/>
          <w:highlight w:val="none"/>
          <w:u w:val="single"/>
        </w:rPr>
        <w:t xml:space="preserve">                              </w:t>
      </w:r>
      <w:r/>
    </w:p>
    <w:p>
      <w:pPr>
        <w:tabs>
          <w:tab w:val="left" w:pos="360" w:leader="none"/>
        </w:tabs>
        <w:rPr>
          <w:rFonts w:hint="eastAsia" w:ascii="宋体" w:hAnsi="宋体" w:eastAsia="宋体"/>
          <w:sz w:val="24"/>
          <w:szCs w:val="24"/>
          <w:highlight w:val="none"/>
          <w:u w:val="single"/>
        </w:rPr>
      </w:pPr>
      <w:r>
        <w:rPr>
          <w:rFonts w:hint="eastAsia" w:ascii="宋体" w:hAnsi="宋体" w:eastAsia="宋体"/>
          <w:sz w:val="24"/>
          <w:szCs w:val="24"/>
          <w:highlight w:val="none"/>
        </w:rPr>
        <w:t xml:space="preserve">          被授权人联系电话：（手机）</w:t>
      </w:r>
      <w:r>
        <w:rPr>
          <w:rFonts w:hint="eastAsia" w:ascii="宋体" w:hAnsi="宋体" w:eastAsia="宋体"/>
          <w:sz w:val="24"/>
          <w:szCs w:val="24"/>
          <w:highlight w:val="none"/>
          <w:u w:val="single"/>
        </w:rPr>
        <w:t xml:space="preserve">                          </w:t>
      </w:r>
      <w:r/>
    </w:p>
    <w:p>
      <w:pPr>
        <w:ind w:firstLine="1200"/>
        <w:tabs>
          <w:tab w:val="left" w:pos="360" w:leader="none"/>
        </w:tabs>
        <w:rPr>
          <w:rFonts w:hint="eastAsia" w:ascii="宋体" w:hAnsi="宋体" w:eastAsia="宋体"/>
          <w:sz w:val="24"/>
          <w:szCs w:val="24"/>
          <w:highlight w:val="none"/>
        </w:rPr>
      </w:pPr>
      <w:r>
        <w:rPr>
          <w:rFonts w:hint="eastAsia" w:ascii="宋体" w:hAnsi="宋体" w:eastAsia="宋体"/>
          <w:sz w:val="24"/>
          <w:szCs w:val="24"/>
          <w:highlight w:val="none"/>
        </w:rPr>
        <w:t xml:space="preserve">授权单位名称：</w:t>
      </w:r>
      <w:r>
        <w:rPr>
          <w:rFonts w:hint="eastAsia" w:ascii="宋体" w:hAnsi="宋体" w:eastAsia="宋体"/>
          <w:sz w:val="24"/>
          <w:szCs w:val="24"/>
          <w:highlight w:val="none"/>
          <w:u w:val="single"/>
        </w:rPr>
        <w:t xml:space="preserve">（加盖CA电子公章）</w:t>
      </w:r>
      <w:r/>
    </w:p>
    <w:p>
      <w:pPr>
        <w:ind w:firstLine="480"/>
        <w:tabs>
          <w:tab w:val="left" w:pos="360" w:leader="none"/>
        </w:tabs>
        <w:rPr>
          <w:rFonts w:hint="eastAsia" w:ascii="宋体" w:hAnsi="宋体" w:eastAsia="宋体"/>
          <w:sz w:val="24"/>
          <w:szCs w:val="24"/>
          <w:highlight w:val="none"/>
          <w:u w:val="single"/>
        </w:rPr>
      </w:pPr>
      <w:r>
        <w:rPr>
          <w:rFonts w:hint="eastAsia" w:ascii="宋体" w:hAnsi="宋体" w:eastAsia="宋体"/>
          <w:sz w:val="24"/>
          <w:szCs w:val="24"/>
          <w:highlight w:val="none"/>
        </w:rPr>
        <w:t xml:space="preserve">      单位地址：</w:t>
      </w:r>
      <w:r>
        <w:rPr>
          <w:rFonts w:hint="eastAsia" w:ascii="宋体" w:hAnsi="宋体" w:eastAsia="宋体"/>
          <w:sz w:val="24"/>
          <w:szCs w:val="24"/>
          <w:highlight w:val="none"/>
          <w:u w:val="single"/>
        </w:rPr>
        <w:t xml:space="preserve">                                         </w:t>
      </w:r>
      <w:r/>
    </w:p>
    <w:p>
      <w:pPr>
        <w:ind w:firstLine="480"/>
        <w:tabs>
          <w:tab w:val="left" w:pos="360" w:leader="none"/>
        </w:tabs>
        <w:rPr>
          <w:rFonts w:hint="eastAsia" w:ascii="宋体" w:hAnsi="宋体" w:eastAsia="宋体"/>
          <w:sz w:val="24"/>
          <w:szCs w:val="24"/>
          <w:highlight w:val="none"/>
        </w:rPr>
      </w:pPr>
      <w:r>
        <w:rPr>
          <w:rFonts w:hint="eastAsia" w:ascii="宋体" w:hAnsi="宋体" w:eastAsia="宋体"/>
          <w:sz w:val="24"/>
          <w:szCs w:val="24"/>
          <w:highlight w:val="none"/>
        </w:rPr>
        <w:t xml:space="preserve">      日期：</w:t>
      </w:r>
      <w:bookmarkStart w:id="52" w:name="_格式3__银行出具的资信证明"/>
      <w:r/>
      <w:bookmarkEnd w:id="52"/>
      <w:r/>
      <w:bookmarkStart w:id="53" w:name="_Hlt26955070"/>
      <w:r/>
      <w:bookmarkEnd w:id="53"/>
      <w:r/>
      <w:bookmarkStart w:id="54" w:name="_Hlt26671380"/>
      <w:r/>
      <w:bookmarkEnd w:id="54"/>
      <w:r>
        <w:rPr>
          <w:rFonts w:hint="eastAsia" w:ascii="宋体" w:hAnsi="宋体" w:eastAsia="宋体"/>
          <w:sz w:val="24"/>
          <w:szCs w:val="24"/>
          <w:highlight w:val="none"/>
          <w:u w:val="single"/>
        </w:rPr>
        <w:t xml:space="preserve">                                         </w:t>
      </w:r>
      <w:r/>
    </w:p>
    <w:p>
      <w:pPr>
        <w:ind w:firstLine="420"/>
        <w:rPr>
          <w:rFonts w:hint="eastAsia" w:ascii="宋体" w:hAnsi="宋体" w:eastAsia="宋体"/>
          <w:i/>
          <w:sz w:val="24"/>
          <w:szCs w:val="24"/>
          <w:highlight w:val="none"/>
          <w:u w:val="single"/>
        </w:rPr>
      </w:pPr>
      <w:r>
        <w:rPr>
          <w:rFonts w:hint="eastAsia" w:ascii="宋体" w:hAnsi="宋体" w:eastAsia="宋体"/>
          <w:i/>
          <w:sz w:val="24"/>
          <w:szCs w:val="24"/>
          <w:highlight w:val="none"/>
          <w:u w:val="single"/>
        </w:rPr>
      </w:r>
      <w:r/>
    </w:p>
    <w:p>
      <w:pPr>
        <w:rPr>
          <w:rFonts w:hint="eastAsia" w:ascii="宋体" w:hAnsi="宋体" w:eastAsia="宋体"/>
          <w:sz w:val="20"/>
          <w:szCs w:val="21"/>
          <w:highlight w:val="none"/>
        </w:rPr>
      </w:pPr>
      <w:r>
        <w:rPr>
          <w:rFonts w:hint="eastAsia" w:ascii="宋体" w:hAnsi="宋体" w:eastAsia="宋体"/>
          <w:sz w:val="20"/>
          <w:szCs w:val="21"/>
          <w:highlight w:val="none"/>
        </w:rPr>
      </w:r>
      <w:r/>
    </w:p>
    <w:p>
      <w:pPr>
        <w:spacing w:line="460" w:lineRule="exact"/>
        <w:rPr>
          <w:rFonts w:hint="eastAsia" w:ascii="宋体" w:hAnsi="宋体" w:eastAsia="宋体"/>
          <w:bCs/>
          <w:sz w:val="24"/>
          <w:szCs w:val="21"/>
          <w:highlight w:val="none"/>
        </w:rPr>
      </w:pPr>
      <w:r>
        <w:rPr>
          <w:rFonts w:hint="eastAsia" w:ascii="宋体" w:hAnsi="宋体" w:eastAsia="宋体"/>
          <w:bCs/>
          <w:sz w:val="24"/>
          <w:szCs w:val="21"/>
          <w:highlight w:val="none"/>
        </w:rPr>
      </w:r>
      <w:r/>
    </w:p>
    <w:p>
      <w:pPr>
        <w:jc w:val="center"/>
        <w:rPr>
          <w:rFonts w:hint="eastAsia" w:ascii="宋体" w:hAnsi="宋体" w:eastAsia="宋体"/>
          <w:b/>
          <w:sz w:val="32"/>
          <w:szCs w:val="32"/>
          <w:highlight w:val="none"/>
        </w:rPr>
      </w:pPr>
      <w:r>
        <w:rPr>
          <w:rFonts w:ascii="宋体" w:hAnsi="宋体" w:eastAsia="宋体"/>
          <w:bCs/>
          <w:sz w:val="24"/>
          <w:szCs w:val="21"/>
          <w:highlight w:val="none"/>
        </w:rPr>
        <w:br w:type="page" w:clear="all"/>
      </w:r>
      <w:r>
        <w:rPr>
          <w:rFonts w:hint="eastAsia" w:ascii="宋体" w:hAnsi="宋体" w:eastAsia="宋体"/>
          <w:b/>
          <w:sz w:val="32"/>
          <w:szCs w:val="32"/>
          <w:highlight w:val="none"/>
        </w:rPr>
        <w:t xml:space="preserve">五、开标一览表</w:t>
      </w:r>
      <w:r/>
    </w:p>
    <w:p>
      <w:pPr>
        <w:jc w:val="center"/>
        <w:rPr>
          <w:rFonts w:hint="eastAsia" w:ascii="宋体" w:hAnsi="宋体" w:eastAsia="宋体"/>
          <w:b/>
          <w:sz w:val="32"/>
          <w:szCs w:val="32"/>
          <w:highlight w:val="none"/>
        </w:rPr>
      </w:pPr>
      <w:r>
        <w:rPr>
          <w:rFonts w:hint="eastAsia" w:ascii="宋体" w:hAnsi="宋体" w:eastAsia="宋体"/>
          <w:b/>
          <w:sz w:val="32"/>
          <w:szCs w:val="32"/>
          <w:highlight w:val="none"/>
        </w:rPr>
      </w:r>
      <w:r/>
    </w:p>
    <w:p>
      <w:pPr>
        <w:jc w:val="center"/>
        <w:rPr>
          <w:rFonts w:hint="eastAsia" w:ascii="宋体" w:hAnsi="宋体" w:eastAsia="宋体"/>
          <w:b/>
          <w:sz w:val="32"/>
          <w:szCs w:val="32"/>
          <w:highlight w:val="none"/>
        </w:rPr>
      </w:pPr>
      <w:r>
        <w:rPr>
          <w:rFonts w:hint="eastAsia" w:ascii="宋体" w:hAnsi="宋体" w:eastAsia="宋体"/>
          <w:b/>
          <w:sz w:val="32"/>
          <w:szCs w:val="32"/>
          <w:highlight w:val="none"/>
        </w:rPr>
        <w:t xml:space="preserve">直接在苏采云系统里填写</w:t>
      </w:r>
      <w:r/>
    </w:p>
    <w:p>
      <w:pPr>
        <w:pStyle w:val="759"/>
        <w:rPr>
          <w:highlight w:val="none"/>
        </w:rPr>
      </w:pPr>
      <w:r>
        <w:rPr>
          <w:highlight w:val="none"/>
        </w:rPr>
      </w:r>
      <w:r/>
    </w:p>
    <w:p>
      <w:pPr>
        <w:pStyle w:val="759"/>
        <w:rPr>
          <w:highlight w:val="none"/>
        </w:rPr>
      </w:pPr>
      <w:r>
        <w:rPr>
          <w:highlight w:val="none"/>
        </w:rPr>
      </w:r>
      <w:r/>
    </w:p>
    <w:p>
      <w:pPr>
        <w:jc w:val="center"/>
        <w:rPr>
          <w:rFonts w:hint="eastAsia" w:ascii="宋体" w:hAnsi="宋体" w:eastAsia="宋体"/>
          <w:sz w:val="24"/>
          <w:highlight w:val="none"/>
        </w:rPr>
      </w:pPr>
      <w:r>
        <w:rPr>
          <w:rFonts w:hint="eastAsia" w:ascii="宋体" w:hAnsi="宋体" w:eastAsia="宋体"/>
          <w:sz w:val="24"/>
          <w:highlight w:val="none"/>
        </w:rPr>
      </w:r>
      <w:r/>
    </w:p>
    <w:p>
      <w:pPr>
        <w:ind w:firstLine="480"/>
        <w:rPr>
          <w:rFonts w:hint="eastAsia" w:ascii="宋体" w:hAnsi="宋体" w:eastAsia="宋体"/>
          <w:sz w:val="24"/>
          <w:szCs w:val="24"/>
          <w:highlight w:val="none"/>
        </w:rPr>
      </w:pPr>
      <w:r>
        <w:rPr>
          <w:rFonts w:hint="eastAsia" w:ascii="宋体" w:hAnsi="宋体" w:eastAsia="宋体"/>
          <w:sz w:val="24"/>
          <w:szCs w:val="24"/>
          <w:highlight w:val="none"/>
        </w:rPr>
      </w:r>
      <w:r/>
    </w:p>
    <w:p>
      <w:pPr>
        <w:ind w:firstLine="480"/>
        <w:rPr>
          <w:rFonts w:hint="eastAsia" w:ascii="宋体" w:hAnsi="宋体" w:eastAsia="宋体"/>
          <w:sz w:val="24"/>
          <w:szCs w:val="24"/>
          <w:highlight w:val="none"/>
        </w:rPr>
      </w:pPr>
      <w:r>
        <w:rPr>
          <w:rFonts w:hint="eastAsia" w:ascii="宋体" w:hAnsi="宋体" w:eastAsia="宋体"/>
          <w:sz w:val="24"/>
          <w:szCs w:val="24"/>
          <w:highlight w:val="none"/>
        </w:rPr>
      </w:r>
      <w:r/>
    </w:p>
    <w:p>
      <w:pPr>
        <w:ind w:firstLine="480"/>
        <w:rPr>
          <w:rFonts w:hint="eastAsia" w:ascii="宋体" w:hAnsi="宋体" w:eastAsia="宋体"/>
          <w:sz w:val="24"/>
          <w:szCs w:val="24"/>
          <w:highlight w:val="none"/>
        </w:rPr>
      </w:pPr>
      <w:r>
        <w:rPr>
          <w:rFonts w:hint="eastAsia" w:ascii="宋体" w:hAnsi="宋体" w:eastAsia="宋体"/>
          <w:sz w:val="24"/>
          <w:szCs w:val="24"/>
          <w:highlight w:val="none"/>
        </w:rPr>
      </w: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p>
    <w:p>
      <w:pPr>
        <w:rPr>
          <w:rFonts w:hint="eastAsia" w:asciiTheme="minorEastAsia" w:hAnsiTheme="minorEastAsia" w:eastAsiaTheme="minorEastAsia"/>
          <w:bCs/>
          <w:sz w:val="24"/>
          <w:szCs w:val="21"/>
          <w:highlight w:val="none"/>
        </w:rPr>
      </w:pPr>
      <w:r>
        <w:rPr>
          <w:rFonts w:hint="eastAsia" w:asciiTheme="minorEastAsia" w:hAnsiTheme="minorEastAsia" w:eastAsiaTheme="minorEastAsia"/>
          <w:bCs/>
          <w:sz w:val="24"/>
          <w:szCs w:val="21"/>
          <w:highlight w:val="none"/>
        </w:rPr>
      </w:r>
      <w:r/>
    </w:p>
    <w:p>
      <w:pPr>
        <w:rPr>
          <w:highlight w:val="none"/>
        </w:rPr>
      </w:pPr>
      <w:r>
        <w:rPr>
          <w:highlight w:val="none"/>
        </w:rPr>
      </w:r>
      <w:r/>
    </w:p>
    <w:p>
      <w:pPr>
        <w:jc w:val="center"/>
        <w:spacing w:line="560" w:lineRule="exact"/>
        <w:rPr>
          <w:rFonts w:hint="eastAsia" w:ascii="宋体" w:hAnsi="宋体" w:eastAsia="宋体"/>
          <w:b/>
          <w:color w:val="000000"/>
          <w:sz w:val="32"/>
          <w:szCs w:val="32"/>
          <w:highlight w:val="none"/>
        </w:rPr>
      </w:pPr>
      <w:r>
        <w:rPr>
          <w:rFonts w:hint="eastAsia" w:ascii="宋体" w:hAnsi="宋体" w:eastAsia="宋体"/>
          <w:b/>
          <w:color w:val="000000"/>
          <w:sz w:val="32"/>
          <w:szCs w:val="32"/>
          <w:highlight w:val="none"/>
        </w:rPr>
        <w:t xml:space="preserve">六、分项报价表（分包号：**）（货物类）</w:t>
      </w:r>
      <w:r/>
    </w:p>
    <w:tbl>
      <w:tblPr>
        <w:tblStyle w:val="756"/>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序号</w:t>
            </w:r>
            <w:r/>
          </w:p>
        </w:tc>
        <w:tc>
          <w:tcPr>
            <w:tcW w:w="1036"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p>
        </w:tc>
        <w:tc>
          <w:tcPr>
            <w:tcW w:w="966"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w:t>
            </w:r>
            <w:r/>
          </w:p>
        </w:tc>
        <w:tc>
          <w:tcPr>
            <w:tcW w:w="1414"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w:t>
            </w:r>
            <w:r/>
          </w:p>
        </w:tc>
        <w:tc>
          <w:tcPr>
            <w:tcW w:w="784"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4</w:t>
            </w:r>
            <w:r/>
          </w:p>
        </w:tc>
        <w:tc>
          <w:tcPr>
            <w:tcW w:w="980"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5</w:t>
            </w:r>
            <w:r/>
          </w:p>
        </w:tc>
        <w:tc>
          <w:tcPr>
            <w:tcW w:w="727"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6</w:t>
            </w:r>
            <w:r/>
          </w:p>
        </w:tc>
        <w:tc>
          <w:tcPr>
            <w:tcW w:w="1372"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7</w:t>
            </w:r>
            <w:r/>
          </w:p>
        </w:tc>
        <w:tc>
          <w:tcPr>
            <w:tcW w:w="1246"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8</w:t>
            </w:r>
            <w:r/>
          </w:p>
        </w:tc>
      </w:tr>
      <w:tr>
        <w:trPr>
          <w:cantSplit/>
          <w:trHeight w:val="294"/>
        </w:trPr>
        <w:tc>
          <w:tcPr>
            <w:tcW w:w="556"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p>
        </w:tc>
        <w:tc>
          <w:tcPr>
            <w:tcW w:w="1036"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产品</w:t>
            </w:r>
            <w:r/>
          </w:p>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名称</w:t>
            </w:r>
            <w:r/>
          </w:p>
        </w:tc>
        <w:tc>
          <w:tcPr>
            <w:tcW w:w="966"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品牌</w:t>
            </w:r>
            <w:r/>
          </w:p>
        </w:tc>
        <w:tc>
          <w:tcPr>
            <w:tcW w:w="1414"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规格</w:t>
            </w:r>
            <w:r/>
          </w:p>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型号</w:t>
            </w:r>
            <w:r/>
          </w:p>
        </w:tc>
        <w:tc>
          <w:tcPr>
            <w:tcW w:w="784"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产地</w:t>
            </w:r>
            <w:r/>
          </w:p>
        </w:tc>
        <w:tc>
          <w:tcPr>
            <w:tcW w:w="980"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交付期</w:t>
            </w:r>
            <w:r/>
          </w:p>
        </w:tc>
        <w:tc>
          <w:tcPr>
            <w:tcW w:w="727"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数量</w:t>
            </w:r>
            <w:r/>
          </w:p>
        </w:tc>
        <w:tc>
          <w:tcPr>
            <w:tcW w:w="1372"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分项单价</w:t>
            </w:r>
            <w:r/>
          </w:p>
        </w:tc>
        <w:tc>
          <w:tcPr>
            <w:tcW w:w="1246"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分项总价</w:t>
            </w:r>
            <w:r/>
          </w:p>
        </w:tc>
      </w:tr>
      <w:tr>
        <w:trPr>
          <w:cantSplit/>
          <w:trHeight w:val="696"/>
        </w:trPr>
        <w:tc>
          <w:tcPr>
            <w:tcW w:w="556"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w:t>
            </w:r>
            <w:r/>
          </w:p>
        </w:tc>
        <w:tc>
          <w:tcPr>
            <w:tcW w:w="1036"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966"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414"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784"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980"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727"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372"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246"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cantSplit/>
          <w:trHeight w:val="724"/>
        </w:trPr>
        <w:tc>
          <w:tcPr>
            <w:tcW w:w="556"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w:t>
            </w:r>
            <w:r/>
          </w:p>
        </w:tc>
        <w:tc>
          <w:tcPr>
            <w:tcW w:w="1036"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966"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414"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784"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980"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727"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372"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246"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cantSplit/>
          <w:trHeight w:val="640"/>
        </w:trPr>
        <w:tc>
          <w:tcPr>
            <w:tcW w:w="556"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4</w:t>
            </w:r>
            <w:r/>
          </w:p>
        </w:tc>
        <w:tc>
          <w:tcPr>
            <w:tcW w:w="1036"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966"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414"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784"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980"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727"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372"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246"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cantSplit/>
          <w:trHeight w:val="580"/>
        </w:trPr>
        <w:tc>
          <w:tcPr>
            <w:tcW w:w="556"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ascii="宋体" w:hAnsi="宋体" w:eastAsia="宋体"/>
                <w:color w:val="000000"/>
                <w:sz w:val="24"/>
                <w:szCs w:val="24"/>
                <w:highlight w:val="none"/>
              </w:rPr>
              <w:t xml:space="preserve">…</w:t>
            </w:r>
            <w:r/>
          </w:p>
        </w:tc>
        <w:tc>
          <w:tcPr>
            <w:tcW w:w="1036" w:type="dxa"/>
            <w:vAlign w:val="center"/>
            <w:textDirection w:val="lrTb"/>
            <w:noWrap w:val="false"/>
          </w:tcPr>
          <w:p>
            <w:pPr>
              <w:spacing w:line="560" w:lineRule="exact"/>
              <w:rPr>
                <w:rFonts w:hint="eastAsia" w:ascii="宋体" w:hAnsi="宋体" w:eastAsia="宋体"/>
                <w:color w:val="000000"/>
                <w:sz w:val="24"/>
                <w:szCs w:val="24"/>
                <w:highlight w:val="none"/>
              </w:rPr>
            </w:pPr>
            <w:r>
              <w:rPr>
                <w:rFonts w:ascii="宋体" w:hAnsi="宋体" w:eastAsia="宋体"/>
                <w:color w:val="000000"/>
                <w:sz w:val="24"/>
                <w:szCs w:val="24"/>
                <w:highlight w:val="none"/>
              </w:rPr>
              <w:t xml:space="preserve">……</w:t>
            </w:r>
            <w:r/>
          </w:p>
        </w:tc>
        <w:tc>
          <w:tcPr>
            <w:tcW w:w="966"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414"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784"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980"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727"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372"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246"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cantSplit/>
          <w:trHeight w:val="1030"/>
        </w:trPr>
        <w:tc>
          <w:tcPr>
            <w:gridSpan w:val="8"/>
            <w:tcW w:w="7835"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总报价（人民币：元）</w:t>
            </w:r>
            <w:r/>
          </w:p>
        </w:tc>
        <w:tc>
          <w:tcPr>
            <w:tcW w:w="1246" w:type="dxa"/>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bl>
    <w:p>
      <w:pPr>
        <w:jc w:val="left"/>
        <w:keepLines/>
        <w:spacing w:before="120" w:after="120" w:line="416" w:lineRule="auto"/>
        <w:rPr>
          <w:rFonts w:eastAsia="黑体"/>
          <w:b/>
          <w:sz w:val="32"/>
          <w:szCs w:val="32"/>
          <w:highlight w:val="none"/>
        </w:rPr>
        <w:outlineLvl w:val="1"/>
      </w:pPr>
      <w:r>
        <w:rPr>
          <w:rFonts w:eastAsia="黑体"/>
          <w:b/>
          <w:sz w:val="32"/>
          <w:szCs w:val="32"/>
          <w:highlight w:val="none"/>
        </w:rPr>
      </w:r>
      <w:r/>
    </w:p>
    <w:p>
      <w:pPr>
        <w:jc w:val="left"/>
        <w:keepLines/>
        <w:spacing w:before="120" w:after="120" w:line="416" w:lineRule="auto"/>
        <w:rPr>
          <w:rFonts w:eastAsia="黑体"/>
          <w:b/>
          <w:sz w:val="32"/>
          <w:szCs w:val="32"/>
          <w:highlight w:val="none"/>
        </w:rPr>
        <w:outlineLvl w:val="1"/>
      </w:pPr>
      <w:r>
        <w:rPr>
          <w:rFonts w:eastAsia="黑体"/>
          <w:b/>
          <w:sz w:val="32"/>
          <w:szCs w:val="32"/>
          <w:highlight w:val="none"/>
        </w:rPr>
      </w:r>
      <w:r/>
    </w:p>
    <w:p>
      <w:pPr>
        <w:jc w:val="left"/>
        <w:keepLines/>
        <w:spacing w:before="120" w:after="120" w:line="416" w:lineRule="auto"/>
        <w:rPr>
          <w:rFonts w:eastAsia="黑体"/>
          <w:b/>
          <w:sz w:val="32"/>
          <w:szCs w:val="32"/>
          <w:highlight w:val="none"/>
        </w:rPr>
        <w:outlineLvl w:val="1"/>
      </w:pPr>
      <w:r>
        <w:rPr>
          <w:rFonts w:eastAsia="黑体"/>
          <w:b/>
          <w:sz w:val="32"/>
          <w:szCs w:val="32"/>
          <w:highlight w:val="none"/>
        </w:rPr>
      </w:r>
      <w:r/>
    </w:p>
    <w:p>
      <w:pPr>
        <w:jc w:val="left"/>
        <w:keepLines/>
        <w:spacing w:before="120" w:after="120" w:line="416" w:lineRule="auto"/>
        <w:rPr>
          <w:rFonts w:eastAsia="黑体"/>
          <w:b/>
          <w:sz w:val="32"/>
          <w:szCs w:val="32"/>
          <w:highlight w:val="none"/>
        </w:rPr>
        <w:outlineLvl w:val="1"/>
      </w:pPr>
      <w:r>
        <w:rPr>
          <w:rFonts w:eastAsia="黑体"/>
          <w:b/>
          <w:sz w:val="32"/>
          <w:szCs w:val="32"/>
          <w:highlight w:val="none"/>
        </w:rPr>
      </w:r>
      <w:r/>
    </w:p>
    <w:p>
      <w:pPr>
        <w:jc w:val="left"/>
        <w:keepLines/>
        <w:spacing w:before="120" w:after="120" w:line="416" w:lineRule="auto"/>
        <w:rPr>
          <w:rFonts w:eastAsia="黑体"/>
          <w:b/>
          <w:sz w:val="32"/>
          <w:szCs w:val="32"/>
          <w:highlight w:val="none"/>
        </w:rPr>
        <w:outlineLvl w:val="1"/>
      </w:pPr>
      <w:r>
        <w:rPr>
          <w:rFonts w:eastAsia="黑体"/>
          <w:b/>
          <w:sz w:val="32"/>
          <w:szCs w:val="32"/>
          <w:highlight w:val="none"/>
        </w:rPr>
      </w:r>
      <w:r/>
    </w:p>
    <w:p>
      <w:pPr>
        <w:jc w:val="left"/>
        <w:keepLines/>
        <w:spacing w:before="120" w:after="120" w:line="416" w:lineRule="auto"/>
        <w:rPr>
          <w:rFonts w:eastAsia="黑体"/>
          <w:b/>
          <w:sz w:val="32"/>
          <w:szCs w:val="32"/>
          <w:highlight w:val="none"/>
        </w:rPr>
        <w:outlineLvl w:val="1"/>
      </w:pPr>
      <w:r>
        <w:rPr>
          <w:rFonts w:eastAsia="黑体"/>
          <w:b/>
          <w:sz w:val="32"/>
          <w:szCs w:val="32"/>
          <w:highlight w:val="none"/>
        </w:rPr>
      </w:r>
      <w:r/>
    </w:p>
    <w:p>
      <w:pPr>
        <w:jc w:val="left"/>
        <w:keepLines/>
        <w:spacing w:before="120" w:after="120" w:line="416" w:lineRule="auto"/>
        <w:rPr>
          <w:rFonts w:eastAsia="黑体"/>
          <w:b/>
          <w:sz w:val="32"/>
          <w:szCs w:val="32"/>
          <w:highlight w:val="none"/>
        </w:rPr>
        <w:outlineLvl w:val="1"/>
      </w:pPr>
      <w:r>
        <w:rPr>
          <w:rFonts w:eastAsia="黑体"/>
          <w:b/>
          <w:sz w:val="32"/>
          <w:szCs w:val="32"/>
          <w:highlight w:val="none"/>
        </w:rPr>
      </w:r>
      <w:r/>
    </w:p>
    <w:p>
      <w:pPr>
        <w:jc w:val="left"/>
        <w:keepLines/>
        <w:spacing w:before="120" w:after="120" w:line="416" w:lineRule="auto"/>
        <w:rPr>
          <w:rFonts w:eastAsia="黑体"/>
          <w:b/>
          <w:sz w:val="32"/>
          <w:szCs w:val="32"/>
          <w:highlight w:val="none"/>
        </w:rPr>
        <w:outlineLvl w:val="1"/>
      </w:pPr>
      <w:r>
        <w:rPr>
          <w:rFonts w:eastAsia="黑体"/>
          <w:b/>
          <w:sz w:val="32"/>
          <w:szCs w:val="32"/>
          <w:highlight w:val="none"/>
        </w:rPr>
      </w:r>
      <w:r/>
    </w:p>
    <w:p>
      <w:pPr>
        <w:jc w:val="left"/>
        <w:keepLines/>
        <w:spacing w:before="120" w:after="120" w:line="416" w:lineRule="auto"/>
        <w:rPr>
          <w:rFonts w:eastAsia="黑体"/>
          <w:b/>
          <w:sz w:val="32"/>
          <w:szCs w:val="32"/>
          <w:highlight w:val="none"/>
        </w:rPr>
        <w:outlineLvl w:val="1"/>
      </w:pPr>
      <w:r>
        <w:rPr>
          <w:rFonts w:eastAsia="黑体"/>
          <w:b/>
          <w:sz w:val="32"/>
          <w:szCs w:val="32"/>
          <w:highlight w:val="none"/>
        </w:rPr>
      </w:r>
      <w:r/>
    </w:p>
    <w:p>
      <w:pPr>
        <w:jc w:val="left"/>
        <w:keepLines/>
        <w:spacing w:before="120" w:after="120" w:line="416" w:lineRule="auto"/>
        <w:rPr>
          <w:rFonts w:eastAsia="黑体"/>
          <w:b/>
          <w:sz w:val="32"/>
          <w:szCs w:val="32"/>
          <w:highlight w:val="none"/>
        </w:rPr>
        <w:outlineLvl w:val="1"/>
      </w:pPr>
      <w:r>
        <w:rPr>
          <w:rFonts w:eastAsia="黑体"/>
          <w:b/>
          <w:sz w:val="32"/>
          <w:szCs w:val="32"/>
          <w:highlight w:val="none"/>
        </w:rPr>
      </w:r>
      <w:r/>
    </w:p>
    <w:p>
      <w:pPr>
        <w:pStyle w:val="946"/>
        <w:jc w:val="center"/>
        <w:rPr>
          <w:rFonts w:hint="eastAsia"/>
          <w:b/>
          <w:bCs/>
          <w:iCs/>
          <w:szCs w:val="32"/>
          <w:highlight w:val="none"/>
        </w:rPr>
        <w:outlineLvl w:val="1"/>
      </w:pPr>
      <w:r>
        <w:rPr>
          <w:rFonts w:hint="eastAsia" w:asciiTheme="minorEastAsia" w:hAnsiTheme="minorEastAsia" w:eastAsiaTheme="minorEastAsia"/>
          <w:b/>
          <w:bCs/>
          <w:iCs/>
          <w:szCs w:val="32"/>
          <w:highlight w:val="none"/>
        </w:rPr>
        <w:t xml:space="preserve">七、</w:t>
      </w:r>
      <w:r>
        <w:rPr>
          <w:rFonts w:hint="eastAsia"/>
          <w:b/>
          <w:bCs/>
          <w:iCs/>
          <w:szCs w:val="32"/>
          <w:highlight w:val="none"/>
        </w:rPr>
        <w:t xml:space="preserve">中小企业声明函</w:t>
      </w:r>
      <w:r/>
    </w:p>
    <w:p>
      <w:pPr>
        <w:pStyle w:val="947"/>
        <w:jc w:val="center"/>
        <w:rPr>
          <w:rFonts w:hint="eastAsia" w:ascii="宋体" w:hAnsi="宋体"/>
          <w:b/>
          <w:sz w:val="36"/>
          <w:szCs w:val="36"/>
          <w:highlight w:val="none"/>
        </w:rPr>
      </w:pPr>
      <w:r>
        <w:rPr>
          <w:rFonts w:hint="eastAsia" w:ascii="宋体" w:hAnsi="宋体"/>
          <w:b/>
          <w:sz w:val="36"/>
          <w:szCs w:val="36"/>
          <w:highlight w:val="none"/>
        </w:rPr>
        <w:t xml:space="preserve">中小企业声明函（货物）</w:t>
      </w:r>
      <w:r/>
    </w:p>
    <w:p>
      <w:pPr>
        <w:pStyle w:val="947"/>
        <w:jc w:val="left"/>
        <w:rPr>
          <w:rFonts w:hint="eastAsia" w:ascii="宋体" w:hAnsi="宋体"/>
          <w:b/>
          <w:sz w:val="32"/>
          <w:szCs w:val="32"/>
          <w:highlight w:val="none"/>
        </w:rPr>
      </w:pPr>
      <w:r>
        <w:rPr>
          <w:rFonts w:hint="eastAsia" w:ascii="宋体" w:hAnsi="宋体"/>
          <w:b/>
          <w:sz w:val="32"/>
          <w:szCs w:val="32"/>
          <w:highlight w:val="none"/>
        </w:rPr>
      </w:r>
      <w:r/>
    </w:p>
    <w:p>
      <w:pPr>
        <w:pStyle w:val="947"/>
        <w:ind w:firstLine="480"/>
        <w:jc w:val="left"/>
        <w:spacing w:line="500" w:lineRule="exact"/>
        <w:rPr>
          <w:rFonts w:hint="eastAsia"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本公司（联合体）郑重声明，根据《政府采购促进中小企业发展管理办法》（财库</w:t>
      </w:r>
      <w:r>
        <w:rPr>
          <w:rFonts w:ascii="宋体" w:hAnsi="宋体"/>
          <w:sz w:val="24"/>
          <w:szCs w:val="24"/>
          <w:highlight w:val="none"/>
        </w:rPr>
        <w:t xml:space="preserve">〔2020〕46号）</w:t>
      </w:r>
      <w:r>
        <w:rPr>
          <w:rFonts w:hint="eastAsia" w:ascii="宋体" w:hAnsi="宋体"/>
          <w:sz w:val="24"/>
          <w:szCs w:val="24"/>
          <w:highlight w:val="none"/>
        </w:rPr>
        <w:t xml:space="preserve">的规定，本公司（联合体）参加</w:t>
      </w:r>
      <w:r>
        <w:rPr>
          <w:rFonts w:hint="eastAsia" w:ascii="宋体" w:hAnsi="宋体"/>
          <w:sz w:val="24"/>
          <w:szCs w:val="24"/>
          <w:highlight w:val="none"/>
          <w:u w:val="single"/>
        </w:rPr>
        <w:t xml:space="preserve"> 单位名称  </w:t>
      </w:r>
      <w:r>
        <w:rPr>
          <w:rFonts w:hint="eastAsia" w:ascii="宋体" w:hAnsi="宋体"/>
          <w:sz w:val="24"/>
          <w:szCs w:val="24"/>
          <w:highlight w:val="none"/>
        </w:rPr>
        <w:t xml:space="preserve">的（</w:t>
      </w:r>
      <w:r>
        <w:rPr>
          <w:rFonts w:hint="eastAsia" w:ascii="宋体" w:hAnsi="宋体"/>
          <w:sz w:val="24"/>
          <w:szCs w:val="24"/>
          <w:highlight w:val="none"/>
          <w:u w:val="single"/>
        </w:rPr>
        <w:t xml:space="preserve">项目名称）</w:t>
      </w:r>
      <w:r>
        <w:rPr>
          <w:rFonts w:hint="eastAsia" w:ascii="宋体" w:hAnsi="宋体"/>
          <w:sz w:val="24"/>
          <w:szCs w:val="24"/>
          <w:highlight w:val="none"/>
        </w:rPr>
        <w:t xml:space="preserve"> 采购活动，提供的货物全部由符合政策要求的中小企业制造。相关企业（含联合体中的中小企业、签订分包意向协议的中小企业）的具体情况如下：</w:t>
      </w:r>
      <w:r/>
    </w:p>
    <w:p>
      <w:pPr>
        <w:pStyle w:val="947"/>
        <w:ind w:firstLine="480"/>
        <w:jc w:val="left"/>
        <w:spacing w:line="500" w:lineRule="exact"/>
        <w:rPr>
          <w:rFonts w:hint="eastAsia" w:ascii="宋体" w:hAnsi="宋体"/>
          <w:sz w:val="24"/>
          <w:szCs w:val="24"/>
          <w:highlight w:val="none"/>
          <w:u w:val="single"/>
        </w:rPr>
      </w:pPr>
      <w:r>
        <w:rPr>
          <w:rFonts w:hint="eastAsia" w:ascii="宋体" w:hAnsi="宋体"/>
          <w:sz w:val="24"/>
          <w:szCs w:val="24"/>
          <w:highlight w:val="none"/>
        </w:rPr>
        <w:t xml:space="preserve">1. </w:t>
      </w:r>
      <w:r>
        <w:rPr>
          <w:rFonts w:hint="eastAsia" w:ascii="宋体" w:hAnsi="宋体"/>
          <w:sz w:val="24"/>
          <w:szCs w:val="24"/>
          <w:highlight w:val="none"/>
          <w:u w:val="single"/>
        </w:rPr>
        <w:t xml:space="preserve">标的名称          </w:t>
      </w:r>
      <w:r>
        <w:rPr>
          <w:rFonts w:hint="eastAsia" w:ascii="宋体" w:hAnsi="宋体"/>
          <w:sz w:val="24"/>
          <w:szCs w:val="24"/>
          <w:highlight w:val="none"/>
        </w:rPr>
        <w:t xml:space="preserve">，属于（</w:t>
      </w:r>
      <w:r>
        <w:rPr>
          <w:rFonts w:hint="eastAsia" w:ascii="宋体" w:hAnsi="宋体"/>
          <w:i/>
          <w:sz w:val="24"/>
          <w:szCs w:val="24"/>
          <w:highlight w:val="none"/>
          <w:u w:val="single"/>
        </w:rPr>
        <w:t xml:space="preserve">采购文件中明确的所属行业）</w:t>
      </w:r>
      <w:r>
        <w:rPr>
          <w:rFonts w:hint="eastAsia" w:ascii="宋体" w:hAnsi="宋体"/>
          <w:sz w:val="24"/>
          <w:szCs w:val="24"/>
          <w:highlight w:val="none"/>
          <w:u w:val="single"/>
        </w:rPr>
        <w:t xml:space="preserve">行业</w:t>
      </w:r>
      <w:r>
        <w:rPr>
          <w:rFonts w:hint="eastAsia" w:ascii="宋体" w:hAnsi="宋体"/>
          <w:sz w:val="24"/>
          <w:szCs w:val="24"/>
          <w:highlight w:val="none"/>
        </w:rPr>
        <w:t xml:space="preserve">；制造商为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 </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（中型企业、小型企业、微型企业）；</w:t>
      </w:r>
      <w:r/>
    </w:p>
    <w:p>
      <w:pPr>
        <w:pStyle w:val="947"/>
        <w:ind w:firstLine="480"/>
        <w:jc w:val="left"/>
        <w:spacing w:line="500" w:lineRule="exact"/>
        <w:rPr>
          <w:rFonts w:hint="eastAsia" w:ascii="宋体" w:hAnsi="宋体"/>
          <w:sz w:val="24"/>
          <w:szCs w:val="24"/>
          <w:highlight w:val="none"/>
          <w:u w:val="single"/>
        </w:rPr>
      </w:pPr>
      <w:r>
        <w:rPr>
          <w:rFonts w:hint="eastAsia" w:ascii="宋体" w:hAnsi="宋体"/>
          <w:sz w:val="24"/>
          <w:szCs w:val="24"/>
          <w:highlight w:val="none"/>
        </w:rPr>
        <w:t xml:space="preserve">2. </w:t>
      </w:r>
      <w:r>
        <w:rPr>
          <w:rFonts w:hint="eastAsia" w:ascii="宋体" w:hAnsi="宋体"/>
          <w:sz w:val="24"/>
          <w:szCs w:val="24"/>
          <w:highlight w:val="none"/>
          <w:u w:val="single"/>
        </w:rPr>
        <w:t xml:space="preserve">标的名称          </w:t>
      </w:r>
      <w:r>
        <w:rPr>
          <w:rFonts w:hint="eastAsia" w:ascii="宋体" w:hAnsi="宋体"/>
          <w:sz w:val="24"/>
          <w:szCs w:val="24"/>
          <w:highlight w:val="none"/>
        </w:rPr>
        <w:t xml:space="preserve">，属于（</w:t>
      </w:r>
      <w:r>
        <w:rPr>
          <w:rFonts w:hint="eastAsia" w:ascii="宋体" w:hAnsi="宋体"/>
          <w:i/>
          <w:sz w:val="24"/>
          <w:szCs w:val="24"/>
          <w:highlight w:val="none"/>
          <w:u w:val="single"/>
        </w:rPr>
        <w:t xml:space="preserve">采购文件中明确的所属行业）</w:t>
      </w:r>
      <w:r>
        <w:rPr>
          <w:rFonts w:hint="eastAsia" w:ascii="宋体" w:hAnsi="宋体"/>
          <w:sz w:val="24"/>
          <w:szCs w:val="24"/>
          <w:highlight w:val="none"/>
          <w:u w:val="single"/>
        </w:rPr>
        <w:t xml:space="preserve">行业</w:t>
      </w:r>
      <w:r>
        <w:rPr>
          <w:rFonts w:hint="eastAsia" w:ascii="宋体" w:hAnsi="宋体"/>
          <w:sz w:val="24"/>
          <w:szCs w:val="24"/>
          <w:highlight w:val="none"/>
        </w:rPr>
        <w:t xml:space="preserve">；制造商为</w:t>
      </w:r>
      <w:r>
        <w:rPr>
          <w:rFonts w:hint="eastAsia" w:ascii="宋体" w:hAnsi="宋体"/>
          <w:sz w:val="24"/>
          <w:szCs w:val="24"/>
          <w:highlight w:val="none"/>
          <w:u w:val="single"/>
        </w:rPr>
        <w:t xml:space="preserve">（企业名称）        </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 </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万元，属于</w:t>
      </w:r>
      <w:r>
        <w:rPr>
          <w:rFonts w:hint="eastAsia" w:ascii="宋体" w:hAnsi="宋体"/>
          <w:sz w:val="24"/>
          <w:szCs w:val="24"/>
          <w:highlight w:val="none"/>
          <w:u w:val="single"/>
        </w:rPr>
        <w:t xml:space="preserve">（中型企业、小型企业、微型企业）；</w:t>
      </w:r>
      <w:r/>
    </w:p>
    <w:p>
      <w:pPr>
        <w:pStyle w:val="947"/>
        <w:ind w:firstLine="480"/>
        <w:jc w:val="left"/>
        <w:spacing w:line="500" w:lineRule="exact"/>
        <w:rPr>
          <w:rFonts w:hint="eastAsia" w:ascii="宋体" w:hAnsi="宋体"/>
          <w:sz w:val="24"/>
          <w:szCs w:val="24"/>
          <w:highlight w:val="none"/>
        </w:rPr>
      </w:pPr>
      <w:r>
        <w:rPr>
          <w:rFonts w:ascii="宋体" w:hAnsi="宋体"/>
          <w:sz w:val="24"/>
          <w:szCs w:val="24"/>
          <w:highlight w:val="none"/>
        </w:rPr>
        <w:t xml:space="preserve">……</w:t>
      </w:r>
      <w:r/>
    </w:p>
    <w:p>
      <w:pPr>
        <w:pStyle w:val="947"/>
        <w:ind w:firstLine="480"/>
        <w:jc w:val="left"/>
        <w:spacing w:line="500" w:lineRule="exact"/>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pStyle w:val="947"/>
        <w:ind w:firstLine="480"/>
        <w:jc w:val="left"/>
        <w:spacing w:line="500" w:lineRule="exact"/>
        <w:rPr>
          <w:rFonts w:hint="eastAsia"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p>
    <w:p>
      <w:pPr>
        <w:pStyle w:val="947"/>
        <w:ind w:firstLine="480"/>
        <w:jc w:val="center"/>
        <w:spacing w:line="500" w:lineRule="exact"/>
        <w:rPr>
          <w:rFonts w:hint="eastAsia" w:ascii="宋体" w:hAnsi="宋体"/>
          <w:sz w:val="24"/>
          <w:szCs w:val="24"/>
          <w:highlight w:val="none"/>
        </w:rPr>
      </w:pPr>
      <w:r>
        <w:rPr>
          <w:rFonts w:hint="eastAsia" w:ascii="宋体" w:hAnsi="宋体"/>
          <w:sz w:val="24"/>
          <w:szCs w:val="24"/>
          <w:highlight w:val="none"/>
        </w:rPr>
      </w:r>
      <w:r/>
    </w:p>
    <w:p>
      <w:pPr>
        <w:pStyle w:val="947"/>
        <w:ind w:firstLine="480"/>
        <w:jc w:val="left"/>
        <w:spacing w:line="500" w:lineRule="exact"/>
        <w:rPr>
          <w:rFonts w:hint="eastAsia" w:ascii="宋体" w:hAnsi="宋体"/>
          <w:sz w:val="24"/>
          <w:szCs w:val="24"/>
          <w:highlight w:val="none"/>
        </w:rPr>
      </w:pPr>
      <w:r>
        <w:rPr>
          <w:rFonts w:hint="eastAsia" w:ascii="宋体" w:hAnsi="宋体"/>
          <w:sz w:val="24"/>
          <w:szCs w:val="24"/>
          <w:highlight w:val="none"/>
        </w:rPr>
        <w:t xml:space="preserve">企业名称（加盖CA电子公章）：</w:t>
      </w:r>
      <w:r/>
    </w:p>
    <w:p>
      <w:pPr>
        <w:pStyle w:val="947"/>
        <w:ind w:firstLine="480"/>
        <w:jc w:val="left"/>
        <w:spacing w:line="500" w:lineRule="exact"/>
        <w:rPr>
          <w:rFonts w:hint="eastAsia" w:ascii="宋体" w:hAnsi="宋体"/>
          <w:sz w:val="24"/>
          <w:szCs w:val="24"/>
          <w:highlight w:val="none"/>
        </w:rPr>
      </w:pPr>
      <w:r>
        <w:rPr>
          <w:rFonts w:hint="eastAsia" w:ascii="宋体" w:hAnsi="宋体"/>
          <w:sz w:val="24"/>
          <w:szCs w:val="24"/>
          <w:highlight w:val="none"/>
        </w:rPr>
        <w:t xml:space="preserve">日期：</w:t>
      </w:r>
      <w:r/>
    </w:p>
    <w:p>
      <w:pPr>
        <w:pStyle w:val="947"/>
        <w:ind w:firstLine="560"/>
        <w:spacing w:line="560" w:lineRule="exact"/>
        <w:rPr>
          <w:rFonts w:hint="eastAsia" w:ascii="宋体" w:hAnsi="宋体"/>
          <w:sz w:val="28"/>
          <w:szCs w:val="28"/>
          <w:highlight w:val="none"/>
        </w:rPr>
      </w:pPr>
      <w:r>
        <w:rPr>
          <w:rFonts w:hint="eastAsia" w:ascii="宋体" w:hAnsi="宋体"/>
          <w:sz w:val="28"/>
          <w:szCs w:val="28"/>
          <w:highlight w:val="none"/>
        </w:rPr>
      </w:r>
      <w:r/>
    </w:p>
    <w:p>
      <w:pPr>
        <w:pStyle w:val="947"/>
        <w:ind w:firstLine="360"/>
        <w:spacing w:line="560" w:lineRule="exact"/>
        <w:rPr>
          <w:rFonts w:hint="eastAsia" w:ascii="宋体" w:hAnsi="宋体"/>
          <w:sz w:val="18"/>
          <w:szCs w:val="18"/>
          <w:highlight w:val="none"/>
        </w:rPr>
      </w:pPr>
      <w:r>
        <w:rPr>
          <w:rFonts w:hint="eastAsia" w:ascii="宋体" w:hAnsi="宋体"/>
          <w:sz w:val="18"/>
          <w:szCs w:val="18"/>
          <w:highlight w:val="none"/>
          <w:vertAlign w:val="superscript"/>
        </w:rPr>
        <w:t xml:space="preserve">1</w:t>
      </w:r>
      <w:r>
        <w:rPr>
          <w:rFonts w:hint="eastAsia" w:ascii="宋体" w:hAnsi="宋体"/>
          <w:sz w:val="18"/>
          <w:szCs w:val="18"/>
          <w:highlight w:val="none"/>
        </w:rPr>
        <w:t xml:space="preserve">从业人员、营业收入、资产总额填报上一年数据，无上一年数据的新成立企业可不填报。</w:t>
      </w:r>
      <w:r/>
    </w:p>
    <w:p>
      <w:pPr>
        <w:pStyle w:val="947"/>
        <w:jc w:val="center"/>
        <w:rPr>
          <w:rFonts w:hint="eastAsia" w:ascii="宋体" w:hAnsi="宋体"/>
          <w:b/>
          <w:bCs/>
          <w:sz w:val="36"/>
          <w:szCs w:val="36"/>
          <w:highlight w:val="none"/>
        </w:rPr>
      </w:pPr>
      <w:r>
        <w:rPr>
          <w:rFonts w:hint="eastAsia" w:ascii="宋体" w:hAnsi="宋体"/>
          <w:b/>
          <w:bCs/>
          <w:sz w:val="36"/>
          <w:szCs w:val="36"/>
          <w:highlight w:val="none"/>
        </w:rPr>
      </w:r>
      <w:r/>
    </w:p>
    <w:p>
      <w:pPr>
        <w:pStyle w:val="947"/>
        <w:jc w:val="center"/>
        <w:rPr>
          <w:rFonts w:hint="eastAsia" w:ascii="宋体" w:hAnsi="宋体"/>
          <w:b/>
          <w:bCs/>
          <w:sz w:val="36"/>
          <w:szCs w:val="36"/>
          <w:highlight w:val="none"/>
        </w:rPr>
      </w:pPr>
      <w:r>
        <w:rPr>
          <w:rFonts w:hint="eastAsia" w:ascii="宋体" w:hAnsi="宋体"/>
          <w:b/>
          <w:bCs/>
          <w:sz w:val="36"/>
          <w:szCs w:val="36"/>
          <w:highlight w:val="none"/>
        </w:rPr>
      </w:r>
      <w:r/>
    </w:p>
    <w:p>
      <w:pPr>
        <w:pStyle w:val="947"/>
        <w:jc w:val="center"/>
        <w:rPr>
          <w:rFonts w:hint="eastAsia" w:ascii="宋体" w:hAnsi="宋体"/>
          <w:b/>
          <w:bCs/>
          <w:sz w:val="36"/>
          <w:szCs w:val="36"/>
          <w:highlight w:val="none"/>
        </w:rPr>
      </w:pPr>
      <w:r>
        <w:rPr>
          <w:rFonts w:hint="eastAsia" w:ascii="宋体" w:hAnsi="宋体"/>
          <w:b/>
          <w:bCs/>
          <w:sz w:val="36"/>
          <w:szCs w:val="36"/>
          <w:highlight w:val="none"/>
        </w:rPr>
      </w:r>
      <w:r/>
    </w:p>
    <w:p>
      <w:pPr>
        <w:pStyle w:val="947"/>
        <w:jc w:val="center"/>
        <w:rPr>
          <w:rFonts w:hint="eastAsia" w:ascii="宋体" w:hAnsi="宋体"/>
          <w:b/>
          <w:bCs/>
          <w:sz w:val="36"/>
          <w:szCs w:val="36"/>
          <w:highlight w:val="none"/>
        </w:rPr>
      </w:pPr>
      <w:r>
        <w:rPr>
          <w:rFonts w:hint="eastAsia" w:ascii="宋体" w:hAnsi="宋体"/>
          <w:b/>
          <w:bCs/>
          <w:sz w:val="36"/>
          <w:szCs w:val="36"/>
          <w:highlight w:val="none"/>
        </w:rPr>
      </w:r>
      <w:r/>
    </w:p>
    <w:p>
      <w:pPr>
        <w:pStyle w:val="947"/>
        <w:rPr>
          <w:rFonts w:hint="eastAsia" w:ascii="宋体" w:hAnsi="宋体"/>
          <w:b/>
          <w:sz w:val="36"/>
          <w:szCs w:val="36"/>
          <w:highlight w:val="none"/>
        </w:rPr>
      </w:pPr>
      <w:r>
        <w:rPr>
          <w:rFonts w:hint="eastAsia" w:ascii="宋体" w:hAnsi="宋体"/>
          <w:b/>
          <w:sz w:val="36"/>
          <w:szCs w:val="36"/>
          <w:highlight w:val="none"/>
        </w:rPr>
      </w:r>
      <w:r/>
    </w:p>
    <w:p>
      <w:pPr>
        <w:pStyle w:val="947"/>
        <w:rPr>
          <w:rFonts w:hint="eastAsia" w:ascii="宋体" w:hAnsi="宋体"/>
          <w:b/>
          <w:sz w:val="36"/>
          <w:szCs w:val="36"/>
          <w:highlight w:val="none"/>
        </w:rPr>
      </w:pPr>
      <w:r>
        <w:rPr>
          <w:rFonts w:hint="eastAsia" w:ascii="宋体" w:hAnsi="宋体"/>
          <w:b/>
          <w:sz w:val="36"/>
          <w:szCs w:val="36"/>
          <w:highlight w:val="none"/>
        </w:rPr>
      </w:r>
      <w:r/>
    </w:p>
    <w:p>
      <w:pPr>
        <w:pStyle w:val="947"/>
        <w:jc w:val="center"/>
        <w:rPr>
          <w:rFonts w:hint="eastAsia" w:ascii="宋体" w:hAnsi="宋体"/>
          <w:b/>
          <w:sz w:val="36"/>
          <w:szCs w:val="36"/>
          <w:highlight w:val="none"/>
        </w:rPr>
      </w:pPr>
      <w:r>
        <w:rPr>
          <w:rFonts w:hint="eastAsia" w:ascii="宋体" w:hAnsi="宋体"/>
          <w:b/>
          <w:sz w:val="36"/>
          <w:szCs w:val="36"/>
          <w:highlight w:val="none"/>
        </w:rPr>
        <w:t xml:space="preserve">中小企业声明函（工程、服务）</w:t>
      </w:r>
      <w:r/>
    </w:p>
    <w:p>
      <w:pPr>
        <w:pStyle w:val="947"/>
        <w:jc w:val="left"/>
        <w:rPr>
          <w:rFonts w:hint="eastAsia" w:ascii="宋体" w:hAnsi="宋体"/>
          <w:b/>
          <w:sz w:val="32"/>
          <w:szCs w:val="32"/>
          <w:highlight w:val="none"/>
        </w:rPr>
      </w:pPr>
      <w:r>
        <w:rPr>
          <w:rFonts w:hint="eastAsia" w:ascii="宋体" w:hAnsi="宋体"/>
          <w:b/>
          <w:sz w:val="32"/>
          <w:szCs w:val="32"/>
          <w:highlight w:val="none"/>
        </w:rPr>
      </w:r>
      <w:r/>
    </w:p>
    <w:p>
      <w:pPr>
        <w:pStyle w:val="947"/>
        <w:ind w:firstLine="480"/>
        <w:jc w:val="left"/>
        <w:spacing w:line="500" w:lineRule="exact"/>
        <w:rPr>
          <w:rFonts w:hint="eastAsia"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本公司（联合体）郑重声明，根据《政府采购促进中小企业发展管理办法》（财库</w:t>
      </w:r>
      <w:r>
        <w:rPr>
          <w:rFonts w:ascii="宋体" w:hAnsi="宋体"/>
          <w:sz w:val="24"/>
          <w:szCs w:val="24"/>
          <w:highlight w:val="none"/>
        </w:rPr>
        <w:t xml:space="preserve">〔2020〕46号）</w:t>
      </w:r>
      <w:r>
        <w:rPr>
          <w:rFonts w:hint="eastAsia" w:ascii="宋体" w:hAnsi="宋体"/>
          <w:sz w:val="24"/>
          <w:szCs w:val="24"/>
          <w:highlight w:val="none"/>
        </w:rPr>
        <w:t xml:space="preserve">的规定，本公司（联合体）参加</w:t>
      </w:r>
      <w:r>
        <w:rPr>
          <w:rFonts w:hint="eastAsia" w:ascii="宋体" w:hAnsi="宋体"/>
          <w:sz w:val="24"/>
          <w:szCs w:val="24"/>
          <w:highlight w:val="none"/>
          <w:u w:val="single"/>
        </w:rPr>
        <w:t xml:space="preserve"> 单位名称  </w:t>
      </w:r>
      <w:r>
        <w:rPr>
          <w:rFonts w:hint="eastAsia" w:ascii="宋体" w:hAnsi="宋体"/>
          <w:sz w:val="24"/>
          <w:szCs w:val="24"/>
          <w:highlight w:val="none"/>
        </w:rPr>
        <w:t xml:space="preserve">的（</w:t>
      </w:r>
      <w:r>
        <w:rPr>
          <w:rFonts w:hint="eastAsia" w:ascii="宋体" w:hAnsi="宋体"/>
          <w:sz w:val="24"/>
          <w:szCs w:val="24"/>
          <w:highlight w:val="none"/>
          <w:u w:val="single"/>
        </w:rPr>
        <w:t xml:space="preserve">项目名称）</w:t>
      </w:r>
      <w:r>
        <w:rPr>
          <w:rFonts w:hint="eastAsia" w:ascii="宋体" w:hAnsi="宋体"/>
          <w:sz w:val="24"/>
          <w:szCs w:val="24"/>
          <w:highlight w:val="none"/>
        </w:rPr>
        <w:t xml:space="preserve"> 采购活动，工程的施工单位全部为符合政策要求的中小企业（或者：服务全部由符合政策要求的中小企业承接）。相关企业（含联合体中的中小企业、签订分包意向协议的中小企业）的具体情况如下：</w:t>
      </w:r>
      <w:r/>
    </w:p>
    <w:p>
      <w:pPr>
        <w:pStyle w:val="947"/>
        <w:ind w:firstLine="480"/>
        <w:jc w:val="left"/>
        <w:spacing w:line="500" w:lineRule="exact"/>
        <w:rPr>
          <w:rFonts w:hint="eastAsia" w:ascii="宋体" w:hAnsi="宋体"/>
          <w:sz w:val="24"/>
          <w:szCs w:val="24"/>
          <w:highlight w:val="none"/>
          <w:u w:val="single"/>
        </w:rPr>
      </w:pPr>
      <w:r>
        <w:rPr>
          <w:rFonts w:hint="eastAsia" w:ascii="宋体" w:hAnsi="宋体"/>
          <w:sz w:val="24"/>
          <w:szCs w:val="24"/>
          <w:highlight w:val="none"/>
        </w:rPr>
        <w:t xml:space="preserve">1. </w:t>
      </w:r>
      <w:r>
        <w:rPr>
          <w:rFonts w:hint="eastAsia" w:ascii="宋体" w:hAnsi="宋体"/>
          <w:sz w:val="24"/>
          <w:szCs w:val="24"/>
          <w:highlight w:val="none"/>
          <w:u w:val="single"/>
        </w:rPr>
        <w:t xml:space="preserve">标的名称          </w:t>
      </w:r>
      <w:r>
        <w:rPr>
          <w:rFonts w:hint="eastAsia" w:ascii="宋体" w:hAnsi="宋体"/>
          <w:sz w:val="24"/>
          <w:szCs w:val="24"/>
          <w:highlight w:val="none"/>
        </w:rPr>
        <w:t xml:space="preserve">，属于（</w:t>
      </w:r>
      <w:r>
        <w:rPr>
          <w:rFonts w:hint="eastAsia" w:ascii="宋体" w:hAnsi="宋体"/>
          <w:i/>
          <w:sz w:val="24"/>
          <w:szCs w:val="24"/>
          <w:highlight w:val="none"/>
          <w:u w:val="single"/>
        </w:rPr>
        <w:t xml:space="preserve">采购文件中明确的所属行业）</w:t>
      </w:r>
      <w:r>
        <w:rPr>
          <w:rFonts w:hint="eastAsia" w:ascii="宋体" w:hAnsi="宋体"/>
          <w:sz w:val="24"/>
          <w:szCs w:val="24"/>
          <w:highlight w:val="none"/>
          <w:u w:val="single"/>
        </w:rPr>
        <w:t xml:space="preserve">行业</w:t>
      </w:r>
      <w:r>
        <w:rPr>
          <w:rFonts w:hint="eastAsia" w:ascii="宋体" w:hAnsi="宋体"/>
          <w:sz w:val="24"/>
          <w:szCs w:val="24"/>
          <w:highlight w:val="none"/>
        </w:rPr>
        <w:t xml:space="preserve">；承建（承接）企业为</w:t>
      </w:r>
      <w:r>
        <w:rPr>
          <w:rFonts w:hint="eastAsia" w:ascii="宋体" w:hAnsi="宋体"/>
          <w:sz w:val="24"/>
          <w:szCs w:val="24"/>
          <w:highlight w:val="none"/>
          <w:u w:val="single"/>
        </w:rPr>
        <w:t xml:space="preserve">（企业名称）  </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 </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（中型企业、小型企业、微型企业）；</w:t>
      </w:r>
      <w:r/>
    </w:p>
    <w:p>
      <w:pPr>
        <w:pStyle w:val="947"/>
        <w:ind w:firstLine="480"/>
        <w:jc w:val="left"/>
        <w:spacing w:line="500" w:lineRule="exact"/>
        <w:rPr>
          <w:rFonts w:hint="eastAsia" w:ascii="宋体" w:hAnsi="宋体"/>
          <w:sz w:val="24"/>
          <w:szCs w:val="24"/>
          <w:highlight w:val="none"/>
          <w:u w:val="single"/>
        </w:rPr>
      </w:pPr>
      <w:r>
        <w:rPr>
          <w:rFonts w:hint="eastAsia" w:ascii="宋体" w:hAnsi="宋体"/>
          <w:sz w:val="24"/>
          <w:szCs w:val="24"/>
          <w:highlight w:val="none"/>
        </w:rPr>
        <w:t xml:space="preserve">2. </w:t>
      </w:r>
      <w:r>
        <w:rPr>
          <w:rFonts w:hint="eastAsia" w:ascii="宋体" w:hAnsi="宋体"/>
          <w:sz w:val="24"/>
          <w:szCs w:val="24"/>
          <w:highlight w:val="none"/>
          <w:u w:val="single"/>
        </w:rPr>
        <w:t xml:space="preserve">标的名称          </w:t>
      </w:r>
      <w:r>
        <w:rPr>
          <w:rFonts w:hint="eastAsia" w:ascii="宋体" w:hAnsi="宋体"/>
          <w:sz w:val="24"/>
          <w:szCs w:val="24"/>
          <w:highlight w:val="none"/>
        </w:rPr>
        <w:t xml:space="preserve">，属于（</w:t>
      </w:r>
      <w:r>
        <w:rPr>
          <w:rFonts w:hint="eastAsia" w:ascii="宋体" w:hAnsi="宋体"/>
          <w:i/>
          <w:sz w:val="24"/>
          <w:szCs w:val="24"/>
          <w:highlight w:val="none"/>
          <w:u w:val="single"/>
        </w:rPr>
        <w:t xml:space="preserve">采购文件中明确的所属行业）</w:t>
      </w:r>
      <w:r>
        <w:rPr>
          <w:rFonts w:hint="eastAsia" w:ascii="宋体" w:hAnsi="宋体"/>
          <w:sz w:val="24"/>
          <w:szCs w:val="24"/>
          <w:highlight w:val="none"/>
          <w:u w:val="single"/>
        </w:rPr>
        <w:t xml:space="preserve">行业</w:t>
      </w:r>
      <w:r>
        <w:rPr>
          <w:rFonts w:hint="eastAsia" w:ascii="宋体" w:hAnsi="宋体"/>
          <w:sz w:val="24"/>
          <w:szCs w:val="24"/>
          <w:highlight w:val="none"/>
        </w:rPr>
        <w:t xml:space="preserve">；承建（承接）企业为</w:t>
      </w:r>
      <w:r>
        <w:rPr>
          <w:rFonts w:hint="eastAsia" w:ascii="宋体" w:hAnsi="宋体"/>
          <w:sz w:val="24"/>
          <w:szCs w:val="24"/>
          <w:highlight w:val="none"/>
          <w:u w:val="single"/>
        </w:rPr>
        <w:t xml:space="preserve">（企业名称）   </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 </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万元，属于</w:t>
      </w:r>
      <w:r>
        <w:rPr>
          <w:rFonts w:hint="eastAsia" w:ascii="宋体" w:hAnsi="宋体"/>
          <w:sz w:val="24"/>
          <w:szCs w:val="24"/>
          <w:highlight w:val="none"/>
          <w:u w:val="single"/>
        </w:rPr>
        <w:t xml:space="preserve">（中型企业、小型企业、微型企业）；</w:t>
      </w:r>
      <w:r/>
    </w:p>
    <w:p>
      <w:pPr>
        <w:pStyle w:val="947"/>
        <w:ind w:firstLine="480"/>
        <w:jc w:val="left"/>
        <w:spacing w:line="500" w:lineRule="exact"/>
        <w:rPr>
          <w:rFonts w:hint="eastAsia" w:ascii="宋体" w:hAnsi="宋体"/>
          <w:sz w:val="24"/>
          <w:szCs w:val="24"/>
          <w:highlight w:val="none"/>
        </w:rPr>
      </w:pPr>
      <w:r>
        <w:rPr>
          <w:rFonts w:ascii="宋体" w:hAnsi="宋体"/>
          <w:sz w:val="24"/>
          <w:szCs w:val="24"/>
          <w:highlight w:val="none"/>
        </w:rPr>
        <w:t xml:space="preserve">……</w:t>
      </w:r>
      <w:r/>
    </w:p>
    <w:p>
      <w:pPr>
        <w:pStyle w:val="947"/>
        <w:ind w:firstLine="480"/>
        <w:jc w:val="left"/>
        <w:spacing w:line="500" w:lineRule="exact"/>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pStyle w:val="947"/>
        <w:ind w:firstLine="480"/>
        <w:jc w:val="left"/>
        <w:spacing w:line="500" w:lineRule="exact"/>
        <w:rPr>
          <w:rFonts w:hint="eastAsia"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p>
    <w:p>
      <w:pPr>
        <w:pStyle w:val="947"/>
        <w:ind w:firstLine="480"/>
        <w:jc w:val="center"/>
        <w:spacing w:line="500" w:lineRule="exact"/>
        <w:rPr>
          <w:rFonts w:hint="eastAsia" w:ascii="宋体" w:hAnsi="宋体"/>
          <w:sz w:val="24"/>
          <w:szCs w:val="24"/>
          <w:highlight w:val="none"/>
        </w:rPr>
      </w:pPr>
      <w:r>
        <w:rPr>
          <w:rFonts w:hint="eastAsia" w:ascii="宋体" w:hAnsi="宋体"/>
          <w:sz w:val="24"/>
          <w:szCs w:val="24"/>
          <w:highlight w:val="none"/>
        </w:rPr>
      </w:r>
      <w:r/>
    </w:p>
    <w:p>
      <w:pPr>
        <w:pStyle w:val="947"/>
        <w:ind w:firstLine="480"/>
        <w:jc w:val="left"/>
        <w:spacing w:line="500" w:lineRule="exact"/>
        <w:rPr>
          <w:rFonts w:hint="eastAsia" w:ascii="宋体" w:hAnsi="宋体"/>
          <w:sz w:val="24"/>
          <w:szCs w:val="24"/>
          <w:highlight w:val="none"/>
        </w:rPr>
      </w:pPr>
      <w:r>
        <w:rPr>
          <w:rFonts w:hint="eastAsia" w:ascii="宋体" w:hAnsi="宋体"/>
          <w:sz w:val="24"/>
          <w:szCs w:val="24"/>
          <w:highlight w:val="none"/>
        </w:rPr>
        <w:t xml:space="preserve">企业名称（加盖CA电子公章）：</w:t>
      </w:r>
      <w:r/>
    </w:p>
    <w:p>
      <w:pPr>
        <w:pStyle w:val="947"/>
        <w:ind w:firstLine="480"/>
        <w:jc w:val="left"/>
        <w:spacing w:line="500" w:lineRule="exact"/>
        <w:rPr>
          <w:rFonts w:hint="eastAsia" w:ascii="宋体" w:hAnsi="宋体"/>
          <w:sz w:val="24"/>
          <w:szCs w:val="24"/>
          <w:highlight w:val="none"/>
        </w:rPr>
      </w:pPr>
      <w:r>
        <w:rPr>
          <w:rFonts w:hint="eastAsia" w:ascii="宋体" w:hAnsi="宋体"/>
          <w:sz w:val="24"/>
          <w:szCs w:val="24"/>
          <w:highlight w:val="none"/>
        </w:rPr>
        <w:t xml:space="preserve">日期：</w:t>
      </w:r>
      <w:r/>
    </w:p>
    <w:p>
      <w:pPr>
        <w:pStyle w:val="947"/>
        <w:ind w:firstLine="480"/>
        <w:spacing w:line="500" w:lineRule="exact"/>
        <w:rPr>
          <w:rFonts w:hint="eastAsia" w:ascii="宋体" w:hAnsi="宋体"/>
          <w:sz w:val="24"/>
          <w:szCs w:val="24"/>
          <w:highlight w:val="none"/>
        </w:rPr>
      </w:pPr>
      <w:r>
        <w:rPr>
          <w:rFonts w:hint="eastAsia" w:ascii="宋体" w:hAnsi="宋体"/>
          <w:sz w:val="24"/>
          <w:szCs w:val="24"/>
          <w:highlight w:val="none"/>
        </w:rPr>
      </w:r>
      <w:r/>
    </w:p>
    <w:p>
      <w:pPr>
        <w:pStyle w:val="947"/>
        <w:ind w:firstLine="360"/>
        <w:spacing w:line="560" w:lineRule="exact"/>
        <w:rPr>
          <w:rFonts w:hint="eastAsia" w:ascii="宋体" w:hAnsi="宋体"/>
          <w:sz w:val="18"/>
          <w:szCs w:val="18"/>
          <w:highlight w:val="none"/>
        </w:rPr>
      </w:pPr>
      <w:r>
        <w:rPr>
          <w:rFonts w:hint="eastAsia" w:ascii="宋体" w:hAnsi="宋体"/>
          <w:sz w:val="18"/>
          <w:szCs w:val="18"/>
          <w:highlight w:val="none"/>
          <w:vertAlign w:val="superscript"/>
        </w:rPr>
        <w:t xml:space="preserve">1</w:t>
      </w:r>
      <w:r>
        <w:rPr>
          <w:rFonts w:hint="eastAsia" w:ascii="宋体" w:hAnsi="宋体"/>
          <w:sz w:val="18"/>
          <w:szCs w:val="18"/>
          <w:highlight w:val="none"/>
        </w:rPr>
        <w:t xml:space="preserve">从业人员、营业收入、资产总额填报上一年数据，无上一年数据的新成立企业可不填报。</w:t>
      </w:r>
      <w:r/>
    </w:p>
    <w:p>
      <w:pPr>
        <w:pStyle w:val="947"/>
        <w:jc w:val="center"/>
        <w:spacing w:before="151" w:after="151" w:line="600" w:lineRule="exact"/>
        <w:rPr>
          <w:rFonts w:hint="eastAsia" w:ascii="宋体" w:hAnsi="宋体"/>
          <w:b/>
          <w:bCs/>
          <w:sz w:val="32"/>
          <w:szCs w:val="32"/>
          <w:highlight w:val="none"/>
        </w:rPr>
      </w:pPr>
      <w:r>
        <w:rPr>
          <w:rFonts w:hint="eastAsia" w:ascii="宋体" w:hAnsi="宋体"/>
          <w:b/>
          <w:bCs/>
          <w:sz w:val="32"/>
          <w:szCs w:val="32"/>
          <w:highlight w:val="none"/>
        </w:rPr>
      </w:r>
      <w:r/>
    </w:p>
    <w:p>
      <w:pPr>
        <w:pStyle w:val="947"/>
        <w:spacing w:before="151" w:after="151" w:line="600" w:lineRule="exact"/>
        <w:rPr>
          <w:rFonts w:hint="eastAsia" w:ascii="宋体" w:hAnsi="宋体"/>
          <w:b/>
          <w:bCs/>
          <w:sz w:val="32"/>
          <w:szCs w:val="32"/>
          <w:highlight w:val="none"/>
        </w:rPr>
      </w:pPr>
      <w:r>
        <w:rPr>
          <w:rFonts w:hint="eastAsia" w:ascii="宋体" w:hAnsi="宋体"/>
          <w:b/>
          <w:bCs/>
          <w:sz w:val="32"/>
          <w:szCs w:val="32"/>
          <w:highlight w:val="none"/>
        </w:rPr>
      </w:r>
      <w:r/>
    </w:p>
    <w:p>
      <w:pPr>
        <w:pStyle w:val="947"/>
        <w:spacing w:before="151" w:after="151" w:line="600" w:lineRule="exact"/>
        <w:rPr>
          <w:rFonts w:hint="eastAsia" w:ascii="宋体" w:hAnsi="宋体"/>
          <w:b/>
          <w:bCs/>
          <w:sz w:val="32"/>
          <w:szCs w:val="32"/>
          <w:highlight w:val="none"/>
        </w:rPr>
      </w:pPr>
      <w:r>
        <w:rPr>
          <w:rFonts w:hint="eastAsia" w:ascii="宋体" w:hAnsi="宋体"/>
          <w:b/>
          <w:bCs/>
          <w:sz w:val="32"/>
          <w:szCs w:val="32"/>
          <w:highlight w:val="none"/>
        </w:rPr>
      </w:r>
      <w:r/>
    </w:p>
    <w:p>
      <w:pPr>
        <w:pStyle w:val="947"/>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pStyle w:val="947"/>
        <w:rPr>
          <w:rFonts w:hint="eastAsia" w:ascii="宋体" w:hAnsi="宋体"/>
          <w:b/>
          <w:sz w:val="36"/>
          <w:szCs w:val="36"/>
          <w:highlight w:val="none"/>
        </w:rPr>
      </w:pPr>
      <w:r>
        <w:rPr>
          <w:rFonts w:hint="eastAsia" w:ascii="宋体" w:hAnsi="宋体"/>
          <w:b/>
          <w:sz w:val="36"/>
          <w:szCs w:val="36"/>
          <w:highlight w:val="none"/>
        </w:rPr>
      </w:r>
      <w:r/>
    </w:p>
    <w:p>
      <w:pPr>
        <w:jc w:val="center"/>
        <w:rPr>
          <w:rFonts w:hint="eastAsia" w:ascii="方正魏碑_GBK" w:hAnsi="方正魏碑_GBK" w:eastAsia="方正魏碑_GBK" w:cs="方正魏碑_GBK"/>
          <w:color w:val="ff0000"/>
          <w:sz w:val="24"/>
          <w:szCs w:val="24"/>
          <w:highlight w:val="none"/>
        </w:rPr>
      </w:pPr>
      <w:r>
        <w:rPr>
          <w:rFonts w:hint="eastAsia" w:ascii="方正魏碑_GBK" w:hAnsi="方正魏碑_GBK" w:eastAsia="方正魏碑_GBK" w:cs="方正魏碑_GBK"/>
          <w:b/>
          <w:color w:val="ff0000"/>
          <w:sz w:val="24"/>
          <w:szCs w:val="24"/>
          <w:highlight w:val="none"/>
        </w:rPr>
        <w:t xml:space="preserve">关于符合本国产品标准的声明函（采购包号：**）</w:t>
      </w:r>
      <w:r/>
    </w:p>
    <w:p>
      <w:pPr>
        <w:pStyle w:val="779"/>
        <w:ind w:firstLine="420"/>
        <w:spacing w:before="0" w:beforeAutospacing="0" w:after="0" w:afterAutospacing="0" w:line="0" w:lineRule="atLeast"/>
        <w:rPr>
          <w:rFonts w:hint="eastAsia" w:ascii="方正魏碑_GBK" w:hAnsi="方正魏碑_GBK" w:eastAsia="方正魏碑_GBK" w:cs="方正魏碑_GBK"/>
          <w:color w:val="ff0000"/>
          <w:highlight w:val="none"/>
        </w:rPr>
      </w:pPr>
      <w:r>
        <w:rPr>
          <w:rFonts w:hint="eastAsia" w:ascii="方正魏碑_GBK" w:hAnsi="方正魏碑_GBK" w:eastAsia="方正魏碑_GBK" w:cs="方正魏碑_GBK"/>
          <w:color w:val="ff0000"/>
          <w:highlight w:val="none"/>
        </w:rPr>
      </w:r>
      <w:r/>
    </w:p>
    <w:p>
      <w:pPr>
        <w:pStyle w:val="779"/>
        <w:ind w:firstLine="420"/>
        <w:spacing w:before="0" w:beforeAutospacing="0" w:after="0" w:afterAutospacing="0" w:line="0" w:lineRule="atLeast"/>
        <w:rPr>
          <w:rFonts w:hint="eastAsia" w:ascii="方正魏碑_GBK" w:hAnsi="方正魏碑_GBK" w:eastAsia="方正魏碑_GBK" w:cs="方正魏碑_GBK"/>
          <w:color w:val="ff0000"/>
          <w:highlight w:val="none"/>
        </w:rPr>
      </w:pPr>
      <w:r>
        <w:rPr>
          <w:rFonts w:hint="eastAsia" w:ascii="方正魏碑_GBK" w:hAnsi="方正魏碑_GBK" w:eastAsia="方正魏碑_GBK" w:cs="方正魏碑_GBK"/>
          <w:color w:val="ff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9"/>
        <w:ind w:firstLine="420"/>
        <w:spacing w:before="30" w:beforeAutospacing="0" w:after="30" w:afterAutospacing="0" w:line="0" w:lineRule="atLeast"/>
        <w:rPr>
          <w:rFonts w:hint="eastAsia"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 o:spid="_x0000_s4" o:spt="32" type="#_x0000_t32" style="position:absolute;z-index:251672576;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6" name="直接箭头连接符 9"/>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 o:spid="_x0000_s5" o:spt="32" type="#_x0000_t32" style="position:absolute;z-index:25167155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7"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70528;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69504;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9" name="直接箭头连接符 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68480;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10" name="直接箭头连接符 3"/>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1" name="直接箭头连接符 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62336;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2" name="直接箭头连接符 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61312;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highlight w:val="none"/>
          <w:shd w:val="clear" w:color="auto" w:fill="ffffff"/>
        </w:rPr>
        <w:t xml:space="preserve">1.</w:t>
      </w:r>
      <w:r>
        <w:rPr>
          <w:rStyle w:val="784"/>
          <w:rFonts w:hint="eastAsia" w:ascii="方正魏碑_GBK" w:hAnsi="方正魏碑_GBK" w:eastAsia="方正魏碑_GBK" w:cs="方正魏碑_GBK"/>
          <w:i w:val="0"/>
          <w:color w:val="ff0000"/>
          <w:highlight w:val="none"/>
          <w:u w:val="single"/>
          <w:shd w:val="clear" w:color="auto" w:fill="ffffff"/>
        </w:rPr>
        <w:t xml:space="preserve">（产品名称1）</w:t>
      </w:r>
      <w:r>
        <w:rPr>
          <w:rStyle w:val="784"/>
          <w:rFonts w:hint="eastAsia" w:ascii="方正魏碑_GBK" w:hAnsi="方正魏碑_GBK" w:eastAsia="方正魏碑_GBK" w:cs="方正魏碑_GBK"/>
          <w:i w:val="0"/>
          <w:color w:val="ff0000"/>
          <w:highlight w:val="none"/>
          <w:shd w:val="clear" w:color="auto" w:fill="ffffff"/>
          <w:vertAlign w:val="superscript"/>
        </w:rPr>
        <w:t xml:space="preserve">1</w:t>
      </w:r>
      <w:r>
        <w:rPr>
          <w:rFonts w:hint="eastAsia" w:ascii="方正魏碑_GBK" w:hAnsi="方正魏碑_GBK" w:eastAsia="方正魏碑_GBK" w:cs="方正魏碑_GBK"/>
          <w:color w:val="ff0000"/>
          <w:highlight w:val="none"/>
          <w:shd w:val="clear" w:color="auto" w:fill="ffffff"/>
        </w:rPr>
        <w:t xml:space="preserve">，生产厂为</w:t>
      </w:r>
      <w:r>
        <w:rPr>
          <w:rStyle w:val="784"/>
          <w:rFonts w:hint="eastAsia" w:ascii="方正魏碑_GBK" w:hAnsi="方正魏碑_GBK" w:eastAsia="方正魏碑_GBK" w:cs="方正魏碑_GBK"/>
          <w:i w:val="0"/>
          <w:color w:val="ff0000"/>
          <w:highlight w:val="none"/>
          <w:u w:val="single"/>
          <w:shd w:val="clear" w:color="auto" w:fill="ffffff"/>
        </w:rPr>
        <w:t xml:space="preserve">（厂名）</w:t>
      </w:r>
      <w:r>
        <w:rPr>
          <w:rStyle w:val="784"/>
          <w:rFonts w:hint="eastAsia" w:ascii="方正魏碑_GBK" w:hAnsi="方正魏碑_GBK" w:eastAsia="方正魏碑_GBK" w:cs="方正魏碑_GBK"/>
          <w:i w:val="0"/>
          <w:color w:val="ff0000"/>
          <w:highlight w:val="none"/>
          <w:shd w:val="clear" w:color="auto" w:fill="ffffff"/>
          <w:vertAlign w:val="superscript"/>
        </w:rPr>
        <w:t xml:space="preserve">2</w:t>
      </w:r>
      <w:r>
        <w:rPr>
          <w:rFonts w:hint="eastAsia" w:ascii="方正魏碑_GBK" w:hAnsi="方正魏碑_GBK" w:eastAsia="方正魏碑_GBK" w:cs="方正魏碑_GBK"/>
          <w:color w:val="ff0000"/>
          <w:highlight w:val="none"/>
          <w:shd w:val="clear" w:color="auto" w:fill="ffffff"/>
        </w:rPr>
        <w:t xml:space="preserve">，厂址为</w:t>
      </w:r>
      <w:r>
        <w:rPr>
          <w:rStyle w:val="784"/>
          <w:rFonts w:hint="eastAsia" w:ascii="方正魏碑_GBK" w:hAnsi="方正魏碑_GBK" w:eastAsia="方正魏碑_GBK" w:cs="方正魏碑_GBK"/>
          <w:i w:val="0"/>
          <w:color w:val="ff0000"/>
          <w:highlight w:val="none"/>
          <w:u w:val="single"/>
          <w:shd w:val="clear" w:color="auto" w:fill="ffffff"/>
        </w:rPr>
        <w:t xml:space="preserve">（生产厂址）</w:t>
      </w:r>
      <w:r>
        <w:rPr>
          <w:rFonts w:hint="eastAsia" w:ascii="方正魏碑_GBK" w:hAnsi="方正魏碑_GBK" w:eastAsia="方正魏碑_GBK" w:cs="方正魏碑_GBK"/>
          <w:color w:val="ff0000"/>
          <w:highlight w:val="none"/>
          <w:shd w:val="clear" w:color="auto" w:fill="ffffff"/>
        </w:rPr>
        <w:t xml:space="preserve">。</w:t>
      </w:r>
      <w:r>
        <w:rPr>
          <w:rFonts w:hint="eastAsia" w:ascii="方正魏碑_GBK" w:hAnsi="方正魏碑_GBK" w:eastAsia="方正魏碑_GBK" w:cs="方正魏碑_GBK"/>
          <w:color w:val="ff0000"/>
          <w:highlight w:val="none"/>
          <w:u w:val="single"/>
          <w:shd w:val="clear" w:color="auto" w:fill="ffffff"/>
        </w:rPr>
        <w:t xml:space="preserve"> </w:t>
      </w:r>
      <w:r>
        <w:rPr>
          <w:rStyle w:val="784"/>
          <w:rFonts w:hint="eastAsia" w:ascii="方正魏碑_GBK" w:hAnsi="方正魏碑_GBK" w:eastAsia="方正魏碑_GBK" w:cs="方正魏碑_GBK"/>
          <w:i w:val="0"/>
          <w:color w:val="ff0000"/>
          <w:highlight w:val="none"/>
          <w:u w:val="single"/>
          <w:shd w:val="clear" w:color="auto" w:fill="ffffff"/>
        </w:rPr>
        <w:t xml:space="preserve">（产品名称1） </w:t>
      </w:r>
      <w:r>
        <w:rPr>
          <w:rFonts w:hint="eastAsia" w:ascii="方正魏碑_GBK" w:hAnsi="方正魏碑_GBK" w:eastAsia="方正魏碑_GBK" w:cs="方正魏碑_GBK"/>
          <w:color w:val="ff0000"/>
          <w:highlight w:val="none"/>
          <w:shd w:val="clear" w:color="auto" w:fill="ffffff"/>
        </w:rPr>
        <w:t xml:space="preserve">的中国境内生产的组件成本占比≥</w:t>
      </w:r>
      <w:r>
        <w:rPr>
          <w:rStyle w:val="784"/>
          <w:rFonts w:hint="eastAsia" w:ascii="方正魏碑_GBK" w:hAnsi="方正魏碑_GBK" w:eastAsia="方正魏碑_GBK" w:cs="方正魏碑_GBK"/>
          <w:i w:val="0"/>
          <w:color w:val="ff0000"/>
          <w:highlight w:val="none"/>
          <w:u w:val="single"/>
          <w:shd w:val="clear" w:color="auto" w:fill="ffffff"/>
        </w:rPr>
        <w:t xml:space="preserve">（规定</w:t>
      </w:r>
      <w:r>
        <w:rPr>
          <w:rStyle w:val="784"/>
          <w:rFonts w:ascii="方正魏碑_GBK" w:hAnsi="方正魏碑_GBK" w:eastAsia="方正魏碑_GBK" w:cs="方正魏碑_GBK"/>
          <w:i w:val="0"/>
          <w:color w:val="ff0000"/>
          <w:highlight w:val="none"/>
          <w:u w:val="single"/>
          <w:shd w:val="clear" w:color="auto" w:fill="ffffff"/>
        </w:rPr>
        <w:t xml:space="preserve">比例</w:t>
      </w:r>
      <w:r>
        <w:rPr>
          <w:rStyle w:val="784"/>
          <w:rFonts w:hint="eastAsia" w:ascii="方正魏碑_GBK" w:hAnsi="方正魏碑_GBK" w:eastAsia="方正魏碑_GBK" w:cs="方正魏碑_GBK"/>
          <w:i w:val="0"/>
          <w:color w:val="ff0000"/>
          <w:highlight w:val="none"/>
          <w:u w:val="single"/>
          <w:shd w:val="clear" w:color="auto" w:fill="ffffff"/>
        </w:rPr>
        <w:t xml:space="preserve">）</w:t>
      </w:r>
      <w:r>
        <w:rPr>
          <w:rStyle w:val="784"/>
          <w:rFonts w:hint="eastAsia" w:ascii="方正魏碑_GBK" w:hAnsi="方正魏碑_GBK" w:eastAsia="方正魏碑_GBK" w:cs="方正魏碑_GBK"/>
          <w:i w:val="0"/>
          <w:color w:val="ff0000"/>
          <w:highlight w:val="none"/>
          <w:shd w:val="clear" w:color="auto" w:fill="ffffff"/>
          <w:vertAlign w:val="superscript"/>
        </w:rPr>
        <w:t xml:space="preserve">3</w:t>
      </w:r>
      <w:r>
        <w:rPr>
          <w:rFonts w:hint="eastAsia" w:ascii="方正魏碑_GBK" w:hAnsi="方正魏碑_GBK" w:eastAsia="方正魏碑_GBK" w:cs="方正魏碑_GBK"/>
          <w:color w:val="ff0000"/>
          <w:highlight w:val="none"/>
          <w:shd w:val="clear" w:color="auto" w:fill="ffffff"/>
        </w:rPr>
        <w:t xml:space="preserve">。</w:t>
      </w:r>
      <w:r>
        <w:rPr>
          <w:rStyle w:val="784"/>
          <w:rFonts w:hint="eastAsia" w:ascii="方正魏碑_GBK" w:hAnsi="方正魏碑_GBK" w:eastAsia="方正魏碑_GBK" w:cs="方正魏碑_GBK"/>
          <w:i w:val="0"/>
          <w:color w:val="ff0000"/>
          <w:highlight w:val="none"/>
          <w:u w:val="single"/>
          <w:shd w:val="clear" w:color="auto" w:fill="ffffff"/>
        </w:rPr>
        <w:t xml:space="preserve">（产品名称1）</w:t>
      </w:r>
      <w:r>
        <w:rPr>
          <w:rFonts w:hint="eastAsia" w:ascii="方正魏碑_GBK" w:hAnsi="方正魏碑_GBK" w:eastAsia="方正魏碑_GBK" w:cs="方正魏碑_GBK"/>
          <w:color w:val="ff0000"/>
          <w:highlight w:val="none"/>
          <w:shd w:val="clear" w:color="auto" w:fill="ffffff"/>
        </w:rPr>
        <w:t xml:space="preserve">的</w:t>
      </w:r>
      <w:r>
        <w:rPr>
          <w:rStyle w:val="784"/>
          <w:rFonts w:hint="eastAsia" w:ascii="方正魏碑_GBK" w:hAnsi="方正魏碑_GBK" w:eastAsia="方正魏碑_GBK" w:cs="方正魏碑_GBK"/>
          <w:i w:val="0"/>
          <w:color w:val="ff0000"/>
          <w:highlight w:val="none"/>
          <w:u w:val="single"/>
          <w:shd w:val="clear" w:color="auto" w:fill="ffffff"/>
        </w:rPr>
        <w:t xml:space="preserve">（关键</w:t>
      </w:r>
      <w:r>
        <w:rPr>
          <w:rStyle w:val="784"/>
          <w:rFonts w:ascii="方正魏碑_GBK" w:hAnsi="方正魏碑_GBK" w:eastAsia="方正魏碑_GBK" w:cs="方正魏碑_GBK"/>
          <w:i w:val="0"/>
          <w:color w:val="ff0000"/>
          <w:highlight w:val="none"/>
          <w:u w:val="single"/>
          <w:shd w:val="clear" w:color="auto" w:fill="ffffff"/>
        </w:rPr>
        <w:t xml:space="preserve">组件</w:t>
      </w:r>
      <w:r>
        <w:rPr>
          <w:rStyle w:val="784"/>
          <w:rFonts w:hint="eastAsia" w:ascii="方正魏碑_GBK" w:hAnsi="方正魏碑_GBK" w:eastAsia="方正魏碑_GBK" w:cs="方正魏碑_GBK"/>
          <w:i w:val="0"/>
          <w:color w:val="ff0000"/>
          <w:highlight w:val="none"/>
          <w:u w:val="single"/>
          <w:shd w:val="clear" w:color="auto" w:fill="ffffff"/>
        </w:rPr>
        <w:t xml:space="preserve">）</w:t>
      </w:r>
      <w:r>
        <w:rPr>
          <w:rStyle w:val="784"/>
          <w:rFonts w:hint="eastAsia" w:ascii="方正魏碑_GBK" w:hAnsi="方正魏碑_GBK" w:eastAsia="方正魏碑_GBK" w:cs="方正魏碑_GBK"/>
          <w:i w:val="0"/>
          <w:color w:val="ff0000"/>
          <w:highlight w:val="none"/>
          <w:shd w:val="clear" w:color="auto" w:fill="ffffff"/>
          <w:vertAlign w:val="superscript"/>
        </w:rPr>
        <w:t xml:space="preserve">4</w:t>
      </w:r>
      <w:r>
        <w:rPr>
          <w:rFonts w:hint="eastAsia" w:ascii="方正魏碑_GBK" w:hAnsi="方正魏碑_GBK" w:eastAsia="方正魏碑_GBK" w:cs="方正魏碑_GBK"/>
          <w:color w:val="ff0000"/>
          <w:highlight w:val="none"/>
          <w:shd w:val="clear" w:color="auto" w:fill="ffffff"/>
        </w:rPr>
        <w:t xml:space="preserve">在中国境内生产。</w:t>
      </w:r>
      <w:r>
        <w:rPr>
          <w:rStyle w:val="784"/>
          <w:rFonts w:hint="eastAsia" w:ascii="方正魏碑_GBK" w:hAnsi="方正魏碑_GBK" w:eastAsia="方正魏碑_GBK" w:cs="方正魏碑_GBK"/>
          <w:i w:val="0"/>
          <w:color w:val="ff0000"/>
          <w:highlight w:val="none"/>
          <w:u w:val="single"/>
          <w:shd w:val="clear" w:color="auto" w:fill="ffffff"/>
        </w:rPr>
        <w:t xml:space="preserve">（产品名称1）</w:t>
      </w:r>
      <w:r>
        <w:rPr>
          <w:rFonts w:hint="eastAsia" w:ascii="方正魏碑_GBK" w:hAnsi="方正魏碑_GBK" w:eastAsia="方正魏碑_GBK" w:cs="方正魏碑_GBK"/>
          <w:color w:val="ff0000"/>
          <w:highlight w:val="none"/>
          <w:shd w:val="clear" w:color="auto" w:fill="ffffff"/>
        </w:rPr>
        <w:t xml:space="preserve">的</w:t>
      </w:r>
      <w:r>
        <w:rPr>
          <w:rStyle w:val="784"/>
          <w:rFonts w:hint="eastAsia" w:ascii="方正魏碑_GBK" w:hAnsi="方正魏碑_GBK" w:eastAsia="方正魏碑_GBK" w:cs="方正魏碑_GBK"/>
          <w:i w:val="0"/>
          <w:color w:val="ff0000"/>
          <w:highlight w:val="none"/>
          <w:u w:val="single"/>
          <w:shd w:val="clear" w:color="auto" w:fill="ffffff"/>
        </w:rPr>
        <w:t xml:space="preserve">（关键工序）</w:t>
      </w:r>
      <w:r>
        <w:rPr>
          <w:rStyle w:val="784"/>
          <w:rFonts w:hint="eastAsia" w:ascii="方正魏碑_GBK" w:hAnsi="方正魏碑_GBK" w:eastAsia="方正魏碑_GBK" w:cs="方正魏碑_GBK"/>
          <w:i w:val="0"/>
          <w:color w:val="ff0000"/>
          <w:highlight w:val="none"/>
          <w:shd w:val="clear" w:color="auto" w:fill="ffffff"/>
          <w:vertAlign w:val="superscript"/>
        </w:rPr>
        <w:t xml:space="preserve">5</w:t>
      </w:r>
      <w:r>
        <w:rPr>
          <w:rFonts w:hint="eastAsia" w:ascii="方正魏碑_GBK" w:hAnsi="方正魏碑_GBK" w:eastAsia="方正魏碑_GBK" w:cs="方正魏碑_GBK"/>
          <w:color w:val="ff0000"/>
          <w:highlight w:val="none"/>
          <w:shd w:val="clear" w:color="auto" w:fill="ffffff"/>
        </w:rPr>
        <w:t xml:space="preserve">在中国境内完成。</w:t>
      </w:r>
      <w:r/>
    </w:p>
    <w:p>
      <w:pPr>
        <w:pStyle w:val="779"/>
        <w:ind w:firstLine="420"/>
        <w:spacing w:before="30" w:beforeAutospacing="0" w:after="30" w:afterAutospacing="0" w:line="0" w:lineRule="atLeast"/>
        <w:rPr>
          <w:rFonts w:hint="eastAsia"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3" name="直接箭头连接符 1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7564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4" name="直接箭头连接符 1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76672;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5" name="直接箭头连接符 18"/>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7462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6" name="直接箭头连接符 19"/>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73600;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7" name="直接箭头连接符 1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6" o:spid="_x0000_s16" o:spt="32" type="#_x0000_t32" style="position:absolute;z-index:251666432;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8" name="直接箭头连接符 13"/>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7" o:spid="_x0000_s17" o:spt="32" type="#_x0000_t32" style="position:absolute;z-index:25166745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9"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8" o:spid="_x0000_s18" o:spt="32" type="#_x0000_t32" style="position:absolute;z-index:25166540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20"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9" o:spid="_x0000_s19" o:spt="32" type="#_x0000_t32" style="position:absolute;z-index:25166438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highlight w:val="none"/>
          <w:shd w:val="clear" w:color="auto" w:fill="ffffff"/>
        </w:rPr>
        <w:t xml:space="preserve">2.</w:t>
      </w:r>
      <w:r>
        <w:rPr>
          <w:rStyle w:val="784"/>
          <w:rFonts w:hint="eastAsia" w:ascii="方正魏碑_GBK" w:hAnsi="方正魏碑_GBK" w:eastAsia="方正魏碑_GBK" w:cs="方正魏碑_GBK"/>
          <w:i w:val="0"/>
          <w:color w:val="ff0000"/>
          <w:highlight w:val="none"/>
          <w:u w:val="single"/>
          <w:shd w:val="clear" w:color="auto" w:fill="ffffff"/>
        </w:rPr>
        <w:t xml:space="preserve">（产品名称2）</w:t>
      </w:r>
      <w:r>
        <w:rPr>
          <w:rFonts w:hint="eastAsia" w:ascii="方正魏碑_GBK" w:hAnsi="方正魏碑_GBK" w:eastAsia="方正魏碑_GBK" w:cs="方正魏碑_GBK"/>
          <w:color w:val="ff0000"/>
          <w:highlight w:val="none"/>
          <w:shd w:val="clear" w:color="auto" w:fill="ffffff"/>
        </w:rPr>
        <w:t xml:space="preserve">，生产厂为</w:t>
      </w:r>
      <w:r>
        <w:rPr>
          <w:rStyle w:val="784"/>
          <w:rFonts w:hint="eastAsia" w:ascii="方正魏碑_GBK" w:hAnsi="方正魏碑_GBK" w:eastAsia="方正魏碑_GBK" w:cs="方正魏碑_GBK"/>
          <w:i w:val="0"/>
          <w:color w:val="ff0000"/>
          <w:highlight w:val="none"/>
          <w:u w:val="single"/>
          <w:shd w:val="clear" w:color="auto" w:fill="ffffff"/>
        </w:rPr>
        <w:t xml:space="preserve">（厂名）</w:t>
      </w:r>
      <w:r>
        <w:rPr>
          <w:rFonts w:hint="eastAsia" w:ascii="方正魏碑_GBK" w:hAnsi="方正魏碑_GBK" w:eastAsia="方正魏碑_GBK" w:cs="方正魏碑_GBK"/>
          <w:color w:val="ff0000"/>
          <w:highlight w:val="none"/>
          <w:shd w:val="clear" w:color="auto" w:fill="ffffff"/>
        </w:rPr>
        <w:t xml:space="preserve">，厂址为</w:t>
      </w:r>
      <w:r>
        <w:rPr>
          <w:rStyle w:val="784"/>
          <w:rFonts w:hint="eastAsia" w:ascii="方正魏碑_GBK" w:hAnsi="方正魏碑_GBK" w:eastAsia="方正魏碑_GBK" w:cs="方正魏碑_GBK"/>
          <w:i w:val="0"/>
          <w:color w:val="ff0000"/>
          <w:highlight w:val="none"/>
          <w:u w:val="single"/>
          <w:shd w:val="clear" w:color="auto" w:fill="ffffff"/>
        </w:rPr>
        <w:t xml:space="preserve">（生产厂址）</w:t>
      </w:r>
      <w:r>
        <w:rPr>
          <w:rFonts w:hint="eastAsia" w:ascii="方正魏碑_GBK" w:hAnsi="方正魏碑_GBK" w:eastAsia="方正魏碑_GBK" w:cs="方正魏碑_GBK"/>
          <w:color w:val="ff0000"/>
          <w:highlight w:val="none"/>
          <w:shd w:val="clear" w:color="auto" w:fill="ffffff"/>
        </w:rPr>
        <w:t xml:space="preserve">。</w:t>
      </w:r>
      <w:r>
        <w:rPr>
          <w:rStyle w:val="784"/>
          <w:rFonts w:hint="eastAsia" w:ascii="方正魏碑_GBK" w:hAnsi="方正魏碑_GBK" w:eastAsia="方正魏碑_GBK" w:cs="方正魏碑_GBK"/>
          <w:i w:val="0"/>
          <w:color w:val="ff0000"/>
          <w:highlight w:val="none"/>
          <w:u w:val="single"/>
          <w:shd w:val="clear" w:color="auto" w:fill="ffffff"/>
        </w:rPr>
        <w:t xml:space="preserve">（产品名称2）</w:t>
      </w:r>
      <w:r>
        <w:rPr>
          <w:rFonts w:hint="eastAsia" w:ascii="方正魏碑_GBK" w:hAnsi="方正魏碑_GBK" w:eastAsia="方正魏碑_GBK" w:cs="方正魏碑_GBK"/>
          <w:color w:val="ff0000"/>
          <w:highlight w:val="none"/>
          <w:shd w:val="clear" w:color="auto" w:fill="ffffff"/>
        </w:rPr>
        <w:t xml:space="preserve">的中国境内生产的组件成本占比≥</w:t>
      </w:r>
      <w:r>
        <w:rPr>
          <w:rStyle w:val="784"/>
          <w:rFonts w:hint="eastAsia" w:ascii="方正魏碑_GBK" w:hAnsi="方正魏碑_GBK" w:eastAsia="方正魏碑_GBK" w:cs="方正魏碑_GBK"/>
          <w:i w:val="0"/>
          <w:color w:val="ff0000"/>
          <w:highlight w:val="none"/>
          <w:u w:val="single"/>
          <w:shd w:val="clear" w:color="auto" w:fill="ffffff"/>
        </w:rPr>
        <w:t xml:space="preserve">（规定</w:t>
      </w:r>
      <w:r>
        <w:rPr>
          <w:rStyle w:val="784"/>
          <w:rFonts w:ascii="方正魏碑_GBK" w:hAnsi="方正魏碑_GBK" w:eastAsia="方正魏碑_GBK" w:cs="方正魏碑_GBK"/>
          <w:i w:val="0"/>
          <w:color w:val="ff0000"/>
          <w:highlight w:val="none"/>
          <w:u w:val="single"/>
          <w:shd w:val="clear" w:color="auto" w:fill="ffffff"/>
        </w:rPr>
        <w:t xml:space="preserve">比例</w:t>
      </w:r>
      <w:r>
        <w:rPr>
          <w:rStyle w:val="784"/>
          <w:rFonts w:hint="eastAsia" w:ascii="方正魏碑_GBK" w:hAnsi="方正魏碑_GBK" w:eastAsia="方正魏碑_GBK" w:cs="方正魏碑_GBK"/>
          <w:i w:val="0"/>
          <w:color w:val="ff0000"/>
          <w:highlight w:val="none"/>
          <w:u w:val="single"/>
          <w:shd w:val="clear" w:color="auto" w:fill="ffffff"/>
        </w:rPr>
        <w:t xml:space="preserve">）</w:t>
      </w:r>
      <w:r>
        <w:rPr>
          <w:rFonts w:hint="eastAsia" w:ascii="方正魏碑_GBK" w:hAnsi="方正魏碑_GBK" w:eastAsia="方正魏碑_GBK" w:cs="方正魏碑_GBK"/>
          <w:color w:val="ff0000"/>
          <w:highlight w:val="none"/>
          <w:shd w:val="clear" w:color="auto" w:fill="ffffff"/>
        </w:rPr>
        <w:t xml:space="preserve">。</w:t>
      </w:r>
      <w:r>
        <w:rPr>
          <w:rStyle w:val="784"/>
          <w:rFonts w:hint="eastAsia" w:ascii="方正魏碑_GBK" w:hAnsi="方正魏碑_GBK" w:eastAsia="方正魏碑_GBK" w:cs="方正魏碑_GBK"/>
          <w:i w:val="0"/>
          <w:color w:val="ff0000"/>
          <w:highlight w:val="none"/>
          <w:u w:val="single"/>
          <w:shd w:val="clear" w:color="auto" w:fill="ffffff"/>
        </w:rPr>
        <w:t xml:space="preserve">（产品名称2）</w:t>
      </w:r>
      <w:r>
        <w:rPr>
          <w:rFonts w:hint="eastAsia" w:ascii="方正魏碑_GBK" w:hAnsi="方正魏碑_GBK" w:eastAsia="方正魏碑_GBK" w:cs="方正魏碑_GBK"/>
          <w:color w:val="ff0000"/>
          <w:highlight w:val="none"/>
          <w:shd w:val="clear" w:color="auto" w:fill="ffffff"/>
        </w:rPr>
        <w:t xml:space="preserve">的</w:t>
      </w:r>
      <w:r>
        <w:rPr>
          <w:rStyle w:val="784"/>
          <w:rFonts w:hint="eastAsia" w:ascii="方正魏碑_GBK" w:hAnsi="方正魏碑_GBK" w:eastAsia="方正魏碑_GBK" w:cs="方正魏碑_GBK"/>
          <w:i w:val="0"/>
          <w:color w:val="ff0000"/>
          <w:highlight w:val="none"/>
          <w:u w:val="single"/>
          <w:shd w:val="clear" w:color="auto" w:fill="ffffff"/>
        </w:rPr>
        <w:t xml:space="preserve">（关键</w:t>
      </w:r>
      <w:r>
        <w:rPr>
          <w:rStyle w:val="784"/>
          <w:rFonts w:ascii="方正魏碑_GBK" w:hAnsi="方正魏碑_GBK" w:eastAsia="方正魏碑_GBK" w:cs="方正魏碑_GBK"/>
          <w:i w:val="0"/>
          <w:color w:val="ff0000"/>
          <w:highlight w:val="none"/>
          <w:u w:val="single"/>
          <w:shd w:val="clear" w:color="auto" w:fill="ffffff"/>
        </w:rPr>
        <w:t xml:space="preserve">组件</w:t>
      </w:r>
      <w:r>
        <w:rPr>
          <w:rStyle w:val="784"/>
          <w:rFonts w:hint="eastAsia" w:ascii="方正魏碑_GBK" w:hAnsi="方正魏碑_GBK" w:eastAsia="方正魏碑_GBK" w:cs="方正魏碑_GBK"/>
          <w:i w:val="0"/>
          <w:color w:val="ff0000"/>
          <w:highlight w:val="none"/>
          <w:u w:val="single"/>
          <w:shd w:val="clear" w:color="auto" w:fill="ffffff"/>
        </w:rPr>
        <w:t xml:space="preserve">）</w:t>
      </w:r>
      <w:r>
        <w:rPr>
          <w:rFonts w:hint="eastAsia" w:ascii="方正魏碑_GBK" w:hAnsi="方正魏碑_GBK" w:eastAsia="方正魏碑_GBK" w:cs="方正魏碑_GBK"/>
          <w:color w:val="ff0000"/>
          <w:highlight w:val="none"/>
          <w:shd w:val="clear" w:color="auto" w:fill="ffffff"/>
        </w:rPr>
        <w:t xml:space="preserve">在中国境内生产。</w:t>
      </w:r>
      <w:r>
        <w:rPr>
          <w:rStyle w:val="784"/>
          <w:rFonts w:hint="eastAsia" w:ascii="方正魏碑_GBK" w:hAnsi="方正魏碑_GBK" w:eastAsia="方正魏碑_GBK" w:cs="方正魏碑_GBK"/>
          <w:i w:val="0"/>
          <w:color w:val="ff0000"/>
          <w:highlight w:val="none"/>
          <w:u w:val="single"/>
          <w:shd w:val="clear" w:color="auto" w:fill="ffffff"/>
        </w:rPr>
        <w:t xml:space="preserve">（产品名称1）</w:t>
      </w:r>
      <w:r>
        <w:rPr>
          <w:rFonts w:hint="eastAsia" w:ascii="方正魏碑_GBK" w:hAnsi="方正魏碑_GBK" w:eastAsia="方正魏碑_GBK" w:cs="方正魏碑_GBK"/>
          <w:color w:val="ff0000"/>
          <w:highlight w:val="none"/>
          <w:shd w:val="clear" w:color="auto" w:fill="ffffff"/>
        </w:rPr>
        <w:t xml:space="preserve">的</w:t>
      </w:r>
      <w:r>
        <w:rPr>
          <w:rStyle w:val="784"/>
          <w:rFonts w:hint="eastAsia" w:ascii="方正魏碑_GBK" w:hAnsi="方正魏碑_GBK" w:eastAsia="方正魏碑_GBK" w:cs="方正魏碑_GBK"/>
          <w:i w:val="0"/>
          <w:color w:val="ff0000"/>
          <w:highlight w:val="none"/>
          <w:u w:val="single"/>
          <w:shd w:val="clear" w:color="auto" w:fill="ffffff"/>
        </w:rPr>
        <w:t xml:space="preserve">（关键工序）</w:t>
      </w:r>
      <w:r>
        <w:rPr>
          <w:rFonts w:hint="eastAsia" w:ascii="方正魏碑_GBK" w:hAnsi="方正魏碑_GBK" w:eastAsia="方正魏碑_GBK" w:cs="方正魏碑_GBK"/>
          <w:color w:val="ff0000"/>
          <w:highlight w:val="none"/>
          <w:shd w:val="clear" w:color="auto" w:fill="ffffff"/>
        </w:rPr>
        <w:t xml:space="preserve">在中国境内完成。</w:t>
      </w:r>
      <w:r/>
    </w:p>
    <w:p>
      <w:pPr>
        <w:pStyle w:val="779"/>
        <w:ind w:firstLine="420"/>
        <w:spacing w:before="30" w:beforeAutospacing="0" w:after="30" w:afterAutospacing="0" w:line="0" w:lineRule="atLeast"/>
        <w:rPr>
          <w:rFonts w:hint="eastAsia" w:ascii="方正魏碑_GBK" w:hAnsi="方正魏碑_GBK" w:eastAsia="方正魏碑_GBK" w:cs="方正魏碑_GBK"/>
          <w:color w:val="ff0000"/>
          <w:highlight w:val="none"/>
        </w:rPr>
      </w:pPr>
      <w:r>
        <w:rPr>
          <w:rFonts w:hint="eastAsia" w:ascii="方正魏碑_GBK" w:hAnsi="方正魏碑_GBK" w:eastAsia="方正魏碑_GBK" w:cs="方正魏碑_GBK"/>
          <w:color w:val="ff0000"/>
          <w:highlight w:val="none"/>
          <w:shd w:val="clear" w:color="auto" w:fill="ffffff"/>
        </w:rPr>
        <w:t xml:space="preserve">……</w:t>
      </w:r>
      <w:r/>
    </w:p>
    <w:p>
      <w:pPr>
        <w:pStyle w:val="779"/>
        <w:ind w:firstLine="420"/>
        <w:spacing w:before="30" w:beforeAutospacing="0" w:after="30" w:afterAutospacing="0" w:line="0" w:lineRule="atLeast"/>
        <w:rPr>
          <w:rFonts w:hint="eastAsia" w:ascii="方正魏碑_GBK" w:hAnsi="方正魏碑_GBK" w:eastAsia="方正魏碑_GBK" w:cs="方正魏碑_GBK"/>
          <w:color w:val="ff0000"/>
          <w:highlight w:val="none"/>
        </w:rPr>
      </w:pPr>
      <w:r>
        <w:rPr>
          <w:rFonts w:hint="eastAsia" w:ascii="方正魏碑_GBK" w:hAnsi="方正魏碑_GBK" w:eastAsia="方正魏碑_GBK" w:cs="方正魏碑_GBK"/>
          <w:color w:val="ff0000"/>
          <w:highlight w:val="none"/>
          <w:shd w:val="clear" w:color="auto" w:fill="ffffff"/>
        </w:rPr>
        <w:t xml:space="preserve">本公司（单位）对上述声明内容的真实性负责。如有虚假，愿承担相应法律责任。</w:t>
      </w:r>
      <w:r/>
    </w:p>
    <w:p>
      <w:pPr>
        <w:pStyle w:val="779"/>
        <w:spacing w:before="30" w:beforeAutospacing="0" w:after="30" w:afterAutospacing="0" w:line="0" w:lineRule="atLeast"/>
        <w:rPr>
          <w:rFonts w:hint="eastAsia" w:ascii="方正魏碑_GBK" w:hAnsi="方正魏碑_GBK" w:eastAsia="方正魏碑_GBK" w:cs="方正魏碑_GBK"/>
          <w:color w:val="ff0000"/>
          <w:highlight w:val="none"/>
        </w:rPr>
      </w:pPr>
      <w:r>
        <w:rPr>
          <w:rFonts w:hint="eastAsia" w:ascii="方正魏碑_GBK" w:hAnsi="方正魏碑_GBK" w:eastAsia="方正魏碑_GBK" w:cs="方正魏碑_GBK"/>
          <w:color w:val="ff0000"/>
          <w:highlight w:val="none"/>
        </w:rPr>
      </w:r>
      <w:r/>
    </w:p>
    <w:p>
      <w:pPr>
        <w:pStyle w:val="779"/>
        <w:ind w:right="480" w:firstLine="3720"/>
        <w:spacing w:before="30" w:beforeAutospacing="0" w:after="30" w:afterAutospacing="0" w:line="0" w:lineRule="atLeast"/>
        <w:rPr>
          <w:rFonts w:hint="eastAsia" w:ascii="方正魏碑_GBK" w:hAnsi="方正魏碑_GBK" w:eastAsia="方正魏碑_GBK" w:cs="方正魏碑_GBK"/>
          <w:color w:val="ff0000"/>
          <w:highlight w:val="none"/>
        </w:rPr>
      </w:pPr>
      <w:r>
        <w:rPr>
          <w:rFonts w:hint="eastAsia" w:ascii="方正魏碑_GBK" w:hAnsi="方正魏碑_GBK" w:eastAsia="方正魏碑_GBK" w:cs="方正魏碑_GBK"/>
          <w:color w:val="ff0000"/>
          <w:highlight w:val="none"/>
          <w:shd w:val="clear" w:color="auto" w:fill="ffffff"/>
        </w:rPr>
        <w:t xml:space="preserve">公司（单位）名称（盖章）：　        </w:t>
      </w:r>
      <w:r/>
    </w:p>
    <w:p>
      <w:pPr>
        <w:pStyle w:val="779"/>
        <w:jc w:val="center"/>
        <w:spacing w:before="30" w:beforeAutospacing="0" w:after="30" w:afterAutospacing="0" w:line="0" w:lineRule="atLeast"/>
        <w:rPr>
          <w:rFonts w:hint="eastAsia" w:ascii="方正魏碑_GBK" w:hAnsi="方正魏碑_GBK" w:eastAsia="方正魏碑_GBK" w:cs="方正魏碑_GBK"/>
          <w:color w:val="ff0000"/>
          <w:highlight w:val="none"/>
        </w:rPr>
      </w:pPr>
      <w:r>
        <w:rPr>
          <w:rFonts w:hint="eastAsia" w:ascii="方正魏碑_GBK" w:hAnsi="方正魏碑_GBK" w:eastAsia="方正魏碑_GBK" w:cs="方正魏碑_GBK"/>
          <w:color w:val="ff0000"/>
          <w:highlight w:val="none"/>
          <w:shd w:val="clear" w:color="auto" w:fill="ffffff"/>
        </w:rPr>
        <w:t xml:space="preserve">                    </w:t>
      </w:r>
      <w:r>
        <w:rPr>
          <w:rFonts w:ascii="方正魏碑_GBK" w:hAnsi="方正魏碑_GBK" w:eastAsia="方正魏碑_GBK" w:cs="方正魏碑_GBK"/>
          <w:color w:val="ff0000"/>
          <w:highlight w:val="none"/>
          <w:shd w:val="clear" w:color="auto" w:fill="ffffff"/>
        </w:rPr>
        <w:t xml:space="preserve">            </w:t>
      </w:r>
      <w:r>
        <w:rPr>
          <w:rFonts w:hint="eastAsia" w:ascii="方正魏碑_GBK" w:hAnsi="方正魏碑_GBK" w:eastAsia="方正魏碑_GBK" w:cs="方正魏碑_GBK"/>
          <w:color w:val="ff0000"/>
          <w:highlight w:val="none"/>
          <w:shd w:val="clear" w:color="auto" w:fill="ffffff"/>
        </w:rPr>
        <w:t xml:space="preserve">日期：　   年　  月　  日         </w:t>
      </w:r>
      <w:r/>
    </w:p>
    <w:p>
      <w:pPr>
        <w:pStyle w:val="779"/>
        <w:spacing w:before="30" w:beforeAutospacing="0" w:after="30" w:afterAutospacing="0" w:line="0" w:lineRule="atLeast"/>
        <w:rPr>
          <w:rFonts w:hint="eastAsia" w:ascii="方正魏碑_GBK" w:hAnsi="方正魏碑_GBK" w:eastAsia="方正魏碑_GBK" w:cs="方正魏碑_GBK"/>
          <w:color w:val="ff0000"/>
          <w:highlight w:val="none"/>
        </w:rPr>
      </w:pPr>
      <w:r>
        <w:rPr>
          <w:rFonts w:hint="eastAsia" w:ascii="方正魏碑_GBK" w:hAnsi="方正魏碑_GBK" w:eastAsia="方正魏碑_GBK" w:cs="方正魏碑_GBK"/>
          <w:color w:val="ff0000"/>
          <w:highlight w:val="none"/>
          <w:shd w:val="clear" w:color="auto" w:fill="ffffff"/>
        </w:rPr>
        <w:t xml:space="preserve">__________________</w:t>
      </w:r>
      <w:r/>
    </w:p>
    <w:p>
      <w:pPr>
        <w:pStyle w:val="779"/>
        <w:spacing w:before="30" w:beforeAutospacing="0" w:after="30" w:afterAutospacing="0" w:line="0" w:lineRule="atLeast"/>
        <w:rPr>
          <w:rFonts w:hint="eastAsia" w:ascii="方正魏碑_GBK" w:hAnsi="方正魏碑_GBK" w:eastAsia="方正魏碑_GBK" w:cs="方正魏碑_GBK"/>
          <w:color w:val="ff0000"/>
          <w:sz w:val="22"/>
          <w:highlight w:val="none"/>
        </w:rPr>
      </w:pPr>
      <w:r>
        <w:rPr>
          <w:rFonts w:hint="eastAsia" w:ascii="方正魏碑_GBK" w:hAnsi="方正魏碑_GBK" w:eastAsia="方正魏碑_GBK" w:cs="方正魏碑_GBK"/>
          <w:color w:val="ff0000"/>
          <w:sz w:val="22"/>
          <w:highlight w:val="none"/>
          <w:shd w:val="clear" w:color="auto" w:fill="ffffff"/>
        </w:rPr>
        <w:t xml:space="preserve">1.产品如有型号，请在“产品名称”栏一并填写。</w:t>
      </w:r>
      <w:r/>
    </w:p>
    <w:p>
      <w:pPr>
        <w:pStyle w:val="779"/>
        <w:spacing w:before="30" w:beforeAutospacing="0" w:after="30" w:afterAutospacing="0" w:line="0" w:lineRule="atLeast"/>
        <w:rPr>
          <w:rFonts w:hint="eastAsia" w:ascii="方正魏碑_GBK" w:hAnsi="方正魏碑_GBK" w:eastAsia="方正魏碑_GBK" w:cs="方正魏碑_GBK"/>
          <w:color w:val="ff0000"/>
          <w:sz w:val="22"/>
          <w:highlight w:val="none"/>
        </w:rPr>
      </w:pPr>
      <w:r>
        <w:rPr>
          <w:rFonts w:hint="eastAsia" w:ascii="方正魏碑_GBK" w:hAnsi="方正魏碑_GBK" w:eastAsia="方正魏碑_GBK" w:cs="方正魏碑_GBK"/>
          <w:color w:val="ff0000"/>
          <w:sz w:val="22"/>
          <w:highlight w:val="none"/>
          <w:shd w:val="clear" w:color="auto" w:fill="ffffff"/>
        </w:rPr>
        <w:t xml:space="preserve">2.生产厂名与厂址应与生产厂营业执照载明的相关信息保持一致。</w:t>
      </w:r>
      <w:r/>
    </w:p>
    <w:p>
      <w:pPr>
        <w:pStyle w:val="779"/>
        <w:spacing w:before="30" w:beforeAutospacing="0" w:after="30" w:afterAutospacing="0" w:line="0" w:lineRule="atLeast"/>
        <w:rPr>
          <w:rFonts w:hint="eastAsia" w:ascii="方正魏碑_GBK" w:hAnsi="方正魏碑_GBK" w:eastAsia="方正魏碑_GBK" w:cs="方正魏碑_GBK"/>
          <w:color w:val="ff0000"/>
          <w:sz w:val="22"/>
          <w:highlight w:val="none"/>
        </w:rPr>
      </w:pPr>
      <w:r>
        <w:rPr>
          <w:rFonts w:hint="eastAsia" w:ascii="方正魏碑_GBK" w:hAnsi="方正魏碑_GBK" w:eastAsia="方正魏碑_GBK" w:cs="方正魏碑_GBK"/>
          <w:color w:val="ff0000"/>
          <w:sz w:val="22"/>
          <w:highlight w:val="none"/>
          <w:shd w:val="clear" w:color="auto" w:fill="ffffff"/>
        </w:rPr>
        <w:t xml:space="preserve">3.该产品的中国境内生产的组件成本占比相关要求实施前，“规定比例”栏可不填，下同。</w:t>
      </w:r>
      <w:r/>
    </w:p>
    <w:p>
      <w:pPr>
        <w:pStyle w:val="779"/>
        <w:spacing w:before="30" w:beforeAutospacing="0" w:after="30" w:afterAutospacing="0" w:line="0" w:lineRule="atLeast"/>
        <w:rPr>
          <w:rFonts w:hint="eastAsia" w:ascii="方正魏碑_GBK" w:hAnsi="方正魏碑_GBK" w:eastAsia="方正魏碑_GBK" w:cs="方正魏碑_GBK"/>
          <w:color w:val="ff0000"/>
          <w:sz w:val="22"/>
          <w:highlight w:val="none"/>
        </w:rPr>
      </w:pPr>
      <w:r>
        <w:rPr>
          <w:rFonts w:hint="eastAsia" w:ascii="方正魏碑_GBK" w:hAnsi="方正魏碑_GBK" w:eastAsia="方正魏碑_GBK" w:cs="方正魏碑_GBK"/>
          <w:color w:val="ff0000"/>
          <w:sz w:val="22"/>
          <w:highlight w:val="none"/>
          <w:shd w:val="clear" w:color="auto" w:fill="ffffff"/>
        </w:rPr>
        <w:t xml:space="preserve">4.该产品的关键组件要求实施前，“关键组件”栏可不填，下同。</w:t>
      </w:r>
      <w:r/>
    </w:p>
    <w:p>
      <w:pPr>
        <w:pStyle w:val="779"/>
        <w:spacing w:before="30" w:beforeAutospacing="0" w:after="30" w:afterAutospacing="0" w:line="0" w:lineRule="atLeast"/>
        <w:rPr>
          <w:rFonts w:hint="eastAsia" w:ascii="方正魏碑_GBK" w:hAnsi="方正魏碑_GBK" w:eastAsia="方正魏碑_GBK" w:cs="方正魏碑_GBK"/>
          <w:color w:val="ff0000"/>
          <w:sz w:val="22"/>
          <w:highlight w:val="none"/>
          <w:shd w:val="clear" w:color="auto" w:fill="ffffff"/>
        </w:rPr>
      </w:pPr>
      <w:r>
        <w:rPr>
          <w:rFonts w:hint="eastAsia" w:ascii="方正魏碑_GBK" w:hAnsi="方正魏碑_GBK" w:eastAsia="方正魏碑_GBK" w:cs="方正魏碑_GBK"/>
          <w:color w:val="ff0000"/>
          <w:sz w:val="22"/>
          <w:highlight w:val="none"/>
          <w:shd w:val="clear" w:color="auto" w:fill="ffffff"/>
        </w:rPr>
        <w:t xml:space="preserve">5.该产品的关键工序要求实施前，“关键工序”栏可不填，下同。</w:t>
      </w:r>
      <w:r/>
    </w:p>
    <w:p>
      <w:pPr>
        <w:pStyle w:val="779"/>
        <w:spacing w:before="30" w:beforeAutospacing="0" w:after="30" w:afterAutospacing="0" w:line="0" w:lineRule="atLeast"/>
        <w:rPr>
          <w:rFonts w:hint="eastAsia" w:ascii="方正魏碑_GBK" w:hAnsi="方正魏碑_GBK" w:eastAsia="方正魏碑_GBK" w:cs="方正魏碑_GBK"/>
          <w:color w:val="ff0000"/>
          <w:sz w:val="22"/>
          <w:highlight w:val="none"/>
          <w:shd w:val="clear" w:color="auto" w:fill="ffffff"/>
        </w:rPr>
      </w:pPr>
      <w:r>
        <w:rPr>
          <w:rFonts w:hint="eastAsia" w:ascii="方正魏碑_GBK" w:hAnsi="方正魏碑_GBK" w:eastAsia="方正魏碑_GBK" w:cs="方正魏碑_GBK"/>
          <w:color w:val="ff0000"/>
          <w:sz w:val="22"/>
          <w:highlight w:val="none"/>
          <w:shd w:val="clear" w:color="auto" w:fill="ffffff"/>
        </w:rPr>
        <w:t xml:space="preserve">6.用斜线划除的地方无需填写。</w:t>
      </w:r>
      <w:r/>
    </w:p>
    <w:p>
      <w:pPr>
        <w:jc w:val="left"/>
        <w:keepLines/>
        <w:spacing w:before="120" w:after="120" w:line="416" w:lineRule="auto"/>
        <w:rPr>
          <w:rFonts w:eastAsia="黑体"/>
          <w:b/>
          <w:sz w:val="32"/>
          <w:szCs w:val="32"/>
          <w:highlight w:val="none"/>
        </w:rPr>
        <w:outlineLvl w:val="1"/>
      </w:pPr>
      <w:r>
        <w:rPr>
          <w:rFonts w:eastAsia="黑体"/>
          <w:b/>
          <w:sz w:val="32"/>
          <w:szCs w:val="32"/>
          <w:highlight w:val="none"/>
        </w:rPr>
        <w:br w:type="page" w:clear="all"/>
      </w:r>
      <w:r>
        <w:rPr>
          <w:rFonts w:hint="eastAsia" w:eastAsia="黑体"/>
          <w:b/>
          <w:sz w:val="32"/>
          <w:szCs w:val="32"/>
          <w:highlight w:val="none"/>
        </w:rPr>
        <w:t xml:space="preserve">八、技术及商务要求响应及偏离表（分包号：**）</w:t>
      </w:r>
      <w:r/>
    </w:p>
    <w:p>
      <w:pPr>
        <w:jc w:val="center"/>
        <w:widowControl/>
        <w:rPr>
          <w:rFonts w:hint="eastAsia" w:ascii="宋体" w:hAnsi="宋体" w:eastAsia="宋体" w:cs="宋体"/>
          <w:sz w:val="24"/>
          <w:szCs w:val="24"/>
          <w:highlight w:val="none"/>
        </w:rPr>
      </w:pPr>
      <w:r>
        <w:rPr>
          <w:rFonts w:hint="eastAsia" w:ascii="黑体" w:hAnsi="黑体" w:eastAsia="黑体" w:cs="宋体"/>
          <w:b/>
          <w:bCs/>
          <w:color w:val="000000"/>
          <w:sz w:val="32"/>
          <w:szCs w:val="32"/>
          <w:highlight w:val="none"/>
        </w:rPr>
        <w:t xml:space="preserve">技术要求响应及偏离表</w:t>
      </w:r>
      <w:r/>
    </w:p>
    <w:tbl>
      <w:tblPr>
        <w:tblStyle w:val="756"/>
        <w:tblW w:w="0" w:type="auto"/>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招标文件要求</w:t>
            </w:r>
            <w:r/>
          </w:p>
        </w:tc>
        <w:tc>
          <w:tcPr>
            <w:tcBorders>
              <w:top w:val="single" w:color="000000" w:sz="8"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投标响应情况</w:t>
            </w:r>
            <w:r/>
          </w:p>
        </w:tc>
        <w:tc>
          <w:tcPr>
            <w:tcBorders>
              <w:top w:val="single" w:color="000000" w:sz="8"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超出、符合或偏离</w:t>
            </w:r>
            <w:r/>
          </w:p>
        </w:tc>
        <w:tc>
          <w:tcPr>
            <w:tcBorders>
              <w:top w:val="single" w:color="000000" w:sz="8"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证明</w:t>
            </w:r>
            <w:r/>
          </w:p>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r>
    </w:tbl>
    <w:p>
      <w:pPr>
        <w:spacing w:line="588" w:lineRule="exact"/>
        <w:rPr>
          <w:rFonts w:eastAsia="宋体"/>
          <w:sz w:val="24"/>
          <w:szCs w:val="21"/>
          <w:highlight w:val="none"/>
        </w:rPr>
      </w:pPr>
      <w:r>
        <w:rPr>
          <w:rFonts w:hint="eastAsia" w:eastAsia="宋体"/>
          <w:sz w:val="24"/>
          <w:szCs w:val="21"/>
          <w:highlight w:val="none"/>
        </w:rPr>
        <w:t xml:space="preserve">4.行数不够，可自行添加。</w:t>
      </w:r>
      <w:r/>
    </w:p>
    <w:p>
      <w:pPr>
        <w:jc w:val="center"/>
        <w:rPr>
          <w:rFonts w:eastAsia="黑体"/>
          <w:b/>
          <w:sz w:val="36"/>
          <w:szCs w:val="21"/>
          <w:highlight w:val="none"/>
        </w:rPr>
      </w:pPr>
      <w:r>
        <w:rPr>
          <w:rFonts w:eastAsia="黑体"/>
          <w:b/>
          <w:sz w:val="36"/>
          <w:szCs w:val="21"/>
          <w:highlight w:val="none"/>
        </w:rPr>
      </w:r>
      <w:r/>
    </w:p>
    <w:p>
      <w:pPr>
        <w:pStyle w:val="759"/>
        <w:rPr>
          <w:highlight w:val="none"/>
        </w:rPr>
      </w:pPr>
      <w:r>
        <w:rPr>
          <w:highlight w:val="none"/>
        </w:rPr>
      </w:r>
      <w:r/>
    </w:p>
    <w:p>
      <w:pPr>
        <w:rPr>
          <w:highlight w:val="none"/>
        </w:rPr>
      </w:pPr>
      <w:r>
        <w:rPr>
          <w:highlight w:val="none"/>
        </w:rPr>
      </w:r>
      <w:r/>
    </w:p>
    <w:p>
      <w:pPr>
        <w:pStyle w:val="759"/>
        <w:rPr>
          <w:highlight w:val="none"/>
        </w:rPr>
      </w:pPr>
      <w:r>
        <w:rPr>
          <w:highlight w:val="none"/>
        </w:rPr>
      </w:r>
      <w:r/>
    </w:p>
    <w:p>
      <w:pPr>
        <w:rPr>
          <w:highlight w:val="none"/>
        </w:rPr>
      </w:pPr>
      <w:r>
        <w:rPr>
          <w:highlight w:val="none"/>
        </w:rPr>
      </w:r>
      <w:r/>
    </w:p>
    <w:p>
      <w:pPr>
        <w:pStyle w:val="759"/>
        <w:rPr>
          <w:highlight w:val="none"/>
        </w:rPr>
      </w:pPr>
      <w:r>
        <w:rPr>
          <w:highlight w:val="none"/>
        </w:rPr>
      </w:r>
      <w:r/>
    </w:p>
    <w:p>
      <w:pPr>
        <w:rPr>
          <w:highlight w:val="none"/>
        </w:rPr>
      </w:pPr>
      <w:r>
        <w:rPr>
          <w:highlight w:val="none"/>
        </w:rPr>
      </w:r>
      <w:r/>
    </w:p>
    <w:p>
      <w:pPr>
        <w:pStyle w:val="759"/>
        <w:rPr>
          <w:highlight w:val="none"/>
        </w:rPr>
      </w:pPr>
      <w:r>
        <w:rPr>
          <w:highlight w:val="none"/>
        </w:rPr>
      </w:r>
      <w:r/>
    </w:p>
    <w:p>
      <w:pPr>
        <w:pStyle w:val="759"/>
        <w:rPr>
          <w:highlight w:val="none"/>
        </w:rPr>
      </w:pPr>
      <w:r>
        <w:rPr>
          <w:highlight w:val="none"/>
        </w:rPr>
      </w:r>
      <w:r/>
    </w:p>
    <w:p>
      <w:pPr>
        <w:pStyle w:val="759"/>
        <w:rPr>
          <w:highlight w:val="none"/>
        </w:rPr>
      </w:pPr>
      <w:r>
        <w:rPr>
          <w:highlight w:val="none"/>
        </w:rPr>
      </w:r>
      <w:r/>
    </w:p>
    <w:p>
      <w:pPr>
        <w:pStyle w:val="759"/>
        <w:rPr>
          <w:highlight w:val="none"/>
        </w:rPr>
      </w:pPr>
      <w:r>
        <w:rPr>
          <w:highlight w:val="none"/>
        </w:rPr>
      </w:r>
      <w:r/>
    </w:p>
    <w:p>
      <w:pPr>
        <w:pStyle w:val="759"/>
        <w:rPr>
          <w:highlight w:val="none"/>
        </w:rPr>
      </w:pPr>
      <w:r>
        <w:rPr>
          <w:highlight w:val="none"/>
        </w:rPr>
      </w:r>
      <w:r/>
    </w:p>
    <w:p>
      <w:pPr>
        <w:pStyle w:val="759"/>
        <w:rPr>
          <w:highlight w:val="none"/>
        </w:rPr>
      </w:pPr>
      <w:r>
        <w:rPr>
          <w:highlight w:val="none"/>
        </w:rPr>
      </w:r>
      <w:r/>
    </w:p>
    <w:p>
      <w:pPr>
        <w:rPr>
          <w:highlight w:val="none"/>
        </w:rPr>
      </w:pPr>
      <w:r>
        <w:rPr>
          <w:highlight w:val="none"/>
        </w:rPr>
      </w:r>
      <w:r/>
    </w:p>
    <w:p>
      <w:pPr>
        <w:pStyle w:val="759"/>
        <w:rPr>
          <w:highlight w:val="none"/>
        </w:rPr>
      </w:pPr>
      <w:r>
        <w:rPr>
          <w:highlight w:val="none"/>
        </w:rPr>
      </w:r>
      <w:r/>
    </w:p>
    <w:p>
      <w:pPr>
        <w:pStyle w:val="759"/>
        <w:rPr>
          <w:highlight w:val="none"/>
        </w:rPr>
      </w:pPr>
      <w:r>
        <w:rPr>
          <w:highlight w:val="none"/>
        </w:rPr>
      </w:r>
      <w:r/>
    </w:p>
    <w:p>
      <w:pPr>
        <w:jc w:val="center"/>
        <w:widowControl/>
        <w:rPr>
          <w:rFonts w:hint="eastAsia" w:ascii="宋体" w:hAnsi="宋体" w:eastAsia="宋体" w:cs="宋体"/>
          <w:sz w:val="24"/>
          <w:szCs w:val="24"/>
          <w:highlight w:val="none"/>
        </w:rPr>
      </w:pPr>
      <w:r>
        <w:rPr>
          <w:rFonts w:hint="eastAsia" w:ascii="黑体" w:hAnsi="黑体" w:eastAsia="黑体" w:cs="宋体"/>
          <w:b/>
          <w:bCs/>
          <w:color w:val="000000"/>
          <w:sz w:val="32"/>
          <w:szCs w:val="32"/>
          <w:highlight w:val="none"/>
        </w:rPr>
        <w:t xml:space="preserve">商务要求响应及偏离表</w:t>
      </w:r>
      <w:r/>
    </w:p>
    <w:tbl>
      <w:tblPr>
        <w:tblStyle w:val="756"/>
        <w:tblW w:w="0" w:type="auto"/>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招标文件要求</w:t>
            </w:r>
            <w:r/>
          </w:p>
        </w:tc>
        <w:tc>
          <w:tcPr>
            <w:tcBorders>
              <w:top w:val="single" w:color="000000" w:sz="8"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投标响应情况</w:t>
            </w:r>
            <w:r/>
          </w:p>
        </w:tc>
        <w:tc>
          <w:tcPr>
            <w:tcBorders>
              <w:top w:val="single" w:color="000000" w:sz="8"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超出、符合或偏离</w:t>
            </w:r>
            <w:r/>
          </w:p>
        </w:tc>
        <w:tc>
          <w:tcPr>
            <w:tcBorders>
              <w:top w:val="single" w:color="000000" w:sz="8"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证明</w:t>
            </w:r>
            <w:r/>
          </w:p>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r>
    </w:tbl>
    <w:p>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注： 行数不够，可自行添加。</w:t>
      </w:r>
      <w:r/>
    </w:p>
    <w:p>
      <w:pPr>
        <w:jc w:val="left"/>
        <w:widowControl/>
        <w:rPr>
          <w:rFonts w:eastAsia="黑体" w:cs="黑体"/>
          <w:b/>
          <w:sz w:val="32"/>
          <w:szCs w:val="24"/>
          <w:highlight w:val="none"/>
        </w:rPr>
        <w:outlineLvl w:val="1"/>
      </w:pPr>
      <w:r>
        <w:rPr>
          <w:rFonts w:eastAsia="黑体" w:cs="黑体"/>
          <w:b/>
          <w:sz w:val="32"/>
          <w:szCs w:val="24"/>
          <w:highlight w:val="none"/>
        </w:rPr>
      </w:r>
      <w:r/>
    </w:p>
    <w:p>
      <w:pPr>
        <w:jc w:val="left"/>
        <w:widowControl/>
        <w:rPr>
          <w:rFonts w:eastAsia="黑体" w:cs="黑体"/>
          <w:b/>
          <w:sz w:val="32"/>
          <w:szCs w:val="24"/>
          <w:highlight w:val="none"/>
        </w:rPr>
        <w:outlineLvl w:val="1"/>
      </w:pPr>
      <w:r>
        <w:rPr>
          <w:rFonts w:eastAsia="黑体" w:cs="黑体"/>
          <w:b/>
          <w:sz w:val="32"/>
          <w:szCs w:val="24"/>
          <w:highlight w:val="none"/>
        </w:rPr>
      </w:r>
      <w:r/>
    </w:p>
    <w:p>
      <w:pPr>
        <w:jc w:val="left"/>
        <w:widowControl/>
        <w:rPr>
          <w:rFonts w:eastAsia="黑体" w:cs="黑体"/>
          <w:b/>
          <w:sz w:val="32"/>
          <w:szCs w:val="24"/>
          <w:highlight w:val="none"/>
        </w:rPr>
        <w:outlineLvl w:val="1"/>
      </w:pPr>
      <w:r>
        <w:rPr>
          <w:rFonts w:eastAsia="黑体" w:cs="黑体"/>
          <w:b/>
          <w:sz w:val="32"/>
          <w:szCs w:val="24"/>
          <w:highlight w:val="none"/>
        </w:rPr>
      </w:r>
      <w:r/>
    </w:p>
    <w:p>
      <w:pPr>
        <w:pStyle w:val="759"/>
        <w:rPr>
          <w:highlight w:val="none"/>
        </w:rPr>
      </w:pPr>
      <w:r>
        <w:rPr>
          <w:highlight w:val="none"/>
        </w:rPr>
      </w:r>
      <w:r/>
    </w:p>
    <w:p>
      <w:pPr>
        <w:rPr>
          <w:highlight w:val="none"/>
        </w:rPr>
      </w:pPr>
      <w:r>
        <w:rPr>
          <w:highlight w:val="none"/>
        </w:rPr>
      </w:r>
      <w:r/>
    </w:p>
    <w:p>
      <w:pPr>
        <w:pStyle w:val="759"/>
        <w:rPr>
          <w:highlight w:val="none"/>
        </w:rPr>
      </w:pPr>
      <w:r>
        <w:rPr>
          <w:highlight w:val="none"/>
        </w:rPr>
      </w:r>
      <w:r/>
    </w:p>
    <w:p>
      <w:pPr>
        <w:rPr>
          <w:highlight w:val="none"/>
        </w:rPr>
      </w:pPr>
      <w:r>
        <w:rPr>
          <w:highlight w:val="none"/>
        </w:rPr>
      </w:r>
      <w:r/>
    </w:p>
    <w:p>
      <w:pPr>
        <w:pStyle w:val="759"/>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759"/>
        <w:rPr>
          <w:highlight w:val="none"/>
        </w:rPr>
      </w:pPr>
      <w:r>
        <w:rPr>
          <w:highlight w:val="none"/>
        </w:rPr>
      </w:r>
      <w:r/>
    </w:p>
    <w:p>
      <w:pPr>
        <w:rPr>
          <w:highlight w:val="none"/>
        </w:rPr>
      </w:pPr>
      <w:r>
        <w:rPr>
          <w:highlight w:val="none"/>
        </w:rPr>
      </w:r>
      <w:r/>
    </w:p>
    <w:p>
      <w:pPr>
        <w:pStyle w:val="759"/>
        <w:rPr>
          <w:highlight w:val="none"/>
        </w:rPr>
      </w:pPr>
      <w:r>
        <w:rPr>
          <w:highlight w:val="none"/>
        </w:rPr>
      </w:r>
      <w:r/>
    </w:p>
    <w:p>
      <w:pPr>
        <w:pStyle w:val="759"/>
        <w:rPr>
          <w:highlight w:val="none"/>
        </w:rPr>
      </w:pPr>
      <w:r>
        <w:rPr>
          <w:highlight w:val="none"/>
        </w:rPr>
      </w:r>
      <w:r/>
    </w:p>
    <w:p>
      <w:pPr>
        <w:jc w:val="left"/>
        <w:widowControl/>
        <w:rPr>
          <w:rFonts w:eastAsia="黑体" w:cs="黑体"/>
          <w:b/>
          <w:sz w:val="32"/>
          <w:szCs w:val="24"/>
          <w:highlight w:val="none"/>
        </w:rPr>
        <w:outlineLvl w:val="1"/>
      </w:pPr>
      <w:r>
        <w:rPr>
          <w:rFonts w:hint="eastAsia" w:eastAsia="黑体" w:cs="黑体"/>
          <w:b/>
          <w:sz w:val="32"/>
          <w:szCs w:val="24"/>
          <w:highlight w:val="none"/>
        </w:rPr>
        <w:t xml:space="preserve">九、</w:t>
      </w:r>
      <w:r>
        <w:rPr>
          <w:rFonts w:eastAsia="黑体" w:cs="黑体"/>
          <w:b/>
          <w:sz w:val="32"/>
          <w:szCs w:val="24"/>
          <w:highlight w:val="none"/>
        </w:rPr>
        <w:t xml:space="preserve">项目组人员</w:t>
      </w:r>
      <w:r>
        <w:rPr>
          <w:rFonts w:hint="eastAsia" w:eastAsia="黑体" w:cs="黑体"/>
          <w:b/>
          <w:sz w:val="32"/>
          <w:szCs w:val="24"/>
          <w:highlight w:val="none"/>
        </w:rPr>
        <w:t xml:space="preserve">（如有）</w:t>
      </w:r>
      <w:r/>
    </w:p>
    <w:p>
      <w:pPr>
        <w:jc w:val="center"/>
        <w:spacing w:before="100" w:beforeAutospacing="1" w:after="100" w:afterAutospacing="1" w:line="600" w:lineRule="exact"/>
        <w:widowControl/>
        <w:rPr>
          <w:rFonts w:eastAsia="宋体" w:cs="宋体"/>
          <w:b/>
          <w:bCs/>
          <w:sz w:val="32"/>
          <w:szCs w:val="32"/>
          <w:highlight w:val="none"/>
        </w:rPr>
      </w:pPr>
      <w:r>
        <w:rPr>
          <w:rFonts w:hint="eastAsia" w:eastAsia="宋体" w:cs="宋体"/>
          <w:b/>
          <w:bCs/>
          <w:sz w:val="32"/>
          <w:szCs w:val="32"/>
          <w:highlight w:val="none"/>
        </w:rPr>
        <w:t xml:space="preserve">项目组成员</w:t>
      </w:r>
      <w:r/>
    </w:p>
    <w:tbl>
      <w:tblPr>
        <w:tblStyle w:val="756"/>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1" w:line="560" w:lineRule="exact"/>
              <w:widowControl/>
              <w:rPr>
                <w:rFonts w:eastAsia="仿宋_GB2312" w:cs="仿宋_GB2312"/>
                <w:sz w:val="28"/>
                <w:szCs w:val="28"/>
                <w:highlight w:val="none"/>
              </w:rPr>
            </w:pPr>
            <w:r>
              <w:rPr>
                <w:rFonts w:eastAsia="仿宋_GB2312" w:cs="仿宋_GB2312"/>
                <w:sz w:val="28"/>
                <w:szCs w:val="28"/>
                <w:highlight w:val="none"/>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Autospacing="1" w:line="560" w:lineRule="exact"/>
              <w:widowControl/>
              <w:rPr>
                <w:rFonts w:eastAsia="仿宋_GB2312" w:cs="仿宋_GB2312"/>
                <w:sz w:val="28"/>
                <w:szCs w:val="28"/>
                <w:highlight w:val="none"/>
              </w:rPr>
            </w:pPr>
            <w:r>
              <w:rPr>
                <w:rFonts w:eastAsia="仿宋_GB2312" w:cs="仿宋_GB2312"/>
                <w:sz w:val="28"/>
                <w:szCs w:val="28"/>
                <w:highlight w:val="none"/>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1" w:line="560" w:lineRule="exact"/>
              <w:widowControl/>
              <w:rPr>
                <w:rFonts w:eastAsia="仿宋_GB2312" w:cs="仿宋_GB2312"/>
                <w:sz w:val="28"/>
                <w:szCs w:val="28"/>
                <w:highlight w:val="none"/>
              </w:rPr>
            </w:pPr>
            <w:r>
              <w:rPr>
                <w:rFonts w:eastAsia="仿宋_GB2312" w:cs="仿宋_GB2312"/>
                <w:sz w:val="28"/>
                <w:szCs w:val="28"/>
                <w:highlight w:val="none"/>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80"/>
              <w:spacing w:beforeAutospacing="1" w:line="560" w:lineRule="exact"/>
              <w:widowControl/>
              <w:rPr>
                <w:rFonts w:eastAsia="仿宋_GB2312" w:cs="仿宋_GB2312"/>
                <w:sz w:val="28"/>
                <w:szCs w:val="28"/>
                <w:highlight w:val="none"/>
              </w:rPr>
            </w:pPr>
            <w:r>
              <w:rPr>
                <w:rFonts w:eastAsia="仿宋_GB2312" w:cs="仿宋_GB2312"/>
                <w:sz w:val="28"/>
                <w:szCs w:val="28"/>
                <w:highlight w:val="none"/>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beforeAutospacing="1" w:line="560" w:lineRule="exact"/>
              <w:widowControl/>
              <w:rPr>
                <w:rFonts w:eastAsia="仿宋_GB2312" w:cs="仿宋_GB2312"/>
                <w:sz w:val="28"/>
                <w:szCs w:val="28"/>
                <w:highlight w:val="none"/>
              </w:rPr>
            </w:pPr>
            <w:r>
              <w:rPr>
                <w:rFonts w:eastAsia="仿宋_GB2312" w:cs="仿宋_GB2312"/>
                <w:sz w:val="28"/>
                <w:szCs w:val="28"/>
                <w:highlight w:val="none"/>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spacing w:beforeAutospacing="1" w:line="560" w:lineRule="exact"/>
              <w:widowControl/>
              <w:rPr>
                <w:rFonts w:eastAsia="仿宋_GB2312" w:cs="仿宋_GB2312"/>
                <w:sz w:val="28"/>
                <w:szCs w:val="28"/>
                <w:highlight w:val="none"/>
              </w:rPr>
            </w:pPr>
            <w:r>
              <w:rPr>
                <w:rFonts w:eastAsia="仿宋_GB2312" w:cs="仿宋_GB2312"/>
                <w:sz w:val="28"/>
                <w:szCs w:val="28"/>
                <w:highlight w:val="none"/>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eastAsia="宋体" w:cs="宋体"/>
                <w:sz w:val="20"/>
                <w:highlight w:val="none"/>
              </w:rPr>
            </w:pPr>
            <w:r>
              <w:rPr>
                <w:rFonts w:hint="eastAsia" w:eastAsia="仿宋_GB2312" w:cs="仿宋_GB2312"/>
                <w:sz w:val="28"/>
                <w:szCs w:val="28"/>
                <w:highlight w:val="none"/>
              </w:rPr>
              <w:t xml:space="preserve">项目经理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eastAsia="仿宋_GB2312" w:cs="仿宋_GB2312"/>
                <w:sz w:val="28"/>
                <w:szCs w:val="28"/>
                <w:highlight w:val="none"/>
              </w:rPr>
            </w:pPr>
            <w:r>
              <w:rPr>
                <w:rFonts w:eastAsia="仿宋_GB2312" w:cs="仿宋_GB2312"/>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280"/>
              <w:jc w:val="left"/>
              <w:spacing w:before="100" w:beforeAutospacing="1" w:after="100" w:afterAutospacing="1"/>
              <w:widowControl/>
              <w:rPr>
                <w:rFonts w:eastAsia="仿宋_GB2312" w:cs="仿宋_GB2312"/>
                <w:sz w:val="28"/>
                <w:szCs w:val="28"/>
                <w:highlight w:val="none"/>
              </w:rPr>
            </w:pPr>
            <w:r>
              <w:rPr>
                <w:rFonts w:eastAsia="仿宋_GB2312" w:cs="仿宋_GB2312"/>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r>
    </w:tbl>
    <w:p>
      <w:pPr>
        <w:ind w:firstLine="398"/>
        <w:jc w:val="left"/>
        <w:spacing w:before="100" w:beforeAutospacing="1" w:after="100" w:afterAutospacing="1" w:line="460" w:lineRule="exact"/>
        <w:widowControl/>
        <w:rPr>
          <w:rFonts w:eastAsia="仿宋_GB2312" w:cs="仿宋_GB2312"/>
          <w:sz w:val="24"/>
          <w:szCs w:val="24"/>
          <w:highlight w:val="none"/>
        </w:rPr>
      </w:pPr>
      <w:r>
        <w:rPr>
          <w:rFonts w:eastAsia="仿宋_GB2312" w:cs="仿宋_GB2312"/>
          <w:b/>
          <w:sz w:val="24"/>
          <w:szCs w:val="24"/>
          <w:highlight w:val="none"/>
        </w:rPr>
        <w:t xml:space="preserve">注：如供应商中标，项目组成员必须按本表承诺人员操作，不得随意更换。按投标文件要求附相关人员证书。</w:t>
      </w:r>
      <w:r/>
    </w:p>
    <w:p>
      <w:pPr>
        <w:ind w:firstLine="280"/>
        <w:jc w:val="left"/>
        <w:spacing w:before="100" w:beforeAutospacing="1" w:after="100" w:afterAutospacing="1" w:line="500" w:lineRule="exact"/>
        <w:widowControl/>
        <w:rPr>
          <w:rFonts w:eastAsia="仿宋_GB2312" w:cs="仿宋_GB2312"/>
          <w:sz w:val="24"/>
          <w:szCs w:val="24"/>
          <w:highlight w:val="none"/>
        </w:rPr>
      </w:pPr>
      <w:r>
        <w:rPr>
          <w:rFonts w:eastAsia="仿宋_GB2312" w:cs="仿宋_GB2312"/>
          <w:sz w:val="24"/>
          <w:szCs w:val="24"/>
          <w:highlight w:val="none"/>
        </w:rPr>
      </w:r>
      <w:r/>
    </w:p>
    <w:p>
      <w:pPr>
        <w:spacing w:line="500" w:lineRule="exact"/>
        <w:rPr>
          <w:rFonts w:eastAsia="宋体"/>
          <w:sz w:val="21"/>
          <w:szCs w:val="24"/>
          <w:highlight w:val="none"/>
        </w:rPr>
      </w:pPr>
      <w:r>
        <w:rPr>
          <w:rFonts w:eastAsia="宋体"/>
          <w:sz w:val="21"/>
          <w:szCs w:val="24"/>
          <w:highlight w:val="none"/>
        </w:rPr>
        <w:br w:type="page" w:clear="all"/>
      </w:r>
      <w:bookmarkStart w:id="55" w:name="_Toc11176"/>
      <w:r>
        <w:rPr>
          <w:rFonts w:hint="eastAsia" w:eastAsia="黑体" w:cs="黑体"/>
          <w:b/>
          <w:sz w:val="32"/>
          <w:szCs w:val="24"/>
          <w:highlight w:val="none"/>
        </w:rPr>
        <w:t xml:space="preserve">十、</w:t>
      </w:r>
      <w:bookmarkEnd w:id="55"/>
      <w:r>
        <w:rPr>
          <w:rFonts w:hint="eastAsia" w:eastAsia="黑体" w:cs="黑体"/>
          <w:b/>
          <w:sz w:val="32"/>
          <w:szCs w:val="24"/>
          <w:highlight w:val="none"/>
        </w:rPr>
        <w:t xml:space="preserve">企业业绩（如有）</w:t>
      </w:r>
      <w:r/>
    </w:p>
    <w:p>
      <w:pPr>
        <w:jc w:val="center"/>
        <w:rPr>
          <w:rFonts w:eastAsia="宋体"/>
          <w:b/>
          <w:sz w:val="32"/>
          <w:szCs w:val="32"/>
          <w:highlight w:val="none"/>
        </w:rPr>
      </w:pPr>
      <w:r>
        <w:rPr>
          <w:rFonts w:hint="eastAsia" w:eastAsia="宋体"/>
          <w:b/>
          <w:sz w:val="32"/>
          <w:szCs w:val="32"/>
          <w:highlight w:val="none"/>
        </w:rPr>
        <w:t xml:space="preserve">投标人承担类似项目业绩一览表</w:t>
      </w:r>
      <w:r/>
    </w:p>
    <w:tbl>
      <w:tblPr>
        <w:tblStyle w:val="756"/>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jc w:val="center"/>
              <w:spacing w:line="560" w:lineRule="exact"/>
              <w:rPr>
                <w:rFonts w:eastAsia="仿宋_GB2312"/>
                <w:sz w:val="28"/>
                <w:szCs w:val="28"/>
                <w:highlight w:val="none"/>
              </w:rPr>
            </w:pPr>
            <w:r>
              <w:rPr>
                <w:rFonts w:hint="eastAsia" w:eastAsia="仿宋_GB2312"/>
                <w:sz w:val="28"/>
                <w:szCs w:val="28"/>
                <w:highlight w:val="none"/>
              </w:rPr>
              <w:t xml:space="preserve">序号</w:t>
            </w:r>
            <w:r/>
          </w:p>
        </w:tc>
        <w:tc>
          <w:tcPr>
            <w:tcW w:w="3827" w:type="dxa"/>
            <w:vAlign w:val="center"/>
            <w:textDirection w:val="lrTb"/>
            <w:noWrap w:val="false"/>
          </w:tcPr>
          <w:p>
            <w:pPr>
              <w:jc w:val="center"/>
              <w:spacing w:line="560" w:lineRule="exact"/>
              <w:rPr>
                <w:rFonts w:eastAsia="仿宋_GB2312"/>
                <w:sz w:val="28"/>
                <w:szCs w:val="28"/>
                <w:highlight w:val="none"/>
              </w:rPr>
            </w:pPr>
            <w:r>
              <w:rPr>
                <w:rFonts w:hint="eastAsia" w:eastAsia="仿宋_GB2312"/>
                <w:sz w:val="28"/>
                <w:szCs w:val="28"/>
                <w:highlight w:val="none"/>
              </w:rPr>
              <w:t xml:space="preserve">项目名称</w:t>
            </w:r>
            <w:r/>
          </w:p>
        </w:tc>
        <w:tc>
          <w:tcPr>
            <w:tcW w:w="2433" w:type="dxa"/>
            <w:vAlign w:val="center"/>
            <w:textDirection w:val="lrTb"/>
            <w:noWrap w:val="false"/>
          </w:tcPr>
          <w:p>
            <w:pPr>
              <w:jc w:val="center"/>
              <w:spacing w:line="560" w:lineRule="exact"/>
              <w:rPr>
                <w:rFonts w:eastAsia="仿宋_GB2312"/>
                <w:sz w:val="28"/>
                <w:szCs w:val="28"/>
                <w:highlight w:val="none"/>
              </w:rPr>
            </w:pPr>
            <w:r>
              <w:rPr>
                <w:rFonts w:hint="eastAsia" w:eastAsia="仿宋_GB2312"/>
                <w:sz w:val="28"/>
                <w:szCs w:val="28"/>
                <w:highlight w:val="none"/>
              </w:rPr>
              <w:t xml:space="preserve">采购单位</w:t>
            </w:r>
            <w:r/>
          </w:p>
        </w:tc>
        <w:tc>
          <w:tcPr>
            <w:tcW w:w="1395" w:type="dxa"/>
            <w:vAlign w:val="center"/>
            <w:textDirection w:val="lrTb"/>
            <w:noWrap w:val="false"/>
          </w:tcPr>
          <w:p>
            <w:pPr>
              <w:jc w:val="center"/>
              <w:spacing w:line="560" w:lineRule="exact"/>
              <w:rPr>
                <w:rFonts w:eastAsia="仿宋_GB2312"/>
                <w:sz w:val="28"/>
                <w:szCs w:val="28"/>
                <w:highlight w:val="none"/>
              </w:rPr>
            </w:pPr>
            <w:r>
              <w:rPr>
                <w:rFonts w:hint="eastAsia" w:eastAsia="仿宋_GB2312"/>
                <w:sz w:val="28"/>
                <w:szCs w:val="28"/>
                <w:highlight w:val="none"/>
              </w:rPr>
              <w:t xml:space="preserve">合同金额</w:t>
            </w:r>
            <w:r/>
          </w:p>
        </w:tc>
      </w:tr>
      <w:tr>
        <w:trPr>
          <w:jc w:val="center"/>
          <w:trHeight w:val="1510"/>
        </w:trPr>
        <w:tc>
          <w:tcPr>
            <w:tcW w:w="1229" w:type="dxa"/>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p>
        </w:tc>
        <w:tc>
          <w:tcPr>
            <w:tcW w:w="3827" w:type="dxa"/>
            <w:vAlign w:val="center"/>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p>
        </w:tc>
        <w:tc>
          <w:tcPr>
            <w:tcW w:w="2433" w:type="dxa"/>
            <w:vAlign w:val="center"/>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p>
        </w:tc>
        <w:tc>
          <w:tcPr>
            <w:tcW w:w="1395" w:type="dxa"/>
            <w:vAlign w:val="center"/>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p>
        </w:tc>
      </w:tr>
      <w:tr>
        <w:trPr>
          <w:jc w:val="center"/>
          <w:trHeight w:val="1510"/>
        </w:trPr>
        <w:tc>
          <w:tcPr>
            <w:tcW w:w="1229" w:type="dxa"/>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p>
        </w:tc>
        <w:tc>
          <w:tcPr>
            <w:tcW w:w="3827" w:type="dxa"/>
            <w:vAlign w:val="center"/>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p>
        </w:tc>
        <w:tc>
          <w:tcPr>
            <w:tcW w:w="2433" w:type="dxa"/>
            <w:vAlign w:val="center"/>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p>
        </w:tc>
        <w:tc>
          <w:tcPr>
            <w:tcW w:w="1395" w:type="dxa"/>
            <w:vAlign w:val="center"/>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p>
        </w:tc>
      </w:tr>
      <w:tr>
        <w:trPr>
          <w:jc w:val="center"/>
          <w:trHeight w:val="1510"/>
        </w:trPr>
        <w:tc>
          <w:tcPr>
            <w:tcW w:w="1229" w:type="dxa"/>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p>
        </w:tc>
        <w:tc>
          <w:tcPr>
            <w:tcW w:w="3827" w:type="dxa"/>
            <w:vAlign w:val="center"/>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p>
        </w:tc>
        <w:tc>
          <w:tcPr>
            <w:tcW w:w="2433" w:type="dxa"/>
            <w:vAlign w:val="center"/>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p>
        </w:tc>
        <w:tc>
          <w:tcPr>
            <w:tcW w:w="1395" w:type="dxa"/>
            <w:vAlign w:val="center"/>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p>
        </w:tc>
      </w:tr>
      <w:tr>
        <w:trPr>
          <w:jc w:val="center"/>
          <w:trHeight w:val="1525"/>
        </w:trPr>
        <w:tc>
          <w:tcPr>
            <w:tcW w:w="1229" w:type="dxa"/>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p>
        </w:tc>
        <w:tc>
          <w:tcPr>
            <w:tcW w:w="3827" w:type="dxa"/>
            <w:vAlign w:val="center"/>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p>
        </w:tc>
        <w:tc>
          <w:tcPr>
            <w:tcW w:w="2433" w:type="dxa"/>
            <w:vAlign w:val="center"/>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p>
        </w:tc>
        <w:tc>
          <w:tcPr>
            <w:tcW w:w="1395" w:type="dxa"/>
            <w:vAlign w:val="center"/>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p>
        </w:tc>
      </w:tr>
    </w:tbl>
    <w:p>
      <w:pPr>
        <w:rPr>
          <w:rFonts w:eastAsia="宋体"/>
          <w:sz w:val="21"/>
          <w:szCs w:val="22"/>
          <w:highlight w:val="none"/>
        </w:rPr>
      </w:pPr>
      <w:r>
        <w:rPr>
          <w:rFonts w:hint="eastAsia" w:eastAsia="仿宋_GB2312"/>
          <w:b/>
          <w:sz w:val="24"/>
          <w:szCs w:val="22"/>
          <w:highlight w:val="none"/>
        </w:rPr>
        <w:t xml:space="preserve">注：请填写此表，并按要求上传业绩资料电子件。</w:t>
      </w:r>
      <w:r/>
    </w:p>
    <w:p>
      <w:pPr>
        <w:jc w:val="left"/>
        <w:widowControl/>
        <w:rPr>
          <w:rFonts w:eastAsia="黑体" w:cs="黑体"/>
          <w:b/>
          <w:sz w:val="32"/>
          <w:szCs w:val="24"/>
          <w:highlight w:val="none"/>
        </w:rPr>
        <w:outlineLvl w:val="1"/>
      </w:pPr>
      <w:r>
        <w:rPr>
          <w:rFonts w:eastAsia="黑体" w:cs="黑体"/>
          <w:b/>
          <w:sz w:val="32"/>
          <w:szCs w:val="24"/>
          <w:highlight w:val="none"/>
        </w:rPr>
        <w:br w:type="page" w:clear="all"/>
      </w:r>
      <w:bookmarkStart w:id="56" w:name="_Toc28140"/>
      <w:r>
        <w:rPr>
          <w:rFonts w:hint="eastAsia" w:eastAsia="黑体" w:cs="黑体"/>
          <w:b/>
          <w:sz w:val="32"/>
          <w:szCs w:val="24"/>
          <w:highlight w:val="none"/>
        </w:rPr>
        <w:t xml:space="preserve">十一</w:t>
      </w:r>
      <w:r>
        <w:rPr>
          <w:rFonts w:eastAsia="黑体" w:cs="黑体"/>
          <w:b/>
          <w:sz w:val="32"/>
          <w:szCs w:val="24"/>
          <w:highlight w:val="none"/>
        </w:rPr>
        <w:t xml:space="preserve">、投标所需其他材料</w:t>
      </w:r>
      <w:bookmarkEnd w:id="56"/>
      <w:r/>
      <w:r/>
    </w:p>
    <w:p>
      <w:pPr>
        <w:ind w:firstLine="560"/>
        <w:spacing w:line="360" w:lineRule="auto"/>
        <w:rPr>
          <w:rFonts w:eastAsia="仿宋_GB2312"/>
          <w:sz w:val="28"/>
          <w:szCs w:val="28"/>
          <w:highlight w:val="none"/>
        </w:rPr>
      </w:pPr>
      <w:r>
        <w:rPr>
          <w:rFonts w:hint="eastAsia" w:eastAsia="仿宋_GB2312"/>
          <w:sz w:val="28"/>
          <w:szCs w:val="28"/>
          <w:highlight w:val="none"/>
        </w:rPr>
        <w:t xml:space="preserve">请在此文档中增加投标所需其他相关内容，如没有请将此空文档上传。</w:t>
      </w:r>
      <w:r/>
    </w:p>
    <w:p>
      <w:pPr>
        <w:rPr>
          <w:rFonts w:eastAsia="宋体"/>
          <w:sz w:val="20"/>
          <w:szCs w:val="21"/>
          <w:highlight w:val="none"/>
        </w:rPr>
      </w:pPr>
      <w:r>
        <w:rPr>
          <w:rFonts w:hint="eastAsia" w:eastAsia="宋体"/>
          <w:sz w:val="20"/>
          <w:szCs w:val="21"/>
          <w:highlight w:val="none"/>
        </w:rPr>
        <w:t xml:space="preserve"> </w:t>
      </w:r>
      <w:r/>
    </w:p>
    <w:p>
      <w:pPr>
        <w:rPr>
          <w:rFonts w:eastAsia="宋体"/>
          <w:sz w:val="21"/>
          <w:szCs w:val="21"/>
          <w:highlight w:val="none"/>
        </w:rPr>
      </w:pPr>
      <w:r>
        <w:rPr>
          <w:rFonts w:eastAsia="宋体"/>
          <w:sz w:val="21"/>
          <w:szCs w:val="21"/>
          <w:highlight w:val="none"/>
        </w:rPr>
      </w:r>
      <w:r/>
    </w:p>
    <w:p>
      <w:pPr>
        <w:rPr>
          <w:rFonts w:eastAsia="黑体"/>
          <w:sz w:val="32"/>
          <w:szCs w:val="21"/>
          <w:highlight w:val="none"/>
        </w:rPr>
      </w:pPr>
      <w:r>
        <w:rPr>
          <w:rFonts w:eastAsia="黑体"/>
          <w:sz w:val="32"/>
          <w:szCs w:val="21"/>
          <w:highlight w:val="none"/>
        </w:rPr>
      </w:r>
      <w:r/>
    </w:p>
    <w:p>
      <w:pPr>
        <w:rPr>
          <w:rFonts w:eastAsia="黑体"/>
          <w:sz w:val="32"/>
          <w:szCs w:val="21"/>
          <w:highlight w:val="none"/>
        </w:rPr>
      </w:pPr>
      <w:r>
        <w:rPr>
          <w:rFonts w:eastAsia="黑体"/>
          <w:sz w:val="32"/>
          <w:szCs w:val="21"/>
          <w:highlight w:val="none"/>
        </w:rPr>
      </w:r>
      <w:r/>
    </w:p>
    <w:p>
      <w:pPr>
        <w:rPr>
          <w:rFonts w:eastAsia="黑体"/>
          <w:sz w:val="32"/>
          <w:szCs w:val="21"/>
          <w:highlight w:val="none"/>
        </w:rPr>
      </w:pPr>
      <w:r>
        <w:rPr>
          <w:rFonts w:eastAsia="黑体"/>
          <w:sz w:val="32"/>
          <w:szCs w:val="21"/>
          <w:highlight w:val="none"/>
        </w:rPr>
      </w:r>
      <w:bookmarkEnd w:id="51"/>
      <w:r/>
    </w:p>
    <w:p>
      <w:pPr>
        <w:rPr>
          <w:rFonts w:eastAsia="黑体"/>
          <w:sz w:val="32"/>
          <w:szCs w:val="21"/>
          <w:highlight w:val="none"/>
        </w:rPr>
      </w:pPr>
      <w:r>
        <w:rPr>
          <w:rFonts w:eastAsia="黑体"/>
          <w:sz w:val="32"/>
          <w:szCs w:val="21"/>
          <w:highlight w:val="none"/>
        </w:rPr>
      </w:r>
      <w:r/>
    </w:p>
    <w:p>
      <w:pPr>
        <w:spacing w:line="480" w:lineRule="auto"/>
        <w:rPr>
          <w:rFonts w:eastAsia="宋体"/>
          <w:sz w:val="24"/>
          <w:szCs w:val="21"/>
          <w:highlight w:val="none"/>
        </w:rPr>
      </w:pPr>
      <w:r>
        <w:rPr>
          <w:rFonts w:eastAsia="宋体"/>
          <w:sz w:val="24"/>
          <w:szCs w:val="21"/>
          <w:highlight w:val="none"/>
        </w:rPr>
      </w:r>
      <w:r/>
    </w:p>
    <w:p>
      <w:pPr>
        <w:spacing w:line="480" w:lineRule="auto"/>
        <w:rPr>
          <w:rFonts w:eastAsia="宋体"/>
          <w:sz w:val="30"/>
          <w:szCs w:val="21"/>
          <w:highlight w:val="none"/>
        </w:rPr>
      </w:pPr>
      <w:r>
        <w:rPr>
          <w:rFonts w:eastAsia="宋体"/>
          <w:sz w:val="30"/>
          <w:szCs w:val="21"/>
          <w:highlight w:val="none"/>
        </w:rPr>
      </w:r>
      <w:r/>
    </w:p>
    <w:p>
      <w:pPr>
        <w:rPr>
          <w:rFonts w:eastAsia="宋体"/>
          <w:sz w:val="24"/>
          <w:szCs w:val="21"/>
          <w:highlight w:val="none"/>
        </w:rPr>
      </w:pPr>
      <w:r/>
      <w:bookmarkStart w:id="57" w:name="_Hlt26609389"/>
      <w:r/>
      <w:bookmarkEnd w:id="57"/>
      <w:r/>
      <w:bookmarkStart w:id="58" w:name="_Hlt26671374"/>
      <w:r/>
      <w:bookmarkEnd w:id="58"/>
      <w:r/>
      <w:bookmarkStart w:id="59" w:name="_Hlt26955066"/>
      <w:r/>
      <w:bookmarkEnd w:id="59"/>
      <w:r/>
      <w:bookmarkStart w:id="60" w:name="_Toc462564146"/>
      <w:r/>
      <w:r/>
    </w:p>
    <w:p>
      <w:pPr>
        <w:rPr>
          <w:rFonts w:eastAsia="宋体"/>
          <w:sz w:val="24"/>
          <w:szCs w:val="21"/>
          <w:highlight w:val="none"/>
        </w:rPr>
      </w:pPr>
      <w:r>
        <w:rPr>
          <w:rFonts w:eastAsia="宋体"/>
          <w:sz w:val="24"/>
          <w:szCs w:val="21"/>
          <w:highlight w:val="none"/>
        </w:rPr>
      </w:r>
      <w:r/>
    </w:p>
    <w:p>
      <w:pPr>
        <w:ind w:firstLine="480"/>
        <w:jc w:val="left"/>
        <w:spacing w:line="560" w:lineRule="exact"/>
        <w:rPr>
          <w:rFonts w:eastAsia="仿宋_GB2312" w:cs="仿宋_GB2312"/>
          <w:sz w:val="24"/>
          <w:szCs w:val="32"/>
          <w:highlight w:val="none"/>
          <w:lang w:val="zh-TW"/>
        </w:rPr>
      </w:pPr>
      <w:r>
        <w:rPr>
          <w:rFonts w:eastAsia="仿宋_GB2312" w:cs="仿宋_GB2312"/>
          <w:sz w:val="24"/>
          <w:szCs w:val="32"/>
          <w:highlight w:val="none"/>
          <w:lang w:val="zh-TW"/>
        </w:rPr>
      </w:r>
      <w:r/>
    </w:p>
    <w:p>
      <w:pPr>
        <w:ind w:firstLine="480"/>
        <w:jc w:val="left"/>
        <w:spacing w:line="560" w:lineRule="exact"/>
        <w:rPr>
          <w:rFonts w:eastAsia="仿宋_GB2312" w:cs="仿宋_GB2312"/>
          <w:sz w:val="24"/>
          <w:szCs w:val="32"/>
          <w:highlight w:val="none"/>
          <w:lang w:val="zh-TW"/>
        </w:rPr>
      </w:pPr>
      <w:r>
        <w:rPr>
          <w:rFonts w:eastAsia="仿宋_GB2312" w:cs="仿宋_GB2312"/>
          <w:sz w:val="24"/>
          <w:szCs w:val="32"/>
          <w:highlight w:val="none"/>
          <w:lang w:val="zh-TW"/>
        </w:rPr>
      </w:r>
      <w:r/>
    </w:p>
    <w:p>
      <w:pPr>
        <w:ind w:firstLine="480"/>
        <w:jc w:val="left"/>
        <w:spacing w:line="560" w:lineRule="exact"/>
        <w:rPr>
          <w:rFonts w:eastAsia="仿宋_GB2312" w:cs="仿宋_GB2312"/>
          <w:sz w:val="24"/>
          <w:szCs w:val="32"/>
          <w:highlight w:val="none"/>
          <w:lang w:val="zh-TW"/>
        </w:rPr>
      </w:pPr>
      <w:r>
        <w:rPr>
          <w:rFonts w:eastAsia="仿宋_GB2312" w:cs="仿宋_GB2312"/>
          <w:sz w:val="24"/>
          <w:szCs w:val="32"/>
          <w:highlight w:val="none"/>
          <w:lang w:val="zh-TW"/>
        </w:rPr>
      </w:r>
      <w:r/>
    </w:p>
    <w:p>
      <w:pPr>
        <w:ind w:firstLine="480"/>
        <w:jc w:val="left"/>
        <w:spacing w:line="560" w:lineRule="exact"/>
        <w:rPr>
          <w:rFonts w:eastAsia="仿宋_GB2312" w:cs="仿宋_GB2312"/>
          <w:sz w:val="24"/>
          <w:szCs w:val="32"/>
          <w:highlight w:val="none"/>
          <w:lang w:val="zh-TW"/>
        </w:rPr>
      </w:pPr>
      <w:r>
        <w:rPr>
          <w:rFonts w:eastAsia="仿宋_GB2312" w:cs="仿宋_GB2312"/>
          <w:sz w:val="24"/>
          <w:szCs w:val="32"/>
          <w:highlight w:val="none"/>
          <w:lang w:val="zh-TW"/>
        </w:rPr>
      </w:r>
      <w:r/>
    </w:p>
    <w:p>
      <w:pPr>
        <w:ind w:firstLine="480"/>
        <w:jc w:val="left"/>
        <w:spacing w:line="560" w:lineRule="exact"/>
        <w:rPr>
          <w:rFonts w:eastAsia="仿宋_GB2312" w:cs="仿宋_GB2312"/>
          <w:sz w:val="24"/>
          <w:szCs w:val="32"/>
          <w:highlight w:val="none"/>
          <w:lang w:val="zh-TW"/>
        </w:rPr>
      </w:pPr>
      <w:r>
        <w:rPr>
          <w:rFonts w:eastAsia="仿宋_GB2312" w:cs="仿宋_GB2312"/>
          <w:sz w:val="24"/>
          <w:szCs w:val="32"/>
          <w:highlight w:val="none"/>
          <w:lang w:val="zh-TW"/>
        </w:rPr>
      </w:r>
      <w:bookmarkEnd w:id="60"/>
      <w:r/>
    </w:p>
    <w:p>
      <w:pPr>
        <w:ind w:firstLine="480"/>
        <w:jc w:val="left"/>
        <w:spacing w:line="560" w:lineRule="exact"/>
        <w:rPr>
          <w:rFonts w:eastAsia="仿宋_GB2312" w:cs="仿宋_GB2312"/>
          <w:sz w:val="24"/>
          <w:szCs w:val="32"/>
          <w:highlight w:val="none"/>
          <w:lang w:val="zh-TW"/>
        </w:rPr>
      </w:pPr>
      <w:r>
        <w:rPr>
          <w:rFonts w:eastAsia="仿宋_GB2312" w:cs="仿宋_GB2312"/>
          <w:sz w:val="24"/>
          <w:szCs w:val="32"/>
          <w:highlight w:val="none"/>
          <w:lang w:val="zh-TW"/>
        </w:rPr>
      </w:r>
      <w:r/>
    </w:p>
    <w:p>
      <w:pPr>
        <w:tabs>
          <w:tab w:val="left" w:pos="1275" w:leader="none"/>
        </w:tabs>
        <w:rPr>
          <w:rFonts w:hint="eastAsia" w:eastAsia="黑体"/>
          <w:b/>
          <w:bCs/>
          <w:sz w:val="32"/>
          <w:szCs w:val="32"/>
          <w:highlight w:val="none"/>
        </w:rPr>
      </w:pPr>
      <w:r/>
      <w:bookmarkStart w:id="61" w:name="_格式2__法定代表人授权书"/>
      <w:r/>
      <w:bookmarkEnd w:id="61"/>
      <w:r>
        <w:rPr>
          <w:rFonts w:hint="eastAsia" w:eastAsia="黑体"/>
          <w:b/>
          <w:sz w:val="32"/>
          <w:szCs w:val="32"/>
          <w:highlight w:val="none"/>
        </w:rPr>
        <w:tab/>
      </w:r>
      <w:r/>
    </w:p>
    <w:p>
      <w:pPr>
        <w:tabs>
          <w:tab w:val="left" w:pos="1275" w:leader="none"/>
        </w:tabs>
        <w:rPr>
          <w:rFonts w:eastAsia="黑体"/>
          <w:b/>
          <w:bCs/>
          <w:sz w:val="32"/>
          <w:szCs w:val="32"/>
          <w:highlight w:val="none"/>
        </w:rPr>
      </w:pPr>
      <w:r>
        <w:rPr>
          <w:rFonts w:eastAsia="黑体"/>
          <w:b/>
          <w:bCs/>
          <w:sz w:val="32"/>
          <w:szCs w:val="32"/>
          <w:highlight w:val="none"/>
        </w:rPr>
      </w:r>
      <w:r/>
    </w:p>
    <w:p>
      <w:pPr>
        <w:tabs>
          <w:tab w:val="left" w:pos="1275" w:leader="none"/>
        </w:tabs>
        <w:rPr>
          <w:rFonts w:eastAsia="黑体"/>
          <w:b/>
          <w:bCs/>
          <w:sz w:val="32"/>
          <w:szCs w:val="32"/>
          <w:highlight w:val="none"/>
        </w:rPr>
      </w:pPr>
      <w:r>
        <w:rPr>
          <w:rFonts w:eastAsia="黑体"/>
          <w:b/>
          <w:bCs/>
          <w:sz w:val="32"/>
          <w:szCs w:val="32"/>
          <w:highlight w:val="none"/>
        </w:rPr>
      </w:r>
      <w:r/>
    </w:p>
    <w:p>
      <w:pPr>
        <w:tabs>
          <w:tab w:val="left" w:pos="1275" w:leader="none"/>
        </w:tabs>
        <w:rPr>
          <w:rFonts w:eastAsia="黑体"/>
          <w:b/>
          <w:bCs/>
          <w:sz w:val="32"/>
          <w:szCs w:val="32"/>
          <w:highlight w:val="none"/>
        </w:rPr>
      </w:pPr>
      <w:r>
        <w:rPr>
          <w:rFonts w:eastAsia="黑体"/>
          <w:b/>
          <w:bCs/>
          <w:sz w:val="32"/>
          <w:szCs w:val="32"/>
          <w:highlight w:val="none"/>
        </w:rPr>
      </w:r>
      <w:r/>
    </w:p>
    <w:p>
      <w:pPr>
        <w:tabs>
          <w:tab w:val="left" w:pos="1275" w:leader="none"/>
        </w:tabs>
        <w:rPr>
          <w:rFonts w:eastAsia="黑体"/>
          <w:b/>
          <w:bCs/>
          <w:sz w:val="32"/>
          <w:szCs w:val="32"/>
          <w:highlight w:val="none"/>
        </w:rPr>
      </w:pPr>
      <w:r>
        <w:rPr>
          <w:rFonts w:eastAsia="黑体"/>
          <w:b/>
          <w:bCs/>
          <w:sz w:val="32"/>
          <w:szCs w:val="32"/>
          <w:highlight w:val="none"/>
        </w:rPr>
      </w:r>
      <w:r/>
    </w:p>
    <w:p>
      <w:pPr>
        <w:tabs>
          <w:tab w:val="left" w:pos="1275" w:leader="none"/>
        </w:tabs>
        <w:rPr>
          <w:rFonts w:eastAsia="黑体"/>
          <w:b/>
          <w:bCs/>
          <w:sz w:val="32"/>
          <w:szCs w:val="32"/>
          <w:highlight w:val="none"/>
        </w:rPr>
      </w:pPr>
      <w:r>
        <w:rPr>
          <w:rFonts w:eastAsia="黑体"/>
          <w:b/>
          <w:bCs/>
          <w:sz w:val="32"/>
          <w:szCs w:val="32"/>
          <w:highlight w:val="none"/>
        </w:rPr>
      </w:r>
      <w:r/>
    </w:p>
    <w:p>
      <w:pPr>
        <w:tabs>
          <w:tab w:val="left" w:pos="1275" w:leader="none"/>
        </w:tabs>
        <w:rPr>
          <w:rFonts w:eastAsia="黑体"/>
          <w:b/>
          <w:bCs/>
          <w:sz w:val="32"/>
          <w:szCs w:val="32"/>
          <w:highlight w:val="none"/>
        </w:rPr>
      </w:pPr>
      <w:r>
        <w:rPr>
          <w:rFonts w:eastAsia="黑体"/>
          <w:b/>
          <w:bCs/>
          <w:sz w:val="32"/>
          <w:szCs w:val="32"/>
          <w:highlight w:val="none"/>
        </w:rPr>
      </w:r>
      <w:r/>
    </w:p>
    <w:p>
      <w:pPr>
        <w:tabs>
          <w:tab w:val="left" w:pos="1275" w:leader="none"/>
        </w:tabs>
        <w:rPr>
          <w:rFonts w:eastAsia="黑体"/>
          <w:b/>
          <w:bCs/>
          <w:sz w:val="32"/>
          <w:szCs w:val="32"/>
          <w:highlight w:val="none"/>
        </w:rPr>
      </w:pPr>
      <w:r>
        <w:rPr>
          <w:rFonts w:eastAsia="黑体"/>
          <w:b/>
          <w:bCs/>
          <w:sz w:val="32"/>
          <w:szCs w:val="32"/>
          <w:highlight w:val="none"/>
        </w:rPr>
      </w:r>
      <w:r/>
    </w:p>
    <w:p>
      <w:pPr>
        <w:tabs>
          <w:tab w:val="left" w:pos="1275" w:leader="none"/>
        </w:tabs>
        <w:rPr>
          <w:rFonts w:eastAsia="黑体"/>
          <w:b/>
          <w:bCs/>
          <w:sz w:val="32"/>
          <w:szCs w:val="32"/>
          <w:highlight w:val="none"/>
        </w:rPr>
      </w:pPr>
      <w:r>
        <w:rPr>
          <w:rFonts w:eastAsia="黑体"/>
          <w:b/>
          <w:bCs/>
          <w:sz w:val="32"/>
          <w:szCs w:val="32"/>
          <w:highlight w:val="none"/>
        </w:rPr>
      </w:r>
      <w:r/>
    </w:p>
    <w:p>
      <w:pPr>
        <w:tabs>
          <w:tab w:val="left" w:pos="1275" w:leader="none"/>
        </w:tabs>
        <w:rPr>
          <w:rFonts w:eastAsia="黑体"/>
          <w:b/>
          <w:sz w:val="32"/>
          <w:szCs w:val="32"/>
          <w:highlight w:val="none"/>
        </w:rPr>
      </w:pPr>
      <w:r>
        <w:rPr>
          <w:rFonts w:eastAsia="黑体"/>
          <w:b/>
          <w:sz w:val="32"/>
          <w:szCs w:val="32"/>
          <w:highlight w:val="none"/>
        </w:rPr>
      </w:r>
      <w:r/>
    </w:p>
    <w:p>
      <w:pPr>
        <w:rPr>
          <w:rFonts w:eastAsia="黑体"/>
          <w:b/>
          <w:sz w:val="32"/>
          <w:szCs w:val="32"/>
          <w:highlight w:val="none"/>
        </w:rPr>
      </w:pPr>
      <w:r>
        <w:rPr>
          <w:rFonts w:eastAsia="黑体"/>
          <w:b/>
          <w:sz w:val="32"/>
          <w:szCs w:val="32"/>
          <w:highlight w:val="none"/>
        </w:rPr>
      </w:r>
      <w:r/>
    </w:p>
    <w:p>
      <w:pPr>
        <w:jc w:val="center"/>
        <w:rPr>
          <w:rFonts w:eastAsia="宋体" w:cs="仿宋"/>
          <w:b/>
          <w:bCs/>
          <w:sz w:val="32"/>
          <w:szCs w:val="32"/>
          <w:highlight w:val="none"/>
        </w:rPr>
      </w:pPr>
      <w:r>
        <w:rPr>
          <w:rFonts w:eastAsia="宋体" w:cs="仿宋"/>
          <w:b/>
          <w:bCs/>
          <w:sz w:val="32"/>
          <w:szCs w:val="32"/>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rPr>
          <w:rFonts w:hint="eastAsia" w:asciiTheme="majorEastAsia" w:hAnsiTheme="majorEastAsia" w:eastAsiaTheme="majorEastAsia"/>
          <w:sz w:val="32"/>
          <w:szCs w:val="32"/>
          <w:highlight w:val="none"/>
        </w:rPr>
      </w:pPr>
      <w:r>
        <w:rPr>
          <w:rFonts w:hint="eastAsia" w:asciiTheme="majorEastAsia" w:hAnsiTheme="majorEastAsia" w:eastAsiaTheme="majorEastAsia"/>
          <w:sz w:val="32"/>
          <w:szCs w:val="32"/>
          <w:highlight w:val="none"/>
        </w:rPr>
        <w:t xml:space="preserve">十二、资格证明文件（参考格式）</w:t>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（说明：投标人须按“招标公告”的要求，并按下列格式提供相应的资格证明文件）　　　</w:t>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格式一：</w:t>
      </w:r>
      <w:r>
        <w:rPr>
          <w:rFonts w:asciiTheme="minorEastAsia" w:hAnsiTheme="minorEastAsia" w:eastAsiaTheme="minorEastAsia"/>
          <w:sz w:val="24"/>
          <w:szCs w:val="24"/>
          <w:highlight w:val="none"/>
        </w:rPr>
        <w:t xml:space="preserve">法人或者其他组织的营业执照等证明文件，自然人的身份证明</w:t>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格式二：上一年度的</w:t>
      </w:r>
      <w:r>
        <w:rPr>
          <w:rFonts w:asciiTheme="minorEastAsia" w:hAnsiTheme="minorEastAsia" w:eastAsiaTheme="minorEastAsia"/>
          <w:sz w:val="24"/>
          <w:szCs w:val="24"/>
          <w:highlight w:val="none"/>
        </w:rPr>
        <w:t xml:space="preserve">财务状况报告</w:t>
      </w:r>
      <w:r>
        <w:rPr>
          <w:rFonts w:hint="eastAsia" w:asciiTheme="minorEastAsia" w:hAnsiTheme="minorEastAsia" w:eastAsiaTheme="minorEastAsia"/>
          <w:sz w:val="24"/>
          <w:szCs w:val="24"/>
          <w:highlight w:val="none"/>
        </w:rPr>
        <w:t xml:space="preserve">（成立不满一年不需提供）</w:t>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格式三：</w:t>
      </w:r>
      <w:r>
        <w:rPr>
          <w:rFonts w:asciiTheme="minorEastAsia" w:hAnsiTheme="minorEastAsia" w:eastAsiaTheme="minorEastAsia"/>
          <w:sz w:val="24"/>
          <w:szCs w:val="24"/>
          <w:highlight w:val="none"/>
        </w:rPr>
        <w:t xml:space="preserve">依法缴纳税收和社会保障资金的相关材料</w:t>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格式四：具备履行合同所必需的设备和专业技术能力的书面声明</w:t>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格式五：</w:t>
      </w:r>
      <w:r>
        <w:rPr>
          <w:rFonts w:asciiTheme="minorEastAsia" w:hAnsiTheme="minorEastAsia" w:eastAsiaTheme="minorEastAsia"/>
          <w:sz w:val="24"/>
          <w:szCs w:val="24"/>
          <w:highlight w:val="none"/>
        </w:rPr>
        <w:t xml:space="preserve">参加政府采购活动前3年内在经营活动中没有重大违法记录的书面声明</w:t>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格式六：投标人</w:t>
      </w:r>
      <w:r>
        <w:rPr>
          <w:rFonts w:asciiTheme="minorEastAsia" w:hAnsiTheme="minorEastAsia" w:eastAsiaTheme="minorEastAsia"/>
          <w:sz w:val="24"/>
          <w:szCs w:val="24"/>
          <w:highlight w:val="none"/>
        </w:rPr>
        <w:t xml:space="preserve">及</w:t>
      </w:r>
      <w:r>
        <w:rPr>
          <w:rFonts w:hint="eastAsia" w:asciiTheme="minorEastAsia" w:hAnsiTheme="minorEastAsia" w:eastAsiaTheme="minorEastAsia"/>
          <w:sz w:val="24"/>
          <w:szCs w:val="24"/>
          <w:highlight w:val="none"/>
        </w:rPr>
        <w:t xml:space="preserve">投标产品（货物/</w:t>
      </w:r>
      <w:r>
        <w:rPr>
          <w:rFonts w:asciiTheme="minorEastAsia" w:hAnsiTheme="minorEastAsia" w:eastAsiaTheme="minorEastAsia"/>
          <w:sz w:val="24"/>
          <w:szCs w:val="24"/>
          <w:highlight w:val="none"/>
        </w:rPr>
        <w:t xml:space="preserve">服务</w:t>
      </w:r>
      <w:r>
        <w:rPr>
          <w:rFonts w:hint="eastAsia" w:asciiTheme="minorEastAsia" w:hAnsiTheme="minorEastAsia" w:eastAsiaTheme="minorEastAsia"/>
          <w:sz w:val="24"/>
          <w:szCs w:val="24"/>
          <w:highlight w:val="none"/>
        </w:rPr>
        <w:t xml:space="preserve">）资质证书（复印件）</w:t>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br w:type="page" w:clear="all"/>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格式一</w:t>
      </w:r>
      <w:r/>
    </w:p>
    <w:p>
      <w:pPr>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法人或者其他组织的营业执照等证明文件，自然人的身份证明</w:t>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br w:type="page" w:clear="all"/>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格式二</w:t>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上一年度的</w:t>
      </w:r>
      <w:r>
        <w:rPr>
          <w:rFonts w:asciiTheme="minorEastAsia" w:hAnsiTheme="minorEastAsia" w:eastAsiaTheme="minorEastAsia"/>
          <w:sz w:val="24"/>
          <w:szCs w:val="24"/>
          <w:highlight w:val="none"/>
        </w:rPr>
        <w:t xml:space="preserve">财务状况报告</w:t>
      </w:r>
      <w:r>
        <w:rPr>
          <w:rFonts w:hint="eastAsia" w:asciiTheme="minorEastAsia" w:hAnsiTheme="minorEastAsia" w:eastAsiaTheme="minorEastAsia"/>
          <w:sz w:val="24"/>
          <w:szCs w:val="24"/>
          <w:highlight w:val="none"/>
        </w:rPr>
        <w:t xml:space="preserve">（成立不满一年不需提供）</w:t>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单位：万元</w:t>
      </w:r>
      <w:r/>
    </w:p>
    <w:tbl>
      <w:tblPr>
        <w:tblStyle w:val="756"/>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序号</w:t>
            </w:r>
            <w:r/>
          </w:p>
        </w:tc>
        <w:tc>
          <w:tcPr>
            <w:tcW w:w="3346"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名称</w:t>
            </w:r>
            <w:r/>
          </w:p>
        </w:tc>
        <w:tc>
          <w:tcPr>
            <w:tcW w:w="1715"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c>
          <w:tcPr>
            <w:tcW w:w="1715"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c>
          <w:tcPr>
            <w:tcW w:w="1715"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r>
      <w:tr>
        <w:trPr>
          <w:trHeight w:val="405"/>
        </w:trPr>
        <w:tc>
          <w:tcPr>
            <w:tcW w:w="647"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w:t>
            </w:r>
            <w:r/>
          </w:p>
        </w:tc>
        <w:tc>
          <w:tcPr>
            <w:tcW w:w="3346"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注册资本</w:t>
            </w:r>
            <w:r/>
          </w:p>
        </w:tc>
        <w:tc>
          <w:tcPr>
            <w:tcW w:w="1715"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c>
          <w:tcPr>
            <w:tcW w:w="1715"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c>
          <w:tcPr>
            <w:tcW w:w="1715"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r>
      <w:tr>
        <w:trPr>
          <w:trHeight w:val="467"/>
        </w:trPr>
        <w:tc>
          <w:tcPr>
            <w:tcW w:w="647"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w:t>
            </w:r>
            <w:r/>
          </w:p>
        </w:tc>
        <w:tc>
          <w:tcPr>
            <w:tcW w:w="3346"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实收资本</w:t>
            </w:r>
            <w:r/>
          </w:p>
        </w:tc>
        <w:tc>
          <w:tcPr>
            <w:tcW w:w="1715"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c>
          <w:tcPr>
            <w:tcW w:w="1715"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c>
          <w:tcPr>
            <w:tcW w:w="1715"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r>
      <w:tr>
        <w:trPr>
          <w:trHeight w:val="459"/>
        </w:trPr>
        <w:tc>
          <w:tcPr>
            <w:tcW w:w="647"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3</w:t>
            </w:r>
            <w:r/>
          </w:p>
        </w:tc>
        <w:tc>
          <w:tcPr>
            <w:tcW w:w="3346"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全部资产总值</w:t>
            </w:r>
            <w:r/>
          </w:p>
        </w:tc>
        <w:tc>
          <w:tcPr>
            <w:tcW w:w="1715"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c>
          <w:tcPr>
            <w:tcW w:w="1715"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c>
          <w:tcPr>
            <w:tcW w:w="1715"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r>
      <w:tr>
        <w:trPr>
          <w:trHeight w:val="437"/>
        </w:trPr>
        <w:tc>
          <w:tcPr>
            <w:tcW w:w="647"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4</w:t>
            </w:r>
            <w:r/>
          </w:p>
        </w:tc>
        <w:tc>
          <w:tcPr>
            <w:tcW w:w="3346"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固定资产总值</w:t>
            </w:r>
            <w:r/>
          </w:p>
        </w:tc>
        <w:tc>
          <w:tcPr>
            <w:tcW w:w="1715"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c>
          <w:tcPr>
            <w:tcW w:w="1715"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c>
          <w:tcPr>
            <w:tcW w:w="1715"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r>
      <w:tr>
        <w:trPr>
          <w:trHeight w:val="471"/>
        </w:trPr>
        <w:tc>
          <w:tcPr>
            <w:tcW w:w="647"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5</w:t>
            </w:r>
            <w:r/>
          </w:p>
        </w:tc>
        <w:tc>
          <w:tcPr>
            <w:tcW w:w="3346"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流动资产</w:t>
            </w:r>
            <w:r/>
          </w:p>
        </w:tc>
        <w:tc>
          <w:tcPr>
            <w:tcW w:w="1715"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c>
          <w:tcPr>
            <w:tcW w:w="1715"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c>
          <w:tcPr>
            <w:tcW w:w="1715"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r>
      <w:tr>
        <w:trPr>
          <w:trHeight w:val="463"/>
        </w:trPr>
        <w:tc>
          <w:tcPr>
            <w:tcW w:w="647"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6</w:t>
            </w:r>
            <w:r/>
          </w:p>
        </w:tc>
        <w:tc>
          <w:tcPr>
            <w:tcW w:w="3346"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平均流动资产余额</w:t>
            </w:r>
            <w:r/>
          </w:p>
        </w:tc>
        <w:tc>
          <w:tcPr>
            <w:tcW w:w="1715"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c>
          <w:tcPr>
            <w:tcW w:w="1715"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c>
          <w:tcPr>
            <w:tcW w:w="1715"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r>
      <w:tr>
        <w:trPr>
          <w:trHeight w:val="440"/>
        </w:trPr>
        <w:tc>
          <w:tcPr>
            <w:tcW w:w="647"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7</w:t>
            </w:r>
            <w:r/>
          </w:p>
        </w:tc>
        <w:tc>
          <w:tcPr>
            <w:tcW w:w="3346"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速动资产</w:t>
            </w:r>
            <w:r/>
          </w:p>
        </w:tc>
        <w:tc>
          <w:tcPr>
            <w:tcW w:w="1715"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c>
          <w:tcPr>
            <w:tcW w:w="1715"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c>
          <w:tcPr>
            <w:tcW w:w="1715"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r>
      <w:tr>
        <w:trPr>
          <w:trHeight w:val="461"/>
        </w:trPr>
        <w:tc>
          <w:tcPr>
            <w:tcW w:w="647"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8</w:t>
            </w:r>
            <w:r/>
          </w:p>
        </w:tc>
        <w:tc>
          <w:tcPr>
            <w:tcW w:w="3346"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流动负债</w:t>
            </w:r>
            <w:r/>
          </w:p>
        </w:tc>
        <w:tc>
          <w:tcPr>
            <w:tcW w:w="1715"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c>
          <w:tcPr>
            <w:tcW w:w="1715"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c>
          <w:tcPr>
            <w:tcW w:w="1715"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r>
      <w:tr>
        <w:trPr>
          <w:trHeight w:val="467"/>
        </w:trPr>
        <w:tc>
          <w:tcPr>
            <w:tcW w:w="647"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9</w:t>
            </w:r>
            <w:r/>
          </w:p>
        </w:tc>
        <w:tc>
          <w:tcPr>
            <w:tcW w:w="3346"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年末所有者权益</w:t>
            </w:r>
            <w:r/>
          </w:p>
        </w:tc>
        <w:tc>
          <w:tcPr>
            <w:tcW w:w="1715"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c>
          <w:tcPr>
            <w:tcW w:w="1715"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c>
          <w:tcPr>
            <w:tcW w:w="1715"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r>
      <w:tr>
        <w:trPr>
          <w:trHeight w:val="459"/>
        </w:trPr>
        <w:tc>
          <w:tcPr>
            <w:tcW w:w="647"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10</w:t>
            </w:r>
            <w:r/>
          </w:p>
        </w:tc>
        <w:tc>
          <w:tcPr>
            <w:tcW w:w="3346"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营业收入</w:t>
            </w:r>
            <w:r/>
          </w:p>
        </w:tc>
        <w:tc>
          <w:tcPr>
            <w:tcW w:w="1715"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c>
          <w:tcPr>
            <w:tcW w:w="1715"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c>
          <w:tcPr>
            <w:tcW w:w="1715"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r>
      <w:tr>
        <w:trPr>
          <w:trHeight w:val="451"/>
        </w:trPr>
        <w:tc>
          <w:tcPr>
            <w:tcW w:w="647"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11</w:t>
            </w:r>
            <w:r/>
          </w:p>
        </w:tc>
        <w:tc>
          <w:tcPr>
            <w:tcW w:w="3346"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净利润</w:t>
            </w:r>
            <w:r/>
          </w:p>
        </w:tc>
        <w:tc>
          <w:tcPr>
            <w:tcW w:w="1715"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c>
          <w:tcPr>
            <w:tcW w:w="1715"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c>
          <w:tcPr>
            <w:tcW w:w="1715"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r>
      <w:tr>
        <w:trPr>
          <w:trHeight w:val="456"/>
        </w:trPr>
        <w:tc>
          <w:tcPr>
            <w:tcW w:w="647"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12</w:t>
            </w:r>
            <w:r/>
          </w:p>
        </w:tc>
        <w:tc>
          <w:tcPr>
            <w:tcW w:w="3346"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现金净流量</w:t>
            </w:r>
            <w:r/>
          </w:p>
        </w:tc>
        <w:tc>
          <w:tcPr>
            <w:tcW w:w="1715"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c>
          <w:tcPr>
            <w:tcW w:w="1715"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c>
          <w:tcPr>
            <w:tcW w:w="1715"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13</w:t>
            </w:r>
            <w:r/>
          </w:p>
        </w:tc>
        <w:tc>
          <w:tcPr>
            <w:tcW w:w="3346"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流动比率%</w:t>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（流动资产/流动负债）</w:t>
            </w:r>
            <w:r/>
          </w:p>
        </w:tc>
        <w:tc>
          <w:tcPr>
            <w:tcW w:w="1715"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c>
          <w:tcPr>
            <w:tcW w:w="1715"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c>
          <w:tcPr>
            <w:tcW w:w="1715"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14</w:t>
            </w:r>
            <w:r/>
          </w:p>
        </w:tc>
        <w:tc>
          <w:tcPr>
            <w:tcW w:w="3346"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速动比率%</w:t>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（速动资产/流动负债）</w:t>
            </w:r>
            <w:r/>
          </w:p>
        </w:tc>
        <w:tc>
          <w:tcPr>
            <w:tcW w:w="1715"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c>
          <w:tcPr>
            <w:tcW w:w="1715"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c>
          <w:tcPr>
            <w:tcW w:w="1715"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r>
      <w:tr>
        <w:trPr>
          <w:trHeight w:val="409"/>
        </w:trPr>
        <w:tc>
          <w:tcPr>
            <w:tcW w:w="647"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15</w:t>
            </w:r>
            <w:r/>
          </w:p>
        </w:tc>
        <w:tc>
          <w:tcPr>
            <w:tcW w:w="3346"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资产负债率%</w:t>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（总负债/总资产）</w:t>
            </w:r>
            <w:r/>
          </w:p>
        </w:tc>
        <w:tc>
          <w:tcPr>
            <w:tcW w:w="1715"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c>
          <w:tcPr>
            <w:tcW w:w="1715"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c>
          <w:tcPr>
            <w:tcW w:w="1715"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16</w:t>
            </w:r>
            <w:r/>
          </w:p>
        </w:tc>
        <w:tc>
          <w:tcPr>
            <w:tcW w:w="3346"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应收账款周转率%</w:t>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（收入总额/平均应收账款）</w:t>
            </w:r>
            <w:r/>
          </w:p>
        </w:tc>
        <w:tc>
          <w:tcPr>
            <w:tcW w:w="1715"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c>
          <w:tcPr>
            <w:tcW w:w="1715"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c>
          <w:tcPr>
            <w:tcW w:w="1715"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17</w:t>
            </w:r>
            <w:r/>
          </w:p>
        </w:tc>
        <w:tc>
          <w:tcPr>
            <w:tcW w:w="3346"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存货周转率%</w:t>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（销售成本/平均存货）</w:t>
            </w:r>
            <w:r/>
          </w:p>
        </w:tc>
        <w:tc>
          <w:tcPr>
            <w:tcW w:w="1715"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c>
          <w:tcPr>
            <w:tcW w:w="1715"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c>
          <w:tcPr>
            <w:tcW w:w="1715"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18</w:t>
            </w:r>
            <w:r/>
          </w:p>
        </w:tc>
        <w:tc>
          <w:tcPr>
            <w:tcW w:w="3346"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资产报酬率%</w:t>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（收入/资产）</w:t>
            </w:r>
            <w:r/>
          </w:p>
        </w:tc>
        <w:tc>
          <w:tcPr>
            <w:tcW w:w="1715"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c>
          <w:tcPr>
            <w:tcW w:w="1715"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c>
          <w:tcPr>
            <w:tcW w:w="1715"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19</w:t>
            </w:r>
            <w:r/>
          </w:p>
        </w:tc>
        <w:tc>
          <w:tcPr>
            <w:tcW w:w="3346"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净资产收益率</w:t>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（净利润/平均净资产）</w:t>
            </w:r>
            <w:r/>
          </w:p>
        </w:tc>
        <w:tc>
          <w:tcPr>
            <w:tcW w:w="1715"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c>
          <w:tcPr>
            <w:tcW w:w="1715"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c>
          <w:tcPr>
            <w:tcW w:w="1715" w:type="dxa"/>
            <w:vAlign w:val="center"/>
            <w:textDirection w:val="lrTb"/>
            <w:noWrap w:val="false"/>
          </w:tcPr>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r>
    </w:tbl>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  </w:t>
      </w:r>
      <w:r/>
    </w:p>
    <w:p>
      <w:pPr>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br w:type="page" w:clear="all"/>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格式三</w:t>
      </w:r>
      <w:r/>
    </w:p>
    <w:p>
      <w:pPr>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依法</w:t>
      </w:r>
      <w:r>
        <w:rPr>
          <w:rFonts w:hint="eastAsia" w:asciiTheme="minorEastAsia" w:hAnsiTheme="minorEastAsia" w:eastAsiaTheme="minorEastAsia"/>
          <w:sz w:val="24"/>
          <w:szCs w:val="24"/>
          <w:highlight w:val="none"/>
        </w:rPr>
        <w:t xml:space="preserve">“</w:t>
      </w:r>
      <w:r>
        <w:rPr>
          <w:rFonts w:asciiTheme="minorEastAsia" w:hAnsiTheme="minorEastAsia" w:eastAsiaTheme="minorEastAsia"/>
          <w:sz w:val="24"/>
          <w:szCs w:val="24"/>
          <w:highlight w:val="none"/>
        </w:rPr>
        <w:t xml:space="preserve">缴纳税收” 和</w:t>
      </w:r>
      <w:r>
        <w:rPr>
          <w:rFonts w:hint="eastAsia" w:asciiTheme="minorEastAsia" w:hAnsiTheme="minorEastAsia" w:eastAsiaTheme="minorEastAsia"/>
          <w:sz w:val="24"/>
          <w:szCs w:val="24"/>
          <w:highlight w:val="none"/>
        </w:rPr>
        <w:t xml:space="preserve"> “</w:t>
      </w:r>
      <w:r>
        <w:rPr>
          <w:rFonts w:asciiTheme="minorEastAsia" w:hAnsiTheme="minorEastAsia" w:eastAsiaTheme="minorEastAsia"/>
          <w:sz w:val="24"/>
          <w:szCs w:val="24"/>
          <w:highlight w:val="none"/>
        </w:rPr>
        <w:t xml:space="preserve">社会保障资金”的相关材料</w:t>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提供投标人参加本次政府采购活动前6个月内至少一个月缴纳税收及缴纳社会保障资金的证明材料。投标人依法享受缓缴、免缴税收、社会保障资金的提供证明材料；</w:t>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br w:type="page" w:clear="all"/>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格式四</w:t>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具备履行合同所必需的设备和专业技术能力的书面声明</w:t>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我单位郑重声明：我单位具备履行本项采购合同所必需的设备和专业技术能力，为履行本项采购合同我公司具备如下主要设备和主要专业技术能力：</w:t>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主要设备有：。</w:t>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主要专业技术能力有：。</w:t>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                                               投标人名称（电子签章）：</w:t>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                                               日期： __年月日</w:t>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br w:type="page" w:clear="all"/>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格式五</w:t>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参加政府采购活动前 3 年内在经营活动中没有重大违法记录的书面声明</w:t>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声  明</w:t>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                                      投标人名称（电子签章）：</w:t>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                                      日期：___年月日</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br w:type="page" w:clear="all"/>
      </w:r>
      <w:r/>
    </w:p>
    <w:p>
      <w:pPr>
        <w:rPr>
          <w:highlight w:val="none"/>
        </w:rPr>
      </w:pPr>
      <w:r>
        <w:rPr>
          <w:rFonts w:hint="eastAsia"/>
          <w:highlight w:val="none"/>
        </w:rPr>
        <w:t xml:space="preserve">格式六</w:t>
      </w:r>
      <w:r/>
    </w:p>
    <w:p>
      <w:pPr>
        <w:rPr>
          <w:highlight w:val="none"/>
        </w:rPr>
      </w:pPr>
      <w:r>
        <w:rPr>
          <w:rFonts w:hint="eastAsia"/>
          <w:highlight w:val="none"/>
        </w:rPr>
        <w:t xml:space="preserve">资质证书（复印件）</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center"/>
        <w:rPr>
          <w:rFonts w:hint="eastAsia" w:cs="仿宋" w:asciiTheme="minorEastAsia" w:hAnsiTheme="minorEastAsia" w:eastAsiaTheme="minorEastAsia"/>
          <w:b/>
          <w:bCs/>
          <w:color w:val="000000" w:themeColor="text1"/>
          <w:sz w:val="32"/>
          <w:szCs w:val="32"/>
          <w:highlight w:val="none"/>
          <w14:textFill>
            <w14:solidFill>
              <w14:schemeClr w14:val="tx1"/>
            </w14:solidFill>
          </w14:textFill>
        </w:rPr>
      </w:pPr>
      <w:r>
        <w:rPr>
          <w:rFonts w:hint="eastAsia" w:cs="仿宋" w:asciiTheme="minorEastAsia" w:hAnsiTheme="minorEastAsia" w:eastAsiaTheme="minorEastAsia"/>
          <w:b/>
          <w:bCs/>
          <w:color w:val="000000" w:themeColor="text1"/>
          <w:sz w:val="32"/>
          <w:szCs w:val="32"/>
          <w:highlight w:val="none"/>
          <w14:textFill>
            <w14:solidFill>
              <w14:schemeClr w14:val="tx1"/>
            </w14:solidFill>
          </w14:textFill>
        </w:rPr>
        <w:t xml:space="preserve">质疑函范本</w:t>
      </w:r>
      <w:r/>
    </w:p>
    <w:p>
      <w:pPr>
        <w:spacing w:before="240" w:line="360" w:lineRule="auto"/>
        <w:rPr>
          <w:rFonts w:hint="eastAsia" w:cs="仿宋" w:asciiTheme="minorEastAsia" w:hAnsiTheme="minorEastAsia" w:eastAsiaTheme="minorEastAsia"/>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Cs/>
          <w:color w:val="000000" w:themeColor="text1"/>
          <w:sz w:val="24"/>
          <w:szCs w:val="24"/>
          <w:highlight w:val="none"/>
          <w14:textFill>
            <w14:solidFill>
              <w14:schemeClr w14:val="tx1"/>
            </w14:solidFill>
          </w14:textFill>
        </w:rPr>
        <w:t xml:space="preserve">一、质疑供应商基本信息</w:t>
      </w:r>
      <w:r/>
    </w:p>
    <w:p>
      <w:pPr>
        <w:spacing w:line="360" w:lineRule="auto"/>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质疑供应商：</w:t>
      </w:r>
      <w:r/>
    </w:p>
    <w:p>
      <w:pPr>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地址：邮编：</w:t>
      </w:r>
      <w:r/>
    </w:p>
    <w:p>
      <w:pPr>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联系人：联系电话：</w:t>
      </w:r>
      <w:r/>
    </w:p>
    <w:p>
      <w:pPr>
        <w:spacing w:line="360" w:lineRule="auto"/>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授权代表：</w:t>
      </w:r>
      <w:r/>
    </w:p>
    <w:p>
      <w:pPr>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联系电话：</w:t>
      </w:r>
      <w:r/>
    </w:p>
    <w:p>
      <w:pPr>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地址： 邮编：</w:t>
      </w:r>
      <w:r/>
    </w:p>
    <w:p>
      <w:pPr>
        <w:spacing w:line="360" w:lineRule="auto"/>
        <w:rPr>
          <w:rFonts w:hint="eastAsia" w:cs="仿宋" w:asciiTheme="minorEastAsia" w:hAnsiTheme="minorEastAsia" w:eastAsiaTheme="minorEastAsia"/>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Cs/>
          <w:color w:val="000000" w:themeColor="text1"/>
          <w:sz w:val="24"/>
          <w:szCs w:val="24"/>
          <w:highlight w:val="none"/>
          <w14:textFill>
            <w14:solidFill>
              <w14:schemeClr w14:val="tx1"/>
            </w14:solidFill>
          </w14:textFill>
        </w:rPr>
        <w:t xml:space="preserve">二、质疑项目基本情况</w:t>
      </w:r>
      <w:r/>
    </w:p>
    <w:p>
      <w:pPr>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质疑项目的名称：</w:t>
      </w:r>
      <w:r/>
    </w:p>
    <w:p>
      <w:pPr>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质疑项目的编号：包号：</w:t>
      </w:r>
      <w:r/>
    </w:p>
    <w:p>
      <w:pPr>
        <w:spacing w:line="360" w:lineRule="auto"/>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采购人名称：</w:t>
      </w:r>
      <w:r/>
    </w:p>
    <w:p>
      <w:pPr>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采购文件获取日期：</w:t>
      </w:r>
      <w:r/>
    </w:p>
    <w:p>
      <w:pPr>
        <w:spacing w:line="360" w:lineRule="auto"/>
        <w:rPr>
          <w:rFonts w:hint="eastAsia" w:cs="仿宋" w:asciiTheme="minorEastAsia" w:hAnsiTheme="minorEastAsia" w:eastAsiaTheme="minorEastAsia"/>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Cs/>
          <w:color w:val="000000" w:themeColor="text1"/>
          <w:sz w:val="24"/>
          <w:szCs w:val="24"/>
          <w:highlight w:val="none"/>
          <w14:textFill>
            <w14:solidFill>
              <w14:schemeClr w14:val="tx1"/>
            </w14:solidFill>
          </w14:textFill>
        </w:rPr>
        <w:t xml:space="preserve">三、质疑事项具体内容</w:t>
      </w:r>
      <w:r/>
    </w:p>
    <w:p>
      <w:pPr>
        <w:spacing w:line="360" w:lineRule="auto"/>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质疑事项1：</w:t>
      </w:r>
      <w:r/>
    </w:p>
    <w:p>
      <w:pPr>
        <w:spacing w:line="360" w:lineRule="auto"/>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事实依据：</w:t>
      </w:r>
      <w:r/>
    </w:p>
    <w:p>
      <w:pPr>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r>
      <w:r/>
    </w:p>
    <w:p>
      <w:pPr>
        <w:spacing w:line="360" w:lineRule="auto"/>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法律依据：</w:t>
      </w:r>
      <w:r/>
    </w:p>
    <w:p>
      <w:pPr>
        <w:spacing w:line="360" w:lineRule="auto"/>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r>
      <w:r/>
    </w:p>
    <w:p>
      <w:pPr>
        <w:spacing w:line="360" w:lineRule="auto"/>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质疑事项2</w:t>
      </w:r>
      <w:r/>
    </w:p>
    <w:p>
      <w:pPr>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w:t>
      </w:r>
      <w:r/>
    </w:p>
    <w:p>
      <w:pPr>
        <w:spacing w:line="360" w:lineRule="auto"/>
        <w:rPr>
          <w:rFonts w:hint="eastAsia" w:cs="仿宋" w:asciiTheme="minorEastAsia" w:hAnsiTheme="minorEastAsia" w:eastAsiaTheme="minorEastAsia"/>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Cs/>
          <w:color w:val="000000" w:themeColor="text1"/>
          <w:sz w:val="24"/>
          <w:szCs w:val="24"/>
          <w:highlight w:val="none"/>
          <w14:textFill>
            <w14:solidFill>
              <w14:schemeClr w14:val="tx1"/>
            </w14:solidFill>
          </w14:textFill>
        </w:rPr>
        <w:t xml:space="preserve">四、与质疑事项相关的质疑请求</w:t>
      </w:r>
      <w:r/>
    </w:p>
    <w:p>
      <w:pPr>
        <w:spacing w:line="360" w:lineRule="auto"/>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请求：</w:t>
      </w:r>
      <w:r/>
    </w:p>
    <w:p>
      <w:p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r>
      <w:r/>
    </w:p>
    <w:p>
      <w:p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r>
      <w:r/>
    </w:p>
    <w:p>
      <w:p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签字(签章)：                   公章：                      </w:t>
      </w:r>
      <w:r/>
    </w:p>
    <w:p>
      <w:p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日期：    </w:t>
      </w:r>
      <w:r/>
    </w:p>
    <w:p>
      <w:pPr>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r>
      <w:r/>
    </w:p>
    <w:p>
      <w:pPr>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r>
      <w:r/>
    </w:p>
    <w:p>
      <w:pPr>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r>
      <w:r/>
    </w:p>
    <w:p>
      <w:pPr>
        <w:rPr>
          <w:rFonts w:hint="eastAsia" w:cs="仿宋" w:asciiTheme="minorEastAsia" w:hAnsiTheme="minorEastAsia" w:eastAsiaTheme="minorEastAsia"/>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Cs/>
          <w:color w:val="000000" w:themeColor="text1"/>
          <w:sz w:val="24"/>
          <w:szCs w:val="24"/>
          <w:highlight w:val="none"/>
          <w14:textFill>
            <w14:solidFill>
              <w14:schemeClr w14:val="tx1"/>
            </w14:solidFill>
          </w14:textFill>
        </w:rPr>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质疑函制作说明：</w:t>
      </w:r>
      <w:r/>
    </w:p>
    <w:p>
      <w:pPr>
        <w:ind w:firstLine="480"/>
        <w:jc w:val="left"/>
        <w:spacing w:line="360" w:lineRule="auto"/>
        <w:widowControl/>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1.供应商提出质疑时，应提交质疑函和必要的证明材料。</w:t>
      </w:r>
      <w:r/>
    </w:p>
    <w:p>
      <w:pPr>
        <w:ind w:firstLine="480"/>
        <w:jc w:val="left"/>
        <w:spacing w:line="360" w:lineRule="auto"/>
        <w:widowControl/>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3.质疑供应商若对项目的某一分包进行质疑，质疑函中应列明具体分包号。</w:t>
      </w:r>
      <w:r/>
    </w:p>
    <w:p>
      <w:pPr>
        <w:ind w:firstLine="480"/>
        <w:jc w:val="left"/>
        <w:spacing w:line="360" w:lineRule="auto"/>
        <w:widowControl/>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4.质疑函的质疑事项应具体、明确，并有必要的事实依据和法律依据。</w:t>
      </w:r>
      <w:r/>
    </w:p>
    <w:p>
      <w:pPr>
        <w:ind w:firstLine="480"/>
        <w:jc w:val="left"/>
        <w:spacing w:line="360" w:lineRule="auto"/>
        <w:widowControl/>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5.质疑函的质疑请求应与质疑事项相关。</w:t>
      </w:r>
      <w:r/>
    </w:p>
    <w:p>
      <w:pPr>
        <w:ind w:firstLine="480"/>
        <w:jc w:val="left"/>
        <w:spacing w:line="360" w:lineRule="auto"/>
        <w:widowControl/>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rPr>
          <w:highlight w:val="none"/>
        </w:rPr>
      </w:pPr>
      <w:r>
        <w:rPr>
          <w:highlight w:val="none"/>
        </w:rPr>
      </w:r>
      <w:r/>
    </w:p>
    <w:sectPr>
      <w:footerReference w:type="default" r:id="rId12"/>
      <w:footnotePr/>
      <w:endnotePr/>
      <w:type w:val="nextPage"/>
      <w:pgSz w:w="11906" w:h="16838" w:orient="portrait"/>
      <w:pgMar w:top="1440" w:right="1274" w:bottom="1440" w:left="1701" w:header="851" w:footer="992" w:gutter="0"/>
      <w:pgNumType w:start="35"/>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_GB2312">
    <w:panose1 w:val="02010609060101010101"/>
  </w:font>
  <w:font w:name="黑体">
    <w:panose1 w:val="02010609060101010101"/>
  </w:font>
  <w:font w:name="MS Mincho">
    <w:panose1 w:val="02020603050405090304"/>
  </w:font>
  <w:font w:name="Symbol">
    <w:panose1 w:val="05050102010706020507"/>
  </w:font>
  <w:font w:name="Wingdings">
    <w:panose1 w:val="05000000000000000000"/>
  </w:font>
  <w:font w:name="仿宋">
    <w:panose1 w:val="02010609060101010101"/>
  </w:font>
  <w:font w:name="Cambria">
    <w:panose1 w:val="02040503050406030204"/>
  </w:font>
  <w:font w:name="Courier New">
    <w:panose1 w:val="02070309020205020404"/>
  </w:font>
  <w:font w:name="宋体">
    <w:panose1 w:val="02010600030101010101"/>
  </w:font>
  <w:font w:name="Calibri">
    <w:panose1 w:val="020F0502020204030204"/>
  </w:font>
  <w:font w:name="Arial">
    <w:panose1 w:val="020B0604020202020204"/>
  </w:font>
  <w:font w:name="楷体_GB2312">
    <w:panose1 w:val="0201060906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42608854"/>
      <w:rPr/>
    </w:sdtPr>
    <w:sdtContent>
      <w:p>
        <w:pPr>
          <w:pStyle w:val="765"/>
          <w:jc w:val="center"/>
        </w:pPr>
        <w:r>
          <w:fldChar w:fldCharType="begin"/>
        </w:r>
        <w:r>
          <w:instrText xml:space="preserve">PAGE   \* MERGEFORMAT</w:instrText>
        </w:r>
        <w:r>
          <w:fldChar w:fldCharType="separate"/>
        </w:r>
        <w:r>
          <w:rPr>
            <w:lang w:val="zh-CN"/>
          </w:rPr>
          <w:t xml:space="preserve">31</w:t>
        </w:r>
        <w:r>
          <w:fldChar w:fldCharType="end"/>
        </w:r>
        <w:r/>
      </w:p>
    </w:sdtContent>
  </w:sdt>
  <w:p>
    <w:pPr>
      <w:pStyle w:val="94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51117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14935" cy="511175"/>
                      </a:xfrm>
                      <a:prstGeom prst="rect">
                        <a:avLst/>
                      </a:prstGeom>
                      <a:noFill/>
                      <a:ln>
                        <a:noFill/>
                      </a:ln>
                      <a:effectLst/>
                    </wps:spPr>
                    <wps:txbx>
                      <w:txbxContent>
                        <w:p>
                          <w:pPr>
                            <w:pStyle w:val="94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94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67594"/>
                            <w:rPr/>
                          </w:sdtPr>
                          <w:sdtContent>
                            <w:p>
                              <w:pPr>
                                <w:pStyle w:val="765"/>
                                <w:jc w:val="center"/>
                              </w:pPr>
                              <w:r>
                                <w:fldChar w:fldCharType="begin"/>
                              </w:r>
                              <w:r>
                                <w:instrText xml:space="preserve">PAGE   \* MERGEFORMAT</w:instrText>
                              </w:r>
                              <w:r>
                                <w:fldChar w:fldCharType="separate"/>
                              </w:r>
                              <w:r>
                                <w:rPr>
                                  <w:lang w:val="zh-CN"/>
                                </w:rPr>
                                <w:t xml:space="preserve">31</w:t>
                              </w:r>
                              <w:r>
                                <w:fldChar w:fldCharType="end"/>
                              </w:r>
                              <w:r/>
                            </w:p>
                          </w:sdtContent>
                        </w:sdt>
                        <w:p>
                          <w:pPr>
                            <w:pStyle w:val="759"/>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67594"/>
                      <w:rPr/>
                    </w:sdtPr>
                    <w:sdtContent>
                      <w:p>
                        <w:pPr>
                          <w:pStyle w:val="765"/>
                          <w:jc w:val="center"/>
                        </w:pPr>
                        <w:r>
                          <w:fldChar w:fldCharType="begin"/>
                        </w:r>
                        <w:r>
                          <w:instrText xml:space="preserve">PAGE   \* MERGEFORMAT</w:instrText>
                        </w:r>
                        <w:r>
                          <w:fldChar w:fldCharType="separate"/>
                        </w:r>
                        <w:r>
                          <w:rPr>
                            <w:lang w:val="zh-CN"/>
                          </w:rPr>
                          <w:t xml:space="preserve">31</w:t>
                        </w:r>
                        <w:r>
                          <w:fldChar w:fldCharType="end"/>
                        </w:r>
                        <w:r/>
                      </w:p>
                    </w:sdtContent>
                  </w:sdt>
                  <w:p>
                    <w:pPr>
                      <w:pStyle w:val="759"/>
                    </w:pPr>
                    <w:r/>
                    <w:r/>
                  </w:p>
                </w:txbxContent>
              </v:textbox>
            </v:shape>
          </w:pict>
        </mc:Fallback>
      </mc:AlternateContent>
    </w:r>
    <w:r/>
  </w:p>
  <w:p>
    <w:pPr>
      <w:pStyle w:val="94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both"/>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360" w:hanging="360"/>
        <w:tabs>
          <w:tab w:val="left" w:pos="36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4">
    <w:multiLevelType w:val="hybridMultilevel"/>
    <w:lvl w:ilvl="0">
      <w:start w:val="0"/>
      <w:numFmt w:val="bullet"/>
      <w:isLgl w:val="false"/>
      <w:suff w:val="tab"/>
      <w:lvlText w:val="□"/>
      <w:lvlJc w:val="left"/>
      <w:pPr>
        <w:ind w:left="360" w:hanging="360"/>
      </w:pPr>
      <w:rPr>
        <w:rFonts w:hint="eastAsia" w:ascii="宋体" w:hAnsi="宋体" w:eastAsia="宋体" w:cs="Times New Roman"/>
        <w:color w:val="auto"/>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5">
    <w:multiLevelType w:val="hybridMultilevel"/>
    <w:lvl w:ilvl="0">
      <w:start w:val="1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9"/>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 w:numId="5">
    <w:abstractNumId w:val="6"/>
  </w:num>
  <w:num w:numId="6">
    <w:abstractNumId w:val="7"/>
  </w:num>
  <w:num w:numId="7">
    <w:abstractNumId w:val="10"/>
  </w:num>
  <w:num w:numId="8">
    <w:abstractNumId w:val="5"/>
  </w:num>
  <w:num w:numId="9">
    <w:abstractNumId w:val="0"/>
  </w:num>
  <w:num w:numId="10">
    <w:abstractNumId w:val="8"/>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5" w:default="1">
    <w:name w:val="Normal"/>
    <w:uiPriority w:val="0"/>
    <w:qFormat/>
    <w:pPr>
      <w:jc w:val="both"/>
      <w:widowControl w:val="off"/>
    </w:pPr>
    <w:rPr>
      <w:rFonts w:hint="default" w:ascii="Times New Roman" w:hAnsi="Times New Roman" w:eastAsia="楷体_GB2312" w:cs="Times New Roman"/>
      <w:sz w:val="26"/>
      <w:lang w:val="en-US" w:eastAsia="zh-CN" w:bidi="ar-SA"/>
    </w:rPr>
  </w:style>
  <w:style w:type="paragraph" w:styleId="746">
    <w:name w:val="Heading 1"/>
    <w:basedOn w:val="745"/>
    <w:next w:val="745"/>
    <w:link w:val="787"/>
    <w:uiPriority w:val="9"/>
    <w:qFormat/>
    <w:pPr>
      <w:keepLines/>
      <w:keepNext/>
      <w:spacing w:before="480" w:after="200"/>
      <w:outlineLvl w:val="0"/>
    </w:pPr>
    <w:rPr>
      <w:rFonts w:ascii="Arial" w:hAnsi="Arial" w:eastAsia="Arial" w:cs="Arial"/>
      <w:sz w:val="40"/>
      <w:szCs w:val="40"/>
    </w:rPr>
  </w:style>
  <w:style w:type="paragraph" w:styleId="747">
    <w:name w:val="Heading 2"/>
    <w:basedOn w:val="745"/>
    <w:next w:val="745"/>
    <w:link w:val="788"/>
    <w:uiPriority w:val="9"/>
    <w:unhideWhenUsed/>
    <w:qFormat/>
    <w:pPr>
      <w:keepLines/>
      <w:keepNext/>
      <w:spacing w:before="360" w:after="200"/>
      <w:outlineLvl w:val="1"/>
    </w:pPr>
    <w:rPr>
      <w:rFonts w:ascii="Arial" w:hAnsi="Arial" w:eastAsia="Arial" w:cs="Arial"/>
      <w:sz w:val="34"/>
    </w:rPr>
  </w:style>
  <w:style w:type="paragraph" w:styleId="748">
    <w:name w:val="Heading 3"/>
    <w:basedOn w:val="745"/>
    <w:next w:val="745"/>
    <w:link w:val="789"/>
    <w:uiPriority w:val="9"/>
    <w:unhideWhenUsed/>
    <w:qFormat/>
    <w:pPr>
      <w:keepLines/>
      <w:keepNext/>
      <w:spacing w:before="320" w:after="200"/>
      <w:outlineLvl w:val="2"/>
    </w:pPr>
    <w:rPr>
      <w:rFonts w:ascii="Arial" w:hAnsi="Arial" w:eastAsia="Arial" w:cs="Arial"/>
      <w:sz w:val="30"/>
      <w:szCs w:val="30"/>
    </w:rPr>
  </w:style>
  <w:style w:type="paragraph" w:styleId="749">
    <w:name w:val="Heading 4"/>
    <w:basedOn w:val="745"/>
    <w:next w:val="745"/>
    <w:link w:val="790"/>
    <w:uiPriority w:val="9"/>
    <w:unhideWhenUsed/>
    <w:qFormat/>
    <w:pPr>
      <w:keepLines/>
      <w:keepNext/>
      <w:spacing w:before="320" w:after="200"/>
      <w:outlineLvl w:val="3"/>
    </w:pPr>
    <w:rPr>
      <w:rFonts w:ascii="Arial" w:hAnsi="Arial" w:eastAsia="Arial" w:cs="Arial"/>
      <w:b/>
      <w:bCs/>
      <w:sz w:val="26"/>
      <w:szCs w:val="26"/>
    </w:rPr>
  </w:style>
  <w:style w:type="paragraph" w:styleId="750">
    <w:name w:val="Heading 5"/>
    <w:basedOn w:val="745"/>
    <w:next w:val="745"/>
    <w:link w:val="791"/>
    <w:uiPriority w:val="9"/>
    <w:unhideWhenUsed/>
    <w:qFormat/>
    <w:pPr>
      <w:keepLines/>
      <w:keepNext/>
      <w:spacing w:before="320" w:after="200"/>
      <w:outlineLvl w:val="4"/>
    </w:pPr>
    <w:rPr>
      <w:rFonts w:ascii="Arial" w:hAnsi="Arial" w:eastAsia="Arial" w:cs="Arial"/>
      <w:b/>
      <w:bCs/>
      <w:sz w:val="24"/>
      <w:szCs w:val="24"/>
    </w:rPr>
  </w:style>
  <w:style w:type="paragraph" w:styleId="751">
    <w:name w:val="Heading 6"/>
    <w:basedOn w:val="745"/>
    <w:next w:val="745"/>
    <w:link w:val="792"/>
    <w:uiPriority w:val="9"/>
    <w:unhideWhenUsed/>
    <w:qFormat/>
    <w:pPr>
      <w:keepLines/>
      <w:keepNext/>
      <w:spacing w:before="320" w:after="200"/>
      <w:outlineLvl w:val="5"/>
    </w:pPr>
    <w:rPr>
      <w:rFonts w:ascii="Arial" w:hAnsi="Arial" w:eastAsia="Arial" w:cs="Arial"/>
      <w:b/>
      <w:bCs/>
      <w:sz w:val="22"/>
      <w:szCs w:val="22"/>
    </w:rPr>
  </w:style>
  <w:style w:type="paragraph" w:styleId="752">
    <w:name w:val="Heading 7"/>
    <w:basedOn w:val="745"/>
    <w:next w:val="745"/>
    <w:link w:val="793"/>
    <w:uiPriority w:val="9"/>
    <w:unhideWhenUsed/>
    <w:qFormat/>
    <w:pPr>
      <w:keepLines/>
      <w:keepNext/>
      <w:spacing w:before="320" w:after="200"/>
      <w:outlineLvl w:val="6"/>
    </w:pPr>
    <w:rPr>
      <w:rFonts w:ascii="Arial" w:hAnsi="Arial" w:eastAsia="Arial" w:cs="Arial"/>
      <w:b/>
      <w:bCs/>
      <w:i/>
      <w:iCs/>
      <w:sz w:val="22"/>
      <w:szCs w:val="22"/>
    </w:rPr>
  </w:style>
  <w:style w:type="paragraph" w:styleId="753">
    <w:name w:val="Heading 8"/>
    <w:basedOn w:val="745"/>
    <w:next w:val="745"/>
    <w:link w:val="794"/>
    <w:uiPriority w:val="9"/>
    <w:unhideWhenUsed/>
    <w:qFormat/>
    <w:pPr>
      <w:keepLines/>
      <w:keepNext/>
      <w:spacing w:before="320" w:after="200"/>
      <w:outlineLvl w:val="7"/>
    </w:pPr>
    <w:rPr>
      <w:rFonts w:ascii="Arial" w:hAnsi="Arial" w:eastAsia="Arial" w:cs="Arial"/>
      <w:i/>
      <w:iCs/>
      <w:sz w:val="22"/>
      <w:szCs w:val="22"/>
    </w:rPr>
  </w:style>
  <w:style w:type="paragraph" w:styleId="754">
    <w:name w:val="Heading 9"/>
    <w:basedOn w:val="745"/>
    <w:next w:val="745"/>
    <w:link w:val="795"/>
    <w:uiPriority w:val="9"/>
    <w:unhideWhenUsed/>
    <w:qFormat/>
    <w:pPr>
      <w:keepLines/>
      <w:keepNext/>
      <w:spacing w:before="320" w:after="200"/>
      <w:outlineLvl w:val="8"/>
    </w:pPr>
    <w:rPr>
      <w:rFonts w:ascii="Arial" w:hAnsi="Arial" w:eastAsia="Arial" w:cs="Arial"/>
      <w:i/>
      <w:iCs/>
      <w:sz w:val="21"/>
      <w:szCs w:val="21"/>
    </w:rPr>
  </w:style>
  <w:style w:type="character" w:styleId="755" w:default="1">
    <w:name w:val="Default Paragraph Font"/>
    <w:uiPriority w:val="0"/>
    <w:semiHidden/>
    <w:qFormat/>
  </w:style>
  <w:style w:type="table" w:styleId="756" w:default="1">
    <w:name w:val="Normal Table"/>
    <w:uiPriority w:val="0"/>
    <w:semiHidden/>
    <w:tblPr>
      <w:tblCellMar>
        <w:left w:w="108" w:type="dxa"/>
        <w:top w:w="0" w:type="dxa"/>
        <w:right w:w="108" w:type="dxa"/>
        <w:bottom w:w="0" w:type="dxa"/>
      </w:tblCellMar>
    </w:tblPr>
  </w:style>
  <w:style w:type="paragraph" w:styleId="757">
    <w:name w:val="toc 7"/>
    <w:basedOn w:val="745"/>
    <w:next w:val="745"/>
    <w:uiPriority w:val="39"/>
    <w:unhideWhenUsed/>
    <w:pPr>
      <w:ind w:left="1701" w:right="0" w:firstLine="0"/>
      <w:spacing w:after="57"/>
    </w:pPr>
  </w:style>
  <w:style w:type="paragraph" w:styleId="758">
    <w:name w:val="Caption"/>
    <w:basedOn w:val="745"/>
    <w:next w:val="745"/>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59">
    <w:name w:val="Body Text"/>
    <w:basedOn w:val="745"/>
    <w:next w:val="745"/>
    <w:uiPriority w:val="0"/>
    <w:qFormat/>
    <w:rPr>
      <w:rFonts w:ascii="楷体_GB2312" w:hAnsi="Arial"/>
      <w:sz w:val="28"/>
    </w:rPr>
  </w:style>
  <w:style w:type="paragraph" w:styleId="760">
    <w:name w:val="Body Text Indent"/>
    <w:basedOn w:val="745"/>
    <w:uiPriority w:val="0"/>
    <w:qFormat/>
    <w:pPr>
      <w:ind w:firstLine="645"/>
    </w:pPr>
    <w:rPr>
      <w:rFonts w:ascii="楷体_GB2312" w:hAnsi="Calibri"/>
      <w:sz w:val="32"/>
      <w:szCs w:val="22"/>
    </w:rPr>
  </w:style>
  <w:style w:type="paragraph" w:styleId="761">
    <w:name w:val="toc 5"/>
    <w:basedOn w:val="745"/>
    <w:next w:val="745"/>
    <w:uiPriority w:val="39"/>
    <w:unhideWhenUsed/>
    <w:pPr>
      <w:ind w:left="1134" w:right="0" w:firstLine="0"/>
      <w:spacing w:after="57"/>
    </w:pPr>
  </w:style>
  <w:style w:type="paragraph" w:styleId="762">
    <w:name w:val="toc 3"/>
    <w:basedOn w:val="745"/>
    <w:next w:val="745"/>
    <w:uiPriority w:val="39"/>
    <w:unhideWhenUsed/>
    <w:pPr>
      <w:ind w:left="567" w:right="0" w:firstLine="0"/>
      <w:spacing w:after="57"/>
    </w:pPr>
  </w:style>
  <w:style w:type="paragraph" w:styleId="763">
    <w:name w:val="toc 8"/>
    <w:basedOn w:val="745"/>
    <w:next w:val="745"/>
    <w:uiPriority w:val="39"/>
    <w:unhideWhenUsed/>
    <w:qFormat/>
    <w:pPr>
      <w:ind w:left="1984" w:right="0" w:firstLine="0"/>
      <w:spacing w:after="57"/>
    </w:pPr>
  </w:style>
  <w:style w:type="paragraph" w:styleId="764">
    <w:name w:val="endnote text"/>
    <w:basedOn w:val="745"/>
    <w:link w:val="932"/>
    <w:uiPriority w:val="99"/>
    <w:semiHidden/>
    <w:unhideWhenUsed/>
    <w:pPr>
      <w:spacing w:after="0" w:line="240" w:lineRule="auto"/>
    </w:pPr>
    <w:rPr>
      <w:sz w:val="20"/>
    </w:rPr>
  </w:style>
  <w:style w:type="paragraph" w:styleId="765">
    <w:name w:val="Footer"/>
    <w:basedOn w:val="745"/>
    <w:uiPriority w:val="99"/>
    <w:unhideWhenUsed/>
    <w:qFormat/>
    <w:pPr>
      <w:tabs>
        <w:tab w:val="center" w:pos="7143" w:leader="none"/>
        <w:tab w:val="right" w:pos="14287" w:leader="none"/>
      </w:tabs>
    </w:pPr>
  </w:style>
  <w:style w:type="paragraph" w:styleId="766">
    <w:name w:val="envelope return"/>
    <w:basedOn w:val="767"/>
    <w:uiPriority w:val="99"/>
    <w:unhideWhenUsed/>
    <w:qFormat/>
    <w:rPr>
      <w:rFonts w:ascii="Arial" w:hAnsi="Arial"/>
    </w:rPr>
  </w:style>
  <w:style w:type="paragraph" w:styleId="767" w:customStyle="1">
    <w:name w:val="Normal_19"/>
    <w:next w:val="76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8" w:customStyle="1">
    <w:name w:val="正文文本缩进1"/>
    <w:basedOn w:val="745"/>
    <w:next w:val="766"/>
    <w:uiPriority w:val="0"/>
    <w:unhideWhenUsed/>
    <w:qFormat/>
    <w:pPr>
      <w:ind w:firstLine="570"/>
    </w:pPr>
    <w:rPr>
      <w:rFonts w:ascii="宋体" w:eastAsia="宋体"/>
      <w:sz w:val="28"/>
    </w:rPr>
  </w:style>
  <w:style w:type="paragraph" w:styleId="769">
    <w:name w:val="Header"/>
    <w:basedOn w:val="745"/>
    <w:link w:val="803"/>
    <w:uiPriority w:val="99"/>
    <w:unhideWhenUsed/>
    <w:pPr>
      <w:spacing w:after="0" w:line="240" w:lineRule="auto"/>
      <w:tabs>
        <w:tab w:val="center" w:pos="7143" w:leader="none"/>
        <w:tab w:val="right" w:pos="14287" w:leader="none"/>
      </w:tabs>
    </w:pPr>
  </w:style>
  <w:style w:type="paragraph" w:styleId="770">
    <w:name w:val="toc 1"/>
    <w:basedOn w:val="745"/>
    <w:next w:val="745"/>
    <w:uiPriority w:val="39"/>
    <w:unhideWhenUsed/>
    <w:pPr>
      <w:ind w:left="0" w:right="0" w:firstLine="0"/>
      <w:spacing w:after="57"/>
    </w:pPr>
  </w:style>
  <w:style w:type="paragraph" w:styleId="771">
    <w:name w:val="toc 4"/>
    <w:basedOn w:val="745"/>
    <w:next w:val="745"/>
    <w:uiPriority w:val="39"/>
    <w:unhideWhenUsed/>
    <w:pPr>
      <w:ind w:left="850" w:right="0" w:firstLine="0"/>
      <w:spacing w:after="57"/>
    </w:pPr>
  </w:style>
  <w:style w:type="paragraph" w:styleId="772">
    <w:name w:val="Subtitle"/>
    <w:basedOn w:val="745"/>
    <w:next w:val="745"/>
    <w:link w:val="798"/>
    <w:uiPriority w:val="11"/>
    <w:qFormat/>
    <w:pPr>
      <w:spacing w:before="200" w:after="200"/>
    </w:pPr>
    <w:rPr>
      <w:sz w:val="24"/>
      <w:szCs w:val="24"/>
    </w:rPr>
  </w:style>
  <w:style w:type="paragraph" w:styleId="773">
    <w:name w:val="footnote text"/>
    <w:basedOn w:val="745"/>
    <w:link w:val="931"/>
    <w:uiPriority w:val="99"/>
    <w:semiHidden/>
    <w:unhideWhenUsed/>
    <w:pPr>
      <w:spacing w:after="40" w:line="240" w:lineRule="auto"/>
    </w:pPr>
    <w:rPr>
      <w:sz w:val="18"/>
    </w:rPr>
  </w:style>
  <w:style w:type="paragraph" w:styleId="774">
    <w:name w:val="toc 6"/>
    <w:basedOn w:val="745"/>
    <w:next w:val="745"/>
    <w:uiPriority w:val="39"/>
    <w:unhideWhenUsed/>
    <w:pPr>
      <w:ind w:left="1417" w:right="0" w:firstLine="0"/>
      <w:spacing w:after="57"/>
    </w:pPr>
  </w:style>
  <w:style w:type="paragraph" w:styleId="775">
    <w:name w:val="table of figures"/>
    <w:basedOn w:val="745"/>
    <w:next w:val="745"/>
    <w:uiPriority w:val="99"/>
    <w:unhideWhenUsed/>
    <w:pPr>
      <w:spacing w:after="0" w:afterAutospacing="0"/>
    </w:pPr>
  </w:style>
  <w:style w:type="paragraph" w:styleId="776">
    <w:name w:val="toc 2"/>
    <w:basedOn w:val="745"/>
    <w:next w:val="745"/>
    <w:uiPriority w:val="39"/>
    <w:unhideWhenUsed/>
    <w:pPr>
      <w:ind w:left="283" w:right="0" w:firstLine="0"/>
      <w:spacing w:after="57"/>
    </w:pPr>
  </w:style>
  <w:style w:type="paragraph" w:styleId="777">
    <w:name w:val="toc 9"/>
    <w:basedOn w:val="745"/>
    <w:next w:val="745"/>
    <w:uiPriority w:val="39"/>
    <w:unhideWhenUsed/>
    <w:pPr>
      <w:ind w:left="2268" w:right="0" w:firstLine="0"/>
      <w:spacing w:after="57"/>
    </w:pPr>
  </w:style>
  <w:style w:type="paragraph" w:styleId="778">
    <w:name w:val="HTML Preformatted"/>
    <w:basedOn w:val="745"/>
    <w:uiPriority w:val="0"/>
    <w:unhideWhenUsed/>
    <w:qFormat/>
    <w:rPr>
      <w:rFonts w:ascii="Courier New" w:hAnsi="Courier New" w:cs="Courier New"/>
      <w:sz w:val="20"/>
    </w:rPr>
  </w:style>
  <w:style w:type="paragraph" w:styleId="779">
    <w:name w:val="Normal (Web)"/>
    <w:basedOn w:val="745"/>
    <w:uiPriority w:val="0"/>
    <w:qFormat/>
    <w:pPr>
      <w:jc w:val="left"/>
      <w:spacing w:before="100" w:beforeAutospacing="1" w:after="100" w:afterAutospacing="1"/>
      <w:widowControl/>
    </w:pPr>
    <w:rPr>
      <w:rFonts w:ascii="宋体" w:hAnsi="宋体"/>
      <w:color w:val="000000"/>
      <w:sz w:val="24"/>
      <w:szCs w:val="24"/>
    </w:rPr>
  </w:style>
  <w:style w:type="paragraph" w:styleId="780">
    <w:name w:val="Title"/>
    <w:basedOn w:val="745"/>
    <w:next w:val="745"/>
    <w:link w:val="797"/>
    <w:uiPriority w:val="10"/>
    <w:qFormat/>
    <w:pPr>
      <w:contextualSpacing/>
      <w:spacing w:before="300" w:after="200"/>
    </w:pPr>
    <w:rPr>
      <w:sz w:val="48"/>
      <w:szCs w:val="48"/>
    </w:rPr>
  </w:style>
  <w:style w:type="paragraph" w:styleId="781">
    <w:name w:val="Body Text First Indent 2"/>
    <w:basedOn w:val="760"/>
    <w:uiPriority w:val="99"/>
    <w:unhideWhenUsed/>
    <w:qFormat/>
    <w:pPr>
      <w:ind w:firstLine="200"/>
    </w:pPr>
  </w:style>
  <w:style w:type="table" w:styleId="782">
    <w:name w:val="Table Grid"/>
    <w:basedOn w:val="75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3">
    <w:name w:val="endnote reference"/>
    <w:basedOn w:val="755"/>
    <w:uiPriority w:val="99"/>
    <w:semiHidden/>
    <w:unhideWhenUsed/>
    <w:rPr>
      <w:vertAlign w:val="superscript"/>
    </w:rPr>
  </w:style>
  <w:style w:type="character" w:styleId="784">
    <w:name w:val="Emphasis"/>
    <w:uiPriority w:val="0"/>
    <w:qFormat/>
    <w:rPr>
      <w:rFonts w:ascii="Times New Roman" w:hAnsi="Times New Roman" w:eastAsia="宋体" w:cs="Times New Roman"/>
      <w:i/>
    </w:rPr>
  </w:style>
  <w:style w:type="character" w:styleId="785">
    <w:name w:val="Hyperlink"/>
    <w:uiPriority w:val="99"/>
    <w:unhideWhenUsed/>
    <w:qFormat/>
    <w:rPr>
      <w:color w:val="0563c1"/>
      <w:u w:val="single"/>
    </w:rPr>
  </w:style>
  <w:style w:type="character" w:styleId="786">
    <w:name w:val="footnote reference"/>
    <w:basedOn w:val="755"/>
    <w:uiPriority w:val="99"/>
    <w:unhideWhenUsed/>
    <w:rPr>
      <w:vertAlign w:val="superscript"/>
    </w:rPr>
  </w:style>
  <w:style w:type="character" w:styleId="787" w:customStyle="1">
    <w:name w:val="Heading 1 Char"/>
    <w:basedOn w:val="755"/>
    <w:link w:val="746"/>
    <w:uiPriority w:val="9"/>
    <w:rPr>
      <w:rFonts w:ascii="Arial" w:hAnsi="Arial" w:eastAsia="Arial" w:cs="Arial"/>
      <w:sz w:val="40"/>
      <w:szCs w:val="40"/>
    </w:rPr>
  </w:style>
  <w:style w:type="character" w:styleId="788" w:customStyle="1">
    <w:name w:val="Heading 2 Char"/>
    <w:basedOn w:val="755"/>
    <w:link w:val="747"/>
    <w:uiPriority w:val="9"/>
    <w:qFormat/>
    <w:rPr>
      <w:rFonts w:ascii="Arial" w:hAnsi="Arial" w:eastAsia="Arial" w:cs="Arial"/>
      <w:sz w:val="34"/>
    </w:rPr>
  </w:style>
  <w:style w:type="character" w:styleId="789" w:customStyle="1">
    <w:name w:val="Heading 3 Char"/>
    <w:basedOn w:val="755"/>
    <w:link w:val="748"/>
    <w:uiPriority w:val="9"/>
    <w:qFormat/>
    <w:rPr>
      <w:rFonts w:ascii="Arial" w:hAnsi="Arial" w:eastAsia="Arial" w:cs="Arial"/>
      <w:sz w:val="30"/>
      <w:szCs w:val="30"/>
    </w:rPr>
  </w:style>
  <w:style w:type="character" w:styleId="790" w:customStyle="1">
    <w:name w:val="Heading 4 Char"/>
    <w:basedOn w:val="755"/>
    <w:link w:val="749"/>
    <w:uiPriority w:val="9"/>
    <w:qFormat/>
    <w:rPr>
      <w:rFonts w:ascii="Arial" w:hAnsi="Arial" w:eastAsia="Arial" w:cs="Arial"/>
      <w:b/>
      <w:bCs/>
      <w:sz w:val="26"/>
      <w:szCs w:val="26"/>
    </w:rPr>
  </w:style>
  <w:style w:type="character" w:styleId="791" w:customStyle="1">
    <w:name w:val="Heading 5 Char"/>
    <w:basedOn w:val="755"/>
    <w:link w:val="750"/>
    <w:uiPriority w:val="9"/>
    <w:qFormat/>
    <w:rPr>
      <w:rFonts w:ascii="Arial" w:hAnsi="Arial" w:eastAsia="Arial" w:cs="Arial"/>
      <w:b/>
      <w:bCs/>
      <w:sz w:val="24"/>
      <w:szCs w:val="24"/>
    </w:rPr>
  </w:style>
  <w:style w:type="character" w:styleId="792" w:customStyle="1">
    <w:name w:val="Heading 6 Char"/>
    <w:basedOn w:val="755"/>
    <w:link w:val="751"/>
    <w:uiPriority w:val="9"/>
    <w:qFormat/>
    <w:rPr>
      <w:rFonts w:ascii="Arial" w:hAnsi="Arial" w:eastAsia="Arial" w:cs="Arial"/>
      <w:b/>
      <w:bCs/>
      <w:sz w:val="22"/>
      <w:szCs w:val="22"/>
    </w:rPr>
  </w:style>
  <w:style w:type="character" w:styleId="793" w:customStyle="1">
    <w:name w:val="Heading 7 Char"/>
    <w:basedOn w:val="755"/>
    <w:link w:val="752"/>
    <w:uiPriority w:val="9"/>
    <w:qFormat/>
    <w:rPr>
      <w:rFonts w:ascii="Arial" w:hAnsi="Arial" w:eastAsia="Arial" w:cs="Arial"/>
      <w:b/>
      <w:bCs/>
      <w:i/>
      <w:iCs/>
      <w:sz w:val="22"/>
      <w:szCs w:val="22"/>
    </w:rPr>
  </w:style>
  <w:style w:type="character" w:styleId="794" w:customStyle="1">
    <w:name w:val="Heading 8 Char"/>
    <w:basedOn w:val="755"/>
    <w:link w:val="753"/>
    <w:uiPriority w:val="9"/>
    <w:qFormat/>
    <w:rPr>
      <w:rFonts w:ascii="Arial" w:hAnsi="Arial" w:eastAsia="Arial" w:cs="Arial"/>
      <w:i/>
      <w:iCs/>
      <w:sz w:val="22"/>
      <w:szCs w:val="22"/>
    </w:rPr>
  </w:style>
  <w:style w:type="character" w:styleId="795" w:customStyle="1">
    <w:name w:val="Heading 9 Char"/>
    <w:basedOn w:val="755"/>
    <w:link w:val="754"/>
    <w:uiPriority w:val="9"/>
    <w:qFormat/>
    <w:rPr>
      <w:rFonts w:ascii="Arial" w:hAnsi="Arial" w:eastAsia="Arial" w:cs="Arial"/>
      <w:i/>
      <w:iCs/>
      <w:sz w:val="21"/>
      <w:szCs w:val="21"/>
    </w:rPr>
  </w:style>
  <w:style w:type="paragraph" w:styleId="796">
    <w:name w:val="No Spacing"/>
    <w:uiPriority w:val="1"/>
    <w:qFormat/>
    <w:pPr>
      <w:spacing w:before="0" w:after="0" w:line="240" w:lineRule="auto"/>
    </w:pPr>
    <w:rPr>
      <w:rFonts w:hint="default" w:asciiTheme="minorHAnsi" w:hAnsiTheme="minorHAnsi" w:eastAsiaTheme="minorEastAsia" w:cstheme="minorBidi"/>
    </w:rPr>
  </w:style>
  <w:style w:type="character" w:styleId="797" w:customStyle="1">
    <w:name w:val="Title Char"/>
    <w:basedOn w:val="755"/>
    <w:link w:val="780"/>
    <w:uiPriority w:val="10"/>
    <w:qFormat/>
    <w:rPr>
      <w:sz w:val="48"/>
      <w:szCs w:val="48"/>
    </w:rPr>
  </w:style>
  <w:style w:type="character" w:styleId="798" w:customStyle="1">
    <w:name w:val="Subtitle Char"/>
    <w:basedOn w:val="755"/>
    <w:link w:val="772"/>
    <w:uiPriority w:val="11"/>
    <w:qFormat/>
    <w:rPr>
      <w:sz w:val="24"/>
      <w:szCs w:val="24"/>
    </w:rPr>
  </w:style>
  <w:style w:type="paragraph" w:styleId="799">
    <w:name w:val="Quote"/>
    <w:basedOn w:val="745"/>
    <w:next w:val="745"/>
    <w:link w:val="800"/>
    <w:uiPriority w:val="29"/>
    <w:qFormat/>
    <w:pPr>
      <w:ind w:left="720" w:right="720"/>
    </w:pPr>
    <w:rPr>
      <w:i/>
    </w:rPr>
  </w:style>
  <w:style w:type="character" w:styleId="800" w:customStyle="1">
    <w:name w:val="Quote Char"/>
    <w:link w:val="799"/>
    <w:uiPriority w:val="29"/>
    <w:qFormat/>
    <w:rPr>
      <w:i/>
    </w:rPr>
  </w:style>
  <w:style w:type="paragraph" w:styleId="801">
    <w:name w:val="Intense Quote"/>
    <w:basedOn w:val="745"/>
    <w:next w:val="745"/>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customStyle="1">
    <w:name w:val="Intense Quote Char"/>
    <w:link w:val="801"/>
    <w:uiPriority w:val="30"/>
    <w:rPr>
      <w:i/>
    </w:rPr>
  </w:style>
  <w:style w:type="character" w:styleId="803" w:customStyle="1">
    <w:name w:val="Header Char"/>
    <w:basedOn w:val="755"/>
    <w:link w:val="769"/>
    <w:uiPriority w:val="99"/>
  </w:style>
  <w:style w:type="character" w:styleId="804" w:customStyle="1">
    <w:name w:val="Footer Char"/>
    <w:basedOn w:val="755"/>
    <w:uiPriority w:val="99"/>
  </w:style>
  <w:style w:type="character" w:styleId="805" w:customStyle="1">
    <w:name w:val="Caption Char"/>
    <w:uiPriority w:val="99"/>
  </w:style>
  <w:style w:type="table" w:styleId="806" w:customStyle="1">
    <w:name w:val="Table Grid Light"/>
    <w:basedOn w:val="75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7" w:customStyle="1">
    <w:name w:val="Plain Table 1"/>
    <w:basedOn w:val="756"/>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2"/>
    <w:basedOn w:val="75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3"/>
    <w:basedOn w:val="756"/>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customStyle="1">
    <w:name w:val="Plain Table 4"/>
    <w:basedOn w:val="756"/>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Plain Table 5"/>
    <w:basedOn w:val="7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customStyle="1">
    <w:name w:val="Grid Table 1 Light"/>
    <w:basedOn w:val="756"/>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1"/>
    <w:basedOn w:val="756"/>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2"/>
    <w:basedOn w:val="756"/>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3"/>
    <w:basedOn w:val="75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4"/>
    <w:basedOn w:val="75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5"/>
    <w:basedOn w:val="756"/>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6"/>
    <w:basedOn w:val="756"/>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19" w:customStyle="1">
    <w:name w:val="Grid Table 2"/>
    <w:basedOn w:val="756"/>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0" w:customStyle="1">
    <w:name w:val="Grid Table 2 - Accent 1"/>
    <w:basedOn w:val="756"/>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21" w:customStyle="1">
    <w:name w:val="Grid Table 2 - Accent 2"/>
    <w:basedOn w:val="75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22" w:customStyle="1">
    <w:name w:val="Grid Table 2 - Accent 3"/>
    <w:basedOn w:val="756"/>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23" w:customStyle="1">
    <w:name w:val="Grid Table 2 - Accent 4"/>
    <w:basedOn w:val="75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24" w:customStyle="1">
    <w:name w:val="Grid Table 2 - Accent 5"/>
    <w:basedOn w:val="756"/>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25" w:customStyle="1">
    <w:name w:val="Grid Table 2 - Accent 6"/>
    <w:basedOn w:val="756"/>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26" w:customStyle="1">
    <w:name w:val="Grid Table 3"/>
    <w:basedOn w:val="75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1"/>
    <w:basedOn w:val="75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2"/>
    <w:basedOn w:val="75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3"/>
    <w:basedOn w:val="75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4"/>
    <w:basedOn w:val="756"/>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5"/>
    <w:basedOn w:val="75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6"/>
    <w:basedOn w:val="75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4"/>
    <w:basedOn w:val="75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customStyle="1">
    <w:name w:val="Grid Table 4 - Accent 1"/>
    <w:basedOn w:val="756"/>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35" w:customStyle="1">
    <w:name w:val="Grid Table 4 - Accent 2"/>
    <w:basedOn w:val="756"/>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36" w:customStyle="1">
    <w:name w:val="Grid Table 4 - Accent 3"/>
    <w:basedOn w:val="756"/>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37" w:customStyle="1">
    <w:name w:val="Grid Table 4 - Accent 4"/>
    <w:basedOn w:val="756"/>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38" w:customStyle="1">
    <w:name w:val="Grid Table 4 - Accent 5"/>
    <w:basedOn w:val="756"/>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39" w:customStyle="1">
    <w:name w:val="Grid Table 4 - Accent 6"/>
    <w:basedOn w:val="756"/>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40" w:customStyle="1">
    <w:name w:val="Grid Table 5 Dark"/>
    <w:basedOn w:val="75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1" w:customStyle="1">
    <w:name w:val="Grid Table 5 Dark- Accent 1"/>
    <w:basedOn w:val="7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42" w:customStyle="1">
    <w:name w:val="Grid Table 5 Dark - Accent 2"/>
    <w:basedOn w:val="7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43" w:customStyle="1">
    <w:name w:val="Grid Table 5 Dark - Accent 3"/>
    <w:basedOn w:val="7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44" w:customStyle="1">
    <w:name w:val="Grid Table 5 Dark- Accent 4"/>
    <w:basedOn w:val="75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45" w:customStyle="1">
    <w:name w:val="Grid Table 5 Dark - Accent 5"/>
    <w:basedOn w:val="75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46" w:customStyle="1">
    <w:name w:val="Grid Table 5 Dark - Accent 6"/>
    <w:basedOn w:val="7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47" w:customStyle="1">
    <w:name w:val="Grid Table 6 Colorful"/>
    <w:basedOn w:val="75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8" w:customStyle="1">
    <w:name w:val="Grid Table 6 Colorful - Accent 1"/>
    <w:basedOn w:val="756"/>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49" w:customStyle="1">
    <w:name w:val="Grid Table 6 Colorful - Accent 2"/>
    <w:basedOn w:val="756"/>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50" w:customStyle="1">
    <w:name w:val="Grid Table 6 Colorful - Accent 3"/>
    <w:basedOn w:val="756"/>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51" w:customStyle="1">
    <w:name w:val="Grid Table 6 Colorful - Accent 4"/>
    <w:basedOn w:val="75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52" w:customStyle="1">
    <w:name w:val="Grid Table 6 Colorful - Accent 5"/>
    <w:basedOn w:val="756"/>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53" w:customStyle="1">
    <w:name w:val="Grid Table 6 Colorful - Accent 6"/>
    <w:basedOn w:val="756"/>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54" w:customStyle="1">
    <w:name w:val="Grid Table 7 Colorful"/>
    <w:basedOn w:val="756"/>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Grid Table 7 Colorful - Accent 1"/>
    <w:basedOn w:val="756"/>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56" w:customStyle="1">
    <w:name w:val="Grid Table 7 Colorful - Accent 2"/>
    <w:basedOn w:val="756"/>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7" w:customStyle="1">
    <w:name w:val="Grid Table 7 Colorful - Accent 3"/>
    <w:basedOn w:val="756"/>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58" w:customStyle="1">
    <w:name w:val="Grid Table 7 Colorful - Accent 4"/>
    <w:basedOn w:val="756"/>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59" w:customStyle="1">
    <w:name w:val="Grid Table 7 Colorful - Accent 5"/>
    <w:basedOn w:val="756"/>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60" w:customStyle="1">
    <w:name w:val="Grid Table 7 Colorful - Accent 6"/>
    <w:basedOn w:val="756"/>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61" w:customStyle="1">
    <w:name w:val="List Table 1 Light"/>
    <w:basedOn w:val="75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customStyle="1">
    <w:name w:val="List Table 1 Light - Accent 1"/>
    <w:basedOn w:val="756"/>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63" w:customStyle="1">
    <w:name w:val="List Table 1 Light - Accent 2"/>
    <w:basedOn w:val="756"/>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64" w:customStyle="1">
    <w:name w:val="List Table 1 Light - Accent 3"/>
    <w:basedOn w:val="756"/>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65" w:customStyle="1">
    <w:name w:val="List Table 1 Light - Accent 4"/>
    <w:basedOn w:val="756"/>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66" w:customStyle="1">
    <w:name w:val="List Table 1 Light - Accent 5"/>
    <w:basedOn w:val="756"/>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67" w:customStyle="1">
    <w:name w:val="List Table 1 Light - Accent 6"/>
    <w:basedOn w:val="756"/>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68" w:customStyle="1">
    <w:name w:val="List Table 2"/>
    <w:basedOn w:val="75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9" w:customStyle="1">
    <w:name w:val="List Table 2 - Accent 1"/>
    <w:basedOn w:val="756"/>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70" w:customStyle="1">
    <w:name w:val="List Table 2 - Accent 2"/>
    <w:basedOn w:val="756"/>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71" w:customStyle="1">
    <w:name w:val="List Table 2 - Accent 3"/>
    <w:basedOn w:val="756"/>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72" w:customStyle="1">
    <w:name w:val="List Table 2 - Accent 4"/>
    <w:basedOn w:val="756"/>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73" w:customStyle="1">
    <w:name w:val="List Table 2 - Accent 5"/>
    <w:basedOn w:val="756"/>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74" w:customStyle="1">
    <w:name w:val="List Table 2 - Accent 6"/>
    <w:basedOn w:val="756"/>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75" w:customStyle="1">
    <w:name w:val="List Table 3"/>
    <w:basedOn w:val="756"/>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3 - Accent 1"/>
    <w:basedOn w:val="756"/>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77" w:customStyle="1">
    <w:name w:val="List Table 3 - Accent 2"/>
    <w:basedOn w:val="75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78" w:customStyle="1">
    <w:name w:val="List Table 3 - Accent 3"/>
    <w:basedOn w:val="756"/>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79" w:customStyle="1">
    <w:name w:val="List Table 3 - Accent 4"/>
    <w:basedOn w:val="756"/>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80" w:customStyle="1">
    <w:name w:val="List Table 3 - Accent 5"/>
    <w:basedOn w:val="756"/>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81" w:customStyle="1">
    <w:name w:val="List Table 3 - Accent 6"/>
    <w:basedOn w:val="756"/>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82" w:customStyle="1">
    <w:name w:val="List Table 4"/>
    <w:basedOn w:val="756"/>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4 - Accent 1"/>
    <w:basedOn w:val="756"/>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84" w:customStyle="1">
    <w:name w:val="List Table 4 - Accent 2"/>
    <w:basedOn w:val="756"/>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85" w:customStyle="1">
    <w:name w:val="List Table 4 - Accent 3"/>
    <w:basedOn w:val="756"/>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86" w:customStyle="1">
    <w:name w:val="List Table 4 - Accent 4"/>
    <w:basedOn w:val="756"/>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87" w:customStyle="1">
    <w:name w:val="List Table 4 - Accent 5"/>
    <w:basedOn w:val="756"/>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88" w:customStyle="1">
    <w:name w:val="List Table 4 - Accent 6"/>
    <w:basedOn w:val="756"/>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89" w:customStyle="1">
    <w:name w:val="List Table 5 Dark"/>
    <w:basedOn w:val="756"/>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1"/>
    <w:basedOn w:val="756"/>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2"/>
    <w:basedOn w:val="756"/>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3"/>
    <w:basedOn w:val="756"/>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4"/>
    <w:basedOn w:val="756"/>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5"/>
    <w:basedOn w:val="756"/>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6"/>
    <w:basedOn w:val="756"/>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6 Colorful"/>
    <w:basedOn w:val="756"/>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7" w:customStyle="1">
    <w:name w:val="List Table 6 Colorful - Accent 1"/>
    <w:basedOn w:val="756"/>
    <w:uiPriority w:val="99"/>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98" w:customStyle="1">
    <w:name w:val="List Table 6 Colorful - Accent 2"/>
    <w:basedOn w:val="756"/>
    <w:uiPriority w:val="99"/>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99" w:customStyle="1">
    <w:name w:val="List Table 6 Colorful - Accent 3"/>
    <w:basedOn w:val="756"/>
    <w:uiPriority w:val="99"/>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00" w:customStyle="1">
    <w:name w:val="List Table 6 Colorful - Accent 4"/>
    <w:basedOn w:val="756"/>
    <w:uiPriority w:val="99"/>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01" w:customStyle="1">
    <w:name w:val="List Table 6 Colorful - Accent 5"/>
    <w:basedOn w:val="756"/>
    <w:uiPriority w:val="99"/>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02" w:customStyle="1">
    <w:name w:val="List Table 6 Colorful - Accent 6"/>
    <w:basedOn w:val="756"/>
    <w:uiPriority w:val="99"/>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03" w:customStyle="1">
    <w:name w:val="List Table 7 Colorful"/>
    <w:basedOn w:val="756"/>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4" w:customStyle="1">
    <w:name w:val="List Table 7 Colorful - Accent 1"/>
    <w:basedOn w:val="756"/>
    <w:uiPriority w:val="99"/>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05" w:customStyle="1">
    <w:name w:val="List Table 7 Colorful - Accent 2"/>
    <w:basedOn w:val="756"/>
    <w:uiPriority w:val="99"/>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06" w:customStyle="1">
    <w:name w:val="List Table 7 Colorful - Accent 3"/>
    <w:basedOn w:val="756"/>
    <w:uiPriority w:val="99"/>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07" w:customStyle="1">
    <w:name w:val="List Table 7 Colorful - Accent 4"/>
    <w:basedOn w:val="756"/>
    <w:uiPriority w:val="99"/>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08" w:customStyle="1">
    <w:name w:val="List Table 7 Colorful - Accent 5"/>
    <w:basedOn w:val="756"/>
    <w:uiPriority w:val="99"/>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09" w:customStyle="1">
    <w:name w:val="List Table 7 Colorful - Accent 6"/>
    <w:basedOn w:val="756"/>
    <w:uiPriority w:val="99"/>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10" w:customStyle="1">
    <w:name w:val="Lined - Accent"/>
    <w:basedOn w:val="75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Lined - Accent 1"/>
    <w:basedOn w:val="7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2" w:customStyle="1">
    <w:name w:val="Lined - Accent 2"/>
    <w:basedOn w:val="75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13" w:customStyle="1">
    <w:name w:val="Lined - Accent 3"/>
    <w:basedOn w:val="75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14" w:customStyle="1">
    <w:name w:val="Lined - Accent 4"/>
    <w:basedOn w:val="75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15" w:customStyle="1">
    <w:name w:val="Lined - Accent 5"/>
    <w:basedOn w:val="75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16" w:customStyle="1">
    <w:name w:val="Lined - Accent 6"/>
    <w:basedOn w:val="75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17" w:customStyle="1">
    <w:name w:val="Bordered &amp; Lined - Accent"/>
    <w:basedOn w:val="756"/>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Bordered &amp; Lined - Accent 1"/>
    <w:basedOn w:val="756"/>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9" w:customStyle="1">
    <w:name w:val="Bordered &amp; Lined - Accent 2"/>
    <w:basedOn w:val="756"/>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20" w:customStyle="1">
    <w:name w:val="Bordered &amp; Lined - Accent 3"/>
    <w:basedOn w:val="756"/>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21" w:customStyle="1">
    <w:name w:val="Bordered &amp; Lined - Accent 4"/>
    <w:basedOn w:val="756"/>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22" w:customStyle="1">
    <w:name w:val="Bordered &amp; Lined - Accent 5"/>
    <w:basedOn w:val="756"/>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23" w:customStyle="1">
    <w:name w:val="Bordered &amp; Lined - Accent 6"/>
    <w:basedOn w:val="756"/>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24" w:customStyle="1">
    <w:name w:val="Bordered"/>
    <w:basedOn w:val="756"/>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5" w:customStyle="1">
    <w:name w:val="Bordered - Accent 1"/>
    <w:basedOn w:val="756"/>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26" w:customStyle="1">
    <w:name w:val="Bordered - Accent 2"/>
    <w:basedOn w:val="756"/>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27" w:customStyle="1">
    <w:name w:val="Bordered - Accent 3"/>
    <w:basedOn w:val="756"/>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28" w:customStyle="1">
    <w:name w:val="Bordered - Accent 4"/>
    <w:basedOn w:val="75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29" w:customStyle="1">
    <w:name w:val="Bordered - Accent 5"/>
    <w:basedOn w:val="756"/>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30" w:customStyle="1">
    <w:name w:val="Bordered - Accent 6"/>
    <w:basedOn w:val="756"/>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31" w:customStyle="1">
    <w:name w:val="Footnote Text Char"/>
    <w:link w:val="773"/>
    <w:uiPriority w:val="99"/>
    <w:rPr>
      <w:sz w:val="18"/>
    </w:rPr>
  </w:style>
  <w:style w:type="character" w:styleId="932" w:customStyle="1">
    <w:name w:val="Endnote Text Char"/>
    <w:link w:val="764"/>
    <w:uiPriority w:val="99"/>
    <w:rPr>
      <w:sz w:val="20"/>
    </w:rPr>
  </w:style>
  <w:style w:type="paragraph" w:styleId="933" w:customStyle="1">
    <w:name w:val="TOC Heading"/>
    <w:uiPriority w:val="39"/>
    <w:unhideWhenUsed/>
    <w:rPr>
      <w:rFonts w:hint="default" w:asciiTheme="minorHAnsi" w:hAnsiTheme="minorHAnsi" w:eastAsiaTheme="minorEastAsia" w:cstheme="minorBidi"/>
    </w:rPr>
  </w:style>
  <w:style w:type="paragraph" w:styleId="934" w:customStyle="1">
    <w:name w:val="正文首行缩进 21"/>
    <w:basedOn w:val="768"/>
    <w:uiPriority w:val="99"/>
    <w:unhideWhenUsed/>
    <w:qFormat/>
    <w:pPr>
      <w:ind w:firstLine="420"/>
    </w:pPr>
  </w:style>
  <w:style w:type="paragraph" w:styleId="935" w:customStyle="1">
    <w:name w:val="目录 11"/>
    <w:basedOn w:val="745"/>
    <w:next w:val="745"/>
    <w:uiPriority w:val="0"/>
    <w:unhideWhenUsed/>
    <w:qFormat/>
    <w:pPr>
      <w:jc w:val="left"/>
    </w:pPr>
    <w:rPr>
      <w:sz w:val="24"/>
    </w:rPr>
  </w:style>
  <w:style w:type="paragraph" w:styleId="936" w:customStyle="1">
    <w:name w:val="标题 21"/>
    <w:basedOn w:val="745"/>
    <w:next w:val="745"/>
    <w:uiPriority w:val="0"/>
    <w:qFormat/>
    <w:pPr>
      <w:keepLines/>
      <w:keepNext/>
      <w:spacing w:before="260" w:after="260" w:line="416" w:lineRule="auto"/>
      <w:outlineLvl w:val="1"/>
    </w:pPr>
    <w:rPr>
      <w:rFonts w:ascii="Cambria" w:hAnsi="Cambria" w:eastAsia="宋体"/>
      <w:b/>
      <w:bCs/>
      <w:sz w:val="32"/>
      <w:szCs w:val="32"/>
    </w:rPr>
  </w:style>
  <w:style w:type="table" w:styleId="937" w:customStyle="1">
    <w:name w:val="Table Normal"/>
    <w:uiPriority w:val="0"/>
    <w:semiHidden/>
    <w:unhideWhenUsed/>
    <w:qFormat/>
    <w:tblPr>
      <w:tblCellMar>
        <w:left w:w="0" w:type="dxa"/>
        <w:top w:w="0" w:type="dxa"/>
        <w:right w:w="0" w:type="dxa"/>
        <w:bottom w:w="0" w:type="dxa"/>
      </w:tblCellMar>
    </w:tblPr>
  </w:style>
  <w:style w:type="paragraph" w:styleId="938"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39" w:customStyle="1">
    <w:name w:val="纯文本1111"/>
    <w:basedOn w:val="745"/>
    <w:next w:val="940"/>
    <w:uiPriority w:val="0"/>
    <w:unhideWhenUsed/>
    <w:qFormat/>
    <w:rPr>
      <w:rFonts w:ascii="宋体" w:hAnsi="Courier New"/>
    </w:rPr>
  </w:style>
  <w:style w:type="paragraph" w:styleId="940" w:customStyle="1">
    <w:name w:val="正文缩进1"/>
    <w:basedOn w:val="745"/>
    <w:uiPriority w:val="0"/>
    <w:unhideWhenUsed/>
    <w:qFormat/>
    <w:pPr>
      <w:ind w:firstLine="420"/>
      <w:jc w:val="left"/>
    </w:pPr>
    <w:rPr>
      <w:sz w:val="24"/>
    </w:rPr>
  </w:style>
  <w:style w:type="paragraph" w:styleId="941">
    <w:name w:val="List Paragraph"/>
    <w:basedOn w:val="745"/>
    <w:uiPriority w:val="0"/>
    <w:qFormat/>
    <w:pPr>
      <w:ind w:firstLine="420"/>
    </w:pPr>
  </w:style>
  <w:style w:type="paragraph" w:styleId="942" w:customStyle="1">
    <w:name w:val="首行缩进"/>
    <w:basedOn w:val="745"/>
    <w:uiPriority w:val="0"/>
    <w:qFormat/>
    <w:pPr>
      <w:ind w:firstLine="480"/>
      <w:spacing w:line="360" w:lineRule="auto"/>
    </w:pPr>
    <w:rPr>
      <w:rFonts w:hAnsi="宋体" w:eastAsia="宋体" w:cs="宋体"/>
      <w:sz w:val="24"/>
      <w:szCs w:val="24"/>
    </w:rPr>
  </w:style>
  <w:style w:type="paragraph" w:styleId="943" w:customStyle="1">
    <w:name w:val="标题 31"/>
    <w:basedOn w:val="745"/>
    <w:next w:val="745"/>
    <w:uiPriority w:val="0"/>
    <w:qFormat/>
    <w:pPr>
      <w:keepLines/>
      <w:keepNext/>
      <w:spacing w:before="260" w:after="260" w:line="416" w:lineRule="auto"/>
      <w:outlineLvl w:val="2"/>
    </w:pPr>
    <w:rPr>
      <w:b/>
      <w:bCs/>
      <w:sz w:val="32"/>
      <w:szCs w:val="32"/>
    </w:rPr>
  </w:style>
  <w:style w:type="paragraph" w:styleId="944" w:customStyle="1">
    <w:name w:val="标题 11"/>
    <w:basedOn w:val="745"/>
    <w:next w:val="745"/>
    <w:uiPriority w:val="0"/>
    <w:qFormat/>
    <w:pPr>
      <w:keepLines/>
      <w:keepNext/>
      <w:spacing w:before="340" w:after="330" w:line="578" w:lineRule="auto"/>
      <w:outlineLvl w:val="0"/>
    </w:pPr>
    <w:rPr>
      <w:b/>
      <w:sz w:val="44"/>
    </w:rPr>
  </w:style>
  <w:style w:type="paragraph" w:styleId="945" w:customStyle="1">
    <w:name w:val="标题二、"/>
    <w:basedOn w:val="745"/>
    <w:uiPriority w:val="99"/>
    <w:qFormat/>
    <w:pPr>
      <w:ind w:firstLine="200"/>
      <w:spacing w:line="360" w:lineRule="auto"/>
      <w:outlineLvl w:val="2"/>
    </w:pPr>
    <w:rPr>
      <w:rFonts w:ascii="宋体" w:hAnsi="宋体"/>
      <w:b/>
      <w:szCs w:val="21"/>
    </w:rPr>
  </w:style>
  <w:style w:type="paragraph" w:styleId="946" w:customStyle="1">
    <w:name w:val="Normal_16_1"/>
    <w:uiPriority w:val="0"/>
    <w:qFormat/>
    <w:rPr>
      <w:rFonts w:hint="default" w:ascii="宋体" w:hAnsi="宋体" w:eastAsia="宋体" w:cs="Times New Roman"/>
      <w:sz w:val="32"/>
      <w:szCs w:val="24"/>
      <w:lang w:val="en-US" w:eastAsia="zh-CN" w:bidi="ar-SA"/>
    </w:rPr>
  </w:style>
  <w:style w:type="paragraph" w:styleId="947" w:customStyle="1">
    <w:name w:val="Normal_17_1"/>
    <w:uiPriority w:val="0"/>
    <w:qFormat/>
    <w:pPr>
      <w:jc w:val="both"/>
      <w:widowControl w:val="off"/>
    </w:pPr>
    <w:rPr>
      <w:rFonts w:hint="default" w:ascii="Calibri" w:hAnsi="Calibri" w:eastAsia="宋体" w:cs="Times New Roman"/>
      <w:sz w:val="21"/>
      <w:szCs w:val="22"/>
      <w:lang w:val="en-US" w:eastAsia="zh-CN" w:bidi="ar-SA"/>
    </w:rPr>
  </w:style>
  <w:style w:type="paragraph" w:styleId="948" w:customStyle="1">
    <w:name w:val="页眉1"/>
    <w:basedOn w:val="745"/>
    <w:uiPriority w:val="0"/>
    <w:unhideWhenUsed/>
    <w:qFormat/>
    <w:pPr>
      <w:jc w:val="center"/>
      <w:tabs>
        <w:tab w:val="center" w:pos="4153" w:leader="none"/>
        <w:tab w:val="right" w:pos="8306" w:leader="none"/>
      </w:tabs>
      <w:pBdr>
        <w:bottom w:val="single" w:color="000000" w:sz="6" w:space="1"/>
      </w:pBdr>
    </w:pPr>
    <w:rPr>
      <w:sz w:val="18"/>
    </w:rPr>
  </w:style>
  <w:style w:type="paragraph" w:styleId="949" w:customStyle="1">
    <w:name w:val="页脚1"/>
    <w:basedOn w:val="745"/>
    <w:uiPriority w:val="0"/>
    <w:unhideWhenUsed/>
    <w:qFormat/>
    <w:pPr>
      <w:jc w:val="left"/>
      <w:tabs>
        <w:tab w:val="center" w:pos="4153" w:leader="none"/>
        <w:tab w:val="right" w:pos="8306" w:leader="none"/>
      </w:tabs>
    </w:pPr>
    <w:rPr>
      <w:sz w:val="18"/>
    </w:rPr>
  </w:style>
  <w:style w:type="numbering" w:styleId="142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马君端</cp:lastModifiedBy>
  <cp:revision>3</cp:revision>
  <dcterms:created xsi:type="dcterms:W3CDTF">2026-07-07T10:56:00Z</dcterms:created>
  <dcterms:modified xsi:type="dcterms:W3CDTF">2026-07-23T10:52:23Z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eyJoZGlkIjoiOGIzYWQ0NGI5ODZhMmQ2NjdiNzEwMGIwMWZiZDFiNzgiLCJ1c2VySWQiOiI1MzgyNjc5MTEifQ==</vt:lpwstr>
  </property>
  <property fmtid="{D5CDD505-2E9C-101B-9397-08002B2CF9AE}" pid="4" name="ICV">
    <vt:lpwstr>0BC6E0353239469DA50EC0E5C1969B10_12</vt:lpwstr>
  </property>
</Properties>
</file>